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BE50" w14:textId="6F7306D8"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sz w:val="52"/>
          <w:szCs w:val="52"/>
          <w:lang w:val="en-CA"/>
        </w:rPr>
        <w:fldChar w:fldCharType="begin"/>
      </w:r>
      <w:r w:rsidRPr="0069690C">
        <w:rPr>
          <w:rFonts w:cs="Times New Roman"/>
          <w:sz w:val="52"/>
          <w:szCs w:val="52"/>
          <w:lang w:val="en-CA"/>
        </w:rPr>
        <w:instrText xml:space="preserve"> SEQ CHAPTER \h \r 1</w:instrText>
      </w:r>
      <w:r w:rsidRPr="0069690C">
        <w:rPr>
          <w:rFonts w:cs="Times New Roman"/>
          <w:sz w:val="52"/>
          <w:szCs w:val="52"/>
          <w:lang w:val="en-CA"/>
        </w:rPr>
        <w:fldChar w:fldCharType="end"/>
      </w:r>
      <w:r w:rsidRPr="0069690C">
        <w:rPr>
          <w:rFonts w:cs="Times New Roman"/>
          <w:b/>
          <w:bCs/>
          <w:smallCaps/>
          <w:sz w:val="52"/>
          <w:szCs w:val="52"/>
        </w:rPr>
        <w:t xml:space="preserve">Manual of </w:t>
      </w:r>
    </w:p>
    <w:p w14:paraId="03B0B5E8"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Model Civil </w:t>
      </w:r>
    </w:p>
    <w:p w14:paraId="2D3F2EE8"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Jury Instructions </w:t>
      </w:r>
    </w:p>
    <w:p w14:paraId="6BF73D27" w14:textId="77777777" w:rsidR="006A4CD7" w:rsidRPr="0069690C" w:rsidRDefault="006A4CD7" w:rsidP="002B283E">
      <w:pPr>
        <w:autoSpaceDE w:val="0"/>
        <w:autoSpaceDN w:val="0"/>
        <w:adjustRightInd w:val="0"/>
        <w:jc w:val="center"/>
        <w:rPr>
          <w:rFonts w:cs="Times New Roman"/>
          <w:b/>
          <w:bCs/>
          <w:sz w:val="52"/>
          <w:szCs w:val="52"/>
        </w:rPr>
      </w:pPr>
    </w:p>
    <w:p w14:paraId="06F1F293"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For the </w:t>
      </w:r>
    </w:p>
    <w:p w14:paraId="0AF3B4C4" w14:textId="7B074140"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District Courts of the </w:t>
      </w:r>
    </w:p>
    <w:p w14:paraId="426A81FE"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Ninth Circuit </w:t>
      </w:r>
    </w:p>
    <w:p w14:paraId="0B09CF5C" w14:textId="77777777" w:rsidR="006A4CD7" w:rsidRPr="002B283E" w:rsidRDefault="006A4CD7" w:rsidP="002B283E">
      <w:pPr>
        <w:autoSpaceDE w:val="0"/>
        <w:autoSpaceDN w:val="0"/>
        <w:adjustRightInd w:val="0"/>
        <w:jc w:val="center"/>
        <w:rPr>
          <w:rFonts w:cs="Times New Roman"/>
          <w:b/>
          <w:bCs/>
          <w:szCs w:val="24"/>
        </w:rPr>
      </w:pPr>
    </w:p>
    <w:p w14:paraId="1264A6FC" w14:textId="77777777" w:rsidR="006A4CD7" w:rsidRPr="002B283E" w:rsidRDefault="006A4CD7" w:rsidP="002B283E">
      <w:pPr>
        <w:autoSpaceDE w:val="0"/>
        <w:autoSpaceDN w:val="0"/>
        <w:adjustRightInd w:val="0"/>
        <w:jc w:val="center"/>
        <w:rPr>
          <w:rFonts w:cs="Times New Roman"/>
          <w:b/>
          <w:bCs/>
          <w:szCs w:val="24"/>
        </w:rPr>
      </w:pPr>
    </w:p>
    <w:p w14:paraId="3A66CB9E" w14:textId="77777777" w:rsidR="006A4CD7" w:rsidRPr="008A04C2" w:rsidRDefault="006A4CD7" w:rsidP="002B283E">
      <w:pPr>
        <w:autoSpaceDE w:val="0"/>
        <w:autoSpaceDN w:val="0"/>
        <w:adjustRightInd w:val="0"/>
        <w:jc w:val="center"/>
        <w:rPr>
          <w:rFonts w:cs="Times New Roman"/>
          <w:b/>
          <w:bCs/>
          <w:sz w:val="32"/>
          <w:szCs w:val="32"/>
        </w:rPr>
      </w:pPr>
    </w:p>
    <w:p w14:paraId="149E3D79" w14:textId="1E3E5903"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Prepared by the</w:t>
      </w:r>
    </w:p>
    <w:p w14:paraId="15A912F7"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Ninth Circuit </w:t>
      </w:r>
    </w:p>
    <w:p w14:paraId="12495690"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Jury Instructions Committee </w:t>
      </w:r>
    </w:p>
    <w:p w14:paraId="228A9B12" w14:textId="77777777" w:rsidR="006A4CD7" w:rsidRPr="002B283E" w:rsidRDefault="006A4CD7" w:rsidP="002B283E">
      <w:pPr>
        <w:autoSpaceDE w:val="0"/>
        <w:autoSpaceDN w:val="0"/>
        <w:adjustRightInd w:val="0"/>
        <w:jc w:val="center"/>
        <w:rPr>
          <w:rFonts w:cs="Times New Roman"/>
          <w:b/>
          <w:bCs/>
          <w:szCs w:val="24"/>
        </w:rPr>
      </w:pPr>
    </w:p>
    <w:p w14:paraId="3A6BC35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_______________</w:t>
      </w:r>
    </w:p>
    <w:p w14:paraId="5331336C" w14:textId="77777777" w:rsidR="006A4CD7" w:rsidRPr="002B283E" w:rsidRDefault="006A4CD7" w:rsidP="002B283E">
      <w:pPr>
        <w:autoSpaceDE w:val="0"/>
        <w:autoSpaceDN w:val="0"/>
        <w:adjustRightInd w:val="0"/>
        <w:jc w:val="center"/>
        <w:rPr>
          <w:rFonts w:cs="Times New Roman"/>
          <w:b/>
          <w:bCs/>
          <w:szCs w:val="24"/>
        </w:rPr>
      </w:pPr>
    </w:p>
    <w:p w14:paraId="218EA222" w14:textId="1C7635E7" w:rsidR="006A4CD7" w:rsidRDefault="006A4CD7" w:rsidP="002B283E">
      <w:pPr>
        <w:autoSpaceDE w:val="0"/>
        <w:autoSpaceDN w:val="0"/>
        <w:adjustRightInd w:val="0"/>
        <w:jc w:val="center"/>
        <w:rPr>
          <w:rFonts w:cs="Times New Roman"/>
          <w:szCs w:val="24"/>
        </w:rPr>
      </w:pPr>
      <w:r w:rsidRPr="002B283E">
        <w:rPr>
          <w:rFonts w:cs="Times New Roman"/>
          <w:szCs w:val="24"/>
        </w:rPr>
        <w:t>20</w:t>
      </w:r>
      <w:r w:rsidR="00090E02">
        <w:rPr>
          <w:rFonts w:cs="Times New Roman"/>
          <w:szCs w:val="24"/>
        </w:rPr>
        <w:t>25</w:t>
      </w:r>
      <w:r w:rsidRPr="002B283E">
        <w:rPr>
          <w:rFonts w:cs="Times New Roman"/>
          <w:szCs w:val="24"/>
        </w:rPr>
        <w:t xml:space="preserve"> Edition</w:t>
      </w:r>
    </w:p>
    <w:p w14:paraId="67D31DF7" w14:textId="77777777" w:rsidR="00090E02" w:rsidRDefault="00090E02" w:rsidP="002B283E">
      <w:pPr>
        <w:autoSpaceDE w:val="0"/>
        <w:autoSpaceDN w:val="0"/>
        <w:adjustRightInd w:val="0"/>
        <w:jc w:val="center"/>
        <w:rPr>
          <w:rFonts w:cs="Times New Roman"/>
          <w:szCs w:val="24"/>
        </w:rPr>
      </w:pPr>
    </w:p>
    <w:p w14:paraId="6A9CD9A7" w14:textId="3B775C6C" w:rsidR="00090E02" w:rsidRPr="00A11833" w:rsidRDefault="00A11833" w:rsidP="002B283E">
      <w:pPr>
        <w:autoSpaceDE w:val="0"/>
        <w:autoSpaceDN w:val="0"/>
        <w:adjustRightInd w:val="0"/>
        <w:jc w:val="center"/>
        <w:rPr>
          <w:rFonts w:cs="Times New Roman"/>
          <w:i/>
          <w:iCs/>
          <w:szCs w:val="24"/>
        </w:rPr>
      </w:pPr>
      <w:r w:rsidRPr="00A11833">
        <w:rPr>
          <w:rFonts w:cs="Times New Roman"/>
          <w:i/>
          <w:iCs/>
          <w:szCs w:val="24"/>
        </w:rPr>
        <w:t xml:space="preserve">Last </w:t>
      </w:r>
      <w:r w:rsidR="009F3383" w:rsidRPr="00A11833">
        <w:rPr>
          <w:rFonts w:cs="Times New Roman"/>
          <w:i/>
          <w:iCs/>
          <w:szCs w:val="24"/>
        </w:rPr>
        <w:t xml:space="preserve">Updated </w:t>
      </w:r>
      <w:r w:rsidR="002466D8">
        <w:rPr>
          <w:rFonts w:cs="Times New Roman"/>
          <w:i/>
          <w:iCs/>
          <w:szCs w:val="24"/>
        </w:rPr>
        <w:t>March 2026</w:t>
      </w:r>
    </w:p>
    <w:p w14:paraId="02A2E9B1" w14:textId="77777777" w:rsidR="00090E02" w:rsidRDefault="00090E02" w:rsidP="002B283E">
      <w:pPr>
        <w:autoSpaceDE w:val="0"/>
        <w:autoSpaceDN w:val="0"/>
        <w:adjustRightInd w:val="0"/>
        <w:jc w:val="center"/>
        <w:rPr>
          <w:rFonts w:cs="Times New Roman"/>
          <w:szCs w:val="24"/>
        </w:rPr>
      </w:pPr>
    </w:p>
    <w:p w14:paraId="794A0FEA" w14:textId="77777777" w:rsidR="00090E02" w:rsidRDefault="00090E02" w:rsidP="002B283E">
      <w:pPr>
        <w:autoSpaceDE w:val="0"/>
        <w:autoSpaceDN w:val="0"/>
        <w:adjustRightInd w:val="0"/>
        <w:jc w:val="center"/>
        <w:rPr>
          <w:rFonts w:cs="Times New Roman"/>
          <w:szCs w:val="24"/>
        </w:rPr>
      </w:pPr>
    </w:p>
    <w:p w14:paraId="34951C9C" w14:textId="77777777" w:rsidR="00090E02" w:rsidRDefault="00090E02" w:rsidP="002B283E">
      <w:pPr>
        <w:autoSpaceDE w:val="0"/>
        <w:autoSpaceDN w:val="0"/>
        <w:adjustRightInd w:val="0"/>
        <w:jc w:val="center"/>
        <w:rPr>
          <w:rFonts w:cs="Times New Roman"/>
          <w:szCs w:val="24"/>
        </w:rPr>
      </w:pPr>
    </w:p>
    <w:p w14:paraId="16465393" w14:textId="77777777" w:rsidR="00090E02" w:rsidRDefault="00090E02" w:rsidP="002B283E">
      <w:pPr>
        <w:autoSpaceDE w:val="0"/>
        <w:autoSpaceDN w:val="0"/>
        <w:adjustRightInd w:val="0"/>
        <w:jc w:val="center"/>
        <w:rPr>
          <w:rFonts w:cs="Times New Roman"/>
          <w:szCs w:val="24"/>
        </w:rPr>
      </w:pPr>
    </w:p>
    <w:p w14:paraId="729BB548" w14:textId="77777777" w:rsidR="00090E02" w:rsidRDefault="00090E02" w:rsidP="002B283E">
      <w:pPr>
        <w:autoSpaceDE w:val="0"/>
        <w:autoSpaceDN w:val="0"/>
        <w:adjustRightInd w:val="0"/>
        <w:jc w:val="center"/>
        <w:rPr>
          <w:rFonts w:cs="Times New Roman"/>
          <w:szCs w:val="24"/>
        </w:rPr>
      </w:pPr>
    </w:p>
    <w:p w14:paraId="72D465D3" w14:textId="77777777" w:rsidR="00090E02" w:rsidRDefault="00090E02" w:rsidP="002B283E">
      <w:pPr>
        <w:autoSpaceDE w:val="0"/>
        <w:autoSpaceDN w:val="0"/>
        <w:adjustRightInd w:val="0"/>
        <w:jc w:val="center"/>
        <w:rPr>
          <w:rFonts w:cs="Times New Roman"/>
          <w:szCs w:val="24"/>
        </w:rPr>
      </w:pPr>
    </w:p>
    <w:p w14:paraId="699913FE" w14:textId="77777777" w:rsidR="00090E02" w:rsidRDefault="00090E02" w:rsidP="002B283E">
      <w:pPr>
        <w:autoSpaceDE w:val="0"/>
        <w:autoSpaceDN w:val="0"/>
        <w:adjustRightInd w:val="0"/>
        <w:jc w:val="center"/>
        <w:rPr>
          <w:rFonts w:cs="Times New Roman"/>
          <w:szCs w:val="24"/>
        </w:rPr>
      </w:pPr>
    </w:p>
    <w:p w14:paraId="29FAF83A" w14:textId="77777777" w:rsidR="00090E02" w:rsidRDefault="00090E02" w:rsidP="002B283E">
      <w:pPr>
        <w:autoSpaceDE w:val="0"/>
        <w:autoSpaceDN w:val="0"/>
        <w:adjustRightInd w:val="0"/>
        <w:jc w:val="center"/>
        <w:rPr>
          <w:rFonts w:cs="Times New Roman"/>
          <w:szCs w:val="24"/>
        </w:rPr>
      </w:pPr>
    </w:p>
    <w:p w14:paraId="69C38BE9" w14:textId="77777777" w:rsidR="00090E02" w:rsidRDefault="00090E02" w:rsidP="002B283E">
      <w:pPr>
        <w:autoSpaceDE w:val="0"/>
        <w:autoSpaceDN w:val="0"/>
        <w:adjustRightInd w:val="0"/>
        <w:jc w:val="center"/>
        <w:rPr>
          <w:rFonts w:cs="Times New Roman"/>
          <w:szCs w:val="24"/>
        </w:rPr>
      </w:pPr>
    </w:p>
    <w:p w14:paraId="350E204A" w14:textId="77777777" w:rsidR="00090E02" w:rsidRDefault="00090E02" w:rsidP="002B283E">
      <w:pPr>
        <w:autoSpaceDE w:val="0"/>
        <w:autoSpaceDN w:val="0"/>
        <w:adjustRightInd w:val="0"/>
        <w:jc w:val="center"/>
        <w:rPr>
          <w:rFonts w:cs="Times New Roman"/>
          <w:szCs w:val="24"/>
        </w:rPr>
      </w:pPr>
    </w:p>
    <w:p w14:paraId="75FB3D55" w14:textId="77777777" w:rsidR="00090E02" w:rsidRDefault="00090E02" w:rsidP="002B283E">
      <w:pPr>
        <w:autoSpaceDE w:val="0"/>
        <w:autoSpaceDN w:val="0"/>
        <w:adjustRightInd w:val="0"/>
        <w:jc w:val="center"/>
        <w:rPr>
          <w:rFonts w:cs="Times New Roman"/>
          <w:szCs w:val="24"/>
        </w:rPr>
      </w:pPr>
    </w:p>
    <w:p w14:paraId="66F1834E" w14:textId="77777777" w:rsidR="00090E02" w:rsidRDefault="00090E02" w:rsidP="002B283E">
      <w:pPr>
        <w:autoSpaceDE w:val="0"/>
        <w:autoSpaceDN w:val="0"/>
        <w:adjustRightInd w:val="0"/>
        <w:jc w:val="center"/>
        <w:rPr>
          <w:rFonts w:cs="Times New Roman"/>
          <w:szCs w:val="24"/>
        </w:rPr>
      </w:pPr>
    </w:p>
    <w:p w14:paraId="78688F24" w14:textId="77777777" w:rsidR="00090E02" w:rsidRDefault="00090E02" w:rsidP="002B283E">
      <w:pPr>
        <w:autoSpaceDE w:val="0"/>
        <w:autoSpaceDN w:val="0"/>
        <w:adjustRightInd w:val="0"/>
        <w:jc w:val="center"/>
        <w:rPr>
          <w:rFonts w:cs="Times New Roman"/>
          <w:szCs w:val="24"/>
        </w:rPr>
      </w:pPr>
    </w:p>
    <w:p w14:paraId="196F6852" w14:textId="77777777" w:rsidR="00090E02" w:rsidRDefault="00090E02" w:rsidP="002B283E">
      <w:pPr>
        <w:autoSpaceDE w:val="0"/>
        <w:autoSpaceDN w:val="0"/>
        <w:adjustRightInd w:val="0"/>
        <w:jc w:val="center"/>
        <w:rPr>
          <w:rFonts w:cs="Times New Roman"/>
          <w:szCs w:val="24"/>
        </w:rPr>
      </w:pPr>
    </w:p>
    <w:p w14:paraId="7B6F170D" w14:textId="77777777" w:rsidR="00090E02" w:rsidRDefault="00090E02" w:rsidP="002B283E">
      <w:pPr>
        <w:autoSpaceDE w:val="0"/>
        <w:autoSpaceDN w:val="0"/>
        <w:adjustRightInd w:val="0"/>
        <w:jc w:val="center"/>
        <w:rPr>
          <w:rFonts w:cs="Times New Roman"/>
          <w:szCs w:val="24"/>
        </w:rPr>
      </w:pPr>
    </w:p>
    <w:p w14:paraId="3BA7D256" w14:textId="77777777" w:rsidR="00090E02" w:rsidRDefault="00090E02" w:rsidP="002B283E">
      <w:pPr>
        <w:autoSpaceDE w:val="0"/>
        <w:autoSpaceDN w:val="0"/>
        <w:adjustRightInd w:val="0"/>
        <w:jc w:val="center"/>
        <w:rPr>
          <w:rFonts w:cs="Times New Roman"/>
          <w:szCs w:val="24"/>
        </w:rPr>
      </w:pPr>
    </w:p>
    <w:p w14:paraId="45875837" w14:textId="77777777" w:rsidR="00B20E4B" w:rsidRDefault="00B20E4B" w:rsidP="002B283E">
      <w:pPr>
        <w:autoSpaceDE w:val="0"/>
        <w:autoSpaceDN w:val="0"/>
        <w:adjustRightInd w:val="0"/>
        <w:jc w:val="center"/>
        <w:rPr>
          <w:rFonts w:cs="Times New Roman"/>
          <w:szCs w:val="24"/>
        </w:rPr>
      </w:pPr>
    </w:p>
    <w:p w14:paraId="2D93A157" w14:textId="77777777" w:rsidR="00090E02" w:rsidRPr="002B283E" w:rsidRDefault="00090E02" w:rsidP="002B283E">
      <w:pPr>
        <w:autoSpaceDE w:val="0"/>
        <w:autoSpaceDN w:val="0"/>
        <w:adjustRightInd w:val="0"/>
        <w:jc w:val="center"/>
        <w:rPr>
          <w:rFonts w:cs="Times New Roman"/>
          <w:b/>
          <w:bCs/>
          <w:szCs w:val="24"/>
        </w:rPr>
      </w:pPr>
    </w:p>
    <w:p w14:paraId="77EEBB67" w14:textId="77777777" w:rsidR="006A4CD7" w:rsidRPr="002B283E" w:rsidRDefault="006A4CD7" w:rsidP="002B283E">
      <w:pPr>
        <w:autoSpaceDE w:val="0"/>
        <w:autoSpaceDN w:val="0"/>
        <w:adjustRightInd w:val="0"/>
        <w:jc w:val="center"/>
        <w:rPr>
          <w:rFonts w:cs="Times New Roman"/>
          <w:b/>
          <w:bCs/>
          <w:szCs w:val="24"/>
        </w:rPr>
      </w:pPr>
    </w:p>
    <w:p w14:paraId="1D0564FE" w14:textId="34946AB1" w:rsidR="006A4CD7" w:rsidRPr="008A04C2" w:rsidRDefault="006A4CD7" w:rsidP="002B283E">
      <w:pPr>
        <w:pStyle w:val="Style1"/>
        <w:rPr>
          <w:smallCaps/>
          <w:sz w:val="32"/>
          <w:szCs w:val="32"/>
        </w:rPr>
      </w:pPr>
      <w:r w:rsidRPr="008A04C2">
        <w:rPr>
          <w:smallCaps/>
          <w:sz w:val="32"/>
          <w:szCs w:val="32"/>
        </w:rPr>
        <w:lastRenderedPageBreak/>
        <w:t>NINTH CIRCUIT</w:t>
      </w:r>
    </w:p>
    <w:p w14:paraId="730012E0" w14:textId="77777777" w:rsidR="006A4CD7" w:rsidRPr="008A04C2" w:rsidRDefault="006A4CD7" w:rsidP="002B283E">
      <w:pPr>
        <w:pStyle w:val="Style1"/>
        <w:rPr>
          <w:smallCaps/>
          <w:sz w:val="32"/>
          <w:szCs w:val="32"/>
        </w:rPr>
      </w:pPr>
      <w:r w:rsidRPr="008A04C2">
        <w:rPr>
          <w:smallCaps/>
          <w:sz w:val="32"/>
          <w:szCs w:val="32"/>
        </w:rPr>
        <w:t>JURY INSTRUCTIONS COMMITTEE</w:t>
      </w:r>
    </w:p>
    <w:p w14:paraId="2ACF0FCF" w14:textId="77777777" w:rsidR="006A4CD7" w:rsidRPr="002B283E" w:rsidRDefault="006A4CD7" w:rsidP="002B283E">
      <w:pPr>
        <w:autoSpaceDE w:val="0"/>
        <w:autoSpaceDN w:val="0"/>
        <w:adjustRightInd w:val="0"/>
        <w:jc w:val="center"/>
        <w:rPr>
          <w:rFonts w:cs="Times New Roman"/>
          <w:szCs w:val="24"/>
        </w:rPr>
      </w:pPr>
    </w:p>
    <w:p w14:paraId="649E350A" w14:textId="77777777" w:rsidR="006A4CD7" w:rsidRPr="002B283E" w:rsidRDefault="006A4CD7" w:rsidP="002B283E">
      <w:pPr>
        <w:autoSpaceDE w:val="0"/>
        <w:autoSpaceDN w:val="0"/>
        <w:adjustRightInd w:val="0"/>
        <w:jc w:val="center"/>
        <w:rPr>
          <w:rFonts w:cs="Times New Roman"/>
          <w:szCs w:val="24"/>
        </w:rPr>
      </w:pPr>
    </w:p>
    <w:p w14:paraId="2465AD5B"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u w:val="single"/>
        </w:rPr>
        <w:t>Members</w:t>
      </w:r>
      <w:r w:rsidRPr="002B283E">
        <w:rPr>
          <w:rFonts w:cs="Times New Roman"/>
          <w:szCs w:val="24"/>
          <w:u w:val="single"/>
        </w:rPr>
        <w:t>:</w:t>
      </w:r>
    </w:p>
    <w:p w14:paraId="6BB84509" w14:textId="77777777" w:rsidR="006A4CD7" w:rsidRPr="002B283E" w:rsidRDefault="006A4CD7" w:rsidP="002B283E">
      <w:pPr>
        <w:autoSpaceDE w:val="0"/>
        <w:autoSpaceDN w:val="0"/>
        <w:adjustRightInd w:val="0"/>
        <w:jc w:val="center"/>
        <w:rPr>
          <w:rFonts w:cs="Times New Roman"/>
          <w:szCs w:val="24"/>
        </w:rPr>
      </w:pPr>
    </w:p>
    <w:p w14:paraId="21AE08B5" w14:textId="1EDB6585" w:rsidR="0078216F"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District Judge </w:t>
      </w:r>
      <w:r w:rsidR="00E35F4B">
        <w:rPr>
          <w:rFonts w:cs="Times New Roman"/>
          <w:szCs w:val="24"/>
          <w:lang w:val="en-CA"/>
        </w:rPr>
        <w:t>Anthony J. Battaglia</w:t>
      </w:r>
      <w:r w:rsidRPr="002B283E">
        <w:rPr>
          <w:rFonts w:cs="Times New Roman"/>
          <w:szCs w:val="24"/>
          <w:lang w:val="en-CA"/>
        </w:rPr>
        <w:t xml:space="preserve">, Chair </w:t>
      </w:r>
    </w:p>
    <w:p w14:paraId="1F4ADC53" w14:textId="3E13935A"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Circuit Judge </w:t>
      </w:r>
      <w:r w:rsidR="00E35F4B">
        <w:rPr>
          <w:rFonts w:cs="Times New Roman"/>
          <w:szCs w:val="24"/>
          <w:lang w:val="en-CA"/>
        </w:rPr>
        <w:t>Danielle J. Forrest</w:t>
      </w:r>
      <w:r w:rsidRPr="002B283E">
        <w:rPr>
          <w:rFonts w:cs="Times New Roman"/>
          <w:szCs w:val="24"/>
          <w:lang w:val="en-CA"/>
        </w:rPr>
        <w:t xml:space="preserve"> </w:t>
      </w:r>
    </w:p>
    <w:p w14:paraId="21B2F4C0"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Senior District Judge Marilyn L. Huff </w:t>
      </w:r>
    </w:p>
    <w:p w14:paraId="00A045FC" w14:textId="117424CA" w:rsidR="003B0B44" w:rsidRPr="002B283E" w:rsidRDefault="003B0B44" w:rsidP="002B283E">
      <w:pPr>
        <w:autoSpaceDE w:val="0"/>
        <w:autoSpaceDN w:val="0"/>
        <w:adjustRightInd w:val="0"/>
        <w:jc w:val="center"/>
        <w:rPr>
          <w:rFonts w:cs="Times New Roman"/>
          <w:szCs w:val="24"/>
          <w:lang w:val="en-CA"/>
        </w:rPr>
      </w:pPr>
      <w:r>
        <w:rPr>
          <w:rFonts w:cs="Times New Roman"/>
          <w:szCs w:val="24"/>
          <w:lang w:val="en-CA"/>
        </w:rPr>
        <w:t>District Judge</w:t>
      </w:r>
      <w:r w:rsidR="00E35F4B">
        <w:rPr>
          <w:rFonts w:cs="Times New Roman"/>
          <w:szCs w:val="24"/>
          <w:lang w:val="en-CA"/>
        </w:rPr>
        <w:t xml:space="preserve"> Andre Birotte Jr.</w:t>
      </w:r>
    </w:p>
    <w:p w14:paraId="010F8954" w14:textId="1D629D26" w:rsidR="0078216F" w:rsidRDefault="00E35F4B" w:rsidP="002B283E">
      <w:pPr>
        <w:autoSpaceDE w:val="0"/>
        <w:autoSpaceDN w:val="0"/>
        <w:adjustRightInd w:val="0"/>
        <w:jc w:val="center"/>
        <w:rPr>
          <w:rFonts w:cs="Times New Roman"/>
          <w:szCs w:val="24"/>
          <w:lang w:val="en-CA"/>
        </w:rPr>
      </w:pPr>
      <w:r>
        <w:rPr>
          <w:rFonts w:cs="Times New Roman"/>
          <w:szCs w:val="24"/>
          <w:lang w:val="en-CA"/>
        </w:rPr>
        <w:t>District Judge David C. Nye</w:t>
      </w:r>
    </w:p>
    <w:p w14:paraId="40E8A107" w14:textId="1676913B" w:rsidR="00B20E4B" w:rsidRPr="002B283E" w:rsidRDefault="00B20E4B" w:rsidP="002B283E">
      <w:pPr>
        <w:autoSpaceDE w:val="0"/>
        <w:autoSpaceDN w:val="0"/>
        <w:adjustRightInd w:val="0"/>
        <w:jc w:val="center"/>
        <w:rPr>
          <w:rFonts w:cs="Times New Roman"/>
          <w:szCs w:val="24"/>
          <w:lang w:val="en-CA"/>
        </w:rPr>
      </w:pPr>
      <w:r>
        <w:rPr>
          <w:rFonts w:cs="Times New Roman"/>
          <w:szCs w:val="24"/>
          <w:lang w:val="en-CA"/>
        </w:rPr>
        <w:t>District Judge John C. Hinderaker</w:t>
      </w:r>
    </w:p>
    <w:p w14:paraId="0D7F8862" w14:textId="3869FBAE" w:rsidR="0078216F" w:rsidRPr="002B283E"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sidR="00E35F4B">
        <w:rPr>
          <w:rFonts w:cs="Times New Roman"/>
          <w:szCs w:val="24"/>
          <w:lang w:val="en-CA"/>
        </w:rPr>
        <w:t>Sallie Kim</w:t>
      </w:r>
    </w:p>
    <w:p w14:paraId="417E3265" w14:textId="381A633D"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sidR="00E35F4B">
        <w:rPr>
          <w:rFonts w:cs="Times New Roman"/>
          <w:szCs w:val="24"/>
          <w:lang w:val="en-CA"/>
        </w:rPr>
        <w:t>Kyle F. Reardon</w:t>
      </w:r>
    </w:p>
    <w:p w14:paraId="44DF3357" w14:textId="77777777" w:rsidR="001426C9" w:rsidRPr="002B283E" w:rsidRDefault="001426C9" w:rsidP="002B283E">
      <w:pPr>
        <w:autoSpaceDE w:val="0"/>
        <w:autoSpaceDN w:val="0"/>
        <w:adjustRightInd w:val="0"/>
        <w:jc w:val="center"/>
        <w:rPr>
          <w:rFonts w:cs="Times New Roman"/>
          <w:i/>
          <w:iCs/>
          <w:szCs w:val="24"/>
          <w:u w:val="single"/>
        </w:rPr>
      </w:pPr>
    </w:p>
    <w:p w14:paraId="1922F74E" w14:textId="77777777" w:rsidR="006A4CD7" w:rsidRPr="002B283E" w:rsidRDefault="006A4CD7" w:rsidP="002B283E">
      <w:pPr>
        <w:autoSpaceDE w:val="0"/>
        <w:autoSpaceDN w:val="0"/>
        <w:adjustRightInd w:val="0"/>
        <w:jc w:val="center"/>
        <w:rPr>
          <w:rFonts w:cs="Times New Roman"/>
          <w:szCs w:val="24"/>
          <w:u w:val="single"/>
        </w:rPr>
      </w:pPr>
      <w:r w:rsidRPr="002B283E">
        <w:rPr>
          <w:rFonts w:cs="Times New Roman"/>
          <w:i/>
          <w:iCs/>
          <w:szCs w:val="24"/>
          <w:u w:val="single"/>
        </w:rPr>
        <w:t>Staff</w:t>
      </w:r>
      <w:r w:rsidRPr="002B283E">
        <w:rPr>
          <w:rFonts w:cs="Times New Roman"/>
          <w:szCs w:val="24"/>
          <w:u w:val="single"/>
        </w:rPr>
        <w:t>:</w:t>
      </w:r>
    </w:p>
    <w:p w14:paraId="6D76227B" w14:textId="77777777" w:rsidR="006A4CD7" w:rsidRPr="002B283E" w:rsidRDefault="006A4CD7" w:rsidP="002B283E">
      <w:pPr>
        <w:autoSpaceDE w:val="0"/>
        <w:autoSpaceDN w:val="0"/>
        <w:adjustRightInd w:val="0"/>
        <w:jc w:val="center"/>
        <w:rPr>
          <w:rFonts w:cs="Times New Roman"/>
          <w:szCs w:val="24"/>
        </w:rPr>
      </w:pPr>
    </w:p>
    <w:p w14:paraId="6815BCE5"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Aejung Yoon, Esq.</w:t>
      </w:r>
    </w:p>
    <w:p w14:paraId="24FC92E8" w14:textId="77777777" w:rsidR="006A4CD7" w:rsidRPr="002B283E" w:rsidRDefault="006A4CD7" w:rsidP="002B283E">
      <w:pPr>
        <w:autoSpaceDE w:val="0"/>
        <w:autoSpaceDN w:val="0"/>
        <w:adjustRightInd w:val="0"/>
        <w:jc w:val="center"/>
        <w:rPr>
          <w:rFonts w:cs="Times New Roman"/>
          <w:i/>
          <w:iCs/>
          <w:szCs w:val="24"/>
          <w:u w:val="single"/>
        </w:rPr>
      </w:pPr>
    </w:p>
    <w:p w14:paraId="12965A30" w14:textId="7C598C92" w:rsidR="007476B8" w:rsidRPr="002B283E" w:rsidRDefault="007476B8" w:rsidP="002B283E">
      <w:pPr>
        <w:autoSpaceDE w:val="0"/>
        <w:autoSpaceDN w:val="0"/>
        <w:adjustRightInd w:val="0"/>
        <w:jc w:val="center"/>
        <w:rPr>
          <w:rFonts w:cs="Times New Roman"/>
          <w:szCs w:val="24"/>
        </w:rPr>
      </w:pPr>
      <w:r w:rsidRPr="002B283E">
        <w:rPr>
          <w:rFonts w:cs="Times New Roman"/>
          <w:szCs w:val="24"/>
        </w:rPr>
        <w:br w:type="page"/>
      </w:r>
    </w:p>
    <w:p w14:paraId="2689409C" w14:textId="77777777" w:rsidR="006A4CD7" w:rsidRPr="002B283E" w:rsidRDefault="006A4CD7" w:rsidP="002B283E">
      <w:pPr>
        <w:autoSpaceDE w:val="0"/>
        <w:autoSpaceDN w:val="0"/>
        <w:adjustRightInd w:val="0"/>
        <w:rPr>
          <w:rFonts w:cs="Times New Roman"/>
          <w:szCs w:val="24"/>
        </w:rPr>
      </w:pPr>
    </w:p>
    <w:p w14:paraId="7A80617B" w14:textId="00237427" w:rsidR="006A4CD7" w:rsidRPr="002B283E" w:rsidRDefault="006A4CD7" w:rsidP="002B283E">
      <w:pPr>
        <w:jc w:val="center"/>
        <w:rPr>
          <w:rFonts w:cs="Times New Roman"/>
          <w:b/>
          <w:bCs/>
          <w:szCs w:val="24"/>
        </w:rPr>
      </w:pPr>
      <w:bookmarkStart w:id="0" w:name="_Toc58245187"/>
      <w:bookmarkStart w:id="1" w:name="_Toc58475381"/>
      <w:bookmarkStart w:id="2" w:name="_Toc65157189"/>
      <w:bookmarkStart w:id="3" w:name="_Toc102734857"/>
      <w:bookmarkStart w:id="4" w:name="_Toc103098047"/>
      <w:r w:rsidRPr="002B283E">
        <w:rPr>
          <w:rFonts w:cs="Times New Roman"/>
          <w:b/>
          <w:bCs/>
          <w:szCs w:val="24"/>
        </w:rPr>
        <w:t>INTRODUCTION TO 20</w:t>
      </w:r>
      <w:r w:rsidR="002A2C18">
        <w:rPr>
          <w:rFonts w:cs="Times New Roman"/>
          <w:b/>
          <w:bCs/>
          <w:szCs w:val="24"/>
        </w:rPr>
        <w:t>25</w:t>
      </w:r>
      <w:r w:rsidRPr="002B283E">
        <w:rPr>
          <w:rFonts w:cs="Times New Roman"/>
          <w:b/>
          <w:bCs/>
          <w:szCs w:val="24"/>
        </w:rPr>
        <w:t xml:space="preserve"> PRINT EDITION</w:t>
      </w:r>
      <w:bookmarkEnd w:id="0"/>
      <w:bookmarkEnd w:id="1"/>
      <w:bookmarkEnd w:id="2"/>
      <w:bookmarkEnd w:id="3"/>
      <w:bookmarkEnd w:id="4"/>
    </w:p>
    <w:p w14:paraId="257CC648" w14:textId="77777777" w:rsidR="00963D5C" w:rsidRDefault="00963D5C" w:rsidP="009F3DCA">
      <w:pPr>
        <w:autoSpaceDE w:val="0"/>
        <w:autoSpaceDN w:val="0"/>
        <w:adjustRightInd w:val="0"/>
        <w:rPr>
          <w:rFonts w:cs="Times New Roman"/>
          <w:szCs w:val="24"/>
        </w:rPr>
      </w:pPr>
    </w:p>
    <w:p w14:paraId="711F51A3" w14:textId="47D9183D" w:rsidR="009F3DCA" w:rsidRDefault="009F3DCA" w:rsidP="00963D5C">
      <w:pPr>
        <w:autoSpaceDE w:val="0"/>
        <w:autoSpaceDN w:val="0"/>
        <w:adjustRightInd w:val="0"/>
        <w:ind w:firstLine="720"/>
        <w:rPr>
          <w:rFonts w:cs="Times New Roman"/>
          <w:szCs w:val="24"/>
        </w:rPr>
      </w:pPr>
      <w:r w:rsidRPr="009F3DCA">
        <w:rPr>
          <w:rFonts w:cs="Times New Roman"/>
          <w:szCs w:val="24"/>
        </w:rPr>
        <w:t>This Manual of Model Civil Jury Instructions (</w:t>
      </w:r>
      <w:r w:rsidR="00963D5C">
        <w:rPr>
          <w:rFonts w:cs="Times New Roman"/>
          <w:szCs w:val="24"/>
        </w:rPr>
        <w:t>“</w:t>
      </w:r>
      <w:r w:rsidRPr="009F3DCA">
        <w:rPr>
          <w:rFonts w:cs="Times New Roman"/>
          <w:szCs w:val="24"/>
        </w:rPr>
        <w:t>Manual</w:t>
      </w:r>
      <w:r w:rsidR="00963D5C">
        <w:rPr>
          <w:rFonts w:cs="Times New Roman"/>
          <w:szCs w:val="24"/>
        </w:rPr>
        <w:t>”</w:t>
      </w:r>
      <w:r w:rsidRPr="009F3DCA">
        <w:rPr>
          <w:rFonts w:cs="Times New Roman"/>
          <w:szCs w:val="24"/>
        </w:rPr>
        <w:t>) has been prepared to help judges communicate more effectively with juries. </w:t>
      </w:r>
    </w:p>
    <w:p w14:paraId="35A4F6D9" w14:textId="77777777" w:rsidR="00963D5C" w:rsidRPr="009F3DCA" w:rsidRDefault="00963D5C" w:rsidP="00963D5C">
      <w:pPr>
        <w:autoSpaceDE w:val="0"/>
        <w:autoSpaceDN w:val="0"/>
        <w:adjustRightInd w:val="0"/>
        <w:ind w:firstLine="720"/>
        <w:rPr>
          <w:rFonts w:cs="Times New Roman"/>
          <w:szCs w:val="24"/>
        </w:rPr>
      </w:pPr>
    </w:p>
    <w:p w14:paraId="598BC86F" w14:textId="77777777" w:rsidR="009F3DCA" w:rsidRDefault="009F3DCA" w:rsidP="009F3DCA">
      <w:pPr>
        <w:autoSpaceDE w:val="0"/>
        <w:autoSpaceDN w:val="0"/>
        <w:adjustRightInd w:val="0"/>
        <w:rPr>
          <w:rFonts w:cs="Times New Roman"/>
          <w:szCs w:val="24"/>
        </w:rPr>
      </w:pPr>
      <w:r w:rsidRPr="009F3DCA">
        <w:rPr>
          <w:rFonts w:cs="Times New Roman"/>
          <w:szCs w:val="24"/>
        </w:rPr>
        <w:t>            The instructions in this Manual are models. They are not mandatory, and they must be reviewed carefully before use in a particular case. They are not a substitute for the individual research and drafting that may be required in a particular case; nor are they intended to discourage judges from using their own forms and techniques for instructing juries. </w:t>
      </w:r>
    </w:p>
    <w:p w14:paraId="4B466E10" w14:textId="77777777" w:rsidR="00963D5C" w:rsidRPr="009F3DCA" w:rsidRDefault="00963D5C" w:rsidP="009F3DCA">
      <w:pPr>
        <w:autoSpaceDE w:val="0"/>
        <w:autoSpaceDN w:val="0"/>
        <w:adjustRightInd w:val="0"/>
        <w:rPr>
          <w:rFonts w:cs="Times New Roman"/>
          <w:szCs w:val="24"/>
        </w:rPr>
      </w:pPr>
    </w:p>
    <w:p w14:paraId="62952BA7" w14:textId="258D27F7" w:rsidR="009F3DCA" w:rsidRDefault="009F3DCA" w:rsidP="009F3DCA">
      <w:pPr>
        <w:autoSpaceDE w:val="0"/>
        <w:autoSpaceDN w:val="0"/>
        <w:adjustRightInd w:val="0"/>
        <w:rPr>
          <w:rFonts w:cs="Times New Roman"/>
          <w:szCs w:val="24"/>
        </w:rPr>
      </w:pPr>
      <w:r w:rsidRPr="009F3DCA">
        <w:rPr>
          <w:rFonts w:cs="Times New Roman"/>
          <w:szCs w:val="24"/>
        </w:rPr>
        <w:t xml:space="preserve">            In addition to its ongoing consideration of legislative developments and appellate court decisions that may affect these model instructions, the Jury Instructions Committee (the </w:t>
      </w:r>
      <w:r w:rsidR="00084D42">
        <w:rPr>
          <w:rFonts w:cs="Times New Roman"/>
          <w:szCs w:val="24"/>
        </w:rPr>
        <w:t>“</w:t>
      </w:r>
      <w:r w:rsidRPr="009F3DCA">
        <w:rPr>
          <w:rFonts w:cs="Times New Roman"/>
          <w:szCs w:val="24"/>
        </w:rPr>
        <w:t>Committee</w:t>
      </w:r>
      <w:r w:rsidR="00084D42">
        <w:rPr>
          <w:rFonts w:cs="Times New Roman"/>
          <w:szCs w:val="24"/>
        </w:rPr>
        <w:t>”</w:t>
      </w:r>
      <w:r w:rsidRPr="009F3DCA">
        <w:rPr>
          <w:rFonts w:cs="Times New Roman"/>
          <w:szCs w:val="24"/>
        </w:rPr>
        <w:t>) welcomes suggestions from judges, court staff, and practitioners about possible revisions, additions, and deletions. After careful assessment and research, the Committee updates and revises instructions from time to time as necessary. Revisions are available online at the following website: </w:t>
      </w:r>
      <w:hyperlink r:id="rId8" w:history="1">
        <w:r w:rsidRPr="009F3DCA">
          <w:rPr>
            <w:rStyle w:val="Hyperlink"/>
            <w:rFonts w:cs="Times New Roman"/>
            <w:szCs w:val="24"/>
          </w:rPr>
          <w:t>https://www.ce9.uscourts.gov/jury-instructions/model-civil</w:t>
        </w:r>
      </w:hyperlink>
      <w:r w:rsidRPr="009F3DCA">
        <w:rPr>
          <w:rFonts w:cs="Times New Roman"/>
          <w:szCs w:val="24"/>
        </w:rPr>
        <w:t>. The revised instructions are later compiled and published in the printed version of the Manual. The Committee strongly recommends that the online version of any instruction be consulted to ensure that the most up-to-date instruction is being considered. The Committee encourages users of this book to make suggestions for further revisions and updates. Suggestions may be submitted to </w:t>
      </w:r>
      <w:hyperlink r:id="rId9" w:history="1">
        <w:r w:rsidRPr="009F3DCA">
          <w:rPr>
            <w:rStyle w:val="Hyperlink"/>
            <w:rFonts w:cs="Times New Roman"/>
            <w:szCs w:val="24"/>
          </w:rPr>
          <w:t>juryinstructions@ce9.uscourts.gov</w:t>
        </w:r>
      </w:hyperlink>
      <w:r w:rsidRPr="009F3DCA">
        <w:rPr>
          <w:rFonts w:cs="Times New Roman"/>
          <w:szCs w:val="24"/>
        </w:rPr>
        <w:t>.</w:t>
      </w:r>
    </w:p>
    <w:p w14:paraId="5FE509D2" w14:textId="77777777" w:rsidR="00963D5C" w:rsidRPr="009F3DCA" w:rsidRDefault="00963D5C" w:rsidP="009F3DCA">
      <w:pPr>
        <w:autoSpaceDE w:val="0"/>
        <w:autoSpaceDN w:val="0"/>
        <w:adjustRightInd w:val="0"/>
        <w:rPr>
          <w:rFonts w:cs="Times New Roman"/>
          <w:szCs w:val="24"/>
        </w:rPr>
      </w:pPr>
    </w:p>
    <w:p w14:paraId="0FB8A400" w14:textId="77777777" w:rsidR="009F3DCA" w:rsidRDefault="009F3DCA" w:rsidP="009F3DCA">
      <w:pPr>
        <w:autoSpaceDE w:val="0"/>
        <w:autoSpaceDN w:val="0"/>
        <w:adjustRightInd w:val="0"/>
        <w:rPr>
          <w:rFonts w:cs="Times New Roman"/>
          <w:szCs w:val="24"/>
        </w:rPr>
      </w:pPr>
      <w:r w:rsidRPr="009F3DCA">
        <w:rPr>
          <w:rFonts w:cs="Times New Roman"/>
          <w:szCs w:val="24"/>
        </w:rPr>
        <w:t xml:space="preserve">            This edition incorporates new and modified instructions. However, the print publication of the Manual necessarily presents only a snap-shot of an ongoing research and drafting process. Accordingly, even the most recent print edition does not necessarily represent the most up to date instructions. The entire publication and any later changes can be found online. This edition is current as to instructions approved as of September 2025. </w:t>
      </w:r>
    </w:p>
    <w:p w14:paraId="28605832" w14:textId="77777777" w:rsidR="00963D5C" w:rsidRPr="009F3DCA" w:rsidRDefault="00963D5C" w:rsidP="009F3DCA">
      <w:pPr>
        <w:autoSpaceDE w:val="0"/>
        <w:autoSpaceDN w:val="0"/>
        <w:adjustRightInd w:val="0"/>
        <w:rPr>
          <w:rFonts w:cs="Times New Roman"/>
          <w:szCs w:val="24"/>
        </w:rPr>
      </w:pPr>
    </w:p>
    <w:p w14:paraId="397850EB" w14:textId="2A327251" w:rsidR="009F3DCA" w:rsidRPr="009F3DCA" w:rsidRDefault="009F3DCA" w:rsidP="009F3DCA">
      <w:pPr>
        <w:autoSpaceDE w:val="0"/>
        <w:autoSpaceDN w:val="0"/>
        <w:adjustRightInd w:val="0"/>
        <w:rPr>
          <w:rFonts w:cs="Times New Roman"/>
          <w:szCs w:val="24"/>
        </w:rPr>
      </w:pPr>
      <w:r w:rsidRPr="009F3DCA">
        <w:rPr>
          <w:rFonts w:cs="Times New Roman"/>
          <w:szCs w:val="24"/>
        </w:rPr>
        <w:t xml:space="preserve">            The Committee thanks all of those members of the federal bench, bar, and legal academy, who have reviewed and commented on various parts of the book. The Committee also thanks District Judge Michael Simon for his long-term dynamic leadership of the Committee from 2012 to 2023, as well as Aejung Yoon, the Committee’s staff attorney, for her invaluable diligence and dedication to the Committee. </w:t>
      </w:r>
    </w:p>
    <w:p w14:paraId="57C514B2" w14:textId="77777777" w:rsidR="009F3DCA" w:rsidRPr="009F3DCA" w:rsidRDefault="009F3DCA" w:rsidP="009F3DCA">
      <w:pPr>
        <w:autoSpaceDE w:val="0"/>
        <w:autoSpaceDN w:val="0"/>
        <w:adjustRightInd w:val="0"/>
        <w:rPr>
          <w:rFonts w:cs="Times New Roman"/>
          <w:szCs w:val="24"/>
        </w:rPr>
      </w:pPr>
    </w:p>
    <w:p w14:paraId="3EB7DBE3" w14:textId="19D93056" w:rsidR="009F3DCA" w:rsidRPr="009F3DCA" w:rsidRDefault="009F3DCA" w:rsidP="009F3DCA">
      <w:pPr>
        <w:autoSpaceDE w:val="0"/>
        <w:autoSpaceDN w:val="0"/>
        <w:adjustRightInd w:val="0"/>
        <w:jc w:val="center"/>
        <w:rPr>
          <w:rFonts w:cs="Times New Roman"/>
          <w:b/>
          <w:bCs/>
          <w:szCs w:val="24"/>
        </w:rPr>
      </w:pPr>
      <w:r w:rsidRPr="009F3DCA">
        <w:rPr>
          <w:rFonts w:cs="Times New Roman"/>
          <w:b/>
          <w:bCs/>
          <w:szCs w:val="24"/>
        </w:rPr>
        <w:t>CAVEAT</w:t>
      </w:r>
    </w:p>
    <w:p w14:paraId="36971105" w14:textId="77777777" w:rsidR="009F3DCA" w:rsidRPr="009F3DCA" w:rsidRDefault="009F3DCA" w:rsidP="009F3DCA">
      <w:pPr>
        <w:autoSpaceDE w:val="0"/>
        <w:autoSpaceDN w:val="0"/>
        <w:adjustRightInd w:val="0"/>
        <w:jc w:val="center"/>
        <w:rPr>
          <w:rFonts w:cs="Times New Roman"/>
          <w:szCs w:val="24"/>
        </w:rPr>
      </w:pPr>
    </w:p>
    <w:p w14:paraId="2E7B6A88" w14:textId="77777777" w:rsidR="009F3DCA" w:rsidRDefault="009F3DCA" w:rsidP="009F3DCA">
      <w:pPr>
        <w:autoSpaceDE w:val="0"/>
        <w:autoSpaceDN w:val="0"/>
        <w:adjustRightInd w:val="0"/>
        <w:rPr>
          <w:rFonts w:cs="Times New Roman"/>
          <w:szCs w:val="24"/>
        </w:rPr>
      </w:pPr>
      <w:r w:rsidRPr="009F3DCA">
        <w:rPr>
          <w:rFonts w:cs="Times New Roman"/>
          <w:szCs w:val="24"/>
        </w:rPr>
        <w:t>            These model jury instructions are written and organized by judges who are appointed to the Ninth Circuit Jury Instructions Committee by the Chief Circuit Judge. </w:t>
      </w:r>
    </w:p>
    <w:p w14:paraId="07EA41B7" w14:textId="77777777" w:rsidR="009F3DCA" w:rsidRPr="009F3DCA" w:rsidRDefault="009F3DCA" w:rsidP="009F3DCA">
      <w:pPr>
        <w:autoSpaceDE w:val="0"/>
        <w:autoSpaceDN w:val="0"/>
        <w:adjustRightInd w:val="0"/>
        <w:rPr>
          <w:rFonts w:cs="Times New Roman"/>
          <w:szCs w:val="24"/>
        </w:rPr>
      </w:pPr>
    </w:p>
    <w:p w14:paraId="4FB2BFCB" w14:textId="77777777" w:rsidR="009F3DCA" w:rsidRDefault="009F3DCA" w:rsidP="009F3DCA">
      <w:pPr>
        <w:autoSpaceDE w:val="0"/>
        <w:autoSpaceDN w:val="0"/>
        <w:adjustRightInd w:val="0"/>
        <w:rPr>
          <w:rFonts w:cs="Times New Roman"/>
          <w:szCs w:val="24"/>
        </w:rPr>
      </w:pPr>
      <w:r w:rsidRPr="009F3DCA">
        <w:rPr>
          <w:rFonts w:cs="Times New Roman"/>
          <w:szCs w:val="24"/>
        </w:rPr>
        <w:t>            The Ninth Circuit Court of Appeals does not adopt these instructions as definitive. Indeed, occasionally the correctness or incorrectness of a given instruction may be the subject of a Ninth Circuit opinion. </w:t>
      </w:r>
    </w:p>
    <w:p w14:paraId="1476FE1F" w14:textId="77777777" w:rsidR="009F3DCA" w:rsidRPr="009F3DCA" w:rsidRDefault="009F3DCA" w:rsidP="009F3DCA">
      <w:pPr>
        <w:autoSpaceDE w:val="0"/>
        <w:autoSpaceDN w:val="0"/>
        <w:adjustRightInd w:val="0"/>
        <w:rPr>
          <w:rFonts w:cs="Times New Roman"/>
          <w:szCs w:val="24"/>
        </w:rPr>
      </w:pPr>
    </w:p>
    <w:p w14:paraId="1774A72A" w14:textId="77777777" w:rsidR="009F3DCA" w:rsidRPr="009F3DCA" w:rsidRDefault="009F3DCA" w:rsidP="009F3DCA">
      <w:pPr>
        <w:autoSpaceDE w:val="0"/>
        <w:autoSpaceDN w:val="0"/>
        <w:adjustRightInd w:val="0"/>
        <w:jc w:val="right"/>
        <w:rPr>
          <w:rFonts w:cs="Times New Roman"/>
          <w:szCs w:val="24"/>
        </w:rPr>
      </w:pPr>
      <w:r w:rsidRPr="009F3DCA">
        <w:rPr>
          <w:rFonts w:cs="Times New Roman"/>
          <w:szCs w:val="24"/>
        </w:rPr>
        <w:t>Ninth Circuit Jury Instructions Committee</w:t>
      </w:r>
      <w:r w:rsidRPr="009F3DCA">
        <w:rPr>
          <w:rFonts w:cs="Times New Roman"/>
          <w:szCs w:val="24"/>
        </w:rPr>
        <w:br/>
        <w:t>October 2025</w:t>
      </w:r>
    </w:p>
    <w:p w14:paraId="713DB69E" w14:textId="77777777" w:rsidR="009F3DCA" w:rsidRPr="009F3DCA" w:rsidRDefault="009F3DCA" w:rsidP="009F3DCA">
      <w:pPr>
        <w:autoSpaceDE w:val="0"/>
        <w:autoSpaceDN w:val="0"/>
        <w:adjustRightInd w:val="0"/>
        <w:rPr>
          <w:rFonts w:cs="Times New Roman"/>
          <w:szCs w:val="24"/>
        </w:rPr>
      </w:pPr>
    </w:p>
    <w:p w14:paraId="1B9E6B75" w14:textId="77777777" w:rsidR="00DC0666" w:rsidRDefault="00DC0666" w:rsidP="009F3DCA">
      <w:pPr>
        <w:autoSpaceDE w:val="0"/>
        <w:autoSpaceDN w:val="0"/>
        <w:adjustRightInd w:val="0"/>
        <w:jc w:val="center"/>
        <w:rPr>
          <w:rFonts w:cs="Times New Roman"/>
          <w:b/>
          <w:bCs/>
          <w:szCs w:val="24"/>
        </w:rPr>
      </w:pPr>
    </w:p>
    <w:p w14:paraId="6793CCB9" w14:textId="2B880116" w:rsidR="009F3DCA" w:rsidRDefault="009F3DCA" w:rsidP="009F3DCA">
      <w:pPr>
        <w:autoSpaceDE w:val="0"/>
        <w:autoSpaceDN w:val="0"/>
        <w:adjustRightInd w:val="0"/>
        <w:jc w:val="center"/>
        <w:rPr>
          <w:rFonts w:cs="Times New Roman"/>
          <w:b/>
          <w:bCs/>
          <w:szCs w:val="24"/>
        </w:rPr>
      </w:pPr>
      <w:r w:rsidRPr="009F3DCA">
        <w:rPr>
          <w:rFonts w:cs="Times New Roman"/>
          <w:b/>
          <w:bCs/>
          <w:szCs w:val="24"/>
        </w:rPr>
        <w:lastRenderedPageBreak/>
        <w:t>Note</w:t>
      </w:r>
    </w:p>
    <w:p w14:paraId="12589111" w14:textId="77777777" w:rsidR="009F3DCA" w:rsidRPr="009F3DCA" w:rsidRDefault="009F3DCA" w:rsidP="009F3DCA">
      <w:pPr>
        <w:autoSpaceDE w:val="0"/>
        <w:autoSpaceDN w:val="0"/>
        <w:adjustRightInd w:val="0"/>
        <w:rPr>
          <w:rFonts w:cs="Times New Roman"/>
          <w:b/>
          <w:bCs/>
          <w:szCs w:val="24"/>
        </w:rPr>
      </w:pPr>
    </w:p>
    <w:p w14:paraId="2C21C2D4" w14:textId="28D2D295" w:rsidR="009F3DCA" w:rsidRPr="009F3DCA" w:rsidRDefault="009F3DCA" w:rsidP="00963D5C">
      <w:pPr>
        <w:autoSpaceDE w:val="0"/>
        <w:autoSpaceDN w:val="0"/>
        <w:adjustRightInd w:val="0"/>
        <w:ind w:firstLine="720"/>
        <w:rPr>
          <w:rFonts w:cs="Times New Roman"/>
          <w:szCs w:val="24"/>
        </w:rPr>
      </w:pPr>
      <w:r w:rsidRPr="009F3DCA">
        <w:rPr>
          <w:rFonts w:cs="Times New Roman"/>
          <w:szCs w:val="24"/>
        </w:rPr>
        <w:t>Brackets appear throughout this manual to allow users of this book to select or insert terms most appropriate for their cases. Words that are in brackets indicate that users may select one of the bracketed options. Words that are italicized, underlined, and in brackets are not the actual words a judge would say. Rather, these bracketed words indicate that users should insert terms most appropriate for their case. If there are two consecutive brackets, users will select one of the bracketed terms within each double bracket (</w:t>
      </w:r>
      <w:r w:rsidRPr="006E52B7">
        <w:rPr>
          <w:rFonts w:cs="Times New Roman"/>
          <w:i/>
          <w:iCs/>
          <w:szCs w:val="24"/>
        </w:rPr>
        <w:t>e.g.</w:t>
      </w:r>
      <w:r w:rsidRPr="009F3DCA">
        <w:rPr>
          <w:rFonts w:cs="Times New Roman"/>
          <w:szCs w:val="24"/>
        </w:rPr>
        <w:t>, “the defendant [[took] [obtained by extortion]] [[property] [money] [something of value]] belonging to or in the care, custody, control, management</w:t>
      </w:r>
      <w:r w:rsidR="00084D42">
        <w:rPr>
          <w:rFonts w:cs="Times New Roman"/>
          <w:szCs w:val="24"/>
        </w:rPr>
        <w:t>,</w:t>
      </w:r>
      <w:r w:rsidRPr="009F3DCA">
        <w:rPr>
          <w:rFonts w:cs="Times New Roman"/>
          <w:szCs w:val="24"/>
        </w:rPr>
        <w:t xml:space="preserve"> or possession of [</w:t>
      </w:r>
      <w:r w:rsidRPr="009F3DCA">
        <w:rPr>
          <w:rFonts w:cs="Times New Roman"/>
          <w:i/>
          <w:iCs/>
          <w:szCs w:val="24"/>
          <w:u w:val="single"/>
        </w:rPr>
        <w:t>specify financial institution</w:t>
      </w:r>
      <w:r w:rsidRPr="009F3DCA">
        <w:rPr>
          <w:rFonts w:cs="Times New Roman"/>
          <w:szCs w:val="24"/>
        </w:rPr>
        <w:t>]” could become: “the defendant took money belonging to or in the care, custody, control, management</w:t>
      </w:r>
      <w:r w:rsidR="00084D42">
        <w:rPr>
          <w:rFonts w:cs="Times New Roman"/>
          <w:szCs w:val="24"/>
        </w:rPr>
        <w:t>,</w:t>
      </w:r>
      <w:r w:rsidRPr="009F3DCA">
        <w:rPr>
          <w:rFonts w:cs="Times New Roman"/>
          <w:szCs w:val="24"/>
        </w:rPr>
        <w:t xml:space="preserve"> or possession of ABC Bank”).</w:t>
      </w:r>
    </w:p>
    <w:p w14:paraId="263C0EE4" w14:textId="77777777" w:rsidR="009F3DCA" w:rsidRPr="009F3DCA" w:rsidRDefault="009F3DCA" w:rsidP="009F3DCA">
      <w:pPr>
        <w:autoSpaceDE w:val="0"/>
        <w:autoSpaceDN w:val="0"/>
        <w:adjustRightInd w:val="0"/>
        <w:rPr>
          <w:rFonts w:cs="Times New Roman"/>
          <w:szCs w:val="24"/>
        </w:rPr>
      </w:pPr>
    </w:p>
    <w:p w14:paraId="36AAA486" w14:textId="69140C6E" w:rsidR="006A4CD7" w:rsidRPr="002B283E" w:rsidRDefault="006A4CD7" w:rsidP="009F3DCA">
      <w:pPr>
        <w:autoSpaceDE w:val="0"/>
        <w:autoSpaceDN w:val="0"/>
        <w:adjustRightInd w:val="0"/>
        <w:rPr>
          <w:rFonts w:cs="Times New Roman"/>
          <w:szCs w:val="24"/>
        </w:rPr>
      </w:pPr>
    </w:p>
    <w:p w14:paraId="4B76672B" w14:textId="77777777" w:rsidR="006A4CD7" w:rsidRPr="002B283E" w:rsidRDefault="006A4CD7" w:rsidP="002B283E">
      <w:pPr>
        <w:rPr>
          <w:rFonts w:cs="Times New Roman"/>
          <w:szCs w:val="24"/>
        </w:rPr>
      </w:pPr>
    </w:p>
    <w:p w14:paraId="1860C932" w14:textId="77777777" w:rsidR="006A4CD7" w:rsidRPr="002B283E" w:rsidRDefault="006A4CD7" w:rsidP="002B283E">
      <w:pPr>
        <w:rPr>
          <w:rFonts w:cs="Times New Roman"/>
          <w:szCs w:val="24"/>
        </w:rPr>
      </w:pPr>
    </w:p>
    <w:p w14:paraId="42BC377C" w14:textId="77777777" w:rsidR="007476B8" w:rsidRDefault="007476B8" w:rsidP="002B283E">
      <w:pPr>
        <w:rPr>
          <w:rFonts w:cs="Times New Roman"/>
          <w:szCs w:val="24"/>
        </w:rPr>
      </w:pPr>
    </w:p>
    <w:p w14:paraId="1E7077F4" w14:textId="77777777" w:rsidR="00EC61FE" w:rsidRDefault="00EC61FE" w:rsidP="002B283E">
      <w:pPr>
        <w:rPr>
          <w:rFonts w:cs="Times New Roman"/>
          <w:szCs w:val="24"/>
        </w:rPr>
      </w:pPr>
    </w:p>
    <w:p w14:paraId="0733E5AA" w14:textId="77777777" w:rsidR="00EC61FE" w:rsidRDefault="00EC61FE" w:rsidP="002B283E">
      <w:pPr>
        <w:rPr>
          <w:rFonts w:cs="Times New Roman"/>
          <w:szCs w:val="24"/>
        </w:rPr>
      </w:pPr>
    </w:p>
    <w:p w14:paraId="749A5F2A" w14:textId="77777777" w:rsidR="00EC61FE" w:rsidRDefault="00EC61FE" w:rsidP="002B283E">
      <w:pPr>
        <w:rPr>
          <w:rFonts w:cs="Times New Roman"/>
          <w:szCs w:val="24"/>
        </w:rPr>
      </w:pPr>
    </w:p>
    <w:p w14:paraId="34DF5383" w14:textId="77777777" w:rsidR="00EC61FE" w:rsidRDefault="00EC61FE" w:rsidP="002B283E">
      <w:pPr>
        <w:rPr>
          <w:rFonts w:cs="Times New Roman"/>
          <w:szCs w:val="24"/>
        </w:rPr>
      </w:pPr>
    </w:p>
    <w:p w14:paraId="167262AA" w14:textId="77777777" w:rsidR="00EC61FE" w:rsidRDefault="00EC61FE" w:rsidP="002B283E">
      <w:pPr>
        <w:rPr>
          <w:rFonts w:cs="Times New Roman"/>
          <w:szCs w:val="24"/>
        </w:rPr>
      </w:pPr>
    </w:p>
    <w:p w14:paraId="5554BD3D" w14:textId="77777777" w:rsidR="00EC61FE" w:rsidRDefault="00EC61FE" w:rsidP="002B283E">
      <w:pPr>
        <w:rPr>
          <w:rFonts w:cs="Times New Roman"/>
          <w:szCs w:val="24"/>
        </w:rPr>
      </w:pPr>
    </w:p>
    <w:p w14:paraId="4BE5CD99" w14:textId="77777777" w:rsidR="00EC61FE" w:rsidRDefault="00EC61FE" w:rsidP="002B283E">
      <w:pPr>
        <w:rPr>
          <w:rFonts w:cs="Times New Roman"/>
          <w:szCs w:val="24"/>
        </w:rPr>
      </w:pPr>
    </w:p>
    <w:p w14:paraId="78C68867" w14:textId="77777777" w:rsidR="00EC61FE" w:rsidRDefault="00EC61FE" w:rsidP="002B283E">
      <w:pPr>
        <w:rPr>
          <w:rFonts w:cs="Times New Roman"/>
          <w:szCs w:val="24"/>
        </w:rPr>
      </w:pPr>
    </w:p>
    <w:p w14:paraId="0C7DB207" w14:textId="77777777" w:rsidR="00EC61FE" w:rsidRDefault="00EC61FE" w:rsidP="002B283E">
      <w:pPr>
        <w:rPr>
          <w:rFonts w:cs="Times New Roman"/>
          <w:szCs w:val="24"/>
        </w:rPr>
      </w:pPr>
    </w:p>
    <w:p w14:paraId="63760A2D" w14:textId="77777777" w:rsidR="00EC61FE" w:rsidRDefault="00EC61FE" w:rsidP="002B283E">
      <w:pPr>
        <w:rPr>
          <w:rFonts w:cs="Times New Roman"/>
          <w:szCs w:val="24"/>
        </w:rPr>
      </w:pPr>
    </w:p>
    <w:p w14:paraId="0E47C44D" w14:textId="77777777" w:rsidR="00EC61FE" w:rsidRDefault="00EC61FE" w:rsidP="002B283E">
      <w:pPr>
        <w:rPr>
          <w:rFonts w:cs="Times New Roman"/>
          <w:szCs w:val="24"/>
        </w:rPr>
      </w:pPr>
    </w:p>
    <w:p w14:paraId="7A2998E5" w14:textId="77777777" w:rsidR="00EC61FE" w:rsidRDefault="00EC61FE" w:rsidP="002B283E">
      <w:pPr>
        <w:rPr>
          <w:rFonts w:cs="Times New Roman"/>
          <w:szCs w:val="24"/>
        </w:rPr>
      </w:pPr>
    </w:p>
    <w:p w14:paraId="077DCD19" w14:textId="77777777" w:rsidR="00EC61FE" w:rsidRDefault="00EC61FE" w:rsidP="002B283E">
      <w:pPr>
        <w:rPr>
          <w:rFonts w:cs="Times New Roman"/>
          <w:szCs w:val="24"/>
        </w:rPr>
      </w:pPr>
    </w:p>
    <w:p w14:paraId="19039DA5" w14:textId="77777777" w:rsidR="00EC61FE" w:rsidRDefault="00EC61FE" w:rsidP="002B283E">
      <w:pPr>
        <w:rPr>
          <w:rFonts w:cs="Times New Roman"/>
          <w:szCs w:val="24"/>
        </w:rPr>
      </w:pPr>
    </w:p>
    <w:p w14:paraId="7B0F7F76" w14:textId="77777777" w:rsidR="00EC61FE" w:rsidRDefault="00EC61FE" w:rsidP="002B283E">
      <w:pPr>
        <w:rPr>
          <w:rFonts w:cs="Times New Roman"/>
          <w:szCs w:val="24"/>
        </w:rPr>
      </w:pPr>
    </w:p>
    <w:p w14:paraId="55DD3A1C" w14:textId="77777777" w:rsidR="00EC61FE" w:rsidRDefault="00EC61FE" w:rsidP="002B283E">
      <w:pPr>
        <w:rPr>
          <w:rFonts w:cs="Times New Roman"/>
          <w:szCs w:val="24"/>
        </w:rPr>
      </w:pPr>
    </w:p>
    <w:p w14:paraId="7EE9AF78" w14:textId="77777777" w:rsidR="00EC61FE" w:rsidRDefault="00EC61FE" w:rsidP="002B283E">
      <w:pPr>
        <w:rPr>
          <w:rFonts w:cs="Times New Roman"/>
          <w:szCs w:val="24"/>
        </w:rPr>
      </w:pPr>
    </w:p>
    <w:p w14:paraId="4D364471" w14:textId="77777777" w:rsidR="00EC61FE" w:rsidRDefault="00EC61FE" w:rsidP="002B283E">
      <w:pPr>
        <w:rPr>
          <w:rFonts w:cs="Times New Roman"/>
          <w:szCs w:val="24"/>
        </w:rPr>
      </w:pPr>
    </w:p>
    <w:p w14:paraId="4E04170A" w14:textId="77777777" w:rsidR="00EC61FE" w:rsidRDefault="00EC61FE" w:rsidP="002B283E">
      <w:pPr>
        <w:rPr>
          <w:rFonts w:cs="Times New Roman"/>
          <w:szCs w:val="24"/>
        </w:rPr>
      </w:pPr>
    </w:p>
    <w:p w14:paraId="0288176E" w14:textId="77777777" w:rsidR="00EC61FE" w:rsidRDefault="00EC61FE" w:rsidP="002B283E">
      <w:pPr>
        <w:rPr>
          <w:rFonts w:cs="Times New Roman"/>
          <w:szCs w:val="24"/>
        </w:rPr>
      </w:pPr>
    </w:p>
    <w:p w14:paraId="69E84C74" w14:textId="77777777" w:rsidR="00EC61FE" w:rsidRDefault="00EC61FE" w:rsidP="002B283E">
      <w:pPr>
        <w:rPr>
          <w:rFonts w:cs="Times New Roman"/>
          <w:szCs w:val="24"/>
        </w:rPr>
      </w:pPr>
    </w:p>
    <w:p w14:paraId="4F977106" w14:textId="77777777" w:rsidR="00EC61FE" w:rsidRDefault="00EC61FE" w:rsidP="002B283E">
      <w:pPr>
        <w:rPr>
          <w:rFonts w:cs="Times New Roman"/>
          <w:szCs w:val="24"/>
        </w:rPr>
      </w:pPr>
    </w:p>
    <w:p w14:paraId="16F7B270" w14:textId="77777777" w:rsidR="00EC61FE" w:rsidRDefault="00EC61FE" w:rsidP="002B283E">
      <w:pPr>
        <w:rPr>
          <w:rFonts w:cs="Times New Roman"/>
          <w:szCs w:val="24"/>
        </w:rPr>
      </w:pPr>
    </w:p>
    <w:p w14:paraId="0A216A6A" w14:textId="77777777" w:rsidR="00EC61FE" w:rsidRDefault="00EC61FE" w:rsidP="002B283E">
      <w:pPr>
        <w:rPr>
          <w:rFonts w:cs="Times New Roman"/>
          <w:szCs w:val="24"/>
        </w:rPr>
      </w:pPr>
    </w:p>
    <w:p w14:paraId="6B670B3B" w14:textId="77777777" w:rsidR="00EC61FE" w:rsidRDefault="00EC61FE" w:rsidP="002B283E">
      <w:pPr>
        <w:rPr>
          <w:rFonts w:cs="Times New Roman"/>
          <w:szCs w:val="24"/>
        </w:rPr>
      </w:pPr>
    </w:p>
    <w:p w14:paraId="47CC2D97" w14:textId="77777777" w:rsidR="00EC61FE" w:rsidRDefault="00EC61FE" w:rsidP="002B283E">
      <w:pPr>
        <w:rPr>
          <w:rFonts w:cs="Times New Roman"/>
          <w:szCs w:val="24"/>
        </w:rPr>
      </w:pPr>
    </w:p>
    <w:p w14:paraId="682B424E" w14:textId="77777777" w:rsidR="00EC61FE" w:rsidRDefault="00EC61FE" w:rsidP="002B283E">
      <w:pPr>
        <w:rPr>
          <w:rFonts w:cs="Times New Roman"/>
          <w:szCs w:val="24"/>
        </w:rPr>
      </w:pPr>
    </w:p>
    <w:p w14:paraId="0F7B0067" w14:textId="77777777" w:rsidR="00EC61FE" w:rsidRDefault="00EC61FE" w:rsidP="002B283E">
      <w:pPr>
        <w:rPr>
          <w:rFonts w:cs="Times New Roman"/>
          <w:szCs w:val="24"/>
        </w:rPr>
      </w:pPr>
    </w:p>
    <w:p w14:paraId="17E9BE29" w14:textId="77777777" w:rsidR="00EC61FE" w:rsidRDefault="00EC61FE" w:rsidP="002B283E">
      <w:pPr>
        <w:rPr>
          <w:rFonts w:cs="Times New Roman"/>
          <w:szCs w:val="24"/>
        </w:rPr>
      </w:pPr>
    </w:p>
    <w:p w14:paraId="572BB00B" w14:textId="77777777" w:rsidR="00EC61FE" w:rsidRDefault="00EC61FE" w:rsidP="002B283E">
      <w:pPr>
        <w:rPr>
          <w:rFonts w:cs="Times New Roman"/>
          <w:szCs w:val="24"/>
        </w:rPr>
      </w:pPr>
    </w:p>
    <w:p w14:paraId="1BB891B0" w14:textId="77777777" w:rsidR="00EC61FE" w:rsidRDefault="00EC61FE" w:rsidP="002B283E">
      <w:pPr>
        <w:rPr>
          <w:rFonts w:cs="Times New Roman"/>
          <w:szCs w:val="24"/>
        </w:rPr>
      </w:pPr>
    </w:p>
    <w:p w14:paraId="12B9D2D9" w14:textId="77777777" w:rsidR="00EC61FE" w:rsidRPr="005154A9" w:rsidRDefault="00EC61FE" w:rsidP="00EC61FE">
      <w:pPr>
        <w:jc w:val="center"/>
        <w:rPr>
          <w:rFonts w:cs="Times New Roman"/>
          <w:b/>
          <w:bCs/>
          <w:sz w:val="36"/>
          <w:szCs w:val="36"/>
        </w:rPr>
      </w:pPr>
      <w:r w:rsidRPr="005154A9">
        <w:rPr>
          <w:rFonts w:cs="Times New Roman"/>
          <w:b/>
          <w:bCs/>
          <w:sz w:val="36"/>
          <w:szCs w:val="36"/>
        </w:rPr>
        <w:lastRenderedPageBreak/>
        <w:t>JURY INSTRUCTION NUMBERS</w:t>
      </w:r>
    </w:p>
    <w:p w14:paraId="457AA334" w14:textId="3D661A02" w:rsidR="00EC61FE" w:rsidRPr="00EC61FE" w:rsidRDefault="00EC61FE" w:rsidP="00EC61FE">
      <w:pPr>
        <w:jc w:val="center"/>
        <w:rPr>
          <w:rFonts w:cs="Times New Roman"/>
          <w:b/>
          <w:bCs/>
          <w:sz w:val="36"/>
          <w:szCs w:val="36"/>
        </w:rPr>
      </w:pPr>
      <w:r w:rsidRPr="005154A9">
        <w:rPr>
          <w:rFonts w:cs="Times New Roman"/>
          <w:b/>
          <w:bCs/>
          <w:sz w:val="36"/>
          <w:szCs w:val="36"/>
        </w:rPr>
        <w:t>CONVERSION TABLE</w:t>
      </w:r>
    </w:p>
    <w:p w14:paraId="40922E95" w14:textId="77777777" w:rsidR="00EC61FE" w:rsidRDefault="00EC61FE" w:rsidP="002B283E">
      <w:pPr>
        <w:rPr>
          <w:rFonts w:cs="Times New Roman"/>
          <w:szCs w:val="24"/>
        </w:rPr>
      </w:pPr>
    </w:p>
    <w:p w14:paraId="0A81FB12" w14:textId="2342E856" w:rsidR="00EC61FE" w:rsidRDefault="00EC61FE" w:rsidP="002B283E">
      <w:pPr>
        <w:rPr>
          <w:rFonts w:cs="Times New Roman"/>
          <w:szCs w:val="24"/>
        </w:rPr>
      </w:pPr>
      <w:r>
        <w:rPr>
          <w:rFonts w:cs="Times New Roman"/>
          <w:szCs w:val="24"/>
        </w:rPr>
        <w:t xml:space="preserve">Note: </w:t>
      </w:r>
      <w:r w:rsidRPr="00EC61FE">
        <w:rPr>
          <w:rFonts w:cs="Times New Roman"/>
          <w:szCs w:val="24"/>
        </w:rPr>
        <w:t>Only chapters that have new or renumbered instructions in the 2025 Print Edition are shown below</w:t>
      </w:r>
      <w:r w:rsidR="00E54E76">
        <w:rPr>
          <w:rFonts w:cs="Times New Roman"/>
          <w:szCs w:val="24"/>
        </w:rPr>
        <w:t xml:space="preserve">. </w:t>
      </w:r>
      <w:r w:rsidRPr="00EC61FE">
        <w:rPr>
          <w:rFonts w:cs="Times New Roman"/>
          <w:szCs w:val="24"/>
        </w:rPr>
        <w:t>All other chapters have no changes in instruction numbering.</w:t>
      </w:r>
    </w:p>
    <w:p w14:paraId="32F01A18" w14:textId="77777777" w:rsidR="00EC61FE" w:rsidRDefault="00EC61FE" w:rsidP="002B283E">
      <w:pPr>
        <w:rPr>
          <w:rFonts w:cs="Times New Roman"/>
          <w:szCs w:val="24"/>
        </w:rPr>
      </w:pPr>
    </w:p>
    <w:p w14:paraId="06626EC9" w14:textId="14EDCE42" w:rsidR="00EC61FE" w:rsidRDefault="00EC61FE" w:rsidP="002B283E">
      <w:pPr>
        <w:rPr>
          <w:rFonts w:cs="Times New Roman"/>
          <w:b/>
          <w:bCs/>
          <w:szCs w:val="24"/>
        </w:rPr>
      </w:pPr>
      <w:r w:rsidRPr="00EC61FE">
        <w:rPr>
          <w:rFonts w:cs="Times New Roman"/>
          <w:b/>
          <w:bCs/>
          <w:szCs w:val="24"/>
        </w:rPr>
        <w:t>Chapter 2: Instructions on Types of Evidence</w:t>
      </w:r>
    </w:p>
    <w:p w14:paraId="1CBBE371"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9"/>
        <w:gridCol w:w="1608"/>
        <w:gridCol w:w="1343"/>
        <w:gridCol w:w="4970"/>
      </w:tblGrid>
      <w:tr w:rsidR="00EC61FE" w:rsidRPr="00273CE9" w14:paraId="747FE9C6" w14:textId="77777777" w:rsidTr="00B50923">
        <w:tc>
          <w:tcPr>
            <w:tcW w:w="1345" w:type="dxa"/>
            <w:shd w:val="clear" w:color="auto" w:fill="D0CECE" w:themeFill="background2" w:themeFillShade="E6"/>
          </w:tcPr>
          <w:p w14:paraId="0940B71E"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12BD9FD1"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0FA8C4F5"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5898AF0A" w14:textId="77777777" w:rsidR="00EC61FE" w:rsidRPr="00273CE9" w:rsidRDefault="00EC61FE" w:rsidP="003126F6">
            <w:pPr>
              <w:rPr>
                <w:rFonts w:cs="Times New Roman"/>
                <w:b/>
                <w:bCs/>
              </w:rPr>
            </w:pPr>
            <w:r w:rsidRPr="00273CE9">
              <w:rPr>
                <w:rFonts w:cs="Times New Roman"/>
                <w:b/>
                <w:bCs/>
              </w:rPr>
              <w:t>Title</w:t>
            </w:r>
          </w:p>
        </w:tc>
      </w:tr>
      <w:tr w:rsidR="00EC61FE" w:rsidRPr="00273CE9" w14:paraId="74E7F4CC" w14:textId="77777777" w:rsidTr="003126F6">
        <w:tc>
          <w:tcPr>
            <w:tcW w:w="1345" w:type="dxa"/>
          </w:tcPr>
          <w:p w14:paraId="6A383448" w14:textId="77777777" w:rsidR="00EC61FE" w:rsidRPr="00273CE9" w:rsidRDefault="00EC61FE" w:rsidP="003126F6">
            <w:pPr>
              <w:rPr>
                <w:rFonts w:cs="Times New Roman"/>
              </w:rPr>
            </w:pPr>
            <w:r w:rsidRPr="00273CE9">
              <w:rPr>
                <w:rFonts w:cs="Times New Roman"/>
              </w:rPr>
              <w:t>—</w:t>
            </w:r>
          </w:p>
        </w:tc>
        <w:tc>
          <w:tcPr>
            <w:tcW w:w="1620" w:type="dxa"/>
          </w:tcPr>
          <w:p w14:paraId="093AA8F8" w14:textId="77777777" w:rsidR="00EC61FE" w:rsidRPr="00273CE9" w:rsidRDefault="00EC61FE" w:rsidP="003126F6">
            <w:pPr>
              <w:rPr>
                <w:rFonts w:cs="Times New Roman"/>
              </w:rPr>
            </w:pPr>
            <w:r w:rsidRPr="00273CE9">
              <w:rPr>
                <w:rFonts w:cs="Times New Roman"/>
              </w:rPr>
              <w:t>2.0</w:t>
            </w:r>
          </w:p>
        </w:tc>
        <w:tc>
          <w:tcPr>
            <w:tcW w:w="1350" w:type="dxa"/>
          </w:tcPr>
          <w:p w14:paraId="2A70DA68" w14:textId="77777777" w:rsidR="00EC61FE" w:rsidRPr="00273CE9" w:rsidRDefault="00EC61FE" w:rsidP="003126F6">
            <w:pPr>
              <w:rPr>
                <w:rFonts w:cs="Times New Roman"/>
              </w:rPr>
            </w:pPr>
            <w:r w:rsidRPr="00273CE9">
              <w:rPr>
                <w:rFonts w:cs="Times New Roman"/>
              </w:rPr>
              <w:t xml:space="preserve">2.1 </w:t>
            </w:r>
          </w:p>
        </w:tc>
        <w:tc>
          <w:tcPr>
            <w:tcW w:w="5035" w:type="dxa"/>
          </w:tcPr>
          <w:p w14:paraId="467796FB" w14:textId="77777777" w:rsidR="00EC61FE" w:rsidRPr="00273CE9" w:rsidRDefault="00EC61FE" w:rsidP="003126F6">
            <w:pPr>
              <w:rPr>
                <w:rFonts w:cs="Times New Roman"/>
              </w:rPr>
            </w:pPr>
            <w:r w:rsidRPr="00273CE9">
              <w:rPr>
                <w:rFonts w:cs="Times New Roman"/>
              </w:rPr>
              <w:t>Cautionary Instructions</w:t>
            </w:r>
          </w:p>
        </w:tc>
      </w:tr>
      <w:tr w:rsidR="00EC61FE" w:rsidRPr="00273CE9" w14:paraId="2BF0E033" w14:textId="77777777" w:rsidTr="003126F6">
        <w:tc>
          <w:tcPr>
            <w:tcW w:w="1345" w:type="dxa"/>
          </w:tcPr>
          <w:p w14:paraId="01A7193E" w14:textId="77777777" w:rsidR="00EC61FE" w:rsidRPr="00273CE9" w:rsidRDefault="00EC61FE" w:rsidP="003126F6">
            <w:pPr>
              <w:rPr>
                <w:rFonts w:cs="Times New Roman"/>
              </w:rPr>
            </w:pPr>
            <w:r w:rsidRPr="00273CE9">
              <w:rPr>
                <w:rFonts w:cs="Times New Roman"/>
              </w:rPr>
              <w:t>2.1</w:t>
            </w:r>
          </w:p>
        </w:tc>
        <w:tc>
          <w:tcPr>
            <w:tcW w:w="1620" w:type="dxa"/>
          </w:tcPr>
          <w:p w14:paraId="02801EFE" w14:textId="77777777" w:rsidR="00EC61FE" w:rsidRPr="00273CE9" w:rsidRDefault="00EC61FE" w:rsidP="003126F6">
            <w:pPr>
              <w:rPr>
                <w:rFonts w:cs="Times New Roman"/>
              </w:rPr>
            </w:pPr>
            <w:r w:rsidRPr="00273CE9">
              <w:rPr>
                <w:rFonts w:cs="Times New Roman"/>
              </w:rPr>
              <w:t>2.1</w:t>
            </w:r>
          </w:p>
        </w:tc>
        <w:tc>
          <w:tcPr>
            <w:tcW w:w="1350" w:type="dxa"/>
          </w:tcPr>
          <w:p w14:paraId="0831A3FC" w14:textId="77777777" w:rsidR="00EC61FE" w:rsidRPr="00273CE9" w:rsidRDefault="00EC61FE" w:rsidP="003126F6">
            <w:pPr>
              <w:rPr>
                <w:rFonts w:cs="Times New Roman"/>
              </w:rPr>
            </w:pPr>
            <w:r w:rsidRPr="00273CE9">
              <w:rPr>
                <w:rFonts w:cs="Times New Roman"/>
              </w:rPr>
              <w:t>2.2</w:t>
            </w:r>
          </w:p>
        </w:tc>
        <w:tc>
          <w:tcPr>
            <w:tcW w:w="5035" w:type="dxa"/>
          </w:tcPr>
          <w:p w14:paraId="736CB1E0" w14:textId="77777777" w:rsidR="00EC61FE" w:rsidRPr="00273CE9" w:rsidRDefault="00EC61FE" w:rsidP="003126F6">
            <w:pPr>
              <w:rPr>
                <w:rFonts w:cs="Times New Roman"/>
              </w:rPr>
            </w:pPr>
            <w:r w:rsidRPr="00273CE9">
              <w:rPr>
                <w:rFonts w:cs="Times New Roman"/>
              </w:rPr>
              <w:t xml:space="preserve">Stipulated Testimony </w:t>
            </w:r>
          </w:p>
        </w:tc>
      </w:tr>
      <w:tr w:rsidR="00EC61FE" w:rsidRPr="00273CE9" w14:paraId="357A8E90" w14:textId="77777777" w:rsidTr="003126F6">
        <w:tc>
          <w:tcPr>
            <w:tcW w:w="1345" w:type="dxa"/>
          </w:tcPr>
          <w:p w14:paraId="52D5CEC8" w14:textId="77777777" w:rsidR="00EC61FE" w:rsidRPr="00273CE9" w:rsidRDefault="00EC61FE" w:rsidP="003126F6">
            <w:pPr>
              <w:rPr>
                <w:rFonts w:cs="Times New Roman"/>
              </w:rPr>
            </w:pPr>
            <w:r w:rsidRPr="00273CE9">
              <w:rPr>
                <w:rFonts w:cs="Times New Roman"/>
              </w:rPr>
              <w:t>2.2</w:t>
            </w:r>
          </w:p>
        </w:tc>
        <w:tc>
          <w:tcPr>
            <w:tcW w:w="1620" w:type="dxa"/>
          </w:tcPr>
          <w:p w14:paraId="6F6AA8B8" w14:textId="77777777" w:rsidR="00EC61FE" w:rsidRPr="00273CE9" w:rsidRDefault="00EC61FE" w:rsidP="003126F6">
            <w:pPr>
              <w:rPr>
                <w:rFonts w:cs="Times New Roman"/>
              </w:rPr>
            </w:pPr>
            <w:r w:rsidRPr="00273CE9">
              <w:rPr>
                <w:rFonts w:cs="Times New Roman"/>
              </w:rPr>
              <w:t>2.2</w:t>
            </w:r>
          </w:p>
        </w:tc>
        <w:tc>
          <w:tcPr>
            <w:tcW w:w="1350" w:type="dxa"/>
          </w:tcPr>
          <w:p w14:paraId="69D7816B" w14:textId="77777777" w:rsidR="00EC61FE" w:rsidRPr="00273CE9" w:rsidRDefault="00EC61FE" w:rsidP="003126F6">
            <w:pPr>
              <w:rPr>
                <w:rFonts w:cs="Times New Roman"/>
              </w:rPr>
            </w:pPr>
            <w:r w:rsidRPr="00273CE9">
              <w:rPr>
                <w:rFonts w:cs="Times New Roman"/>
              </w:rPr>
              <w:t>2.3</w:t>
            </w:r>
          </w:p>
        </w:tc>
        <w:tc>
          <w:tcPr>
            <w:tcW w:w="5035" w:type="dxa"/>
          </w:tcPr>
          <w:p w14:paraId="0B8CD957" w14:textId="77777777" w:rsidR="00EC61FE" w:rsidRPr="00273CE9" w:rsidRDefault="00EC61FE" w:rsidP="003126F6">
            <w:pPr>
              <w:rPr>
                <w:rFonts w:cs="Times New Roman"/>
              </w:rPr>
            </w:pPr>
            <w:r w:rsidRPr="00273CE9">
              <w:rPr>
                <w:rFonts w:cs="Times New Roman"/>
              </w:rPr>
              <w:t>Stipulations of Fact</w:t>
            </w:r>
          </w:p>
        </w:tc>
      </w:tr>
      <w:tr w:rsidR="00EC61FE" w:rsidRPr="00273CE9" w14:paraId="379F35CA" w14:textId="77777777" w:rsidTr="003126F6">
        <w:tc>
          <w:tcPr>
            <w:tcW w:w="1345" w:type="dxa"/>
          </w:tcPr>
          <w:p w14:paraId="39BBE761" w14:textId="77777777" w:rsidR="00EC61FE" w:rsidRPr="00273CE9" w:rsidRDefault="00EC61FE" w:rsidP="003126F6">
            <w:pPr>
              <w:rPr>
                <w:rFonts w:cs="Times New Roman"/>
              </w:rPr>
            </w:pPr>
            <w:r w:rsidRPr="00273CE9">
              <w:rPr>
                <w:rFonts w:cs="Times New Roman"/>
              </w:rPr>
              <w:t>2.3</w:t>
            </w:r>
          </w:p>
        </w:tc>
        <w:tc>
          <w:tcPr>
            <w:tcW w:w="1620" w:type="dxa"/>
          </w:tcPr>
          <w:p w14:paraId="78A84F7F" w14:textId="77777777" w:rsidR="00EC61FE" w:rsidRPr="00273CE9" w:rsidRDefault="00EC61FE" w:rsidP="003126F6">
            <w:pPr>
              <w:rPr>
                <w:rFonts w:cs="Times New Roman"/>
              </w:rPr>
            </w:pPr>
            <w:r w:rsidRPr="00273CE9">
              <w:rPr>
                <w:rFonts w:cs="Times New Roman"/>
              </w:rPr>
              <w:t>2.3</w:t>
            </w:r>
          </w:p>
        </w:tc>
        <w:tc>
          <w:tcPr>
            <w:tcW w:w="1350" w:type="dxa"/>
          </w:tcPr>
          <w:p w14:paraId="6BFEC47A" w14:textId="77777777" w:rsidR="00EC61FE" w:rsidRPr="00273CE9" w:rsidRDefault="00EC61FE" w:rsidP="003126F6">
            <w:pPr>
              <w:rPr>
                <w:rFonts w:cs="Times New Roman"/>
              </w:rPr>
            </w:pPr>
            <w:r w:rsidRPr="00273CE9">
              <w:rPr>
                <w:rFonts w:cs="Times New Roman"/>
              </w:rPr>
              <w:t>2.4</w:t>
            </w:r>
          </w:p>
        </w:tc>
        <w:tc>
          <w:tcPr>
            <w:tcW w:w="5035" w:type="dxa"/>
          </w:tcPr>
          <w:p w14:paraId="27C47A94" w14:textId="77777777" w:rsidR="00EC61FE" w:rsidRPr="00273CE9" w:rsidRDefault="00EC61FE" w:rsidP="003126F6">
            <w:pPr>
              <w:rPr>
                <w:rFonts w:cs="Times New Roman"/>
              </w:rPr>
            </w:pPr>
            <w:r w:rsidRPr="00273CE9">
              <w:rPr>
                <w:rFonts w:cs="Times New Roman"/>
              </w:rPr>
              <w:t>Judicial Notice</w:t>
            </w:r>
          </w:p>
        </w:tc>
      </w:tr>
      <w:tr w:rsidR="00EC61FE" w:rsidRPr="00273CE9" w14:paraId="635F3A1C" w14:textId="77777777" w:rsidTr="003126F6">
        <w:tc>
          <w:tcPr>
            <w:tcW w:w="1345" w:type="dxa"/>
          </w:tcPr>
          <w:p w14:paraId="71DF5ECC" w14:textId="77777777" w:rsidR="00EC61FE" w:rsidRPr="00273CE9" w:rsidRDefault="00EC61FE" w:rsidP="003126F6">
            <w:pPr>
              <w:rPr>
                <w:rFonts w:cs="Times New Roman"/>
              </w:rPr>
            </w:pPr>
            <w:r w:rsidRPr="00273CE9">
              <w:rPr>
                <w:rFonts w:cs="Times New Roman"/>
              </w:rPr>
              <w:t>2.4</w:t>
            </w:r>
          </w:p>
        </w:tc>
        <w:tc>
          <w:tcPr>
            <w:tcW w:w="1620" w:type="dxa"/>
          </w:tcPr>
          <w:p w14:paraId="21449ED7" w14:textId="77777777" w:rsidR="00EC61FE" w:rsidRPr="00273CE9" w:rsidRDefault="00EC61FE" w:rsidP="003126F6">
            <w:pPr>
              <w:rPr>
                <w:rFonts w:cs="Times New Roman"/>
              </w:rPr>
            </w:pPr>
            <w:r w:rsidRPr="00273CE9">
              <w:rPr>
                <w:rFonts w:cs="Times New Roman"/>
              </w:rPr>
              <w:t>2.4</w:t>
            </w:r>
          </w:p>
        </w:tc>
        <w:tc>
          <w:tcPr>
            <w:tcW w:w="1350" w:type="dxa"/>
          </w:tcPr>
          <w:p w14:paraId="608E52C7" w14:textId="77777777" w:rsidR="00EC61FE" w:rsidRPr="00273CE9" w:rsidRDefault="00EC61FE" w:rsidP="003126F6">
            <w:pPr>
              <w:rPr>
                <w:rFonts w:cs="Times New Roman"/>
              </w:rPr>
            </w:pPr>
            <w:r w:rsidRPr="00273CE9">
              <w:rPr>
                <w:rFonts w:cs="Times New Roman"/>
              </w:rPr>
              <w:t>2.5</w:t>
            </w:r>
          </w:p>
        </w:tc>
        <w:tc>
          <w:tcPr>
            <w:tcW w:w="5035" w:type="dxa"/>
          </w:tcPr>
          <w:p w14:paraId="4F0A90BB" w14:textId="77777777" w:rsidR="00EC61FE" w:rsidRPr="00273CE9" w:rsidRDefault="00EC61FE" w:rsidP="003126F6">
            <w:pPr>
              <w:rPr>
                <w:rFonts w:cs="Times New Roman"/>
              </w:rPr>
            </w:pPr>
            <w:r w:rsidRPr="00273CE9">
              <w:rPr>
                <w:rFonts w:cs="Times New Roman"/>
              </w:rPr>
              <w:t>Deposition I Lieu of Live Testimony</w:t>
            </w:r>
          </w:p>
        </w:tc>
      </w:tr>
      <w:tr w:rsidR="00EC61FE" w:rsidRPr="00273CE9" w14:paraId="0944A867" w14:textId="77777777" w:rsidTr="003126F6">
        <w:tc>
          <w:tcPr>
            <w:tcW w:w="1345" w:type="dxa"/>
          </w:tcPr>
          <w:p w14:paraId="57453EC1" w14:textId="77777777" w:rsidR="00EC61FE" w:rsidRPr="00273CE9" w:rsidRDefault="00EC61FE" w:rsidP="003126F6">
            <w:pPr>
              <w:rPr>
                <w:rFonts w:cs="Times New Roman"/>
              </w:rPr>
            </w:pPr>
            <w:r w:rsidRPr="00273CE9">
              <w:rPr>
                <w:rFonts w:cs="Times New Roman"/>
              </w:rPr>
              <w:t>2.5</w:t>
            </w:r>
          </w:p>
        </w:tc>
        <w:tc>
          <w:tcPr>
            <w:tcW w:w="1620" w:type="dxa"/>
          </w:tcPr>
          <w:p w14:paraId="16855240" w14:textId="77777777" w:rsidR="00EC61FE" w:rsidRPr="00273CE9" w:rsidRDefault="00EC61FE" w:rsidP="003126F6">
            <w:pPr>
              <w:rPr>
                <w:rFonts w:cs="Times New Roman"/>
              </w:rPr>
            </w:pPr>
            <w:r w:rsidRPr="00273CE9">
              <w:rPr>
                <w:rFonts w:cs="Times New Roman"/>
              </w:rPr>
              <w:t>2.5</w:t>
            </w:r>
          </w:p>
        </w:tc>
        <w:tc>
          <w:tcPr>
            <w:tcW w:w="1350" w:type="dxa"/>
          </w:tcPr>
          <w:p w14:paraId="13B11674" w14:textId="77777777" w:rsidR="00EC61FE" w:rsidRPr="00273CE9" w:rsidRDefault="00EC61FE" w:rsidP="003126F6">
            <w:pPr>
              <w:rPr>
                <w:rFonts w:cs="Times New Roman"/>
              </w:rPr>
            </w:pPr>
            <w:r w:rsidRPr="00273CE9">
              <w:rPr>
                <w:rFonts w:cs="Times New Roman"/>
              </w:rPr>
              <w:t>2.6</w:t>
            </w:r>
          </w:p>
        </w:tc>
        <w:tc>
          <w:tcPr>
            <w:tcW w:w="5035" w:type="dxa"/>
          </w:tcPr>
          <w:p w14:paraId="0BB71245" w14:textId="77777777" w:rsidR="00EC61FE" w:rsidRPr="00273CE9" w:rsidRDefault="00EC61FE" w:rsidP="003126F6">
            <w:pPr>
              <w:rPr>
                <w:rFonts w:cs="Times New Roman"/>
              </w:rPr>
            </w:pPr>
            <w:r w:rsidRPr="00273CE9">
              <w:rPr>
                <w:rFonts w:cs="Times New Roman"/>
              </w:rPr>
              <w:t>Transcript of Recording in English</w:t>
            </w:r>
          </w:p>
        </w:tc>
      </w:tr>
      <w:tr w:rsidR="00EC61FE" w:rsidRPr="00273CE9" w14:paraId="0247AFD8" w14:textId="77777777" w:rsidTr="003126F6">
        <w:tc>
          <w:tcPr>
            <w:tcW w:w="1345" w:type="dxa"/>
          </w:tcPr>
          <w:p w14:paraId="29FD27E6" w14:textId="77777777" w:rsidR="00EC61FE" w:rsidRPr="00273CE9" w:rsidRDefault="00EC61FE" w:rsidP="003126F6">
            <w:pPr>
              <w:rPr>
                <w:rFonts w:cs="Times New Roman"/>
              </w:rPr>
            </w:pPr>
            <w:r w:rsidRPr="00273CE9">
              <w:rPr>
                <w:rFonts w:cs="Times New Roman"/>
              </w:rPr>
              <w:t>2.6</w:t>
            </w:r>
          </w:p>
        </w:tc>
        <w:tc>
          <w:tcPr>
            <w:tcW w:w="1620" w:type="dxa"/>
          </w:tcPr>
          <w:p w14:paraId="6FF06A09" w14:textId="77777777" w:rsidR="00EC61FE" w:rsidRPr="00273CE9" w:rsidRDefault="00EC61FE" w:rsidP="003126F6">
            <w:pPr>
              <w:rPr>
                <w:rFonts w:cs="Times New Roman"/>
              </w:rPr>
            </w:pPr>
            <w:r w:rsidRPr="00273CE9">
              <w:rPr>
                <w:rFonts w:cs="Times New Roman"/>
              </w:rPr>
              <w:t>2.6</w:t>
            </w:r>
          </w:p>
        </w:tc>
        <w:tc>
          <w:tcPr>
            <w:tcW w:w="1350" w:type="dxa"/>
          </w:tcPr>
          <w:p w14:paraId="7520C00C" w14:textId="77777777" w:rsidR="00EC61FE" w:rsidRPr="00273CE9" w:rsidRDefault="00EC61FE" w:rsidP="003126F6">
            <w:pPr>
              <w:rPr>
                <w:rFonts w:cs="Times New Roman"/>
              </w:rPr>
            </w:pPr>
            <w:r w:rsidRPr="00273CE9">
              <w:rPr>
                <w:rFonts w:cs="Times New Roman"/>
              </w:rPr>
              <w:t>2.7</w:t>
            </w:r>
          </w:p>
        </w:tc>
        <w:tc>
          <w:tcPr>
            <w:tcW w:w="5035" w:type="dxa"/>
          </w:tcPr>
          <w:p w14:paraId="0474720B" w14:textId="77777777" w:rsidR="00EC61FE" w:rsidRPr="00273CE9" w:rsidRDefault="00EC61FE" w:rsidP="003126F6">
            <w:pPr>
              <w:rPr>
                <w:rFonts w:cs="Times New Roman"/>
              </w:rPr>
            </w:pPr>
            <w:r w:rsidRPr="00273CE9">
              <w:rPr>
                <w:rFonts w:cs="Times New Roman"/>
              </w:rPr>
              <w:t>Transcript of Recording in Foreign Language</w:t>
            </w:r>
          </w:p>
        </w:tc>
      </w:tr>
      <w:tr w:rsidR="00EC61FE" w:rsidRPr="00273CE9" w14:paraId="68622AD7" w14:textId="77777777" w:rsidTr="003126F6">
        <w:tc>
          <w:tcPr>
            <w:tcW w:w="1345" w:type="dxa"/>
          </w:tcPr>
          <w:p w14:paraId="1331AC84" w14:textId="77777777" w:rsidR="00EC61FE" w:rsidRPr="00273CE9" w:rsidRDefault="00EC61FE" w:rsidP="003126F6">
            <w:pPr>
              <w:rPr>
                <w:rFonts w:cs="Times New Roman"/>
              </w:rPr>
            </w:pPr>
            <w:r w:rsidRPr="00273CE9">
              <w:rPr>
                <w:rFonts w:cs="Times New Roman"/>
              </w:rPr>
              <w:t>2.7</w:t>
            </w:r>
          </w:p>
        </w:tc>
        <w:tc>
          <w:tcPr>
            <w:tcW w:w="1620" w:type="dxa"/>
          </w:tcPr>
          <w:p w14:paraId="73B3FC86" w14:textId="77777777" w:rsidR="00EC61FE" w:rsidRPr="00273CE9" w:rsidRDefault="00EC61FE" w:rsidP="003126F6">
            <w:pPr>
              <w:rPr>
                <w:rFonts w:cs="Times New Roman"/>
              </w:rPr>
            </w:pPr>
            <w:r w:rsidRPr="00273CE9">
              <w:rPr>
                <w:rFonts w:cs="Times New Roman"/>
              </w:rPr>
              <w:t>2.7</w:t>
            </w:r>
          </w:p>
        </w:tc>
        <w:tc>
          <w:tcPr>
            <w:tcW w:w="1350" w:type="dxa"/>
          </w:tcPr>
          <w:p w14:paraId="5AEB96D7" w14:textId="77777777" w:rsidR="00EC61FE" w:rsidRPr="00273CE9" w:rsidRDefault="00EC61FE" w:rsidP="003126F6">
            <w:pPr>
              <w:rPr>
                <w:rFonts w:cs="Times New Roman"/>
              </w:rPr>
            </w:pPr>
            <w:r w:rsidRPr="00273CE9">
              <w:rPr>
                <w:rFonts w:cs="Times New Roman"/>
              </w:rPr>
              <w:t>2.8</w:t>
            </w:r>
          </w:p>
        </w:tc>
        <w:tc>
          <w:tcPr>
            <w:tcW w:w="5035" w:type="dxa"/>
          </w:tcPr>
          <w:p w14:paraId="1B06A12E" w14:textId="77777777" w:rsidR="00EC61FE" w:rsidRPr="00273CE9" w:rsidRDefault="00EC61FE" w:rsidP="003126F6">
            <w:pPr>
              <w:rPr>
                <w:rFonts w:cs="Times New Roman"/>
              </w:rPr>
            </w:pPr>
            <w:r w:rsidRPr="00273CE9">
              <w:rPr>
                <w:rFonts w:cs="Times New Roman"/>
              </w:rPr>
              <w:t>Disputed Transcript of Recording in Foreign Language</w:t>
            </w:r>
          </w:p>
        </w:tc>
      </w:tr>
      <w:tr w:rsidR="00EC61FE" w:rsidRPr="00273CE9" w14:paraId="59CD3A59" w14:textId="77777777" w:rsidTr="003126F6">
        <w:tc>
          <w:tcPr>
            <w:tcW w:w="1345" w:type="dxa"/>
          </w:tcPr>
          <w:p w14:paraId="19125EBD" w14:textId="77777777" w:rsidR="00EC61FE" w:rsidRPr="00273CE9" w:rsidRDefault="00EC61FE" w:rsidP="003126F6">
            <w:pPr>
              <w:rPr>
                <w:rFonts w:cs="Times New Roman"/>
              </w:rPr>
            </w:pPr>
            <w:r w:rsidRPr="00273CE9">
              <w:rPr>
                <w:rFonts w:cs="Times New Roman"/>
              </w:rPr>
              <w:t>2.8</w:t>
            </w:r>
          </w:p>
        </w:tc>
        <w:tc>
          <w:tcPr>
            <w:tcW w:w="1620" w:type="dxa"/>
          </w:tcPr>
          <w:p w14:paraId="70C929F6" w14:textId="77777777" w:rsidR="00EC61FE" w:rsidRPr="00273CE9" w:rsidRDefault="00EC61FE" w:rsidP="003126F6">
            <w:pPr>
              <w:rPr>
                <w:rFonts w:cs="Times New Roman"/>
              </w:rPr>
            </w:pPr>
            <w:r w:rsidRPr="00273CE9">
              <w:rPr>
                <w:rFonts w:cs="Times New Roman"/>
              </w:rPr>
              <w:t>2.8</w:t>
            </w:r>
          </w:p>
        </w:tc>
        <w:tc>
          <w:tcPr>
            <w:tcW w:w="1350" w:type="dxa"/>
          </w:tcPr>
          <w:p w14:paraId="705BB022" w14:textId="77777777" w:rsidR="00EC61FE" w:rsidRPr="00273CE9" w:rsidRDefault="00EC61FE" w:rsidP="003126F6">
            <w:pPr>
              <w:rPr>
                <w:rFonts w:cs="Times New Roman"/>
              </w:rPr>
            </w:pPr>
            <w:r w:rsidRPr="00273CE9">
              <w:rPr>
                <w:rFonts w:cs="Times New Roman"/>
              </w:rPr>
              <w:t>2.9</w:t>
            </w:r>
          </w:p>
        </w:tc>
        <w:tc>
          <w:tcPr>
            <w:tcW w:w="5035" w:type="dxa"/>
          </w:tcPr>
          <w:p w14:paraId="08810C9B" w14:textId="77777777" w:rsidR="00EC61FE" w:rsidRPr="00273CE9" w:rsidRDefault="00EC61FE" w:rsidP="003126F6">
            <w:pPr>
              <w:rPr>
                <w:rFonts w:cs="Times New Roman"/>
              </w:rPr>
            </w:pPr>
            <w:r w:rsidRPr="00273CE9">
              <w:rPr>
                <w:rFonts w:cs="Times New Roman"/>
              </w:rPr>
              <w:t>Foreign Language Testimony</w:t>
            </w:r>
          </w:p>
        </w:tc>
      </w:tr>
      <w:tr w:rsidR="00EC61FE" w:rsidRPr="00273CE9" w14:paraId="2FED095C" w14:textId="77777777" w:rsidTr="003126F6">
        <w:tc>
          <w:tcPr>
            <w:tcW w:w="1345" w:type="dxa"/>
          </w:tcPr>
          <w:p w14:paraId="31445055" w14:textId="77777777" w:rsidR="00EC61FE" w:rsidRPr="00273CE9" w:rsidRDefault="00EC61FE" w:rsidP="003126F6">
            <w:pPr>
              <w:rPr>
                <w:rFonts w:cs="Times New Roman"/>
              </w:rPr>
            </w:pPr>
            <w:r w:rsidRPr="00273CE9">
              <w:rPr>
                <w:rFonts w:cs="Times New Roman"/>
              </w:rPr>
              <w:t>2.9</w:t>
            </w:r>
          </w:p>
        </w:tc>
        <w:tc>
          <w:tcPr>
            <w:tcW w:w="1620" w:type="dxa"/>
          </w:tcPr>
          <w:p w14:paraId="24CAAB37" w14:textId="77777777" w:rsidR="00EC61FE" w:rsidRPr="00273CE9" w:rsidRDefault="00EC61FE" w:rsidP="003126F6">
            <w:pPr>
              <w:rPr>
                <w:rFonts w:cs="Times New Roman"/>
              </w:rPr>
            </w:pPr>
            <w:r w:rsidRPr="00273CE9">
              <w:rPr>
                <w:rFonts w:cs="Times New Roman"/>
              </w:rPr>
              <w:t>2.9</w:t>
            </w:r>
          </w:p>
        </w:tc>
        <w:tc>
          <w:tcPr>
            <w:tcW w:w="1350" w:type="dxa"/>
          </w:tcPr>
          <w:p w14:paraId="0E172AC2" w14:textId="77777777" w:rsidR="00EC61FE" w:rsidRPr="00273CE9" w:rsidRDefault="00EC61FE" w:rsidP="003126F6">
            <w:pPr>
              <w:rPr>
                <w:rFonts w:cs="Times New Roman"/>
              </w:rPr>
            </w:pPr>
            <w:r w:rsidRPr="00273CE9">
              <w:rPr>
                <w:rFonts w:cs="Times New Roman"/>
              </w:rPr>
              <w:t>2.10</w:t>
            </w:r>
          </w:p>
        </w:tc>
        <w:tc>
          <w:tcPr>
            <w:tcW w:w="5035" w:type="dxa"/>
          </w:tcPr>
          <w:p w14:paraId="29D01CC9" w14:textId="77777777" w:rsidR="00EC61FE" w:rsidRPr="00273CE9" w:rsidRDefault="00EC61FE" w:rsidP="003126F6">
            <w:pPr>
              <w:rPr>
                <w:rFonts w:cs="Times New Roman"/>
              </w:rPr>
            </w:pPr>
            <w:r w:rsidRPr="00273CE9">
              <w:rPr>
                <w:rFonts w:cs="Times New Roman"/>
              </w:rPr>
              <w:t>Impeachment Evidence—Witness</w:t>
            </w:r>
          </w:p>
        </w:tc>
      </w:tr>
      <w:tr w:rsidR="00EC61FE" w:rsidRPr="00273CE9" w14:paraId="01E6BA05" w14:textId="77777777" w:rsidTr="003126F6">
        <w:tc>
          <w:tcPr>
            <w:tcW w:w="1345" w:type="dxa"/>
          </w:tcPr>
          <w:p w14:paraId="338CED0F" w14:textId="77777777" w:rsidR="00EC61FE" w:rsidRPr="00273CE9" w:rsidRDefault="00EC61FE" w:rsidP="003126F6">
            <w:pPr>
              <w:rPr>
                <w:rFonts w:cs="Times New Roman"/>
              </w:rPr>
            </w:pPr>
            <w:r w:rsidRPr="00273CE9">
              <w:rPr>
                <w:rFonts w:cs="Times New Roman"/>
              </w:rPr>
              <w:t>2.10</w:t>
            </w:r>
          </w:p>
        </w:tc>
        <w:tc>
          <w:tcPr>
            <w:tcW w:w="1620" w:type="dxa"/>
          </w:tcPr>
          <w:p w14:paraId="406F1BBC" w14:textId="77777777" w:rsidR="00EC61FE" w:rsidRPr="00273CE9" w:rsidRDefault="00EC61FE" w:rsidP="003126F6">
            <w:pPr>
              <w:rPr>
                <w:rFonts w:cs="Times New Roman"/>
              </w:rPr>
            </w:pPr>
            <w:r w:rsidRPr="00273CE9">
              <w:rPr>
                <w:rFonts w:cs="Times New Roman"/>
              </w:rPr>
              <w:t>2.10</w:t>
            </w:r>
          </w:p>
        </w:tc>
        <w:tc>
          <w:tcPr>
            <w:tcW w:w="1350" w:type="dxa"/>
          </w:tcPr>
          <w:p w14:paraId="0187D97C" w14:textId="77777777" w:rsidR="00EC61FE" w:rsidRPr="00273CE9" w:rsidRDefault="00EC61FE" w:rsidP="003126F6">
            <w:pPr>
              <w:rPr>
                <w:rFonts w:cs="Times New Roman"/>
              </w:rPr>
            </w:pPr>
            <w:r w:rsidRPr="00273CE9">
              <w:rPr>
                <w:rFonts w:cs="Times New Roman"/>
              </w:rPr>
              <w:t>2.11</w:t>
            </w:r>
          </w:p>
        </w:tc>
        <w:tc>
          <w:tcPr>
            <w:tcW w:w="5035" w:type="dxa"/>
          </w:tcPr>
          <w:p w14:paraId="53AF29E3" w14:textId="77777777" w:rsidR="00EC61FE" w:rsidRPr="00273CE9" w:rsidRDefault="00EC61FE" w:rsidP="003126F6">
            <w:pPr>
              <w:rPr>
                <w:rFonts w:cs="Times New Roman"/>
              </w:rPr>
            </w:pPr>
            <w:r w:rsidRPr="00273CE9">
              <w:rPr>
                <w:rFonts w:cs="Times New Roman"/>
              </w:rPr>
              <w:t>Tests and Experiments</w:t>
            </w:r>
          </w:p>
        </w:tc>
      </w:tr>
      <w:tr w:rsidR="00EC61FE" w:rsidRPr="00273CE9" w14:paraId="39B08A7B" w14:textId="77777777" w:rsidTr="003126F6">
        <w:tc>
          <w:tcPr>
            <w:tcW w:w="1345" w:type="dxa"/>
          </w:tcPr>
          <w:p w14:paraId="0B7AF483" w14:textId="77777777" w:rsidR="00EC61FE" w:rsidRPr="00273CE9" w:rsidRDefault="00EC61FE" w:rsidP="003126F6">
            <w:pPr>
              <w:rPr>
                <w:rFonts w:cs="Times New Roman"/>
              </w:rPr>
            </w:pPr>
            <w:r w:rsidRPr="00273CE9">
              <w:rPr>
                <w:rFonts w:cs="Times New Roman"/>
              </w:rPr>
              <w:t>2.11</w:t>
            </w:r>
          </w:p>
        </w:tc>
        <w:tc>
          <w:tcPr>
            <w:tcW w:w="1620" w:type="dxa"/>
          </w:tcPr>
          <w:p w14:paraId="0702FCE5" w14:textId="77777777" w:rsidR="00EC61FE" w:rsidRPr="00273CE9" w:rsidRDefault="00EC61FE" w:rsidP="003126F6">
            <w:pPr>
              <w:rPr>
                <w:rFonts w:cs="Times New Roman"/>
              </w:rPr>
            </w:pPr>
            <w:r w:rsidRPr="00273CE9">
              <w:rPr>
                <w:rFonts w:cs="Times New Roman"/>
              </w:rPr>
              <w:t>2.11</w:t>
            </w:r>
          </w:p>
        </w:tc>
        <w:tc>
          <w:tcPr>
            <w:tcW w:w="1350" w:type="dxa"/>
          </w:tcPr>
          <w:p w14:paraId="18AC8340" w14:textId="77777777" w:rsidR="00EC61FE" w:rsidRPr="00273CE9" w:rsidRDefault="00EC61FE" w:rsidP="003126F6">
            <w:pPr>
              <w:rPr>
                <w:rFonts w:cs="Times New Roman"/>
              </w:rPr>
            </w:pPr>
            <w:r w:rsidRPr="00273CE9">
              <w:rPr>
                <w:rFonts w:cs="Times New Roman"/>
              </w:rPr>
              <w:t>2.12</w:t>
            </w:r>
          </w:p>
        </w:tc>
        <w:tc>
          <w:tcPr>
            <w:tcW w:w="5035" w:type="dxa"/>
          </w:tcPr>
          <w:p w14:paraId="2D33DCF6" w14:textId="77777777" w:rsidR="00EC61FE" w:rsidRPr="00273CE9" w:rsidRDefault="00EC61FE" w:rsidP="003126F6">
            <w:pPr>
              <w:rPr>
                <w:rFonts w:cs="Times New Roman"/>
              </w:rPr>
            </w:pPr>
            <w:r w:rsidRPr="00273CE9">
              <w:rPr>
                <w:rFonts w:cs="Times New Roman"/>
              </w:rPr>
              <w:t>Use of Interrogatories</w:t>
            </w:r>
          </w:p>
        </w:tc>
      </w:tr>
      <w:tr w:rsidR="00EC61FE" w:rsidRPr="00273CE9" w14:paraId="0CF1B9F3" w14:textId="77777777" w:rsidTr="003126F6">
        <w:tc>
          <w:tcPr>
            <w:tcW w:w="1345" w:type="dxa"/>
          </w:tcPr>
          <w:p w14:paraId="44BD649A" w14:textId="77777777" w:rsidR="00EC61FE" w:rsidRPr="00273CE9" w:rsidRDefault="00EC61FE" w:rsidP="003126F6">
            <w:pPr>
              <w:rPr>
                <w:rFonts w:cs="Times New Roman"/>
              </w:rPr>
            </w:pPr>
            <w:r w:rsidRPr="00273CE9">
              <w:rPr>
                <w:rFonts w:cs="Times New Roman"/>
              </w:rPr>
              <w:t>2.12</w:t>
            </w:r>
          </w:p>
        </w:tc>
        <w:tc>
          <w:tcPr>
            <w:tcW w:w="1620" w:type="dxa"/>
          </w:tcPr>
          <w:p w14:paraId="30C95292" w14:textId="77777777" w:rsidR="00EC61FE" w:rsidRPr="00273CE9" w:rsidRDefault="00EC61FE" w:rsidP="003126F6">
            <w:pPr>
              <w:rPr>
                <w:rFonts w:cs="Times New Roman"/>
              </w:rPr>
            </w:pPr>
            <w:r w:rsidRPr="00273CE9">
              <w:rPr>
                <w:rFonts w:cs="Times New Roman"/>
              </w:rPr>
              <w:t>2.12</w:t>
            </w:r>
          </w:p>
        </w:tc>
        <w:tc>
          <w:tcPr>
            <w:tcW w:w="1350" w:type="dxa"/>
          </w:tcPr>
          <w:p w14:paraId="367170B9" w14:textId="77777777" w:rsidR="00EC61FE" w:rsidRPr="00273CE9" w:rsidRDefault="00EC61FE" w:rsidP="003126F6">
            <w:pPr>
              <w:rPr>
                <w:rFonts w:cs="Times New Roman"/>
              </w:rPr>
            </w:pPr>
            <w:r w:rsidRPr="00273CE9">
              <w:rPr>
                <w:rFonts w:cs="Times New Roman"/>
              </w:rPr>
              <w:t>2.13</w:t>
            </w:r>
          </w:p>
        </w:tc>
        <w:tc>
          <w:tcPr>
            <w:tcW w:w="5035" w:type="dxa"/>
          </w:tcPr>
          <w:p w14:paraId="38FE4033" w14:textId="77777777" w:rsidR="00EC61FE" w:rsidRPr="00273CE9" w:rsidRDefault="00EC61FE" w:rsidP="003126F6">
            <w:pPr>
              <w:rPr>
                <w:rFonts w:cs="Times New Roman"/>
              </w:rPr>
            </w:pPr>
            <w:r w:rsidRPr="00273CE9">
              <w:rPr>
                <w:rFonts w:cs="Times New Roman"/>
              </w:rPr>
              <w:t>Use of Requests for Admission</w:t>
            </w:r>
          </w:p>
        </w:tc>
      </w:tr>
      <w:tr w:rsidR="00EC61FE" w:rsidRPr="00273CE9" w14:paraId="734BAE6B" w14:textId="77777777" w:rsidTr="003126F6">
        <w:tc>
          <w:tcPr>
            <w:tcW w:w="1345" w:type="dxa"/>
          </w:tcPr>
          <w:p w14:paraId="30775574" w14:textId="77777777" w:rsidR="00EC61FE" w:rsidRPr="00273CE9" w:rsidRDefault="00EC61FE" w:rsidP="003126F6">
            <w:pPr>
              <w:rPr>
                <w:rFonts w:cs="Times New Roman"/>
              </w:rPr>
            </w:pPr>
            <w:r w:rsidRPr="00273CE9">
              <w:rPr>
                <w:rFonts w:cs="Times New Roman"/>
              </w:rPr>
              <w:t>2.13</w:t>
            </w:r>
          </w:p>
        </w:tc>
        <w:tc>
          <w:tcPr>
            <w:tcW w:w="1620" w:type="dxa"/>
          </w:tcPr>
          <w:p w14:paraId="6D160321" w14:textId="77777777" w:rsidR="00EC61FE" w:rsidRPr="00273CE9" w:rsidRDefault="00EC61FE" w:rsidP="003126F6">
            <w:pPr>
              <w:rPr>
                <w:rFonts w:cs="Times New Roman"/>
              </w:rPr>
            </w:pPr>
            <w:r w:rsidRPr="00273CE9">
              <w:rPr>
                <w:rFonts w:cs="Times New Roman"/>
              </w:rPr>
              <w:t>2.13</w:t>
            </w:r>
          </w:p>
        </w:tc>
        <w:tc>
          <w:tcPr>
            <w:tcW w:w="1350" w:type="dxa"/>
          </w:tcPr>
          <w:p w14:paraId="0082E77A" w14:textId="77777777" w:rsidR="00EC61FE" w:rsidRPr="00273CE9" w:rsidRDefault="00EC61FE" w:rsidP="003126F6">
            <w:pPr>
              <w:rPr>
                <w:rFonts w:cs="Times New Roman"/>
              </w:rPr>
            </w:pPr>
            <w:r w:rsidRPr="00273CE9">
              <w:rPr>
                <w:rFonts w:cs="Times New Roman"/>
              </w:rPr>
              <w:t>2.14</w:t>
            </w:r>
          </w:p>
        </w:tc>
        <w:tc>
          <w:tcPr>
            <w:tcW w:w="5035" w:type="dxa"/>
          </w:tcPr>
          <w:p w14:paraId="38F6E8BF" w14:textId="77777777" w:rsidR="00EC61FE" w:rsidRPr="00273CE9" w:rsidRDefault="00EC61FE" w:rsidP="003126F6">
            <w:pPr>
              <w:rPr>
                <w:rFonts w:cs="Times New Roman"/>
              </w:rPr>
            </w:pPr>
            <w:r w:rsidRPr="00273CE9">
              <w:rPr>
                <w:rFonts w:cs="Times New Roman"/>
              </w:rPr>
              <w:t>[Expert] Opinion Testimony (2025); Expert Opinion (2017)</w:t>
            </w:r>
          </w:p>
        </w:tc>
      </w:tr>
      <w:tr w:rsidR="00EC61FE" w:rsidRPr="00273CE9" w14:paraId="45B34D75" w14:textId="77777777" w:rsidTr="003126F6">
        <w:tc>
          <w:tcPr>
            <w:tcW w:w="1345" w:type="dxa"/>
          </w:tcPr>
          <w:p w14:paraId="396F2BAB" w14:textId="77777777" w:rsidR="00EC61FE" w:rsidRPr="00273CE9" w:rsidRDefault="00EC61FE" w:rsidP="003126F6">
            <w:pPr>
              <w:rPr>
                <w:rFonts w:cs="Times New Roman"/>
              </w:rPr>
            </w:pPr>
            <w:r w:rsidRPr="00273CE9">
              <w:rPr>
                <w:rFonts w:cs="Times New Roman"/>
              </w:rPr>
              <w:t>2.14</w:t>
            </w:r>
          </w:p>
        </w:tc>
        <w:tc>
          <w:tcPr>
            <w:tcW w:w="1620" w:type="dxa"/>
          </w:tcPr>
          <w:p w14:paraId="78EB0F11" w14:textId="77777777" w:rsidR="00EC61FE" w:rsidRPr="00273CE9" w:rsidRDefault="00EC61FE" w:rsidP="003126F6">
            <w:pPr>
              <w:rPr>
                <w:rFonts w:cs="Times New Roman"/>
              </w:rPr>
            </w:pPr>
            <w:r w:rsidRPr="00273CE9">
              <w:rPr>
                <w:rFonts w:cs="Times New Roman"/>
              </w:rPr>
              <w:t>2.14</w:t>
            </w:r>
          </w:p>
        </w:tc>
        <w:tc>
          <w:tcPr>
            <w:tcW w:w="1350" w:type="dxa"/>
          </w:tcPr>
          <w:p w14:paraId="6CADF81C" w14:textId="77777777" w:rsidR="00EC61FE" w:rsidRPr="00273CE9" w:rsidRDefault="00EC61FE" w:rsidP="003126F6">
            <w:pPr>
              <w:rPr>
                <w:rFonts w:cs="Times New Roman"/>
              </w:rPr>
            </w:pPr>
            <w:r w:rsidRPr="00273CE9">
              <w:rPr>
                <w:rFonts w:cs="Times New Roman"/>
              </w:rPr>
              <w:t>2.15</w:t>
            </w:r>
          </w:p>
        </w:tc>
        <w:tc>
          <w:tcPr>
            <w:tcW w:w="5035" w:type="dxa"/>
          </w:tcPr>
          <w:p w14:paraId="69142A9A" w14:textId="77777777" w:rsidR="00EC61FE" w:rsidRPr="00273CE9" w:rsidRDefault="00EC61FE" w:rsidP="003126F6">
            <w:pPr>
              <w:rPr>
                <w:rFonts w:cs="Times New Roman"/>
              </w:rPr>
            </w:pPr>
            <w:r w:rsidRPr="00273CE9">
              <w:rPr>
                <w:rFonts w:cs="Times New Roman"/>
              </w:rPr>
              <w:t>Charts and Summaries Not Received in Evidence</w:t>
            </w:r>
          </w:p>
        </w:tc>
      </w:tr>
      <w:tr w:rsidR="00EC61FE" w:rsidRPr="00273CE9" w14:paraId="7D246409" w14:textId="77777777" w:rsidTr="003126F6">
        <w:tc>
          <w:tcPr>
            <w:tcW w:w="1345" w:type="dxa"/>
          </w:tcPr>
          <w:p w14:paraId="0AAF507B" w14:textId="77777777" w:rsidR="00EC61FE" w:rsidRPr="00273CE9" w:rsidRDefault="00EC61FE" w:rsidP="003126F6">
            <w:pPr>
              <w:rPr>
                <w:rFonts w:cs="Times New Roman"/>
              </w:rPr>
            </w:pPr>
            <w:r w:rsidRPr="00273CE9">
              <w:rPr>
                <w:rFonts w:cs="Times New Roman"/>
              </w:rPr>
              <w:t>2.15</w:t>
            </w:r>
          </w:p>
        </w:tc>
        <w:tc>
          <w:tcPr>
            <w:tcW w:w="1620" w:type="dxa"/>
          </w:tcPr>
          <w:p w14:paraId="02AF4366" w14:textId="77777777" w:rsidR="00EC61FE" w:rsidRPr="00273CE9" w:rsidRDefault="00EC61FE" w:rsidP="003126F6">
            <w:pPr>
              <w:rPr>
                <w:rFonts w:cs="Times New Roman"/>
              </w:rPr>
            </w:pPr>
            <w:r w:rsidRPr="00273CE9">
              <w:rPr>
                <w:rFonts w:cs="Times New Roman"/>
              </w:rPr>
              <w:t>2.15</w:t>
            </w:r>
          </w:p>
        </w:tc>
        <w:tc>
          <w:tcPr>
            <w:tcW w:w="1350" w:type="dxa"/>
          </w:tcPr>
          <w:p w14:paraId="18B942D3" w14:textId="77777777" w:rsidR="00EC61FE" w:rsidRPr="00273CE9" w:rsidRDefault="00EC61FE" w:rsidP="003126F6">
            <w:pPr>
              <w:rPr>
                <w:rFonts w:cs="Times New Roman"/>
              </w:rPr>
            </w:pPr>
            <w:r w:rsidRPr="00273CE9">
              <w:rPr>
                <w:rFonts w:cs="Times New Roman"/>
              </w:rPr>
              <w:t>2.16</w:t>
            </w:r>
          </w:p>
        </w:tc>
        <w:tc>
          <w:tcPr>
            <w:tcW w:w="5035" w:type="dxa"/>
          </w:tcPr>
          <w:p w14:paraId="164556EC" w14:textId="77777777" w:rsidR="00EC61FE" w:rsidRPr="00273CE9" w:rsidRDefault="00EC61FE" w:rsidP="003126F6">
            <w:pPr>
              <w:rPr>
                <w:rFonts w:cs="Times New Roman"/>
              </w:rPr>
            </w:pPr>
            <w:r w:rsidRPr="00273CE9">
              <w:rPr>
                <w:rFonts w:cs="Times New Roman"/>
              </w:rPr>
              <w:t>Charts and Summaries Received in Evidence</w:t>
            </w:r>
          </w:p>
        </w:tc>
      </w:tr>
      <w:tr w:rsidR="00EC61FE" w:rsidRPr="00273CE9" w14:paraId="7C2C03E0" w14:textId="77777777" w:rsidTr="003126F6">
        <w:tc>
          <w:tcPr>
            <w:tcW w:w="1345" w:type="dxa"/>
          </w:tcPr>
          <w:p w14:paraId="781EB855" w14:textId="77777777" w:rsidR="00EC61FE" w:rsidRPr="00273CE9" w:rsidRDefault="00EC61FE" w:rsidP="003126F6">
            <w:pPr>
              <w:rPr>
                <w:rFonts w:cs="Times New Roman"/>
              </w:rPr>
            </w:pPr>
            <w:r w:rsidRPr="00273CE9">
              <w:rPr>
                <w:rFonts w:cs="Times New Roman"/>
              </w:rPr>
              <w:t>2.16</w:t>
            </w:r>
          </w:p>
        </w:tc>
        <w:tc>
          <w:tcPr>
            <w:tcW w:w="1620" w:type="dxa"/>
          </w:tcPr>
          <w:p w14:paraId="4D9299E0" w14:textId="77777777" w:rsidR="00EC61FE" w:rsidRPr="00273CE9" w:rsidRDefault="00EC61FE" w:rsidP="003126F6">
            <w:pPr>
              <w:rPr>
                <w:rFonts w:cs="Times New Roman"/>
              </w:rPr>
            </w:pPr>
            <w:r w:rsidRPr="00273CE9">
              <w:rPr>
                <w:rFonts w:cs="Times New Roman"/>
              </w:rPr>
              <w:t>2.16</w:t>
            </w:r>
          </w:p>
        </w:tc>
        <w:tc>
          <w:tcPr>
            <w:tcW w:w="1350" w:type="dxa"/>
          </w:tcPr>
          <w:p w14:paraId="0C26101A" w14:textId="77777777" w:rsidR="00EC61FE" w:rsidRPr="00273CE9" w:rsidRDefault="00EC61FE" w:rsidP="003126F6">
            <w:pPr>
              <w:rPr>
                <w:rFonts w:cs="Times New Roman"/>
              </w:rPr>
            </w:pPr>
            <w:r w:rsidRPr="00273CE9">
              <w:rPr>
                <w:rFonts w:cs="Times New Roman"/>
              </w:rPr>
              <w:t>2.17</w:t>
            </w:r>
          </w:p>
        </w:tc>
        <w:tc>
          <w:tcPr>
            <w:tcW w:w="5035" w:type="dxa"/>
          </w:tcPr>
          <w:p w14:paraId="2B44743D" w14:textId="77777777" w:rsidR="00EC61FE" w:rsidRPr="00273CE9" w:rsidRDefault="00EC61FE" w:rsidP="003126F6">
            <w:pPr>
              <w:rPr>
                <w:rFonts w:cs="Times New Roman"/>
              </w:rPr>
            </w:pPr>
            <w:r w:rsidRPr="00273CE9">
              <w:rPr>
                <w:rFonts w:cs="Times New Roman"/>
              </w:rPr>
              <w:t>Evidence in Electronic Format</w:t>
            </w:r>
          </w:p>
        </w:tc>
      </w:tr>
    </w:tbl>
    <w:p w14:paraId="785ACE5A" w14:textId="77777777" w:rsidR="00EC61FE" w:rsidRDefault="00EC61FE" w:rsidP="002B283E">
      <w:pPr>
        <w:rPr>
          <w:rFonts w:cs="Times New Roman"/>
          <w:szCs w:val="24"/>
        </w:rPr>
      </w:pPr>
    </w:p>
    <w:p w14:paraId="1DB7B1F5" w14:textId="48C86EBB" w:rsidR="00EC61FE" w:rsidRDefault="00EC61FE" w:rsidP="002B283E">
      <w:pPr>
        <w:rPr>
          <w:rFonts w:cs="Times New Roman"/>
          <w:b/>
          <w:bCs/>
          <w:szCs w:val="24"/>
        </w:rPr>
      </w:pPr>
      <w:r w:rsidRPr="00EC61FE">
        <w:rPr>
          <w:rFonts w:cs="Times New Roman"/>
          <w:b/>
          <w:bCs/>
          <w:szCs w:val="24"/>
        </w:rPr>
        <w:t>Chapter 9: Civil Rights Action—42 U.S.C. § 1983</w:t>
      </w:r>
    </w:p>
    <w:p w14:paraId="1703E29A"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7"/>
        <w:gridCol w:w="1606"/>
        <w:gridCol w:w="1342"/>
        <w:gridCol w:w="4975"/>
      </w:tblGrid>
      <w:tr w:rsidR="00EC61FE" w:rsidRPr="00273CE9" w14:paraId="4217C84B" w14:textId="77777777" w:rsidTr="00B50923">
        <w:trPr>
          <w:tblHeader/>
        </w:trPr>
        <w:tc>
          <w:tcPr>
            <w:tcW w:w="1345" w:type="dxa"/>
            <w:shd w:val="clear" w:color="auto" w:fill="D0CECE" w:themeFill="background2" w:themeFillShade="E6"/>
          </w:tcPr>
          <w:p w14:paraId="2B32BE00"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54AFD01A"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77CF67EF"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6AD32AA4" w14:textId="77777777" w:rsidR="00EC61FE" w:rsidRPr="00273CE9" w:rsidRDefault="00EC61FE" w:rsidP="003126F6">
            <w:pPr>
              <w:rPr>
                <w:rFonts w:cs="Times New Roman"/>
                <w:b/>
                <w:bCs/>
              </w:rPr>
            </w:pPr>
            <w:r w:rsidRPr="00273CE9">
              <w:rPr>
                <w:rFonts w:cs="Times New Roman"/>
                <w:b/>
                <w:bCs/>
              </w:rPr>
              <w:t>Title</w:t>
            </w:r>
          </w:p>
        </w:tc>
      </w:tr>
      <w:tr w:rsidR="00EC61FE" w:rsidRPr="00273CE9" w14:paraId="43158B5F" w14:textId="77777777" w:rsidTr="003126F6">
        <w:tc>
          <w:tcPr>
            <w:tcW w:w="1345" w:type="dxa"/>
          </w:tcPr>
          <w:p w14:paraId="256BC2AF" w14:textId="77777777" w:rsidR="00EC61FE" w:rsidRPr="00273CE9" w:rsidRDefault="00EC61FE" w:rsidP="003126F6">
            <w:pPr>
              <w:rPr>
                <w:rFonts w:cs="Times New Roman"/>
              </w:rPr>
            </w:pPr>
            <w:r w:rsidRPr="00273CE9">
              <w:rPr>
                <w:rFonts w:cs="Times New Roman"/>
              </w:rPr>
              <w:t>9.1</w:t>
            </w:r>
          </w:p>
        </w:tc>
        <w:tc>
          <w:tcPr>
            <w:tcW w:w="1620" w:type="dxa"/>
          </w:tcPr>
          <w:p w14:paraId="32187A75" w14:textId="77777777" w:rsidR="00EC61FE" w:rsidRPr="00273CE9" w:rsidRDefault="00EC61FE" w:rsidP="003126F6">
            <w:pPr>
              <w:rPr>
                <w:rFonts w:cs="Times New Roman"/>
              </w:rPr>
            </w:pPr>
            <w:r w:rsidRPr="00273CE9">
              <w:rPr>
                <w:rFonts w:cs="Times New Roman"/>
              </w:rPr>
              <w:t>9.1</w:t>
            </w:r>
          </w:p>
        </w:tc>
        <w:tc>
          <w:tcPr>
            <w:tcW w:w="1350" w:type="dxa"/>
          </w:tcPr>
          <w:p w14:paraId="701EADE6" w14:textId="77777777" w:rsidR="00EC61FE" w:rsidRPr="00273CE9" w:rsidRDefault="00EC61FE" w:rsidP="003126F6">
            <w:pPr>
              <w:rPr>
                <w:rFonts w:cs="Times New Roman"/>
              </w:rPr>
            </w:pPr>
            <w:r w:rsidRPr="00273CE9">
              <w:rPr>
                <w:rFonts w:cs="Times New Roman"/>
              </w:rPr>
              <w:t>9.1</w:t>
            </w:r>
          </w:p>
        </w:tc>
        <w:tc>
          <w:tcPr>
            <w:tcW w:w="5035" w:type="dxa"/>
          </w:tcPr>
          <w:p w14:paraId="640230C3" w14:textId="77777777" w:rsidR="00EC61FE" w:rsidRPr="00273CE9" w:rsidRDefault="00EC61FE" w:rsidP="003126F6">
            <w:pPr>
              <w:rPr>
                <w:rFonts w:cs="Times New Roman"/>
              </w:rPr>
            </w:pPr>
            <w:r w:rsidRPr="00273CE9">
              <w:rPr>
                <w:rFonts w:cs="Times New Roman"/>
              </w:rPr>
              <w:t xml:space="preserve">Section 1983 Claim—Introductory Instruction  </w:t>
            </w:r>
          </w:p>
        </w:tc>
      </w:tr>
      <w:tr w:rsidR="00EC61FE" w:rsidRPr="00273CE9" w14:paraId="12D8093E" w14:textId="77777777" w:rsidTr="003126F6">
        <w:tc>
          <w:tcPr>
            <w:tcW w:w="1345" w:type="dxa"/>
          </w:tcPr>
          <w:p w14:paraId="2C908FE2" w14:textId="77777777" w:rsidR="00EC61FE" w:rsidRPr="00273CE9" w:rsidRDefault="00EC61FE" w:rsidP="003126F6">
            <w:pPr>
              <w:rPr>
                <w:rFonts w:cs="Times New Roman"/>
              </w:rPr>
            </w:pPr>
            <w:r w:rsidRPr="00273CE9">
              <w:rPr>
                <w:rFonts w:cs="Times New Roman"/>
              </w:rPr>
              <w:t>9.2</w:t>
            </w:r>
          </w:p>
        </w:tc>
        <w:tc>
          <w:tcPr>
            <w:tcW w:w="1620" w:type="dxa"/>
          </w:tcPr>
          <w:p w14:paraId="40EC98CF" w14:textId="77777777" w:rsidR="00EC61FE" w:rsidRPr="00273CE9" w:rsidRDefault="00EC61FE" w:rsidP="003126F6">
            <w:pPr>
              <w:rPr>
                <w:rFonts w:cs="Times New Roman"/>
              </w:rPr>
            </w:pPr>
            <w:r w:rsidRPr="00273CE9">
              <w:rPr>
                <w:rFonts w:cs="Times New Roman"/>
              </w:rPr>
              <w:t>9.2</w:t>
            </w:r>
          </w:p>
        </w:tc>
        <w:tc>
          <w:tcPr>
            <w:tcW w:w="1350" w:type="dxa"/>
          </w:tcPr>
          <w:p w14:paraId="4FAF1085" w14:textId="77777777" w:rsidR="00EC61FE" w:rsidRPr="00273CE9" w:rsidRDefault="00EC61FE" w:rsidP="003126F6">
            <w:pPr>
              <w:rPr>
                <w:rFonts w:cs="Times New Roman"/>
              </w:rPr>
            </w:pPr>
            <w:r w:rsidRPr="00273CE9">
              <w:rPr>
                <w:rFonts w:cs="Times New Roman"/>
              </w:rPr>
              <w:t>9.2</w:t>
            </w:r>
          </w:p>
        </w:tc>
        <w:tc>
          <w:tcPr>
            <w:tcW w:w="5035" w:type="dxa"/>
          </w:tcPr>
          <w:p w14:paraId="0A19978F" w14:textId="77777777" w:rsidR="00EC61FE" w:rsidRPr="00273CE9" w:rsidRDefault="00EC61FE" w:rsidP="003126F6">
            <w:pPr>
              <w:rPr>
                <w:rFonts w:cs="Times New Roman"/>
              </w:rPr>
            </w:pPr>
            <w:r w:rsidRPr="00273CE9">
              <w:rPr>
                <w:rFonts w:cs="Times New Roman"/>
              </w:rPr>
              <w:t xml:space="preserve">Causation </w:t>
            </w:r>
          </w:p>
        </w:tc>
      </w:tr>
      <w:tr w:rsidR="00EC61FE" w:rsidRPr="00273CE9" w14:paraId="081562EB" w14:textId="77777777" w:rsidTr="003126F6">
        <w:tc>
          <w:tcPr>
            <w:tcW w:w="1345" w:type="dxa"/>
          </w:tcPr>
          <w:p w14:paraId="04E73D29" w14:textId="77777777" w:rsidR="00EC61FE" w:rsidRPr="00273CE9" w:rsidRDefault="00EC61FE" w:rsidP="003126F6">
            <w:pPr>
              <w:rPr>
                <w:rFonts w:cs="Times New Roman"/>
              </w:rPr>
            </w:pPr>
            <w:r w:rsidRPr="00273CE9">
              <w:rPr>
                <w:rFonts w:cs="Times New Roman"/>
              </w:rPr>
              <w:t>9.3</w:t>
            </w:r>
          </w:p>
        </w:tc>
        <w:tc>
          <w:tcPr>
            <w:tcW w:w="1620" w:type="dxa"/>
          </w:tcPr>
          <w:p w14:paraId="3621F2C3" w14:textId="77777777" w:rsidR="00EC61FE" w:rsidRPr="00273CE9" w:rsidRDefault="00EC61FE" w:rsidP="003126F6">
            <w:pPr>
              <w:rPr>
                <w:rFonts w:cs="Times New Roman"/>
              </w:rPr>
            </w:pPr>
            <w:r w:rsidRPr="00273CE9">
              <w:rPr>
                <w:rFonts w:cs="Times New Roman"/>
              </w:rPr>
              <w:t>9.3</w:t>
            </w:r>
          </w:p>
        </w:tc>
        <w:tc>
          <w:tcPr>
            <w:tcW w:w="1350" w:type="dxa"/>
          </w:tcPr>
          <w:p w14:paraId="4F6AE467" w14:textId="77777777" w:rsidR="00EC61FE" w:rsidRPr="00273CE9" w:rsidRDefault="00EC61FE" w:rsidP="003126F6">
            <w:pPr>
              <w:rPr>
                <w:rFonts w:cs="Times New Roman"/>
              </w:rPr>
            </w:pPr>
            <w:r w:rsidRPr="00273CE9">
              <w:rPr>
                <w:rFonts w:cs="Times New Roman"/>
              </w:rPr>
              <w:t>9.3</w:t>
            </w:r>
          </w:p>
        </w:tc>
        <w:tc>
          <w:tcPr>
            <w:tcW w:w="5035" w:type="dxa"/>
          </w:tcPr>
          <w:p w14:paraId="52C91AC9" w14:textId="77777777" w:rsidR="00EC61FE" w:rsidRPr="00273CE9" w:rsidRDefault="00EC61FE" w:rsidP="003126F6">
            <w:pPr>
              <w:rPr>
                <w:rFonts w:cs="Times New Roman"/>
              </w:rPr>
            </w:pPr>
            <w:r w:rsidRPr="00273CE9">
              <w:rPr>
                <w:rFonts w:cs="Times New Roman"/>
              </w:rPr>
              <w:t>Section 1983 Claim Against Defendant in Individual Capacity— Elements and Burden of Proof</w:t>
            </w:r>
          </w:p>
        </w:tc>
      </w:tr>
      <w:tr w:rsidR="00EC61FE" w:rsidRPr="00273CE9" w14:paraId="16D9BE99" w14:textId="77777777" w:rsidTr="003126F6">
        <w:tc>
          <w:tcPr>
            <w:tcW w:w="1345" w:type="dxa"/>
          </w:tcPr>
          <w:p w14:paraId="3780994E" w14:textId="77777777" w:rsidR="00EC61FE" w:rsidRPr="00273CE9" w:rsidRDefault="00EC61FE" w:rsidP="003126F6">
            <w:pPr>
              <w:rPr>
                <w:rFonts w:cs="Times New Roman"/>
              </w:rPr>
            </w:pPr>
            <w:r w:rsidRPr="00273CE9">
              <w:rPr>
                <w:rFonts w:cs="Times New Roman"/>
              </w:rPr>
              <w:t>9.4</w:t>
            </w:r>
          </w:p>
        </w:tc>
        <w:tc>
          <w:tcPr>
            <w:tcW w:w="1620" w:type="dxa"/>
          </w:tcPr>
          <w:p w14:paraId="5B860732" w14:textId="77777777" w:rsidR="00EC61FE" w:rsidRPr="00273CE9" w:rsidRDefault="00EC61FE" w:rsidP="003126F6">
            <w:pPr>
              <w:rPr>
                <w:rFonts w:cs="Times New Roman"/>
              </w:rPr>
            </w:pPr>
            <w:r w:rsidRPr="00273CE9">
              <w:rPr>
                <w:rFonts w:cs="Times New Roman"/>
              </w:rPr>
              <w:t>9.4</w:t>
            </w:r>
          </w:p>
        </w:tc>
        <w:tc>
          <w:tcPr>
            <w:tcW w:w="1350" w:type="dxa"/>
          </w:tcPr>
          <w:p w14:paraId="3FCEFC67" w14:textId="77777777" w:rsidR="00EC61FE" w:rsidRPr="00273CE9" w:rsidRDefault="00EC61FE" w:rsidP="003126F6">
            <w:pPr>
              <w:rPr>
                <w:rFonts w:cs="Times New Roman"/>
              </w:rPr>
            </w:pPr>
            <w:r w:rsidRPr="00273CE9">
              <w:rPr>
                <w:rFonts w:cs="Times New Roman"/>
              </w:rPr>
              <w:t>9.4</w:t>
            </w:r>
          </w:p>
        </w:tc>
        <w:tc>
          <w:tcPr>
            <w:tcW w:w="5035" w:type="dxa"/>
          </w:tcPr>
          <w:p w14:paraId="02B5E333" w14:textId="77777777" w:rsidR="00EC61FE" w:rsidRPr="00273CE9" w:rsidRDefault="00EC61FE" w:rsidP="003126F6">
            <w:pPr>
              <w:rPr>
                <w:rFonts w:cs="Times New Roman"/>
              </w:rPr>
            </w:pPr>
            <w:r w:rsidRPr="00273CE9">
              <w:rPr>
                <w:rFonts w:cs="Times New Roman"/>
              </w:rPr>
              <w:t>Section 1983 Claim Against Supervisory Defendant in Individual Capacity—Elements and Burden of Proof</w:t>
            </w:r>
          </w:p>
        </w:tc>
      </w:tr>
      <w:tr w:rsidR="00EC61FE" w:rsidRPr="00273CE9" w14:paraId="71BC46AB" w14:textId="77777777" w:rsidTr="003126F6">
        <w:tc>
          <w:tcPr>
            <w:tcW w:w="1345" w:type="dxa"/>
          </w:tcPr>
          <w:p w14:paraId="3A71A75C" w14:textId="77777777" w:rsidR="00EC61FE" w:rsidRPr="00273CE9" w:rsidRDefault="00EC61FE" w:rsidP="003126F6">
            <w:pPr>
              <w:rPr>
                <w:rFonts w:cs="Times New Roman"/>
              </w:rPr>
            </w:pPr>
            <w:r w:rsidRPr="00273CE9">
              <w:rPr>
                <w:rFonts w:cs="Times New Roman"/>
              </w:rPr>
              <w:t>9.5</w:t>
            </w:r>
          </w:p>
        </w:tc>
        <w:tc>
          <w:tcPr>
            <w:tcW w:w="1620" w:type="dxa"/>
          </w:tcPr>
          <w:p w14:paraId="352E529C" w14:textId="77777777" w:rsidR="00EC61FE" w:rsidRPr="00273CE9" w:rsidRDefault="00EC61FE" w:rsidP="003126F6">
            <w:pPr>
              <w:rPr>
                <w:rFonts w:cs="Times New Roman"/>
              </w:rPr>
            </w:pPr>
            <w:r w:rsidRPr="00273CE9">
              <w:rPr>
                <w:rFonts w:cs="Times New Roman"/>
              </w:rPr>
              <w:t>9.5</w:t>
            </w:r>
          </w:p>
        </w:tc>
        <w:tc>
          <w:tcPr>
            <w:tcW w:w="1350" w:type="dxa"/>
          </w:tcPr>
          <w:p w14:paraId="4D23EA83" w14:textId="77777777" w:rsidR="00EC61FE" w:rsidRPr="00273CE9" w:rsidRDefault="00EC61FE" w:rsidP="003126F6">
            <w:pPr>
              <w:rPr>
                <w:rFonts w:cs="Times New Roman"/>
              </w:rPr>
            </w:pPr>
            <w:r w:rsidRPr="00273CE9">
              <w:rPr>
                <w:rFonts w:cs="Times New Roman"/>
              </w:rPr>
              <w:t>9.5</w:t>
            </w:r>
          </w:p>
        </w:tc>
        <w:tc>
          <w:tcPr>
            <w:tcW w:w="5035" w:type="dxa"/>
          </w:tcPr>
          <w:p w14:paraId="75E87423" w14:textId="77777777" w:rsidR="00EC61FE" w:rsidRPr="00273CE9" w:rsidRDefault="00EC61FE" w:rsidP="003126F6">
            <w:pPr>
              <w:rPr>
                <w:rFonts w:cs="Times New Roman"/>
              </w:rPr>
            </w:pPr>
            <w:r w:rsidRPr="00273CE9">
              <w:rPr>
                <w:rFonts w:cs="Times New Roman"/>
              </w:rPr>
              <w:t>Section 1983 Claim Against Local Governing Body Defendants Based on Unlawful Official Policy, Practice, or Custom—Elements and Burden of Proof</w:t>
            </w:r>
          </w:p>
        </w:tc>
      </w:tr>
      <w:tr w:rsidR="00EC61FE" w:rsidRPr="00273CE9" w14:paraId="5A1793C6" w14:textId="77777777" w:rsidTr="003126F6">
        <w:tc>
          <w:tcPr>
            <w:tcW w:w="1345" w:type="dxa"/>
          </w:tcPr>
          <w:p w14:paraId="5EEFF3F2" w14:textId="77777777" w:rsidR="00EC61FE" w:rsidRPr="00273CE9" w:rsidRDefault="00EC61FE" w:rsidP="003126F6">
            <w:pPr>
              <w:rPr>
                <w:rFonts w:cs="Times New Roman"/>
              </w:rPr>
            </w:pPr>
            <w:r w:rsidRPr="00273CE9">
              <w:rPr>
                <w:rFonts w:cs="Times New Roman"/>
              </w:rPr>
              <w:lastRenderedPageBreak/>
              <w:t>9.6</w:t>
            </w:r>
          </w:p>
        </w:tc>
        <w:tc>
          <w:tcPr>
            <w:tcW w:w="1620" w:type="dxa"/>
          </w:tcPr>
          <w:p w14:paraId="366E856C" w14:textId="77777777" w:rsidR="00EC61FE" w:rsidRPr="00273CE9" w:rsidRDefault="00EC61FE" w:rsidP="003126F6">
            <w:pPr>
              <w:rPr>
                <w:rFonts w:cs="Times New Roman"/>
              </w:rPr>
            </w:pPr>
            <w:r w:rsidRPr="00273CE9">
              <w:rPr>
                <w:rFonts w:cs="Times New Roman"/>
              </w:rPr>
              <w:t>9.6</w:t>
            </w:r>
          </w:p>
        </w:tc>
        <w:tc>
          <w:tcPr>
            <w:tcW w:w="1350" w:type="dxa"/>
          </w:tcPr>
          <w:p w14:paraId="49015966" w14:textId="77777777" w:rsidR="00EC61FE" w:rsidRPr="00273CE9" w:rsidRDefault="00EC61FE" w:rsidP="003126F6">
            <w:pPr>
              <w:rPr>
                <w:rFonts w:cs="Times New Roman"/>
              </w:rPr>
            </w:pPr>
            <w:r w:rsidRPr="00273CE9">
              <w:rPr>
                <w:rFonts w:cs="Times New Roman"/>
              </w:rPr>
              <w:t>9.6</w:t>
            </w:r>
          </w:p>
        </w:tc>
        <w:tc>
          <w:tcPr>
            <w:tcW w:w="5035" w:type="dxa"/>
          </w:tcPr>
          <w:p w14:paraId="53CF7DBD" w14:textId="77777777" w:rsidR="00EC61FE" w:rsidRPr="00273CE9" w:rsidRDefault="00EC61FE" w:rsidP="003126F6">
            <w:pPr>
              <w:rPr>
                <w:rFonts w:cs="Times New Roman"/>
              </w:rPr>
            </w:pPr>
            <w:r w:rsidRPr="00273CE9">
              <w:rPr>
                <w:rFonts w:cs="Times New Roman"/>
              </w:rPr>
              <w:t>Section 1983 Claim Against Local Governing Body Defendants Based on Act of Final Policymaker—Elements and Burden of Proof</w:t>
            </w:r>
          </w:p>
        </w:tc>
      </w:tr>
      <w:tr w:rsidR="00EC61FE" w:rsidRPr="00273CE9" w14:paraId="32CB59A8" w14:textId="77777777" w:rsidTr="003126F6">
        <w:tc>
          <w:tcPr>
            <w:tcW w:w="1345" w:type="dxa"/>
          </w:tcPr>
          <w:p w14:paraId="558D0425" w14:textId="77777777" w:rsidR="00EC61FE" w:rsidRPr="00273CE9" w:rsidRDefault="00EC61FE" w:rsidP="003126F6">
            <w:pPr>
              <w:rPr>
                <w:rFonts w:cs="Times New Roman"/>
              </w:rPr>
            </w:pPr>
            <w:r w:rsidRPr="00273CE9">
              <w:rPr>
                <w:rFonts w:cs="Times New Roman"/>
              </w:rPr>
              <w:t>9.7</w:t>
            </w:r>
          </w:p>
        </w:tc>
        <w:tc>
          <w:tcPr>
            <w:tcW w:w="1620" w:type="dxa"/>
          </w:tcPr>
          <w:p w14:paraId="1DE4EAE4" w14:textId="77777777" w:rsidR="00EC61FE" w:rsidRPr="00273CE9" w:rsidRDefault="00EC61FE" w:rsidP="003126F6">
            <w:pPr>
              <w:rPr>
                <w:rFonts w:cs="Times New Roman"/>
              </w:rPr>
            </w:pPr>
            <w:r w:rsidRPr="00273CE9">
              <w:rPr>
                <w:rFonts w:cs="Times New Roman"/>
              </w:rPr>
              <w:t>9.7</w:t>
            </w:r>
          </w:p>
        </w:tc>
        <w:tc>
          <w:tcPr>
            <w:tcW w:w="1350" w:type="dxa"/>
          </w:tcPr>
          <w:p w14:paraId="7213F26F" w14:textId="77777777" w:rsidR="00EC61FE" w:rsidRPr="00273CE9" w:rsidRDefault="00EC61FE" w:rsidP="003126F6">
            <w:pPr>
              <w:rPr>
                <w:rFonts w:cs="Times New Roman"/>
              </w:rPr>
            </w:pPr>
            <w:r w:rsidRPr="00273CE9">
              <w:rPr>
                <w:rFonts w:cs="Times New Roman"/>
              </w:rPr>
              <w:t>9.7</w:t>
            </w:r>
          </w:p>
        </w:tc>
        <w:tc>
          <w:tcPr>
            <w:tcW w:w="5035" w:type="dxa"/>
          </w:tcPr>
          <w:p w14:paraId="024882B7" w14:textId="77777777" w:rsidR="00EC61FE" w:rsidRPr="00273CE9" w:rsidRDefault="00EC61FE" w:rsidP="003126F6">
            <w:pPr>
              <w:rPr>
                <w:rFonts w:cs="Times New Roman"/>
              </w:rPr>
            </w:pPr>
            <w:r w:rsidRPr="00273CE9">
              <w:rPr>
                <w:rFonts w:cs="Times New Roman"/>
              </w:rPr>
              <w:t>Section 1983 Claim Against Local Governing Body Defendants Based on Ratification—Elements and Burden of Proof</w:t>
            </w:r>
          </w:p>
        </w:tc>
      </w:tr>
      <w:tr w:rsidR="00EC61FE" w:rsidRPr="00273CE9" w14:paraId="661F4B71" w14:textId="77777777" w:rsidTr="003126F6">
        <w:tc>
          <w:tcPr>
            <w:tcW w:w="1345" w:type="dxa"/>
          </w:tcPr>
          <w:p w14:paraId="3E3B5E32" w14:textId="77777777" w:rsidR="00EC61FE" w:rsidRPr="00273CE9" w:rsidRDefault="00EC61FE" w:rsidP="003126F6">
            <w:pPr>
              <w:rPr>
                <w:rFonts w:cs="Times New Roman"/>
              </w:rPr>
            </w:pPr>
            <w:r w:rsidRPr="00273CE9">
              <w:rPr>
                <w:rFonts w:cs="Times New Roman"/>
              </w:rPr>
              <w:t>9.8</w:t>
            </w:r>
          </w:p>
        </w:tc>
        <w:tc>
          <w:tcPr>
            <w:tcW w:w="1620" w:type="dxa"/>
          </w:tcPr>
          <w:p w14:paraId="06997EAE" w14:textId="77777777" w:rsidR="00EC61FE" w:rsidRPr="00273CE9" w:rsidRDefault="00EC61FE" w:rsidP="003126F6">
            <w:pPr>
              <w:rPr>
                <w:rFonts w:cs="Times New Roman"/>
              </w:rPr>
            </w:pPr>
            <w:r w:rsidRPr="00273CE9">
              <w:rPr>
                <w:rFonts w:cs="Times New Roman"/>
              </w:rPr>
              <w:t>9.8</w:t>
            </w:r>
          </w:p>
        </w:tc>
        <w:tc>
          <w:tcPr>
            <w:tcW w:w="1350" w:type="dxa"/>
          </w:tcPr>
          <w:p w14:paraId="499D9CDF" w14:textId="77777777" w:rsidR="00EC61FE" w:rsidRPr="00273CE9" w:rsidRDefault="00EC61FE" w:rsidP="003126F6">
            <w:pPr>
              <w:rPr>
                <w:rFonts w:cs="Times New Roman"/>
              </w:rPr>
            </w:pPr>
            <w:r w:rsidRPr="00273CE9">
              <w:rPr>
                <w:rFonts w:cs="Times New Roman"/>
              </w:rPr>
              <w:t>9.8</w:t>
            </w:r>
          </w:p>
        </w:tc>
        <w:tc>
          <w:tcPr>
            <w:tcW w:w="5035" w:type="dxa"/>
          </w:tcPr>
          <w:p w14:paraId="3E97F1AD" w14:textId="77777777" w:rsidR="00EC61FE" w:rsidRPr="00273CE9" w:rsidRDefault="00EC61FE" w:rsidP="003126F6">
            <w:pPr>
              <w:rPr>
                <w:rFonts w:cs="Times New Roman"/>
              </w:rPr>
            </w:pPr>
            <w:r w:rsidRPr="00273CE9">
              <w:rPr>
                <w:rFonts w:cs="Times New Roman"/>
              </w:rPr>
              <w:t>Section 1983 Claim Against Local Governing Body Defendants Based  on a Policy That Fails to Prevent Violations of Law or a Policy  of Failure to Train—Elements and Burden of Proof</w:t>
            </w:r>
          </w:p>
        </w:tc>
      </w:tr>
      <w:tr w:rsidR="00EC61FE" w:rsidRPr="00273CE9" w14:paraId="5F80EF3B" w14:textId="77777777" w:rsidTr="003126F6">
        <w:tc>
          <w:tcPr>
            <w:tcW w:w="1345" w:type="dxa"/>
          </w:tcPr>
          <w:p w14:paraId="599E26D5" w14:textId="77777777" w:rsidR="00EC61FE" w:rsidRPr="00273CE9" w:rsidRDefault="00EC61FE" w:rsidP="003126F6">
            <w:pPr>
              <w:rPr>
                <w:rFonts w:cs="Times New Roman"/>
              </w:rPr>
            </w:pPr>
            <w:r w:rsidRPr="00273CE9">
              <w:rPr>
                <w:rFonts w:cs="Times New Roman"/>
              </w:rPr>
              <w:t>9.9</w:t>
            </w:r>
          </w:p>
        </w:tc>
        <w:tc>
          <w:tcPr>
            <w:tcW w:w="1620" w:type="dxa"/>
          </w:tcPr>
          <w:p w14:paraId="2344B217" w14:textId="77777777" w:rsidR="00EC61FE" w:rsidRPr="00273CE9" w:rsidRDefault="00EC61FE" w:rsidP="003126F6">
            <w:pPr>
              <w:rPr>
                <w:rFonts w:cs="Times New Roman"/>
              </w:rPr>
            </w:pPr>
            <w:r w:rsidRPr="00273CE9">
              <w:rPr>
                <w:rFonts w:cs="Times New Roman"/>
              </w:rPr>
              <w:t>9.9</w:t>
            </w:r>
          </w:p>
        </w:tc>
        <w:tc>
          <w:tcPr>
            <w:tcW w:w="1350" w:type="dxa"/>
          </w:tcPr>
          <w:p w14:paraId="1D70E7BC" w14:textId="77777777" w:rsidR="00EC61FE" w:rsidRPr="00273CE9" w:rsidRDefault="00EC61FE" w:rsidP="003126F6">
            <w:pPr>
              <w:rPr>
                <w:rFonts w:cs="Times New Roman"/>
              </w:rPr>
            </w:pPr>
            <w:r w:rsidRPr="00273CE9">
              <w:rPr>
                <w:rFonts w:cs="Times New Roman"/>
              </w:rPr>
              <w:t>9.9</w:t>
            </w:r>
          </w:p>
        </w:tc>
        <w:tc>
          <w:tcPr>
            <w:tcW w:w="5035" w:type="dxa"/>
          </w:tcPr>
          <w:p w14:paraId="0F76E6CD" w14:textId="77777777" w:rsidR="00EC61FE" w:rsidRPr="00273CE9" w:rsidRDefault="00EC61FE" w:rsidP="003126F6">
            <w:pPr>
              <w:rPr>
                <w:rFonts w:cs="Times New Roman"/>
              </w:rPr>
            </w:pPr>
            <w:r w:rsidRPr="00273CE9">
              <w:rPr>
                <w:rFonts w:cs="Times New Roman"/>
              </w:rPr>
              <w:t>Particular Rights—First Amendment—Public Employees—Speech</w:t>
            </w:r>
          </w:p>
        </w:tc>
      </w:tr>
      <w:tr w:rsidR="00EC61FE" w:rsidRPr="00273CE9" w14:paraId="00E94322" w14:textId="77777777" w:rsidTr="003126F6">
        <w:tc>
          <w:tcPr>
            <w:tcW w:w="1345" w:type="dxa"/>
          </w:tcPr>
          <w:p w14:paraId="7066A371" w14:textId="77777777" w:rsidR="00EC61FE" w:rsidRPr="00273CE9" w:rsidRDefault="00EC61FE" w:rsidP="003126F6">
            <w:pPr>
              <w:rPr>
                <w:rFonts w:cs="Times New Roman"/>
              </w:rPr>
            </w:pPr>
            <w:r w:rsidRPr="00273CE9">
              <w:rPr>
                <w:rFonts w:cs="Times New Roman"/>
              </w:rPr>
              <w:t>9.10</w:t>
            </w:r>
          </w:p>
        </w:tc>
        <w:tc>
          <w:tcPr>
            <w:tcW w:w="1620" w:type="dxa"/>
          </w:tcPr>
          <w:p w14:paraId="2C990D4E" w14:textId="77777777" w:rsidR="00EC61FE" w:rsidRPr="00273CE9" w:rsidRDefault="00EC61FE" w:rsidP="003126F6">
            <w:pPr>
              <w:rPr>
                <w:rFonts w:cs="Times New Roman"/>
              </w:rPr>
            </w:pPr>
            <w:r w:rsidRPr="00273CE9">
              <w:rPr>
                <w:rFonts w:cs="Times New Roman"/>
              </w:rPr>
              <w:t>9.10</w:t>
            </w:r>
          </w:p>
        </w:tc>
        <w:tc>
          <w:tcPr>
            <w:tcW w:w="1350" w:type="dxa"/>
          </w:tcPr>
          <w:p w14:paraId="06A02881" w14:textId="77777777" w:rsidR="00EC61FE" w:rsidRPr="00273CE9" w:rsidRDefault="00EC61FE" w:rsidP="003126F6">
            <w:pPr>
              <w:rPr>
                <w:rFonts w:cs="Times New Roman"/>
              </w:rPr>
            </w:pPr>
            <w:r w:rsidRPr="00273CE9">
              <w:rPr>
                <w:rFonts w:cs="Times New Roman"/>
              </w:rPr>
              <w:t>9.10</w:t>
            </w:r>
          </w:p>
        </w:tc>
        <w:tc>
          <w:tcPr>
            <w:tcW w:w="5035" w:type="dxa"/>
          </w:tcPr>
          <w:p w14:paraId="493E950F" w14:textId="77777777" w:rsidR="00EC61FE" w:rsidRPr="00273CE9" w:rsidRDefault="00EC61FE" w:rsidP="003126F6">
            <w:pPr>
              <w:rPr>
                <w:rFonts w:cs="Times New Roman"/>
              </w:rPr>
            </w:pPr>
            <w:r w:rsidRPr="00273CE9">
              <w:rPr>
                <w:rFonts w:cs="Times New Roman"/>
              </w:rPr>
              <w:t>Particular Rights—First Amendment—Public Employees—Speaking as a Private Citizen</w:t>
            </w:r>
          </w:p>
        </w:tc>
      </w:tr>
      <w:tr w:rsidR="00EC61FE" w:rsidRPr="00273CE9" w14:paraId="62BCA430" w14:textId="77777777" w:rsidTr="003126F6">
        <w:tc>
          <w:tcPr>
            <w:tcW w:w="1345" w:type="dxa"/>
          </w:tcPr>
          <w:p w14:paraId="0FC12B4C" w14:textId="77777777" w:rsidR="00EC61FE" w:rsidRPr="00273CE9" w:rsidRDefault="00EC61FE" w:rsidP="003126F6">
            <w:pPr>
              <w:rPr>
                <w:rFonts w:cs="Times New Roman"/>
              </w:rPr>
            </w:pPr>
            <w:r w:rsidRPr="00273CE9">
              <w:rPr>
                <w:rFonts w:cs="Times New Roman"/>
              </w:rPr>
              <w:t>9.11</w:t>
            </w:r>
          </w:p>
        </w:tc>
        <w:tc>
          <w:tcPr>
            <w:tcW w:w="1620" w:type="dxa"/>
          </w:tcPr>
          <w:p w14:paraId="00A6C214" w14:textId="77777777" w:rsidR="00EC61FE" w:rsidRPr="00273CE9" w:rsidRDefault="00EC61FE" w:rsidP="003126F6">
            <w:pPr>
              <w:rPr>
                <w:rFonts w:cs="Times New Roman"/>
              </w:rPr>
            </w:pPr>
            <w:r w:rsidRPr="00273CE9">
              <w:rPr>
                <w:rFonts w:cs="Times New Roman"/>
              </w:rPr>
              <w:t>9.11</w:t>
            </w:r>
          </w:p>
        </w:tc>
        <w:tc>
          <w:tcPr>
            <w:tcW w:w="1350" w:type="dxa"/>
          </w:tcPr>
          <w:p w14:paraId="1870327A" w14:textId="77777777" w:rsidR="00EC61FE" w:rsidRPr="00273CE9" w:rsidRDefault="00EC61FE" w:rsidP="003126F6">
            <w:pPr>
              <w:rPr>
                <w:rFonts w:cs="Times New Roman"/>
              </w:rPr>
            </w:pPr>
            <w:r w:rsidRPr="00273CE9">
              <w:rPr>
                <w:rFonts w:cs="Times New Roman"/>
              </w:rPr>
              <w:t>9.11</w:t>
            </w:r>
          </w:p>
        </w:tc>
        <w:tc>
          <w:tcPr>
            <w:tcW w:w="5035" w:type="dxa"/>
          </w:tcPr>
          <w:p w14:paraId="234D2CCE" w14:textId="77777777" w:rsidR="00EC61FE" w:rsidRPr="00273CE9" w:rsidRDefault="00EC61FE" w:rsidP="003126F6">
            <w:pPr>
              <w:rPr>
                <w:rFonts w:cs="Times New Roman"/>
              </w:rPr>
            </w:pPr>
            <w:r w:rsidRPr="00273CE9">
              <w:rPr>
                <w:rFonts w:cs="Times New Roman"/>
              </w:rPr>
              <w:t>Particular Rights—First Amendment— “Citizen” Plaintiff</w:t>
            </w:r>
          </w:p>
        </w:tc>
      </w:tr>
      <w:tr w:rsidR="00EC61FE" w:rsidRPr="00273CE9" w14:paraId="4BB92FA3" w14:textId="77777777" w:rsidTr="003126F6">
        <w:tc>
          <w:tcPr>
            <w:tcW w:w="1345" w:type="dxa"/>
          </w:tcPr>
          <w:p w14:paraId="79F3BEF8" w14:textId="77777777" w:rsidR="00EC61FE" w:rsidRPr="00273CE9" w:rsidRDefault="00EC61FE" w:rsidP="003126F6">
            <w:pPr>
              <w:rPr>
                <w:rFonts w:cs="Times New Roman"/>
              </w:rPr>
            </w:pPr>
            <w:r w:rsidRPr="00273CE9">
              <w:rPr>
                <w:rFonts w:cs="Times New Roman"/>
              </w:rPr>
              <w:t xml:space="preserve">   —</w:t>
            </w:r>
          </w:p>
        </w:tc>
        <w:tc>
          <w:tcPr>
            <w:tcW w:w="1620" w:type="dxa"/>
          </w:tcPr>
          <w:p w14:paraId="16F221C3" w14:textId="77777777" w:rsidR="00EC61FE" w:rsidRPr="00273CE9" w:rsidRDefault="00EC61FE" w:rsidP="003126F6">
            <w:pPr>
              <w:rPr>
                <w:rFonts w:cs="Times New Roman"/>
              </w:rPr>
            </w:pPr>
            <w:r w:rsidRPr="00273CE9">
              <w:rPr>
                <w:rFonts w:cs="Times New Roman"/>
              </w:rPr>
              <w:t>9.11A</w:t>
            </w:r>
          </w:p>
        </w:tc>
        <w:tc>
          <w:tcPr>
            <w:tcW w:w="1350" w:type="dxa"/>
          </w:tcPr>
          <w:p w14:paraId="6205FE72" w14:textId="77777777" w:rsidR="00EC61FE" w:rsidRPr="00273CE9" w:rsidRDefault="00EC61FE" w:rsidP="003126F6">
            <w:pPr>
              <w:rPr>
                <w:rFonts w:cs="Times New Roman"/>
              </w:rPr>
            </w:pPr>
            <w:r w:rsidRPr="00273CE9">
              <w:rPr>
                <w:rFonts w:cs="Times New Roman"/>
              </w:rPr>
              <w:t>9.12</w:t>
            </w:r>
          </w:p>
        </w:tc>
        <w:tc>
          <w:tcPr>
            <w:tcW w:w="5035" w:type="dxa"/>
          </w:tcPr>
          <w:p w14:paraId="1AFF35A1" w14:textId="77777777" w:rsidR="00EC61FE" w:rsidRPr="00273CE9" w:rsidRDefault="00EC61FE" w:rsidP="003126F6">
            <w:pPr>
              <w:rPr>
                <w:rFonts w:cs="Times New Roman"/>
              </w:rPr>
            </w:pPr>
            <w:r w:rsidRPr="00273CE9">
              <w:rPr>
                <w:rFonts w:cs="Times New Roman"/>
              </w:rPr>
              <w:t>Particular Rights—First Amendment—Convicted Prisoner/Pretrial Detainee’s Claim of Retaliation</w:t>
            </w:r>
          </w:p>
        </w:tc>
      </w:tr>
      <w:tr w:rsidR="00EC61FE" w:rsidRPr="00273CE9" w14:paraId="0830CC5F" w14:textId="77777777" w:rsidTr="003126F6">
        <w:tc>
          <w:tcPr>
            <w:tcW w:w="1345" w:type="dxa"/>
          </w:tcPr>
          <w:p w14:paraId="1A656B5D" w14:textId="77777777" w:rsidR="00EC61FE" w:rsidRPr="00273CE9" w:rsidRDefault="00EC61FE" w:rsidP="003126F6">
            <w:pPr>
              <w:rPr>
                <w:rFonts w:cs="Times New Roman"/>
              </w:rPr>
            </w:pPr>
            <w:r w:rsidRPr="00273CE9">
              <w:rPr>
                <w:rFonts w:cs="Times New Roman"/>
              </w:rPr>
              <w:t>9.12</w:t>
            </w:r>
          </w:p>
        </w:tc>
        <w:tc>
          <w:tcPr>
            <w:tcW w:w="1620" w:type="dxa"/>
          </w:tcPr>
          <w:p w14:paraId="3FD49EE2" w14:textId="77777777" w:rsidR="00EC61FE" w:rsidRPr="00273CE9" w:rsidRDefault="00EC61FE" w:rsidP="003126F6">
            <w:pPr>
              <w:rPr>
                <w:rFonts w:cs="Times New Roman"/>
              </w:rPr>
            </w:pPr>
            <w:r w:rsidRPr="00273CE9">
              <w:rPr>
                <w:rFonts w:cs="Times New Roman"/>
              </w:rPr>
              <w:t>9.12</w:t>
            </w:r>
          </w:p>
        </w:tc>
        <w:tc>
          <w:tcPr>
            <w:tcW w:w="1350" w:type="dxa"/>
          </w:tcPr>
          <w:p w14:paraId="5AE0249C" w14:textId="77777777" w:rsidR="00EC61FE" w:rsidRPr="00273CE9" w:rsidRDefault="00EC61FE" w:rsidP="003126F6">
            <w:pPr>
              <w:rPr>
                <w:rFonts w:cs="Times New Roman"/>
              </w:rPr>
            </w:pPr>
            <w:r w:rsidRPr="00273CE9">
              <w:rPr>
                <w:rFonts w:cs="Times New Roman"/>
              </w:rPr>
              <w:t>9.13</w:t>
            </w:r>
          </w:p>
        </w:tc>
        <w:tc>
          <w:tcPr>
            <w:tcW w:w="5035" w:type="dxa"/>
          </w:tcPr>
          <w:p w14:paraId="63E94CB6" w14:textId="77777777" w:rsidR="00EC61FE" w:rsidRPr="00273CE9" w:rsidRDefault="00EC61FE" w:rsidP="003126F6">
            <w:pPr>
              <w:rPr>
                <w:rFonts w:cs="Times New Roman"/>
              </w:rPr>
            </w:pPr>
            <w:r w:rsidRPr="00273CE9">
              <w:rPr>
                <w:rFonts w:cs="Times New Roman"/>
              </w:rPr>
              <w:t>Particular Rights—Fourth Amendment—Unreasonable Search—Generally</w:t>
            </w:r>
          </w:p>
        </w:tc>
      </w:tr>
      <w:tr w:rsidR="00EC61FE" w:rsidRPr="00273CE9" w14:paraId="21831F55" w14:textId="77777777" w:rsidTr="003126F6">
        <w:tc>
          <w:tcPr>
            <w:tcW w:w="1345" w:type="dxa"/>
          </w:tcPr>
          <w:p w14:paraId="531CFB5A" w14:textId="77777777" w:rsidR="00EC61FE" w:rsidRPr="00273CE9" w:rsidRDefault="00EC61FE" w:rsidP="003126F6">
            <w:pPr>
              <w:rPr>
                <w:rFonts w:cs="Times New Roman"/>
              </w:rPr>
            </w:pPr>
            <w:r w:rsidRPr="00273CE9">
              <w:rPr>
                <w:rFonts w:cs="Times New Roman"/>
              </w:rPr>
              <w:t>9.13</w:t>
            </w:r>
          </w:p>
        </w:tc>
        <w:tc>
          <w:tcPr>
            <w:tcW w:w="1620" w:type="dxa"/>
          </w:tcPr>
          <w:p w14:paraId="19E3974C" w14:textId="77777777" w:rsidR="00EC61FE" w:rsidRPr="00273CE9" w:rsidRDefault="00EC61FE" w:rsidP="003126F6">
            <w:pPr>
              <w:rPr>
                <w:rFonts w:cs="Times New Roman"/>
              </w:rPr>
            </w:pPr>
            <w:r w:rsidRPr="00273CE9">
              <w:rPr>
                <w:rFonts w:cs="Times New Roman"/>
              </w:rPr>
              <w:t>9.13</w:t>
            </w:r>
          </w:p>
        </w:tc>
        <w:tc>
          <w:tcPr>
            <w:tcW w:w="1350" w:type="dxa"/>
          </w:tcPr>
          <w:p w14:paraId="4B2FEBCA" w14:textId="77777777" w:rsidR="00EC61FE" w:rsidRPr="00273CE9" w:rsidRDefault="00EC61FE" w:rsidP="003126F6">
            <w:pPr>
              <w:rPr>
                <w:rFonts w:cs="Times New Roman"/>
              </w:rPr>
            </w:pPr>
            <w:r w:rsidRPr="00273CE9">
              <w:rPr>
                <w:rFonts w:cs="Times New Roman"/>
              </w:rPr>
              <w:t>9.14</w:t>
            </w:r>
          </w:p>
        </w:tc>
        <w:tc>
          <w:tcPr>
            <w:tcW w:w="5035" w:type="dxa"/>
          </w:tcPr>
          <w:p w14:paraId="08759288" w14:textId="77777777" w:rsidR="00EC61FE" w:rsidRPr="00273CE9" w:rsidRDefault="00EC61FE" w:rsidP="003126F6">
            <w:pPr>
              <w:rPr>
                <w:rFonts w:cs="Times New Roman"/>
              </w:rPr>
            </w:pPr>
            <w:r w:rsidRPr="00273CE9">
              <w:rPr>
                <w:rFonts w:cs="Times New Roman"/>
              </w:rPr>
              <w:t>Particular Rights—Fourth Amendment—Unreasonable Search—Exception to Warrant Requirement—Search Incident to Arrest</w:t>
            </w:r>
          </w:p>
        </w:tc>
      </w:tr>
      <w:tr w:rsidR="00EC61FE" w:rsidRPr="00273CE9" w14:paraId="4074D569" w14:textId="77777777" w:rsidTr="003126F6">
        <w:tc>
          <w:tcPr>
            <w:tcW w:w="1345" w:type="dxa"/>
          </w:tcPr>
          <w:p w14:paraId="3E55D4FF" w14:textId="77777777" w:rsidR="00EC61FE" w:rsidRPr="00273CE9" w:rsidRDefault="00EC61FE" w:rsidP="003126F6">
            <w:pPr>
              <w:rPr>
                <w:rFonts w:cs="Times New Roman"/>
              </w:rPr>
            </w:pPr>
            <w:r w:rsidRPr="00273CE9">
              <w:rPr>
                <w:rFonts w:cs="Times New Roman"/>
              </w:rPr>
              <w:t>9.14</w:t>
            </w:r>
          </w:p>
        </w:tc>
        <w:tc>
          <w:tcPr>
            <w:tcW w:w="1620" w:type="dxa"/>
          </w:tcPr>
          <w:p w14:paraId="7DD921A9" w14:textId="77777777" w:rsidR="00EC61FE" w:rsidRPr="00273CE9" w:rsidRDefault="00EC61FE" w:rsidP="003126F6">
            <w:pPr>
              <w:rPr>
                <w:rFonts w:cs="Times New Roman"/>
              </w:rPr>
            </w:pPr>
            <w:r w:rsidRPr="00273CE9">
              <w:rPr>
                <w:rFonts w:cs="Times New Roman"/>
              </w:rPr>
              <w:t>9.14</w:t>
            </w:r>
          </w:p>
        </w:tc>
        <w:tc>
          <w:tcPr>
            <w:tcW w:w="1350" w:type="dxa"/>
          </w:tcPr>
          <w:p w14:paraId="0DED473C" w14:textId="77777777" w:rsidR="00EC61FE" w:rsidRPr="00273CE9" w:rsidRDefault="00EC61FE" w:rsidP="003126F6">
            <w:pPr>
              <w:rPr>
                <w:rFonts w:cs="Times New Roman"/>
              </w:rPr>
            </w:pPr>
            <w:r w:rsidRPr="00273CE9">
              <w:rPr>
                <w:rFonts w:cs="Times New Roman"/>
              </w:rPr>
              <w:t>9.15</w:t>
            </w:r>
          </w:p>
        </w:tc>
        <w:tc>
          <w:tcPr>
            <w:tcW w:w="5035" w:type="dxa"/>
          </w:tcPr>
          <w:p w14:paraId="62D27F91" w14:textId="77777777" w:rsidR="00EC61FE" w:rsidRPr="00273CE9" w:rsidRDefault="00EC61FE" w:rsidP="003126F6">
            <w:pPr>
              <w:rPr>
                <w:rFonts w:cs="Times New Roman"/>
              </w:rPr>
            </w:pPr>
            <w:r w:rsidRPr="00273CE9">
              <w:rPr>
                <w:rFonts w:cs="Times New Roman"/>
              </w:rPr>
              <w:t>Particular Rights—Fourth Amendment—Unreasonable Search— Exception to Warrant Requirement—Search of Vehicle Incident to Arrest of a Recent Occupant</w:t>
            </w:r>
          </w:p>
        </w:tc>
      </w:tr>
      <w:tr w:rsidR="00EC61FE" w:rsidRPr="00273CE9" w14:paraId="574BF1BF" w14:textId="77777777" w:rsidTr="003126F6">
        <w:tc>
          <w:tcPr>
            <w:tcW w:w="1345" w:type="dxa"/>
          </w:tcPr>
          <w:p w14:paraId="5D2C0106" w14:textId="77777777" w:rsidR="00EC61FE" w:rsidRPr="00273CE9" w:rsidRDefault="00EC61FE" w:rsidP="003126F6">
            <w:pPr>
              <w:rPr>
                <w:rFonts w:cs="Times New Roman"/>
              </w:rPr>
            </w:pPr>
            <w:r w:rsidRPr="00273CE9">
              <w:rPr>
                <w:rFonts w:cs="Times New Roman"/>
              </w:rPr>
              <w:t>9.15</w:t>
            </w:r>
          </w:p>
        </w:tc>
        <w:tc>
          <w:tcPr>
            <w:tcW w:w="1620" w:type="dxa"/>
          </w:tcPr>
          <w:p w14:paraId="7C3021E3" w14:textId="77777777" w:rsidR="00EC61FE" w:rsidRPr="00273CE9" w:rsidRDefault="00EC61FE" w:rsidP="003126F6">
            <w:pPr>
              <w:rPr>
                <w:rFonts w:cs="Times New Roman"/>
              </w:rPr>
            </w:pPr>
            <w:r w:rsidRPr="00273CE9">
              <w:rPr>
                <w:rFonts w:cs="Times New Roman"/>
              </w:rPr>
              <w:t>9.15</w:t>
            </w:r>
          </w:p>
        </w:tc>
        <w:tc>
          <w:tcPr>
            <w:tcW w:w="1350" w:type="dxa"/>
          </w:tcPr>
          <w:p w14:paraId="5D90F215" w14:textId="77777777" w:rsidR="00EC61FE" w:rsidRPr="00273CE9" w:rsidRDefault="00EC61FE" w:rsidP="003126F6">
            <w:pPr>
              <w:rPr>
                <w:rFonts w:cs="Times New Roman"/>
              </w:rPr>
            </w:pPr>
            <w:r w:rsidRPr="00273CE9">
              <w:rPr>
                <w:rFonts w:cs="Times New Roman"/>
              </w:rPr>
              <w:t>9.16</w:t>
            </w:r>
          </w:p>
        </w:tc>
        <w:tc>
          <w:tcPr>
            <w:tcW w:w="5035" w:type="dxa"/>
          </w:tcPr>
          <w:p w14:paraId="1CA3E9C5" w14:textId="77777777" w:rsidR="00EC61FE" w:rsidRPr="00273CE9" w:rsidRDefault="00EC61FE" w:rsidP="003126F6">
            <w:pPr>
              <w:rPr>
                <w:rFonts w:cs="Times New Roman"/>
              </w:rPr>
            </w:pPr>
            <w:r w:rsidRPr="00273CE9">
              <w:rPr>
                <w:rFonts w:cs="Times New Roman"/>
              </w:rPr>
              <w:t>Particular Rights—Fourth Amendment—Unreasonable Search—Exception To Warrant Requirement—Consent</w:t>
            </w:r>
          </w:p>
        </w:tc>
      </w:tr>
      <w:tr w:rsidR="00EC61FE" w:rsidRPr="00273CE9" w14:paraId="7D315594" w14:textId="77777777" w:rsidTr="003126F6">
        <w:tc>
          <w:tcPr>
            <w:tcW w:w="1345" w:type="dxa"/>
          </w:tcPr>
          <w:p w14:paraId="17861BA8" w14:textId="77777777" w:rsidR="00EC61FE" w:rsidRPr="00273CE9" w:rsidRDefault="00EC61FE" w:rsidP="003126F6">
            <w:pPr>
              <w:rPr>
                <w:rFonts w:cs="Times New Roman"/>
              </w:rPr>
            </w:pPr>
            <w:r w:rsidRPr="00273CE9">
              <w:rPr>
                <w:rFonts w:cs="Times New Roman"/>
              </w:rPr>
              <w:t>9.16</w:t>
            </w:r>
          </w:p>
        </w:tc>
        <w:tc>
          <w:tcPr>
            <w:tcW w:w="1620" w:type="dxa"/>
          </w:tcPr>
          <w:p w14:paraId="0EDFCBC2" w14:textId="77777777" w:rsidR="00EC61FE" w:rsidRPr="00273CE9" w:rsidRDefault="00EC61FE" w:rsidP="003126F6">
            <w:pPr>
              <w:rPr>
                <w:rFonts w:cs="Times New Roman"/>
              </w:rPr>
            </w:pPr>
            <w:r w:rsidRPr="00273CE9">
              <w:rPr>
                <w:rFonts w:cs="Times New Roman"/>
              </w:rPr>
              <w:t>9.16</w:t>
            </w:r>
          </w:p>
        </w:tc>
        <w:tc>
          <w:tcPr>
            <w:tcW w:w="1350" w:type="dxa"/>
          </w:tcPr>
          <w:p w14:paraId="3A988F25" w14:textId="77777777" w:rsidR="00EC61FE" w:rsidRPr="00273CE9" w:rsidRDefault="00EC61FE" w:rsidP="003126F6">
            <w:pPr>
              <w:rPr>
                <w:rFonts w:cs="Times New Roman"/>
              </w:rPr>
            </w:pPr>
            <w:r w:rsidRPr="00273CE9">
              <w:rPr>
                <w:rFonts w:cs="Times New Roman"/>
              </w:rPr>
              <w:t>9.17</w:t>
            </w:r>
          </w:p>
        </w:tc>
        <w:tc>
          <w:tcPr>
            <w:tcW w:w="5035" w:type="dxa"/>
          </w:tcPr>
          <w:p w14:paraId="09B844BA" w14:textId="77777777" w:rsidR="00EC61FE" w:rsidRPr="00273CE9" w:rsidRDefault="00EC61FE" w:rsidP="003126F6">
            <w:pPr>
              <w:rPr>
                <w:rFonts w:cs="Times New Roman"/>
              </w:rPr>
            </w:pPr>
            <w:r w:rsidRPr="00273CE9">
              <w:rPr>
                <w:rFonts w:cs="Times New Roman"/>
              </w:rPr>
              <w:t>Particular Rights—Fourth Amendment—Unreasonable Search—Exception to Warrant Requirement—Exigent Circumstances</w:t>
            </w:r>
          </w:p>
        </w:tc>
      </w:tr>
      <w:tr w:rsidR="00EC61FE" w:rsidRPr="00273CE9" w14:paraId="27CE3EF7" w14:textId="77777777" w:rsidTr="003126F6">
        <w:tc>
          <w:tcPr>
            <w:tcW w:w="1345" w:type="dxa"/>
          </w:tcPr>
          <w:p w14:paraId="68AD0FF1" w14:textId="77777777" w:rsidR="00EC61FE" w:rsidRPr="00273CE9" w:rsidRDefault="00EC61FE" w:rsidP="003126F6">
            <w:pPr>
              <w:rPr>
                <w:rFonts w:cs="Times New Roman"/>
              </w:rPr>
            </w:pPr>
            <w:r w:rsidRPr="00273CE9">
              <w:rPr>
                <w:rFonts w:cs="Times New Roman"/>
              </w:rPr>
              <w:t>9.17</w:t>
            </w:r>
          </w:p>
        </w:tc>
        <w:tc>
          <w:tcPr>
            <w:tcW w:w="1620" w:type="dxa"/>
          </w:tcPr>
          <w:p w14:paraId="52497015" w14:textId="77777777" w:rsidR="00EC61FE" w:rsidRPr="00273CE9" w:rsidRDefault="00EC61FE" w:rsidP="003126F6">
            <w:pPr>
              <w:rPr>
                <w:rFonts w:cs="Times New Roman"/>
              </w:rPr>
            </w:pPr>
            <w:r w:rsidRPr="00273CE9">
              <w:rPr>
                <w:rFonts w:cs="Times New Roman"/>
              </w:rPr>
              <w:t>9.17</w:t>
            </w:r>
          </w:p>
        </w:tc>
        <w:tc>
          <w:tcPr>
            <w:tcW w:w="1350" w:type="dxa"/>
          </w:tcPr>
          <w:p w14:paraId="665DC62B" w14:textId="77777777" w:rsidR="00EC61FE" w:rsidRPr="00273CE9" w:rsidRDefault="00EC61FE" w:rsidP="003126F6">
            <w:pPr>
              <w:rPr>
                <w:rFonts w:cs="Times New Roman"/>
              </w:rPr>
            </w:pPr>
            <w:r w:rsidRPr="00273CE9">
              <w:rPr>
                <w:rFonts w:cs="Times New Roman"/>
              </w:rPr>
              <w:t>9.18</w:t>
            </w:r>
          </w:p>
        </w:tc>
        <w:tc>
          <w:tcPr>
            <w:tcW w:w="5035" w:type="dxa"/>
          </w:tcPr>
          <w:p w14:paraId="36885915" w14:textId="77777777" w:rsidR="00EC61FE" w:rsidRPr="00273CE9" w:rsidRDefault="00EC61FE" w:rsidP="003126F6">
            <w:pPr>
              <w:rPr>
                <w:rFonts w:cs="Times New Roman"/>
              </w:rPr>
            </w:pPr>
            <w:r w:rsidRPr="00273CE9">
              <w:rPr>
                <w:rFonts w:cs="Times New Roman"/>
              </w:rPr>
              <w:t>Particular Rights—Fourth Amendment—Unreasonable Search—Exception to Warrant Requirement—Emergency Aid</w:t>
            </w:r>
          </w:p>
        </w:tc>
      </w:tr>
      <w:tr w:rsidR="00EC61FE" w:rsidRPr="00273CE9" w14:paraId="745345F2" w14:textId="77777777" w:rsidTr="003126F6">
        <w:tc>
          <w:tcPr>
            <w:tcW w:w="1345" w:type="dxa"/>
          </w:tcPr>
          <w:p w14:paraId="2E525662" w14:textId="77777777" w:rsidR="00EC61FE" w:rsidRPr="00273CE9" w:rsidRDefault="00EC61FE" w:rsidP="003126F6">
            <w:pPr>
              <w:rPr>
                <w:rFonts w:cs="Times New Roman"/>
              </w:rPr>
            </w:pPr>
            <w:r w:rsidRPr="00273CE9">
              <w:rPr>
                <w:rFonts w:cs="Times New Roman"/>
              </w:rPr>
              <w:t>—</w:t>
            </w:r>
          </w:p>
        </w:tc>
        <w:tc>
          <w:tcPr>
            <w:tcW w:w="1620" w:type="dxa"/>
          </w:tcPr>
          <w:p w14:paraId="27C8C079" w14:textId="77777777" w:rsidR="00EC61FE" w:rsidRPr="00273CE9" w:rsidRDefault="00EC61FE" w:rsidP="003126F6">
            <w:pPr>
              <w:rPr>
                <w:rFonts w:cs="Times New Roman"/>
              </w:rPr>
            </w:pPr>
            <w:r w:rsidRPr="00273CE9">
              <w:rPr>
                <w:rFonts w:cs="Times New Roman"/>
              </w:rPr>
              <w:t>9.17A</w:t>
            </w:r>
          </w:p>
        </w:tc>
        <w:tc>
          <w:tcPr>
            <w:tcW w:w="1350" w:type="dxa"/>
          </w:tcPr>
          <w:p w14:paraId="5B8CB7C0" w14:textId="77777777" w:rsidR="00EC61FE" w:rsidRPr="00273CE9" w:rsidRDefault="00EC61FE" w:rsidP="003126F6">
            <w:pPr>
              <w:rPr>
                <w:rFonts w:cs="Times New Roman"/>
              </w:rPr>
            </w:pPr>
            <w:r w:rsidRPr="00273CE9">
              <w:rPr>
                <w:rFonts w:cs="Times New Roman"/>
              </w:rPr>
              <w:t>9.19</w:t>
            </w:r>
          </w:p>
        </w:tc>
        <w:tc>
          <w:tcPr>
            <w:tcW w:w="5035" w:type="dxa"/>
          </w:tcPr>
          <w:p w14:paraId="407219C4" w14:textId="77777777" w:rsidR="00EC61FE" w:rsidRPr="00273CE9" w:rsidRDefault="00EC61FE" w:rsidP="003126F6">
            <w:pPr>
              <w:rPr>
                <w:rFonts w:cs="Times New Roman"/>
              </w:rPr>
            </w:pPr>
            <w:r w:rsidRPr="00273CE9">
              <w:rPr>
                <w:rFonts w:cs="Times New Roman"/>
              </w:rPr>
              <w:t>Particular Rights—Fourth Amendment—Unreasonable Search— Judicial Deception</w:t>
            </w:r>
          </w:p>
        </w:tc>
      </w:tr>
      <w:tr w:rsidR="00EC61FE" w:rsidRPr="00273CE9" w14:paraId="0DB9AFB4" w14:textId="77777777" w:rsidTr="003126F6">
        <w:tc>
          <w:tcPr>
            <w:tcW w:w="1345" w:type="dxa"/>
          </w:tcPr>
          <w:p w14:paraId="39AF5BA3" w14:textId="77777777" w:rsidR="00EC61FE" w:rsidRPr="00273CE9" w:rsidRDefault="00EC61FE" w:rsidP="003126F6">
            <w:pPr>
              <w:rPr>
                <w:rFonts w:cs="Times New Roman"/>
              </w:rPr>
            </w:pPr>
            <w:r w:rsidRPr="00273CE9">
              <w:rPr>
                <w:rFonts w:cs="Times New Roman"/>
              </w:rPr>
              <w:t>9.18</w:t>
            </w:r>
          </w:p>
        </w:tc>
        <w:tc>
          <w:tcPr>
            <w:tcW w:w="1620" w:type="dxa"/>
          </w:tcPr>
          <w:p w14:paraId="175B4679" w14:textId="77777777" w:rsidR="00EC61FE" w:rsidRPr="00273CE9" w:rsidRDefault="00EC61FE" w:rsidP="003126F6">
            <w:pPr>
              <w:rPr>
                <w:rFonts w:cs="Times New Roman"/>
              </w:rPr>
            </w:pPr>
            <w:r w:rsidRPr="00273CE9">
              <w:rPr>
                <w:rFonts w:cs="Times New Roman"/>
              </w:rPr>
              <w:t>9.18</w:t>
            </w:r>
          </w:p>
        </w:tc>
        <w:tc>
          <w:tcPr>
            <w:tcW w:w="1350" w:type="dxa"/>
          </w:tcPr>
          <w:p w14:paraId="23AB43A9" w14:textId="77777777" w:rsidR="00EC61FE" w:rsidRPr="00273CE9" w:rsidRDefault="00EC61FE" w:rsidP="003126F6">
            <w:pPr>
              <w:rPr>
                <w:rFonts w:cs="Times New Roman"/>
              </w:rPr>
            </w:pPr>
            <w:r w:rsidRPr="00273CE9">
              <w:rPr>
                <w:rFonts w:cs="Times New Roman"/>
              </w:rPr>
              <w:t>9.20</w:t>
            </w:r>
          </w:p>
        </w:tc>
        <w:tc>
          <w:tcPr>
            <w:tcW w:w="5035" w:type="dxa"/>
          </w:tcPr>
          <w:p w14:paraId="7C4F6A9B" w14:textId="77777777" w:rsidR="00EC61FE" w:rsidRPr="00273CE9" w:rsidRDefault="00EC61FE" w:rsidP="003126F6">
            <w:pPr>
              <w:rPr>
                <w:rFonts w:cs="Times New Roman"/>
              </w:rPr>
            </w:pPr>
            <w:r w:rsidRPr="00273CE9">
              <w:rPr>
                <w:rFonts w:cs="Times New Roman"/>
              </w:rPr>
              <w:t>Particular Rights—Fourth Amendment—Unreasonable Seizure of Property—Generally</w:t>
            </w:r>
          </w:p>
        </w:tc>
      </w:tr>
      <w:tr w:rsidR="00EC61FE" w:rsidRPr="00273CE9" w14:paraId="007AFD49" w14:textId="77777777" w:rsidTr="003126F6">
        <w:tc>
          <w:tcPr>
            <w:tcW w:w="1345" w:type="dxa"/>
          </w:tcPr>
          <w:p w14:paraId="27963561" w14:textId="77777777" w:rsidR="00EC61FE" w:rsidRPr="00273CE9" w:rsidRDefault="00EC61FE" w:rsidP="003126F6">
            <w:pPr>
              <w:rPr>
                <w:rFonts w:cs="Times New Roman"/>
              </w:rPr>
            </w:pPr>
            <w:r w:rsidRPr="00273CE9">
              <w:rPr>
                <w:rFonts w:cs="Times New Roman"/>
              </w:rPr>
              <w:t>9.19</w:t>
            </w:r>
          </w:p>
        </w:tc>
        <w:tc>
          <w:tcPr>
            <w:tcW w:w="1620" w:type="dxa"/>
          </w:tcPr>
          <w:p w14:paraId="488A8B6D" w14:textId="77777777" w:rsidR="00EC61FE" w:rsidRPr="00273CE9" w:rsidRDefault="00EC61FE" w:rsidP="003126F6">
            <w:pPr>
              <w:rPr>
                <w:rFonts w:cs="Times New Roman"/>
              </w:rPr>
            </w:pPr>
            <w:r w:rsidRPr="00273CE9">
              <w:rPr>
                <w:rFonts w:cs="Times New Roman"/>
              </w:rPr>
              <w:t>9.19</w:t>
            </w:r>
          </w:p>
        </w:tc>
        <w:tc>
          <w:tcPr>
            <w:tcW w:w="1350" w:type="dxa"/>
          </w:tcPr>
          <w:p w14:paraId="0613AF7D" w14:textId="77777777" w:rsidR="00EC61FE" w:rsidRPr="00273CE9" w:rsidRDefault="00EC61FE" w:rsidP="003126F6">
            <w:pPr>
              <w:rPr>
                <w:rFonts w:cs="Times New Roman"/>
              </w:rPr>
            </w:pPr>
            <w:r w:rsidRPr="00273CE9">
              <w:rPr>
                <w:rFonts w:cs="Times New Roman"/>
              </w:rPr>
              <w:t>9.21</w:t>
            </w:r>
          </w:p>
        </w:tc>
        <w:tc>
          <w:tcPr>
            <w:tcW w:w="5035" w:type="dxa"/>
          </w:tcPr>
          <w:p w14:paraId="3C400E8D" w14:textId="77777777" w:rsidR="00EC61FE" w:rsidRPr="00273CE9" w:rsidRDefault="00EC61FE" w:rsidP="003126F6">
            <w:pPr>
              <w:rPr>
                <w:rFonts w:cs="Times New Roman"/>
              </w:rPr>
            </w:pPr>
            <w:r w:rsidRPr="00273CE9">
              <w:rPr>
                <w:rFonts w:cs="Times New Roman"/>
              </w:rPr>
              <w:t>Particular Rights—Fourth Amendment—Unreasonable Seizure of Property—Exceptions to Warrant Requirement</w:t>
            </w:r>
          </w:p>
        </w:tc>
      </w:tr>
      <w:tr w:rsidR="00EC61FE" w:rsidRPr="00273CE9" w14:paraId="4E748FCC" w14:textId="77777777" w:rsidTr="003126F6">
        <w:tc>
          <w:tcPr>
            <w:tcW w:w="1345" w:type="dxa"/>
          </w:tcPr>
          <w:p w14:paraId="095386A1" w14:textId="77777777" w:rsidR="00EC61FE" w:rsidRPr="00273CE9" w:rsidRDefault="00EC61FE" w:rsidP="003126F6">
            <w:pPr>
              <w:rPr>
                <w:rFonts w:cs="Times New Roman"/>
              </w:rPr>
            </w:pPr>
            <w:r w:rsidRPr="00273CE9">
              <w:rPr>
                <w:rFonts w:cs="Times New Roman"/>
              </w:rPr>
              <w:lastRenderedPageBreak/>
              <w:t>9.20</w:t>
            </w:r>
          </w:p>
        </w:tc>
        <w:tc>
          <w:tcPr>
            <w:tcW w:w="1620" w:type="dxa"/>
          </w:tcPr>
          <w:p w14:paraId="64608F4D" w14:textId="77777777" w:rsidR="00EC61FE" w:rsidRPr="00273CE9" w:rsidRDefault="00EC61FE" w:rsidP="003126F6">
            <w:pPr>
              <w:rPr>
                <w:rFonts w:cs="Times New Roman"/>
              </w:rPr>
            </w:pPr>
            <w:r w:rsidRPr="00273CE9">
              <w:rPr>
                <w:rFonts w:cs="Times New Roman"/>
              </w:rPr>
              <w:t>9.20</w:t>
            </w:r>
          </w:p>
        </w:tc>
        <w:tc>
          <w:tcPr>
            <w:tcW w:w="1350" w:type="dxa"/>
          </w:tcPr>
          <w:p w14:paraId="676666E2" w14:textId="77777777" w:rsidR="00EC61FE" w:rsidRPr="00273CE9" w:rsidRDefault="00EC61FE" w:rsidP="003126F6">
            <w:pPr>
              <w:rPr>
                <w:rFonts w:cs="Times New Roman"/>
              </w:rPr>
            </w:pPr>
            <w:r w:rsidRPr="00273CE9">
              <w:rPr>
                <w:rFonts w:cs="Times New Roman"/>
              </w:rPr>
              <w:t>9.22</w:t>
            </w:r>
          </w:p>
        </w:tc>
        <w:tc>
          <w:tcPr>
            <w:tcW w:w="5035" w:type="dxa"/>
          </w:tcPr>
          <w:p w14:paraId="5E85CF74" w14:textId="77777777" w:rsidR="00EC61FE" w:rsidRPr="00273CE9" w:rsidRDefault="00EC61FE" w:rsidP="003126F6">
            <w:pPr>
              <w:rPr>
                <w:rFonts w:cs="Times New Roman"/>
              </w:rPr>
            </w:pPr>
            <w:r w:rsidRPr="00273CE9">
              <w:rPr>
                <w:rFonts w:cs="Times New Roman"/>
              </w:rPr>
              <w:t>Particular Rights—Fourth Amendment—Unreasonable Seizure of Person—Generally</w:t>
            </w:r>
          </w:p>
        </w:tc>
      </w:tr>
      <w:tr w:rsidR="00EC61FE" w:rsidRPr="00273CE9" w14:paraId="09378067" w14:textId="77777777" w:rsidTr="003126F6">
        <w:tc>
          <w:tcPr>
            <w:tcW w:w="1345" w:type="dxa"/>
          </w:tcPr>
          <w:p w14:paraId="68BD6C35" w14:textId="77777777" w:rsidR="00EC61FE" w:rsidRPr="00273CE9" w:rsidRDefault="00EC61FE" w:rsidP="003126F6">
            <w:pPr>
              <w:rPr>
                <w:rFonts w:cs="Times New Roman"/>
              </w:rPr>
            </w:pPr>
            <w:r w:rsidRPr="00273CE9">
              <w:rPr>
                <w:rFonts w:cs="Times New Roman"/>
              </w:rPr>
              <w:t>9.21</w:t>
            </w:r>
          </w:p>
        </w:tc>
        <w:tc>
          <w:tcPr>
            <w:tcW w:w="1620" w:type="dxa"/>
          </w:tcPr>
          <w:p w14:paraId="45ED2B0F" w14:textId="77777777" w:rsidR="00EC61FE" w:rsidRPr="00273CE9" w:rsidRDefault="00EC61FE" w:rsidP="003126F6">
            <w:pPr>
              <w:rPr>
                <w:rFonts w:cs="Times New Roman"/>
              </w:rPr>
            </w:pPr>
            <w:r w:rsidRPr="00273CE9">
              <w:rPr>
                <w:rFonts w:cs="Times New Roman"/>
              </w:rPr>
              <w:t>9.21</w:t>
            </w:r>
          </w:p>
        </w:tc>
        <w:tc>
          <w:tcPr>
            <w:tcW w:w="1350" w:type="dxa"/>
          </w:tcPr>
          <w:p w14:paraId="3699B751" w14:textId="77777777" w:rsidR="00EC61FE" w:rsidRPr="00273CE9" w:rsidRDefault="00EC61FE" w:rsidP="003126F6">
            <w:pPr>
              <w:rPr>
                <w:rFonts w:cs="Times New Roman"/>
              </w:rPr>
            </w:pPr>
            <w:r w:rsidRPr="00273CE9">
              <w:rPr>
                <w:rFonts w:cs="Times New Roman"/>
              </w:rPr>
              <w:t>9.23</w:t>
            </w:r>
          </w:p>
        </w:tc>
        <w:tc>
          <w:tcPr>
            <w:tcW w:w="5035" w:type="dxa"/>
          </w:tcPr>
          <w:p w14:paraId="421A623C" w14:textId="77777777" w:rsidR="00EC61FE" w:rsidRPr="00273CE9" w:rsidRDefault="00EC61FE" w:rsidP="003126F6">
            <w:pPr>
              <w:rPr>
                <w:rFonts w:cs="Times New Roman"/>
              </w:rPr>
            </w:pPr>
            <w:r w:rsidRPr="00273CE9">
              <w:rPr>
                <w:rFonts w:cs="Times New Roman"/>
              </w:rPr>
              <w:t>Particular Rights—Fourth Amendment—Unreasonable Seizure of Person—Exception to Warrant Requirement—Terry Stop</w:t>
            </w:r>
          </w:p>
        </w:tc>
      </w:tr>
      <w:tr w:rsidR="00EC61FE" w:rsidRPr="00273CE9" w14:paraId="739F5979" w14:textId="77777777" w:rsidTr="003126F6">
        <w:tc>
          <w:tcPr>
            <w:tcW w:w="1345" w:type="dxa"/>
          </w:tcPr>
          <w:p w14:paraId="31459269" w14:textId="77777777" w:rsidR="00EC61FE" w:rsidRPr="00273CE9" w:rsidRDefault="00EC61FE" w:rsidP="003126F6">
            <w:pPr>
              <w:rPr>
                <w:rFonts w:cs="Times New Roman"/>
              </w:rPr>
            </w:pPr>
            <w:r w:rsidRPr="00273CE9">
              <w:rPr>
                <w:rFonts w:cs="Times New Roman"/>
              </w:rPr>
              <w:t>9.22</w:t>
            </w:r>
          </w:p>
        </w:tc>
        <w:tc>
          <w:tcPr>
            <w:tcW w:w="1620" w:type="dxa"/>
          </w:tcPr>
          <w:p w14:paraId="550E9950" w14:textId="77777777" w:rsidR="00EC61FE" w:rsidRPr="00273CE9" w:rsidRDefault="00EC61FE" w:rsidP="003126F6">
            <w:pPr>
              <w:rPr>
                <w:rFonts w:cs="Times New Roman"/>
              </w:rPr>
            </w:pPr>
            <w:r w:rsidRPr="00273CE9">
              <w:rPr>
                <w:rFonts w:cs="Times New Roman"/>
              </w:rPr>
              <w:t>9.22</w:t>
            </w:r>
          </w:p>
        </w:tc>
        <w:tc>
          <w:tcPr>
            <w:tcW w:w="1350" w:type="dxa"/>
          </w:tcPr>
          <w:p w14:paraId="2C1C83BB" w14:textId="77777777" w:rsidR="00EC61FE" w:rsidRPr="00273CE9" w:rsidRDefault="00EC61FE" w:rsidP="003126F6">
            <w:pPr>
              <w:rPr>
                <w:rFonts w:cs="Times New Roman"/>
              </w:rPr>
            </w:pPr>
            <w:r w:rsidRPr="00273CE9">
              <w:rPr>
                <w:rFonts w:cs="Times New Roman"/>
              </w:rPr>
              <w:t>9.24</w:t>
            </w:r>
          </w:p>
        </w:tc>
        <w:tc>
          <w:tcPr>
            <w:tcW w:w="5035" w:type="dxa"/>
          </w:tcPr>
          <w:p w14:paraId="5CF66576" w14:textId="77777777" w:rsidR="00EC61FE" w:rsidRPr="00273CE9" w:rsidRDefault="00EC61FE" w:rsidP="003126F6">
            <w:pPr>
              <w:rPr>
                <w:rFonts w:cs="Times New Roman"/>
              </w:rPr>
            </w:pPr>
            <w:r w:rsidRPr="00273CE9">
              <w:rPr>
                <w:rFonts w:cs="Times New Roman"/>
              </w:rPr>
              <w:t>Particular Rights—Fourth Amendment—Unreasonable Search—Exception To Warrant Requirement—Terry Frisk</w:t>
            </w:r>
          </w:p>
        </w:tc>
      </w:tr>
      <w:tr w:rsidR="00EC61FE" w:rsidRPr="00273CE9" w14:paraId="7422BE61" w14:textId="77777777" w:rsidTr="003126F6">
        <w:tc>
          <w:tcPr>
            <w:tcW w:w="1345" w:type="dxa"/>
          </w:tcPr>
          <w:p w14:paraId="43386F97" w14:textId="77777777" w:rsidR="00EC61FE" w:rsidRPr="00273CE9" w:rsidRDefault="00EC61FE" w:rsidP="003126F6">
            <w:pPr>
              <w:rPr>
                <w:rFonts w:cs="Times New Roman"/>
              </w:rPr>
            </w:pPr>
            <w:r w:rsidRPr="00273CE9">
              <w:rPr>
                <w:rFonts w:cs="Times New Roman"/>
              </w:rPr>
              <w:t>9.23</w:t>
            </w:r>
          </w:p>
        </w:tc>
        <w:tc>
          <w:tcPr>
            <w:tcW w:w="1620" w:type="dxa"/>
          </w:tcPr>
          <w:p w14:paraId="671DDEC7" w14:textId="77777777" w:rsidR="00EC61FE" w:rsidRPr="00273CE9" w:rsidRDefault="00EC61FE" w:rsidP="003126F6">
            <w:pPr>
              <w:rPr>
                <w:rFonts w:cs="Times New Roman"/>
              </w:rPr>
            </w:pPr>
            <w:r w:rsidRPr="00273CE9">
              <w:rPr>
                <w:rFonts w:cs="Times New Roman"/>
              </w:rPr>
              <w:t>9.23</w:t>
            </w:r>
          </w:p>
        </w:tc>
        <w:tc>
          <w:tcPr>
            <w:tcW w:w="1350" w:type="dxa"/>
          </w:tcPr>
          <w:p w14:paraId="7FF859D9" w14:textId="77777777" w:rsidR="00EC61FE" w:rsidRPr="00273CE9" w:rsidRDefault="00EC61FE" w:rsidP="003126F6">
            <w:pPr>
              <w:rPr>
                <w:rFonts w:cs="Times New Roman"/>
              </w:rPr>
            </w:pPr>
            <w:r w:rsidRPr="00273CE9">
              <w:rPr>
                <w:rFonts w:cs="Times New Roman"/>
              </w:rPr>
              <w:t>9.25</w:t>
            </w:r>
          </w:p>
        </w:tc>
        <w:tc>
          <w:tcPr>
            <w:tcW w:w="5035" w:type="dxa"/>
          </w:tcPr>
          <w:p w14:paraId="759BC6B3" w14:textId="77777777" w:rsidR="00EC61FE" w:rsidRPr="00273CE9" w:rsidRDefault="00EC61FE" w:rsidP="003126F6">
            <w:pPr>
              <w:rPr>
                <w:rFonts w:cs="Times New Roman"/>
              </w:rPr>
            </w:pPr>
            <w:r w:rsidRPr="00273CE9">
              <w:rPr>
                <w:rFonts w:cs="Times New Roman"/>
              </w:rPr>
              <w:t>Particular Rights—Fourth Amendment—Unreasonable Seizure of Person—Probable Cause Arrest</w:t>
            </w:r>
          </w:p>
        </w:tc>
      </w:tr>
      <w:tr w:rsidR="00EC61FE" w:rsidRPr="00273CE9" w14:paraId="718FCFA4" w14:textId="77777777" w:rsidTr="003126F6">
        <w:tc>
          <w:tcPr>
            <w:tcW w:w="1345" w:type="dxa"/>
          </w:tcPr>
          <w:p w14:paraId="73EE8B18" w14:textId="77777777" w:rsidR="00EC61FE" w:rsidRPr="00273CE9" w:rsidRDefault="00EC61FE" w:rsidP="003126F6">
            <w:pPr>
              <w:rPr>
                <w:rFonts w:cs="Times New Roman"/>
              </w:rPr>
            </w:pPr>
            <w:r w:rsidRPr="00273CE9">
              <w:rPr>
                <w:rFonts w:cs="Times New Roman"/>
              </w:rPr>
              <w:t>9.24</w:t>
            </w:r>
          </w:p>
        </w:tc>
        <w:tc>
          <w:tcPr>
            <w:tcW w:w="1620" w:type="dxa"/>
          </w:tcPr>
          <w:p w14:paraId="215AFB4D" w14:textId="77777777" w:rsidR="00EC61FE" w:rsidRPr="00273CE9" w:rsidRDefault="00EC61FE" w:rsidP="003126F6">
            <w:pPr>
              <w:rPr>
                <w:rFonts w:cs="Times New Roman"/>
              </w:rPr>
            </w:pPr>
            <w:r w:rsidRPr="00273CE9">
              <w:rPr>
                <w:rFonts w:cs="Times New Roman"/>
              </w:rPr>
              <w:t>9.24</w:t>
            </w:r>
          </w:p>
        </w:tc>
        <w:tc>
          <w:tcPr>
            <w:tcW w:w="1350" w:type="dxa"/>
          </w:tcPr>
          <w:p w14:paraId="3A677BE2" w14:textId="77777777" w:rsidR="00EC61FE" w:rsidRPr="00273CE9" w:rsidRDefault="00EC61FE" w:rsidP="003126F6">
            <w:pPr>
              <w:rPr>
                <w:rFonts w:cs="Times New Roman"/>
              </w:rPr>
            </w:pPr>
            <w:r w:rsidRPr="00273CE9">
              <w:rPr>
                <w:rFonts w:cs="Times New Roman"/>
              </w:rPr>
              <w:t>9.26</w:t>
            </w:r>
          </w:p>
        </w:tc>
        <w:tc>
          <w:tcPr>
            <w:tcW w:w="5035" w:type="dxa"/>
          </w:tcPr>
          <w:p w14:paraId="2F086ECF" w14:textId="77777777" w:rsidR="00EC61FE" w:rsidRPr="00273CE9" w:rsidRDefault="00EC61FE" w:rsidP="003126F6">
            <w:pPr>
              <w:rPr>
                <w:rFonts w:cs="Times New Roman"/>
              </w:rPr>
            </w:pPr>
            <w:r w:rsidRPr="00273CE9">
              <w:rPr>
                <w:rFonts w:cs="Times New Roman"/>
              </w:rPr>
              <w:t>Particular Rights—Fourth Amendment—Unreasonable Seizure of Person—Detention During Execution of Search Warrant</w:t>
            </w:r>
          </w:p>
        </w:tc>
      </w:tr>
      <w:tr w:rsidR="00EC61FE" w:rsidRPr="00273CE9" w14:paraId="20995668" w14:textId="77777777" w:rsidTr="003126F6">
        <w:tc>
          <w:tcPr>
            <w:tcW w:w="1345" w:type="dxa"/>
          </w:tcPr>
          <w:p w14:paraId="351DBB9E" w14:textId="77777777" w:rsidR="00EC61FE" w:rsidRPr="00273CE9" w:rsidRDefault="00EC61FE" w:rsidP="003126F6">
            <w:pPr>
              <w:rPr>
                <w:rFonts w:cs="Times New Roman"/>
              </w:rPr>
            </w:pPr>
            <w:r w:rsidRPr="00273CE9">
              <w:rPr>
                <w:rFonts w:cs="Times New Roman"/>
              </w:rPr>
              <w:t>9.25</w:t>
            </w:r>
          </w:p>
        </w:tc>
        <w:tc>
          <w:tcPr>
            <w:tcW w:w="1620" w:type="dxa"/>
          </w:tcPr>
          <w:p w14:paraId="50B36BBF" w14:textId="77777777" w:rsidR="00EC61FE" w:rsidRPr="00273CE9" w:rsidRDefault="00EC61FE" w:rsidP="003126F6">
            <w:pPr>
              <w:rPr>
                <w:rFonts w:cs="Times New Roman"/>
              </w:rPr>
            </w:pPr>
            <w:r w:rsidRPr="00273CE9">
              <w:rPr>
                <w:rFonts w:cs="Times New Roman"/>
              </w:rPr>
              <w:t>9.25</w:t>
            </w:r>
          </w:p>
        </w:tc>
        <w:tc>
          <w:tcPr>
            <w:tcW w:w="1350" w:type="dxa"/>
          </w:tcPr>
          <w:p w14:paraId="0E3965F1" w14:textId="77777777" w:rsidR="00EC61FE" w:rsidRPr="00273CE9" w:rsidRDefault="00EC61FE" w:rsidP="003126F6">
            <w:pPr>
              <w:rPr>
                <w:rFonts w:cs="Times New Roman"/>
              </w:rPr>
            </w:pPr>
            <w:r w:rsidRPr="00273CE9">
              <w:rPr>
                <w:rFonts w:cs="Times New Roman"/>
              </w:rPr>
              <w:t>9.27</w:t>
            </w:r>
          </w:p>
        </w:tc>
        <w:tc>
          <w:tcPr>
            <w:tcW w:w="5035" w:type="dxa"/>
          </w:tcPr>
          <w:p w14:paraId="4B088313" w14:textId="77777777" w:rsidR="00EC61FE" w:rsidRPr="00273CE9" w:rsidRDefault="00EC61FE" w:rsidP="003126F6">
            <w:pPr>
              <w:rPr>
                <w:rFonts w:cs="Times New Roman"/>
              </w:rPr>
            </w:pPr>
            <w:r w:rsidRPr="00273CE9">
              <w:rPr>
                <w:rFonts w:cs="Times New Roman"/>
              </w:rPr>
              <w:t>Particular Rights—Fourth Amendment—Unreasonable Seizure of Person—Excessive Force (2025); Particular Rights—Fourth Amendment—Unreasonable Seizure of Person—Excessive (Deadly and Nondeadly) Force (2017)</w:t>
            </w:r>
          </w:p>
        </w:tc>
      </w:tr>
      <w:tr w:rsidR="00EC61FE" w:rsidRPr="00273CE9" w14:paraId="4612ED17" w14:textId="77777777" w:rsidTr="003126F6">
        <w:tc>
          <w:tcPr>
            <w:tcW w:w="1345" w:type="dxa"/>
          </w:tcPr>
          <w:p w14:paraId="359499D7" w14:textId="77777777" w:rsidR="00EC61FE" w:rsidRPr="00273CE9" w:rsidRDefault="00EC61FE" w:rsidP="003126F6">
            <w:pPr>
              <w:rPr>
                <w:rFonts w:cs="Times New Roman"/>
              </w:rPr>
            </w:pPr>
            <w:r w:rsidRPr="00273CE9">
              <w:rPr>
                <w:rFonts w:cs="Times New Roman"/>
              </w:rPr>
              <w:t>—</w:t>
            </w:r>
          </w:p>
        </w:tc>
        <w:tc>
          <w:tcPr>
            <w:tcW w:w="1620" w:type="dxa"/>
          </w:tcPr>
          <w:p w14:paraId="20DEA094" w14:textId="77777777" w:rsidR="00EC61FE" w:rsidRPr="00273CE9" w:rsidRDefault="00EC61FE" w:rsidP="003126F6">
            <w:pPr>
              <w:rPr>
                <w:rFonts w:cs="Times New Roman"/>
              </w:rPr>
            </w:pPr>
            <w:r w:rsidRPr="00273CE9">
              <w:rPr>
                <w:rFonts w:cs="Times New Roman"/>
              </w:rPr>
              <w:t>9.25A</w:t>
            </w:r>
          </w:p>
        </w:tc>
        <w:tc>
          <w:tcPr>
            <w:tcW w:w="1350" w:type="dxa"/>
          </w:tcPr>
          <w:p w14:paraId="17C30E95" w14:textId="77777777" w:rsidR="00EC61FE" w:rsidRPr="00273CE9" w:rsidRDefault="00EC61FE" w:rsidP="003126F6">
            <w:pPr>
              <w:rPr>
                <w:rFonts w:cs="Times New Roman"/>
              </w:rPr>
            </w:pPr>
            <w:r w:rsidRPr="00273CE9">
              <w:rPr>
                <w:rFonts w:cs="Times New Roman"/>
              </w:rPr>
              <w:t>9.28</w:t>
            </w:r>
          </w:p>
        </w:tc>
        <w:tc>
          <w:tcPr>
            <w:tcW w:w="5035" w:type="dxa"/>
          </w:tcPr>
          <w:p w14:paraId="3113222D" w14:textId="77777777" w:rsidR="00EC61FE" w:rsidRPr="00273CE9" w:rsidRDefault="00EC61FE" w:rsidP="003126F6">
            <w:pPr>
              <w:rPr>
                <w:rFonts w:cs="Times New Roman"/>
              </w:rPr>
            </w:pPr>
            <w:r w:rsidRPr="00273CE9">
              <w:rPr>
                <w:rFonts w:cs="Times New Roman"/>
              </w:rPr>
              <w:t>Particular Rights—Sixth Amendment—Right to  Compulsory Process—Interference with Witness</w:t>
            </w:r>
          </w:p>
        </w:tc>
      </w:tr>
      <w:tr w:rsidR="00EC61FE" w:rsidRPr="00273CE9" w14:paraId="3837A5E1" w14:textId="77777777" w:rsidTr="003126F6">
        <w:tc>
          <w:tcPr>
            <w:tcW w:w="1345" w:type="dxa"/>
          </w:tcPr>
          <w:p w14:paraId="5F1E75E7" w14:textId="77777777" w:rsidR="00EC61FE" w:rsidRPr="00273CE9" w:rsidRDefault="00EC61FE" w:rsidP="003126F6">
            <w:pPr>
              <w:rPr>
                <w:rFonts w:cs="Times New Roman"/>
              </w:rPr>
            </w:pPr>
            <w:r w:rsidRPr="00273CE9">
              <w:rPr>
                <w:rFonts w:cs="Times New Roman"/>
              </w:rPr>
              <w:t>9.26</w:t>
            </w:r>
          </w:p>
        </w:tc>
        <w:tc>
          <w:tcPr>
            <w:tcW w:w="1620" w:type="dxa"/>
          </w:tcPr>
          <w:p w14:paraId="2E9E03FF" w14:textId="77777777" w:rsidR="00EC61FE" w:rsidRPr="00273CE9" w:rsidRDefault="00EC61FE" w:rsidP="003126F6">
            <w:pPr>
              <w:rPr>
                <w:rFonts w:cs="Times New Roman"/>
              </w:rPr>
            </w:pPr>
            <w:r w:rsidRPr="00273CE9">
              <w:rPr>
                <w:rFonts w:cs="Times New Roman"/>
              </w:rPr>
              <w:t>9.26</w:t>
            </w:r>
          </w:p>
        </w:tc>
        <w:tc>
          <w:tcPr>
            <w:tcW w:w="1350" w:type="dxa"/>
          </w:tcPr>
          <w:p w14:paraId="7F0C28BF" w14:textId="77777777" w:rsidR="00EC61FE" w:rsidRPr="00273CE9" w:rsidRDefault="00EC61FE" w:rsidP="003126F6">
            <w:pPr>
              <w:rPr>
                <w:rFonts w:cs="Times New Roman"/>
              </w:rPr>
            </w:pPr>
            <w:r w:rsidRPr="00273CE9">
              <w:rPr>
                <w:rFonts w:cs="Times New Roman"/>
              </w:rPr>
              <w:t>9.29</w:t>
            </w:r>
          </w:p>
        </w:tc>
        <w:tc>
          <w:tcPr>
            <w:tcW w:w="5035" w:type="dxa"/>
          </w:tcPr>
          <w:p w14:paraId="108422CC" w14:textId="77777777" w:rsidR="00EC61FE" w:rsidRPr="00273CE9" w:rsidRDefault="00EC61FE" w:rsidP="003126F6">
            <w:pPr>
              <w:rPr>
                <w:rFonts w:cs="Times New Roman"/>
              </w:rPr>
            </w:pPr>
            <w:r w:rsidRPr="00273CE9">
              <w:rPr>
                <w:rFonts w:cs="Times New Roman"/>
              </w:rPr>
              <w:t>Particular Rights—Eighth Amendment—Convicted Prisoner’s Claim of Excessive Force</w:t>
            </w:r>
          </w:p>
        </w:tc>
      </w:tr>
      <w:tr w:rsidR="00EC61FE" w:rsidRPr="00273CE9" w14:paraId="118ECF04" w14:textId="77777777" w:rsidTr="003126F6">
        <w:tc>
          <w:tcPr>
            <w:tcW w:w="1345" w:type="dxa"/>
          </w:tcPr>
          <w:p w14:paraId="49E3844D" w14:textId="77777777" w:rsidR="00EC61FE" w:rsidRPr="00273CE9" w:rsidRDefault="00EC61FE" w:rsidP="003126F6">
            <w:pPr>
              <w:rPr>
                <w:rFonts w:cs="Times New Roman"/>
              </w:rPr>
            </w:pPr>
            <w:r w:rsidRPr="00273CE9">
              <w:rPr>
                <w:rFonts w:cs="Times New Roman"/>
              </w:rPr>
              <w:t xml:space="preserve">   —</w:t>
            </w:r>
          </w:p>
        </w:tc>
        <w:tc>
          <w:tcPr>
            <w:tcW w:w="1620" w:type="dxa"/>
          </w:tcPr>
          <w:p w14:paraId="38575677" w14:textId="77777777" w:rsidR="00EC61FE" w:rsidRPr="00273CE9" w:rsidRDefault="00EC61FE" w:rsidP="003126F6">
            <w:pPr>
              <w:rPr>
                <w:rFonts w:cs="Times New Roman"/>
              </w:rPr>
            </w:pPr>
            <w:r w:rsidRPr="00273CE9">
              <w:rPr>
                <w:rFonts w:cs="Times New Roman"/>
              </w:rPr>
              <w:t>9.26A</w:t>
            </w:r>
          </w:p>
        </w:tc>
        <w:tc>
          <w:tcPr>
            <w:tcW w:w="1350" w:type="dxa"/>
          </w:tcPr>
          <w:p w14:paraId="099CDA91" w14:textId="77777777" w:rsidR="00EC61FE" w:rsidRPr="00273CE9" w:rsidRDefault="00EC61FE" w:rsidP="003126F6">
            <w:pPr>
              <w:rPr>
                <w:rFonts w:cs="Times New Roman"/>
              </w:rPr>
            </w:pPr>
            <w:r w:rsidRPr="00273CE9">
              <w:rPr>
                <w:rFonts w:cs="Times New Roman"/>
              </w:rPr>
              <w:t>9.30</w:t>
            </w:r>
          </w:p>
        </w:tc>
        <w:tc>
          <w:tcPr>
            <w:tcW w:w="5035" w:type="dxa"/>
          </w:tcPr>
          <w:p w14:paraId="61799D27" w14:textId="77777777" w:rsidR="00EC61FE" w:rsidRPr="00273CE9" w:rsidRDefault="00EC61FE" w:rsidP="003126F6">
            <w:pPr>
              <w:rPr>
                <w:rFonts w:cs="Times New Roman"/>
              </w:rPr>
            </w:pPr>
            <w:r w:rsidRPr="00273CE9">
              <w:rPr>
                <w:rFonts w:cs="Times New Roman"/>
              </w:rPr>
              <w:t>Particular Rights—Eighth Amendment—Convicted Prisoner’s Claim of Sexual Assault</w:t>
            </w:r>
          </w:p>
        </w:tc>
      </w:tr>
      <w:tr w:rsidR="00EC61FE" w:rsidRPr="00273CE9" w14:paraId="0FD855E1" w14:textId="77777777" w:rsidTr="003126F6">
        <w:tc>
          <w:tcPr>
            <w:tcW w:w="1345" w:type="dxa"/>
          </w:tcPr>
          <w:p w14:paraId="2EA88ADF" w14:textId="77777777" w:rsidR="00EC61FE" w:rsidRPr="00273CE9" w:rsidRDefault="00EC61FE" w:rsidP="003126F6">
            <w:pPr>
              <w:rPr>
                <w:rFonts w:cs="Times New Roman"/>
              </w:rPr>
            </w:pPr>
            <w:r w:rsidRPr="00273CE9">
              <w:rPr>
                <w:rFonts w:cs="Times New Roman"/>
              </w:rPr>
              <w:t>9.27</w:t>
            </w:r>
          </w:p>
        </w:tc>
        <w:tc>
          <w:tcPr>
            <w:tcW w:w="1620" w:type="dxa"/>
          </w:tcPr>
          <w:p w14:paraId="12E44C41" w14:textId="77777777" w:rsidR="00EC61FE" w:rsidRPr="00273CE9" w:rsidRDefault="00EC61FE" w:rsidP="003126F6">
            <w:pPr>
              <w:rPr>
                <w:rFonts w:cs="Times New Roman"/>
              </w:rPr>
            </w:pPr>
            <w:r w:rsidRPr="00273CE9">
              <w:rPr>
                <w:rFonts w:cs="Times New Roman"/>
              </w:rPr>
              <w:t>9.27</w:t>
            </w:r>
          </w:p>
        </w:tc>
        <w:tc>
          <w:tcPr>
            <w:tcW w:w="1350" w:type="dxa"/>
          </w:tcPr>
          <w:p w14:paraId="5B4E18C7" w14:textId="77777777" w:rsidR="00EC61FE" w:rsidRPr="00273CE9" w:rsidRDefault="00EC61FE" w:rsidP="003126F6">
            <w:pPr>
              <w:rPr>
                <w:rFonts w:cs="Times New Roman"/>
              </w:rPr>
            </w:pPr>
            <w:r w:rsidRPr="00273CE9">
              <w:rPr>
                <w:rFonts w:cs="Times New Roman"/>
              </w:rPr>
              <w:t>9.31</w:t>
            </w:r>
          </w:p>
        </w:tc>
        <w:tc>
          <w:tcPr>
            <w:tcW w:w="5035" w:type="dxa"/>
          </w:tcPr>
          <w:p w14:paraId="5E1968DA" w14:textId="77777777" w:rsidR="00EC61FE" w:rsidRPr="00273CE9" w:rsidRDefault="00EC61FE" w:rsidP="003126F6">
            <w:pPr>
              <w:rPr>
                <w:rFonts w:cs="Times New Roman"/>
              </w:rPr>
            </w:pPr>
            <w:r w:rsidRPr="00273CE9">
              <w:rPr>
                <w:rFonts w:cs="Times New Roman"/>
              </w:rPr>
              <w:t>Particular Rights—Eighth Amendment—Convicted Prisoner’s Claim Re Conditions of Confinement/Medical Care</w:t>
            </w:r>
          </w:p>
        </w:tc>
      </w:tr>
      <w:tr w:rsidR="00EC61FE" w:rsidRPr="00273CE9" w14:paraId="53B8030F" w14:textId="77777777" w:rsidTr="003126F6">
        <w:tc>
          <w:tcPr>
            <w:tcW w:w="1345" w:type="dxa"/>
          </w:tcPr>
          <w:p w14:paraId="796354AE" w14:textId="77777777" w:rsidR="00EC61FE" w:rsidRPr="00273CE9" w:rsidRDefault="00EC61FE" w:rsidP="003126F6">
            <w:pPr>
              <w:rPr>
                <w:rFonts w:cs="Times New Roman"/>
              </w:rPr>
            </w:pPr>
            <w:r w:rsidRPr="00273CE9">
              <w:rPr>
                <w:rFonts w:cs="Times New Roman"/>
              </w:rPr>
              <w:t>9.28</w:t>
            </w:r>
          </w:p>
        </w:tc>
        <w:tc>
          <w:tcPr>
            <w:tcW w:w="1620" w:type="dxa"/>
          </w:tcPr>
          <w:p w14:paraId="72B47D09" w14:textId="77777777" w:rsidR="00EC61FE" w:rsidRPr="00273CE9" w:rsidRDefault="00EC61FE" w:rsidP="003126F6">
            <w:pPr>
              <w:rPr>
                <w:rFonts w:cs="Times New Roman"/>
              </w:rPr>
            </w:pPr>
            <w:r w:rsidRPr="00273CE9">
              <w:rPr>
                <w:rFonts w:cs="Times New Roman"/>
              </w:rPr>
              <w:t>9.28</w:t>
            </w:r>
          </w:p>
        </w:tc>
        <w:tc>
          <w:tcPr>
            <w:tcW w:w="1350" w:type="dxa"/>
          </w:tcPr>
          <w:p w14:paraId="112DBCC8" w14:textId="77777777" w:rsidR="00EC61FE" w:rsidRPr="00273CE9" w:rsidRDefault="00EC61FE" w:rsidP="003126F6">
            <w:pPr>
              <w:rPr>
                <w:rFonts w:cs="Times New Roman"/>
              </w:rPr>
            </w:pPr>
            <w:r w:rsidRPr="00273CE9">
              <w:rPr>
                <w:rFonts w:cs="Times New Roman"/>
              </w:rPr>
              <w:t>9.32</w:t>
            </w:r>
          </w:p>
        </w:tc>
        <w:tc>
          <w:tcPr>
            <w:tcW w:w="5035" w:type="dxa"/>
          </w:tcPr>
          <w:p w14:paraId="22AFF789" w14:textId="77777777" w:rsidR="00EC61FE" w:rsidRPr="00273CE9" w:rsidRDefault="00EC61FE" w:rsidP="003126F6">
            <w:pPr>
              <w:rPr>
                <w:rFonts w:cs="Times New Roman"/>
              </w:rPr>
            </w:pPr>
            <w:r w:rsidRPr="00273CE9">
              <w:rPr>
                <w:rFonts w:cs="Times New Roman"/>
              </w:rPr>
              <w:t>Particular Rights—Eighth Amendment—Convicted Prisoner’s Claim of Failure to Protect</w:t>
            </w:r>
          </w:p>
        </w:tc>
      </w:tr>
      <w:tr w:rsidR="00EC61FE" w:rsidRPr="00273CE9" w14:paraId="31A4C234" w14:textId="77777777" w:rsidTr="003126F6">
        <w:tc>
          <w:tcPr>
            <w:tcW w:w="1345" w:type="dxa"/>
          </w:tcPr>
          <w:p w14:paraId="555A2A71" w14:textId="77777777" w:rsidR="00EC61FE" w:rsidRPr="00273CE9" w:rsidRDefault="00EC61FE" w:rsidP="003126F6">
            <w:pPr>
              <w:rPr>
                <w:rFonts w:cs="Times New Roman"/>
              </w:rPr>
            </w:pPr>
            <w:r w:rsidRPr="00273CE9">
              <w:rPr>
                <w:rFonts w:cs="Times New Roman"/>
              </w:rPr>
              <w:t>9.29</w:t>
            </w:r>
          </w:p>
        </w:tc>
        <w:tc>
          <w:tcPr>
            <w:tcW w:w="1620" w:type="dxa"/>
          </w:tcPr>
          <w:p w14:paraId="7F1B22A3" w14:textId="77777777" w:rsidR="00EC61FE" w:rsidRPr="00273CE9" w:rsidRDefault="00EC61FE" w:rsidP="003126F6">
            <w:pPr>
              <w:rPr>
                <w:rFonts w:cs="Times New Roman"/>
              </w:rPr>
            </w:pPr>
            <w:r w:rsidRPr="00273CE9">
              <w:rPr>
                <w:rFonts w:cs="Times New Roman"/>
              </w:rPr>
              <w:t>9.29</w:t>
            </w:r>
          </w:p>
        </w:tc>
        <w:tc>
          <w:tcPr>
            <w:tcW w:w="1350" w:type="dxa"/>
          </w:tcPr>
          <w:p w14:paraId="4F0CD581" w14:textId="77777777" w:rsidR="00EC61FE" w:rsidRPr="00273CE9" w:rsidRDefault="00EC61FE" w:rsidP="003126F6">
            <w:pPr>
              <w:rPr>
                <w:rFonts w:cs="Times New Roman"/>
              </w:rPr>
            </w:pPr>
            <w:r w:rsidRPr="00273CE9">
              <w:rPr>
                <w:rFonts w:cs="Times New Roman"/>
              </w:rPr>
              <w:t>9.33</w:t>
            </w:r>
          </w:p>
        </w:tc>
        <w:tc>
          <w:tcPr>
            <w:tcW w:w="5035" w:type="dxa"/>
          </w:tcPr>
          <w:p w14:paraId="3A678D4E" w14:textId="77777777" w:rsidR="00EC61FE" w:rsidRPr="00273CE9" w:rsidRDefault="00EC61FE" w:rsidP="003126F6">
            <w:pPr>
              <w:rPr>
                <w:rFonts w:cs="Times New Roman"/>
              </w:rPr>
            </w:pPr>
            <w:r w:rsidRPr="00273CE9">
              <w:rPr>
                <w:rFonts w:cs="Times New Roman"/>
              </w:rPr>
              <w:t>Particular Rights—Fourteenth Amendment—Pretrial Detainee’s Claim of Excessive Force</w:t>
            </w:r>
          </w:p>
        </w:tc>
      </w:tr>
      <w:tr w:rsidR="00EC61FE" w:rsidRPr="00273CE9" w14:paraId="3A9E4BE2" w14:textId="77777777" w:rsidTr="003126F6">
        <w:tc>
          <w:tcPr>
            <w:tcW w:w="1345" w:type="dxa"/>
          </w:tcPr>
          <w:p w14:paraId="18BB08B4" w14:textId="77777777" w:rsidR="00EC61FE" w:rsidRPr="00273CE9" w:rsidRDefault="00EC61FE" w:rsidP="003126F6">
            <w:pPr>
              <w:rPr>
                <w:rFonts w:cs="Times New Roman"/>
              </w:rPr>
            </w:pPr>
            <w:r w:rsidRPr="00273CE9">
              <w:rPr>
                <w:rFonts w:cs="Times New Roman"/>
              </w:rPr>
              <w:t>9.30</w:t>
            </w:r>
          </w:p>
        </w:tc>
        <w:tc>
          <w:tcPr>
            <w:tcW w:w="1620" w:type="dxa"/>
          </w:tcPr>
          <w:p w14:paraId="5A49A3A0" w14:textId="77777777" w:rsidR="00EC61FE" w:rsidRPr="00273CE9" w:rsidRDefault="00EC61FE" w:rsidP="003126F6">
            <w:pPr>
              <w:rPr>
                <w:rFonts w:cs="Times New Roman"/>
              </w:rPr>
            </w:pPr>
            <w:r w:rsidRPr="00273CE9">
              <w:rPr>
                <w:rFonts w:cs="Times New Roman"/>
              </w:rPr>
              <w:t>9.30</w:t>
            </w:r>
          </w:p>
        </w:tc>
        <w:tc>
          <w:tcPr>
            <w:tcW w:w="1350" w:type="dxa"/>
          </w:tcPr>
          <w:p w14:paraId="561720D8" w14:textId="77777777" w:rsidR="00EC61FE" w:rsidRPr="00273CE9" w:rsidRDefault="00EC61FE" w:rsidP="003126F6">
            <w:pPr>
              <w:rPr>
                <w:rFonts w:cs="Times New Roman"/>
              </w:rPr>
            </w:pPr>
            <w:r w:rsidRPr="00273CE9">
              <w:rPr>
                <w:rFonts w:cs="Times New Roman"/>
              </w:rPr>
              <w:t>9.34</w:t>
            </w:r>
          </w:p>
        </w:tc>
        <w:tc>
          <w:tcPr>
            <w:tcW w:w="5035" w:type="dxa"/>
          </w:tcPr>
          <w:p w14:paraId="5053D1A3" w14:textId="77777777" w:rsidR="00EC61FE" w:rsidRPr="00273CE9" w:rsidRDefault="00EC61FE" w:rsidP="003126F6">
            <w:pPr>
              <w:rPr>
                <w:rFonts w:cs="Times New Roman"/>
              </w:rPr>
            </w:pPr>
            <w:r w:rsidRPr="00273CE9">
              <w:rPr>
                <w:rFonts w:cs="Times New Roman"/>
              </w:rPr>
              <w:t>Particular Rights—Fourteenth Amendment—Pretrial Detainee’s Claim Re Conditions of Confinement/Medical Care</w:t>
            </w:r>
          </w:p>
        </w:tc>
      </w:tr>
      <w:tr w:rsidR="00EC61FE" w:rsidRPr="00273CE9" w14:paraId="2E978A37" w14:textId="77777777" w:rsidTr="003126F6">
        <w:tc>
          <w:tcPr>
            <w:tcW w:w="1345" w:type="dxa"/>
          </w:tcPr>
          <w:p w14:paraId="65D1E5A1" w14:textId="77777777" w:rsidR="00EC61FE" w:rsidRPr="00273CE9" w:rsidRDefault="00EC61FE" w:rsidP="003126F6">
            <w:pPr>
              <w:rPr>
                <w:rFonts w:cs="Times New Roman"/>
              </w:rPr>
            </w:pPr>
            <w:r w:rsidRPr="00273CE9">
              <w:rPr>
                <w:rFonts w:cs="Times New Roman"/>
              </w:rPr>
              <w:t>9.31</w:t>
            </w:r>
          </w:p>
        </w:tc>
        <w:tc>
          <w:tcPr>
            <w:tcW w:w="1620" w:type="dxa"/>
          </w:tcPr>
          <w:p w14:paraId="40634B19" w14:textId="77777777" w:rsidR="00EC61FE" w:rsidRPr="00273CE9" w:rsidRDefault="00EC61FE" w:rsidP="003126F6">
            <w:pPr>
              <w:rPr>
                <w:rFonts w:cs="Times New Roman"/>
              </w:rPr>
            </w:pPr>
            <w:r w:rsidRPr="00273CE9">
              <w:rPr>
                <w:rFonts w:cs="Times New Roman"/>
              </w:rPr>
              <w:t>9.31</w:t>
            </w:r>
          </w:p>
        </w:tc>
        <w:tc>
          <w:tcPr>
            <w:tcW w:w="1350" w:type="dxa"/>
          </w:tcPr>
          <w:p w14:paraId="3C44D05B" w14:textId="77777777" w:rsidR="00EC61FE" w:rsidRPr="00273CE9" w:rsidRDefault="00EC61FE" w:rsidP="003126F6">
            <w:pPr>
              <w:rPr>
                <w:rFonts w:cs="Times New Roman"/>
              </w:rPr>
            </w:pPr>
            <w:r w:rsidRPr="00273CE9">
              <w:rPr>
                <w:rFonts w:cs="Times New Roman"/>
              </w:rPr>
              <w:t>9.35</w:t>
            </w:r>
          </w:p>
        </w:tc>
        <w:tc>
          <w:tcPr>
            <w:tcW w:w="5035" w:type="dxa"/>
          </w:tcPr>
          <w:p w14:paraId="36F9F778" w14:textId="77777777" w:rsidR="00EC61FE" w:rsidRPr="00273CE9" w:rsidRDefault="00EC61FE" w:rsidP="003126F6">
            <w:pPr>
              <w:rPr>
                <w:rFonts w:cs="Times New Roman"/>
              </w:rPr>
            </w:pPr>
            <w:r w:rsidRPr="00273CE9">
              <w:rPr>
                <w:rFonts w:cs="Times New Roman"/>
              </w:rPr>
              <w:t>Particular Rights—Fourteenth Amendment—Pretrial Detainee’s Claim of Failure to Protect</w:t>
            </w:r>
          </w:p>
        </w:tc>
      </w:tr>
      <w:tr w:rsidR="00EC61FE" w:rsidRPr="00273CE9" w14:paraId="2F0B5E67" w14:textId="77777777" w:rsidTr="003126F6">
        <w:tc>
          <w:tcPr>
            <w:tcW w:w="1345" w:type="dxa"/>
          </w:tcPr>
          <w:p w14:paraId="069E2EBC" w14:textId="77777777" w:rsidR="00EC61FE" w:rsidRPr="00273CE9" w:rsidRDefault="00EC61FE" w:rsidP="003126F6">
            <w:pPr>
              <w:rPr>
                <w:rFonts w:cs="Times New Roman"/>
              </w:rPr>
            </w:pPr>
            <w:r w:rsidRPr="00273CE9">
              <w:rPr>
                <w:rFonts w:cs="Times New Roman"/>
              </w:rPr>
              <w:t>9.32</w:t>
            </w:r>
          </w:p>
        </w:tc>
        <w:tc>
          <w:tcPr>
            <w:tcW w:w="1620" w:type="dxa"/>
          </w:tcPr>
          <w:p w14:paraId="7D739219" w14:textId="77777777" w:rsidR="00EC61FE" w:rsidRPr="00273CE9" w:rsidRDefault="00EC61FE" w:rsidP="003126F6">
            <w:pPr>
              <w:rPr>
                <w:rFonts w:cs="Times New Roman"/>
              </w:rPr>
            </w:pPr>
            <w:r w:rsidRPr="00273CE9">
              <w:rPr>
                <w:rFonts w:cs="Times New Roman"/>
              </w:rPr>
              <w:t>9.32</w:t>
            </w:r>
          </w:p>
        </w:tc>
        <w:tc>
          <w:tcPr>
            <w:tcW w:w="1350" w:type="dxa"/>
          </w:tcPr>
          <w:p w14:paraId="55B8C4F0" w14:textId="77777777" w:rsidR="00EC61FE" w:rsidRPr="00273CE9" w:rsidRDefault="00EC61FE" w:rsidP="003126F6">
            <w:pPr>
              <w:rPr>
                <w:rFonts w:cs="Times New Roman"/>
              </w:rPr>
            </w:pPr>
            <w:r w:rsidRPr="00273CE9">
              <w:rPr>
                <w:rFonts w:cs="Times New Roman"/>
              </w:rPr>
              <w:t>9.36</w:t>
            </w:r>
          </w:p>
        </w:tc>
        <w:tc>
          <w:tcPr>
            <w:tcW w:w="5035" w:type="dxa"/>
          </w:tcPr>
          <w:p w14:paraId="2C680EC5" w14:textId="77777777" w:rsidR="00EC61FE" w:rsidRPr="00273CE9" w:rsidRDefault="00EC61FE" w:rsidP="003126F6">
            <w:pPr>
              <w:rPr>
                <w:rFonts w:cs="Times New Roman"/>
              </w:rPr>
            </w:pPr>
            <w:r w:rsidRPr="00273CE9">
              <w:rPr>
                <w:rFonts w:cs="Times New Roman"/>
              </w:rPr>
              <w:t>Particular Rights—Fourteenth Amendment—Due Process— Interference with Parent/Child Relationship</w:t>
            </w:r>
          </w:p>
        </w:tc>
      </w:tr>
      <w:tr w:rsidR="00EC61FE" w:rsidRPr="00273CE9" w14:paraId="373DCA02" w14:textId="77777777" w:rsidTr="003126F6">
        <w:tc>
          <w:tcPr>
            <w:tcW w:w="1345" w:type="dxa"/>
          </w:tcPr>
          <w:p w14:paraId="62317028" w14:textId="77777777" w:rsidR="00EC61FE" w:rsidRPr="00273CE9" w:rsidRDefault="00EC61FE" w:rsidP="003126F6">
            <w:pPr>
              <w:rPr>
                <w:rFonts w:cs="Times New Roman"/>
              </w:rPr>
            </w:pPr>
            <w:r w:rsidRPr="00273CE9">
              <w:rPr>
                <w:rFonts w:cs="Times New Roman"/>
              </w:rPr>
              <w:t xml:space="preserve">   — </w:t>
            </w:r>
          </w:p>
        </w:tc>
        <w:tc>
          <w:tcPr>
            <w:tcW w:w="1620" w:type="dxa"/>
          </w:tcPr>
          <w:p w14:paraId="1DA88719" w14:textId="77777777" w:rsidR="00EC61FE" w:rsidRPr="00273CE9" w:rsidRDefault="00EC61FE" w:rsidP="003126F6">
            <w:pPr>
              <w:rPr>
                <w:rFonts w:cs="Times New Roman"/>
              </w:rPr>
            </w:pPr>
            <w:r w:rsidRPr="00273CE9">
              <w:rPr>
                <w:rFonts w:cs="Times New Roman"/>
              </w:rPr>
              <w:t>9.32A</w:t>
            </w:r>
          </w:p>
        </w:tc>
        <w:tc>
          <w:tcPr>
            <w:tcW w:w="1350" w:type="dxa"/>
          </w:tcPr>
          <w:p w14:paraId="65539861" w14:textId="77777777" w:rsidR="00EC61FE" w:rsidRPr="00273CE9" w:rsidRDefault="00EC61FE" w:rsidP="003126F6">
            <w:pPr>
              <w:rPr>
                <w:rFonts w:cs="Times New Roman"/>
              </w:rPr>
            </w:pPr>
            <w:r w:rsidRPr="00273CE9">
              <w:rPr>
                <w:rFonts w:cs="Times New Roman"/>
              </w:rPr>
              <w:t>9.37</w:t>
            </w:r>
          </w:p>
        </w:tc>
        <w:tc>
          <w:tcPr>
            <w:tcW w:w="5035" w:type="dxa"/>
          </w:tcPr>
          <w:p w14:paraId="5309BA52" w14:textId="77777777" w:rsidR="00EC61FE" w:rsidRPr="00273CE9" w:rsidRDefault="00EC61FE" w:rsidP="003126F6">
            <w:pPr>
              <w:rPr>
                <w:rFonts w:cs="Times New Roman"/>
              </w:rPr>
            </w:pPr>
            <w:r w:rsidRPr="00273CE9">
              <w:rPr>
                <w:rFonts w:cs="Times New Roman"/>
              </w:rPr>
              <w:t>Particular Rights–Fourteenth Amendment— Due Process—Civil Commitment</w:t>
            </w:r>
          </w:p>
        </w:tc>
      </w:tr>
      <w:tr w:rsidR="00EC61FE" w:rsidRPr="00273CE9" w14:paraId="13F46D9C" w14:textId="77777777" w:rsidTr="003126F6">
        <w:tc>
          <w:tcPr>
            <w:tcW w:w="1345" w:type="dxa"/>
          </w:tcPr>
          <w:p w14:paraId="587B8FFB" w14:textId="77777777" w:rsidR="00EC61FE" w:rsidRPr="00273CE9" w:rsidRDefault="00EC61FE" w:rsidP="003126F6">
            <w:pPr>
              <w:rPr>
                <w:rFonts w:cs="Times New Roman"/>
              </w:rPr>
            </w:pPr>
            <w:r w:rsidRPr="00273CE9">
              <w:rPr>
                <w:rFonts w:cs="Times New Roman"/>
              </w:rPr>
              <w:t>9.33</w:t>
            </w:r>
          </w:p>
        </w:tc>
        <w:tc>
          <w:tcPr>
            <w:tcW w:w="1620" w:type="dxa"/>
          </w:tcPr>
          <w:p w14:paraId="174F878C" w14:textId="77777777" w:rsidR="00EC61FE" w:rsidRPr="00273CE9" w:rsidRDefault="00EC61FE" w:rsidP="003126F6">
            <w:pPr>
              <w:rPr>
                <w:rFonts w:cs="Times New Roman"/>
              </w:rPr>
            </w:pPr>
            <w:r w:rsidRPr="00273CE9">
              <w:rPr>
                <w:rFonts w:cs="Times New Roman"/>
              </w:rPr>
              <w:t>9.33</w:t>
            </w:r>
          </w:p>
        </w:tc>
        <w:tc>
          <w:tcPr>
            <w:tcW w:w="1350" w:type="dxa"/>
          </w:tcPr>
          <w:p w14:paraId="610FC6E5" w14:textId="77777777" w:rsidR="00EC61FE" w:rsidRPr="00273CE9" w:rsidRDefault="00EC61FE" w:rsidP="003126F6">
            <w:pPr>
              <w:rPr>
                <w:rFonts w:cs="Times New Roman"/>
              </w:rPr>
            </w:pPr>
            <w:r w:rsidRPr="00273CE9">
              <w:rPr>
                <w:rFonts w:cs="Times New Roman"/>
              </w:rPr>
              <w:t>9.38</w:t>
            </w:r>
          </w:p>
        </w:tc>
        <w:tc>
          <w:tcPr>
            <w:tcW w:w="5035" w:type="dxa"/>
          </w:tcPr>
          <w:p w14:paraId="354E3282" w14:textId="77777777" w:rsidR="00EC61FE" w:rsidRPr="00273CE9" w:rsidRDefault="00EC61FE" w:rsidP="003126F6">
            <w:pPr>
              <w:rPr>
                <w:rFonts w:cs="Times New Roman"/>
              </w:rPr>
            </w:pPr>
            <w:r w:rsidRPr="00273CE9">
              <w:rPr>
                <w:rFonts w:cs="Times New Roman"/>
              </w:rPr>
              <w:t>Particular Rights—Fourteenth Amendment—Due Process—Deliberate Fabrication of Evidence</w:t>
            </w:r>
          </w:p>
        </w:tc>
      </w:tr>
      <w:tr w:rsidR="00EC61FE" w:rsidRPr="00273CE9" w14:paraId="2D812E8B" w14:textId="77777777" w:rsidTr="003126F6">
        <w:tc>
          <w:tcPr>
            <w:tcW w:w="1345" w:type="dxa"/>
          </w:tcPr>
          <w:p w14:paraId="231DBEFC" w14:textId="77777777" w:rsidR="00EC61FE" w:rsidRPr="00273CE9" w:rsidRDefault="00EC61FE" w:rsidP="003126F6">
            <w:pPr>
              <w:rPr>
                <w:rFonts w:cs="Times New Roman"/>
              </w:rPr>
            </w:pPr>
            <w:r w:rsidRPr="00273CE9">
              <w:rPr>
                <w:rFonts w:cs="Times New Roman"/>
              </w:rPr>
              <w:lastRenderedPageBreak/>
              <w:t>—</w:t>
            </w:r>
          </w:p>
        </w:tc>
        <w:tc>
          <w:tcPr>
            <w:tcW w:w="1620" w:type="dxa"/>
          </w:tcPr>
          <w:p w14:paraId="47347DB2" w14:textId="77777777" w:rsidR="00EC61FE" w:rsidRPr="00273CE9" w:rsidRDefault="00EC61FE" w:rsidP="003126F6">
            <w:pPr>
              <w:rPr>
                <w:rFonts w:cs="Times New Roman"/>
              </w:rPr>
            </w:pPr>
            <w:r w:rsidRPr="00273CE9">
              <w:rPr>
                <w:rFonts w:cs="Times New Roman"/>
              </w:rPr>
              <w:t>9.33A</w:t>
            </w:r>
          </w:p>
        </w:tc>
        <w:tc>
          <w:tcPr>
            <w:tcW w:w="1350" w:type="dxa"/>
          </w:tcPr>
          <w:p w14:paraId="43C6FFB0" w14:textId="77777777" w:rsidR="00EC61FE" w:rsidRPr="00273CE9" w:rsidRDefault="00EC61FE" w:rsidP="003126F6">
            <w:pPr>
              <w:rPr>
                <w:rFonts w:cs="Times New Roman"/>
              </w:rPr>
            </w:pPr>
            <w:r w:rsidRPr="00273CE9">
              <w:rPr>
                <w:rFonts w:cs="Times New Roman"/>
              </w:rPr>
              <w:t>9.39</w:t>
            </w:r>
          </w:p>
        </w:tc>
        <w:tc>
          <w:tcPr>
            <w:tcW w:w="5035" w:type="dxa"/>
          </w:tcPr>
          <w:p w14:paraId="444BDD9A" w14:textId="77777777" w:rsidR="00EC61FE" w:rsidRPr="00273CE9" w:rsidRDefault="00EC61FE" w:rsidP="003126F6">
            <w:pPr>
              <w:rPr>
                <w:rFonts w:cs="Times New Roman"/>
              </w:rPr>
            </w:pPr>
            <w:r w:rsidRPr="00273CE9">
              <w:rPr>
                <w:rFonts w:cs="Times New Roman"/>
              </w:rPr>
              <w:t>Particular Rights—Fourteenth Amendment—Due Process— Deliberate or Reckless Suppression of Evidence</w:t>
            </w:r>
          </w:p>
        </w:tc>
      </w:tr>
      <w:tr w:rsidR="00EC61FE" w:rsidRPr="00273CE9" w14:paraId="0BE48962" w14:textId="77777777" w:rsidTr="003126F6">
        <w:tc>
          <w:tcPr>
            <w:tcW w:w="1345" w:type="dxa"/>
          </w:tcPr>
          <w:p w14:paraId="4FE35CEB" w14:textId="77777777" w:rsidR="00EC61FE" w:rsidRPr="00273CE9" w:rsidRDefault="00EC61FE" w:rsidP="003126F6">
            <w:pPr>
              <w:rPr>
                <w:rFonts w:cs="Times New Roman"/>
              </w:rPr>
            </w:pPr>
            <w:r w:rsidRPr="00273CE9">
              <w:rPr>
                <w:rFonts w:cs="Times New Roman"/>
              </w:rPr>
              <w:t>—</w:t>
            </w:r>
          </w:p>
        </w:tc>
        <w:tc>
          <w:tcPr>
            <w:tcW w:w="1620" w:type="dxa"/>
          </w:tcPr>
          <w:p w14:paraId="607075B7" w14:textId="77777777" w:rsidR="00EC61FE" w:rsidRPr="00273CE9" w:rsidRDefault="00EC61FE" w:rsidP="003126F6">
            <w:pPr>
              <w:rPr>
                <w:rFonts w:cs="Times New Roman"/>
              </w:rPr>
            </w:pPr>
            <w:r w:rsidRPr="00273CE9">
              <w:rPr>
                <w:rFonts w:cs="Times New Roman"/>
              </w:rPr>
              <w:t>9.33B</w:t>
            </w:r>
          </w:p>
        </w:tc>
        <w:tc>
          <w:tcPr>
            <w:tcW w:w="1350" w:type="dxa"/>
          </w:tcPr>
          <w:p w14:paraId="5560DF38" w14:textId="77777777" w:rsidR="00EC61FE" w:rsidRPr="00273CE9" w:rsidRDefault="00EC61FE" w:rsidP="003126F6">
            <w:pPr>
              <w:rPr>
                <w:rFonts w:cs="Times New Roman"/>
              </w:rPr>
            </w:pPr>
            <w:r w:rsidRPr="00273CE9">
              <w:rPr>
                <w:rFonts w:cs="Times New Roman"/>
              </w:rPr>
              <w:t>9.40</w:t>
            </w:r>
          </w:p>
        </w:tc>
        <w:tc>
          <w:tcPr>
            <w:tcW w:w="5035" w:type="dxa"/>
          </w:tcPr>
          <w:p w14:paraId="00605D36" w14:textId="77777777" w:rsidR="00EC61FE" w:rsidRPr="00273CE9" w:rsidRDefault="00EC61FE" w:rsidP="003126F6">
            <w:pPr>
              <w:rPr>
                <w:rFonts w:cs="Times New Roman"/>
              </w:rPr>
            </w:pPr>
            <w:r w:rsidRPr="00273CE9">
              <w:rPr>
                <w:rFonts w:cs="Times New Roman"/>
              </w:rPr>
              <w:t>Particular Rights—Fourteenth Amendment—Due Process—State-Created Danger</w:t>
            </w:r>
          </w:p>
        </w:tc>
      </w:tr>
      <w:tr w:rsidR="00EC61FE" w:rsidRPr="00273CE9" w14:paraId="0B6384CD" w14:textId="77777777" w:rsidTr="003126F6">
        <w:tc>
          <w:tcPr>
            <w:tcW w:w="1345" w:type="dxa"/>
          </w:tcPr>
          <w:p w14:paraId="597720E2" w14:textId="77777777" w:rsidR="00EC61FE" w:rsidRPr="00273CE9" w:rsidRDefault="00EC61FE" w:rsidP="003126F6">
            <w:pPr>
              <w:rPr>
                <w:rFonts w:cs="Times New Roman"/>
              </w:rPr>
            </w:pPr>
            <w:r w:rsidRPr="00273CE9">
              <w:rPr>
                <w:rFonts w:cs="Times New Roman"/>
              </w:rPr>
              <w:t>9.34</w:t>
            </w:r>
          </w:p>
        </w:tc>
        <w:tc>
          <w:tcPr>
            <w:tcW w:w="1620" w:type="dxa"/>
          </w:tcPr>
          <w:p w14:paraId="4A3573BB" w14:textId="77777777" w:rsidR="00EC61FE" w:rsidRPr="00273CE9" w:rsidRDefault="00EC61FE" w:rsidP="003126F6">
            <w:pPr>
              <w:rPr>
                <w:rFonts w:cs="Times New Roman"/>
              </w:rPr>
            </w:pPr>
            <w:r w:rsidRPr="00273CE9">
              <w:rPr>
                <w:rFonts w:cs="Times New Roman"/>
              </w:rPr>
              <w:t>9.34</w:t>
            </w:r>
          </w:p>
        </w:tc>
        <w:tc>
          <w:tcPr>
            <w:tcW w:w="1350" w:type="dxa"/>
          </w:tcPr>
          <w:p w14:paraId="7FA59E3A" w14:textId="77777777" w:rsidR="00EC61FE" w:rsidRPr="00273CE9" w:rsidRDefault="00EC61FE" w:rsidP="003126F6">
            <w:pPr>
              <w:rPr>
                <w:rFonts w:cs="Times New Roman"/>
              </w:rPr>
            </w:pPr>
            <w:r w:rsidRPr="00273CE9">
              <w:rPr>
                <w:rFonts w:cs="Times New Roman"/>
              </w:rPr>
              <w:t>9.41</w:t>
            </w:r>
          </w:p>
        </w:tc>
        <w:tc>
          <w:tcPr>
            <w:tcW w:w="5035" w:type="dxa"/>
          </w:tcPr>
          <w:p w14:paraId="0FB41A59" w14:textId="77777777" w:rsidR="00EC61FE" w:rsidRPr="00273CE9" w:rsidRDefault="00EC61FE" w:rsidP="003126F6">
            <w:pPr>
              <w:rPr>
                <w:rFonts w:cs="Times New Roman"/>
              </w:rPr>
            </w:pPr>
            <w:r w:rsidRPr="00273CE9">
              <w:rPr>
                <w:rFonts w:cs="Times New Roman"/>
              </w:rPr>
              <w:t>Qualified Immunity</w:t>
            </w:r>
          </w:p>
        </w:tc>
      </w:tr>
      <w:tr w:rsidR="00EC61FE" w:rsidRPr="00273CE9" w14:paraId="1D02F46B" w14:textId="77777777" w:rsidTr="003126F6">
        <w:tc>
          <w:tcPr>
            <w:tcW w:w="1345" w:type="dxa"/>
          </w:tcPr>
          <w:p w14:paraId="03EA765B" w14:textId="77777777" w:rsidR="00EC61FE" w:rsidRPr="00273CE9" w:rsidRDefault="00EC61FE" w:rsidP="003126F6">
            <w:pPr>
              <w:rPr>
                <w:rFonts w:cs="Times New Roman"/>
              </w:rPr>
            </w:pPr>
            <w:r w:rsidRPr="00273CE9">
              <w:rPr>
                <w:rFonts w:cs="Times New Roman"/>
              </w:rPr>
              <w:t>9.35</w:t>
            </w:r>
          </w:p>
        </w:tc>
        <w:tc>
          <w:tcPr>
            <w:tcW w:w="1620" w:type="dxa"/>
          </w:tcPr>
          <w:p w14:paraId="54CB3848" w14:textId="77777777" w:rsidR="00EC61FE" w:rsidRPr="00273CE9" w:rsidRDefault="00EC61FE" w:rsidP="003126F6">
            <w:pPr>
              <w:rPr>
                <w:rFonts w:cs="Times New Roman"/>
              </w:rPr>
            </w:pPr>
            <w:r w:rsidRPr="00273CE9">
              <w:rPr>
                <w:rFonts w:cs="Times New Roman"/>
              </w:rPr>
              <w:t>9.35</w:t>
            </w:r>
          </w:p>
        </w:tc>
        <w:tc>
          <w:tcPr>
            <w:tcW w:w="1350" w:type="dxa"/>
          </w:tcPr>
          <w:p w14:paraId="133AF6FA" w14:textId="77777777" w:rsidR="00EC61FE" w:rsidRPr="00273CE9" w:rsidRDefault="00EC61FE" w:rsidP="003126F6">
            <w:pPr>
              <w:rPr>
                <w:rFonts w:cs="Times New Roman"/>
              </w:rPr>
            </w:pPr>
            <w:r w:rsidRPr="00273CE9">
              <w:rPr>
                <w:rFonts w:cs="Times New Roman"/>
              </w:rPr>
              <w:t>9.42</w:t>
            </w:r>
          </w:p>
        </w:tc>
        <w:tc>
          <w:tcPr>
            <w:tcW w:w="5035" w:type="dxa"/>
          </w:tcPr>
          <w:p w14:paraId="58219FF9" w14:textId="77777777" w:rsidR="00EC61FE" w:rsidRPr="00273CE9" w:rsidRDefault="00EC61FE" w:rsidP="003126F6">
            <w:pPr>
              <w:rPr>
                <w:rFonts w:cs="Times New Roman"/>
              </w:rPr>
            </w:pPr>
            <w:r w:rsidRPr="00273CE9">
              <w:rPr>
                <w:rFonts w:cs="Times New Roman"/>
              </w:rPr>
              <w:t>Bivens Claim Against Federal Defendant in Individual Capacity— Elements and Burden of Proof</w:t>
            </w:r>
          </w:p>
        </w:tc>
      </w:tr>
      <w:tr w:rsidR="00EC61FE" w:rsidRPr="00273CE9" w14:paraId="52F0487A" w14:textId="77777777" w:rsidTr="003126F6">
        <w:tc>
          <w:tcPr>
            <w:tcW w:w="1345" w:type="dxa"/>
          </w:tcPr>
          <w:p w14:paraId="15676200" w14:textId="77777777" w:rsidR="00EC61FE" w:rsidRPr="00273CE9" w:rsidRDefault="00EC61FE" w:rsidP="003126F6">
            <w:pPr>
              <w:rPr>
                <w:rFonts w:cs="Times New Roman"/>
              </w:rPr>
            </w:pPr>
            <w:r w:rsidRPr="00273CE9">
              <w:rPr>
                <w:rFonts w:cs="Times New Roman"/>
              </w:rPr>
              <w:t>—</w:t>
            </w:r>
          </w:p>
        </w:tc>
        <w:tc>
          <w:tcPr>
            <w:tcW w:w="1620" w:type="dxa"/>
          </w:tcPr>
          <w:p w14:paraId="3A274529" w14:textId="77777777" w:rsidR="00EC61FE" w:rsidRPr="00273CE9" w:rsidRDefault="00EC61FE" w:rsidP="003126F6">
            <w:pPr>
              <w:rPr>
                <w:rFonts w:cs="Times New Roman"/>
              </w:rPr>
            </w:pPr>
            <w:r w:rsidRPr="00273CE9">
              <w:rPr>
                <w:rFonts w:cs="Times New Roman"/>
              </w:rPr>
              <w:t>9.36</w:t>
            </w:r>
          </w:p>
        </w:tc>
        <w:tc>
          <w:tcPr>
            <w:tcW w:w="1350" w:type="dxa"/>
          </w:tcPr>
          <w:p w14:paraId="0F95015A" w14:textId="77777777" w:rsidR="00EC61FE" w:rsidRPr="00273CE9" w:rsidRDefault="00EC61FE" w:rsidP="003126F6">
            <w:pPr>
              <w:rPr>
                <w:rFonts w:cs="Times New Roman"/>
              </w:rPr>
            </w:pPr>
            <w:r w:rsidRPr="00273CE9">
              <w:rPr>
                <w:rFonts w:cs="Times New Roman"/>
              </w:rPr>
              <w:t>9.43</w:t>
            </w:r>
          </w:p>
        </w:tc>
        <w:tc>
          <w:tcPr>
            <w:tcW w:w="5035" w:type="dxa"/>
          </w:tcPr>
          <w:p w14:paraId="626189CC" w14:textId="77777777" w:rsidR="00EC61FE" w:rsidRPr="00273CE9" w:rsidRDefault="00EC61FE" w:rsidP="003126F6">
            <w:pPr>
              <w:rPr>
                <w:rFonts w:cs="Times New Roman"/>
              </w:rPr>
            </w:pPr>
            <w:r w:rsidRPr="00273CE9">
              <w:rPr>
                <w:rFonts w:cs="Times New Roman"/>
              </w:rPr>
              <w:t>Discrimination in Making and Enforcing Contracts (42 U.S.C. § 1981)</w:t>
            </w:r>
          </w:p>
        </w:tc>
      </w:tr>
    </w:tbl>
    <w:p w14:paraId="79E94E41" w14:textId="77777777" w:rsidR="00EC61FE" w:rsidRDefault="00EC61FE" w:rsidP="002B283E">
      <w:pPr>
        <w:rPr>
          <w:rFonts w:cs="Times New Roman"/>
          <w:szCs w:val="24"/>
        </w:rPr>
      </w:pPr>
    </w:p>
    <w:p w14:paraId="7C64CD94" w14:textId="1D6F711C" w:rsidR="00EC61FE" w:rsidRDefault="00EC61FE" w:rsidP="002B283E">
      <w:pPr>
        <w:rPr>
          <w:rFonts w:cs="Times New Roman"/>
          <w:b/>
          <w:bCs/>
          <w:szCs w:val="24"/>
        </w:rPr>
      </w:pPr>
      <w:r w:rsidRPr="00EC61FE">
        <w:rPr>
          <w:rFonts w:cs="Times New Roman"/>
          <w:b/>
          <w:bCs/>
          <w:szCs w:val="24"/>
        </w:rPr>
        <w:t>Chapter 10: Civil Rights—Title VII—Employment Discrimination; Harassment; Retaliation</w:t>
      </w:r>
    </w:p>
    <w:p w14:paraId="5EC87131"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8"/>
        <w:gridCol w:w="1607"/>
        <w:gridCol w:w="1343"/>
        <w:gridCol w:w="4972"/>
      </w:tblGrid>
      <w:tr w:rsidR="00EC61FE" w:rsidRPr="00273CE9" w14:paraId="33FBFC19" w14:textId="77777777" w:rsidTr="00B50923">
        <w:trPr>
          <w:tblHeader/>
        </w:trPr>
        <w:tc>
          <w:tcPr>
            <w:tcW w:w="1345" w:type="dxa"/>
            <w:shd w:val="clear" w:color="auto" w:fill="D0CECE" w:themeFill="background2" w:themeFillShade="E6"/>
          </w:tcPr>
          <w:p w14:paraId="422FB4AE"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3B335240"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3AE72F53"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520F6755" w14:textId="77777777" w:rsidR="00EC61FE" w:rsidRPr="00273CE9" w:rsidRDefault="00EC61FE" w:rsidP="003126F6">
            <w:pPr>
              <w:rPr>
                <w:rFonts w:cs="Times New Roman"/>
                <w:b/>
                <w:bCs/>
              </w:rPr>
            </w:pPr>
            <w:r w:rsidRPr="00273CE9">
              <w:rPr>
                <w:rFonts w:cs="Times New Roman"/>
                <w:b/>
                <w:bCs/>
              </w:rPr>
              <w:t>Title</w:t>
            </w:r>
          </w:p>
        </w:tc>
      </w:tr>
      <w:tr w:rsidR="00EC61FE" w:rsidRPr="00273CE9" w14:paraId="3C07125E" w14:textId="77777777" w:rsidTr="003126F6">
        <w:tc>
          <w:tcPr>
            <w:tcW w:w="1345" w:type="dxa"/>
          </w:tcPr>
          <w:p w14:paraId="65032B37" w14:textId="77777777" w:rsidR="00EC61FE" w:rsidRPr="00273CE9" w:rsidRDefault="00EC61FE" w:rsidP="003126F6">
            <w:pPr>
              <w:rPr>
                <w:rFonts w:cs="Times New Roman"/>
              </w:rPr>
            </w:pPr>
            <w:r w:rsidRPr="00273CE9">
              <w:rPr>
                <w:rFonts w:cs="Times New Roman"/>
              </w:rPr>
              <w:t>10.1</w:t>
            </w:r>
          </w:p>
        </w:tc>
        <w:tc>
          <w:tcPr>
            <w:tcW w:w="1620" w:type="dxa"/>
          </w:tcPr>
          <w:p w14:paraId="459DB88B" w14:textId="77777777" w:rsidR="00EC61FE" w:rsidRPr="00273CE9" w:rsidRDefault="00EC61FE" w:rsidP="003126F6">
            <w:pPr>
              <w:rPr>
                <w:rFonts w:cs="Times New Roman"/>
              </w:rPr>
            </w:pPr>
            <w:r w:rsidRPr="00273CE9">
              <w:rPr>
                <w:rFonts w:cs="Times New Roman"/>
              </w:rPr>
              <w:t>10.1</w:t>
            </w:r>
          </w:p>
        </w:tc>
        <w:tc>
          <w:tcPr>
            <w:tcW w:w="1350" w:type="dxa"/>
          </w:tcPr>
          <w:p w14:paraId="4EBD84FC" w14:textId="77777777" w:rsidR="00EC61FE" w:rsidRPr="00273CE9" w:rsidRDefault="00EC61FE" w:rsidP="003126F6">
            <w:pPr>
              <w:rPr>
                <w:rFonts w:cs="Times New Roman"/>
              </w:rPr>
            </w:pPr>
            <w:r w:rsidRPr="00273CE9">
              <w:rPr>
                <w:rFonts w:cs="Times New Roman"/>
              </w:rPr>
              <w:t>10.1</w:t>
            </w:r>
          </w:p>
        </w:tc>
        <w:tc>
          <w:tcPr>
            <w:tcW w:w="5035" w:type="dxa"/>
          </w:tcPr>
          <w:p w14:paraId="57A3A53E" w14:textId="77777777" w:rsidR="00EC61FE" w:rsidRPr="00273CE9" w:rsidRDefault="00EC61FE" w:rsidP="003126F6">
            <w:pPr>
              <w:rPr>
                <w:rFonts w:cs="Times New Roman"/>
              </w:rPr>
            </w:pPr>
            <w:r w:rsidRPr="00273CE9">
              <w:rPr>
                <w:rFonts w:cs="Times New Roman"/>
              </w:rPr>
              <w:t>Civil Rights—Title VII—Disparate Treatment—Without Affirmative Defense of “Same Decision” (2025); Civil Rights—Title VII—Disparate Treatment—When Evidence Supports “Sole Reason” or “Motivating Factor” (2017)</w:t>
            </w:r>
          </w:p>
        </w:tc>
      </w:tr>
      <w:tr w:rsidR="00EC61FE" w:rsidRPr="00273CE9" w14:paraId="641CFDBC" w14:textId="77777777" w:rsidTr="003126F6">
        <w:tc>
          <w:tcPr>
            <w:tcW w:w="1345" w:type="dxa"/>
          </w:tcPr>
          <w:p w14:paraId="765867A1" w14:textId="77777777" w:rsidR="00EC61FE" w:rsidRPr="00273CE9" w:rsidRDefault="00EC61FE" w:rsidP="003126F6">
            <w:pPr>
              <w:rPr>
                <w:rFonts w:cs="Times New Roman"/>
              </w:rPr>
            </w:pPr>
            <w:r w:rsidRPr="00273CE9">
              <w:rPr>
                <w:rFonts w:cs="Times New Roman"/>
              </w:rPr>
              <w:t>10.2</w:t>
            </w:r>
          </w:p>
        </w:tc>
        <w:tc>
          <w:tcPr>
            <w:tcW w:w="1620" w:type="dxa"/>
          </w:tcPr>
          <w:p w14:paraId="388C7045" w14:textId="77777777" w:rsidR="00EC61FE" w:rsidRPr="00273CE9" w:rsidRDefault="00EC61FE" w:rsidP="003126F6">
            <w:pPr>
              <w:rPr>
                <w:rFonts w:cs="Times New Roman"/>
              </w:rPr>
            </w:pPr>
            <w:r w:rsidRPr="00273CE9">
              <w:rPr>
                <w:rFonts w:cs="Times New Roman"/>
              </w:rPr>
              <w:t>10.2</w:t>
            </w:r>
          </w:p>
        </w:tc>
        <w:tc>
          <w:tcPr>
            <w:tcW w:w="1350" w:type="dxa"/>
          </w:tcPr>
          <w:p w14:paraId="7EBBC661" w14:textId="77777777" w:rsidR="00EC61FE" w:rsidRPr="00273CE9" w:rsidRDefault="00EC61FE" w:rsidP="003126F6">
            <w:pPr>
              <w:rPr>
                <w:rFonts w:cs="Times New Roman"/>
              </w:rPr>
            </w:pPr>
            <w:r w:rsidRPr="00273CE9">
              <w:rPr>
                <w:rFonts w:cs="Times New Roman"/>
              </w:rPr>
              <w:t>10.2</w:t>
            </w:r>
          </w:p>
        </w:tc>
        <w:tc>
          <w:tcPr>
            <w:tcW w:w="5035" w:type="dxa"/>
          </w:tcPr>
          <w:p w14:paraId="04B663BD" w14:textId="77777777" w:rsidR="00EC61FE" w:rsidRPr="00273CE9" w:rsidRDefault="00EC61FE" w:rsidP="003126F6">
            <w:pPr>
              <w:rPr>
                <w:rFonts w:cs="Times New Roman"/>
              </w:rPr>
            </w:pPr>
            <w:r w:rsidRPr="00273CE9">
              <w:rPr>
                <w:rFonts w:cs="Times New Roman"/>
              </w:rPr>
              <w:t>Civil Rights—Title VII—Disparate Treatment—With Affirmative Defense of “Same Decision” (2025; Civil Rights—Title VII—Disparate Treatment—“Sole Reason”—Elements and Burden of Proof (2017)</w:t>
            </w:r>
          </w:p>
        </w:tc>
      </w:tr>
      <w:tr w:rsidR="00EC61FE" w:rsidRPr="00273CE9" w14:paraId="0A1419AA" w14:textId="77777777" w:rsidTr="003126F6">
        <w:tc>
          <w:tcPr>
            <w:tcW w:w="1345" w:type="dxa"/>
          </w:tcPr>
          <w:p w14:paraId="473EF85A" w14:textId="77777777" w:rsidR="00EC61FE" w:rsidRPr="00273CE9" w:rsidRDefault="00EC61FE" w:rsidP="003126F6">
            <w:pPr>
              <w:rPr>
                <w:rFonts w:cs="Times New Roman"/>
              </w:rPr>
            </w:pPr>
            <w:r w:rsidRPr="00273CE9">
              <w:rPr>
                <w:rFonts w:cs="Times New Roman"/>
              </w:rPr>
              <w:t>10.3</w:t>
            </w:r>
          </w:p>
        </w:tc>
        <w:tc>
          <w:tcPr>
            <w:tcW w:w="1620" w:type="dxa"/>
          </w:tcPr>
          <w:p w14:paraId="55CA737B" w14:textId="77777777" w:rsidR="00EC61FE" w:rsidRPr="00273CE9" w:rsidRDefault="00EC61FE" w:rsidP="003126F6">
            <w:pPr>
              <w:rPr>
                <w:rFonts w:cs="Times New Roman"/>
              </w:rPr>
            </w:pPr>
            <w:r w:rsidRPr="00273CE9">
              <w:rPr>
                <w:rFonts w:cs="Times New Roman"/>
              </w:rPr>
              <w:t>10.3</w:t>
            </w:r>
          </w:p>
        </w:tc>
        <w:tc>
          <w:tcPr>
            <w:tcW w:w="1350" w:type="dxa"/>
          </w:tcPr>
          <w:p w14:paraId="52BD06E8" w14:textId="77777777" w:rsidR="00EC61FE" w:rsidRPr="00273CE9" w:rsidRDefault="00EC61FE" w:rsidP="003126F6">
            <w:pPr>
              <w:rPr>
                <w:rFonts w:cs="Times New Roman"/>
              </w:rPr>
            </w:pPr>
            <w:r w:rsidRPr="00273CE9">
              <w:rPr>
                <w:rFonts w:cs="Times New Roman"/>
              </w:rPr>
              <w:t>10.3</w:t>
            </w:r>
          </w:p>
        </w:tc>
        <w:tc>
          <w:tcPr>
            <w:tcW w:w="5035" w:type="dxa"/>
          </w:tcPr>
          <w:p w14:paraId="38BEC83A" w14:textId="77777777" w:rsidR="00EC61FE" w:rsidRPr="00273CE9" w:rsidRDefault="00EC61FE" w:rsidP="003126F6">
            <w:pPr>
              <w:rPr>
                <w:rFonts w:cs="Times New Roman"/>
              </w:rPr>
            </w:pPr>
            <w:r w:rsidRPr="00273CE9">
              <w:rPr>
                <w:rFonts w:cs="Times New Roman"/>
              </w:rPr>
              <w:t>Civil Rights—Title VII—Disparate Treatment— “Because of” Defined (2025); Civil Rights—Title VII—Disparate Treatment—“Motivating Factor”—Elements and Burden of Proof (2017)</w:t>
            </w:r>
          </w:p>
        </w:tc>
      </w:tr>
      <w:tr w:rsidR="00EC61FE" w:rsidRPr="00273CE9" w14:paraId="7C321F3D" w14:textId="77777777" w:rsidTr="003126F6">
        <w:tc>
          <w:tcPr>
            <w:tcW w:w="1345" w:type="dxa"/>
          </w:tcPr>
          <w:p w14:paraId="402931E6" w14:textId="77777777" w:rsidR="00EC61FE" w:rsidRPr="00273CE9" w:rsidRDefault="00EC61FE" w:rsidP="003126F6">
            <w:pPr>
              <w:rPr>
                <w:rFonts w:cs="Times New Roman"/>
              </w:rPr>
            </w:pPr>
            <w:r w:rsidRPr="00273CE9">
              <w:rPr>
                <w:rFonts w:cs="Times New Roman"/>
              </w:rPr>
              <w:t>10.4</w:t>
            </w:r>
          </w:p>
        </w:tc>
        <w:tc>
          <w:tcPr>
            <w:tcW w:w="1620" w:type="dxa"/>
          </w:tcPr>
          <w:p w14:paraId="076C25AA" w14:textId="77777777" w:rsidR="00EC61FE" w:rsidRPr="00273CE9" w:rsidRDefault="00EC61FE" w:rsidP="003126F6">
            <w:pPr>
              <w:rPr>
                <w:rFonts w:cs="Times New Roman"/>
              </w:rPr>
            </w:pPr>
            <w:r w:rsidRPr="00273CE9">
              <w:rPr>
                <w:rFonts w:cs="Times New Roman"/>
              </w:rPr>
              <w:t>10.4</w:t>
            </w:r>
          </w:p>
        </w:tc>
        <w:tc>
          <w:tcPr>
            <w:tcW w:w="1350" w:type="dxa"/>
          </w:tcPr>
          <w:p w14:paraId="5AEDADD1" w14:textId="77777777" w:rsidR="00EC61FE" w:rsidRPr="00273CE9" w:rsidRDefault="00EC61FE" w:rsidP="003126F6">
            <w:pPr>
              <w:rPr>
                <w:rFonts w:cs="Times New Roman"/>
              </w:rPr>
            </w:pPr>
            <w:r w:rsidRPr="00273CE9">
              <w:rPr>
                <w:rFonts w:cs="Times New Roman"/>
              </w:rPr>
              <w:t>10.4</w:t>
            </w:r>
          </w:p>
        </w:tc>
        <w:tc>
          <w:tcPr>
            <w:tcW w:w="5035" w:type="dxa"/>
          </w:tcPr>
          <w:p w14:paraId="6B321A91" w14:textId="77777777" w:rsidR="00EC61FE" w:rsidRPr="00273CE9" w:rsidRDefault="00EC61FE" w:rsidP="003126F6">
            <w:pPr>
              <w:rPr>
                <w:rFonts w:cs="Times New Roman"/>
              </w:rPr>
            </w:pPr>
            <w:r w:rsidRPr="00273CE9">
              <w:rPr>
                <w:rFonts w:cs="Times New Roman"/>
              </w:rPr>
              <w:t xml:space="preserve">Civil Rights—Title VII—Hostile Work Environment—Harassment </w:t>
            </w:r>
          </w:p>
        </w:tc>
      </w:tr>
      <w:tr w:rsidR="00EC61FE" w:rsidRPr="00273CE9" w14:paraId="63EC53E7" w14:textId="77777777" w:rsidTr="003126F6">
        <w:tc>
          <w:tcPr>
            <w:tcW w:w="1345" w:type="dxa"/>
          </w:tcPr>
          <w:p w14:paraId="29E55D06" w14:textId="77777777" w:rsidR="00EC61FE" w:rsidRPr="00273CE9" w:rsidRDefault="00EC61FE" w:rsidP="003126F6">
            <w:pPr>
              <w:rPr>
                <w:rFonts w:cs="Times New Roman"/>
              </w:rPr>
            </w:pPr>
            <w:r w:rsidRPr="00273CE9">
              <w:rPr>
                <w:rFonts w:cs="Times New Roman"/>
              </w:rPr>
              <w:t>—</w:t>
            </w:r>
          </w:p>
        </w:tc>
        <w:tc>
          <w:tcPr>
            <w:tcW w:w="1620" w:type="dxa"/>
          </w:tcPr>
          <w:p w14:paraId="5F2E7E61" w14:textId="77777777" w:rsidR="00EC61FE" w:rsidRPr="00273CE9" w:rsidRDefault="00EC61FE" w:rsidP="003126F6">
            <w:pPr>
              <w:rPr>
                <w:rFonts w:cs="Times New Roman"/>
              </w:rPr>
            </w:pPr>
            <w:r w:rsidRPr="00273CE9">
              <w:rPr>
                <w:rFonts w:cs="Times New Roman"/>
              </w:rPr>
              <w:t>10.4A</w:t>
            </w:r>
          </w:p>
        </w:tc>
        <w:tc>
          <w:tcPr>
            <w:tcW w:w="1350" w:type="dxa"/>
          </w:tcPr>
          <w:p w14:paraId="15B328DB" w14:textId="77777777" w:rsidR="00EC61FE" w:rsidRPr="00273CE9" w:rsidRDefault="00EC61FE" w:rsidP="003126F6">
            <w:pPr>
              <w:rPr>
                <w:rFonts w:cs="Times New Roman"/>
              </w:rPr>
            </w:pPr>
            <w:r w:rsidRPr="00273CE9">
              <w:rPr>
                <w:rFonts w:cs="Times New Roman"/>
              </w:rPr>
              <w:t>10.5</w:t>
            </w:r>
          </w:p>
        </w:tc>
        <w:tc>
          <w:tcPr>
            <w:tcW w:w="5035" w:type="dxa"/>
          </w:tcPr>
          <w:p w14:paraId="15331654" w14:textId="77777777" w:rsidR="00EC61FE" w:rsidRPr="00273CE9" w:rsidRDefault="00EC61FE" w:rsidP="003126F6">
            <w:pPr>
              <w:rPr>
                <w:rFonts w:cs="Times New Roman"/>
              </w:rPr>
            </w:pPr>
            <w:r w:rsidRPr="00273CE9">
              <w:rPr>
                <w:rFonts w:cs="Times New Roman"/>
              </w:rPr>
              <w:t>Civil Rights—Title VII—Hostile Work Environment—Definition</w:t>
            </w:r>
          </w:p>
        </w:tc>
      </w:tr>
      <w:tr w:rsidR="00EC61FE" w:rsidRPr="00273CE9" w14:paraId="4820B147" w14:textId="77777777" w:rsidTr="003126F6">
        <w:tc>
          <w:tcPr>
            <w:tcW w:w="1345" w:type="dxa"/>
          </w:tcPr>
          <w:p w14:paraId="7C5BB861" w14:textId="77777777" w:rsidR="00EC61FE" w:rsidRPr="00273CE9" w:rsidRDefault="00EC61FE" w:rsidP="003126F6">
            <w:pPr>
              <w:rPr>
                <w:rFonts w:cs="Times New Roman"/>
              </w:rPr>
            </w:pPr>
            <w:r w:rsidRPr="00273CE9">
              <w:rPr>
                <w:rFonts w:cs="Times New Roman"/>
              </w:rPr>
              <w:t>10.5</w:t>
            </w:r>
          </w:p>
        </w:tc>
        <w:tc>
          <w:tcPr>
            <w:tcW w:w="1620" w:type="dxa"/>
          </w:tcPr>
          <w:p w14:paraId="65BD5DEB" w14:textId="77777777" w:rsidR="00EC61FE" w:rsidRPr="00273CE9" w:rsidRDefault="00EC61FE" w:rsidP="003126F6">
            <w:pPr>
              <w:rPr>
                <w:rFonts w:cs="Times New Roman"/>
              </w:rPr>
            </w:pPr>
            <w:r w:rsidRPr="00273CE9">
              <w:rPr>
                <w:rFonts w:cs="Times New Roman"/>
              </w:rPr>
              <w:t>10.5</w:t>
            </w:r>
          </w:p>
        </w:tc>
        <w:tc>
          <w:tcPr>
            <w:tcW w:w="1350" w:type="dxa"/>
          </w:tcPr>
          <w:p w14:paraId="2CC8E3CD" w14:textId="77777777" w:rsidR="00EC61FE" w:rsidRPr="00273CE9" w:rsidRDefault="00EC61FE" w:rsidP="003126F6">
            <w:pPr>
              <w:rPr>
                <w:rFonts w:cs="Times New Roman"/>
              </w:rPr>
            </w:pPr>
            <w:r w:rsidRPr="00273CE9">
              <w:rPr>
                <w:rFonts w:cs="Times New Roman"/>
              </w:rPr>
              <w:t>10.6</w:t>
            </w:r>
          </w:p>
        </w:tc>
        <w:tc>
          <w:tcPr>
            <w:tcW w:w="5035" w:type="dxa"/>
          </w:tcPr>
          <w:p w14:paraId="31D80ABD" w14:textId="77777777" w:rsidR="00EC61FE" w:rsidRPr="00273CE9" w:rsidRDefault="00EC61FE" w:rsidP="003126F6">
            <w:pPr>
              <w:rPr>
                <w:rFonts w:cs="Times New Roman"/>
              </w:rPr>
            </w:pPr>
            <w:r w:rsidRPr="00273CE9">
              <w:rPr>
                <w:rFonts w:cs="Times New Roman"/>
              </w:rPr>
              <w:t>Civil Rights—Title VII—Hostile Work Environment—Harassment Because of Protected Characteristics—Elements</w:t>
            </w:r>
          </w:p>
        </w:tc>
      </w:tr>
      <w:tr w:rsidR="00EC61FE" w:rsidRPr="00273CE9" w14:paraId="4A9733FE" w14:textId="77777777" w:rsidTr="003126F6">
        <w:tc>
          <w:tcPr>
            <w:tcW w:w="1345" w:type="dxa"/>
          </w:tcPr>
          <w:p w14:paraId="293DC89C" w14:textId="77777777" w:rsidR="00EC61FE" w:rsidRPr="00273CE9" w:rsidRDefault="00EC61FE" w:rsidP="003126F6">
            <w:pPr>
              <w:rPr>
                <w:rFonts w:cs="Times New Roman"/>
              </w:rPr>
            </w:pPr>
            <w:r w:rsidRPr="00273CE9">
              <w:rPr>
                <w:rFonts w:cs="Times New Roman"/>
              </w:rPr>
              <w:t>10.6</w:t>
            </w:r>
          </w:p>
        </w:tc>
        <w:tc>
          <w:tcPr>
            <w:tcW w:w="1620" w:type="dxa"/>
          </w:tcPr>
          <w:p w14:paraId="4245DE04" w14:textId="77777777" w:rsidR="00EC61FE" w:rsidRPr="00273CE9" w:rsidRDefault="00EC61FE" w:rsidP="003126F6">
            <w:pPr>
              <w:rPr>
                <w:rFonts w:cs="Times New Roman"/>
              </w:rPr>
            </w:pPr>
            <w:r w:rsidRPr="00273CE9">
              <w:rPr>
                <w:rFonts w:cs="Times New Roman"/>
              </w:rPr>
              <w:t>10.6</w:t>
            </w:r>
          </w:p>
        </w:tc>
        <w:tc>
          <w:tcPr>
            <w:tcW w:w="1350" w:type="dxa"/>
          </w:tcPr>
          <w:p w14:paraId="0D631506" w14:textId="77777777" w:rsidR="00EC61FE" w:rsidRPr="00273CE9" w:rsidRDefault="00EC61FE" w:rsidP="003126F6">
            <w:pPr>
              <w:rPr>
                <w:rFonts w:cs="Times New Roman"/>
              </w:rPr>
            </w:pPr>
            <w:r w:rsidRPr="00273CE9">
              <w:rPr>
                <w:rFonts w:cs="Times New Roman"/>
              </w:rPr>
              <w:t>10.7</w:t>
            </w:r>
          </w:p>
        </w:tc>
        <w:tc>
          <w:tcPr>
            <w:tcW w:w="5035" w:type="dxa"/>
          </w:tcPr>
          <w:p w14:paraId="2D2A4B4A" w14:textId="77777777" w:rsidR="00EC61FE" w:rsidRPr="00273CE9" w:rsidRDefault="00EC61FE" w:rsidP="003126F6">
            <w:pPr>
              <w:rPr>
                <w:rFonts w:cs="Times New Roman"/>
              </w:rPr>
            </w:pPr>
            <w:r w:rsidRPr="00273CE9">
              <w:rPr>
                <w:rFonts w:cs="Times New Roman"/>
              </w:rPr>
              <w:t>Civil Rights—Title VII—Hostile Work Environment Caused by Supervisor—Claim Based upon Vicarious Liability—Tangible Employment Action—Affirmative Defense</w:t>
            </w:r>
          </w:p>
        </w:tc>
      </w:tr>
      <w:tr w:rsidR="00EC61FE" w:rsidRPr="00273CE9" w14:paraId="79E1E4F0" w14:textId="77777777" w:rsidTr="003126F6">
        <w:tc>
          <w:tcPr>
            <w:tcW w:w="1345" w:type="dxa"/>
          </w:tcPr>
          <w:p w14:paraId="25B27682" w14:textId="77777777" w:rsidR="00EC61FE" w:rsidRPr="00273CE9" w:rsidRDefault="00EC61FE" w:rsidP="003126F6">
            <w:pPr>
              <w:rPr>
                <w:rFonts w:cs="Times New Roman"/>
              </w:rPr>
            </w:pPr>
            <w:r w:rsidRPr="00273CE9">
              <w:rPr>
                <w:rFonts w:cs="Times New Roman"/>
              </w:rPr>
              <w:t>10.7</w:t>
            </w:r>
          </w:p>
        </w:tc>
        <w:tc>
          <w:tcPr>
            <w:tcW w:w="1620" w:type="dxa"/>
          </w:tcPr>
          <w:p w14:paraId="4A792DE5" w14:textId="77777777" w:rsidR="00EC61FE" w:rsidRPr="00273CE9" w:rsidRDefault="00EC61FE" w:rsidP="003126F6">
            <w:pPr>
              <w:rPr>
                <w:rFonts w:cs="Times New Roman"/>
              </w:rPr>
            </w:pPr>
            <w:r w:rsidRPr="00273CE9">
              <w:rPr>
                <w:rFonts w:cs="Times New Roman"/>
              </w:rPr>
              <w:t>10.7</w:t>
            </w:r>
          </w:p>
        </w:tc>
        <w:tc>
          <w:tcPr>
            <w:tcW w:w="1350" w:type="dxa"/>
          </w:tcPr>
          <w:p w14:paraId="25E28DC6" w14:textId="77777777" w:rsidR="00EC61FE" w:rsidRPr="00273CE9" w:rsidRDefault="00EC61FE" w:rsidP="003126F6">
            <w:pPr>
              <w:rPr>
                <w:rFonts w:cs="Times New Roman"/>
              </w:rPr>
            </w:pPr>
            <w:r w:rsidRPr="00273CE9">
              <w:rPr>
                <w:rFonts w:cs="Times New Roman"/>
              </w:rPr>
              <w:t>10.8</w:t>
            </w:r>
          </w:p>
        </w:tc>
        <w:tc>
          <w:tcPr>
            <w:tcW w:w="5035" w:type="dxa"/>
          </w:tcPr>
          <w:p w14:paraId="7F65A7C3" w14:textId="77777777" w:rsidR="00EC61FE" w:rsidRPr="00273CE9" w:rsidRDefault="00EC61FE" w:rsidP="003126F6">
            <w:pPr>
              <w:rPr>
                <w:rFonts w:cs="Times New Roman"/>
              </w:rPr>
            </w:pPr>
            <w:r w:rsidRPr="00273CE9">
              <w:rPr>
                <w:rFonts w:cs="Times New Roman"/>
              </w:rPr>
              <w:t xml:space="preserve">Civil Rights—Title VII—Hostile Work Environment Caused by Non-Immediate </w:t>
            </w:r>
            <w:r w:rsidRPr="00273CE9">
              <w:rPr>
                <w:rFonts w:cs="Times New Roman"/>
              </w:rPr>
              <w:lastRenderedPageBreak/>
              <w:t>Supervisor or by Co-Worker—Claim Based on Negligence</w:t>
            </w:r>
          </w:p>
        </w:tc>
      </w:tr>
      <w:tr w:rsidR="00EC61FE" w:rsidRPr="00273CE9" w14:paraId="502671A3" w14:textId="77777777" w:rsidTr="003126F6">
        <w:tc>
          <w:tcPr>
            <w:tcW w:w="1345" w:type="dxa"/>
          </w:tcPr>
          <w:p w14:paraId="6A18CA30" w14:textId="77777777" w:rsidR="00EC61FE" w:rsidRPr="00273CE9" w:rsidRDefault="00EC61FE" w:rsidP="003126F6">
            <w:pPr>
              <w:rPr>
                <w:rFonts w:cs="Times New Roman"/>
              </w:rPr>
            </w:pPr>
            <w:r w:rsidRPr="00273CE9">
              <w:rPr>
                <w:rFonts w:cs="Times New Roman"/>
              </w:rPr>
              <w:lastRenderedPageBreak/>
              <w:t>—</w:t>
            </w:r>
          </w:p>
        </w:tc>
        <w:tc>
          <w:tcPr>
            <w:tcW w:w="1620" w:type="dxa"/>
          </w:tcPr>
          <w:p w14:paraId="54118F25" w14:textId="77777777" w:rsidR="00EC61FE" w:rsidRPr="00273CE9" w:rsidRDefault="00EC61FE" w:rsidP="003126F6">
            <w:pPr>
              <w:rPr>
                <w:rFonts w:cs="Times New Roman"/>
              </w:rPr>
            </w:pPr>
            <w:r w:rsidRPr="00273CE9">
              <w:rPr>
                <w:rFonts w:cs="Times New Roman"/>
              </w:rPr>
              <w:t>10.7A</w:t>
            </w:r>
          </w:p>
        </w:tc>
        <w:tc>
          <w:tcPr>
            <w:tcW w:w="1350" w:type="dxa"/>
          </w:tcPr>
          <w:p w14:paraId="40AD5403" w14:textId="77777777" w:rsidR="00EC61FE" w:rsidRPr="00273CE9" w:rsidRDefault="00EC61FE" w:rsidP="003126F6">
            <w:pPr>
              <w:rPr>
                <w:rFonts w:cs="Times New Roman"/>
              </w:rPr>
            </w:pPr>
            <w:r w:rsidRPr="00273CE9">
              <w:rPr>
                <w:rFonts w:cs="Times New Roman"/>
              </w:rPr>
              <w:t>10.9</w:t>
            </w:r>
          </w:p>
        </w:tc>
        <w:tc>
          <w:tcPr>
            <w:tcW w:w="5035" w:type="dxa"/>
          </w:tcPr>
          <w:p w14:paraId="547CBB33" w14:textId="77777777" w:rsidR="00EC61FE" w:rsidRPr="00273CE9" w:rsidRDefault="00EC61FE" w:rsidP="003126F6">
            <w:pPr>
              <w:rPr>
                <w:rFonts w:cs="Times New Roman"/>
              </w:rPr>
            </w:pPr>
            <w:r w:rsidRPr="00273CE9">
              <w:rPr>
                <w:rFonts w:cs="Times New Roman"/>
              </w:rPr>
              <w:t>“Hostile Work Environment” Defined</w:t>
            </w:r>
          </w:p>
        </w:tc>
      </w:tr>
      <w:tr w:rsidR="00EC61FE" w:rsidRPr="00273CE9" w14:paraId="7875F679" w14:textId="77777777" w:rsidTr="003126F6">
        <w:tc>
          <w:tcPr>
            <w:tcW w:w="1345" w:type="dxa"/>
          </w:tcPr>
          <w:p w14:paraId="6DE25972" w14:textId="77777777" w:rsidR="00EC61FE" w:rsidRPr="00273CE9" w:rsidRDefault="00EC61FE" w:rsidP="003126F6">
            <w:pPr>
              <w:rPr>
                <w:rFonts w:cs="Times New Roman"/>
              </w:rPr>
            </w:pPr>
            <w:r w:rsidRPr="00273CE9">
              <w:rPr>
                <w:rFonts w:cs="Times New Roman"/>
              </w:rPr>
              <w:t>10.8</w:t>
            </w:r>
          </w:p>
        </w:tc>
        <w:tc>
          <w:tcPr>
            <w:tcW w:w="1620" w:type="dxa"/>
          </w:tcPr>
          <w:p w14:paraId="1F8E6573" w14:textId="77777777" w:rsidR="00EC61FE" w:rsidRPr="00273CE9" w:rsidRDefault="00EC61FE" w:rsidP="003126F6">
            <w:pPr>
              <w:rPr>
                <w:rFonts w:cs="Times New Roman"/>
              </w:rPr>
            </w:pPr>
            <w:r w:rsidRPr="00273CE9">
              <w:rPr>
                <w:rFonts w:cs="Times New Roman"/>
              </w:rPr>
              <w:t>10.8</w:t>
            </w:r>
          </w:p>
        </w:tc>
        <w:tc>
          <w:tcPr>
            <w:tcW w:w="1350" w:type="dxa"/>
          </w:tcPr>
          <w:p w14:paraId="34D6AA25" w14:textId="77777777" w:rsidR="00EC61FE" w:rsidRPr="00273CE9" w:rsidRDefault="00EC61FE" w:rsidP="003126F6">
            <w:pPr>
              <w:rPr>
                <w:rFonts w:cs="Times New Roman"/>
              </w:rPr>
            </w:pPr>
            <w:r w:rsidRPr="00273CE9">
              <w:rPr>
                <w:rFonts w:cs="Times New Roman"/>
              </w:rPr>
              <w:t>10.10</w:t>
            </w:r>
          </w:p>
        </w:tc>
        <w:tc>
          <w:tcPr>
            <w:tcW w:w="5035" w:type="dxa"/>
          </w:tcPr>
          <w:p w14:paraId="2A4A1E37" w14:textId="77777777" w:rsidR="00EC61FE" w:rsidRPr="00273CE9" w:rsidRDefault="00EC61FE" w:rsidP="003126F6">
            <w:pPr>
              <w:rPr>
                <w:rFonts w:cs="Times New Roman"/>
              </w:rPr>
            </w:pPr>
            <w:r w:rsidRPr="00273CE9">
              <w:rPr>
                <w:rFonts w:cs="Times New Roman"/>
              </w:rPr>
              <w:t>Civil Rights—Title VII—Retaliation—Elements and Burden of Proof</w:t>
            </w:r>
          </w:p>
        </w:tc>
      </w:tr>
      <w:tr w:rsidR="00EC61FE" w:rsidRPr="00273CE9" w14:paraId="28948B97" w14:textId="77777777" w:rsidTr="003126F6">
        <w:tc>
          <w:tcPr>
            <w:tcW w:w="1345" w:type="dxa"/>
          </w:tcPr>
          <w:p w14:paraId="607D7FA2" w14:textId="77777777" w:rsidR="00EC61FE" w:rsidRPr="00273CE9" w:rsidRDefault="00EC61FE" w:rsidP="003126F6">
            <w:pPr>
              <w:rPr>
                <w:rFonts w:cs="Times New Roman"/>
              </w:rPr>
            </w:pPr>
            <w:r w:rsidRPr="00273CE9">
              <w:rPr>
                <w:rFonts w:cs="Times New Roman"/>
              </w:rPr>
              <w:t>10.9</w:t>
            </w:r>
          </w:p>
        </w:tc>
        <w:tc>
          <w:tcPr>
            <w:tcW w:w="1620" w:type="dxa"/>
          </w:tcPr>
          <w:p w14:paraId="49965779" w14:textId="77777777" w:rsidR="00EC61FE" w:rsidRPr="00273CE9" w:rsidRDefault="00EC61FE" w:rsidP="003126F6">
            <w:pPr>
              <w:rPr>
                <w:rFonts w:cs="Times New Roman"/>
              </w:rPr>
            </w:pPr>
            <w:r w:rsidRPr="00273CE9">
              <w:rPr>
                <w:rFonts w:cs="Times New Roman"/>
              </w:rPr>
              <w:t>10.9</w:t>
            </w:r>
          </w:p>
        </w:tc>
        <w:tc>
          <w:tcPr>
            <w:tcW w:w="1350" w:type="dxa"/>
          </w:tcPr>
          <w:p w14:paraId="27A68CD5" w14:textId="77777777" w:rsidR="00EC61FE" w:rsidRPr="00273CE9" w:rsidRDefault="00EC61FE" w:rsidP="003126F6">
            <w:pPr>
              <w:rPr>
                <w:rFonts w:cs="Times New Roman"/>
              </w:rPr>
            </w:pPr>
            <w:r w:rsidRPr="00273CE9">
              <w:rPr>
                <w:rFonts w:cs="Times New Roman"/>
              </w:rPr>
              <w:t>10.11</w:t>
            </w:r>
          </w:p>
        </w:tc>
        <w:tc>
          <w:tcPr>
            <w:tcW w:w="5035" w:type="dxa"/>
          </w:tcPr>
          <w:p w14:paraId="3B7592FB" w14:textId="77777777" w:rsidR="00EC61FE" w:rsidRPr="00273CE9" w:rsidRDefault="00EC61FE" w:rsidP="003126F6">
            <w:pPr>
              <w:rPr>
                <w:rFonts w:cs="Times New Roman"/>
              </w:rPr>
            </w:pPr>
            <w:r w:rsidRPr="00273CE9">
              <w:rPr>
                <w:rFonts w:cs="Times New Roman"/>
              </w:rPr>
              <w:t xml:space="preserve">Civil Rights—Title VII—"Adverse Employment Action" Defined </w:t>
            </w:r>
          </w:p>
        </w:tc>
      </w:tr>
      <w:tr w:rsidR="00EC61FE" w:rsidRPr="00273CE9" w14:paraId="1601893E" w14:textId="77777777" w:rsidTr="003126F6">
        <w:tc>
          <w:tcPr>
            <w:tcW w:w="1345" w:type="dxa"/>
          </w:tcPr>
          <w:p w14:paraId="65BBE29D" w14:textId="77777777" w:rsidR="00EC61FE" w:rsidRPr="00273CE9" w:rsidRDefault="00EC61FE" w:rsidP="003126F6">
            <w:pPr>
              <w:rPr>
                <w:rFonts w:cs="Times New Roman"/>
              </w:rPr>
            </w:pPr>
            <w:r w:rsidRPr="00273CE9">
              <w:rPr>
                <w:rFonts w:cs="Times New Roman"/>
              </w:rPr>
              <w:t>10.10</w:t>
            </w:r>
          </w:p>
        </w:tc>
        <w:tc>
          <w:tcPr>
            <w:tcW w:w="1620" w:type="dxa"/>
          </w:tcPr>
          <w:p w14:paraId="73F19B2A" w14:textId="77777777" w:rsidR="00EC61FE" w:rsidRPr="00273CE9" w:rsidRDefault="00EC61FE" w:rsidP="003126F6">
            <w:pPr>
              <w:rPr>
                <w:rFonts w:cs="Times New Roman"/>
              </w:rPr>
            </w:pPr>
            <w:r w:rsidRPr="00273CE9">
              <w:rPr>
                <w:rFonts w:cs="Times New Roman"/>
              </w:rPr>
              <w:t>10.10</w:t>
            </w:r>
          </w:p>
        </w:tc>
        <w:tc>
          <w:tcPr>
            <w:tcW w:w="1350" w:type="dxa"/>
          </w:tcPr>
          <w:p w14:paraId="16DA9D4F" w14:textId="77777777" w:rsidR="00EC61FE" w:rsidRPr="00273CE9" w:rsidRDefault="00EC61FE" w:rsidP="003126F6">
            <w:pPr>
              <w:rPr>
                <w:rFonts w:cs="Times New Roman"/>
              </w:rPr>
            </w:pPr>
            <w:r w:rsidRPr="00273CE9">
              <w:rPr>
                <w:rFonts w:cs="Times New Roman"/>
              </w:rPr>
              <w:t>10.12</w:t>
            </w:r>
          </w:p>
        </w:tc>
        <w:tc>
          <w:tcPr>
            <w:tcW w:w="5035" w:type="dxa"/>
          </w:tcPr>
          <w:p w14:paraId="5BD1ADB3" w14:textId="77777777" w:rsidR="00EC61FE" w:rsidRPr="00273CE9" w:rsidRDefault="00EC61FE" w:rsidP="003126F6">
            <w:pPr>
              <w:rPr>
                <w:rFonts w:cs="Times New Roman"/>
              </w:rPr>
            </w:pPr>
            <w:r w:rsidRPr="00273CE9">
              <w:rPr>
                <w:rFonts w:cs="Times New Roman"/>
              </w:rPr>
              <w:t>Civil Rights—Title VII—"Adverse Employment Action" in Retaliation Cases</w:t>
            </w:r>
          </w:p>
        </w:tc>
      </w:tr>
      <w:tr w:rsidR="00EC61FE" w:rsidRPr="00273CE9" w14:paraId="6FF1AE51" w14:textId="77777777" w:rsidTr="003126F6">
        <w:tc>
          <w:tcPr>
            <w:tcW w:w="1345" w:type="dxa"/>
          </w:tcPr>
          <w:p w14:paraId="53FAC180" w14:textId="77777777" w:rsidR="00EC61FE" w:rsidRPr="00273CE9" w:rsidRDefault="00EC61FE" w:rsidP="003126F6">
            <w:pPr>
              <w:rPr>
                <w:rFonts w:cs="Times New Roman"/>
              </w:rPr>
            </w:pPr>
            <w:r w:rsidRPr="00273CE9">
              <w:rPr>
                <w:rFonts w:cs="Times New Roman"/>
              </w:rPr>
              <w:t>10.11</w:t>
            </w:r>
          </w:p>
        </w:tc>
        <w:tc>
          <w:tcPr>
            <w:tcW w:w="1620" w:type="dxa"/>
          </w:tcPr>
          <w:p w14:paraId="55DE2B42" w14:textId="77777777" w:rsidR="00EC61FE" w:rsidRPr="00273CE9" w:rsidRDefault="00EC61FE" w:rsidP="003126F6">
            <w:pPr>
              <w:rPr>
                <w:rFonts w:cs="Times New Roman"/>
              </w:rPr>
            </w:pPr>
            <w:r w:rsidRPr="00273CE9">
              <w:rPr>
                <w:rFonts w:cs="Times New Roman"/>
              </w:rPr>
              <w:t>10.11</w:t>
            </w:r>
          </w:p>
        </w:tc>
        <w:tc>
          <w:tcPr>
            <w:tcW w:w="1350" w:type="dxa"/>
          </w:tcPr>
          <w:p w14:paraId="472E620F" w14:textId="77777777" w:rsidR="00EC61FE" w:rsidRPr="00273CE9" w:rsidRDefault="00EC61FE" w:rsidP="003126F6">
            <w:pPr>
              <w:rPr>
                <w:rFonts w:cs="Times New Roman"/>
              </w:rPr>
            </w:pPr>
            <w:r w:rsidRPr="00273CE9">
              <w:rPr>
                <w:rFonts w:cs="Times New Roman"/>
              </w:rPr>
              <w:t>10.13</w:t>
            </w:r>
          </w:p>
        </w:tc>
        <w:tc>
          <w:tcPr>
            <w:tcW w:w="5035" w:type="dxa"/>
          </w:tcPr>
          <w:p w14:paraId="5974C68B" w14:textId="77777777" w:rsidR="00EC61FE" w:rsidRPr="00273CE9" w:rsidRDefault="00EC61FE" w:rsidP="003126F6">
            <w:pPr>
              <w:rPr>
                <w:rFonts w:cs="Times New Roman"/>
              </w:rPr>
            </w:pPr>
            <w:r w:rsidRPr="00273CE9">
              <w:rPr>
                <w:rFonts w:cs="Times New Roman"/>
              </w:rPr>
              <w:t>Civil Rights—Title VII—"Adverse Employment Action" in Disparate Treatment Cases</w:t>
            </w:r>
          </w:p>
        </w:tc>
      </w:tr>
      <w:tr w:rsidR="00EC61FE" w:rsidRPr="00273CE9" w14:paraId="6DC43292" w14:textId="77777777" w:rsidTr="003126F6">
        <w:tc>
          <w:tcPr>
            <w:tcW w:w="1345" w:type="dxa"/>
          </w:tcPr>
          <w:p w14:paraId="25B941E1" w14:textId="77777777" w:rsidR="00EC61FE" w:rsidRPr="00273CE9" w:rsidRDefault="00EC61FE" w:rsidP="003126F6">
            <w:pPr>
              <w:rPr>
                <w:rFonts w:cs="Times New Roman"/>
              </w:rPr>
            </w:pPr>
            <w:r w:rsidRPr="00273CE9">
              <w:rPr>
                <w:rFonts w:cs="Times New Roman"/>
              </w:rPr>
              <w:t>10.12</w:t>
            </w:r>
          </w:p>
        </w:tc>
        <w:tc>
          <w:tcPr>
            <w:tcW w:w="1620" w:type="dxa"/>
          </w:tcPr>
          <w:p w14:paraId="4F21104E" w14:textId="77777777" w:rsidR="00EC61FE" w:rsidRPr="00273CE9" w:rsidRDefault="00EC61FE" w:rsidP="003126F6">
            <w:pPr>
              <w:rPr>
                <w:rFonts w:cs="Times New Roman"/>
              </w:rPr>
            </w:pPr>
            <w:r w:rsidRPr="00273CE9">
              <w:rPr>
                <w:rFonts w:cs="Times New Roman"/>
              </w:rPr>
              <w:t>10.12</w:t>
            </w:r>
          </w:p>
        </w:tc>
        <w:tc>
          <w:tcPr>
            <w:tcW w:w="1350" w:type="dxa"/>
          </w:tcPr>
          <w:p w14:paraId="427B69AF" w14:textId="77777777" w:rsidR="00EC61FE" w:rsidRPr="00273CE9" w:rsidRDefault="00EC61FE" w:rsidP="003126F6">
            <w:pPr>
              <w:rPr>
                <w:rFonts w:cs="Times New Roman"/>
              </w:rPr>
            </w:pPr>
            <w:r w:rsidRPr="00273CE9">
              <w:rPr>
                <w:rFonts w:cs="Times New Roman"/>
              </w:rPr>
              <w:t>10.14</w:t>
            </w:r>
          </w:p>
        </w:tc>
        <w:tc>
          <w:tcPr>
            <w:tcW w:w="5035" w:type="dxa"/>
          </w:tcPr>
          <w:p w14:paraId="13924741" w14:textId="77777777" w:rsidR="00EC61FE" w:rsidRPr="00273CE9" w:rsidRDefault="00EC61FE" w:rsidP="003126F6">
            <w:pPr>
              <w:rPr>
                <w:rFonts w:cs="Times New Roman"/>
              </w:rPr>
            </w:pPr>
            <w:r w:rsidRPr="00273CE9">
              <w:rPr>
                <w:rFonts w:cs="Times New Roman"/>
              </w:rPr>
              <w:t>Civil Rights—Title VII—"Tangible Employment Action" Defined</w:t>
            </w:r>
          </w:p>
        </w:tc>
      </w:tr>
      <w:tr w:rsidR="00EC61FE" w:rsidRPr="00273CE9" w14:paraId="5F61591F" w14:textId="77777777" w:rsidTr="003126F6">
        <w:tc>
          <w:tcPr>
            <w:tcW w:w="1345" w:type="dxa"/>
          </w:tcPr>
          <w:p w14:paraId="1AD50074" w14:textId="77777777" w:rsidR="00EC61FE" w:rsidRPr="00273CE9" w:rsidRDefault="00EC61FE" w:rsidP="003126F6">
            <w:pPr>
              <w:rPr>
                <w:rFonts w:cs="Times New Roman"/>
              </w:rPr>
            </w:pPr>
            <w:r w:rsidRPr="00273CE9">
              <w:rPr>
                <w:rFonts w:cs="Times New Roman"/>
              </w:rPr>
              <w:t>10.13</w:t>
            </w:r>
          </w:p>
        </w:tc>
        <w:tc>
          <w:tcPr>
            <w:tcW w:w="1620" w:type="dxa"/>
          </w:tcPr>
          <w:p w14:paraId="787F2DE4" w14:textId="77777777" w:rsidR="00EC61FE" w:rsidRPr="00273CE9" w:rsidRDefault="00EC61FE" w:rsidP="003126F6">
            <w:pPr>
              <w:rPr>
                <w:rFonts w:cs="Times New Roman"/>
              </w:rPr>
            </w:pPr>
            <w:r w:rsidRPr="00273CE9">
              <w:rPr>
                <w:rFonts w:cs="Times New Roman"/>
              </w:rPr>
              <w:t>10.13</w:t>
            </w:r>
          </w:p>
        </w:tc>
        <w:tc>
          <w:tcPr>
            <w:tcW w:w="1350" w:type="dxa"/>
          </w:tcPr>
          <w:p w14:paraId="4210762B" w14:textId="77777777" w:rsidR="00EC61FE" w:rsidRPr="00273CE9" w:rsidRDefault="00EC61FE" w:rsidP="003126F6">
            <w:pPr>
              <w:rPr>
                <w:rFonts w:cs="Times New Roman"/>
              </w:rPr>
            </w:pPr>
            <w:r w:rsidRPr="00273CE9">
              <w:rPr>
                <w:rFonts w:cs="Times New Roman"/>
              </w:rPr>
              <w:t>10.15</w:t>
            </w:r>
          </w:p>
        </w:tc>
        <w:tc>
          <w:tcPr>
            <w:tcW w:w="5035" w:type="dxa"/>
          </w:tcPr>
          <w:p w14:paraId="0C9230A8" w14:textId="77777777" w:rsidR="00EC61FE" w:rsidRPr="00273CE9" w:rsidRDefault="00EC61FE" w:rsidP="003126F6">
            <w:pPr>
              <w:rPr>
                <w:rFonts w:cs="Times New Roman"/>
              </w:rPr>
            </w:pPr>
            <w:r w:rsidRPr="00273CE9">
              <w:rPr>
                <w:rFonts w:cs="Times New Roman"/>
              </w:rPr>
              <w:t>Civil Rights—Title VII—"Constructive Discharge" Defined</w:t>
            </w:r>
          </w:p>
        </w:tc>
      </w:tr>
      <w:tr w:rsidR="00EC61FE" w:rsidRPr="00273CE9" w14:paraId="61DF0398" w14:textId="77777777" w:rsidTr="003126F6">
        <w:tc>
          <w:tcPr>
            <w:tcW w:w="1345" w:type="dxa"/>
          </w:tcPr>
          <w:p w14:paraId="34A4EE07" w14:textId="77777777" w:rsidR="00EC61FE" w:rsidRPr="00273CE9" w:rsidRDefault="00EC61FE" w:rsidP="003126F6">
            <w:pPr>
              <w:rPr>
                <w:rFonts w:cs="Times New Roman"/>
              </w:rPr>
            </w:pPr>
            <w:r w:rsidRPr="00273CE9">
              <w:rPr>
                <w:rFonts w:cs="Times New Roman"/>
              </w:rPr>
              <w:t>10.14</w:t>
            </w:r>
          </w:p>
        </w:tc>
        <w:tc>
          <w:tcPr>
            <w:tcW w:w="1620" w:type="dxa"/>
          </w:tcPr>
          <w:p w14:paraId="364C4E5F" w14:textId="77777777" w:rsidR="00EC61FE" w:rsidRPr="00273CE9" w:rsidRDefault="00EC61FE" w:rsidP="003126F6">
            <w:pPr>
              <w:rPr>
                <w:rFonts w:cs="Times New Roman"/>
              </w:rPr>
            </w:pPr>
            <w:r w:rsidRPr="00273CE9">
              <w:rPr>
                <w:rFonts w:cs="Times New Roman"/>
              </w:rPr>
              <w:t>10.14</w:t>
            </w:r>
          </w:p>
        </w:tc>
        <w:tc>
          <w:tcPr>
            <w:tcW w:w="1350" w:type="dxa"/>
          </w:tcPr>
          <w:p w14:paraId="28676576" w14:textId="77777777" w:rsidR="00EC61FE" w:rsidRPr="00273CE9" w:rsidRDefault="00EC61FE" w:rsidP="003126F6">
            <w:pPr>
              <w:rPr>
                <w:rFonts w:cs="Times New Roman"/>
              </w:rPr>
            </w:pPr>
            <w:r w:rsidRPr="00273CE9">
              <w:rPr>
                <w:rFonts w:cs="Times New Roman"/>
              </w:rPr>
              <w:t>10.16</w:t>
            </w:r>
          </w:p>
        </w:tc>
        <w:tc>
          <w:tcPr>
            <w:tcW w:w="5035" w:type="dxa"/>
          </w:tcPr>
          <w:p w14:paraId="21AC1644" w14:textId="77777777" w:rsidR="00EC61FE" w:rsidRPr="00273CE9" w:rsidRDefault="00EC61FE" w:rsidP="003126F6">
            <w:pPr>
              <w:rPr>
                <w:rFonts w:cs="Times New Roman"/>
              </w:rPr>
            </w:pPr>
            <w:r w:rsidRPr="00273CE9">
              <w:rPr>
                <w:rFonts w:cs="Times New Roman"/>
              </w:rPr>
              <w:t>Civil Rights—Title VII—Defense—Bona Fide Occupational Qualification</w:t>
            </w:r>
          </w:p>
        </w:tc>
      </w:tr>
      <w:tr w:rsidR="00EC61FE" w:rsidRPr="00273CE9" w14:paraId="323F719B" w14:textId="77777777" w:rsidTr="003126F6">
        <w:tc>
          <w:tcPr>
            <w:tcW w:w="1345" w:type="dxa"/>
          </w:tcPr>
          <w:p w14:paraId="4399D6B4" w14:textId="77777777" w:rsidR="00EC61FE" w:rsidRPr="00273CE9" w:rsidRDefault="00EC61FE" w:rsidP="003126F6">
            <w:pPr>
              <w:rPr>
                <w:rFonts w:cs="Times New Roman"/>
              </w:rPr>
            </w:pPr>
            <w:r w:rsidRPr="00273CE9">
              <w:rPr>
                <w:rFonts w:cs="Times New Roman"/>
              </w:rPr>
              <w:t>10.15</w:t>
            </w:r>
          </w:p>
        </w:tc>
        <w:tc>
          <w:tcPr>
            <w:tcW w:w="1620" w:type="dxa"/>
          </w:tcPr>
          <w:p w14:paraId="7FCE9439" w14:textId="77777777" w:rsidR="00EC61FE" w:rsidRPr="00273CE9" w:rsidRDefault="00EC61FE" w:rsidP="003126F6">
            <w:pPr>
              <w:rPr>
                <w:rFonts w:cs="Times New Roman"/>
              </w:rPr>
            </w:pPr>
            <w:r w:rsidRPr="00273CE9">
              <w:rPr>
                <w:rFonts w:cs="Times New Roman"/>
              </w:rPr>
              <w:t>10.15</w:t>
            </w:r>
          </w:p>
        </w:tc>
        <w:tc>
          <w:tcPr>
            <w:tcW w:w="1350" w:type="dxa"/>
          </w:tcPr>
          <w:p w14:paraId="331950EF" w14:textId="77777777" w:rsidR="00EC61FE" w:rsidRPr="00273CE9" w:rsidRDefault="00EC61FE" w:rsidP="003126F6">
            <w:pPr>
              <w:rPr>
                <w:rFonts w:cs="Times New Roman"/>
              </w:rPr>
            </w:pPr>
            <w:r w:rsidRPr="00273CE9">
              <w:rPr>
                <w:rFonts w:cs="Times New Roman"/>
              </w:rPr>
              <w:t>10.17</w:t>
            </w:r>
          </w:p>
        </w:tc>
        <w:tc>
          <w:tcPr>
            <w:tcW w:w="5035" w:type="dxa"/>
          </w:tcPr>
          <w:p w14:paraId="6D42AEF9" w14:textId="77777777" w:rsidR="00EC61FE" w:rsidRPr="00273CE9" w:rsidRDefault="00EC61FE" w:rsidP="003126F6">
            <w:pPr>
              <w:rPr>
                <w:rFonts w:cs="Times New Roman"/>
              </w:rPr>
            </w:pPr>
            <w:r w:rsidRPr="00273CE9">
              <w:rPr>
                <w:rFonts w:cs="Times New Roman"/>
              </w:rPr>
              <w:t>Civil Rights—Title VII—Defense—Bona Fide Seniority System</w:t>
            </w:r>
          </w:p>
        </w:tc>
      </w:tr>
      <w:tr w:rsidR="00EC61FE" w:rsidRPr="00273CE9" w14:paraId="0DEFF97E" w14:textId="77777777" w:rsidTr="003126F6">
        <w:tc>
          <w:tcPr>
            <w:tcW w:w="1345" w:type="dxa"/>
          </w:tcPr>
          <w:p w14:paraId="46F6178F" w14:textId="77777777" w:rsidR="00EC61FE" w:rsidRPr="00273CE9" w:rsidRDefault="00EC61FE" w:rsidP="003126F6">
            <w:pPr>
              <w:rPr>
                <w:rFonts w:cs="Times New Roman"/>
              </w:rPr>
            </w:pPr>
            <w:r w:rsidRPr="00273CE9">
              <w:rPr>
                <w:rFonts w:cs="Times New Roman"/>
              </w:rPr>
              <w:t>10.16</w:t>
            </w:r>
          </w:p>
        </w:tc>
        <w:tc>
          <w:tcPr>
            <w:tcW w:w="1620" w:type="dxa"/>
          </w:tcPr>
          <w:p w14:paraId="69F29107" w14:textId="77777777" w:rsidR="00EC61FE" w:rsidRPr="00273CE9" w:rsidRDefault="00EC61FE" w:rsidP="003126F6">
            <w:pPr>
              <w:rPr>
                <w:rFonts w:cs="Times New Roman"/>
              </w:rPr>
            </w:pPr>
            <w:r w:rsidRPr="00273CE9">
              <w:rPr>
                <w:rFonts w:cs="Times New Roman"/>
              </w:rPr>
              <w:t>10.16</w:t>
            </w:r>
          </w:p>
        </w:tc>
        <w:tc>
          <w:tcPr>
            <w:tcW w:w="1350" w:type="dxa"/>
          </w:tcPr>
          <w:p w14:paraId="19B2AFB5" w14:textId="77777777" w:rsidR="00EC61FE" w:rsidRPr="00273CE9" w:rsidRDefault="00EC61FE" w:rsidP="003126F6">
            <w:pPr>
              <w:rPr>
                <w:rFonts w:cs="Times New Roman"/>
              </w:rPr>
            </w:pPr>
            <w:r w:rsidRPr="00273CE9">
              <w:rPr>
                <w:rFonts w:cs="Times New Roman"/>
              </w:rPr>
              <w:t>10.18</w:t>
            </w:r>
          </w:p>
        </w:tc>
        <w:tc>
          <w:tcPr>
            <w:tcW w:w="5035" w:type="dxa"/>
          </w:tcPr>
          <w:p w14:paraId="770B7763" w14:textId="77777777" w:rsidR="00EC61FE" w:rsidRPr="00273CE9" w:rsidRDefault="00EC61FE" w:rsidP="003126F6">
            <w:pPr>
              <w:rPr>
                <w:rFonts w:cs="Times New Roman"/>
              </w:rPr>
            </w:pPr>
            <w:r w:rsidRPr="00273CE9">
              <w:rPr>
                <w:rFonts w:cs="Times New Roman"/>
              </w:rPr>
              <w:t>Civil Rights—Title VII—Defense—After-Acquired Evidence</w:t>
            </w:r>
          </w:p>
        </w:tc>
      </w:tr>
      <w:tr w:rsidR="00EC61FE" w:rsidRPr="00273CE9" w14:paraId="4FD7AEBF" w14:textId="77777777" w:rsidTr="003126F6">
        <w:tc>
          <w:tcPr>
            <w:tcW w:w="1345" w:type="dxa"/>
          </w:tcPr>
          <w:p w14:paraId="4A43193C" w14:textId="77777777" w:rsidR="00EC61FE" w:rsidRPr="00273CE9" w:rsidRDefault="00EC61FE" w:rsidP="003126F6">
            <w:pPr>
              <w:rPr>
                <w:rFonts w:cs="Times New Roman"/>
              </w:rPr>
            </w:pPr>
            <w:r w:rsidRPr="00273CE9">
              <w:rPr>
                <w:rFonts w:cs="Times New Roman"/>
              </w:rPr>
              <w:t>10.17</w:t>
            </w:r>
          </w:p>
        </w:tc>
        <w:tc>
          <w:tcPr>
            <w:tcW w:w="1620" w:type="dxa"/>
          </w:tcPr>
          <w:p w14:paraId="0B2BF10F" w14:textId="77777777" w:rsidR="00EC61FE" w:rsidRPr="00273CE9" w:rsidRDefault="00EC61FE" w:rsidP="003126F6">
            <w:pPr>
              <w:rPr>
                <w:rFonts w:cs="Times New Roman"/>
              </w:rPr>
            </w:pPr>
            <w:r w:rsidRPr="00273CE9">
              <w:rPr>
                <w:rFonts w:cs="Times New Roman"/>
              </w:rPr>
              <w:t>10.17</w:t>
            </w:r>
          </w:p>
        </w:tc>
        <w:tc>
          <w:tcPr>
            <w:tcW w:w="1350" w:type="dxa"/>
          </w:tcPr>
          <w:p w14:paraId="2FCB9342" w14:textId="77777777" w:rsidR="00EC61FE" w:rsidRPr="00273CE9" w:rsidRDefault="00EC61FE" w:rsidP="003126F6">
            <w:pPr>
              <w:rPr>
                <w:rFonts w:cs="Times New Roman"/>
              </w:rPr>
            </w:pPr>
            <w:r w:rsidRPr="00273CE9">
              <w:rPr>
                <w:rFonts w:cs="Times New Roman"/>
              </w:rPr>
              <w:t>10.19</w:t>
            </w:r>
          </w:p>
        </w:tc>
        <w:tc>
          <w:tcPr>
            <w:tcW w:w="5035" w:type="dxa"/>
          </w:tcPr>
          <w:p w14:paraId="2FDD1768" w14:textId="77777777" w:rsidR="00EC61FE" w:rsidRPr="00273CE9" w:rsidRDefault="00EC61FE" w:rsidP="003126F6">
            <w:pPr>
              <w:rPr>
                <w:rFonts w:cs="Times New Roman"/>
              </w:rPr>
            </w:pPr>
            <w:r w:rsidRPr="00273CE9">
              <w:rPr>
                <w:rFonts w:cs="Times New Roman"/>
              </w:rPr>
              <w:t>Civil Rights—Title VII—Defense—Undue Hardship in Religious Accommodation Cases</w:t>
            </w:r>
          </w:p>
        </w:tc>
      </w:tr>
    </w:tbl>
    <w:p w14:paraId="4A5D1EFD" w14:textId="77777777" w:rsidR="00EC61FE" w:rsidRDefault="00EC61FE" w:rsidP="002B283E">
      <w:pPr>
        <w:rPr>
          <w:rFonts w:cs="Times New Roman"/>
          <w:szCs w:val="24"/>
        </w:rPr>
      </w:pPr>
    </w:p>
    <w:p w14:paraId="0B86C8A3" w14:textId="54CEB0BC" w:rsidR="00EC61FE" w:rsidRDefault="00EC61FE" w:rsidP="002B283E">
      <w:pPr>
        <w:rPr>
          <w:rFonts w:cs="Times New Roman"/>
          <w:szCs w:val="24"/>
        </w:rPr>
      </w:pPr>
      <w:r w:rsidRPr="00EC61FE">
        <w:rPr>
          <w:rFonts w:cs="Times New Roman"/>
          <w:b/>
          <w:bCs/>
          <w:szCs w:val="24"/>
        </w:rPr>
        <w:t>Chapter 15: Trademark</w:t>
      </w:r>
    </w:p>
    <w:p w14:paraId="4CCBDDF8" w14:textId="77777777" w:rsidR="00EC61FE" w:rsidRPr="00273CE9" w:rsidRDefault="00EC61FE" w:rsidP="00EC61FE">
      <w:pPr>
        <w:rPr>
          <w:rFonts w:cs="Times New Roman"/>
        </w:rPr>
      </w:pPr>
    </w:p>
    <w:tbl>
      <w:tblPr>
        <w:tblStyle w:val="TableGrid"/>
        <w:tblW w:w="0" w:type="auto"/>
        <w:tblLook w:val="04A0" w:firstRow="1" w:lastRow="0" w:firstColumn="1" w:lastColumn="0" w:noHBand="0" w:noVBand="1"/>
      </w:tblPr>
      <w:tblGrid>
        <w:gridCol w:w="1337"/>
        <w:gridCol w:w="1607"/>
        <w:gridCol w:w="1343"/>
        <w:gridCol w:w="4973"/>
      </w:tblGrid>
      <w:tr w:rsidR="00EC61FE" w:rsidRPr="00273CE9" w14:paraId="4826F64C" w14:textId="77777777" w:rsidTr="00B50923">
        <w:trPr>
          <w:tblHeader/>
        </w:trPr>
        <w:tc>
          <w:tcPr>
            <w:tcW w:w="1345" w:type="dxa"/>
            <w:shd w:val="clear" w:color="auto" w:fill="D0CECE" w:themeFill="background2" w:themeFillShade="E6"/>
          </w:tcPr>
          <w:p w14:paraId="440F5B3F"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1C2C45CC"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697E68A4"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31814AFF" w14:textId="77777777" w:rsidR="00EC61FE" w:rsidRPr="00273CE9" w:rsidRDefault="00EC61FE" w:rsidP="003126F6">
            <w:pPr>
              <w:rPr>
                <w:rFonts w:cs="Times New Roman"/>
                <w:b/>
                <w:bCs/>
              </w:rPr>
            </w:pPr>
            <w:r w:rsidRPr="00273CE9">
              <w:rPr>
                <w:rFonts w:cs="Times New Roman"/>
                <w:b/>
                <w:bCs/>
              </w:rPr>
              <w:t>Title</w:t>
            </w:r>
          </w:p>
        </w:tc>
      </w:tr>
      <w:tr w:rsidR="00EC61FE" w:rsidRPr="00273CE9" w14:paraId="78C767A4" w14:textId="77777777" w:rsidTr="003126F6">
        <w:tc>
          <w:tcPr>
            <w:tcW w:w="1345" w:type="dxa"/>
          </w:tcPr>
          <w:p w14:paraId="19C39D66" w14:textId="77777777" w:rsidR="00EC61FE" w:rsidRPr="00273CE9" w:rsidRDefault="00EC61FE" w:rsidP="003126F6">
            <w:pPr>
              <w:rPr>
                <w:rFonts w:cs="Times New Roman"/>
              </w:rPr>
            </w:pPr>
            <w:r w:rsidRPr="00273CE9">
              <w:rPr>
                <w:rFonts w:cs="Times New Roman"/>
              </w:rPr>
              <w:t>15.1</w:t>
            </w:r>
          </w:p>
        </w:tc>
        <w:tc>
          <w:tcPr>
            <w:tcW w:w="1620" w:type="dxa"/>
          </w:tcPr>
          <w:p w14:paraId="007A1917" w14:textId="77777777" w:rsidR="00EC61FE" w:rsidRPr="00273CE9" w:rsidRDefault="00EC61FE" w:rsidP="003126F6">
            <w:pPr>
              <w:rPr>
                <w:rFonts w:cs="Times New Roman"/>
              </w:rPr>
            </w:pPr>
            <w:r w:rsidRPr="00273CE9">
              <w:rPr>
                <w:rFonts w:cs="Times New Roman"/>
              </w:rPr>
              <w:t>15.1</w:t>
            </w:r>
          </w:p>
        </w:tc>
        <w:tc>
          <w:tcPr>
            <w:tcW w:w="1350" w:type="dxa"/>
          </w:tcPr>
          <w:p w14:paraId="67214252" w14:textId="77777777" w:rsidR="00EC61FE" w:rsidRPr="00273CE9" w:rsidRDefault="00EC61FE" w:rsidP="003126F6">
            <w:pPr>
              <w:rPr>
                <w:rFonts w:cs="Times New Roman"/>
              </w:rPr>
            </w:pPr>
            <w:r w:rsidRPr="00273CE9">
              <w:rPr>
                <w:rFonts w:cs="Times New Roman"/>
              </w:rPr>
              <w:t>15.1</w:t>
            </w:r>
          </w:p>
        </w:tc>
        <w:tc>
          <w:tcPr>
            <w:tcW w:w="5035" w:type="dxa"/>
          </w:tcPr>
          <w:p w14:paraId="01FA4220" w14:textId="77777777" w:rsidR="00EC61FE" w:rsidRPr="00273CE9" w:rsidRDefault="00EC61FE" w:rsidP="003126F6">
            <w:pPr>
              <w:rPr>
                <w:rFonts w:cs="Times New Roman"/>
              </w:rPr>
            </w:pPr>
            <w:r w:rsidRPr="00273CE9">
              <w:rPr>
                <w:rFonts w:cs="Times New Roman"/>
              </w:rPr>
              <w:t>Preliminary Instruction—Trademark</w:t>
            </w:r>
          </w:p>
        </w:tc>
      </w:tr>
      <w:tr w:rsidR="00EC61FE" w:rsidRPr="00273CE9" w14:paraId="241932DE" w14:textId="77777777" w:rsidTr="003126F6">
        <w:tc>
          <w:tcPr>
            <w:tcW w:w="1345" w:type="dxa"/>
          </w:tcPr>
          <w:p w14:paraId="14DFEA41" w14:textId="77777777" w:rsidR="00EC61FE" w:rsidRPr="00273CE9" w:rsidRDefault="00EC61FE" w:rsidP="003126F6">
            <w:pPr>
              <w:rPr>
                <w:rFonts w:cs="Times New Roman"/>
              </w:rPr>
            </w:pPr>
            <w:r w:rsidRPr="00273CE9">
              <w:rPr>
                <w:rFonts w:cs="Times New Roman"/>
              </w:rPr>
              <w:t>15.2</w:t>
            </w:r>
          </w:p>
        </w:tc>
        <w:tc>
          <w:tcPr>
            <w:tcW w:w="1620" w:type="dxa"/>
          </w:tcPr>
          <w:p w14:paraId="6D2A8AC4" w14:textId="77777777" w:rsidR="00EC61FE" w:rsidRPr="00273CE9" w:rsidRDefault="00EC61FE" w:rsidP="003126F6">
            <w:pPr>
              <w:rPr>
                <w:rFonts w:cs="Times New Roman"/>
              </w:rPr>
            </w:pPr>
            <w:r w:rsidRPr="00273CE9">
              <w:rPr>
                <w:rFonts w:cs="Times New Roman"/>
              </w:rPr>
              <w:t>15.2</w:t>
            </w:r>
          </w:p>
        </w:tc>
        <w:tc>
          <w:tcPr>
            <w:tcW w:w="1350" w:type="dxa"/>
          </w:tcPr>
          <w:p w14:paraId="141A622A" w14:textId="77777777" w:rsidR="00EC61FE" w:rsidRPr="00273CE9" w:rsidRDefault="00EC61FE" w:rsidP="003126F6">
            <w:pPr>
              <w:rPr>
                <w:rFonts w:cs="Times New Roman"/>
              </w:rPr>
            </w:pPr>
            <w:r w:rsidRPr="00273CE9">
              <w:rPr>
                <w:rFonts w:cs="Times New Roman"/>
              </w:rPr>
              <w:t>15.2</w:t>
            </w:r>
          </w:p>
        </w:tc>
        <w:tc>
          <w:tcPr>
            <w:tcW w:w="5035" w:type="dxa"/>
          </w:tcPr>
          <w:p w14:paraId="53349A88" w14:textId="77777777" w:rsidR="00EC61FE" w:rsidRPr="00273CE9" w:rsidRDefault="00EC61FE" w:rsidP="003126F6">
            <w:pPr>
              <w:rPr>
                <w:rFonts w:cs="Times New Roman"/>
              </w:rPr>
            </w:pPr>
            <w:r w:rsidRPr="00273CE9">
              <w:rPr>
                <w:rFonts w:cs="Times New Roman"/>
              </w:rPr>
              <w:t>Definition—Trademark (15 U.S.C. § 1127)</w:t>
            </w:r>
          </w:p>
        </w:tc>
      </w:tr>
      <w:tr w:rsidR="00EC61FE" w:rsidRPr="00273CE9" w14:paraId="3BACB676" w14:textId="77777777" w:rsidTr="003126F6">
        <w:tc>
          <w:tcPr>
            <w:tcW w:w="1345" w:type="dxa"/>
          </w:tcPr>
          <w:p w14:paraId="75C131DB" w14:textId="77777777" w:rsidR="00EC61FE" w:rsidRPr="00273CE9" w:rsidRDefault="00EC61FE" w:rsidP="003126F6">
            <w:pPr>
              <w:rPr>
                <w:rFonts w:cs="Times New Roman"/>
              </w:rPr>
            </w:pPr>
            <w:r w:rsidRPr="00273CE9">
              <w:rPr>
                <w:rFonts w:cs="Times New Roman"/>
              </w:rPr>
              <w:t>15.3</w:t>
            </w:r>
          </w:p>
        </w:tc>
        <w:tc>
          <w:tcPr>
            <w:tcW w:w="1620" w:type="dxa"/>
          </w:tcPr>
          <w:p w14:paraId="0FA29C24" w14:textId="77777777" w:rsidR="00EC61FE" w:rsidRPr="00273CE9" w:rsidRDefault="00EC61FE" w:rsidP="003126F6">
            <w:pPr>
              <w:rPr>
                <w:rFonts w:cs="Times New Roman"/>
              </w:rPr>
            </w:pPr>
            <w:r w:rsidRPr="00273CE9">
              <w:rPr>
                <w:rFonts w:cs="Times New Roman"/>
              </w:rPr>
              <w:t>15.3</w:t>
            </w:r>
          </w:p>
        </w:tc>
        <w:tc>
          <w:tcPr>
            <w:tcW w:w="1350" w:type="dxa"/>
          </w:tcPr>
          <w:p w14:paraId="6C4CD509" w14:textId="77777777" w:rsidR="00EC61FE" w:rsidRPr="00273CE9" w:rsidRDefault="00EC61FE" w:rsidP="003126F6">
            <w:pPr>
              <w:rPr>
                <w:rFonts w:cs="Times New Roman"/>
              </w:rPr>
            </w:pPr>
            <w:r w:rsidRPr="00273CE9">
              <w:rPr>
                <w:rFonts w:cs="Times New Roman"/>
              </w:rPr>
              <w:t>15.3</w:t>
            </w:r>
          </w:p>
        </w:tc>
        <w:tc>
          <w:tcPr>
            <w:tcW w:w="5035" w:type="dxa"/>
          </w:tcPr>
          <w:p w14:paraId="5A95B0CE" w14:textId="77777777" w:rsidR="00EC61FE" w:rsidRPr="00273CE9" w:rsidRDefault="00EC61FE" w:rsidP="003126F6">
            <w:pPr>
              <w:rPr>
                <w:rFonts w:cs="Times New Roman"/>
              </w:rPr>
            </w:pPr>
            <w:r w:rsidRPr="00273CE9">
              <w:rPr>
                <w:rFonts w:cs="Times New Roman"/>
              </w:rPr>
              <w:t>Definition—Trade Dress (15 U.S.C. § 1125(a))</w:t>
            </w:r>
          </w:p>
        </w:tc>
      </w:tr>
      <w:tr w:rsidR="00EC61FE" w:rsidRPr="00273CE9" w14:paraId="726FA9D6" w14:textId="77777777" w:rsidTr="003126F6">
        <w:tc>
          <w:tcPr>
            <w:tcW w:w="1345" w:type="dxa"/>
          </w:tcPr>
          <w:p w14:paraId="6BE0AEB9" w14:textId="77777777" w:rsidR="00EC61FE" w:rsidRPr="00273CE9" w:rsidRDefault="00EC61FE" w:rsidP="003126F6">
            <w:pPr>
              <w:rPr>
                <w:rFonts w:cs="Times New Roman"/>
              </w:rPr>
            </w:pPr>
            <w:r w:rsidRPr="00273CE9">
              <w:rPr>
                <w:rFonts w:cs="Times New Roman"/>
              </w:rPr>
              <w:t>15.4</w:t>
            </w:r>
          </w:p>
        </w:tc>
        <w:tc>
          <w:tcPr>
            <w:tcW w:w="1620" w:type="dxa"/>
          </w:tcPr>
          <w:p w14:paraId="259BD197" w14:textId="77777777" w:rsidR="00EC61FE" w:rsidRPr="00273CE9" w:rsidRDefault="00EC61FE" w:rsidP="003126F6">
            <w:pPr>
              <w:rPr>
                <w:rFonts w:cs="Times New Roman"/>
              </w:rPr>
            </w:pPr>
            <w:r w:rsidRPr="00273CE9">
              <w:rPr>
                <w:rFonts w:cs="Times New Roman"/>
              </w:rPr>
              <w:t>15.4</w:t>
            </w:r>
          </w:p>
        </w:tc>
        <w:tc>
          <w:tcPr>
            <w:tcW w:w="1350" w:type="dxa"/>
          </w:tcPr>
          <w:p w14:paraId="65C4545C" w14:textId="77777777" w:rsidR="00EC61FE" w:rsidRPr="00273CE9" w:rsidRDefault="00EC61FE" w:rsidP="003126F6">
            <w:pPr>
              <w:rPr>
                <w:rFonts w:cs="Times New Roman"/>
              </w:rPr>
            </w:pPr>
            <w:r w:rsidRPr="00273CE9">
              <w:rPr>
                <w:rFonts w:cs="Times New Roman"/>
              </w:rPr>
              <w:t>15.4</w:t>
            </w:r>
          </w:p>
        </w:tc>
        <w:tc>
          <w:tcPr>
            <w:tcW w:w="5035" w:type="dxa"/>
          </w:tcPr>
          <w:p w14:paraId="37E54AB4" w14:textId="77777777" w:rsidR="00EC61FE" w:rsidRPr="00273CE9" w:rsidRDefault="00EC61FE" w:rsidP="003126F6">
            <w:pPr>
              <w:rPr>
                <w:rFonts w:cs="Times New Roman"/>
              </w:rPr>
            </w:pPr>
            <w:r w:rsidRPr="00273CE9">
              <w:rPr>
                <w:rFonts w:cs="Times New Roman"/>
              </w:rPr>
              <w:t>Definition—Trade Name/Commercial Name (15 U.S.C. § 1127)</w:t>
            </w:r>
          </w:p>
        </w:tc>
      </w:tr>
      <w:tr w:rsidR="00EC61FE" w:rsidRPr="00273CE9" w14:paraId="0AD8F741" w14:textId="77777777" w:rsidTr="003126F6">
        <w:tc>
          <w:tcPr>
            <w:tcW w:w="1345" w:type="dxa"/>
          </w:tcPr>
          <w:p w14:paraId="40D37DC3" w14:textId="77777777" w:rsidR="00EC61FE" w:rsidRPr="00273CE9" w:rsidRDefault="00EC61FE" w:rsidP="003126F6">
            <w:pPr>
              <w:rPr>
                <w:rFonts w:cs="Times New Roman"/>
              </w:rPr>
            </w:pPr>
            <w:r w:rsidRPr="00273CE9">
              <w:rPr>
                <w:rFonts w:cs="Times New Roman"/>
              </w:rPr>
              <w:t>15.5</w:t>
            </w:r>
          </w:p>
        </w:tc>
        <w:tc>
          <w:tcPr>
            <w:tcW w:w="1620" w:type="dxa"/>
          </w:tcPr>
          <w:p w14:paraId="0C8C87F8" w14:textId="77777777" w:rsidR="00EC61FE" w:rsidRPr="00273CE9" w:rsidRDefault="00EC61FE" w:rsidP="003126F6">
            <w:pPr>
              <w:rPr>
                <w:rFonts w:cs="Times New Roman"/>
              </w:rPr>
            </w:pPr>
            <w:r w:rsidRPr="00273CE9">
              <w:rPr>
                <w:rFonts w:cs="Times New Roman"/>
              </w:rPr>
              <w:t>15.5</w:t>
            </w:r>
          </w:p>
        </w:tc>
        <w:tc>
          <w:tcPr>
            <w:tcW w:w="1350" w:type="dxa"/>
          </w:tcPr>
          <w:p w14:paraId="0648FEAD" w14:textId="77777777" w:rsidR="00EC61FE" w:rsidRPr="00273CE9" w:rsidRDefault="00EC61FE" w:rsidP="003126F6">
            <w:pPr>
              <w:rPr>
                <w:rFonts w:cs="Times New Roman"/>
              </w:rPr>
            </w:pPr>
            <w:r w:rsidRPr="00273CE9">
              <w:rPr>
                <w:rFonts w:cs="Times New Roman"/>
              </w:rPr>
              <w:t>15.5</w:t>
            </w:r>
          </w:p>
        </w:tc>
        <w:tc>
          <w:tcPr>
            <w:tcW w:w="5035" w:type="dxa"/>
          </w:tcPr>
          <w:p w14:paraId="395EF48F" w14:textId="77777777" w:rsidR="00EC61FE" w:rsidRPr="00273CE9" w:rsidRDefault="00EC61FE" w:rsidP="003126F6">
            <w:pPr>
              <w:rPr>
                <w:rFonts w:cs="Times New Roman"/>
              </w:rPr>
            </w:pPr>
            <w:r w:rsidRPr="00273CE9">
              <w:rPr>
                <w:rFonts w:cs="Times New Roman"/>
              </w:rPr>
              <w:t>Trademark Liability—Theories and Policies (15 U.S.C. §§ 1114(1), 1125(a))</w:t>
            </w:r>
          </w:p>
        </w:tc>
      </w:tr>
      <w:tr w:rsidR="00EC61FE" w:rsidRPr="00273CE9" w14:paraId="07C093B4" w14:textId="77777777" w:rsidTr="003126F6">
        <w:tc>
          <w:tcPr>
            <w:tcW w:w="1345" w:type="dxa"/>
          </w:tcPr>
          <w:p w14:paraId="40924245" w14:textId="77777777" w:rsidR="00EC61FE" w:rsidRPr="00273CE9" w:rsidRDefault="00EC61FE" w:rsidP="003126F6">
            <w:pPr>
              <w:rPr>
                <w:rFonts w:cs="Times New Roman"/>
              </w:rPr>
            </w:pPr>
            <w:r w:rsidRPr="00273CE9">
              <w:rPr>
                <w:rFonts w:cs="Times New Roman"/>
              </w:rPr>
              <w:t>15.6</w:t>
            </w:r>
          </w:p>
        </w:tc>
        <w:tc>
          <w:tcPr>
            <w:tcW w:w="1620" w:type="dxa"/>
          </w:tcPr>
          <w:p w14:paraId="460519BF" w14:textId="77777777" w:rsidR="00EC61FE" w:rsidRPr="00273CE9" w:rsidRDefault="00EC61FE" w:rsidP="003126F6">
            <w:pPr>
              <w:rPr>
                <w:rFonts w:cs="Times New Roman"/>
              </w:rPr>
            </w:pPr>
            <w:r w:rsidRPr="00273CE9">
              <w:rPr>
                <w:rFonts w:cs="Times New Roman"/>
              </w:rPr>
              <w:t>15.6</w:t>
            </w:r>
          </w:p>
        </w:tc>
        <w:tc>
          <w:tcPr>
            <w:tcW w:w="1350" w:type="dxa"/>
          </w:tcPr>
          <w:p w14:paraId="4CB99591" w14:textId="77777777" w:rsidR="00EC61FE" w:rsidRPr="00273CE9" w:rsidRDefault="00EC61FE" w:rsidP="003126F6">
            <w:pPr>
              <w:rPr>
                <w:rFonts w:cs="Times New Roman"/>
              </w:rPr>
            </w:pPr>
            <w:r w:rsidRPr="00273CE9">
              <w:rPr>
                <w:rFonts w:cs="Times New Roman"/>
              </w:rPr>
              <w:t>15.6</w:t>
            </w:r>
          </w:p>
        </w:tc>
        <w:tc>
          <w:tcPr>
            <w:tcW w:w="5035" w:type="dxa"/>
          </w:tcPr>
          <w:p w14:paraId="06ABCC12" w14:textId="77777777" w:rsidR="00EC61FE" w:rsidRPr="00273CE9" w:rsidRDefault="00EC61FE" w:rsidP="003126F6">
            <w:pPr>
              <w:rPr>
                <w:rFonts w:cs="Times New Roman"/>
              </w:rPr>
            </w:pPr>
            <w:r w:rsidRPr="00273CE9">
              <w:rPr>
                <w:rFonts w:cs="Times New Roman"/>
              </w:rPr>
              <w:t>Infringement—Elements and Burden of Proof—Trademark (15 U.S.C. § 1114(1))</w:t>
            </w:r>
          </w:p>
        </w:tc>
      </w:tr>
      <w:tr w:rsidR="00EC61FE" w:rsidRPr="00273CE9" w14:paraId="0E7F68EE" w14:textId="77777777" w:rsidTr="003126F6">
        <w:tc>
          <w:tcPr>
            <w:tcW w:w="1345" w:type="dxa"/>
          </w:tcPr>
          <w:p w14:paraId="01EF069C" w14:textId="77777777" w:rsidR="00EC61FE" w:rsidRPr="00273CE9" w:rsidRDefault="00EC61FE" w:rsidP="003126F6">
            <w:pPr>
              <w:rPr>
                <w:rFonts w:cs="Times New Roman"/>
              </w:rPr>
            </w:pPr>
            <w:r w:rsidRPr="00273CE9">
              <w:rPr>
                <w:rFonts w:cs="Times New Roman"/>
              </w:rPr>
              <w:t>15.7</w:t>
            </w:r>
          </w:p>
        </w:tc>
        <w:tc>
          <w:tcPr>
            <w:tcW w:w="1620" w:type="dxa"/>
          </w:tcPr>
          <w:p w14:paraId="49DD3436" w14:textId="77777777" w:rsidR="00EC61FE" w:rsidRPr="00273CE9" w:rsidRDefault="00EC61FE" w:rsidP="003126F6">
            <w:pPr>
              <w:rPr>
                <w:rFonts w:cs="Times New Roman"/>
              </w:rPr>
            </w:pPr>
            <w:r w:rsidRPr="00273CE9">
              <w:rPr>
                <w:rFonts w:cs="Times New Roman"/>
              </w:rPr>
              <w:t>15.7</w:t>
            </w:r>
          </w:p>
        </w:tc>
        <w:tc>
          <w:tcPr>
            <w:tcW w:w="1350" w:type="dxa"/>
          </w:tcPr>
          <w:p w14:paraId="4628D589" w14:textId="77777777" w:rsidR="00EC61FE" w:rsidRPr="00273CE9" w:rsidRDefault="00EC61FE" w:rsidP="003126F6">
            <w:pPr>
              <w:rPr>
                <w:rFonts w:cs="Times New Roman"/>
              </w:rPr>
            </w:pPr>
            <w:r w:rsidRPr="00273CE9">
              <w:rPr>
                <w:rFonts w:cs="Times New Roman"/>
              </w:rPr>
              <w:t>15.7</w:t>
            </w:r>
          </w:p>
        </w:tc>
        <w:tc>
          <w:tcPr>
            <w:tcW w:w="5035" w:type="dxa"/>
          </w:tcPr>
          <w:p w14:paraId="2794B20D" w14:textId="77777777" w:rsidR="00EC61FE" w:rsidRPr="00273CE9" w:rsidRDefault="00EC61FE" w:rsidP="003126F6">
            <w:pPr>
              <w:rPr>
                <w:rFonts w:cs="Times New Roman"/>
              </w:rPr>
            </w:pPr>
            <w:r w:rsidRPr="00273CE9">
              <w:rPr>
                <w:rFonts w:cs="Times New Roman"/>
              </w:rPr>
              <w:t>Infringement—Elements and Burden of Proof—Trade Dress (15 U.S.C. § 1125(a)(1))</w:t>
            </w:r>
          </w:p>
        </w:tc>
      </w:tr>
      <w:tr w:rsidR="00EC61FE" w:rsidRPr="00273CE9" w14:paraId="119AE759" w14:textId="77777777" w:rsidTr="003126F6">
        <w:tc>
          <w:tcPr>
            <w:tcW w:w="1345" w:type="dxa"/>
          </w:tcPr>
          <w:p w14:paraId="48E91B85" w14:textId="77777777" w:rsidR="00EC61FE" w:rsidRPr="00273CE9" w:rsidRDefault="00EC61FE" w:rsidP="003126F6">
            <w:pPr>
              <w:rPr>
                <w:rFonts w:cs="Times New Roman"/>
              </w:rPr>
            </w:pPr>
            <w:r w:rsidRPr="00273CE9">
              <w:rPr>
                <w:rFonts w:cs="Times New Roman"/>
              </w:rPr>
              <w:t>15.8</w:t>
            </w:r>
          </w:p>
        </w:tc>
        <w:tc>
          <w:tcPr>
            <w:tcW w:w="1620" w:type="dxa"/>
          </w:tcPr>
          <w:p w14:paraId="31D1ABD6" w14:textId="77777777" w:rsidR="00EC61FE" w:rsidRPr="00273CE9" w:rsidRDefault="00EC61FE" w:rsidP="003126F6">
            <w:pPr>
              <w:rPr>
                <w:rFonts w:cs="Times New Roman"/>
              </w:rPr>
            </w:pPr>
            <w:r w:rsidRPr="00273CE9">
              <w:rPr>
                <w:rFonts w:cs="Times New Roman"/>
              </w:rPr>
              <w:t>15.8</w:t>
            </w:r>
          </w:p>
        </w:tc>
        <w:tc>
          <w:tcPr>
            <w:tcW w:w="1350" w:type="dxa"/>
          </w:tcPr>
          <w:p w14:paraId="53BA0782" w14:textId="77777777" w:rsidR="00EC61FE" w:rsidRPr="00273CE9" w:rsidRDefault="00EC61FE" w:rsidP="003126F6">
            <w:pPr>
              <w:rPr>
                <w:rFonts w:cs="Times New Roman"/>
              </w:rPr>
            </w:pPr>
            <w:r w:rsidRPr="00273CE9">
              <w:rPr>
                <w:rFonts w:cs="Times New Roman"/>
              </w:rPr>
              <w:t>15.8</w:t>
            </w:r>
          </w:p>
        </w:tc>
        <w:tc>
          <w:tcPr>
            <w:tcW w:w="5035" w:type="dxa"/>
          </w:tcPr>
          <w:p w14:paraId="22BEED1B" w14:textId="77777777" w:rsidR="00EC61FE" w:rsidRPr="00273CE9" w:rsidRDefault="00EC61FE" w:rsidP="003126F6">
            <w:pPr>
              <w:rPr>
                <w:rFonts w:cs="Times New Roman"/>
              </w:rPr>
            </w:pPr>
            <w:r w:rsidRPr="00273CE9">
              <w:rPr>
                <w:rFonts w:cs="Times New Roman"/>
              </w:rPr>
              <w:t>Infringement—Elements—Presumed Validity and Ownership—Registered Trademark (15 U.S.C. §§ 1057, 1065, and 1115)</w:t>
            </w:r>
          </w:p>
        </w:tc>
      </w:tr>
      <w:tr w:rsidR="00EC61FE" w:rsidRPr="00273CE9" w14:paraId="200128B7" w14:textId="77777777" w:rsidTr="003126F6">
        <w:tc>
          <w:tcPr>
            <w:tcW w:w="1345" w:type="dxa"/>
          </w:tcPr>
          <w:p w14:paraId="7EAA0032" w14:textId="77777777" w:rsidR="00EC61FE" w:rsidRPr="00273CE9" w:rsidRDefault="00EC61FE" w:rsidP="003126F6">
            <w:pPr>
              <w:rPr>
                <w:rFonts w:cs="Times New Roman"/>
              </w:rPr>
            </w:pPr>
            <w:r w:rsidRPr="00273CE9">
              <w:rPr>
                <w:rFonts w:cs="Times New Roman"/>
              </w:rPr>
              <w:t>15.9</w:t>
            </w:r>
          </w:p>
        </w:tc>
        <w:tc>
          <w:tcPr>
            <w:tcW w:w="1620" w:type="dxa"/>
          </w:tcPr>
          <w:p w14:paraId="5AD66736" w14:textId="77777777" w:rsidR="00EC61FE" w:rsidRPr="00273CE9" w:rsidRDefault="00EC61FE" w:rsidP="003126F6">
            <w:pPr>
              <w:rPr>
                <w:rFonts w:cs="Times New Roman"/>
              </w:rPr>
            </w:pPr>
            <w:r w:rsidRPr="00273CE9">
              <w:rPr>
                <w:rFonts w:cs="Times New Roman"/>
              </w:rPr>
              <w:t>15.9</w:t>
            </w:r>
          </w:p>
        </w:tc>
        <w:tc>
          <w:tcPr>
            <w:tcW w:w="1350" w:type="dxa"/>
          </w:tcPr>
          <w:p w14:paraId="6E4275EE" w14:textId="77777777" w:rsidR="00EC61FE" w:rsidRPr="00273CE9" w:rsidRDefault="00EC61FE" w:rsidP="003126F6">
            <w:pPr>
              <w:rPr>
                <w:rFonts w:cs="Times New Roman"/>
              </w:rPr>
            </w:pPr>
            <w:r w:rsidRPr="00273CE9">
              <w:rPr>
                <w:rFonts w:cs="Times New Roman"/>
              </w:rPr>
              <w:t>15.9</w:t>
            </w:r>
          </w:p>
        </w:tc>
        <w:tc>
          <w:tcPr>
            <w:tcW w:w="5035" w:type="dxa"/>
          </w:tcPr>
          <w:p w14:paraId="06B31A35" w14:textId="77777777" w:rsidR="00EC61FE" w:rsidRPr="00273CE9" w:rsidRDefault="00EC61FE" w:rsidP="003126F6">
            <w:pPr>
              <w:rPr>
                <w:rFonts w:cs="Times New Roman"/>
              </w:rPr>
            </w:pPr>
            <w:r w:rsidRPr="00273CE9">
              <w:rPr>
                <w:rFonts w:cs="Times New Roman"/>
              </w:rPr>
              <w:t>Infringement—Elements—Validity—Unregistered Marks</w:t>
            </w:r>
          </w:p>
        </w:tc>
      </w:tr>
      <w:tr w:rsidR="00EC61FE" w:rsidRPr="00273CE9" w14:paraId="19080DAD" w14:textId="77777777" w:rsidTr="003126F6">
        <w:tc>
          <w:tcPr>
            <w:tcW w:w="1345" w:type="dxa"/>
          </w:tcPr>
          <w:p w14:paraId="6783B691" w14:textId="77777777" w:rsidR="00EC61FE" w:rsidRPr="00273CE9" w:rsidRDefault="00EC61FE" w:rsidP="003126F6">
            <w:pPr>
              <w:rPr>
                <w:rFonts w:cs="Times New Roman"/>
              </w:rPr>
            </w:pPr>
            <w:r w:rsidRPr="00273CE9">
              <w:rPr>
                <w:rFonts w:cs="Times New Roman"/>
              </w:rPr>
              <w:lastRenderedPageBreak/>
              <w:t>15.10</w:t>
            </w:r>
          </w:p>
        </w:tc>
        <w:tc>
          <w:tcPr>
            <w:tcW w:w="1620" w:type="dxa"/>
          </w:tcPr>
          <w:p w14:paraId="42FFBA75" w14:textId="77777777" w:rsidR="00EC61FE" w:rsidRPr="00273CE9" w:rsidRDefault="00EC61FE" w:rsidP="003126F6">
            <w:pPr>
              <w:rPr>
                <w:rFonts w:cs="Times New Roman"/>
              </w:rPr>
            </w:pPr>
            <w:r w:rsidRPr="00273CE9">
              <w:rPr>
                <w:rFonts w:cs="Times New Roman"/>
              </w:rPr>
              <w:t>15.10</w:t>
            </w:r>
          </w:p>
        </w:tc>
        <w:tc>
          <w:tcPr>
            <w:tcW w:w="1350" w:type="dxa"/>
          </w:tcPr>
          <w:p w14:paraId="67A0F5EA" w14:textId="77777777" w:rsidR="00EC61FE" w:rsidRPr="00273CE9" w:rsidRDefault="00EC61FE" w:rsidP="003126F6">
            <w:pPr>
              <w:rPr>
                <w:rFonts w:cs="Times New Roman"/>
              </w:rPr>
            </w:pPr>
            <w:r w:rsidRPr="00273CE9">
              <w:rPr>
                <w:rFonts w:cs="Times New Roman"/>
              </w:rPr>
              <w:t>15.10</w:t>
            </w:r>
          </w:p>
        </w:tc>
        <w:tc>
          <w:tcPr>
            <w:tcW w:w="5035" w:type="dxa"/>
          </w:tcPr>
          <w:p w14:paraId="250702ED" w14:textId="77777777" w:rsidR="00EC61FE" w:rsidRPr="00273CE9" w:rsidRDefault="00EC61FE" w:rsidP="003126F6">
            <w:pPr>
              <w:rPr>
                <w:rFonts w:cs="Times New Roman"/>
              </w:rPr>
            </w:pPr>
            <w:r w:rsidRPr="00273CE9">
              <w:rPr>
                <w:rFonts w:cs="Times New Roman"/>
              </w:rPr>
              <w:t>Infringement—Elements—Validity—Unregistered Marks—Distinctiveness</w:t>
            </w:r>
          </w:p>
        </w:tc>
      </w:tr>
      <w:tr w:rsidR="00EC61FE" w:rsidRPr="00273CE9" w14:paraId="71D76FE1" w14:textId="77777777" w:rsidTr="003126F6">
        <w:tc>
          <w:tcPr>
            <w:tcW w:w="1345" w:type="dxa"/>
          </w:tcPr>
          <w:p w14:paraId="65015593" w14:textId="77777777" w:rsidR="00EC61FE" w:rsidRPr="00273CE9" w:rsidRDefault="00EC61FE" w:rsidP="003126F6">
            <w:pPr>
              <w:rPr>
                <w:rFonts w:cs="Times New Roman"/>
              </w:rPr>
            </w:pPr>
            <w:r w:rsidRPr="00273CE9">
              <w:rPr>
                <w:rFonts w:cs="Times New Roman"/>
              </w:rPr>
              <w:t>15.11</w:t>
            </w:r>
          </w:p>
        </w:tc>
        <w:tc>
          <w:tcPr>
            <w:tcW w:w="1620" w:type="dxa"/>
          </w:tcPr>
          <w:p w14:paraId="7F3CDD49" w14:textId="77777777" w:rsidR="00EC61FE" w:rsidRPr="00273CE9" w:rsidRDefault="00EC61FE" w:rsidP="003126F6">
            <w:pPr>
              <w:rPr>
                <w:rFonts w:cs="Times New Roman"/>
              </w:rPr>
            </w:pPr>
            <w:r w:rsidRPr="00273CE9">
              <w:rPr>
                <w:rFonts w:cs="Times New Roman"/>
              </w:rPr>
              <w:t>15.11</w:t>
            </w:r>
          </w:p>
        </w:tc>
        <w:tc>
          <w:tcPr>
            <w:tcW w:w="1350" w:type="dxa"/>
          </w:tcPr>
          <w:p w14:paraId="5D024782" w14:textId="77777777" w:rsidR="00EC61FE" w:rsidRPr="00273CE9" w:rsidRDefault="00EC61FE" w:rsidP="003126F6">
            <w:pPr>
              <w:rPr>
                <w:rFonts w:cs="Times New Roman"/>
              </w:rPr>
            </w:pPr>
            <w:r w:rsidRPr="00273CE9">
              <w:rPr>
                <w:rFonts w:cs="Times New Roman"/>
              </w:rPr>
              <w:t>15.11</w:t>
            </w:r>
          </w:p>
        </w:tc>
        <w:tc>
          <w:tcPr>
            <w:tcW w:w="5035" w:type="dxa"/>
          </w:tcPr>
          <w:p w14:paraId="3B7E2829" w14:textId="77777777" w:rsidR="00EC61FE" w:rsidRPr="00273CE9" w:rsidRDefault="00EC61FE" w:rsidP="003126F6">
            <w:pPr>
              <w:rPr>
                <w:rFonts w:cs="Times New Roman"/>
              </w:rPr>
            </w:pPr>
            <w:r w:rsidRPr="00273CE9">
              <w:rPr>
                <w:rFonts w:cs="Times New Roman"/>
              </w:rPr>
              <w:t>Infringement—Elements—Validity— Distinctiveness—Secondary Meaning</w:t>
            </w:r>
          </w:p>
        </w:tc>
      </w:tr>
      <w:tr w:rsidR="00EC61FE" w:rsidRPr="00273CE9" w14:paraId="085AC4AF" w14:textId="77777777" w:rsidTr="003126F6">
        <w:tc>
          <w:tcPr>
            <w:tcW w:w="1345" w:type="dxa"/>
          </w:tcPr>
          <w:p w14:paraId="70EBF369" w14:textId="77777777" w:rsidR="00EC61FE" w:rsidRPr="00273CE9" w:rsidRDefault="00EC61FE" w:rsidP="003126F6">
            <w:pPr>
              <w:rPr>
                <w:rFonts w:cs="Times New Roman"/>
              </w:rPr>
            </w:pPr>
            <w:r w:rsidRPr="00273CE9">
              <w:rPr>
                <w:rFonts w:cs="Times New Roman"/>
              </w:rPr>
              <w:t>15.12</w:t>
            </w:r>
          </w:p>
        </w:tc>
        <w:tc>
          <w:tcPr>
            <w:tcW w:w="1620" w:type="dxa"/>
          </w:tcPr>
          <w:p w14:paraId="26E5F9E8" w14:textId="77777777" w:rsidR="00EC61FE" w:rsidRPr="00273CE9" w:rsidRDefault="00EC61FE" w:rsidP="003126F6">
            <w:pPr>
              <w:rPr>
                <w:rFonts w:cs="Times New Roman"/>
              </w:rPr>
            </w:pPr>
            <w:r w:rsidRPr="00273CE9">
              <w:rPr>
                <w:rFonts w:cs="Times New Roman"/>
              </w:rPr>
              <w:t>15.12</w:t>
            </w:r>
          </w:p>
        </w:tc>
        <w:tc>
          <w:tcPr>
            <w:tcW w:w="1350" w:type="dxa"/>
          </w:tcPr>
          <w:p w14:paraId="5FB10F5F" w14:textId="77777777" w:rsidR="00EC61FE" w:rsidRPr="00273CE9" w:rsidRDefault="00EC61FE" w:rsidP="003126F6">
            <w:pPr>
              <w:rPr>
                <w:rFonts w:cs="Times New Roman"/>
              </w:rPr>
            </w:pPr>
            <w:r w:rsidRPr="00273CE9">
              <w:rPr>
                <w:rFonts w:cs="Times New Roman"/>
              </w:rPr>
              <w:t>15.12</w:t>
            </w:r>
          </w:p>
        </w:tc>
        <w:tc>
          <w:tcPr>
            <w:tcW w:w="5035" w:type="dxa"/>
          </w:tcPr>
          <w:p w14:paraId="26A7A467" w14:textId="77777777" w:rsidR="00EC61FE" w:rsidRPr="00273CE9" w:rsidRDefault="00EC61FE" w:rsidP="003126F6">
            <w:pPr>
              <w:rPr>
                <w:rFonts w:cs="Times New Roman"/>
              </w:rPr>
            </w:pPr>
            <w:r w:rsidRPr="00273CE9">
              <w:rPr>
                <w:rFonts w:cs="Times New Roman"/>
              </w:rPr>
              <w:t>Infringement—Elements—Validity—Trade Dress —Non-Functionality Requirement</w:t>
            </w:r>
          </w:p>
        </w:tc>
      </w:tr>
      <w:tr w:rsidR="00EC61FE" w:rsidRPr="00273CE9" w14:paraId="35CD89CB" w14:textId="77777777" w:rsidTr="003126F6">
        <w:tc>
          <w:tcPr>
            <w:tcW w:w="1345" w:type="dxa"/>
          </w:tcPr>
          <w:p w14:paraId="1D382912" w14:textId="77777777" w:rsidR="00EC61FE" w:rsidRPr="00273CE9" w:rsidRDefault="00EC61FE" w:rsidP="003126F6">
            <w:pPr>
              <w:rPr>
                <w:rFonts w:cs="Times New Roman"/>
              </w:rPr>
            </w:pPr>
            <w:r w:rsidRPr="00273CE9">
              <w:rPr>
                <w:rFonts w:cs="Times New Roman"/>
              </w:rPr>
              <w:t>15.13</w:t>
            </w:r>
          </w:p>
        </w:tc>
        <w:tc>
          <w:tcPr>
            <w:tcW w:w="1620" w:type="dxa"/>
          </w:tcPr>
          <w:p w14:paraId="0E8C538F" w14:textId="77777777" w:rsidR="00EC61FE" w:rsidRPr="00273CE9" w:rsidRDefault="00EC61FE" w:rsidP="003126F6">
            <w:pPr>
              <w:rPr>
                <w:rFonts w:cs="Times New Roman"/>
              </w:rPr>
            </w:pPr>
            <w:r w:rsidRPr="00273CE9">
              <w:rPr>
                <w:rFonts w:cs="Times New Roman"/>
              </w:rPr>
              <w:t>15.13</w:t>
            </w:r>
          </w:p>
        </w:tc>
        <w:tc>
          <w:tcPr>
            <w:tcW w:w="1350" w:type="dxa"/>
          </w:tcPr>
          <w:p w14:paraId="386E5B62" w14:textId="77777777" w:rsidR="00EC61FE" w:rsidRPr="00273CE9" w:rsidRDefault="00EC61FE" w:rsidP="003126F6">
            <w:pPr>
              <w:rPr>
                <w:rFonts w:cs="Times New Roman"/>
              </w:rPr>
            </w:pPr>
            <w:r w:rsidRPr="00273CE9">
              <w:rPr>
                <w:rFonts w:cs="Times New Roman"/>
              </w:rPr>
              <w:t>15.13</w:t>
            </w:r>
          </w:p>
        </w:tc>
        <w:tc>
          <w:tcPr>
            <w:tcW w:w="5035" w:type="dxa"/>
          </w:tcPr>
          <w:p w14:paraId="7CB48E8C" w14:textId="77777777" w:rsidR="00EC61FE" w:rsidRPr="00273CE9" w:rsidRDefault="00EC61FE" w:rsidP="003126F6">
            <w:pPr>
              <w:rPr>
                <w:rFonts w:cs="Times New Roman"/>
              </w:rPr>
            </w:pPr>
            <w:r w:rsidRPr="00273CE9">
              <w:rPr>
                <w:rFonts w:cs="Times New Roman"/>
              </w:rPr>
              <w:t>Infringement—Elements—Ownership—Generally</w:t>
            </w:r>
          </w:p>
        </w:tc>
      </w:tr>
      <w:tr w:rsidR="00EC61FE" w:rsidRPr="00273CE9" w14:paraId="6A9555A1" w14:textId="77777777" w:rsidTr="003126F6">
        <w:tc>
          <w:tcPr>
            <w:tcW w:w="1345" w:type="dxa"/>
          </w:tcPr>
          <w:p w14:paraId="292C112E" w14:textId="77777777" w:rsidR="00EC61FE" w:rsidRPr="00273CE9" w:rsidRDefault="00EC61FE" w:rsidP="003126F6">
            <w:pPr>
              <w:rPr>
                <w:rFonts w:cs="Times New Roman"/>
              </w:rPr>
            </w:pPr>
            <w:r w:rsidRPr="00273CE9">
              <w:rPr>
                <w:rFonts w:cs="Times New Roman"/>
              </w:rPr>
              <w:t>15.14</w:t>
            </w:r>
          </w:p>
        </w:tc>
        <w:tc>
          <w:tcPr>
            <w:tcW w:w="1620" w:type="dxa"/>
          </w:tcPr>
          <w:p w14:paraId="1A9BE2C9" w14:textId="77777777" w:rsidR="00EC61FE" w:rsidRPr="00273CE9" w:rsidRDefault="00EC61FE" w:rsidP="003126F6">
            <w:pPr>
              <w:rPr>
                <w:rFonts w:cs="Times New Roman"/>
              </w:rPr>
            </w:pPr>
            <w:r w:rsidRPr="00273CE9">
              <w:rPr>
                <w:rFonts w:cs="Times New Roman"/>
              </w:rPr>
              <w:t>15.13</w:t>
            </w:r>
          </w:p>
        </w:tc>
        <w:tc>
          <w:tcPr>
            <w:tcW w:w="1350" w:type="dxa"/>
          </w:tcPr>
          <w:p w14:paraId="69580106" w14:textId="77777777" w:rsidR="00EC61FE" w:rsidRPr="00273CE9" w:rsidRDefault="00EC61FE" w:rsidP="003126F6">
            <w:pPr>
              <w:rPr>
                <w:rFonts w:cs="Times New Roman"/>
              </w:rPr>
            </w:pPr>
            <w:r w:rsidRPr="00273CE9">
              <w:rPr>
                <w:rFonts w:cs="Times New Roman"/>
              </w:rPr>
              <w:t>15.13</w:t>
            </w:r>
          </w:p>
        </w:tc>
        <w:tc>
          <w:tcPr>
            <w:tcW w:w="5035" w:type="dxa"/>
          </w:tcPr>
          <w:p w14:paraId="702C325F" w14:textId="77777777" w:rsidR="00EC61FE" w:rsidRPr="00273CE9" w:rsidRDefault="00EC61FE" w:rsidP="003126F6">
            <w:pPr>
              <w:rPr>
                <w:rFonts w:cs="Times New Roman"/>
              </w:rPr>
            </w:pPr>
            <w:r w:rsidRPr="00273CE9">
              <w:rPr>
                <w:rFonts w:cs="Times New Roman"/>
              </w:rPr>
              <w:t>Infringement—Elements—Ownership—Priority Through Tacking</w:t>
            </w:r>
          </w:p>
        </w:tc>
      </w:tr>
      <w:tr w:rsidR="00EC61FE" w:rsidRPr="00273CE9" w14:paraId="709684E7" w14:textId="77777777" w:rsidTr="003126F6">
        <w:tc>
          <w:tcPr>
            <w:tcW w:w="1345" w:type="dxa"/>
          </w:tcPr>
          <w:p w14:paraId="7E02E9B6" w14:textId="77777777" w:rsidR="00EC61FE" w:rsidRPr="00273CE9" w:rsidRDefault="00EC61FE" w:rsidP="003126F6">
            <w:pPr>
              <w:rPr>
                <w:rFonts w:cs="Times New Roman"/>
              </w:rPr>
            </w:pPr>
            <w:r w:rsidRPr="00273CE9">
              <w:rPr>
                <w:rFonts w:cs="Times New Roman"/>
              </w:rPr>
              <w:t>15.15</w:t>
            </w:r>
          </w:p>
        </w:tc>
        <w:tc>
          <w:tcPr>
            <w:tcW w:w="1620" w:type="dxa"/>
          </w:tcPr>
          <w:p w14:paraId="50CCDE5B" w14:textId="77777777" w:rsidR="00EC61FE" w:rsidRPr="00273CE9" w:rsidRDefault="00EC61FE" w:rsidP="003126F6">
            <w:pPr>
              <w:rPr>
                <w:rFonts w:cs="Times New Roman"/>
              </w:rPr>
            </w:pPr>
            <w:r w:rsidRPr="00273CE9">
              <w:rPr>
                <w:rFonts w:cs="Times New Roman"/>
              </w:rPr>
              <w:t>15.15</w:t>
            </w:r>
          </w:p>
        </w:tc>
        <w:tc>
          <w:tcPr>
            <w:tcW w:w="1350" w:type="dxa"/>
          </w:tcPr>
          <w:p w14:paraId="5E7B30FC" w14:textId="77777777" w:rsidR="00EC61FE" w:rsidRPr="00273CE9" w:rsidRDefault="00EC61FE" w:rsidP="003126F6">
            <w:pPr>
              <w:rPr>
                <w:rFonts w:cs="Times New Roman"/>
              </w:rPr>
            </w:pPr>
            <w:r w:rsidRPr="00273CE9">
              <w:rPr>
                <w:rFonts w:cs="Times New Roman"/>
              </w:rPr>
              <w:t>15.15</w:t>
            </w:r>
          </w:p>
        </w:tc>
        <w:tc>
          <w:tcPr>
            <w:tcW w:w="5035" w:type="dxa"/>
          </w:tcPr>
          <w:p w14:paraId="37130AEA" w14:textId="77777777" w:rsidR="00EC61FE" w:rsidRPr="00273CE9" w:rsidRDefault="00EC61FE" w:rsidP="003126F6">
            <w:pPr>
              <w:rPr>
                <w:rFonts w:cs="Times New Roman"/>
              </w:rPr>
            </w:pPr>
            <w:r w:rsidRPr="00273CE9">
              <w:rPr>
                <w:rFonts w:cs="Times New Roman"/>
              </w:rPr>
              <w:t>Trademark Ownership—Assignee (15 U.S.C. § 1060)</w:t>
            </w:r>
          </w:p>
        </w:tc>
      </w:tr>
      <w:tr w:rsidR="00EC61FE" w:rsidRPr="00273CE9" w14:paraId="025201D2" w14:textId="77777777" w:rsidTr="003126F6">
        <w:tc>
          <w:tcPr>
            <w:tcW w:w="1345" w:type="dxa"/>
          </w:tcPr>
          <w:p w14:paraId="59758036" w14:textId="77777777" w:rsidR="00EC61FE" w:rsidRPr="00273CE9" w:rsidRDefault="00EC61FE" w:rsidP="003126F6">
            <w:pPr>
              <w:rPr>
                <w:rFonts w:cs="Times New Roman"/>
              </w:rPr>
            </w:pPr>
            <w:r w:rsidRPr="00273CE9">
              <w:rPr>
                <w:rFonts w:cs="Times New Roman"/>
              </w:rPr>
              <w:t>15.16</w:t>
            </w:r>
          </w:p>
        </w:tc>
        <w:tc>
          <w:tcPr>
            <w:tcW w:w="1620" w:type="dxa"/>
          </w:tcPr>
          <w:p w14:paraId="0BC47FD9" w14:textId="77777777" w:rsidR="00EC61FE" w:rsidRPr="00273CE9" w:rsidRDefault="00EC61FE" w:rsidP="003126F6">
            <w:pPr>
              <w:rPr>
                <w:rFonts w:cs="Times New Roman"/>
              </w:rPr>
            </w:pPr>
            <w:r w:rsidRPr="00273CE9">
              <w:rPr>
                <w:rFonts w:cs="Times New Roman"/>
              </w:rPr>
              <w:t>15.16</w:t>
            </w:r>
          </w:p>
        </w:tc>
        <w:tc>
          <w:tcPr>
            <w:tcW w:w="1350" w:type="dxa"/>
          </w:tcPr>
          <w:p w14:paraId="0C694E59" w14:textId="77777777" w:rsidR="00EC61FE" w:rsidRPr="00273CE9" w:rsidRDefault="00EC61FE" w:rsidP="003126F6">
            <w:pPr>
              <w:rPr>
                <w:rFonts w:cs="Times New Roman"/>
              </w:rPr>
            </w:pPr>
            <w:r w:rsidRPr="00273CE9">
              <w:rPr>
                <w:rFonts w:cs="Times New Roman"/>
              </w:rPr>
              <w:t>15.16</w:t>
            </w:r>
          </w:p>
        </w:tc>
        <w:tc>
          <w:tcPr>
            <w:tcW w:w="5035" w:type="dxa"/>
          </w:tcPr>
          <w:p w14:paraId="3EEF6DBF" w14:textId="77777777" w:rsidR="00EC61FE" w:rsidRPr="00273CE9" w:rsidRDefault="00EC61FE" w:rsidP="003126F6">
            <w:pPr>
              <w:rPr>
                <w:rFonts w:cs="Times New Roman"/>
              </w:rPr>
            </w:pPr>
            <w:r w:rsidRPr="00273CE9">
              <w:rPr>
                <w:rFonts w:cs="Times New Roman"/>
              </w:rPr>
              <w:t>Trademark Ownership—Licensee</w:t>
            </w:r>
          </w:p>
        </w:tc>
      </w:tr>
      <w:tr w:rsidR="00EC61FE" w:rsidRPr="00273CE9" w14:paraId="351B2CB3" w14:textId="77777777" w:rsidTr="003126F6">
        <w:tc>
          <w:tcPr>
            <w:tcW w:w="1345" w:type="dxa"/>
          </w:tcPr>
          <w:p w14:paraId="1F1C8911" w14:textId="77777777" w:rsidR="00EC61FE" w:rsidRPr="00273CE9" w:rsidRDefault="00EC61FE" w:rsidP="003126F6">
            <w:pPr>
              <w:rPr>
                <w:rFonts w:cs="Times New Roman"/>
              </w:rPr>
            </w:pPr>
            <w:r w:rsidRPr="00273CE9">
              <w:rPr>
                <w:rFonts w:cs="Times New Roman"/>
              </w:rPr>
              <w:t>15.17</w:t>
            </w:r>
          </w:p>
        </w:tc>
        <w:tc>
          <w:tcPr>
            <w:tcW w:w="1620" w:type="dxa"/>
          </w:tcPr>
          <w:p w14:paraId="24C3185D" w14:textId="77777777" w:rsidR="00EC61FE" w:rsidRPr="00273CE9" w:rsidRDefault="00EC61FE" w:rsidP="003126F6">
            <w:pPr>
              <w:rPr>
                <w:rFonts w:cs="Times New Roman"/>
              </w:rPr>
            </w:pPr>
            <w:r w:rsidRPr="00273CE9">
              <w:rPr>
                <w:rFonts w:cs="Times New Roman"/>
              </w:rPr>
              <w:t>15.17</w:t>
            </w:r>
          </w:p>
        </w:tc>
        <w:tc>
          <w:tcPr>
            <w:tcW w:w="1350" w:type="dxa"/>
          </w:tcPr>
          <w:p w14:paraId="6B8A6154" w14:textId="77777777" w:rsidR="00EC61FE" w:rsidRPr="00273CE9" w:rsidRDefault="00EC61FE" w:rsidP="003126F6">
            <w:pPr>
              <w:rPr>
                <w:rFonts w:cs="Times New Roman"/>
              </w:rPr>
            </w:pPr>
            <w:r w:rsidRPr="00273CE9">
              <w:rPr>
                <w:rFonts w:cs="Times New Roman"/>
              </w:rPr>
              <w:t>15.17</w:t>
            </w:r>
          </w:p>
        </w:tc>
        <w:tc>
          <w:tcPr>
            <w:tcW w:w="5035" w:type="dxa"/>
          </w:tcPr>
          <w:p w14:paraId="36C4C08A" w14:textId="77777777" w:rsidR="00EC61FE" w:rsidRPr="00273CE9" w:rsidRDefault="00EC61FE" w:rsidP="003126F6">
            <w:pPr>
              <w:rPr>
                <w:rFonts w:cs="Times New Roman"/>
              </w:rPr>
            </w:pPr>
            <w:r w:rsidRPr="00273CE9">
              <w:rPr>
                <w:rFonts w:cs="Times New Roman"/>
              </w:rPr>
              <w:t>Trademark Ownership—Merchant or Distributor</w:t>
            </w:r>
          </w:p>
        </w:tc>
      </w:tr>
      <w:tr w:rsidR="00EC61FE" w:rsidRPr="00273CE9" w14:paraId="31989A6B" w14:textId="77777777" w:rsidTr="003126F6">
        <w:tc>
          <w:tcPr>
            <w:tcW w:w="1345" w:type="dxa"/>
          </w:tcPr>
          <w:p w14:paraId="6E8E9C33" w14:textId="77777777" w:rsidR="00EC61FE" w:rsidRPr="00273CE9" w:rsidRDefault="00EC61FE" w:rsidP="003126F6">
            <w:pPr>
              <w:rPr>
                <w:rFonts w:cs="Times New Roman"/>
              </w:rPr>
            </w:pPr>
            <w:r w:rsidRPr="00273CE9">
              <w:rPr>
                <w:rFonts w:cs="Times New Roman"/>
              </w:rPr>
              <w:t>15.18</w:t>
            </w:r>
          </w:p>
        </w:tc>
        <w:tc>
          <w:tcPr>
            <w:tcW w:w="1620" w:type="dxa"/>
          </w:tcPr>
          <w:p w14:paraId="700B542C" w14:textId="77777777" w:rsidR="00EC61FE" w:rsidRPr="00273CE9" w:rsidRDefault="00EC61FE" w:rsidP="003126F6">
            <w:pPr>
              <w:rPr>
                <w:rFonts w:cs="Times New Roman"/>
              </w:rPr>
            </w:pPr>
            <w:r w:rsidRPr="00273CE9">
              <w:rPr>
                <w:rFonts w:cs="Times New Roman"/>
              </w:rPr>
              <w:t>15.18</w:t>
            </w:r>
          </w:p>
        </w:tc>
        <w:tc>
          <w:tcPr>
            <w:tcW w:w="1350" w:type="dxa"/>
          </w:tcPr>
          <w:p w14:paraId="7DA921BA" w14:textId="77777777" w:rsidR="00EC61FE" w:rsidRPr="00273CE9" w:rsidRDefault="00EC61FE" w:rsidP="003126F6">
            <w:pPr>
              <w:rPr>
                <w:rFonts w:cs="Times New Roman"/>
              </w:rPr>
            </w:pPr>
            <w:r w:rsidRPr="00273CE9">
              <w:rPr>
                <w:rFonts w:cs="Times New Roman"/>
              </w:rPr>
              <w:t>15.18</w:t>
            </w:r>
          </w:p>
        </w:tc>
        <w:tc>
          <w:tcPr>
            <w:tcW w:w="5035" w:type="dxa"/>
          </w:tcPr>
          <w:p w14:paraId="5C7FE59D" w14:textId="77777777" w:rsidR="00EC61FE" w:rsidRPr="00273CE9" w:rsidRDefault="00EC61FE" w:rsidP="003126F6">
            <w:pPr>
              <w:rPr>
                <w:rFonts w:cs="Times New Roman"/>
              </w:rPr>
            </w:pPr>
            <w:r w:rsidRPr="00273CE9">
              <w:rPr>
                <w:rFonts w:cs="Times New Roman"/>
              </w:rPr>
              <w:t>Infringement—Likelihood of Confusion—Factors—</w:t>
            </w:r>
            <w:r w:rsidRPr="00273CE9">
              <w:rPr>
                <w:rFonts w:cs="Times New Roman"/>
                <w:i/>
                <w:iCs/>
              </w:rPr>
              <w:t>Sleekcraft</w:t>
            </w:r>
            <w:r w:rsidRPr="00273CE9">
              <w:rPr>
                <w:rFonts w:cs="Times New Roman"/>
              </w:rPr>
              <w:t xml:space="preserve"> Test (15 U.S.C. §§ 1114(1) and 1125(a))</w:t>
            </w:r>
          </w:p>
        </w:tc>
      </w:tr>
      <w:tr w:rsidR="00EC61FE" w:rsidRPr="00273CE9" w14:paraId="16854CB7" w14:textId="77777777" w:rsidTr="003126F6">
        <w:tc>
          <w:tcPr>
            <w:tcW w:w="1345" w:type="dxa"/>
          </w:tcPr>
          <w:p w14:paraId="4668C14E" w14:textId="77777777" w:rsidR="00EC61FE" w:rsidRPr="00273CE9" w:rsidRDefault="00EC61FE" w:rsidP="003126F6">
            <w:pPr>
              <w:rPr>
                <w:rFonts w:cs="Times New Roman"/>
              </w:rPr>
            </w:pPr>
            <w:r w:rsidRPr="00273CE9">
              <w:rPr>
                <w:rFonts w:cs="Times New Roman"/>
              </w:rPr>
              <w:t>15.19</w:t>
            </w:r>
          </w:p>
        </w:tc>
        <w:tc>
          <w:tcPr>
            <w:tcW w:w="1620" w:type="dxa"/>
          </w:tcPr>
          <w:p w14:paraId="3BCC9D49" w14:textId="77777777" w:rsidR="00EC61FE" w:rsidRPr="00273CE9" w:rsidRDefault="00EC61FE" w:rsidP="003126F6">
            <w:pPr>
              <w:rPr>
                <w:rFonts w:cs="Times New Roman"/>
              </w:rPr>
            </w:pPr>
            <w:r w:rsidRPr="00273CE9">
              <w:rPr>
                <w:rFonts w:cs="Times New Roman"/>
              </w:rPr>
              <w:t>15.19</w:t>
            </w:r>
          </w:p>
        </w:tc>
        <w:tc>
          <w:tcPr>
            <w:tcW w:w="1350" w:type="dxa"/>
          </w:tcPr>
          <w:p w14:paraId="33BACC17" w14:textId="77777777" w:rsidR="00EC61FE" w:rsidRPr="00273CE9" w:rsidRDefault="00EC61FE" w:rsidP="003126F6">
            <w:pPr>
              <w:rPr>
                <w:rFonts w:cs="Times New Roman"/>
              </w:rPr>
            </w:pPr>
            <w:r w:rsidRPr="00273CE9">
              <w:rPr>
                <w:rFonts w:cs="Times New Roman"/>
              </w:rPr>
              <w:t>15.19</w:t>
            </w:r>
          </w:p>
        </w:tc>
        <w:tc>
          <w:tcPr>
            <w:tcW w:w="5035" w:type="dxa"/>
          </w:tcPr>
          <w:p w14:paraId="20346EA4" w14:textId="77777777" w:rsidR="00EC61FE" w:rsidRPr="00273CE9" w:rsidRDefault="00EC61FE" w:rsidP="003126F6">
            <w:pPr>
              <w:rPr>
                <w:rFonts w:cs="Times New Roman"/>
              </w:rPr>
            </w:pPr>
            <w:r w:rsidRPr="00273CE9">
              <w:rPr>
                <w:rFonts w:cs="Times New Roman"/>
              </w:rPr>
              <w:t>Infringement—Likelihood of Confusion—</w:t>
            </w:r>
            <w:r w:rsidRPr="00273CE9">
              <w:rPr>
                <w:rFonts w:cs="Times New Roman"/>
                <w:i/>
                <w:iCs/>
              </w:rPr>
              <w:t xml:space="preserve">Sleekcraft </w:t>
            </w:r>
            <w:r w:rsidRPr="00273CE9">
              <w:rPr>
                <w:rFonts w:cs="Times New Roman"/>
              </w:rPr>
              <w:t>Factor 1— Strength or Weakness of the Plaintiff’s Mark (2025); Infringement—Likelihood of Confusion—Factor— Strength of Trademark (2017)</w:t>
            </w:r>
          </w:p>
        </w:tc>
      </w:tr>
      <w:tr w:rsidR="00EC61FE" w:rsidRPr="00273CE9" w14:paraId="388C626A" w14:textId="77777777" w:rsidTr="003126F6">
        <w:tc>
          <w:tcPr>
            <w:tcW w:w="1345" w:type="dxa"/>
          </w:tcPr>
          <w:p w14:paraId="12DCD8BB" w14:textId="77777777" w:rsidR="00EC61FE" w:rsidRPr="00273CE9" w:rsidRDefault="00EC61FE" w:rsidP="003126F6">
            <w:pPr>
              <w:rPr>
                <w:rFonts w:cs="Times New Roman"/>
              </w:rPr>
            </w:pPr>
            <w:r w:rsidRPr="00273CE9">
              <w:rPr>
                <w:rFonts w:cs="Times New Roman"/>
              </w:rPr>
              <w:t>—</w:t>
            </w:r>
          </w:p>
        </w:tc>
        <w:tc>
          <w:tcPr>
            <w:tcW w:w="1620" w:type="dxa"/>
          </w:tcPr>
          <w:p w14:paraId="3D734604" w14:textId="77777777" w:rsidR="00EC61FE" w:rsidRPr="00273CE9" w:rsidRDefault="00EC61FE" w:rsidP="003126F6">
            <w:pPr>
              <w:rPr>
                <w:rFonts w:cs="Times New Roman"/>
              </w:rPr>
            </w:pPr>
            <w:r w:rsidRPr="00273CE9">
              <w:rPr>
                <w:rFonts w:cs="Times New Roman"/>
              </w:rPr>
              <w:t>15.19A</w:t>
            </w:r>
          </w:p>
        </w:tc>
        <w:tc>
          <w:tcPr>
            <w:tcW w:w="1350" w:type="dxa"/>
          </w:tcPr>
          <w:p w14:paraId="0A51D741" w14:textId="77777777" w:rsidR="00EC61FE" w:rsidRPr="00273CE9" w:rsidRDefault="00EC61FE" w:rsidP="003126F6">
            <w:pPr>
              <w:rPr>
                <w:rFonts w:cs="Times New Roman"/>
              </w:rPr>
            </w:pPr>
            <w:r w:rsidRPr="00273CE9">
              <w:rPr>
                <w:rFonts w:cs="Times New Roman"/>
              </w:rPr>
              <w:t>15.20</w:t>
            </w:r>
          </w:p>
        </w:tc>
        <w:tc>
          <w:tcPr>
            <w:tcW w:w="5035" w:type="dxa"/>
          </w:tcPr>
          <w:p w14:paraId="00BB9D40" w14:textId="77777777" w:rsidR="00EC61FE" w:rsidRPr="00273CE9" w:rsidRDefault="00EC61FE" w:rsidP="003126F6">
            <w:pPr>
              <w:rPr>
                <w:rFonts w:cs="Times New Roman"/>
              </w:rPr>
            </w:pPr>
            <w:r w:rsidRPr="00273CE9">
              <w:rPr>
                <w:rFonts w:cs="Times New Roman"/>
              </w:rPr>
              <w:t>Expressive Works</w:t>
            </w:r>
          </w:p>
        </w:tc>
      </w:tr>
      <w:tr w:rsidR="00EC61FE" w:rsidRPr="00273CE9" w14:paraId="2AA20CAB" w14:textId="77777777" w:rsidTr="003126F6">
        <w:tc>
          <w:tcPr>
            <w:tcW w:w="1345" w:type="dxa"/>
          </w:tcPr>
          <w:p w14:paraId="7CA83EE4" w14:textId="77777777" w:rsidR="00EC61FE" w:rsidRPr="00273CE9" w:rsidRDefault="00EC61FE" w:rsidP="003126F6">
            <w:pPr>
              <w:rPr>
                <w:rFonts w:cs="Times New Roman"/>
              </w:rPr>
            </w:pPr>
            <w:r w:rsidRPr="00273CE9">
              <w:rPr>
                <w:rFonts w:cs="Times New Roman"/>
              </w:rPr>
              <w:t>15.20</w:t>
            </w:r>
          </w:p>
        </w:tc>
        <w:tc>
          <w:tcPr>
            <w:tcW w:w="1620" w:type="dxa"/>
          </w:tcPr>
          <w:p w14:paraId="5D81B9F2" w14:textId="77777777" w:rsidR="00EC61FE" w:rsidRPr="00273CE9" w:rsidRDefault="00EC61FE" w:rsidP="003126F6">
            <w:pPr>
              <w:rPr>
                <w:rFonts w:cs="Times New Roman"/>
              </w:rPr>
            </w:pPr>
            <w:r w:rsidRPr="00273CE9">
              <w:rPr>
                <w:rFonts w:cs="Times New Roman"/>
              </w:rPr>
              <w:t>15.20</w:t>
            </w:r>
          </w:p>
        </w:tc>
        <w:tc>
          <w:tcPr>
            <w:tcW w:w="1350" w:type="dxa"/>
          </w:tcPr>
          <w:p w14:paraId="54C76256" w14:textId="77777777" w:rsidR="00EC61FE" w:rsidRPr="00273CE9" w:rsidRDefault="00EC61FE" w:rsidP="003126F6">
            <w:pPr>
              <w:rPr>
                <w:rFonts w:cs="Times New Roman"/>
              </w:rPr>
            </w:pPr>
            <w:r w:rsidRPr="00273CE9">
              <w:rPr>
                <w:rFonts w:cs="Times New Roman"/>
              </w:rPr>
              <w:t>15.21</w:t>
            </w:r>
          </w:p>
        </w:tc>
        <w:tc>
          <w:tcPr>
            <w:tcW w:w="5035" w:type="dxa"/>
          </w:tcPr>
          <w:p w14:paraId="00146CE4" w14:textId="77777777" w:rsidR="00EC61FE" w:rsidRPr="00273CE9" w:rsidRDefault="00EC61FE" w:rsidP="003126F6">
            <w:pPr>
              <w:rPr>
                <w:rFonts w:cs="Times New Roman"/>
              </w:rPr>
            </w:pPr>
            <w:r w:rsidRPr="00273CE9">
              <w:rPr>
                <w:rFonts w:cs="Times New Roman"/>
              </w:rPr>
              <w:t>Derivative Liability—Inducing Infringement</w:t>
            </w:r>
          </w:p>
        </w:tc>
      </w:tr>
      <w:tr w:rsidR="00EC61FE" w:rsidRPr="00273CE9" w14:paraId="6F510B25" w14:textId="77777777" w:rsidTr="003126F6">
        <w:tc>
          <w:tcPr>
            <w:tcW w:w="1345" w:type="dxa"/>
          </w:tcPr>
          <w:p w14:paraId="25CCCB8C" w14:textId="77777777" w:rsidR="00EC61FE" w:rsidRPr="00273CE9" w:rsidRDefault="00EC61FE" w:rsidP="003126F6">
            <w:pPr>
              <w:rPr>
                <w:rFonts w:cs="Times New Roman"/>
              </w:rPr>
            </w:pPr>
            <w:r w:rsidRPr="00273CE9">
              <w:rPr>
                <w:rFonts w:cs="Times New Roman"/>
              </w:rPr>
              <w:t>15.21</w:t>
            </w:r>
          </w:p>
        </w:tc>
        <w:tc>
          <w:tcPr>
            <w:tcW w:w="1620" w:type="dxa"/>
          </w:tcPr>
          <w:p w14:paraId="3CA98FA7" w14:textId="77777777" w:rsidR="00EC61FE" w:rsidRPr="00273CE9" w:rsidRDefault="00EC61FE" w:rsidP="003126F6">
            <w:pPr>
              <w:rPr>
                <w:rFonts w:cs="Times New Roman"/>
              </w:rPr>
            </w:pPr>
            <w:r w:rsidRPr="00273CE9">
              <w:rPr>
                <w:rFonts w:cs="Times New Roman"/>
              </w:rPr>
              <w:t>15.21</w:t>
            </w:r>
          </w:p>
        </w:tc>
        <w:tc>
          <w:tcPr>
            <w:tcW w:w="1350" w:type="dxa"/>
          </w:tcPr>
          <w:p w14:paraId="4FF8D2AF" w14:textId="77777777" w:rsidR="00EC61FE" w:rsidRPr="00273CE9" w:rsidRDefault="00EC61FE" w:rsidP="003126F6">
            <w:pPr>
              <w:rPr>
                <w:rFonts w:cs="Times New Roman"/>
              </w:rPr>
            </w:pPr>
            <w:r w:rsidRPr="00273CE9">
              <w:rPr>
                <w:rFonts w:cs="Times New Roman"/>
              </w:rPr>
              <w:t>15.22</w:t>
            </w:r>
          </w:p>
        </w:tc>
        <w:tc>
          <w:tcPr>
            <w:tcW w:w="5035" w:type="dxa"/>
          </w:tcPr>
          <w:p w14:paraId="17B75553" w14:textId="77777777" w:rsidR="00EC61FE" w:rsidRPr="00273CE9" w:rsidRDefault="00EC61FE" w:rsidP="003126F6">
            <w:pPr>
              <w:rPr>
                <w:rFonts w:cs="Times New Roman"/>
              </w:rPr>
            </w:pPr>
            <w:r w:rsidRPr="00273CE9">
              <w:rPr>
                <w:rFonts w:cs="Times New Roman"/>
              </w:rPr>
              <w:t>Derivative Liability—Contributory Infringement</w:t>
            </w:r>
          </w:p>
        </w:tc>
      </w:tr>
      <w:tr w:rsidR="00EC61FE" w:rsidRPr="00273CE9" w14:paraId="0F3E871F" w14:textId="77777777" w:rsidTr="003126F6">
        <w:tc>
          <w:tcPr>
            <w:tcW w:w="1345" w:type="dxa"/>
          </w:tcPr>
          <w:p w14:paraId="13257AE9" w14:textId="77777777" w:rsidR="00EC61FE" w:rsidRPr="00273CE9" w:rsidRDefault="00EC61FE" w:rsidP="003126F6">
            <w:pPr>
              <w:rPr>
                <w:rFonts w:cs="Times New Roman"/>
              </w:rPr>
            </w:pPr>
            <w:r w:rsidRPr="00273CE9">
              <w:rPr>
                <w:rFonts w:cs="Times New Roman"/>
              </w:rPr>
              <w:t>15.22</w:t>
            </w:r>
          </w:p>
        </w:tc>
        <w:tc>
          <w:tcPr>
            <w:tcW w:w="1620" w:type="dxa"/>
          </w:tcPr>
          <w:p w14:paraId="1FE908D9" w14:textId="77777777" w:rsidR="00EC61FE" w:rsidRPr="00273CE9" w:rsidRDefault="00EC61FE" w:rsidP="003126F6">
            <w:pPr>
              <w:rPr>
                <w:rFonts w:cs="Times New Roman"/>
              </w:rPr>
            </w:pPr>
            <w:r w:rsidRPr="00273CE9">
              <w:rPr>
                <w:rFonts w:cs="Times New Roman"/>
              </w:rPr>
              <w:t>15.22</w:t>
            </w:r>
          </w:p>
        </w:tc>
        <w:tc>
          <w:tcPr>
            <w:tcW w:w="1350" w:type="dxa"/>
          </w:tcPr>
          <w:p w14:paraId="4A053C41" w14:textId="77777777" w:rsidR="00EC61FE" w:rsidRPr="00273CE9" w:rsidRDefault="00EC61FE" w:rsidP="003126F6">
            <w:pPr>
              <w:rPr>
                <w:rFonts w:cs="Times New Roman"/>
              </w:rPr>
            </w:pPr>
            <w:r w:rsidRPr="00273CE9">
              <w:rPr>
                <w:rFonts w:cs="Times New Roman"/>
              </w:rPr>
              <w:t>15.23</w:t>
            </w:r>
          </w:p>
        </w:tc>
        <w:tc>
          <w:tcPr>
            <w:tcW w:w="5035" w:type="dxa"/>
          </w:tcPr>
          <w:p w14:paraId="45E57822" w14:textId="77777777" w:rsidR="00EC61FE" w:rsidRPr="00273CE9" w:rsidRDefault="00EC61FE" w:rsidP="003126F6">
            <w:pPr>
              <w:rPr>
                <w:rFonts w:cs="Times New Roman"/>
              </w:rPr>
            </w:pPr>
            <w:r w:rsidRPr="00273CE9">
              <w:rPr>
                <w:rFonts w:cs="Times New Roman"/>
              </w:rPr>
              <w:t>Defenses—Abandonment—Affirmative Defense—Defendant’s Burden of Proof (15 U.S.C. § 1127)</w:t>
            </w:r>
          </w:p>
        </w:tc>
      </w:tr>
      <w:tr w:rsidR="00EC61FE" w:rsidRPr="00273CE9" w14:paraId="2DAB2935" w14:textId="77777777" w:rsidTr="003126F6">
        <w:tc>
          <w:tcPr>
            <w:tcW w:w="1345" w:type="dxa"/>
          </w:tcPr>
          <w:p w14:paraId="6CD270C6" w14:textId="77777777" w:rsidR="00EC61FE" w:rsidRPr="00273CE9" w:rsidRDefault="00EC61FE" w:rsidP="003126F6">
            <w:pPr>
              <w:rPr>
                <w:rFonts w:cs="Times New Roman"/>
              </w:rPr>
            </w:pPr>
            <w:r w:rsidRPr="00273CE9">
              <w:rPr>
                <w:rFonts w:cs="Times New Roman"/>
              </w:rPr>
              <w:t>15.23</w:t>
            </w:r>
          </w:p>
        </w:tc>
        <w:tc>
          <w:tcPr>
            <w:tcW w:w="1620" w:type="dxa"/>
          </w:tcPr>
          <w:p w14:paraId="603D44D4" w14:textId="77777777" w:rsidR="00EC61FE" w:rsidRPr="00273CE9" w:rsidRDefault="00EC61FE" w:rsidP="003126F6">
            <w:pPr>
              <w:rPr>
                <w:rFonts w:cs="Times New Roman"/>
              </w:rPr>
            </w:pPr>
            <w:r w:rsidRPr="00273CE9">
              <w:rPr>
                <w:rFonts w:cs="Times New Roman"/>
              </w:rPr>
              <w:t>15.23</w:t>
            </w:r>
          </w:p>
        </w:tc>
        <w:tc>
          <w:tcPr>
            <w:tcW w:w="1350" w:type="dxa"/>
          </w:tcPr>
          <w:p w14:paraId="29865E3F" w14:textId="77777777" w:rsidR="00EC61FE" w:rsidRPr="00273CE9" w:rsidRDefault="00EC61FE" w:rsidP="003126F6">
            <w:pPr>
              <w:rPr>
                <w:rFonts w:cs="Times New Roman"/>
              </w:rPr>
            </w:pPr>
            <w:r w:rsidRPr="00273CE9">
              <w:rPr>
                <w:rFonts w:cs="Times New Roman"/>
              </w:rPr>
              <w:t>15.24</w:t>
            </w:r>
          </w:p>
        </w:tc>
        <w:tc>
          <w:tcPr>
            <w:tcW w:w="5035" w:type="dxa"/>
          </w:tcPr>
          <w:p w14:paraId="22DA5993" w14:textId="77777777" w:rsidR="00EC61FE" w:rsidRPr="00273CE9" w:rsidRDefault="00EC61FE" w:rsidP="003126F6">
            <w:pPr>
              <w:rPr>
                <w:rFonts w:cs="Times New Roman"/>
              </w:rPr>
            </w:pPr>
            <w:r w:rsidRPr="00273CE9">
              <w:rPr>
                <w:rFonts w:cs="Times New Roman"/>
              </w:rPr>
              <w:t>Defenses—Continuous Prior Use Within Remote Geographic Area—Affirmative Defense (15 U.S.C. § 1115(b)(5))</w:t>
            </w:r>
          </w:p>
        </w:tc>
      </w:tr>
      <w:tr w:rsidR="00EC61FE" w:rsidRPr="00273CE9" w14:paraId="47553AAF" w14:textId="77777777" w:rsidTr="003126F6">
        <w:tc>
          <w:tcPr>
            <w:tcW w:w="1345" w:type="dxa"/>
          </w:tcPr>
          <w:p w14:paraId="1A5890B3" w14:textId="77777777" w:rsidR="00EC61FE" w:rsidRPr="00273CE9" w:rsidRDefault="00EC61FE" w:rsidP="003126F6">
            <w:pPr>
              <w:rPr>
                <w:rFonts w:cs="Times New Roman"/>
              </w:rPr>
            </w:pPr>
            <w:r w:rsidRPr="00273CE9">
              <w:rPr>
                <w:rFonts w:cs="Times New Roman"/>
              </w:rPr>
              <w:t>15.24</w:t>
            </w:r>
          </w:p>
        </w:tc>
        <w:tc>
          <w:tcPr>
            <w:tcW w:w="1620" w:type="dxa"/>
          </w:tcPr>
          <w:p w14:paraId="52B3F094" w14:textId="77777777" w:rsidR="00EC61FE" w:rsidRPr="00273CE9" w:rsidRDefault="00EC61FE" w:rsidP="003126F6">
            <w:pPr>
              <w:rPr>
                <w:rFonts w:cs="Times New Roman"/>
              </w:rPr>
            </w:pPr>
            <w:r w:rsidRPr="00273CE9">
              <w:rPr>
                <w:rFonts w:cs="Times New Roman"/>
              </w:rPr>
              <w:t>15.24</w:t>
            </w:r>
          </w:p>
        </w:tc>
        <w:tc>
          <w:tcPr>
            <w:tcW w:w="1350" w:type="dxa"/>
          </w:tcPr>
          <w:p w14:paraId="5C213787" w14:textId="77777777" w:rsidR="00EC61FE" w:rsidRPr="00273CE9" w:rsidRDefault="00EC61FE" w:rsidP="003126F6">
            <w:pPr>
              <w:rPr>
                <w:rFonts w:cs="Times New Roman"/>
              </w:rPr>
            </w:pPr>
            <w:r w:rsidRPr="00273CE9">
              <w:rPr>
                <w:rFonts w:cs="Times New Roman"/>
              </w:rPr>
              <w:t>15.25</w:t>
            </w:r>
          </w:p>
        </w:tc>
        <w:tc>
          <w:tcPr>
            <w:tcW w:w="5035" w:type="dxa"/>
          </w:tcPr>
          <w:p w14:paraId="015C271D" w14:textId="77777777" w:rsidR="00EC61FE" w:rsidRPr="00273CE9" w:rsidRDefault="00EC61FE" w:rsidP="003126F6">
            <w:pPr>
              <w:rPr>
                <w:rFonts w:cs="Times New Roman"/>
              </w:rPr>
            </w:pPr>
            <w:r w:rsidRPr="00273CE9">
              <w:rPr>
                <w:rFonts w:cs="Times New Roman"/>
              </w:rPr>
              <w:t>Defenses— “Classic” Fair Use (15 U.S.C. § 1115(b)(4))</w:t>
            </w:r>
          </w:p>
        </w:tc>
      </w:tr>
      <w:tr w:rsidR="00EC61FE" w:rsidRPr="00273CE9" w14:paraId="76E49409" w14:textId="77777777" w:rsidTr="003126F6">
        <w:tc>
          <w:tcPr>
            <w:tcW w:w="1345" w:type="dxa"/>
          </w:tcPr>
          <w:p w14:paraId="2BB9196D" w14:textId="77777777" w:rsidR="00EC61FE" w:rsidRPr="00273CE9" w:rsidRDefault="00EC61FE" w:rsidP="003126F6">
            <w:pPr>
              <w:rPr>
                <w:rFonts w:cs="Times New Roman"/>
              </w:rPr>
            </w:pPr>
            <w:r w:rsidRPr="00273CE9">
              <w:rPr>
                <w:rFonts w:cs="Times New Roman"/>
              </w:rPr>
              <w:t>15.25</w:t>
            </w:r>
          </w:p>
        </w:tc>
        <w:tc>
          <w:tcPr>
            <w:tcW w:w="1620" w:type="dxa"/>
          </w:tcPr>
          <w:p w14:paraId="77114555" w14:textId="77777777" w:rsidR="00EC61FE" w:rsidRPr="00273CE9" w:rsidRDefault="00EC61FE" w:rsidP="003126F6">
            <w:pPr>
              <w:rPr>
                <w:rFonts w:cs="Times New Roman"/>
              </w:rPr>
            </w:pPr>
            <w:r w:rsidRPr="00273CE9">
              <w:rPr>
                <w:rFonts w:cs="Times New Roman"/>
              </w:rPr>
              <w:t>15.25</w:t>
            </w:r>
          </w:p>
        </w:tc>
        <w:tc>
          <w:tcPr>
            <w:tcW w:w="1350" w:type="dxa"/>
          </w:tcPr>
          <w:p w14:paraId="6C9DCCCE" w14:textId="77777777" w:rsidR="00EC61FE" w:rsidRPr="00273CE9" w:rsidRDefault="00EC61FE" w:rsidP="003126F6">
            <w:pPr>
              <w:rPr>
                <w:rFonts w:cs="Times New Roman"/>
              </w:rPr>
            </w:pPr>
            <w:r w:rsidRPr="00273CE9">
              <w:rPr>
                <w:rFonts w:cs="Times New Roman"/>
              </w:rPr>
              <w:t>15.26</w:t>
            </w:r>
          </w:p>
        </w:tc>
        <w:tc>
          <w:tcPr>
            <w:tcW w:w="5035" w:type="dxa"/>
          </w:tcPr>
          <w:p w14:paraId="7CC6EFA5" w14:textId="77777777" w:rsidR="00EC61FE" w:rsidRPr="00273CE9" w:rsidRDefault="00EC61FE" w:rsidP="003126F6">
            <w:pPr>
              <w:rPr>
                <w:rFonts w:cs="Times New Roman"/>
              </w:rPr>
            </w:pPr>
            <w:r w:rsidRPr="00273CE9">
              <w:rPr>
                <w:rFonts w:cs="Times New Roman"/>
              </w:rPr>
              <w:t>Defenses—Nominative Fair Use</w:t>
            </w:r>
          </w:p>
        </w:tc>
      </w:tr>
      <w:tr w:rsidR="00EC61FE" w:rsidRPr="00273CE9" w14:paraId="296CFF39" w14:textId="77777777" w:rsidTr="003126F6">
        <w:tc>
          <w:tcPr>
            <w:tcW w:w="1345" w:type="dxa"/>
          </w:tcPr>
          <w:p w14:paraId="3A100A4A" w14:textId="77777777" w:rsidR="00EC61FE" w:rsidRPr="00273CE9" w:rsidRDefault="00EC61FE" w:rsidP="003126F6">
            <w:pPr>
              <w:rPr>
                <w:rFonts w:cs="Times New Roman"/>
              </w:rPr>
            </w:pPr>
            <w:r w:rsidRPr="00273CE9">
              <w:rPr>
                <w:rFonts w:cs="Times New Roman"/>
              </w:rPr>
              <w:t>—</w:t>
            </w:r>
          </w:p>
        </w:tc>
        <w:tc>
          <w:tcPr>
            <w:tcW w:w="1620" w:type="dxa"/>
          </w:tcPr>
          <w:p w14:paraId="14679DD0" w14:textId="77777777" w:rsidR="00EC61FE" w:rsidRPr="00273CE9" w:rsidRDefault="00EC61FE" w:rsidP="003126F6">
            <w:pPr>
              <w:rPr>
                <w:rFonts w:cs="Times New Roman"/>
              </w:rPr>
            </w:pPr>
            <w:r w:rsidRPr="00273CE9">
              <w:rPr>
                <w:rFonts w:cs="Times New Roman"/>
              </w:rPr>
              <w:t>15.25A</w:t>
            </w:r>
          </w:p>
        </w:tc>
        <w:tc>
          <w:tcPr>
            <w:tcW w:w="1350" w:type="dxa"/>
          </w:tcPr>
          <w:p w14:paraId="661E01BD" w14:textId="77777777" w:rsidR="00EC61FE" w:rsidRPr="00273CE9" w:rsidRDefault="00EC61FE" w:rsidP="003126F6">
            <w:pPr>
              <w:rPr>
                <w:rFonts w:cs="Times New Roman"/>
              </w:rPr>
            </w:pPr>
            <w:r w:rsidRPr="00273CE9">
              <w:rPr>
                <w:rFonts w:cs="Times New Roman"/>
              </w:rPr>
              <w:t>15.27</w:t>
            </w:r>
          </w:p>
        </w:tc>
        <w:tc>
          <w:tcPr>
            <w:tcW w:w="5035" w:type="dxa"/>
          </w:tcPr>
          <w:p w14:paraId="28358CF3" w14:textId="77777777" w:rsidR="00EC61FE" w:rsidRPr="00273CE9" w:rsidRDefault="00EC61FE" w:rsidP="003126F6">
            <w:pPr>
              <w:rPr>
                <w:rFonts w:cs="Times New Roman"/>
              </w:rPr>
            </w:pPr>
            <w:r w:rsidRPr="00273CE9">
              <w:rPr>
                <w:rFonts w:cs="Times New Roman"/>
              </w:rPr>
              <w:t>Defenses—First Sale</w:t>
            </w:r>
          </w:p>
        </w:tc>
      </w:tr>
      <w:tr w:rsidR="00EC61FE" w:rsidRPr="00273CE9" w14:paraId="25FFFCDA" w14:textId="77777777" w:rsidTr="003126F6">
        <w:tc>
          <w:tcPr>
            <w:tcW w:w="1345" w:type="dxa"/>
          </w:tcPr>
          <w:p w14:paraId="55880958" w14:textId="77777777" w:rsidR="00EC61FE" w:rsidRPr="00273CE9" w:rsidRDefault="00EC61FE" w:rsidP="003126F6">
            <w:pPr>
              <w:rPr>
                <w:rFonts w:cs="Times New Roman"/>
              </w:rPr>
            </w:pPr>
            <w:r w:rsidRPr="00273CE9">
              <w:rPr>
                <w:rFonts w:cs="Times New Roman"/>
              </w:rPr>
              <w:t>15.26</w:t>
            </w:r>
          </w:p>
        </w:tc>
        <w:tc>
          <w:tcPr>
            <w:tcW w:w="1620" w:type="dxa"/>
          </w:tcPr>
          <w:p w14:paraId="5EDB546D" w14:textId="77777777" w:rsidR="00EC61FE" w:rsidRPr="00273CE9" w:rsidRDefault="00EC61FE" w:rsidP="003126F6">
            <w:pPr>
              <w:rPr>
                <w:rFonts w:cs="Times New Roman"/>
              </w:rPr>
            </w:pPr>
            <w:r w:rsidRPr="00273CE9">
              <w:rPr>
                <w:rFonts w:cs="Times New Roman"/>
              </w:rPr>
              <w:t>15.26</w:t>
            </w:r>
          </w:p>
        </w:tc>
        <w:tc>
          <w:tcPr>
            <w:tcW w:w="1350" w:type="dxa"/>
          </w:tcPr>
          <w:p w14:paraId="1F42C32D" w14:textId="77777777" w:rsidR="00EC61FE" w:rsidRPr="00273CE9" w:rsidRDefault="00EC61FE" w:rsidP="003126F6">
            <w:pPr>
              <w:rPr>
                <w:rFonts w:cs="Times New Roman"/>
              </w:rPr>
            </w:pPr>
            <w:r w:rsidRPr="00273CE9">
              <w:rPr>
                <w:rFonts w:cs="Times New Roman"/>
              </w:rPr>
              <w:t>15.28</w:t>
            </w:r>
          </w:p>
        </w:tc>
        <w:tc>
          <w:tcPr>
            <w:tcW w:w="5035" w:type="dxa"/>
          </w:tcPr>
          <w:p w14:paraId="5F464633" w14:textId="77777777" w:rsidR="00EC61FE" w:rsidRPr="00273CE9" w:rsidRDefault="00EC61FE" w:rsidP="003126F6">
            <w:pPr>
              <w:rPr>
                <w:rFonts w:cs="Times New Roman"/>
              </w:rPr>
            </w:pPr>
            <w:r w:rsidRPr="00273CE9">
              <w:rPr>
                <w:rFonts w:cs="Times New Roman"/>
              </w:rPr>
              <w:t>Trademark Damages—Actual or Statutory Notice (15 U.S.C. § 1111)</w:t>
            </w:r>
          </w:p>
        </w:tc>
      </w:tr>
      <w:tr w:rsidR="00EC61FE" w:rsidRPr="00273CE9" w14:paraId="3AA44F72" w14:textId="77777777" w:rsidTr="003126F6">
        <w:tc>
          <w:tcPr>
            <w:tcW w:w="1345" w:type="dxa"/>
          </w:tcPr>
          <w:p w14:paraId="6894075E" w14:textId="77777777" w:rsidR="00EC61FE" w:rsidRPr="00273CE9" w:rsidRDefault="00EC61FE" w:rsidP="003126F6">
            <w:pPr>
              <w:rPr>
                <w:rFonts w:cs="Times New Roman"/>
              </w:rPr>
            </w:pPr>
            <w:r w:rsidRPr="00273CE9">
              <w:rPr>
                <w:rFonts w:cs="Times New Roman"/>
              </w:rPr>
              <w:t>15.27</w:t>
            </w:r>
          </w:p>
        </w:tc>
        <w:tc>
          <w:tcPr>
            <w:tcW w:w="1620" w:type="dxa"/>
          </w:tcPr>
          <w:p w14:paraId="11EB88A1" w14:textId="77777777" w:rsidR="00EC61FE" w:rsidRPr="00273CE9" w:rsidRDefault="00EC61FE" w:rsidP="003126F6">
            <w:pPr>
              <w:rPr>
                <w:rFonts w:cs="Times New Roman"/>
              </w:rPr>
            </w:pPr>
            <w:r w:rsidRPr="00273CE9">
              <w:rPr>
                <w:rFonts w:cs="Times New Roman"/>
              </w:rPr>
              <w:t>15.27</w:t>
            </w:r>
          </w:p>
        </w:tc>
        <w:tc>
          <w:tcPr>
            <w:tcW w:w="1350" w:type="dxa"/>
          </w:tcPr>
          <w:p w14:paraId="13E5360C" w14:textId="77777777" w:rsidR="00EC61FE" w:rsidRPr="00273CE9" w:rsidRDefault="00EC61FE" w:rsidP="003126F6">
            <w:pPr>
              <w:rPr>
                <w:rFonts w:cs="Times New Roman"/>
              </w:rPr>
            </w:pPr>
            <w:r w:rsidRPr="00273CE9">
              <w:rPr>
                <w:rFonts w:cs="Times New Roman"/>
              </w:rPr>
              <w:t>15.29</w:t>
            </w:r>
          </w:p>
        </w:tc>
        <w:tc>
          <w:tcPr>
            <w:tcW w:w="5035" w:type="dxa"/>
          </w:tcPr>
          <w:p w14:paraId="5B572E9E" w14:textId="77777777" w:rsidR="00EC61FE" w:rsidRPr="00273CE9" w:rsidRDefault="00EC61FE" w:rsidP="003126F6">
            <w:pPr>
              <w:rPr>
                <w:rFonts w:cs="Times New Roman"/>
              </w:rPr>
            </w:pPr>
            <w:r w:rsidRPr="00273CE9">
              <w:rPr>
                <w:rFonts w:cs="Times New Roman"/>
              </w:rPr>
              <w:t>Trademark Damages—Plaintiff’s Actual Damages (15 U.S.C. § 1117(a))</w:t>
            </w:r>
          </w:p>
        </w:tc>
      </w:tr>
      <w:tr w:rsidR="00EC61FE" w:rsidRPr="00273CE9" w14:paraId="19E8F4BF" w14:textId="77777777" w:rsidTr="003126F6">
        <w:tc>
          <w:tcPr>
            <w:tcW w:w="1345" w:type="dxa"/>
          </w:tcPr>
          <w:p w14:paraId="4C889F68" w14:textId="77777777" w:rsidR="00EC61FE" w:rsidRPr="00273CE9" w:rsidRDefault="00EC61FE" w:rsidP="003126F6">
            <w:pPr>
              <w:rPr>
                <w:rFonts w:cs="Times New Roman"/>
              </w:rPr>
            </w:pPr>
            <w:r w:rsidRPr="00273CE9">
              <w:rPr>
                <w:rFonts w:cs="Times New Roman"/>
              </w:rPr>
              <w:t>15.28</w:t>
            </w:r>
          </w:p>
        </w:tc>
        <w:tc>
          <w:tcPr>
            <w:tcW w:w="1620" w:type="dxa"/>
          </w:tcPr>
          <w:p w14:paraId="30582E33" w14:textId="77777777" w:rsidR="00EC61FE" w:rsidRPr="00273CE9" w:rsidRDefault="00EC61FE" w:rsidP="003126F6">
            <w:pPr>
              <w:rPr>
                <w:rFonts w:cs="Times New Roman"/>
              </w:rPr>
            </w:pPr>
            <w:r w:rsidRPr="00273CE9">
              <w:rPr>
                <w:rFonts w:cs="Times New Roman"/>
              </w:rPr>
              <w:t>15.28</w:t>
            </w:r>
          </w:p>
        </w:tc>
        <w:tc>
          <w:tcPr>
            <w:tcW w:w="1350" w:type="dxa"/>
          </w:tcPr>
          <w:p w14:paraId="41F13710" w14:textId="77777777" w:rsidR="00EC61FE" w:rsidRPr="00273CE9" w:rsidRDefault="00EC61FE" w:rsidP="003126F6">
            <w:pPr>
              <w:rPr>
                <w:rFonts w:cs="Times New Roman"/>
              </w:rPr>
            </w:pPr>
            <w:r w:rsidRPr="00273CE9">
              <w:rPr>
                <w:rFonts w:cs="Times New Roman"/>
              </w:rPr>
              <w:t>15.30</w:t>
            </w:r>
          </w:p>
        </w:tc>
        <w:tc>
          <w:tcPr>
            <w:tcW w:w="5035" w:type="dxa"/>
          </w:tcPr>
          <w:p w14:paraId="5DDA472A" w14:textId="77777777" w:rsidR="00EC61FE" w:rsidRPr="00273CE9" w:rsidRDefault="00EC61FE" w:rsidP="003126F6">
            <w:pPr>
              <w:rPr>
                <w:rFonts w:cs="Times New Roman"/>
              </w:rPr>
            </w:pPr>
            <w:r w:rsidRPr="00273CE9">
              <w:rPr>
                <w:rFonts w:cs="Times New Roman"/>
              </w:rPr>
              <w:t>Trademark Damages—Plaintiff’s Statutory Damages (15 U.S.C. § 1117(c) and (d))</w:t>
            </w:r>
          </w:p>
        </w:tc>
      </w:tr>
      <w:tr w:rsidR="00EC61FE" w:rsidRPr="00273CE9" w14:paraId="7D1C8C16" w14:textId="77777777" w:rsidTr="003126F6">
        <w:tc>
          <w:tcPr>
            <w:tcW w:w="1345" w:type="dxa"/>
          </w:tcPr>
          <w:p w14:paraId="1901F8BD" w14:textId="77777777" w:rsidR="00EC61FE" w:rsidRPr="00273CE9" w:rsidRDefault="00EC61FE" w:rsidP="003126F6">
            <w:pPr>
              <w:rPr>
                <w:rFonts w:cs="Times New Roman"/>
              </w:rPr>
            </w:pPr>
            <w:r w:rsidRPr="00273CE9">
              <w:rPr>
                <w:rFonts w:cs="Times New Roman"/>
              </w:rPr>
              <w:t>15.29</w:t>
            </w:r>
          </w:p>
        </w:tc>
        <w:tc>
          <w:tcPr>
            <w:tcW w:w="1620" w:type="dxa"/>
          </w:tcPr>
          <w:p w14:paraId="7BB02AB8" w14:textId="77777777" w:rsidR="00EC61FE" w:rsidRPr="00273CE9" w:rsidRDefault="00EC61FE" w:rsidP="003126F6">
            <w:pPr>
              <w:rPr>
                <w:rFonts w:cs="Times New Roman"/>
              </w:rPr>
            </w:pPr>
            <w:r w:rsidRPr="00273CE9">
              <w:rPr>
                <w:rFonts w:cs="Times New Roman"/>
              </w:rPr>
              <w:t>15.29</w:t>
            </w:r>
          </w:p>
        </w:tc>
        <w:tc>
          <w:tcPr>
            <w:tcW w:w="1350" w:type="dxa"/>
          </w:tcPr>
          <w:p w14:paraId="3063E0A9" w14:textId="77777777" w:rsidR="00EC61FE" w:rsidRPr="00273CE9" w:rsidRDefault="00EC61FE" w:rsidP="003126F6">
            <w:pPr>
              <w:rPr>
                <w:rFonts w:cs="Times New Roman"/>
              </w:rPr>
            </w:pPr>
            <w:r w:rsidRPr="00273CE9">
              <w:rPr>
                <w:rFonts w:cs="Times New Roman"/>
              </w:rPr>
              <w:t>15.31</w:t>
            </w:r>
          </w:p>
        </w:tc>
        <w:tc>
          <w:tcPr>
            <w:tcW w:w="5035" w:type="dxa"/>
          </w:tcPr>
          <w:p w14:paraId="02AE8B24" w14:textId="77777777" w:rsidR="00EC61FE" w:rsidRPr="00273CE9" w:rsidRDefault="00EC61FE" w:rsidP="003126F6">
            <w:pPr>
              <w:rPr>
                <w:rFonts w:cs="Times New Roman"/>
              </w:rPr>
            </w:pPr>
            <w:r w:rsidRPr="00273CE9">
              <w:rPr>
                <w:rFonts w:cs="Times New Roman"/>
              </w:rPr>
              <w:t>Trademark Damages—Disgorgement of Defendant’s Profits (15 U.S.C. § 1117(a))</w:t>
            </w:r>
          </w:p>
        </w:tc>
      </w:tr>
      <w:tr w:rsidR="00EC61FE" w:rsidRPr="00273CE9" w14:paraId="700ABD07" w14:textId="77777777" w:rsidTr="003126F6">
        <w:tc>
          <w:tcPr>
            <w:tcW w:w="1345" w:type="dxa"/>
          </w:tcPr>
          <w:p w14:paraId="4B37280C" w14:textId="77777777" w:rsidR="00EC61FE" w:rsidRPr="00273CE9" w:rsidRDefault="00EC61FE" w:rsidP="003126F6">
            <w:pPr>
              <w:rPr>
                <w:rFonts w:cs="Times New Roman"/>
              </w:rPr>
            </w:pPr>
            <w:r w:rsidRPr="00273CE9">
              <w:rPr>
                <w:rFonts w:cs="Times New Roman"/>
              </w:rPr>
              <w:t>15.30</w:t>
            </w:r>
          </w:p>
        </w:tc>
        <w:tc>
          <w:tcPr>
            <w:tcW w:w="1620" w:type="dxa"/>
          </w:tcPr>
          <w:p w14:paraId="1E082F1A" w14:textId="77777777" w:rsidR="00EC61FE" w:rsidRPr="00273CE9" w:rsidRDefault="00EC61FE" w:rsidP="003126F6">
            <w:pPr>
              <w:rPr>
                <w:rFonts w:cs="Times New Roman"/>
              </w:rPr>
            </w:pPr>
            <w:r w:rsidRPr="00273CE9">
              <w:rPr>
                <w:rFonts w:cs="Times New Roman"/>
              </w:rPr>
              <w:t>15.30</w:t>
            </w:r>
          </w:p>
        </w:tc>
        <w:tc>
          <w:tcPr>
            <w:tcW w:w="1350" w:type="dxa"/>
          </w:tcPr>
          <w:p w14:paraId="3B03AAA6" w14:textId="77777777" w:rsidR="00EC61FE" w:rsidRPr="00273CE9" w:rsidRDefault="00EC61FE" w:rsidP="003126F6">
            <w:pPr>
              <w:rPr>
                <w:rFonts w:cs="Times New Roman"/>
              </w:rPr>
            </w:pPr>
            <w:r w:rsidRPr="00273CE9">
              <w:rPr>
                <w:rFonts w:cs="Times New Roman"/>
              </w:rPr>
              <w:t>15.32</w:t>
            </w:r>
          </w:p>
        </w:tc>
        <w:tc>
          <w:tcPr>
            <w:tcW w:w="5035" w:type="dxa"/>
          </w:tcPr>
          <w:p w14:paraId="16B6709C" w14:textId="77777777" w:rsidR="00EC61FE" w:rsidRPr="00273CE9" w:rsidRDefault="00EC61FE" w:rsidP="003126F6">
            <w:pPr>
              <w:rPr>
                <w:rFonts w:cs="Times New Roman"/>
              </w:rPr>
            </w:pPr>
            <w:r w:rsidRPr="00273CE9">
              <w:rPr>
                <w:rFonts w:cs="Times New Roman"/>
              </w:rPr>
              <w:t>Trademark Dilution (15 U.S.C. § 1125(c))</w:t>
            </w:r>
          </w:p>
        </w:tc>
      </w:tr>
      <w:tr w:rsidR="00EC61FE" w:rsidRPr="00273CE9" w14:paraId="1C92B005" w14:textId="77777777" w:rsidTr="003126F6">
        <w:tc>
          <w:tcPr>
            <w:tcW w:w="1345" w:type="dxa"/>
          </w:tcPr>
          <w:p w14:paraId="6702A3C3" w14:textId="77777777" w:rsidR="00EC61FE" w:rsidRPr="00273CE9" w:rsidRDefault="00EC61FE" w:rsidP="003126F6">
            <w:pPr>
              <w:rPr>
                <w:rFonts w:cs="Times New Roman"/>
              </w:rPr>
            </w:pPr>
            <w:r w:rsidRPr="00273CE9">
              <w:rPr>
                <w:rFonts w:cs="Times New Roman"/>
              </w:rPr>
              <w:t>15.31</w:t>
            </w:r>
          </w:p>
        </w:tc>
        <w:tc>
          <w:tcPr>
            <w:tcW w:w="1620" w:type="dxa"/>
          </w:tcPr>
          <w:p w14:paraId="6B51512B" w14:textId="77777777" w:rsidR="00EC61FE" w:rsidRPr="00273CE9" w:rsidRDefault="00EC61FE" w:rsidP="003126F6">
            <w:pPr>
              <w:rPr>
                <w:rFonts w:cs="Times New Roman"/>
              </w:rPr>
            </w:pPr>
            <w:r w:rsidRPr="00273CE9">
              <w:rPr>
                <w:rFonts w:cs="Times New Roman"/>
              </w:rPr>
              <w:t>15.31</w:t>
            </w:r>
          </w:p>
        </w:tc>
        <w:tc>
          <w:tcPr>
            <w:tcW w:w="1350" w:type="dxa"/>
          </w:tcPr>
          <w:p w14:paraId="29A3DCF4" w14:textId="77777777" w:rsidR="00EC61FE" w:rsidRPr="00273CE9" w:rsidRDefault="00EC61FE" w:rsidP="003126F6">
            <w:pPr>
              <w:rPr>
                <w:rFonts w:cs="Times New Roman"/>
              </w:rPr>
            </w:pPr>
            <w:r w:rsidRPr="00273CE9">
              <w:rPr>
                <w:rFonts w:cs="Times New Roman"/>
              </w:rPr>
              <w:t>15.33</w:t>
            </w:r>
          </w:p>
        </w:tc>
        <w:tc>
          <w:tcPr>
            <w:tcW w:w="5035" w:type="dxa"/>
          </w:tcPr>
          <w:p w14:paraId="0E6039B6" w14:textId="77777777" w:rsidR="00EC61FE" w:rsidRPr="00273CE9" w:rsidRDefault="00EC61FE" w:rsidP="003126F6">
            <w:pPr>
              <w:rPr>
                <w:rFonts w:cs="Times New Roman"/>
              </w:rPr>
            </w:pPr>
            <w:r w:rsidRPr="00273CE9">
              <w:rPr>
                <w:rFonts w:cs="Times New Roman"/>
              </w:rPr>
              <w:t>Anti-Cybersquatting (15 U.S.C. § 1125(d))</w:t>
            </w:r>
          </w:p>
        </w:tc>
      </w:tr>
    </w:tbl>
    <w:p w14:paraId="42776C6F" w14:textId="77777777" w:rsidR="00EC61FE" w:rsidRPr="00273CE9" w:rsidRDefault="00EC61FE" w:rsidP="00EC61FE">
      <w:pPr>
        <w:rPr>
          <w:rFonts w:cs="Times New Roman"/>
        </w:rPr>
      </w:pPr>
    </w:p>
    <w:p w14:paraId="7A87B623" w14:textId="13AF93FE" w:rsidR="00EC61FE" w:rsidRPr="00273CE9" w:rsidRDefault="00EC61FE" w:rsidP="00EC61FE">
      <w:pPr>
        <w:rPr>
          <w:rFonts w:cs="Times New Roman"/>
        </w:rPr>
      </w:pPr>
      <w:r w:rsidRPr="00EC61FE">
        <w:rPr>
          <w:rFonts w:cs="Times New Roman"/>
          <w:b/>
          <w:bCs/>
        </w:rPr>
        <w:t>Chapter 17: Copyright</w:t>
      </w:r>
    </w:p>
    <w:p w14:paraId="4363586C" w14:textId="77777777" w:rsidR="00EC61FE" w:rsidRPr="00273CE9" w:rsidRDefault="00EC61FE" w:rsidP="00EC61FE">
      <w:pPr>
        <w:rPr>
          <w:rFonts w:cs="Times New Roman"/>
        </w:rPr>
      </w:pPr>
    </w:p>
    <w:tbl>
      <w:tblPr>
        <w:tblStyle w:val="TableGrid"/>
        <w:tblW w:w="0" w:type="auto"/>
        <w:tblLook w:val="04A0" w:firstRow="1" w:lastRow="0" w:firstColumn="1" w:lastColumn="0" w:noHBand="0" w:noVBand="1"/>
      </w:tblPr>
      <w:tblGrid>
        <w:gridCol w:w="1337"/>
        <w:gridCol w:w="1607"/>
        <w:gridCol w:w="1343"/>
        <w:gridCol w:w="4973"/>
      </w:tblGrid>
      <w:tr w:rsidR="00EC61FE" w:rsidRPr="00273CE9" w14:paraId="19F8B78C" w14:textId="77777777" w:rsidTr="00B50923">
        <w:trPr>
          <w:tblHeader/>
        </w:trPr>
        <w:tc>
          <w:tcPr>
            <w:tcW w:w="1345" w:type="dxa"/>
            <w:shd w:val="clear" w:color="auto" w:fill="D0CECE" w:themeFill="background2" w:themeFillShade="E6"/>
          </w:tcPr>
          <w:p w14:paraId="5543FCE0"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2C490ED1"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09CA41EB"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2F4F8D9E" w14:textId="77777777" w:rsidR="00EC61FE" w:rsidRPr="00273CE9" w:rsidRDefault="00EC61FE" w:rsidP="003126F6">
            <w:pPr>
              <w:rPr>
                <w:rFonts w:cs="Times New Roman"/>
                <w:b/>
                <w:bCs/>
              </w:rPr>
            </w:pPr>
            <w:r w:rsidRPr="00273CE9">
              <w:rPr>
                <w:rFonts w:cs="Times New Roman"/>
                <w:b/>
                <w:bCs/>
              </w:rPr>
              <w:t>Title</w:t>
            </w:r>
          </w:p>
        </w:tc>
      </w:tr>
      <w:tr w:rsidR="00EC61FE" w:rsidRPr="00273CE9" w14:paraId="5C38D238" w14:textId="77777777" w:rsidTr="003126F6">
        <w:tc>
          <w:tcPr>
            <w:tcW w:w="1345" w:type="dxa"/>
          </w:tcPr>
          <w:p w14:paraId="75A644D5" w14:textId="77777777" w:rsidR="00EC61FE" w:rsidRPr="00273CE9" w:rsidRDefault="00EC61FE" w:rsidP="003126F6">
            <w:pPr>
              <w:rPr>
                <w:rFonts w:cs="Times New Roman"/>
              </w:rPr>
            </w:pPr>
            <w:r w:rsidRPr="00273CE9">
              <w:rPr>
                <w:rFonts w:cs="Times New Roman"/>
              </w:rPr>
              <w:t>17.1</w:t>
            </w:r>
          </w:p>
        </w:tc>
        <w:tc>
          <w:tcPr>
            <w:tcW w:w="1620" w:type="dxa"/>
          </w:tcPr>
          <w:p w14:paraId="06AB8A75" w14:textId="77777777" w:rsidR="00EC61FE" w:rsidRPr="00273CE9" w:rsidRDefault="00EC61FE" w:rsidP="003126F6">
            <w:pPr>
              <w:rPr>
                <w:rFonts w:cs="Times New Roman"/>
              </w:rPr>
            </w:pPr>
            <w:r w:rsidRPr="00273CE9">
              <w:rPr>
                <w:rFonts w:cs="Times New Roman"/>
              </w:rPr>
              <w:t>17.1</w:t>
            </w:r>
          </w:p>
        </w:tc>
        <w:tc>
          <w:tcPr>
            <w:tcW w:w="1350" w:type="dxa"/>
          </w:tcPr>
          <w:p w14:paraId="7DEB4D58" w14:textId="77777777" w:rsidR="00EC61FE" w:rsidRPr="00273CE9" w:rsidRDefault="00EC61FE" w:rsidP="003126F6">
            <w:pPr>
              <w:rPr>
                <w:rFonts w:cs="Times New Roman"/>
              </w:rPr>
            </w:pPr>
            <w:r w:rsidRPr="00273CE9">
              <w:rPr>
                <w:rFonts w:cs="Times New Roman"/>
              </w:rPr>
              <w:t>17.1</w:t>
            </w:r>
          </w:p>
        </w:tc>
        <w:tc>
          <w:tcPr>
            <w:tcW w:w="5035" w:type="dxa"/>
          </w:tcPr>
          <w:p w14:paraId="47031491" w14:textId="77777777" w:rsidR="00EC61FE" w:rsidRPr="00273CE9" w:rsidRDefault="00EC61FE" w:rsidP="003126F6">
            <w:pPr>
              <w:rPr>
                <w:rFonts w:cs="Times New Roman"/>
              </w:rPr>
            </w:pPr>
            <w:r w:rsidRPr="00273CE9">
              <w:rPr>
                <w:rFonts w:cs="Times New Roman"/>
              </w:rPr>
              <w:t>Preliminary Instruction—Copyright</w:t>
            </w:r>
          </w:p>
        </w:tc>
      </w:tr>
      <w:tr w:rsidR="00EC61FE" w:rsidRPr="00273CE9" w14:paraId="69276311" w14:textId="77777777" w:rsidTr="003126F6">
        <w:tc>
          <w:tcPr>
            <w:tcW w:w="1345" w:type="dxa"/>
          </w:tcPr>
          <w:p w14:paraId="0AE59C7E" w14:textId="77777777" w:rsidR="00EC61FE" w:rsidRPr="00273CE9" w:rsidRDefault="00EC61FE" w:rsidP="003126F6">
            <w:pPr>
              <w:rPr>
                <w:rFonts w:cs="Times New Roman"/>
              </w:rPr>
            </w:pPr>
            <w:r w:rsidRPr="00273CE9">
              <w:rPr>
                <w:rFonts w:cs="Times New Roman"/>
              </w:rPr>
              <w:t>17.2</w:t>
            </w:r>
          </w:p>
        </w:tc>
        <w:tc>
          <w:tcPr>
            <w:tcW w:w="1620" w:type="dxa"/>
          </w:tcPr>
          <w:p w14:paraId="25B141B3" w14:textId="77777777" w:rsidR="00EC61FE" w:rsidRPr="00273CE9" w:rsidRDefault="00EC61FE" w:rsidP="003126F6">
            <w:pPr>
              <w:rPr>
                <w:rFonts w:cs="Times New Roman"/>
              </w:rPr>
            </w:pPr>
            <w:r w:rsidRPr="00273CE9">
              <w:rPr>
                <w:rFonts w:cs="Times New Roman"/>
              </w:rPr>
              <w:t>17.2</w:t>
            </w:r>
          </w:p>
        </w:tc>
        <w:tc>
          <w:tcPr>
            <w:tcW w:w="1350" w:type="dxa"/>
          </w:tcPr>
          <w:p w14:paraId="1C324526" w14:textId="77777777" w:rsidR="00EC61FE" w:rsidRPr="00273CE9" w:rsidRDefault="00EC61FE" w:rsidP="003126F6">
            <w:pPr>
              <w:rPr>
                <w:rFonts w:cs="Times New Roman"/>
              </w:rPr>
            </w:pPr>
            <w:r w:rsidRPr="00273CE9">
              <w:rPr>
                <w:rFonts w:cs="Times New Roman"/>
              </w:rPr>
              <w:t>17.2</w:t>
            </w:r>
          </w:p>
        </w:tc>
        <w:tc>
          <w:tcPr>
            <w:tcW w:w="5035" w:type="dxa"/>
          </w:tcPr>
          <w:p w14:paraId="4F938378" w14:textId="77777777" w:rsidR="00EC61FE" w:rsidRPr="00273CE9" w:rsidRDefault="00EC61FE" w:rsidP="003126F6">
            <w:pPr>
              <w:rPr>
                <w:rFonts w:cs="Times New Roman"/>
              </w:rPr>
            </w:pPr>
            <w:r w:rsidRPr="00273CE9">
              <w:rPr>
                <w:rFonts w:cs="Times New Roman"/>
              </w:rPr>
              <w:t>Copyright—Defined (17 U.S.C. § 106)</w:t>
            </w:r>
          </w:p>
        </w:tc>
      </w:tr>
      <w:tr w:rsidR="00EC61FE" w:rsidRPr="00273CE9" w14:paraId="33003076" w14:textId="77777777" w:rsidTr="003126F6">
        <w:tc>
          <w:tcPr>
            <w:tcW w:w="1345" w:type="dxa"/>
          </w:tcPr>
          <w:p w14:paraId="2710602A" w14:textId="77777777" w:rsidR="00EC61FE" w:rsidRPr="00273CE9" w:rsidRDefault="00EC61FE" w:rsidP="003126F6">
            <w:pPr>
              <w:rPr>
                <w:rFonts w:cs="Times New Roman"/>
              </w:rPr>
            </w:pPr>
            <w:r w:rsidRPr="00273CE9">
              <w:rPr>
                <w:rFonts w:cs="Times New Roman"/>
              </w:rPr>
              <w:t>17.3</w:t>
            </w:r>
          </w:p>
        </w:tc>
        <w:tc>
          <w:tcPr>
            <w:tcW w:w="1620" w:type="dxa"/>
          </w:tcPr>
          <w:p w14:paraId="3A45EEB2" w14:textId="77777777" w:rsidR="00EC61FE" w:rsidRPr="00273CE9" w:rsidRDefault="00EC61FE" w:rsidP="003126F6">
            <w:pPr>
              <w:rPr>
                <w:rFonts w:cs="Times New Roman"/>
              </w:rPr>
            </w:pPr>
            <w:r w:rsidRPr="00273CE9">
              <w:rPr>
                <w:rFonts w:cs="Times New Roman"/>
              </w:rPr>
              <w:t>17.3</w:t>
            </w:r>
          </w:p>
        </w:tc>
        <w:tc>
          <w:tcPr>
            <w:tcW w:w="1350" w:type="dxa"/>
          </w:tcPr>
          <w:p w14:paraId="27E2E86D" w14:textId="77777777" w:rsidR="00EC61FE" w:rsidRPr="00273CE9" w:rsidRDefault="00EC61FE" w:rsidP="003126F6">
            <w:pPr>
              <w:rPr>
                <w:rFonts w:cs="Times New Roman"/>
              </w:rPr>
            </w:pPr>
            <w:r w:rsidRPr="00273CE9">
              <w:rPr>
                <w:rFonts w:cs="Times New Roman"/>
              </w:rPr>
              <w:t>17.3</w:t>
            </w:r>
          </w:p>
        </w:tc>
        <w:tc>
          <w:tcPr>
            <w:tcW w:w="5035" w:type="dxa"/>
          </w:tcPr>
          <w:p w14:paraId="46FB5532" w14:textId="77777777" w:rsidR="00EC61FE" w:rsidRPr="00273CE9" w:rsidRDefault="00EC61FE" w:rsidP="003126F6">
            <w:pPr>
              <w:rPr>
                <w:rFonts w:cs="Times New Roman"/>
              </w:rPr>
            </w:pPr>
            <w:r w:rsidRPr="00273CE9">
              <w:rPr>
                <w:rFonts w:cs="Times New Roman"/>
              </w:rPr>
              <w:t>Copyright—Subject Matter—Generally (17 U.S.C. § 102)</w:t>
            </w:r>
          </w:p>
        </w:tc>
      </w:tr>
      <w:tr w:rsidR="00EC61FE" w:rsidRPr="00273CE9" w14:paraId="00976B57" w14:textId="77777777" w:rsidTr="003126F6">
        <w:tc>
          <w:tcPr>
            <w:tcW w:w="1345" w:type="dxa"/>
          </w:tcPr>
          <w:p w14:paraId="294FFBC8" w14:textId="77777777" w:rsidR="00EC61FE" w:rsidRPr="00273CE9" w:rsidRDefault="00EC61FE" w:rsidP="003126F6">
            <w:pPr>
              <w:rPr>
                <w:rFonts w:cs="Times New Roman"/>
              </w:rPr>
            </w:pPr>
            <w:r w:rsidRPr="00273CE9">
              <w:rPr>
                <w:rFonts w:cs="Times New Roman"/>
              </w:rPr>
              <w:t>17.4</w:t>
            </w:r>
          </w:p>
        </w:tc>
        <w:tc>
          <w:tcPr>
            <w:tcW w:w="1620" w:type="dxa"/>
          </w:tcPr>
          <w:p w14:paraId="7C7AE41F" w14:textId="77777777" w:rsidR="00EC61FE" w:rsidRPr="00273CE9" w:rsidRDefault="00EC61FE" w:rsidP="003126F6">
            <w:pPr>
              <w:rPr>
                <w:rFonts w:cs="Times New Roman"/>
              </w:rPr>
            </w:pPr>
            <w:r w:rsidRPr="00273CE9">
              <w:rPr>
                <w:rFonts w:cs="Times New Roman"/>
              </w:rPr>
              <w:t>17.4</w:t>
            </w:r>
          </w:p>
        </w:tc>
        <w:tc>
          <w:tcPr>
            <w:tcW w:w="1350" w:type="dxa"/>
          </w:tcPr>
          <w:p w14:paraId="118E6982" w14:textId="77777777" w:rsidR="00EC61FE" w:rsidRPr="00273CE9" w:rsidRDefault="00EC61FE" w:rsidP="003126F6">
            <w:pPr>
              <w:rPr>
                <w:rFonts w:cs="Times New Roman"/>
              </w:rPr>
            </w:pPr>
            <w:r w:rsidRPr="00273CE9">
              <w:rPr>
                <w:rFonts w:cs="Times New Roman"/>
              </w:rPr>
              <w:t>17.4</w:t>
            </w:r>
          </w:p>
        </w:tc>
        <w:tc>
          <w:tcPr>
            <w:tcW w:w="5035" w:type="dxa"/>
          </w:tcPr>
          <w:p w14:paraId="1F72579A" w14:textId="77777777" w:rsidR="00EC61FE" w:rsidRPr="00273CE9" w:rsidRDefault="00EC61FE" w:rsidP="003126F6">
            <w:pPr>
              <w:rPr>
                <w:rFonts w:cs="Times New Roman"/>
              </w:rPr>
            </w:pPr>
            <w:r w:rsidRPr="00273CE9">
              <w:rPr>
                <w:rFonts w:cs="Times New Roman"/>
              </w:rPr>
              <w:t>Copyright—Subject Matter—Ideas and Expression (17 U.S.C. § 102(b))</w:t>
            </w:r>
          </w:p>
        </w:tc>
      </w:tr>
      <w:tr w:rsidR="00EC61FE" w:rsidRPr="00273CE9" w14:paraId="76CFC620" w14:textId="77777777" w:rsidTr="003126F6">
        <w:tc>
          <w:tcPr>
            <w:tcW w:w="1345" w:type="dxa"/>
          </w:tcPr>
          <w:p w14:paraId="4BFDAB84" w14:textId="77777777" w:rsidR="00EC61FE" w:rsidRPr="00273CE9" w:rsidRDefault="00EC61FE" w:rsidP="003126F6">
            <w:pPr>
              <w:rPr>
                <w:rFonts w:cs="Times New Roman"/>
              </w:rPr>
            </w:pPr>
            <w:r w:rsidRPr="00273CE9">
              <w:rPr>
                <w:rFonts w:cs="Times New Roman"/>
              </w:rPr>
              <w:t>17.5</w:t>
            </w:r>
          </w:p>
        </w:tc>
        <w:tc>
          <w:tcPr>
            <w:tcW w:w="1620" w:type="dxa"/>
          </w:tcPr>
          <w:p w14:paraId="5DA9C8A9" w14:textId="77777777" w:rsidR="00EC61FE" w:rsidRPr="00273CE9" w:rsidRDefault="00EC61FE" w:rsidP="003126F6">
            <w:pPr>
              <w:rPr>
                <w:rFonts w:cs="Times New Roman"/>
              </w:rPr>
            </w:pPr>
            <w:r w:rsidRPr="00273CE9">
              <w:rPr>
                <w:rFonts w:cs="Times New Roman"/>
              </w:rPr>
              <w:t>17.5</w:t>
            </w:r>
          </w:p>
        </w:tc>
        <w:tc>
          <w:tcPr>
            <w:tcW w:w="1350" w:type="dxa"/>
          </w:tcPr>
          <w:p w14:paraId="5583DB4D" w14:textId="77777777" w:rsidR="00EC61FE" w:rsidRPr="00273CE9" w:rsidRDefault="00EC61FE" w:rsidP="003126F6">
            <w:pPr>
              <w:rPr>
                <w:rFonts w:cs="Times New Roman"/>
              </w:rPr>
            </w:pPr>
            <w:r w:rsidRPr="00273CE9">
              <w:rPr>
                <w:rFonts w:cs="Times New Roman"/>
              </w:rPr>
              <w:t>17.5</w:t>
            </w:r>
          </w:p>
        </w:tc>
        <w:tc>
          <w:tcPr>
            <w:tcW w:w="5035" w:type="dxa"/>
          </w:tcPr>
          <w:p w14:paraId="3E8105FE" w14:textId="77777777" w:rsidR="00EC61FE" w:rsidRPr="00273CE9" w:rsidRDefault="00EC61FE" w:rsidP="003126F6">
            <w:pPr>
              <w:rPr>
                <w:rFonts w:cs="Times New Roman"/>
              </w:rPr>
            </w:pPr>
            <w:r w:rsidRPr="00273CE9">
              <w:rPr>
                <w:rFonts w:cs="Times New Roman"/>
              </w:rPr>
              <w:t>Copyright Infringement—Elements—Ownership and Copying (17 U.S.C. § 501(a)-(b))</w:t>
            </w:r>
          </w:p>
        </w:tc>
      </w:tr>
      <w:tr w:rsidR="00EC61FE" w:rsidRPr="00273CE9" w14:paraId="09D03661" w14:textId="77777777" w:rsidTr="003126F6">
        <w:tc>
          <w:tcPr>
            <w:tcW w:w="1345" w:type="dxa"/>
          </w:tcPr>
          <w:p w14:paraId="1BF0A633" w14:textId="77777777" w:rsidR="00EC61FE" w:rsidRPr="00273CE9" w:rsidRDefault="00EC61FE" w:rsidP="003126F6">
            <w:pPr>
              <w:rPr>
                <w:rFonts w:cs="Times New Roman"/>
              </w:rPr>
            </w:pPr>
            <w:r w:rsidRPr="00273CE9">
              <w:rPr>
                <w:rFonts w:cs="Times New Roman"/>
              </w:rPr>
              <w:t>17.6</w:t>
            </w:r>
          </w:p>
        </w:tc>
        <w:tc>
          <w:tcPr>
            <w:tcW w:w="1620" w:type="dxa"/>
          </w:tcPr>
          <w:p w14:paraId="7A24ADA4" w14:textId="77777777" w:rsidR="00EC61FE" w:rsidRPr="00273CE9" w:rsidRDefault="00EC61FE" w:rsidP="003126F6">
            <w:pPr>
              <w:rPr>
                <w:rFonts w:cs="Times New Roman"/>
              </w:rPr>
            </w:pPr>
            <w:r w:rsidRPr="00273CE9">
              <w:rPr>
                <w:rFonts w:cs="Times New Roman"/>
              </w:rPr>
              <w:t>17.6</w:t>
            </w:r>
          </w:p>
        </w:tc>
        <w:tc>
          <w:tcPr>
            <w:tcW w:w="1350" w:type="dxa"/>
          </w:tcPr>
          <w:p w14:paraId="6C2678D7" w14:textId="77777777" w:rsidR="00EC61FE" w:rsidRPr="00273CE9" w:rsidRDefault="00EC61FE" w:rsidP="003126F6">
            <w:pPr>
              <w:rPr>
                <w:rFonts w:cs="Times New Roman"/>
              </w:rPr>
            </w:pPr>
            <w:r w:rsidRPr="00273CE9">
              <w:rPr>
                <w:rFonts w:cs="Times New Roman"/>
              </w:rPr>
              <w:t>17.6</w:t>
            </w:r>
          </w:p>
        </w:tc>
        <w:tc>
          <w:tcPr>
            <w:tcW w:w="5035" w:type="dxa"/>
          </w:tcPr>
          <w:p w14:paraId="1AF6D182" w14:textId="77777777" w:rsidR="00EC61FE" w:rsidRPr="00273CE9" w:rsidRDefault="00EC61FE" w:rsidP="003126F6">
            <w:pPr>
              <w:rPr>
                <w:rFonts w:cs="Times New Roman"/>
              </w:rPr>
            </w:pPr>
            <w:r w:rsidRPr="00273CE9">
              <w:rPr>
                <w:rFonts w:cs="Times New Roman"/>
              </w:rPr>
              <w:t>Copyright Infringement—Ownership of Valid Copyright—Definition (17 U.S.C. §§ 201–205)</w:t>
            </w:r>
          </w:p>
        </w:tc>
      </w:tr>
      <w:tr w:rsidR="00EC61FE" w:rsidRPr="00273CE9" w14:paraId="7DEAD569" w14:textId="77777777" w:rsidTr="003126F6">
        <w:tc>
          <w:tcPr>
            <w:tcW w:w="1345" w:type="dxa"/>
          </w:tcPr>
          <w:p w14:paraId="13C2EC07" w14:textId="77777777" w:rsidR="00EC61FE" w:rsidRPr="00273CE9" w:rsidRDefault="00EC61FE" w:rsidP="003126F6">
            <w:pPr>
              <w:rPr>
                <w:rFonts w:cs="Times New Roman"/>
              </w:rPr>
            </w:pPr>
            <w:r w:rsidRPr="00273CE9">
              <w:rPr>
                <w:rFonts w:cs="Times New Roman"/>
              </w:rPr>
              <w:t>17.7</w:t>
            </w:r>
          </w:p>
        </w:tc>
        <w:tc>
          <w:tcPr>
            <w:tcW w:w="1620" w:type="dxa"/>
          </w:tcPr>
          <w:p w14:paraId="37E57247" w14:textId="77777777" w:rsidR="00EC61FE" w:rsidRPr="00273CE9" w:rsidRDefault="00EC61FE" w:rsidP="003126F6">
            <w:pPr>
              <w:rPr>
                <w:rFonts w:cs="Times New Roman"/>
              </w:rPr>
            </w:pPr>
            <w:r w:rsidRPr="00273CE9">
              <w:rPr>
                <w:rFonts w:cs="Times New Roman"/>
              </w:rPr>
              <w:t>17.7</w:t>
            </w:r>
          </w:p>
        </w:tc>
        <w:tc>
          <w:tcPr>
            <w:tcW w:w="1350" w:type="dxa"/>
          </w:tcPr>
          <w:p w14:paraId="785DEE4C" w14:textId="77777777" w:rsidR="00EC61FE" w:rsidRPr="00273CE9" w:rsidRDefault="00EC61FE" w:rsidP="003126F6">
            <w:pPr>
              <w:rPr>
                <w:rFonts w:cs="Times New Roman"/>
              </w:rPr>
            </w:pPr>
            <w:r w:rsidRPr="00273CE9">
              <w:rPr>
                <w:rFonts w:cs="Times New Roman"/>
              </w:rPr>
              <w:t>17.7</w:t>
            </w:r>
          </w:p>
        </w:tc>
        <w:tc>
          <w:tcPr>
            <w:tcW w:w="5035" w:type="dxa"/>
          </w:tcPr>
          <w:p w14:paraId="468BD803" w14:textId="77777777" w:rsidR="00EC61FE" w:rsidRPr="00273CE9" w:rsidRDefault="00EC61FE" w:rsidP="003126F6">
            <w:pPr>
              <w:rPr>
                <w:rFonts w:cs="Times New Roman"/>
              </w:rPr>
            </w:pPr>
            <w:r w:rsidRPr="00273CE9">
              <w:rPr>
                <w:rFonts w:cs="Times New Roman"/>
              </w:rPr>
              <w:t>Copyright Infringement—Copyright Registration Certificate (17 U.S.C. § 410(c))</w:t>
            </w:r>
          </w:p>
        </w:tc>
      </w:tr>
      <w:tr w:rsidR="00EC61FE" w:rsidRPr="00273CE9" w14:paraId="5E912D29" w14:textId="77777777" w:rsidTr="003126F6">
        <w:tc>
          <w:tcPr>
            <w:tcW w:w="1345" w:type="dxa"/>
          </w:tcPr>
          <w:p w14:paraId="350A13AF" w14:textId="77777777" w:rsidR="00EC61FE" w:rsidRPr="00273CE9" w:rsidRDefault="00EC61FE" w:rsidP="003126F6">
            <w:pPr>
              <w:rPr>
                <w:rFonts w:cs="Times New Roman"/>
              </w:rPr>
            </w:pPr>
            <w:r w:rsidRPr="00273CE9">
              <w:rPr>
                <w:rFonts w:cs="Times New Roman"/>
              </w:rPr>
              <w:t>17.8</w:t>
            </w:r>
          </w:p>
        </w:tc>
        <w:tc>
          <w:tcPr>
            <w:tcW w:w="1620" w:type="dxa"/>
          </w:tcPr>
          <w:p w14:paraId="5EA1E1D6" w14:textId="77777777" w:rsidR="00EC61FE" w:rsidRPr="00273CE9" w:rsidRDefault="00EC61FE" w:rsidP="003126F6">
            <w:pPr>
              <w:rPr>
                <w:rFonts w:cs="Times New Roman"/>
              </w:rPr>
            </w:pPr>
            <w:r w:rsidRPr="00273CE9">
              <w:rPr>
                <w:rFonts w:cs="Times New Roman"/>
              </w:rPr>
              <w:t>17.8</w:t>
            </w:r>
          </w:p>
        </w:tc>
        <w:tc>
          <w:tcPr>
            <w:tcW w:w="1350" w:type="dxa"/>
          </w:tcPr>
          <w:p w14:paraId="0361B09A" w14:textId="77777777" w:rsidR="00EC61FE" w:rsidRPr="00273CE9" w:rsidRDefault="00EC61FE" w:rsidP="003126F6">
            <w:pPr>
              <w:rPr>
                <w:rFonts w:cs="Times New Roman"/>
              </w:rPr>
            </w:pPr>
            <w:r w:rsidRPr="00273CE9">
              <w:rPr>
                <w:rFonts w:cs="Times New Roman"/>
              </w:rPr>
              <w:t>17.8</w:t>
            </w:r>
          </w:p>
        </w:tc>
        <w:tc>
          <w:tcPr>
            <w:tcW w:w="5035" w:type="dxa"/>
          </w:tcPr>
          <w:p w14:paraId="55C0BFF6" w14:textId="77777777" w:rsidR="00EC61FE" w:rsidRPr="00273CE9" w:rsidRDefault="00EC61FE" w:rsidP="003126F6">
            <w:pPr>
              <w:rPr>
                <w:rFonts w:cs="Times New Roman"/>
              </w:rPr>
            </w:pPr>
            <w:r w:rsidRPr="00273CE9">
              <w:rPr>
                <w:rFonts w:cs="Times New Roman"/>
              </w:rPr>
              <w:t>Copyright Interests—Authorship (17 U.S.C. § 201(a))</w:t>
            </w:r>
          </w:p>
        </w:tc>
      </w:tr>
      <w:tr w:rsidR="00EC61FE" w:rsidRPr="00273CE9" w14:paraId="4E78BBB2" w14:textId="77777777" w:rsidTr="003126F6">
        <w:tc>
          <w:tcPr>
            <w:tcW w:w="1345" w:type="dxa"/>
          </w:tcPr>
          <w:p w14:paraId="027E7436" w14:textId="77777777" w:rsidR="00EC61FE" w:rsidRPr="00273CE9" w:rsidRDefault="00EC61FE" w:rsidP="003126F6">
            <w:pPr>
              <w:rPr>
                <w:rFonts w:cs="Times New Roman"/>
              </w:rPr>
            </w:pPr>
            <w:r w:rsidRPr="00273CE9">
              <w:rPr>
                <w:rFonts w:cs="Times New Roman"/>
              </w:rPr>
              <w:t>17.9</w:t>
            </w:r>
          </w:p>
        </w:tc>
        <w:tc>
          <w:tcPr>
            <w:tcW w:w="1620" w:type="dxa"/>
          </w:tcPr>
          <w:p w14:paraId="483CE7D3" w14:textId="77777777" w:rsidR="00EC61FE" w:rsidRPr="00273CE9" w:rsidRDefault="00EC61FE" w:rsidP="003126F6">
            <w:pPr>
              <w:rPr>
                <w:rFonts w:cs="Times New Roman"/>
              </w:rPr>
            </w:pPr>
            <w:r w:rsidRPr="00273CE9">
              <w:rPr>
                <w:rFonts w:cs="Times New Roman"/>
              </w:rPr>
              <w:t>17.9</w:t>
            </w:r>
          </w:p>
        </w:tc>
        <w:tc>
          <w:tcPr>
            <w:tcW w:w="1350" w:type="dxa"/>
          </w:tcPr>
          <w:p w14:paraId="639669F0" w14:textId="77777777" w:rsidR="00EC61FE" w:rsidRPr="00273CE9" w:rsidRDefault="00EC61FE" w:rsidP="003126F6">
            <w:pPr>
              <w:rPr>
                <w:rFonts w:cs="Times New Roman"/>
              </w:rPr>
            </w:pPr>
            <w:r w:rsidRPr="00273CE9">
              <w:rPr>
                <w:rFonts w:cs="Times New Roman"/>
              </w:rPr>
              <w:t>17.9</w:t>
            </w:r>
          </w:p>
        </w:tc>
        <w:tc>
          <w:tcPr>
            <w:tcW w:w="5035" w:type="dxa"/>
          </w:tcPr>
          <w:p w14:paraId="1C6AF654" w14:textId="77777777" w:rsidR="00EC61FE" w:rsidRPr="00273CE9" w:rsidRDefault="00EC61FE" w:rsidP="003126F6">
            <w:pPr>
              <w:rPr>
                <w:rFonts w:cs="Times New Roman"/>
              </w:rPr>
            </w:pPr>
            <w:r w:rsidRPr="00273CE9">
              <w:rPr>
                <w:rFonts w:cs="Times New Roman"/>
              </w:rPr>
              <w:t>Copyright Interests—Joint Authors (17 U.S.C. §§ 101, 201(a))</w:t>
            </w:r>
          </w:p>
        </w:tc>
      </w:tr>
      <w:tr w:rsidR="00EC61FE" w:rsidRPr="00273CE9" w14:paraId="2C20BF8C" w14:textId="77777777" w:rsidTr="003126F6">
        <w:tc>
          <w:tcPr>
            <w:tcW w:w="1345" w:type="dxa"/>
          </w:tcPr>
          <w:p w14:paraId="08C58AF0" w14:textId="77777777" w:rsidR="00EC61FE" w:rsidRPr="00273CE9" w:rsidRDefault="00EC61FE" w:rsidP="003126F6">
            <w:pPr>
              <w:rPr>
                <w:rFonts w:cs="Times New Roman"/>
              </w:rPr>
            </w:pPr>
            <w:r w:rsidRPr="00273CE9">
              <w:rPr>
                <w:rFonts w:cs="Times New Roman"/>
              </w:rPr>
              <w:t>17.10</w:t>
            </w:r>
          </w:p>
        </w:tc>
        <w:tc>
          <w:tcPr>
            <w:tcW w:w="1620" w:type="dxa"/>
          </w:tcPr>
          <w:p w14:paraId="1D6FC28D" w14:textId="77777777" w:rsidR="00EC61FE" w:rsidRPr="00273CE9" w:rsidRDefault="00EC61FE" w:rsidP="003126F6">
            <w:pPr>
              <w:rPr>
                <w:rFonts w:cs="Times New Roman"/>
              </w:rPr>
            </w:pPr>
            <w:r w:rsidRPr="00273CE9">
              <w:rPr>
                <w:rFonts w:cs="Times New Roman"/>
              </w:rPr>
              <w:t>17.10</w:t>
            </w:r>
          </w:p>
        </w:tc>
        <w:tc>
          <w:tcPr>
            <w:tcW w:w="1350" w:type="dxa"/>
          </w:tcPr>
          <w:p w14:paraId="638758E3" w14:textId="77777777" w:rsidR="00EC61FE" w:rsidRPr="00273CE9" w:rsidRDefault="00EC61FE" w:rsidP="003126F6">
            <w:pPr>
              <w:rPr>
                <w:rFonts w:cs="Times New Roman"/>
              </w:rPr>
            </w:pPr>
            <w:r w:rsidRPr="00273CE9">
              <w:rPr>
                <w:rFonts w:cs="Times New Roman"/>
              </w:rPr>
              <w:t>17.10</w:t>
            </w:r>
          </w:p>
        </w:tc>
        <w:tc>
          <w:tcPr>
            <w:tcW w:w="5035" w:type="dxa"/>
          </w:tcPr>
          <w:p w14:paraId="5A69E91C" w14:textId="77777777" w:rsidR="00EC61FE" w:rsidRPr="00273CE9" w:rsidRDefault="00EC61FE" w:rsidP="003126F6">
            <w:pPr>
              <w:rPr>
                <w:rFonts w:cs="Times New Roman"/>
              </w:rPr>
            </w:pPr>
            <w:r w:rsidRPr="00273CE9">
              <w:rPr>
                <w:rFonts w:cs="Times New Roman"/>
              </w:rPr>
              <w:t>Copyright Interests—Authors of Collective Works (17 U.S.C. § 201(c))</w:t>
            </w:r>
          </w:p>
        </w:tc>
      </w:tr>
      <w:tr w:rsidR="00EC61FE" w:rsidRPr="00273CE9" w14:paraId="186D2686" w14:textId="77777777" w:rsidTr="003126F6">
        <w:tc>
          <w:tcPr>
            <w:tcW w:w="1345" w:type="dxa"/>
          </w:tcPr>
          <w:p w14:paraId="7F6138AB" w14:textId="77777777" w:rsidR="00EC61FE" w:rsidRPr="00273CE9" w:rsidRDefault="00EC61FE" w:rsidP="003126F6">
            <w:pPr>
              <w:rPr>
                <w:rFonts w:cs="Times New Roman"/>
              </w:rPr>
            </w:pPr>
            <w:r w:rsidRPr="00273CE9">
              <w:rPr>
                <w:rFonts w:cs="Times New Roman"/>
              </w:rPr>
              <w:t>17.11</w:t>
            </w:r>
          </w:p>
        </w:tc>
        <w:tc>
          <w:tcPr>
            <w:tcW w:w="1620" w:type="dxa"/>
          </w:tcPr>
          <w:p w14:paraId="4FC7FE04" w14:textId="77777777" w:rsidR="00EC61FE" w:rsidRPr="00273CE9" w:rsidRDefault="00EC61FE" w:rsidP="003126F6">
            <w:pPr>
              <w:rPr>
                <w:rFonts w:cs="Times New Roman"/>
              </w:rPr>
            </w:pPr>
            <w:r w:rsidRPr="00273CE9">
              <w:rPr>
                <w:rFonts w:cs="Times New Roman"/>
              </w:rPr>
              <w:t>17.11</w:t>
            </w:r>
          </w:p>
        </w:tc>
        <w:tc>
          <w:tcPr>
            <w:tcW w:w="1350" w:type="dxa"/>
          </w:tcPr>
          <w:p w14:paraId="4668D012" w14:textId="77777777" w:rsidR="00EC61FE" w:rsidRPr="00273CE9" w:rsidRDefault="00EC61FE" w:rsidP="003126F6">
            <w:pPr>
              <w:rPr>
                <w:rFonts w:cs="Times New Roman"/>
              </w:rPr>
            </w:pPr>
            <w:r w:rsidRPr="00273CE9">
              <w:rPr>
                <w:rFonts w:cs="Times New Roman"/>
              </w:rPr>
              <w:t>17.11</w:t>
            </w:r>
          </w:p>
        </w:tc>
        <w:tc>
          <w:tcPr>
            <w:tcW w:w="5035" w:type="dxa"/>
          </w:tcPr>
          <w:p w14:paraId="3E031C9A" w14:textId="77777777" w:rsidR="00EC61FE" w:rsidRPr="00273CE9" w:rsidRDefault="00EC61FE" w:rsidP="003126F6">
            <w:pPr>
              <w:rPr>
                <w:rFonts w:cs="Times New Roman"/>
              </w:rPr>
            </w:pPr>
            <w:r w:rsidRPr="00273CE9">
              <w:rPr>
                <w:rFonts w:cs="Times New Roman"/>
              </w:rPr>
              <w:t>Copyright Interests—Work Made for Hire by Employee</w:t>
            </w:r>
          </w:p>
        </w:tc>
      </w:tr>
      <w:tr w:rsidR="00EC61FE" w:rsidRPr="00273CE9" w14:paraId="3CD89DEC" w14:textId="77777777" w:rsidTr="003126F6">
        <w:tc>
          <w:tcPr>
            <w:tcW w:w="1345" w:type="dxa"/>
          </w:tcPr>
          <w:p w14:paraId="2E6BAFB5" w14:textId="77777777" w:rsidR="00EC61FE" w:rsidRPr="00273CE9" w:rsidRDefault="00EC61FE" w:rsidP="003126F6">
            <w:pPr>
              <w:rPr>
                <w:rFonts w:cs="Times New Roman"/>
              </w:rPr>
            </w:pPr>
            <w:r w:rsidRPr="00273CE9">
              <w:rPr>
                <w:rFonts w:cs="Times New Roman"/>
              </w:rPr>
              <w:t>17.12</w:t>
            </w:r>
          </w:p>
        </w:tc>
        <w:tc>
          <w:tcPr>
            <w:tcW w:w="1620" w:type="dxa"/>
          </w:tcPr>
          <w:p w14:paraId="7440821A" w14:textId="77777777" w:rsidR="00EC61FE" w:rsidRPr="00273CE9" w:rsidRDefault="00EC61FE" w:rsidP="003126F6">
            <w:pPr>
              <w:rPr>
                <w:rFonts w:cs="Times New Roman"/>
              </w:rPr>
            </w:pPr>
            <w:r w:rsidRPr="00273CE9">
              <w:rPr>
                <w:rFonts w:cs="Times New Roman"/>
              </w:rPr>
              <w:t>17.12</w:t>
            </w:r>
          </w:p>
        </w:tc>
        <w:tc>
          <w:tcPr>
            <w:tcW w:w="1350" w:type="dxa"/>
          </w:tcPr>
          <w:p w14:paraId="69CC06FE" w14:textId="77777777" w:rsidR="00EC61FE" w:rsidRPr="00273CE9" w:rsidRDefault="00EC61FE" w:rsidP="003126F6">
            <w:pPr>
              <w:rPr>
                <w:rFonts w:cs="Times New Roman"/>
              </w:rPr>
            </w:pPr>
            <w:r w:rsidRPr="00273CE9">
              <w:rPr>
                <w:rFonts w:cs="Times New Roman"/>
              </w:rPr>
              <w:t>17.12</w:t>
            </w:r>
          </w:p>
        </w:tc>
        <w:tc>
          <w:tcPr>
            <w:tcW w:w="5035" w:type="dxa"/>
          </w:tcPr>
          <w:p w14:paraId="53353FAC" w14:textId="77777777" w:rsidR="00EC61FE" w:rsidRPr="00273CE9" w:rsidRDefault="00EC61FE" w:rsidP="003126F6">
            <w:pPr>
              <w:rPr>
                <w:rFonts w:cs="Times New Roman"/>
              </w:rPr>
            </w:pPr>
            <w:r w:rsidRPr="00273CE9">
              <w:rPr>
                <w:rFonts w:cs="Times New Roman"/>
              </w:rPr>
              <w:t>Copyright Interests—Assignee (17 U.S.C. § 201(d)(1))</w:t>
            </w:r>
          </w:p>
        </w:tc>
      </w:tr>
      <w:tr w:rsidR="00EC61FE" w:rsidRPr="00273CE9" w14:paraId="6D7A2480" w14:textId="77777777" w:rsidTr="003126F6">
        <w:tc>
          <w:tcPr>
            <w:tcW w:w="1345" w:type="dxa"/>
          </w:tcPr>
          <w:p w14:paraId="5D2F4AE9" w14:textId="77777777" w:rsidR="00EC61FE" w:rsidRPr="00273CE9" w:rsidRDefault="00EC61FE" w:rsidP="003126F6">
            <w:pPr>
              <w:rPr>
                <w:rFonts w:cs="Times New Roman"/>
              </w:rPr>
            </w:pPr>
            <w:r w:rsidRPr="00273CE9">
              <w:rPr>
                <w:rFonts w:cs="Times New Roman"/>
              </w:rPr>
              <w:t>17.13</w:t>
            </w:r>
          </w:p>
        </w:tc>
        <w:tc>
          <w:tcPr>
            <w:tcW w:w="1620" w:type="dxa"/>
          </w:tcPr>
          <w:p w14:paraId="7A59C739" w14:textId="77777777" w:rsidR="00EC61FE" w:rsidRPr="00273CE9" w:rsidRDefault="00EC61FE" w:rsidP="003126F6">
            <w:pPr>
              <w:rPr>
                <w:rFonts w:cs="Times New Roman"/>
              </w:rPr>
            </w:pPr>
            <w:r w:rsidRPr="00273CE9">
              <w:rPr>
                <w:rFonts w:cs="Times New Roman"/>
              </w:rPr>
              <w:t>17.13</w:t>
            </w:r>
          </w:p>
        </w:tc>
        <w:tc>
          <w:tcPr>
            <w:tcW w:w="1350" w:type="dxa"/>
          </w:tcPr>
          <w:p w14:paraId="613CDC34" w14:textId="77777777" w:rsidR="00EC61FE" w:rsidRPr="00273CE9" w:rsidRDefault="00EC61FE" w:rsidP="003126F6">
            <w:pPr>
              <w:rPr>
                <w:rFonts w:cs="Times New Roman"/>
              </w:rPr>
            </w:pPr>
            <w:r w:rsidRPr="00273CE9">
              <w:rPr>
                <w:rFonts w:cs="Times New Roman"/>
              </w:rPr>
              <w:t>17.13</w:t>
            </w:r>
          </w:p>
        </w:tc>
        <w:tc>
          <w:tcPr>
            <w:tcW w:w="5035" w:type="dxa"/>
          </w:tcPr>
          <w:p w14:paraId="76D89286" w14:textId="77777777" w:rsidR="00EC61FE" w:rsidRPr="00273CE9" w:rsidRDefault="00EC61FE" w:rsidP="003126F6">
            <w:pPr>
              <w:rPr>
                <w:rFonts w:cs="Times New Roman"/>
              </w:rPr>
            </w:pPr>
            <w:r w:rsidRPr="00273CE9">
              <w:rPr>
                <w:rFonts w:cs="Times New Roman"/>
              </w:rPr>
              <w:t>Copyright Interests—Exclusive Licensee (17 U.S.C. § 201(d)(2))</w:t>
            </w:r>
          </w:p>
        </w:tc>
      </w:tr>
      <w:tr w:rsidR="00EC61FE" w:rsidRPr="00273CE9" w14:paraId="0FAA9575" w14:textId="77777777" w:rsidTr="003126F6">
        <w:tc>
          <w:tcPr>
            <w:tcW w:w="1345" w:type="dxa"/>
          </w:tcPr>
          <w:p w14:paraId="01D72C3A" w14:textId="77777777" w:rsidR="00EC61FE" w:rsidRPr="00273CE9" w:rsidRDefault="00EC61FE" w:rsidP="003126F6">
            <w:pPr>
              <w:rPr>
                <w:rFonts w:cs="Times New Roman"/>
              </w:rPr>
            </w:pPr>
            <w:r w:rsidRPr="00273CE9">
              <w:rPr>
                <w:rFonts w:cs="Times New Roman"/>
              </w:rPr>
              <w:t>17.14</w:t>
            </w:r>
          </w:p>
        </w:tc>
        <w:tc>
          <w:tcPr>
            <w:tcW w:w="1620" w:type="dxa"/>
          </w:tcPr>
          <w:p w14:paraId="36C86BF0" w14:textId="77777777" w:rsidR="00EC61FE" w:rsidRPr="00273CE9" w:rsidRDefault="00EC61FE" w:rsidP="003126F6">
            <w:pPr>
              <w:rPr>
                <w:rFonts w:cs="Times New Roman"/>
              </w:rPr>
            </w:pPr>
            <w:r w:rsidRPr="00273CE9">
              <w:rPr>
                <w:rFonts w:cs="Times New Roman"/>
              </w:rPr>
              <w:t>17.13</w:t>
            </w:r>
          </w:p>
        </w:tc>
        <w:tc>
          <w:tcPr>
            <w:tcW w:w="1350" w:type="dxa"/>
          </w:tcPr>
          <w:p w14:paraId="41E198E0" w14:textId="77777777" w:rsidR="00EC61FE" w:rsidRPr="00273CE9" w:rsidRDefault="00EC61FE" w:rsidP="003126F6">
            <w:pPr>
              <w:rPr>
                <w:rFonts w:cs="Times New Roman"/>
              </w:rPr>
            </w:pPr>
            <w:r w:rsidRPr="00273CE9">
              <w:rPr>
                <w:rFonts w:cs="Times New Roman"/>
              </w:rPr>
              <w:t>17.13</w:t>
            </w:r>
          </w:p>
        </w:tc>
        <w:tc>
          <w:tcPr>
            <w:tcW w:w="5035" w:type="dxa"/>
          </w:tcPr>
          <w:p w14:paraId="06B2AD2F" w14:textId="77777777" w:rsidR="00EC61FE" w:rsidRPr="00273CE9" w:rsidRDefault="00EC61FE" w:rsidP="003126F6">
            <w:pPr>
              <w:rPr>
                <w:rFonts w:cs="Times New Roman"/>
              </w:rPr>
            </w:pPr>
            <w:r w:rsidRPr="00273CE9">
              <w:rPr>
                <w:rFonts w:cs="Times New Roman"/>
              </w:rPr>
              <w:t>Copyright Infringement—Originality</w:t>
            </w:r>
          </w:p>
        </w:tc>
      </w:tr>
      <w:tr w:rsidR="00EC61FE" w:rsidRPr="00273CE9" w14:paraId="093C7D2A" w14:textId="77777777" w:rsidTr="003126F6">
        <w:tc>
          <w:tcPr>
            <w:tcW w:w="1345" w:type="dxa"/>
          </w:tcPr>
          <w:p w14:paraId="1E345185" w14:textId="77777777" w:rsidR="00EC61FE" w:rsidRPr="00273CE9" w:rsidRDefault="00EC61FE" w:rsidP="003126F6">
            <w:pPr>
              <w:rPr>
                <w:rFonts w:cs="Times New Roman"/>
              </w:rPr>
            </w:pPr>
            <w:r w:rsidRPr="00273CE9">
              <w:rPr>
                <w:rFonts w:cs="Times New Roman"/>
              </w:rPr>
              <w:t>17.15</w:t>
            </w:r>
          </w:p>
        </w:tc>
        <w:tc>
          <w:tcPr>
            <w:tcW w:w="1620" w:type="dxa"/>
          </w:tcPr>
          <w:p w14:paraId="58280EA4" w14:textId="77777777" w:rsidR="00EC61FE" w:rsidRPr="00273CE9" w:rsidRDefault="00EC61FE" w:rsidP="003126F6">
            <w:pPr>
              <w:rPr>
                <w:rFonts w:cs="Times New Roman"/>
              </w:rPr>
            </w:pPr>
            <w:r w:rsidRPr="00273CE9">
              <w:rPr>
                <w:rFonts w:cs="Times New Roman"/>
              </w:rPr>
              <w:t>17.15</w:t>
            </w:r>
          </w:p>
        </w:tc>
        <w:tc>
          <w:tcPr>
            <w:tcW w:w="1350" w:type="dxa"/>
          </w:tcPr>
          <w:p w14:paraId="13C693AE" w14:textId="77777777" w:rsidR="00EC61FE" w:rsidRPr="00273CE9" w:rsidRDefault="00EC61FE" w:rsidP="003126F6">
            <w:pPr>
              <w:rPr>
                <w:rFonts w:cs="Times New Roman"/>
              </w:rPr>
            </w:pPr>
            <w:r w:rsidRPr="00273CE9">
              <w:rPr>
                <w:rFonts w:cs="Times New Roman"/>
              </w:rPr>
              <w:t>17.15</w:t>
            </w:r>
          </w:p>
        </w:tc>
        <w:tc>
          <w:tcPr>
            <w:tcW w:w="5035" w:type="dxa"/>
          </w:tcPr>
          <w:p w14:paraId="441C357B" w14:textId="77777777" w:rsidR="00EC61FE" w:rsidRPr="00273CE9" w:rsidRDefault="00EC61FE" w:rsidP="003126F6">
            <w:pPr>
              <w:rPr>
                <w:rFonts w:cs="Times New Roman"/>
              </w:rPr>
            </w:pPr>
            <w:r w:rsidRPr="00273CE9">
              <w:rPr>
                <w:rFonts w:cs="Times New Roman"/>
              </w:rPr>
              <w:t>Copyright Interests—Derivative Work</w:t>
            </w:r>
          </w:p>
        </w:tc>
      </w:tr>
      <w:tr w:rsidR="00EC61FE" w:rsidRPr="00273CE9" w14:paraId="34936E5E" w14:textId="77777777" w:rsidTr="003126F6">
        <w:tc>
          <w:tcPr>
            <w:tcW w:w="1345" w:type="dxa"/>
          </w:tcPr>
          <w:p w14:paraId="709A60B0" w14:textId="77777777" w:rsidR="00EC61FE" w:rsidRPr="00273CE9" w:rsidRDefault="00EC61FE" w:rsidP="003126F6">
            <w:pPr>
              <w:rPr>
                <w:rFonts w:cs="Times New Roman"/>
              </w:rPr>
            </w:pPr>
            <w:r w:rsidRPr="00273CE9">
              <w:rPr>
                <w:rFonts w:cs="Times New Roman"/>
              </w:rPr>
              <w:t>17.16</w:t>
            </w:r>
          </w:p>
        </w:tc>
        <w:tc>
          <w:tcPr>
            <w:tcW w:w="1620" w:type="dxa"/>
          </w:tcPr>
          <w:p w14:paraId="6D7C351F" w14:textId="77777777" w:rsidR="00EC61FE" w:rsidRPr="00273CE9" w:rsidRDefault="00EC61FE" w:rsidP="003126F6">
            <w:pPr>
              <w:rPr>
                <w:rFonts w:cs="Times New Roman"/>
              </w:rPr>
            </w:pPr>
            <w:r w:rsidRPr="00273CE9">
              <w:rPr>
                <w:rFonts w:cs="Times New Roman"/>
              </w:rPr>
              <w:t>17.16</w:t>
            </w:r>
          </w:p>
        </w:tc>
        <w:tc>
          <w:tcPr>
            <w:tcW w:w="1350" w:type="dxa"/>
          </w:tcPr>
          <w:p w14:paraId="510EE9C3" w14:textId="77777777" w:rsidR="00EC61FE" w:rsidRPr="00273CE9" w:rsidRDefault="00EC61FE" w:rsidP="003126F6">
            <w:pPr>
              <w:rPr>
                <w:rFonts w:cs="Times New Roman"/>
              </w:rPr>
            </w:pPr>
            <w:r w:rsidRPr="00273CE9">
              <w:rPr>
                <w:rFonts w:cs="Times New Roman"/>
              </w:rPr>
              <w:t>17.16</w:t>
            </w:r>
          </w:p>
        </w:tc>
        <w:tc>
          <w:tcPr>
            <w:tcW w:w="5035" w:type="dxa"/>
          </w:tcPr>
          <w:p w14:paraId="442AAF49" w14:textId="77777777" w:rsidR="00EC61FE" w:rsidRPr="00273CE9" w:rsidRDefault="00EC61FE" w:rsidP="003126F6">
            <w:pPr>
              <w:rPr>
                <w:rFonts w:cs="Times New Roman"/>
              </w:rPr>
            </w:pPr>
            <w:r w:rsidRPr="00273CE9">
              <w:rPr>
                <w:rFonts w:cs="Times New Roman"/>
              </w:rPr>
              <w:t>Compilation (17 U.S.C. § 101)</w:t>
            </w:r>
          </w:p>
        </w:tc>
      </w:tr>
      <w:tr w:rsidR="00EC61FE" w:rsidRPr="00273CE9" w14:paraId="458E46F0" w14:textId="77777777" w:rsidTr="003126F6">
        <w:tc>
          <w:tcPr>
            <w:tcW w:w="1345" w:type="dxa"/>
          </w:tcPr>
          <w:p w14:paraId="16FDE6BD" w14:textId="77777777" w:rsidR="00EC61FE" w:rsidRPr="00273CE9" w:rsidRDefault="00EC61FE" w:rsidP="003126F6">
            <w:pPr>
              <w:rPr>
                <w:rFonts w:cs="Times New Roman"/>
              </w:rPr>
            </w:pPr>
            <w:r w:rsidRPr="00273CE9">
              <w:rPr>
                <w:rFonts w:cs="Times New Roman"/>
              </w:rPr>
              <w:t>17.17</w:t>
            </w:r>
          </w:p>
        </w:tc>
        <w:tc>
          <w:tcPr>
            <w:tcW w:w="1620" w:type="dxa"/>
          </w:tcPr>
          <w:p w14:paraId="2589AB4A" w14:textId="77777777" w:rsidR="00EC61FE" w:rsidRPr="00273CE9" w:rsidRDefault="00EC61FE" w:rsidP="003126F6">
            <w:pPr>
              <w:rPr>
                <w:rFonts w:cs="Times New Roman"/>
              </w:rPr>
            </w:pPr>
            <w:r w:rsidRPr="00273CE9">
              <w:rPr>
                <w:rFonts w:cs="Times New Roman"/>
              </w:rPr>
              <w:t>17.17</w:t>
            </w:r>
          </w:p>
        </w:tc>
        <w:tc>
          <w:tcPr>
            <w:tcW w:w="1350" w:type="dxa"/>
          </w:tcPr>
          <w:p w14:paraId="2D7D0C6D" w14:textId="77777777" w:rsidR="00EC61FE" w:rsidRPr="00273CE9" w:rsidRDefault="00EC61FE" w:rsidP="003126F6">
            <w:pPr>
              <w:rPr>
                <w:rFonts w:cs="Times New Roman"/>
              </w:rPr>
            </w:pPr>
            <w:r w:rsidRPr="00273CE9">
              <w:rPr>
                <w:rFonts w:cs="Times New Roman"/>
              </w:rPr>
              <w:t>17.17</w:t>
            </w:r>
          </w:p>
        </w:tc>
        <w:tc>
          <w:tcPr>
            <w:tcW w:w="5035" w:type="dxa"/>
          </w:tcPr>
          <w:p w14:paraId="31528392" w14:textId="77777777" w:rsidR="00EC61FE" w:rsidRPr="00273CE9" w:rsidRDefault="00EC61FE" w:rsidP="003126F6">
            <w:pPr>
              <w:rPr>
                <w:rFonts w:cs="Times New Roman"/>
              </w:rPr>
            </w:pPr>
            <w:r w:rsidRPr="00273CE9">
              <w:rPr>
                <w:rFonts w:cs="Times New Roman"/>
              </w:rPr>
              <w:t>Copying—Access and Substantial Similarity</w:t>
            </w:r>
          </w:p>
        </w:tc>
      </w:tr>
      <w:tr w:rsidR="00EC61FE" w:rsidRPr="00273CE9" w14:paraId="32213FDB" w14:textId="77777777" w:rsidTr="003126F6">
        <w:tc>
          <w:tcPr>
            <w:tcW w:w="1345" w:type="dxa"/>
          </w:tcPr>
          <w:p w14:paraId="7E44494A" w14:textId="77777777" w:rsidR="00EC61FE" w:rsidRPr="00273CE9" w:rsidRDefault="00EC61FE" w:rsidP="003126F6">
            <w:pPr>
              <w:rPr>
                <w:rFonts w:cs="Times New Roman"/>
              </w:rPr>
            </w:pPr>
            <w:r w:rsidRPr="00273CE9">
              <w:rPr>
                <w:rFonts w:cs="Times New Roman"/>
              </w:rPr>
              <w:t>17.18</w:t>
            </w:r>
          </w:p>
        </w:tc>
        <w:tc>
          <w:tcPr>
            <w:tcW w:w="1620" w:type="dxa"/>
          </w:tcPr>
          <w:p w14:paraId="1CBC8F80" w14:textId="77777777" w:rsidR="00EC61FE" w:rsidRPr="00273CE9" w:rsidRDefault="00EC61FE" w:rsidP="003126F6">
            <w:pPr>
              <w:rPr>
                <w:rFonts w:cs="Times New Roman"/>
              </w:rPr>
            </w:pPr>
            <w:r w:rsidRPr="00273CE9">
              <w:rPr>
                <w:rFonts w:cs="Times New Roman"/>
              </w:rPr>
              <w:t>17.18</w:t>
            </w:r>
          </w:p>
        </w:tc>
        <w:tc>
          <w:tcPr>
            <w:tcW w:w="1350" w:type="dxa"/>
          </w:tcPr>
          <w:p w14:paraId="08D9DF78" w14:textId="77777777" w:rsidR="00EC61FE" w:rsidRPr="00273CE9" w:rsidRDefault="00EC61FE" w:rsidP="003126F6">
            <w:pPr>
              <w:rPr>
                <w:rFonts w:cs="Times New Roman"/>
              </w:rPr>
            </w:pPr>
            <w:r w:rsidRPr="00273CE9">
              <w:rPr>
                <w:rFonts w:cs="Times New Roman"/>
              </w:rPr>
              <w:t>17.18</w:t>
            </w:r>
          </w:p>
        </w:tc>
        <w:tc>
          <w:tcPr>
            <w:tcW w:w="5035" w:type="dxa"/>
          </w:tcPr>
          <w:p w14:paraId="295EBA63" w14:textId="77777777" w:rsidR="00EC61FE" w:rsidRPr="00273CE9" w:rsidRDefault="00EC61FE" w:rsidP="003126F6">
            <w:pPr>
              <w:rPr>
                <w:rFonts w:cs="Times New Roman"/>
              </w:rPr>
            </w:pPr>
            <w:r w:rsidRPr="00273CE9">
              <w:rPr>
                <w:rFonts w:cs="Times New Roman"/>
              </w:rPr>
              <w:t>Copyright Infringement—Copying—Access Defined</w:t>
            </w:r>
          </w:p>
        </w:tc>
      </w:tr>
      <w:tr w:rsidR="00EC61FE" w:rsidRPr="00273CE9" w14:paraId="601A5D25" w14:textId="77777777" w:rsidTr="003126F6">
        <w:tc>
          <w:tcPr>
            <w:tcW w:w="1345" w:type="dxa"/>
          </w:tcPr>
          <w:p w14:paraId="409B90DF" w14:textId="77777777" w:rsidR="00EC61FE" w:rsidRPr="00273CE9" w:rsidRDefault="00EC61FE" w:rsidP="003126F6">
            <w:pPr>
              <w:rPr>
                <w:rFonts w:cs="Times New Roman"/>
              </w:rPr>
            </w:pPr>
            <w:r w:rsidRPr="00273CE9">
              <w:rPr>
                <w:rFonts w:cs="Times New Roman"/>
              </w:rPr>
              <w:t>17.19</w:t>
            </w:r>
          </w:p>
        </w:tc>
        <w:tc>
          <w:tcPr>
            <w:tcW w:w="1620" w:type="dxa"/>
          </w:tcPr>
          <w:p w14:paraId="2B118C76" w14:textId="77777777" w:rsidR="00EC61FE" w:rsidRPr="00273CE9" w:rsidRDefault="00EC61FE" w:rsidP="003126F6">
            <w:pPr>
              <w:rPr>
                <w:rFonts w:cs="Times New Roman"/>
              </w:rPr>
            </w:pPr>
            <w:r w:rsidRPr="00273CE9">
              <w:rPr>
                <w:rFonts w:cs="Times New Roman"/>
              </w:rPr>
              <w:t>17.19</w:t>
            </w:r>
          </w:p>
        </w:tc>
        <w:tc>
          <w:tcPr>
            <w:tcW w:w="1350" w:type="dxa"/>
          </w:tcPr>
          <w:p w14:paraId="5B464F5A" w14:textId="77777777" w:rsidR="00EC61FE" w:rsidRPr="00273CE9" w:rsidRDefault="00EC61FE" w:rsidP="003126F6">
            <w:pPr>
              <w:rPr>
                <w:rFonts w:cs="Times New Roman"/>
              </w:rPr>
            </w:pPr>
            <w:r w:rsidRPr="00273CE9">
              <w:rPr>
                <w:rFonts w:cs="Times New Roman"/>
              </w:rPr>
              <w:t>17.19</w:t>
            </w:r>
          </w:p>
        </w:tc>
        <w:tc>
          <w:tcPr>
            <w:tcW w:w="5035" w:type="dxa"/>
          </w:tcPr>
          <w:p w14:paraId="335F0A49" w14:textId="77777777" w:rsidR="00EC61FE" w:rsidRPr="00273CE9" w:rsidRDefault="00EC61FE" w:rsidP="003126F6">
            <w:pPr>
              <w:rPr>
                <w:rFonts w:cs="Times New Roman"/>
              </w:rPr>
            </w:pPr>
            <w:r w:rsidRPr="00273CE9">
              <w:rPr>
                <w:rFonts w:cs="Times New Roman"/>
              </w:rPr>
              <w:t>Substantial Similarity—Extrinsic Test; Intrinsic Test</w:t>
            </w:r>
          </w:p>
        </w:tc>
      </w:tr>
      <w:tr w:rsidR="00EC61FE" w:rsidRPr="00273CE9" w14:paraId="33667BD2" w14:textId="77777777" w:rsidTr="003126F6">
        <w:tc>
          <w:tcPr>
            <w:tcW w:w="1345" w:type="dxa"/>
          </w:tcPr>
          <w:p w14:paraId="6E745158" w14:textId="77777777" w:rsidR="00EC61FE" w:rsidRPr="00273CE9" w:rsidRDefault="00EC61FE" w:rsidP="003126F6">
            <w:pPr>
              <w:rPr>
                <w:rFonts w:cs="Times New Roman"/>
              </w:rPr>
            </w:pPr>
            <w:r w:rsidRPr="00273CE9">
              <w:rPr>
                <w:rFonts w:cs="Times New Roman"/>
              </w:rPr>
              <w:t>17.20</w:t>
            </w:r>
          </w:p>
        </w:tc>
        <w:tc>
          <w:tcPr>
            <w:tcW w:w="1620" w:type="dxa"/>
          </w:tcPr>
          <w:p w14:paraId="7F61954D" w14:textId="77777777" w:rsidR="00EC61FE" w:rsidRPr="00273CE9" w:rsidRDefault="00EC61FE" w:rsidP="003126F6">
            <w:pPr>
              <w:rPr>
                <w:rFonts w:cs="Times New Roman"/>
              </w:rPr>
            </w:pPr>
            <w:r w:rsidRPr="00273CE9">
              <w:rPr>
                <w:rFonts w:cs="Times New Roman"/>
              </w:rPr>
              <w:t>17.20</w:t>
            </w:r>
          </w:p>
        </w:tc>
        <w:tc>
          <w:tcPr>
            <w:tcW w:w="1350" w:type="dxa"/>
          </w:tcPr>
          <w:p w14:paraId="5DA9A062" w14:textId="77777777" w:rsidR="00EC61FE" w:rsidRPr="00273CE9" w:rsidRDefault="00EC61FE" w:rsidP="003126F6">
            <w:pPr>
              <w:rPr>
                <w:rFonts w:cs="Times New Roman"/>
              </w:rPr>
            </w:pPr>
            <w:r w:rsidRPr="00273CE9">
              <w:rPr>
                <w:rFonts w:cs="Times New Roman"/>
              </w:rPr>
              <w:t>17.20</w:t>
            </w:r>
          </w:p>
        </w:tc>
        <w:tc>
          <w:tcPr>
            <w:tcW w:w="5035" w:type="dxa"/>
          </w:tcPr>
          <w:p w14:paraId="4F7AC1B7" w14:textId="77777777" w:rsidR="00EC61FE" w:rsidRPr="00273CE9" w:rsidRDefault="00EC61FE" w:rsidP="003126F6">
            <w:pPr>
              <w:rPr>
                <w:rFonts w:cs="Times New Roman"/>
              </w:rPr>
            </w:pPr>
            <w:r w:rsidRPr="00273CE9">
              <w:rPr>
                <w:rFonts w:cs="Times New Roman"/>
              </w:rPr>
              <w:t>Secondary Liability—Vicarious Infringement—Elements and Burden of Proof</w:t>
            </w:r>
          </w:p>
        </w:tc>
      </w:tr>
      <w:tr w:rsidR="00EC61FE" w:rsidRPr="00273CE9" w14:paraId="72719652" w14:textId="77777777" w:rsidTr="003126F6">
        <w:tc>
          <w:tcPr>
            <w:tcW w:w="1345" w:type="dxa"/>
          </w:tcPr>
          <w:p w14:paraId="7DA9082B" w14:textId="77777777" w:rsidR="00EC61FE" w:rsidRPr="00273CE9" w:rsidRDefault="00EC61FE" w:rsidP="003126F6">
            <w:pPr>
              <w:rPr>
                <w:rFonts w:cs="Times New Roman"/>
              </w:rPr>
            </w:pPr>
            <w:r w:rsidRPr="00273CE9">
              <w:rPr>
                <w:rFonts w:cs="Times New Roman"/>
              </w:rPr>
              <w:t>17.21</w:t>
            </w:r>
          </w:p>
        </w:tc>
        <w:tc>
          <w:tcPr>
            <w:tcW w:w="1620" w:type="dxa"/>
          </w:tcPr>
          <w:p w14:paraId="58AB5481" w14:textId="77777777" w:rsidR="00EC61FE" w:rsidRPr="00273CE9" w:rsidRDefault="00EC61FE" w:rsidP="003126F6">
            <w:pPr>
              <w:rPr>
                <w:rFonts w:cs="Times New Roman"/>
              </w:rPr>
            </w:pPr>
            <w:r w:rsidRPr="00273CE9">
              <w:rPr>
                <w:rFonts w:cs="Times New Roman"/>
              </w:rPr>
              <w:t>17.21</w:t>
            </w:r>
          </w:p>
        </w:tc>
        <w:tc>
          <w:tcPr>
            <w:tcW w:w="1350" w:type="dxa"/>
          </w:tcPr>
          <w:p w14:paraId="3FD5AE82" w14:textId="77777777" w:rsidR="00EC61FE" w:rsidRPr="00273CE9" w:rsidRDefault="00EC61FE" w:rsidP="003126F6">
            <w:pPr>
              <w:rPr>
                <w:rFonts w:cs="Times New Roman"/>
              </w:rPr>
            </w:pPr>
            <w:r w:rsidRPr="00273CE9">
              <w:rPr>
                <w:rFonts w:cs="Times New Roman"/>
              </w:rPr>
              <w:t>17.21</w:t>
            </w:r>
          </w:p>
        </w:tc>
        <w:tc>
          <w:tcPr>
            <w:tcW w:w="5035" w:type="dxa"/>
          </w:tcPr>
          <w:p w14:paraId="03947C4F" w14:textId="77777777" w:rsidR="00EC61FE" w:rsidRPr="00273CE9" w:rsidRDefault="00EC61FE" w:rsidP="003126F6">
            <w:pPr>
              <w:rPr>
                <w:rFonts w:cs="Times New Roman"/>
              </w:rPr>
            </w:pPr>
            <w:r w:rsidRPr="00273CE9">
              <w:rPr>
                <w:rFonts w:cs="Times New Roman"/>
              </w:rPr>
              <w:t>Secondary Liability—Contributory Infringement—Elements and Burden of Proof</w:t>
            </w:r>
          </w:p>
        </w:tc>
      </w:tr>
      <w:tr w:rsidR="00EC61FE" w:rsidRPr="00273CE9" w14:paraId="4B2F8E7A" w14:textId="77777777" w:rsidTr="003126F6">
        <w:tc>
          <w:tcPr>
            <w:tcW w:w="1345" w:type="dxa"/>
          </w:tcPr>
          <w:p w14:paraId="0AA0CDC4" w14:textId="77777777" w:rsidR="00EC61FE" w:rsidRPr="00273CE9" w:rsidRDefault="00EC61FE" w:rsidP="003126F6">
            <w:pPr>
              <w:rPr>
                <w:rFonts w:cs="Times New Roman"/>
              </w:rPr>
            </w:pPr>
            <w:r w:rsidRPr="00273CE9">
              <w:rPr>
                <w:rFonts w:cs="Times New Roman"/>
              </w:rPr>
              <w:t>—</w:t>
            </w:r>
          </w:p>
        </w:tc>
        <w:tc>
          <w:tcPr>
            <w:tcW w:w="1620" w:type="dxa"/>
          </w:tcPr>
          <w:p w14:paraId="560282FC" w14:textId="77777777" w:rsidR="00EC61FE" w:rsidRPr="00273CE9" w:rsidRDefault="00EC61FE" w:rsidP="003126F6">
            <w:pPr>
              <w:rPr>
                <w:rFonts w:cs="Times New Roman"/>
              </w:rPr>
            </w:pPr>
            <w:r w:rsidRPr="00273CE9">
              <w:rPr>
                <w:rFonts w:cs="Times New Roman"/>
              </w:rPr>
              <w:t>17.21A</w:t>
            </w:r>
          </w:p>
        </w:tc>
        <w:tc>
          <w:tcPr>
            <w:tcW w:w="1350" w:type="dxa"/>
          </w:tcPr>
          <w:p w14:paraId="3967F2E3" w14:textId="77777777" w:rsidR="00EC61FE" w:rsidRPr="00273CE9" w:rsidRDefault="00EC61FE" w:rsidP="003126F6">
            <w:pPr>
              <w:rPr>
                <w:rFonts w:cs="Times New Roman"/>
              </w:rPr>
            </w:pPr>
            <w:r w:rsidRPr="00273CE9">
              <w:rPr>
                <w:rFonts w:cs="Times New Roman"/>
              </w:rPr>
              <w:t>17.22</w:t>
            </w:r>
          </w:p>
        </w:tc>
        <w:tc>
          <w:tcPr>
            <w:tcW w:w="5035" w:type="dxa"/>
          </w:tcPr>
          <w:p w14:paraId="63DDB32C" w14:textId="77777777" w:rsidR="00EC61FE" w:rsidRPr="00273CE9" w:rsidRDefault="00EC61FE" w:rsidP="003126F6">
            <w:pPr>
              <w:rPr>
                <w:rFonts w:cs="Times New Roman"/>
              </w:rPr>
            </w:pPr>
            <w:r w:rsidRPr="00273CE9">
              <w:rPr>
                <w:rFonts w:cs="Times New Roman"/>
              </w:rPr>
              <w:t>Copyright—Useful Articles/Functional Elements (17 U.S.C. § 101)</w:t>
            </w:r>
          </w:p>
        </w:tc>
      </w:tr>
      <w:tr w:rsidR="00EC61FE" w:rsidRPr="00273CE9" w14:paraId="1F722017" w14:textId="77777777" w:rsidTr="003126F6">
        <w:tc>
          <w:tcPr>
            <w:tcW w:w="1345" w:type="dxa"/>
          </w:tcPr>
          <w:p w14:paraId="7A79C2F2" w14:textId="77777777" w:rsidR="00EC61FE" w:rsidRPr="00273CE9" w:rsidRDefault="00EC61FE" w:rsidP="003126F6">
            <w:pPr>
              <w:rPr>
                <w:rFonts w:cs="Times New Roman"/>
              </w:rPr>
            </w:pPr>
            <w:r w:rsidRPr="00273CE9">
              <w:rPr>
                <w:rFonts w:cs="Times New Roman"/>
              </w:rPr>
              <w:t>17.22</w:t>
            </w:r>
          </w:p>
        </w:tc>
        <w:tc>
          <w:tcPr>
            <w:tcW w:w="1620" w:type="dxa"/>
          </w:tcPr>
          <w:p w14:paraId="2C38BBF2" w14:textId="77777777" w:rsidR="00EC61FE" w:rsidRPr="00273CE9" w:rsidRDefault="00EC61FE" w:rsidP="003126F6">
            <w:pPr>
              <w:rPr>
                <w:rFonts w:cs="Times New Roman"/>
              </w:rPr>
            </w:pPr>
            <w:r w:rsidRPr="00273CE9">
              <w:rPr>
                <w:rFonts w:cs="Times New Roman"/>
              </w:rPr>
              <w:t>17.22</w:t>
            </w:r>
          </w:p>
        </w:tc>
        <w:tc>
          <w:tcPr>
            <w:tcW w:w="1350" w:type="dxa"/>
          </w:tcPr>
          <w:p w14:paraId="178EFA79" w14:textId="77777777" w:rsidR="00EC61FE" w:rsidRPr="00273CE9" w:rsidRDefault="00EC61FE" w:rsidP="003126F6">
            <w:pPr>
              <w:rPr>
                <w:rFonts w:cs="Times New Roman"/>
              </w:rPr>
            </w:pPr>
            <w:r w:rsidRPr="00273CE9">
              <w:rPr>
                <w:rFonts w:cs="Times New Roman"/>
              </w:rPr>
              <w:t>17.23</w:t>
            </w:r>
          </w:p>
        </w:tc>
        <w:tc>
          <w:tcPr>
            <w:tcW w:w="5035" w:type="dxa"/>
          </w:tcPr>
          <w:p w14:paraId="632BB957" w14:textId="77777777" w:rsidR="00EC61FE" w:rsidRPr="00273CE9" w:rsidRDefault="00EC61FE" w:rsidP="003126F6">
            <w:pPr>
              <w:rPr>
                <w:rFonts w:cs="Times New Roman"/>
              </w:rPr>
            </w:pPr>
            <w:r w:rsidRPr="00273CE9">
              <w:rPr>
                <w:rFonts w:cs="Times New Roman"/>
              </w:rPr>
              <w:t>Copyright—Affirmative Defense—Fair Use (17 U.S.C. § 107)</w:t>
            </w:r>
          </w:p>
        </w:tc>
      </w:tr>
      <w:tr w:rsidR="00EC61FE" w:rsidRPr="00273CE9" w14:paraId="1A7160E5" w14:textId="77777777" w:rsidTr="003126F6">
        <w:tc>
          <w:tcPr>
            <w:tcW w:w="1345" w:type="dxa"/>
          </w:tcPr>
          <w:p w14:paraId="7845D1E4" w14:textId="77777777" w:rsidR="00EC61FE" w:rsidRPr="00273CE9" w:rsidRDefault="00EC61FE" w:rsidP="003126F6">
            <w:pPr>
              <w:rPr>
                <w:rFonts w:cs="Times New Roman"/>
              </w:rPr>
            </w:pPr>
            <w:r w:rsidRPr="00273CE9">
              <w:rPr>
                <w:rFonts w:cs="Times New Roman"/>
              </w:rPr>
              <w:t>17.23</w:t>
            </w:r>
          </w:p>
        </w:tc>
        <w:tc>
          <w:tcPr>
            <w:tcW w:w="1620" w:type="dxa"/>
          </w:tcPr>
          <w:p w14:paraId="2992193B" w14:textId="77777777" w:rsidR="00EC61FE" w:rsidRPr="00273CE9" w:rsidRDefault="00EC61FE" w:rsidP="003126F6">
            <w:pPr>
              <w:rPr>
                <w:rFonts w:cs="Times New Roman"/>
              </w:rPr>
            </w:pPr>
            <w:r w:rsidRPr="00273CE9">
              <w:rPr>
                <w:rFonts w:cs="Times New Roman"/>
              </w:rPr>
              <w:t>17.23</w:t>
            </w:r>
          </w:p>
        </w:tc>
        <w:tc>
          <w:tcPr>
            <w:tcW w:w="1350" w:type="dxa"/>
          </w:tcPr>
          <w:p w14:paraId="64DEBA95" w14:textId="77777777" w:rsidR="00EC61FE" w:rsidRPr="00273CE9" w:rsidRDefault="00EC61FE" w:rsidP="003126F6">
            <w:pPr>
              <w:rPr>
                <w:rFonts w:cs="Times New Roman"/>
              </w:rPr>
            </w:pPr>
            <w:r w:rsidRPr="00273CE9">
              <w:rPr>
                <w:rFonts w:cs="Times New Roman"/>
              </w:rPr>
              <w:t>17.24</w:t>
            </w:r>
          </w:p>
        </w:tc>
        <w:tc>
          <w:tcPr>
            <w:tcW w:w="5035" w:type="dxa"/>
          </w:tcPr>
          <w:p w14:paraId="4FA8D147" w14:textId="77777777" w:rsidR="00EC61FE" w:rsidRPr="00273CE9" w:rsidRDefault="00EC61FE" w:rsidP="003126F6">
            <w:pPr>
              <w:rPr>
                <w:rFonts w:cs="Times New Roman"/>
              </w:rPr>
            </w:pPr>
            <w:r w:rsidRPr="00273CE9">
              <w:rPr>
                <w:rFonts w:cs="Times New Roman"/>
              </w:rPr>
              <w:t>Copyright—Affirmative Defense—Abandonment</w:t>
            </w:r>
          </w:p>
        </w:tc>
      </w:tr>
      <w:tr w:rsidR="00EC61FE" w:rsidRPr="00273CE9" w14:paraId="7AD8AB24" w14:textId="77777777" w:rsidTr="003126F6">
        <w:tc>
          <w:tcPr>
            <w:tcW w:w="1345" w:type="dxa"/>
          </w:tcPr>
          <w:p w14:paraId="0A9EEB57" w14:textId="77777777" w:rsidR="00EC61FE" w:rsidRPr="00273CE9" w:rsidRDefault="00EC61FE" w:rsidP="003126F6">
            <w:pPr>
              <w:rPr>
                <w:rFonts w:cs="Times New Roman"/>
              </w:rPr>
            </w:pPr>
            <w:r w:rsidRPr="00273CE9">
              <w:rPr>
                <w:rFonts w:cs="Times New Roman"/>
              </w:rPr>
              <w:lastRenderedPageBreak/>
              <w:t>17.24</w:t>
            </w:r>
          </w:p>
        </w:tc>
        <w:tc>
          <w:tcPr>
            <w:tcW w:w="1620" w:type="dxa"/>
          </w:tcPr>
          <w:p w14:paraId="0DB71A49" w14:textId="77777777" w:rsidR="00EC61FE" w:rsidRPr="00273CE9" w:rsidRDefault="00EC61FE" w:rsidP="003126F6">
            <w:pPr>
              <w:rPr>
                <w:rFonts w:cs="Times New Roman"/>
              </w:rPr>
            </w:pPr>
            <w:r w:rsidRPr="00273CE9">
              <w:rPr>
                <w:rFonts w:cs="Times New Roman"/>
              </w:rPr>
              <w:t>17.24</w:t>
            </w:r>
          </w:p>
        </w:tc>
        <w:tc>
          <w:tcPr>
            <w:tcW w:w="1350" w:type="dxa"/>
          </w:tcPr>
          <w:p w14:paraId="44782668" w14:textId="77777777" w:rsidR="00EC61FE" w:rsidRPr="00273CE9" w:rsidRDefault="00EC61FE" w:rsidP="003126F6">
            <w:pPr>
              <w:rPr>
                <w:rFonts w:cs="Times New Roman"/>
              </w:rPr>
            </w:pPr>
            <w:r w:rsidRPr="00273CE9">
              <w:rPr>
                <w:rFonts w:cs="Times New Roman"/>
              </w:rPr>
              <w:t>17.25</w:t>
            </w:r>
          </w:p>
        </w:tc>
        <w:tc>
          <w:tcPr>
            <w:tcW w:w="5035" w:type="dxa"/>
          </w:tcPr>
          <w:p w14:paraId="50662CFC" w14:textId="77777777" w:rsidR="00EC61FE" w:rsidRPr="00273CE9" w:rsidRDefault="00EC61FE" w:rsidP="003126F6">
            <w:pPr>
              <w:rPr>
                <w:rFonts w:cs="Times New Roman"/>
              </w:rPr>
            </w:pPr>
            <w:r w:rsidRPr="00273CE9">
              <w:rPr>
                <w:rFonts w:cs="Times New Roman"/>
              </w:rPr>
              <w:t>Copyright—Affirmative Defense—Copyright Misuse</w:t>
            </w:r>
          </w:p>
        </w:tc>
      </w:tr>
      <w:tr w:rsidR="00EC61FE" w:rsidRPr="00273CE9" w14:paraId="16C8EAB0" w14:textId="77777777" w:rsidTr="003126F6">
        <w:tc>
          <w:tcPr>
            <w:tcW w:w="1345" w:type="dxa"/>
          </w:tcPr>
          <w:p w14:paraId="652A7DFC" w14:textId="77777777" w:rsidR="00EC61FE" w:rsidRPr="00273CE9" w:rsidRDefault="00EC61FE" w:rsidP="003126F6">
            <w:pPr>
              <w:rPr>
                <w:rFonts w:cs="Times New Roman"/>
              </w:rPr>
            </w:pPr>
            <w:r w:rsidRPr="00273CE9">
              <w:rPr>
                <w:rFonts w:cs="Times New Roman"/>
              </w:rPr>
              <w:t>17.25</w:t>
            </w:r>
          </w:p>
        </w:tc>
        <w:tc>
          <w:tcPr>
            <w:tcW w:w="1620" w:type="dxa"/>
          </w:tcPr>
          <w:p w14:paraId="2A301AC5" w14:textId="77777777" w:rsidR="00EC61FE" w:rsidRPr="00273CE9" w:rsidRDefault="00EC61FE" w:rsidP="003126F6">
            <w:pPr>
              <w:rPr>
                <w:rFonts w:cs="Times New Roman"/>
              </w:rPr>
            </w:pPr>
            <w:r w:rsidRPr="00273CE9">
              <w:rPr>
                <w:rFonts w:cs="Times New Roman"/>
              </w:rPr>
              <w:t>17.25</w:t>
            </w:r>
          </w:p>
        </w:tc>
        <w:tc>
          <w:tcPr>
            <w:tcW w:w="1350" w:type="dxa"/>
          </w:tcPr>
          <w:p w14:paraId="127FB277" w14:textId="77777777" w:rsidR="00EC61FE" w:rsidRPr="00273CE9" w:rsidRDefault="00EC61FE" w:rsidP="003126F6">
            <w:pPr>
              <w:rPr>
                <w:rFonts w:cs="Times New Roman"/>
              </w:rPr>
            </w:pPr>
            <w:r w:rsidRPr="00273CE9">
              <w:rPr>
                <w:rFonts w:cs="Times New Roman"/>
              </w:rPr>
              <w:t>17.26</w:t>
            </w:r>
          </w:p>
        </w:tc>
        <w:tc>
          <w:tcPr>
            <w:tcW w:w="5035" w:type="dxa"/>
          </w:tcPr>
          <w:p w14:paraId="47EE29DD" w14:textId="77777777" w:rsidR="00EC61FE" w:rsidRPr="00273CE9" w:rsidRDefault="00EC61FE" w:rsidP="003126F6">
            <w:pPr>
              <w:rPr>
                <w:rFonts w:cs="Times New Roman"/>
              </w:rPr>
            </w:pPr>
            <w:r w:rsidRPr="00273CE9">
              <w:rPr>
                <w:rFonts w:cs="Times New Roman"/>
              </w:rPr>
              <w:t xml:space="preserve">Copyright—Affirmative Defense—Implied License </w:t>
            </w:r>
          </w:p>
        </w:tc>
      </w:tr>
      <w:tr w:rsidR="00EC61FE" w:rsidRPr="00273CE9" w14:paraId="13C179B3" w14:textId="77777777" w:rsidTr="003126F6">
        <w:tc>
          <w:tcPr>
            <w:tcW w:w="1345" w:type="dxa"/>
          </w:tcPr>
          <w:p w14:paraId="34E02EE4" w14:textId="77777777" w:rsidR="00EC61FE" w:rsidRPr="00273CE9" w:rsidRDefault="00EC61FE" w:rsidP="003126F6">
            <w:pPr>
              <w:rPr>
                <w:rFonts w:cs="Times New Roman"/>
              </w:rPr>
            </w:pPr>
            <w:r w:rsidRPr="00273CE9">
              <w:rPr>
                <w:rFonts w:cs="Times New Roman"/>
              </w:rPr>
              <w:t>—</w:t>
            </w:r>
          </w:p>
        </w:tc>
        <w:tc>
          <w:tcPr>
            <w:tcW w:w="1620" w:type="dxa"/>
          </w:tcPr>
          <w:p w14:paraId="1773A936" w14:textId="77777777" w:rsidR="00EC61FE" w:rsidRPr="00273CE9" w:rsidRDefault="00EC61FE" w:rsidP="003126F6">
            <w:pPr>
              <w:rPr>
                <w:rFonts w:cs="Times New Roman"/>
              </w:rPr>
            </w:pPr>
            <w:r w:rsidRPr="00273CE9">
              <w:rPr>
                <w:rFonts w:cs="Times New Roman"/>
              </w:rPr>
              <w:t>17.25A</w:t>
            </w:r>
          </w:p>
        </w:tc>
        <w:tc>
          <w:tcPr>
            <w:tcW w:w="1350" w:type="dxa"/>
          </w:tcPr>
          <w:p w14:paraId="4B2F41ED" w14:textId="77777777" w:rsidR="00EC61FE" w:rsidRPr="00273CE9" w:rsidRDefault="00EC61FE" w:rsidP="003126F6">
            <w:pPr>
              <w:rPr>
                <w:rFonts w:cs="Times New Roman"/>
              </w:rPr>
            </w:pPr>
            <w:r w:rsidRPr="00273CE9">
              <w:rPr>
                <w:rFonts w:cs="Times New Roman"/>
              </w:rPr>
              <w:t>17.27</w:t>
            </w:r>
          </w:p>
        </w:tc>
        <w:tc>
          <w:tcPr>
            <w:tcW w:w="5035" w:type="dxa"/>
          </w:tcPr>
          <w:p w14:paraId="6F00FB9C" w14:textId="77777777" w:rsidR="00EC61FE" w:rsidRPr="00273CE9" w:rsidRDefault="00EC61FE" w:rsidP="003126F6">
            <w:pPr>
              <w:rPr>
                <w:rFonts w:cs="Times New Roman"/>
              </w:rPr>
            </w:pPr>
            <w:r w:rsidRPr="00273CE9">
              <w:rPr>
                <w:rFonts w:cs="Times New Roman"/>
              </w:rPr>
              <w:t>Copyright—Affirmative Defense—Express License</w:t>
            </w:r>
          </w:p>
        </w:tc>
      </w:tr>
      <w:tr w:rsidR="00EC61FE" w:rsidRPr="00273CE9" w14:paraId="4A04E97B" w14:textId="77777777" w:rsidTr="003126F6">
        <w:tc>
          <w:tcPr>
            <w:tcW w:w="1345" w:type="dxa"/>
          </w:tcPr>
          <w:p w14:paraId="00667C68" w14:textId="77777777" w:rsidR="00EC61FE" w:rsidRPr="00273CE9" w:rsidRDefault="00EC61FE" w:rsidP="003126F6">
            <w:pPr>
              <w:rPr>
                <w:rFonts w:cs="Times New Roman"/>
              </w:rPr>
            </w:pPr>
            <w:r w:rsidRPr="00273CE9">
              <w:rPr>
                <w:rFonts w:cs="Times New Roman"/>
              </w:rPr>
              <w:t>17.26</w:t>
            </w:r>
          </w:p>
        </w:tc>
        <w:tc>
          <w:tcPr>
            <w:tcW w:w="1620" w:type="dxa"/>
          </w:tcPr>
          <w:p w14:paraId="76BF53FB" w14:textId="77777777" w:rsidR="00EC61FE" w:rsidRPr="00273CE9" w:rsidRDefault="00EC61FE" w:rsidP="003126F6">
            <w:pPr>
              <w:rPr>
                <w:rFonts w:cs="Times New Roman"/>
              </w:rPr>
            </w:pPr>
            <w:r w:rsidRPr="00273CE9">
              <w:rPr>
                <w:rFonts w:cs="Times New Roman"/>
              </w:rPr>
              <w:t>17.26</w:t>
            </w:r>
          </w:p>
        </w:tc>
        <w:tc>
          <w:tcPr>
            <w:tcW w:w="1350" w:type="dxa"/>
          </w:tcPr>
          <w:p w14:paraId="2505B8DA" w14:textId="77777777" w:rsidR="00EC61FE" w:rsidRPr="00273CE9" w:rsidRDefault="00EC61FE" w:rsidP="003126F6">
            <w:pPr>
              <w:rPr>
                <w:rFonts w:cs="Times New Roman"/>
              </w:rPr>
            </w:pPr>
            <w:r w:rsidRPr="00273CE9">
              <w:rPr>
                <w:rFonts w:cs="Times New Roman"/>
              </w:rPr>
              <w:t>17.28</w:t>
            </w:r>
          </w:p>
        </w:tc>
        <w:tc>
          <w:tcPr>
            <w:tcW w:w="5035" w:type="dxa"/>
          </w:tcPr>
          <w:p w14:paraId="67913E03" w14:textId="77777777" w:rsidR="00EC61FE" w:rsidRPr="00273CE9" w:rsidRDefault="00EC61FE" w:rsidP="003126F6">
            <w:pPr>
              <w:rPr>
                <w:rFonts w:cs="Times New Roman"/>
              </w:rPr>
            </w:pPr>
            <w:r w:rsidRPr="00273CE9">
              <w:rPr>
                <w:rFonts w:cs="Times New Roman"/>
              </w:rPr>
              <w:t>Copyright—Affirmative Defense—First Sale (17 U.S.C. § 109(a))</w:t>
            </w:r>
          </w:p>
        </w:tc>
      </w:tr>
      <w:tr w:rsidR="00EC61FE" w:rsidRPr="00273CE9" w14:paraId="5ABAAE2E" w14:textId="77777777" w:rsidTr="003126F6">
        <w:tc>
          <w:tcPr>
            <w:tcW w:w="1345" w:type="dxa"/>
          </w:tcPr>
          <w:p w14:paraId="397DFF35" w14:textId="77777777" w:rsidR="00EC61FE" w:rsidRPr="00273CE9" w:rsidRDefault="00EC61FE" w:rsidP="003126F6">
            <w:pPr>
              <w:rPr>
                <w:rFonts w:cs="Times New Roman"/>
              </w:rPr>
            </w:pPr>
            <w:r w:rsidRPr="00273CE9">
              <w:rPr>
                <w:rFonts w:cs="Times New Roman"/>
              </w:rPr>
              <w:t>17.27</w:t>
            </w:r>
          </w:p>
        </w:tc>
        <w:tc>
          <w:tcPr>
            <w:tcW w:w="1620" w:type="dxa"/>
          </w:tcPr>
          <w:p w14:paraId="31B460D5" w14:textId="77777777" w:rsidR="00EC61FE" w:rsidRPr="00273CE9" w:rsidRDefault="00EC61FE" w:rsidP="003126F6">
            <w:pPr>
              <w:rPr>
                <w:rFonts w:cs="Times New Roman"/>
              </w:rPr>
            </w:pPr>
            <w:r w:rsidRPr="00273CE9">
              <w:rPr>
                <w:rFonts w:cs="Times New Roman"/>
              </w:rPr>
              <w:t>17.27</w:t>
            </w:r>
          </w:p>
        </w:tc>
        <w:tc>
          <w:tcPr>
            <w:tcW w:w="1350" w:type="dxa"/>
          </w:tcPr>
          <w:p w14:paraId="6FF39747" w14:textId="77777777" w:rsidR="00EC61FE" w:rsidRPr="00273CE9" w:rsidRDefault="00EC61FE" w:rsidP="003126F6">
            <w:pPr>
              <w:rPr>
                <w:rFonts w:cs="Times New Roman"/>
              </w:rPr>
            </w:pPr>
            <w:r w:rsidRPr="00273CE9">
              <w:rPr>
                <w:rFonts w:cs="Times New Roman"/>
              </w:rPr>
              <w:t>17.29</w:t>
            </w:r>
          </w:p>
        </w:tc>
        <w:tc>
          <w:tcPr>
            <w:tcW w:w="5035" w:type="dxa"/>
          </w:tcPr>
          <w:p w14:paraId="6EFF7F11" w14:textId="77777777" w:rsidR="00EC61FE" w:rsidRPr="00273CE9" w:rsidRDefault="00EC61FE" w:rsidP="003126F6">
            <w:pPr>
              <w:rPr>
                <w:rFonts w:cs="Times New Roman"/>
              </w:rPr>
            </w:pPr>
            <w:r w:rsidRPr="00273CE9">
              <w:rPr>
                <w:rFonts w:cs="Times New Roman"/>
              </w:rPr>
              <w:t>Copyright—Affirmative Defense—Service Provider of Network Communications Services Defined (17 U.S.C. §§ 512(i), (k))</w:t>
            </w:r>
          </w:p>
        </w:tc>
      </w:tr>
      <w:tr w:rsidR="00EC61FE" w:rsidRPr="00273CE9" w14:paraId="4A2636AC" w14:textId="77777777" w:rsidTr="003126F6">
        <w:tc>
          <w:tcPr>
            <w:tcW w:w="1345" w:type="dxa"/>
          </w:tcPr>
          <w:p w14:paraId="46B8F00E" w14:textId="77777777" w:rsidR="00EC61FE" w:rsidRPr="00273CE9" w:rsidRDefault="00EC61FE" w:rsidP="003126F6">
            <w:pPr>
              <w:rPr>
                <w:rFonts w:cs="Times New Roman"/>
              </w:rPr>
            </w:pPr>
            <w:r w:rsidRPr="00273CE9">
              <w:rPr>
                <w:rFonts w:cs="Times New Roman"/>
              </w:rPr>
              <w:t>17.28</w:t>
            </w:r>
          </w:p>
        </w:tc>
        <w:tc>
          <w:tcPr>
            <w:tcW w:w="1620" w:type="dxa"/>
          </w:tcPr>
          <w:p w14:paraId="3FDE1EA8" w14:textId="77777777" w:rsidR="00EC61FE" w:rsidRPr="00273CE9" w:rsidRDefault="00EC61FE" w:rsidP="003126F6">
            <w:pPr>
              <w:rPr>
                <w:rFonts w:cs="Times New Roman"/>
              </w:rPr>
            </w:pPr>
            <w:r w:rsidRPr="00273CE9">
              <w:rPr>
                <w:rFonts w:cs="Times New Roman"/>
              </w:rPr>
              <w:t>17.28</w:t>
            </w:r>
          </w:p>
        </w:tc>
        <w:tc>
          <w:tcPr>
            <w:tcW w:w="1350" w:type="dxa"/>
          </w:tcPr>
          <w:p w14:paraId="474AD724" w14:textId="77777777" w:rsidR="00EC61FE" w:rsidRPr="00273CE9" w:rsidRDefault="00EC61FE" w:rsidP="003126F6">
            <w:pPr>
              <w:rPr>
                <w:rFonts w:cs="Times New Roman"/>
              </w:rPr>
            </w:pPr>
            <w:r w:rsidRPr="00273CE9">
              <w:rPr>
                <w:rFonts w:cs="Times New Roman"/>
              </w:rPr>
              <w:t>17.30</w:t>
            </w:r>
          </w:p>
        </w:tc>
        <w:tc>
          <w:tcPr>
            <w:tcW w:w="5035" w:type="dxa"/>
          </w:tcPr>
          <w:p w14:paraId="1D2C5E31" w14:textId="77777777" w:rsidR="00EC61FE" w:rsidRPr="00273CE9" w:rsidRDefault="00EC61FE" w:rsidP="003126F6">
            <w:pPr>
              <w:rPr>
                <w:rFonts w:cs="Times New Roman"/>
              </w:rPr>
            </w:pPr>
            <w:r w:rsidRPr="00273CE9">
              <w:rPr>
                <w:rFonts w:cs="Times New Roman"/>
              </w:rPr>
              <w:t>Copyright—Affirmative Defense—Limitation on Liability for Transitory Digital Network Communications (17 U.S.C. § 512(a))</w:t>
            </w:r>
          </w:p>
        </w:tc>
      </w:tr>
      <w:tr w:rsidR="00EC61FE" w:rsidRPr="00273CE9" w14:paraId="70EC8912" w14:textId="77777777" w:rsidTr="003126F6">
        <w:tc>
          <w:tcPr>
            <w:tcW w:w="1345" w:type="dxa"/>
          </w:tcPr>
          <w:p w14:paraId="370C3927" w14:textId="77777777" w:rsidR="00EC61FE" w:rsidRPr="00273CE9" w:rsidRDefault="00EC61FE" w:rsidP="003126F6">
            <w:pPr>
              <w:rPr>
                <w:rFonts w:cs="Times New Roman"/>
              </w:rPr>
            </w:pPr>
            <w:r w:rsidRPr="00273CE9">
              <w:rPr>
                <w:rFonts w:cs="Times New Roman"/>
              </w:rPr>
              <w:t>17.29</w:t>
            </w:r>
          </w:p>
        </w:tc>
        <w:tc>
          <w:tcPr>
            <w:tcW w:w="1620" w:type="dxa"/>
          </w:tcPr>
          <w:p w14:paraId="6AF970BF" w14:textId="77777777" w:rsidR="00EC61FE" w:rsidRPr="00273CE9" w:rsidRDefault="00EC61FE" w:rsidP="003126F6">
            <w:pPr>
              <w:rPr>
                <w:rFonts w:cs="Times New Roman"/>
              </w:rPr>
            </w:pPr>
            <w:r w:rsidRPr="00273CE9">
              <w:rPr>
                <w:rFonts w:cs="Times New Roman"/>
              </w:rPr>
              <w:t>17.29</w:t>
            </w:r>
          </w:p>
        </w:tc>
        <w:tc>
          <w:tcPr>
            <w:tcW w:w="1350" w:type="dxa"/>
          </w:tcPr>
          <w:p w14:paraId="7E673895" w14:textId="77777777" w:rsidR="00EC61FE" w:rsidRPr="00273CE9" w:rsidRDefault="00EC61FE" w:rsidP="003126F6">
            <w:pPr>
              <w:rPr>
                <w:rFonts w:cs="Times New Roman"/>
              </w:rPr>
            </w:pPr>
            <w:r w:rsidRPr="00273CE9">
              <w:rPr>
                <w:rFonts w:cs="Times New Roman"/>
              </w:rPr>
              <w:t>17.31</w:t>
            </w:r>
          </w:p>
        </w:tc>
        <w:tc>
          <w:tcPr>
            <w:tcW w:w="5035" w:type="dxa"/>
          </w:tcPr>
          <w:p w14:paraId="58F2AD3B" w14:textId="77777777" w:rsidR="00EC61FE" w:rsidRPr="00273CE9" w:rsidRDefault="00EC61FE" w:rsidP="003126F6">
            <w:pPr>
              <w:rPr>
                <w:rFonts w:cs="Times New Roman"/>
              </w:rPr>
            </w:pPr>
            <w:r w:rsidRPr="00273CE9">
              <w:rPr>
                <w:rFonts w:cs="Times New Roman"/>
              </w:rPr>
              <w:t>Copyright—Affirmative Defense—Limitation on Liability for System Caching (17 U.S.C. § 512(b))</w:t>
            </w:r>
          </w:p>
        </w:tc>
      </w:tr>
      <w:tr w:rsidR="00EC61FE" w:rsidRPr="00273CE9" w14:paraId="5FABD1B6" w14:textId="77777777" w:rsidTr="003126F6">
        <w:tc>
          <w:tcPr>
            <w:tcW w:w="1345" w:type="dxa"/>
          </w:tcPr>
          <w:p w14:paraId="3D53732C" w14:textId="77777777" w:rsidR="00EC61FE" w:rsidRPr="00273CE9" w:rsidRDefault="00EC61FE" w:rsidP="003126F6">
            <w:pPr>
              <w:rPr>
                <w:rFonts w:cs="Times New Roman"/>
              </w:rPr>
            </w:pPr>
            <w:r w:rsidRPr="00273CE9">
              <w:rPr>
                <w:rFonts w:cs="Times New Roman"/>
              </w:rPr>
              <w:t>17.30</w:t>
            </w:r>
          </w:p>
        </w:tc>
        <w:tc>
          <w:tcPr>
            <w:tcW w:w="1620" w:type="dxa"/>
          </w:tcPr>
          <w:p w14:paraId="45762DBC" w14:textId="77777777" w:rsidR="00EC61FE" w:rsidRPr="00273CE9" w:rsidRDefault="00EC61FE" w:rsidP="003126F6">
            <w:pPr>
              <w:rPr>
                <w:rFonts w:cs="Times New Roman"/>
              </w:rPr>
            </w:pPr>
            <w:r w:rsidRPr="00273CE9">
              <w:rPr>
                <w:rFonts w:cs="Times New Roman"/>
              </w:rPr>
              <w:t>17.30</w:t>
            </w:r>
          </w:p>
        </w:tc>
        <w:tc>
          <w:tcPr>
            <w:tcW w:w="1350" w:type="dxa"/>
          </w:tcPr>
          <w:p w14:paraId="61C55B76" w14:textId="77777777" w:rsidR="00EC61FE" w:rsidRPr="00273CE9" w:rsidRDefault="00EC61FE" w:rsidP="003126F6">
            <w:pPr>
              <w:rPr>
                <w:rFonts w:cs="Times New Roman"/>
              </w:rPr>
            </w:pPr>
            <w:r w:rsidRPr="00273CE9">
              <w:rPr>
                <w:rFonts w:cs="Times New Roman"/>
              </w:rPr>
              <w:t>17.32</w:t>
            </w:r>
          </w:p>
        </w:tc>
        <w:tc>
          <w:tcPr>
            <w:tcW w:w="5035" w:type="dxa"/>
          </w:tcPr>
          <w:p w14:paraId="6B52B9B9" w14:textId="77777777" w:rsidR="00EC61FE" w:rsidRPr="00273CE9" w:rsidRDefault="00EC61FE" w:rsidP="003126F6">
            <w:pPr>
              <w:rPr>
                <w:rFonts w:cs="Times New Roman"/>
              </w:rPr>
            </w:pPr>
            <w:r w:rsidRPr="00273CE9">
              <w:rPr>
                <w:rFonts w:cs="Times New Roman"/>
              </w:rPr>
              <w:t>Copyright—Affirmative Defense—Limitation on Liability for Information Residing on Systems or Networks at Direction of Users (17 U.S.C. § 512(c))</w:t>
            </w:r>
          </w:p>
        </w:tc>
      </w:tr>
      <w:tr w:rsidR="00EC61FE" w:rsidRPr="00273CE9" w14:paraId="15FCAF0C" w14:textId="77777777" w:rsidTr="003126F6">
        <w:tc>
          <w:tcPr>
            <w:tcW w:w="1345" w:type="dxa"/>
          </w:tcPr>
          <w:p w14:paraId="5D991559" w14:textId="77777777" w:rsidR="00EC61FE" w:rsidRPr="00273CE9" w:rsidRDefault="00EC61FE" w:rsidP="003126F6">
            <w:pPr>
              <w:rPr>
                <w:rFonts w:cs="Times New Roman"/>
              </w:rPr>
            </w:pPr>
            <w:r w:rsidRPr="00273CE9">
              <w:rPr>
                <w:rFonts w:cs="Times New Roman"/>
              </w:rPr>
              <w:t>17.31</w:t>
            </w:r>
          </w:p>
        </w:tc>
        <w:tc>
          <w:tcPr>
            <w:tcW w:w="1620" w:type="dxa"/>
          </w:tcPr>
          <w:p w14:paraId="54D4D631" w14:textId="77777777" w:rsidR="00EC61FE" w:rsidRPr="00273CE9" w:rsidRDefault="00EC61FE" w:rsidP="003126F6">
            <w:pPr>
              <w:rPr>
                <w:rFonts w:cs="Times New Roman"/>
              </w:rPr>
            </w:pPr>
            <w:r w:rsidRPr="00273CE9">
              <w:rPr>
                <w:rFonts w:cs="Times New Roman"/>
              </w:rPr>
              <w:t>17.31</w:t>
            </w:r>
          </w:p>
        </w:tc>
        <w:tc>
          <w:tcPr>
            <w:tcW w:w="1350" w:type="dxa"/>
          </w:tcPr>
          <w:p w14:paraId="0429EDFF" w14:textId="77777777" w:rsidR="00EC61FE" w:rsidRPr="00273CE9" w:rsidRDefault="00EC61FE" w:rsidP="003126F6">
            <w:pPr>
              <w:rPr>
                <w:rFonts w:cs="Times New Roman"/>
              </w:rPr>
            </w:pPr>
            <w:r w:rsidRPr="00273CE9">
              <w:rPr>
                <w:rFonts w:cs="Times New Roman"/>
              </w:rPr>
              <w:t>17.33</w:t>
            </w:r>
          </w:p>
        </w:tc>
        <w:tc>
          <w:tcPr>
            <w:tcW w:w="5035" w:type="dxa"/>
          </w:tcPr>
          <w:p w14:paraId="579BFB18" w14:textId="77777777" w:rsidR="00EC61FE" w:rsidRPr="00273CE9" w:rsidRDefault="00EC61FE" w:rsidP="003126F6">
            <w:pPr>
              <w:rPr>
                <w:rFonts w:cs="Times New Roman"/>
              </w:rPr>
            </w:pPr>
            <w:r w:rsidRPr="00273CE9">
              <w:rPr>
                <w:rFonts w:cs="Times New Roman"/>
              </w:rPr>
              <w:t>Copyright—Affirmative Defense—Limitation on Liability for Information Location Tools (17 U.S.C. § 512(d))</w:t>
            </w:r>
          </w:p>
        </w:tc>
      </w:tr>
      <w:tr w:rsidR="00EC61FE" w:rsidRPr="00273CE9" w14:paraId="44FB958D" w14:textId="77777777" w:rsidTr="003126F6">
        <w:tc>
          <w:tcPr>
            <w:tcW w:w="1345" w:type="dxa"/>
          </w:tcPr>
          <w:p w14:paraId="19D42558" w14:textId="77777777" w:rsidR="00EC61FE" w:rsidRPr="00273CE9" w:rsidRDefault="00EC61FE" w:rsidP="003126F6">
            <w:pPr>
              <w:rPr>
                <w:rFonts w:cs="Times New Roman"/>
              </w:rPr>
            </w:pPr>
            <w:r w:rsidRPr="00273CE9">
              <w:rPr>
                <w:rFonts w:cs="Times New Roman"/>
              </w:rPr>
              <w:t>17.32</w:t>
            </w:r>
          </w:p>
        </w:tc>
        <w:tc>
          <w:tcPr>
            <w:tcW w:w="1620" w:type="dxa"/>
          </w:tcPr>
          <w:p w14:paraId="7AA96D78" w14:textId="77777777" w:rsidR="00EC61FE" w:rsidRPr="00273CE9" w:rsidRDefault="00EC61FE" w:rsidP="003126F6">
            <w:pPr>
              <w:rPr>
                <w:rFonts w:cs="Times New Roman"/>
              </w:rPr>
            </w:pPr>
            <w:r w:rsidRPr="00273CE9">
              <w:rPr>
                <w:rFonts w:cs="Times New Roman"/>
              </w:rPr>
              <w:t>17.32</w:t>
            </w:r>
          </w:p>
        </w:tc>
        <w:tc>
          <w:tcPr>
            <w:tcW w:w="1350" w:type="dxa"/>
          </w:tcPr>
          <w:p w14:paraId="50D97FE4" w14:textId="77777777" w:rsidR="00EC61FE" w:rsidRPr="00273CE9" w:rsidRDefault="00EC61FE" w:rsidP="003126F6">
            <w:pPr>
              <w:rPr>
                <w:rFonts w:cs="Times New Roman"/>
              </w:rPr>
            </w:pPr>
            <w:r w:rsidRPr="00273CE9">
              <w:rPr>
                <w:rFonts w:cs="Times New Roman"/>
              </w:rPr>
              <w:t>17.34</w:t>
            </w:r>
          </w:p>
        </w:tc>
        <w:tc>
          <w:tcPr>
            <w:tcW w:w="5035" w:type="dxa"/>
          </w:tcPr>
          <w:p w14:paraId="430C2BDD" w14:textId="77777777" w:rsidR="00EC61FE" w:rsidRPr="00273CE9" w:rsidRDefault="00EC61FE" w:rsidP="003126F6">
            <w:pPr>
              <w:rPr>
                <w:rFonts w:cs="Times New Roman"/>
              </w:rPr>
            </w:pPr>
            <w:r w:rsidRPr="00273CE9">
              <w:rPr>
                <w:rFonts w:cs="Times New Roman"/>
              </w:rPr>
              <w:t>Copyright—Damages (17 U.S.C. § 504)</w:t>
            </w:r>
          </w:p>
        </w:tc>
      </w:tr>
      <w:tr w:rsidR="00EC61FE" w:rsidRPr="00273CE9" w14:paraId="681158E4" w14:textId="77777777" w:rsidTr="003126F6">
        <w:tc>
          <w:tcPr>
            <w:tcW w:w="1345" w:type="dxa"/>
          </w:tcPr>
          <w:p w14:paraId="02A51B04" w14:textId="77777777" w:rsidR="00EC61FE" w:rsidRPr="00273CE9" w:rsidRDefault="00EC61FE" w:rsidP="003126F6">
            <w:pPr>
              <w:rPr>
                <w:rFonts w:cs="Times New Roman"/>
              </w:rPr>
            </w:pPr>
            <w:r w:rsidRPr="00273CE9">
              <w:rPr>
                <w:rFonts w:cs="Times New Roman"/>
              </w:rPr>
              <w:t>17.33</w:t>
            </w:r>
          </w:p>
        </w:tc>
        <w:tc>
          <w:tcPr>
            <w:tcW w:w="1620" w:type="dxa"/>
          </w:tcPr>
          <w:p w14:paraId="130A254C" w14:textId="77777777" w:rsidR="00EC61FE" w:rsidRPr="00273CE9" w:rsidRDefault="00EC61FE" w:rsidP="003126F6">
            <w:pPr>
              <w:rPr>
                <w:rFonts w:cs="Times New Roman"/>
              </w:rPr>
            </w:pPr>
            <w:r w:rsidRPr="00273CE9">
              <w:rPr>
                <w:rFonts w:cs="Times New Roman"/>
              </w:rPr>
              <w:t>17.33</w:t>
            </w:r>
          </w:p>
        </w:tc>
        <w:tc>
          <w:tcPr>
            <w:tcW w:w="1350" w:type="dxa"/>
          </w:tcPr>
          <w:p w14:paraId="07459AF9" w14:textId="77777777" w:rsidR="00EC61FE" w:rsidRPr="00273CE9" w:rsidRDefault="00EC61FE" w:rsidP="003126F6">
            <w:pPr>
              <w:rPr>
                <w:rFonts w:cs="Times New Roman"/>
              </w:rPr>
            </w:pPr>
            <w:r w:rsidRPr="00273CE9">
              <w:rPr>
                <w:rFonts w:cs="Times New Roman"/>
              </w:rPr>
              <w:t>17.35</w:t>
            </w:r>
          </w:p>
        </w:tc>
        <w:tc>
          <w:tcPr>
            <w:tcW w:w="5035" w:type="dxa"/>
          </w:tcPr>
          <w:p w14:paraId="1456FC14" w14:textId="77777777" w:rsidR="00EC61FE" w:rsidRPr="00273CE9" w:rsidRDefault="00EC61FE" w:rsidP="003126F6">
            <w:pPr>
              <w:rPr>
                <w:rFonts w:cs="Times New Roman"/>
              </w:rPr>
            </w:pPr>
            <w:r w:rsidRPr="00273CE9">
              <w:rPr>
                <w:rFonts w:cs="Times New Roman"/>
              </w:rPr>
              <w:t>Copyright—Damages—Actual Damages (17 U.S.C. § 504(b))</w:t>
            </w:r>
          </w:p>
        </w:tc>
      </w:tr>
      <w:tr w:rsidR="00EC61FE" w:rsidRPr="00273CE9" w14:paraId="52809D2E" w14:textId="77777777" w:rsidTr="003126F6">
        <w:tc>
          <w:tcPr>
            <w:tcW w:w="1345" w:type="dxa"/>
          </w:tcPr>
          <w:p w14:paraId="7C8C038F" w14:textId="77777777" w:rsidR="00EC61FE" w:rsidRPr="00273CE9" w:rsidRDefault="00EC61FE" w:rsidP="003126F6">
            <w:pPr>
              <w:rPr>
                <w:rFonts w:cs="Times New Roman"/>
              </w:rPr>
            </w:pPr>
            <w:r w:rsidRPr="00273CE9">
              <w:rPr>
                <w:rFonts w:cs="Times New Roman"/>
              </w:rPr>
              <w:t>17.34</w:t>
            </w:r>
          </w:p>
        </w:tc>
        <w:tc>
          <w:tcPr>
            <w:tcW w:w="1620" w:type="dxa"/>
          </w:tcPr>
          <w:p w14:paraId="227171E6" w14:textId="77777777" w:rsidR="00EC61FE" w:rsidRPr="00273CE9" w:rsidRDefault="00EC61FE" w:rsidP="003126F6">
            <w:pPr>
              <w:rPr>
                <w:rFonts w:cs="Times New Roman"/>
              </w:rPr>
            </w:pPr>
            <w:r w:rsidRPr="00273CE9">
              <w:rPr>
                <w:rFonts w:cs="Times New Roman"/>
              </w:rPr>
              <w:t>17.34</w:t>
            </w:r>
          </w:p>
        </w:tc>
        <w:tc>
          <w:tcPr>
            <w:tcW w:w="1350" w:type="dxa"/>
          </w:tcPr>
          <w:p w14:paraId="752B3C39" w14:textId="77777777" w:rsidR="00EC61FE" w:rsidRPr="00273CE9" w:rsidRDefault="00EC61FE" w:rsidP="003126F6">
            <w:pPr>
              <w:rPr>
                <w:rFonts w:cs="Times New Roman"/>
              </w:rPr>
            </w:pPr>
            <w:r w:rsidRPr="00273CE9">
              <w:rPr>
                <w:rFonts w:cs="Times New Roman"/>
              </w:rPr>
              <w:t>17.36</w:t>
            </w:r>
          </w:p>
        </w:tc>
        <w:tc>
          <w:tcPr>
            <w:tcW w:w="5035" w:type="dxa"/>
          </w:tcPr>
          <w:p w14:paraId="16B25557" w14:textId="77777777" w:rsidR="00EC61FE" w:rsidRPr="00273CE9" w:rsidRDefault="00EC61FE" w:rsidP="003126F6">
            <w:pPr>
              <w:rPr>
                <w:rFonts w:cs="Times New Roman"/>
              </w:rPr>
            </w:pPr>
            <w:r w:rsidRPr="00273CE9">
              <w:rPr>
                <w:rFonts w:cs="Times New Roman"/>
              </w:rPr>
              <w:t>Copyright—Damages—Defendant’s Profits (17 U.S.C. § 504(b))</w:t>
            </w:r>
          </w:p>
        </w:tc>
      </w:tr>
      <w:tr w:rsidR="00EC61FE" w:rsidRPr="00273CE9" w14:paraId="15009792" w14:textId="77777777" w:rsidTr="003126F6">
        <w:tc>
          <w:tcPr>
            <w:tcW w:w="1345" w:type="dxa"/>
          </w:tcPr>
          <w:p w14:paraId="2B1ADEDB" w14:textId="77777777" w:rsidR="00EC61FE" w:rsidRPr="00273CE9" w:rsidRDefault="00EC61FE" w:rsidP="003126F6">
            <w:pPr>
              <w:rPr>
                <w:rFonts w:cs="Times New Roman"/>
              </w:rPr>
            </w:pPr>
            <w:r w:rsidRPr="00273CE9">
              <w:rPr>
                <w:rFonts w:cs="Times New Roman"/>
              </w:rPr>
              <w:t>17.35</w:t>
            </w:r>
          </w:p>
        </w:tc>
        <w:tc>
          <w:tcPr>
            <w:tcW w:w="1620" w:type="dxa"/>
          </w:tcPr>
          <w:p w14:paraId="40E435AD" w14:textId="77777777" w:rsidR="00EC61FE" w:rsidRPr="00273CE9" w:rsidRDefault="00EC61FE" w:rsidP="003126F6">
            <w:pPr>
              <w:rPr>
                <w:rFonts w:cs="Times New Roman"/>
              </w:rPr>
            </w:pPr>
            <w:r w:rsidRPr="00273CE9">
              <w:rPr>
                <w:rFonts w:cs="Times New Roman"/>
              </w:rPr>
              <w:t>17.35</w:t>
            </w:r>
          </w:p>
        </w:tc>
        <w:tc>
          <w:tcPr>
            <w:tcW w:w="1350" w:type="dxa"/>
          </w:tcPr>
          <w:p w14:paraId="0DEBF795" w14:textId="77777777" w:rsidR="00EC61FE" w:rsidRPr="00273CE9" w:rsidRDefault="00EC61FE" w:rsidP="003126F6">
            <w:pPr>
              <w:rPr>
                <w:rFonts w:cs="Times New Roman"/>
              </w:rPr>
            </w:pPr>
            <w:r w:rsidRPr="00273CE9">
              <w:rPr>
                <w:rFonts w:cs="Times New Roman"/>
              </w:rPr>
              <w:t>17.37</w:t>
            </w:r>
          </w:p>
        </w:tc>
        <w:tc>
          <w:tcPr>
            <w:tcW w:w="5035" w:type="dxa"/>
          </w:tcPr>
          <w:p w14:paraId="3085B86A" w14:textId="77777777" w:rsidR="00EC61FE" w:rsidRPr="00273CE9" w:rsidRDefault="00EC61FE" w:rsidP="003126F6">
            <w:pPr>
              <w:rPr>
                <w:rFonts w:cs="Times New Roman"/>
              </w:rPr>
            </w:pPr>
            <w:r w:rsidRPr="00273CE9">
              <w:rPr>
                <w:rFonts w:cs="Times New Roman"/>
              </w:rPr>
              <w:t>Copyright—Damages—Statutory Damages (17 U.S.C. § 504(c))</w:t>
            </w:r>
          </w:p>
        </w:tc>
      </w:tr>
      <w:tr w:rsidR="00EC61FE" w:rsidRPr="00273CE9" w14:paraId="5281E460" w14:textId="77777777" w:rsidTr="003126F6">
        <w:tc>
          <w:tcPr>
            <w:tcW w:w="1345" w:type="dxa"/>
          </w:tcPr>
          <w:p w14:paraId="52C38671" w14:textId="77777777" w:rsidR="00EC61FE" w:rsidRPr="00273CE9" w:rsidRDefault="00EC61FE" w:rsidP="003126F6">
            <w:pPr>
              <w:rPr>
                <w:rFonts w:cs="Times New Roman"/>
              </w:rPr>
            </w:pPr>
            <w:r w:rsidRPr="00273CE9">
              <w:rPr>
                <w:rFonts w:cs="Times New Roman"/>
              </w:rPr>
              <w:t>17.36</w:t>
            </w:r>
          </w:p>
        </w:tc>
        <w:tc>
          <w:tcPr>
            <w:tcW w:w="1620" w:type="dxa"/>
          </w:tcPr>
          <w:p w14:paraId="3209850D" w14:textId="77777777" w:rsidR="00EC61FE" w:rsidRPr="00273CE9" w:rsidRDefault="00EC61FE" w:rsidP="003126F6">
            <w:pPr>
              <w:rPr>
                <w:rFonts w:cs="Times New Roman"/>
              </w:rPr>
            </w:pPr>
            <w:r w:rsidRPr="00273CE9">
              <w:rPr>
                <w:rFonts w:cs="Times New Roman"/>
              </w:rPr>
              <w:t>17.36</w:t>
            </w:r>
          </w:p>
        </w:tc>
        <w:tc>
          <w:tcPr>
            <w:tcW w:w="1350" w:type="dxa"/>
          </w:tcPr>
          <w:p w14:paraId="3242220F" w14:textId="77777777" w:rsidR="00EC61FE" w:rsidRPr="00273CE9" w:rsidRDefault="00EC61FE" w:rsidP="003126F6">
            <w:pPr>
              <w:rPr>
                <w:rFonts w:cs="Times New Roman"/>
              </w:rPr>
            </w:pPr>
            <w:r w:rsidRPr="00273CE9">
              <w:rPr>
                <w:rFonts w:cs="Times New Roman"/>
              </w:rPr>
              <w:t>17.38</w:t>
            </w:r>
          </w:p>
        </w:tc>
        <w:tc>
          <w:tcPr>
            <w:tcW w:w="5035" w:type="dxa"/>
          </w:tcPr>
          <w:p w14:paraId="2E21673A" w14:textId="77777777" w:rsidR="00EC61FE" w:rsidRPr="00273CE9" w:rsidRDefault="00EC61FE" w:rsidP="003126F6">
            <w:pPr>
              <w:rPr>
                <w:rFonts w:cs="Times New Roman"/>
              </w:rPr>
            </w:pPr>
            <w:r w:rsidRPr="00273CE9">
              <w:rPr>
                <w:rFonts w:cs="Times New Roman"/>
              </w:rPr>
              <w:t>Copyright—Damages—Innocent Infringement (17 U.S.C. § 504(c)(2))</w:t>
            </w:r>
          </w:p>
        </w:tc>
      </w:tr>
      <w:tr w:rsidR="00EC61FE" w:rsidRPr="00273CE9" w14:paraId="5028919B" w14:textId="77777777" w:rsidTr="003126F6">
        <w:tc>
          <w:tcPr>
            <w:tcW w:w="1345" w:type="dxa"/>
          </w:tcPr>
          <w:p w14:paraId="5C231B94" w14:textId="77777777" w:rsidR="00EC61FE" w:rsidRPr="00273CE9" w:rsidRDefault="00EC61FE" w:rsidP="003126F6">
            <w:pPr>
              <w:rPr>
                <w:rFonts w:cs="Times New Roman"/>
              </w:rPr>
            </w:pPr>
            <w:r w:rsidRPr="00273CE9">
              <w:rPr>
                <w:rFonts w:cs="Times New Roman"/>
              </w:rPr>
              <w:t>17.37</w:t>
            </w:r>
          </w:p>
        </w:tc>
        <w:tc>
          <w:tcPr>
            <w:tcW w:w="1620" w:type="dxa"/>
          </w:tcPr>
          <w:p w14:paraId="49E5DB66" w14:textId="77777777" w:rsidR="00EC61FE" w:rsidRPr="00273CE9" w:rsidRDefault="00EC61FE" w:rsidP="003126F6">
            <w:pPr>
              <w:rPr>
                <w:rFonts w:cs="Times New Roman"/>
              </w:rPr>
            </w:pPr>
            <w:r w:rsidRPr="00273CE9">
              <w:rPr>
                <w:rFonts w:cs="Times New Roman"/>
              </w:rPr>
              <w:t>17.37</w:t>
            </w:r>
          </w:p>
        </w:tc>
        <w:tc>
          <w:tcPr>
            <w:tcW w:w="1350" w:type="dxa"/>
          </w:tcPr>
          <w:p w14:paraId="121EC1B5" w14:textId="77777777" w:rsidR="00EC61FE" w:rsidRPr="00273CE9" w:rsidRDefault="00EC61FE" w:rsidP="003126F6">
            <w:pPr>
              <w:rPr>
                <w:rFonts w:cs="Times New Roman"/>
              </w:rPr>
            </w:pPr>
            <w:r w:rsidRPr="00273CE9">
              <w:rPr>
                <w:rFonts w:cs="Times New Roman"/>
              </w:rPr>
              <w:t>17.39</w:t>
            </w:r>
          </w:p>
        </w:tc>
        <w:tc>
          <w:tcPr>
            <w:tcW w:w="5035" w:type="dxa"/>
          </w:tcPr>
          <w:p w14:paraId="40F9F493" w14:textId="77777777" w:rsidR="00EC61FE" w:rsidRPr="00273CE9" w:rsidRDefault="00EC61FE" w:rsidP="003126F6">
            <w:pPr>
              <w:rPr>
                <w:rFonts w:cs="Times New Roman"/>
              </w:rPr>
            </w:pPr>
            <w:r w:rsidRPr="00273CE9">
              <w:rPr>
                <w:rFonts w:cs="Times New Roman"/>
              </w:rPr>
              <w:t>Copyright—Damages—Willful Infringement (17 U.S.C. § 504(c)(2))</w:t>
            </w:r>
          </w:p>
        </w:tc>
      </w:tr>
    </w:tbl>
    <w:p w14:paraId="3F66B7DB" w14:textId="77777777" w:rsidR="00EC61FE" w:rsidRPr="00273CE9" w:rsidRDefault="00EC61FE" w:rsidP="00EC61FE">
      <w:pPr>
        <w:rPr>
          <w:rFonts w:cs="Times New Roman"/>
        </w:rPr>
      </w:pPr>
    </w:p>
    <w:p w14:paraId="7395BC1A" w14:textId="15CE1E46" w:rsidR="00EC61FE" w:rsidRPr="002B283E" w:rsidRDefault="00EC61FE" w:rsidP="002B283E">
      <w:pPr>
        <w:rPr>
          <w:rFonts w:cs="Times New Roman"/>
          <w:szCs w:val="24"/>
        </w:rPr>
        <w:sectPr w:rsidR="00EC61FE" w:rsidRPr="002B283E" w:rsidSect="007476B8">
          <w:footerReference w:type="default" r:id="rId10"/>
          <w:pgSz w:w="12240" w:h="15840"/>
          <w:pgMar w:top="1350" w:right="1530" w:bottom="1170" w:left="1440" w:header="1440" w:footer="1170" w:gutter="0"/>
          <w:pgNumType w:fmt="lowerRoman" w:start="1"/>
          <w:cols w:space="720"/>
        </w:sectPr>
      </w:pPr>
    </w:p>
    <w:p w14:paraId="01465631" w14:textId="6274A05B"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TABLE OF CONTENTS</w:t>
      </w:r>
      <w:r w:rsidR="00D1021C" w:rsidRPr="002B283E">
        <w:rPr>
          <w:rFonts w:cs="Times New Roman"/>
          <w:b/>
          <w:bCs/>
          <w:szCs w:val="24"/>
        </w:rPr>
        <w:br/>
        <w:t>CIVIL INSTRUCTIONS</w:t>
      </w:r>
    </w:p>
    <w:sdt>
      <w:sdtPr>
        <w:rPr>
          <w:rFonts w:ascii="Times New Roman" w:eastAsiaTheme="minorHAnsi" w:hAnsi="Times New Roman" w:cs="Times New Roman"/>
          <w:color w:val="auto"/>
          <w:sz w:val="24"/>
          <w:szCs w:val="24"/>
        </w:rPr>
        <w:id w:val="980343171"/>
        <w:docPartObj>
          <w:docPartGallery w:val="Table of Contents"/>
          <w:docPartUnique/>
        </w:docPartObj>
      </w:sdtPr>
      <w:sdtEndPr>
        <w:rPr>
          <w:noProof/>
        </w:rPr>
      </w:sdtEndPr>
      <w:sdtContent>
        <w:p w14:paraId="2AE2DFB9" w14:textId="77777777" w:rsidR="008F5159" w:rsidRPr="00826E77" w:rsidRDefault="008F5159" w:rsidP="002B283E">
          <w:pPr>
            <w:pStyle w:val="TOCHeading"/>
            <w:spacing w:before="0" w:line="240" w:lineRule="auto"/>
            <w:rPr>
              <w:rFonts w:ascii="Times New Roman" w:hAnsi="Times New Roman" w:cs="Times New Roman"/>
              <w:color w:val="auto"/>
              <w:sz w:val="24"/>
              <w:szCs w:val="24"/>
            </w:rPr>
          </w:pPr>
        </w:p>
        <w:p w14:paraId="322384EF" w14:textId="55497CC3" w:rsidR="0068478E" w:rsidRDefault="008F5159">
          <w:pPr>
            <w:pStyle w:val="TOC1"/>
            <w:rPr>
              <w:rFonts w:asciiTheme="minorHAnsi" w:eastAsiaTheme="minorEastAsia" w:hAnsiTheme="minorHAnsi"/>
              <w:noProof/>
              <w:kern w:val="2"/>
              <w:szCs w:val="24"/>
              <w14:ligatures w14:val="standardContextual"/>
            </w:rPr>
          </w:pPr>
          <w:r w:rsidRPr="00826E77">
            <w:rPr>
              <w:rFonts w:cs="Times New Roman"/>
              <w:szCs w:val="24"/>
            </w:rPr>
            <w:fldChar w:fldCharType="begin"/>
          </w:r>
          <w:r w:rsidRPr="00826E77">
            <w:rPr>
              <w:rFonts w:cs="Times New Roman"/>
              <w:szCs w:val="24"/>
            </w:rPr>
            <w:instrText xml:space="preserve"> TOC \o "1-3" \h \z \u </w:instrText>
          </w:r>
          <w:r w:rsidRPr="00826E77">
            <w:rPr>
              <w:rFonts w:cs="Times New Roman"/>
              <w:szCs w:val="24"/>
            </w:rPr>
            <w:fldChar w:fldCharType="separate"/>
          </w:r>
          <w:hyperlink w:anchor="_Toc221525058" w:history="1">
            <w:r w:rsidR="0068478E" w:rsidRPr="003A1D65">
              <w:rPr>
                <w:rStyle w:val="Hyperlink"/>
                <w:noProof/>
              </w:rPr>
              <w:t>1. INSTRUCTIONS ON THE TRIAL PROCESS</w:t>
            </w:r>
            <w:r w:rsidR="0068478E">
              <w:rPr>
                <w:noProof/>
                <w:webHidden/>
              </w:rPr>
              <w:tab/>
            </w:r>
            <w:r w:rsidR="0068478E">
              <w:rPr>
                <w:noProof/>
                <w:webHidden/>
              </w:rPr>
              <w:fldChar w:fldCharType="begin"/>
            </w:r>
            <w:r w:rsidR="0068478E">
              <w:rPr>
                <w:noProof/>
                <w:webHidden/>
              </w:rPr>
              <w:instrText xml:space="preserve"> PAGEREF _Toc221525058 \h </w:instrText>
            </w:r>
            <w:r w:rsidR="0068478E">
              <w:rPr>
                <w:noProof/>
                <w:webHidden/>
              </w:rPr>
            </w:r>
            <w:r w:rsidR="0068478E">
              <w:rPr>
                <w:noProof/>
                <w:webHidden/>
              </w:rPr>
              <w:fldChar w:fldCharType="separate"/>
            </w:r>
            <w:r w:rsidR="00313A05">
              <w:rPr>
                <w:noProof/>
                <w:webHidden/>
              </w:rPr>
              <w:t>1</w:t>
            </w:r>
            <w:r w:rsidR="0068478E">
              <w:rPr>
                <w:noProof/>
                <w:webHidden/>
              </w:rPr>
              <w:fldChar w:fldCharType="end"/>
            </w:r>
          </w:hyperlink>
        </w:p>
        <w:p w14:paraId="17AF9FCA" w14:textId="7A7DDC5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59" w:history="1">
            <w:r w:rsidRPr="003A1D65">
              <w:rPr>
                <w:rStyle w:val="Hyperlink"/>
              </w:rPr>
              <w:t>Introductory Comment</w:t>
            </w:r>
            <w:r>
              <w:rPr>
                <w:webHidden/>
              </w:rPr>
              <w:tab/>
            </w:r>
            <w:r>
              <w:rPr>
                <w:webHidden/>
              </w:rPr>
              <w:fldChar w:fldCharType="begin"/>
            </w:r>
            <w:r>
              <w:rPr>
                <w:webHidden/>
              </w:rPr>
              <w:instrText xml:space="preserve"> PAGEREF _Toc221525059 \h </w:instrText>
            </w:r>
            <w:r>
              <w:rPr>
                <w:webHidden/>
              </w:rPr>
            </w:r>
            <w:r>
              <w:rPr>
                <w:webHidden/>
              </w:rPr>
              <w:fldChar w:fldCharType="separate"/>
            </w:r>
            <w:r w:rsidR="00313A05">
              <w:rPr>
                <w:webHidden/>
              </w:rPr>
              <w:t>2</w:t>
            </w:r>
            <w:r>
              <w:rPr>
                <w:webHidden/>
              </w:rPr>
              <w:fldChar w:fldCharType="end"/>
            </w:r>
          </w:hyperlink>
        </w:p>
        <w:p w14:paraId="4791CF7D" w14:textId="7C12EFB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0" w:history="1">
            <w:r w:rsidRPr="003A1D65">
              <w:rPr>
                <w:rStyle w:val="Hyperlink"/>
              </w:rPr>
              <w:t>1.1 Cover Sheet</w:t>
            </w:r>
            <w:r>
              <w:rPr>
                <w:webHidden/>
              </w:rPr>
              <w:tab/>
            </w:r>
            <w:r>
              <w:rPr>
                <w:webHidden/>
              </w:rPr>
              <w:fldChar w:fldCharType="begin"/>
            </w:r>
            <w:r>
              <w:rPr>
                <w:webHidden/>
              </w:rPr>
              <w:instrText xml:space="preserve"> PAGEREF _Toc221525060 \h </w:instrText>
            </w:r>
            <w:r>
              <w:rPr>
                <w:webHidden/>
              </w:rPr>
            </w:r>
            <w:r>
              <w:rPr>
                <w:webHidden/>
              </w:rPr>
              <w:fldChar w:fldCharType="separate"/>
            </w:r>
            <w:r w:rsidR="00313A05">
              <w:rPr>
                <w:webHidden/>
              </w:rPr>
              <w:t>3</w:t>
            </w:r>
            <w:r>
              <w:rPr>
                <w:webHidden/>
              </w:rPr>
              <w:fldChar w:fldCharType="end"/>
            </w:r>
          </w:hyperlink>
        </w:p>
        <w:p w14:paraId="3FD1D6B6" w14:textId="2B345D2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1" w:history="1">
            <w:r w:rsidRPr="003A1D65">
              <w:rPr>
                <w:rStyle w:val="Hyperlink"/>
              </w:rPr>
              <w:t>1.2 Duty of Jury (Court Reads and Provides Written Set of Instructions at the Beginning of Trial)</w:t>
            </w:r>
            <w:r>
              <w:rPr>
                <w:webHidden/>
              </w:rPr>
              <w:tab/>
            </w:r>
            <w:r>
              <w:rPr>
                <w:webHidden/>
              </w:rPr>
              <w:fldChar w:fldCharType="begin"/>
            </w:r>
            <w:r>
              <w:rPr>
                <w:webHidden/>
              </w:rPr>
              <w:instrText xml:space="preserve"> PAGEREF _Toc221525061 \h </w:instrText>
            </w:r>
            <w:r>
              <w:rPr>
                <w:webHidden/>
              </w:rPr>
            </w:r>
            <w:r>
              <w:rPr>
                <w:webHidden/>
              </w:rPr>
              <w:fldChar w:fldCharType="separate"/>
            </w:r>
            <w:r w:rsidR="00313A05">
              <w:rPr>
                <w:webHidden/>
              </w:rPr>
              <w:t>4</w:t>
            </w:r>
            <w:r>
              <w:rPr>
                <w:webHidden/>
              </w:rPr>
              <w:fldChar w:fldCharType="end"/>
            </w:r>
          </w:hyperlink>
        </w:p>
        <w:p w14:paraId="7026D7F6" w14:textId="59675FC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2" w:history="1">
            <w:r w:rsidRPr="003A1D65">
              <w:rPr>
                <w:rStyle w:val="Hyperlink"/>
              </w:rPr>
              <w:t>1.3 Duty of Jury (Court Reads Instructions at the Beginning of Trial but Does Not Provide Written Copies)</w:t>
            </w:r>
            <w:r>
              <w:rPr>
                <w:webHidden/>
              </w:rPr>
              <w:tab/>
            </w:r>
            <w:r>
              <w:rPr>
                <w:webHidden/>
              </w:rPr>
              <w:fldChar w:fldCharType="begin"/>
            </w:r>
            <w:r>
              <w:rPr>
                <w:webHidden/>
              </w:rPr>
              <w:instrText xml:space="preserve"> PAGEREF _Toc221525062 \h </w:instrText>
            </w:r>
            <w:r>
              <w:rPr>
                <w:webHidden/>
              </w:rPr>
            </w:r>
            <w:r>
              <w:rPr>
                <w:webHidden/>
              </w:rPr>
              <w:fldChar w:fldCharType="separate"/>
            </w:r>
            <w:r w:rsidR="00313A05">
              <w:rPr>
                <w:webHidden/>
              </w:rPr>
              <w:t>5</w:t>
            </w:r>
            <w:r>
              <w:rPr>
                <w:webHidden/>
              </w:rPr>
              <w:fldChar w:fldCharType="end"/>
            </w:r>
          </w:hyperlink>
        </w:p>
        <w:p w14:paraId="1D37DC06" w14:textId="6A25224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3" w:history="1">
            <w:r w:rsidRPr="003A1D65">
              <w:rPr>
                <w:rStyle w:val="Hyperlink"/>
              </w:rPr>
              <w:t>1.4 Duty of Jury (Court Reads and Provides Written Instructions at End of Case)</w:t>
            </w:r>
            <w:r>
              <w:rPr>
                <w:webHidden/>
              </w:rPr>
              <w:tab/>
            </w:r>
            <w:r>
              <w:rPr>
                <w:webHidden/>
              </w:rPr>
              <w:fldChar w:fldCharType="begin"/>
            </w:r>
            <w:r>
              <w:rPr>
                <w:webHidden/>
              </w:rPr>
              <w:instrText xml:space="preserve"> PAGEREF _Toc221525063 \h </w:instrText>
            </w:r>
            <w:r>
              <w:rPr>
                <w:webHidden/>
              </w:rPr>
            </w:r>
            <w:r>
              <w:rPr>
                <w:webHidden/>
              </w:rPr>
              <w:fldChar w:fldCharType="separate"/>
            </w:r>
            <w:r w:rsidR="00313A05">
              <w:rPr>
                <w:webHidden/>
              </w:rPr>
              <w:t>6</w:t>
            </w:r>
            <w:r>
              <w:rPr>
                <w:webHidden/>
              </w:rPr>
              <w:fldChar w:fldCharType="end"/>
            </w:r>
          </w:hyperlink>
        </w:p>
        <w:p w14:paraId="03009C23" w14:textId="0E4DCC7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4" w:history="1">
            <w:r w:rsidRPr="003A1D65">
              <w:rPr>
                <w:rStyle w:val="Hyperlink"/>
              </w:rPr>
              <w:t>1.5 Claims and Defenses</w:t>
            </w:r>
            <w:r>
              <w:rPr>
                <w:webHidden/>
              </w:rPr>
              <w:tab/>
            </w:r>
            <w:r>
              <w:rPr>
                <w:webHidden/>
              </w:rPr>
              <w:fldChar w:fldCharType="begin"/>
            </w:r>
            <w:r>
              <w:rPr>
                <w:webHidden/>
              </w:rPr>
              <w:instrText xml:space="preserve"> PAGEREF _Toc221525064 \h </w:instrText>
            </w:r>
            <w:r>
              <w:rPr>
                <w:webHidden/>
              </w:rPr>
            </w:r>
            <w:r>
              <w:rPr>
                <w:webHidden/>
              </w:rPr>
              <w:fldChar w:fldCharType="separate"/>
            </w:r>
            <w:r w:rsidR="00313A05">
              <w:rPr>
                <w:webHidden/>
              </w:rPr>
              <w:t>7</w:t>
            </w:r>
            <w:r>
              <w:rPr>
                <w:webHidden/>
              </w:rPr>
              <w:fldChar w:fldCharType="end"/>
            </w:r>
          </w:hyperlink>
        </w:p>
        <w:p w14:paraId="4972A8E8" w14:textId="5F3B9CF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5" w:history="1">
            <w:r w:rsidRPr="003A1D65">
              <w:rPr>
                <w:rStyle w:val="Hyperlink"/>
              </w:rPr>
              <w:t>1.6 Burden of Proof—Preponderance of the Evidence</w:t>
            </w:r>
            <w:r>
              <w:rPr>
                <w:webHidden/>
              </w:rPr>
              <w:tab/>
            </w:r>
            <w:r>
              <w:rPr>
                <w:webHidden/>
              </w:rPr>
              <w:fldChar w:fldCharType="begin"/>
            </w:r>
            <w:r>
              <w:rPr>
                <w:webHidden/>
              </w:rPr>
              <w:instrText xml:space="preserve"> PAGEREF _Toc221525065 \h </w:instrText>
            </w:r>
            <w:r>
              <w:rPr>
                <w:webHidden/>
              </w:rPr>
            </w:r>
            <w:r>
              <w:rPr>
                <w:webHidden/>
              </w:rPr>
              <w:fldChar w:fldCharType="separate"/>
            </w:r>
            <w:r w:rsidR="00313A05">
              <w:rPr>
                <w:webHidden/>
              </w:rPr>
              <w:t>8</w:t>
            </w:r>
            <w:r>
              <w:rPr>
                <w:webHidden/>
              </w:rPr>
              <w:fldChar w:fldCharType="end"/>
            </w:r>
          </w:hyperlink>
        </w:p>
        <w:p w14:paraId="4EC69CFB" w14:textId="65A4D8F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6" w:history="1">
            <w:r w:rsidRPr="003A1D65">
              <w:rPr>
                <w:rStyle w:val="Hyperlink"/>
              </w:rPr>
              <w:t>1.7 Burden of Proof—Clear and Convincing Evidence</w:t>
            </w:r>
            <w:r>
              <w:rPr>
                <w:webHidden/>
              </w:rPr>
              <w:tab/>
            </w:r>
            <w:r>
              <w:rPr>
                <w:webHidden/>
              </w:rPr>
              <w:fldChar w:fldCharType="begin"/>
            </w:r>
            <w:r>
              <w:rPr>
                <w:webHidden/>
              </w:rPr>
              <w:instrText xml:space="preserve"> PAGEREF _Toc221525066 \h </w:instrText>
            </w:r>
            <w:r>
              <w:rPr>
                <w:webHidden/>
              </w:rPr>
            </w:r>
            <w:r>
              <w:rPr>
                <w:webHidden/>
              </w:rPr>
              <w:fldChar w:fldCharType="separate"/>
            </w:r>
            <w:r w:rsidR="00313A05">
              <w:rPr>
                <w:webHidden/>
              </w:rPr>
              <w:t>9</w:t>
            </w:r>
            <w:r>
              <w:rPr>
                <w:webHidden/>
              </w:rPr>
              <w:fldChar w:fldCharType="end"/>
            </w:r>
          </w:hyperlink>
        </w:p>
        <w:p w14:paraId="34812BB7" w14:textId="14167F0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7" w:history="1">
            <w:r w:rsidRPr="003A1D65">
              <w:rPr>
                <w:rStyle w:val="Hyperlink"/>
              </w:rPr>
              <w:t>1.8 Two or More Parties—Different Legal Rights</w:t>
            </w:r>
            <w:r>
              <w:rPr>
                <w:webHidden/>
              </w:rPr>
              <w:tab/>
            </w:r>
            <w:r>
              <w:rPr>
                <w:webHidden/>
              </w:rPr>
              <w:fldChar w:fldCharType="begin"/>
            </w:r>
            <w:r>
              <w:rPr>
                <w:webHidden/>
              </w:rPr>
              <w:instrText xml:space="preserve"> PAGEREF _Toc221525067 \h </w:instrText>
            </w:r>
            <w:r>
              <w:rPr>
                <w:webHidden/>
              </w:rPr>
            </w:r>
            <w:r>
              <w:rPr>
                <w:webHidden/>
              </w:rPr>
              <w:fldChar w:fldCharType="separate"/>
            </w:r>
            <w:r w:rsidR="00313A05">
              <w:rPr>
                <w:webHidden/>
              </w:rPr>
              <w:t>10</w:t>
            </w:r>
            <w:r>
              <w:rPr>
                <w:webHidden/>
              </w:rPr>
              <w:fldChar w:fldCharType="end"/>
            </w:r>
          </w:hyperlink>
        </w:p>
        <w:p w14:paraId="5A76DFD9" w14:textId="3EAF892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8" w:history="1">
            <w:r w:rsidRPr="003A1D65">
              <w:rPr>
                <w:rStyle w:val="Hyperlink"/>
              </w:rPr>
              <w:t>1.9 What is Evidence</w:t>
            </w:r>
            <w:r>
              <w:rPr>
                <w:webHidden/>
              </w:rPr>
              <w:tab/>
            </w:r>
            <w:r>
              <w:rPr>
                <w:webHidden/>
              </w:rPr>
              <w:fldChar w:fldCharType="begin"/>
            </w:r>
            <w:r>
              <w:rPr>
                <w:webHidden/>
              </w:rPr>
              <w:instrText xml:space="preserve"> PAGEREF _Toc221525068 \h </w:instrText>
            </w:r>
            <w:r>
              <w:rPr>
                <w:webHidden/>
              </w:rPr>
            </w:r>
            <w:r>
              <w:rPr>
                <w:webHidden/>
              </w:rPr>
              <w:fldChar w:fldCharType="separate"/>
            </w:r>
            <w:r w:rsidR="00313A05">
              <w:rPr>
                <w:webHidden/>
              </w:rPr>
              <w:t>11</w:t>
            </w:r>
            <w:r>
              <w:rPr>
                <w:webHidden/>
              </w:rPr>
              <w:fldChar w:fldCharType="end"/>
            </w:r>
          </w:hyperlink>
        </w:p>
        <w:p w14:paraId="1D7675E7" w14:textId="4522CAB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9" w:history="1">
            <w:r w:rsidRPr="003A1D65">
              <w:rPr>
                <w:rStyle w:val="Hyperlink"/>
              </w:rPr>
              <w:t>1.10 What is Not Evidence</w:t>
            </w:r>
            <w:r>
              <w:rPr>
                <w:webHidden/>
              </w:rPr>
              <w:tab/>
            </w:r>
            <w:r>
              <w:rPr>
                <w:webHidden/>
              </w:rPr>
              <w:fldChar w:fldCharType="begin"/>
            </w:r>
            <w:r>
              <w:rPr>
                <w:webHidden/>
              </w:rPr>
              <w:instrText xml:space="preserve"> PAGEREF _Toc221525069 \h </w:instrText>
            </w:r>
            <w:r>
              <w:rPr>
                <w:webHidden/>
              </w:rPr>
            </w:r>
            <w:r>
              <w:rPr>
                <w:webHidden/>
              </w:rPr>
              <w:fldChar w:fldCharType="separate"/>
            </w:r>
            <w:r w:rsidR="00313A05">
              <w:rPr>
                <w:webHidden/>
              </w:rPr>
              <w:t>12</w:t>
            </w:r>
            <w:r>
              <w:rPr>
                <w:webHidden/>
              </w:rPr>
              <w:fldChar w:fldCharType="end"/>
            </w:r>
          </w:hyperlink>
        </w:p>
        <w:p w14:paraId="6495F23C" w14:textId="58B470D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0" w:history="1">
            <w:r w:rsidRPr="003A1D65">
              <w:rPr>
                <w:rStyle w:val="Hyperlink"/>
              </w:rPr>
              <w:t>1.11 Evidence for Limited Purpose</w:t>
            </w:r>
            <w:r>
              <w:rPr>
                <w:webHidden/>
              </w:rPr>
              <w:tab/>
            </w:r>
            <w:r>
              <w:rPr>
                <w:webHidden/>
              </w:rPr>
              <w:fldChar w:fldCharType="begin"/>
            </w:r>
            <w:r>
              <w:rPr>
                <w:webHidden/>
              </w:rPr>
              <w:instrText xml:space="preserve"> PAGEREF _Toc221525070 \h </w:instrText>
            </w:r>
            <w:r>
              <w:rPr>
                <w:webHidden/>
              </w:rPr>
            </w:r>
            <w:r>
              <w:rPr>
                <w:webHidden/>
              </w:rPr>
              <w:fldChar w:fldCharType="separate"/>
            </w:r>
            <w:r w:rsidR="00313A05">
              <w:rPr>
                <w:webHidden/>
              </w:rPr>
              <w:t>13</w:t>
            </w:r>
            <w:r>
              <w:rPr>
                <w:webHidden/>
              </w:rPr>
              <w:fldChar w:fldCharType="end"/>
            </w:r>
          </w:hyperlink>
        </w:p>
        <w:p w14:paraId="677AE766" w14:textId="41EA0A3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1" w:history="1">
            <w:r w:rsidRPr="003A1D65">
              <w:rPr>
                <w:rStyle w:val="Hyperlink"/>
              </w:rPr>
              <w:t>1.12 Direct and Circumstantial Evidence</w:t>
            </w:r>
            <w:r>
              <w:rPr>
                <w:webHidden/>
              </w:rPr>
              <w:tab/>
            </w:r>
            <w:r>
              <w:rPr>
                <w:webHidden/>
              </w:rPr>
              <w:fldChar w:fldCharType="begin"/>
            </w:r>
            <w:r>
              <w:rPr>
                <w:webHidden/>
              </w:rPr>
              <w:instrText xml:space="preserve"> PAGEREF _Toc221525071 \h </w:instrText>
            </w:r>
            <w:r>
              <w:rPr>
                <w:webHidden/>
              </w:rPr>
            </w:r>
            <w:r>
              <w:rPr>
                <w:webHidden/>
              </w:rPr>
              <w:fldChar w:fldCharType="separate"/>
            </w:r>
            <w:r w:rsidR="00313A05">
              <w:rPr>
                <w:webHidden/>
              </w:rPr>
              <w:t>14</w:t>
            </w:r>
            <w:r>
              <w:rPr>
                <w:webHidden/>
              </w:rPr>
              <w:fldChar w:fldCharType="end"/>
            </w:r>
          </w:hyperlink>
        </w:p>
        <w:p w14:paraId="710C1AB4" w14:textId="0E72058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2" w:history="1">
            <w:r w:rsidRPr="003A1D65">
              <w:rPr>
                <w:rStyle w:val="Hyperlink"/>
              </w:rPr>
              <w:t>1.13 Ruling on Objections</w:t>
            </w:r>
            <w:r>
              <w:rPr>
                <w:webHidden/>
              </w:rPr>
              <w:tab/>
            </w:r>
            <w:r>
              <w:rPr>
                <w:webHidden/>
              </w:rPr>
              <w:fldChar w:fldCharType="begin"/>
            </w:r>
            <w:r>
              <w:rPr>
                <w:webHidden/>
              </w:rPr>
              <w:instrText xml:space="preserve"> PAGEREF _Toc221525072 \h </w:instrText>
            </w:r>
            <w:r>
              <w:rPr>
                <w:webHidden/>
              </w:rPr>
            </w:r>
            <w:r>
              <w:rPr>
                <w:webHidden/>
              </w:rPr>
              <w:fldChar w:fldCharType="separate"/>
            </w:r>
            <w:r w:rsidR="00313A05">
              <w:rPr>
                <w:webHidden/>
              </w:rPr>
              <w:t>15</w:t>
            </w:r>
            <w:r>
              <w:rPr>
                <w:webHidden/>
              </w:rPr>
              <w:fldChar w:fldCharType="end"/>
            </w:r>
          </w:hyperlink>
        </w:p>
        <w:p w14:paraId="786965BF" w14:textId="75C3B8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3" w:history="1">
            <w:r w:rsidRPr="003A1D65">
              <w:rPr>
                <w:rStyle w:val="Hyperlink"/>
              </w:rPr>
              <w:t>1.14 Credibility of Witnesses</w:t>
            </w:r>
            <w:r>
              <w:rPr>
                <w:webHidden/>
              </w:rPr>
              <w:tab/>
            </w:r>
            <w:r>
              <w:rPr>
                <w:webHidden/>
              </w:rPr>
              <w:fldChar w:fldCharType="begin"/>
            </w:r>
            <w:r>
              <w:rPr>
                <w:webHidden/>
              </w:rPr>
              <w:instrText xml:space="preserve"> PAGEREF _Toc221525073 \h </w:instrText>
            </w:r>
            <w:r>
              <w:rPr>
                <w:webHidden/>
              </w:rPr>
            </w:r>
            <w:r>
              <w:rPr>
                <w:webHidden/>
              </w:rPr>
              <w:fldChar w:fldCharType="separate"/>
            </w:r>
            <w:r w:rsidR="00313A05">
              <w:rPr>
                <w:webHidden/>
              </w:rPr>
              <w:t>16</w:t>
            </w:r>
            <w:r>
              <w:rPr>
                <w:webHidden/>
              </w:rPr>
              <w:fldChar w:fldCharType="end"/>
            </w:r>
          </w:hyperlink>
        </w:p>
        <w:p w14:paraId="7E71420D" w14:textId="7B567E3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4" w:history="1">
            <w:r w:rsidRPr="003A1D65">
              <w:rPr>
                <w:rStyle w:val="Hyperlink"/>
              </w:rPr>
              <w:t>1.15 Conduct of the Jury</w:t>
            </w:r>
            <w:r>
              <w:rPr>
                <w:webHidden/>
              </w:rPr>
              <w:tab/>
            </w:r>
            <w:r>
              <w:rPr>
                <w:webHidden/>
              </w:rPr>
              <w:fldChar w:fldCharType="begin"/>
            </w:r>
            <w:r>
              <w:rPr>
                <w:webHidden/>
              </w:rPr>
              <w:instrText xml:space="preserve"> PAGEREF _Toc221525074 \h </w:instrText>
            </w:r>
            <w:r>
              <w:rPr>
                <w:webHidden/>
              </w:rPr>
            </w:r>
            <w:r>
              <w:rPr>
                <w:webHidden/>
              </w:rPr>
              <w:fldChar w:fldCharType="separate"/>
            </w:r>
            <w:r w:rsidR="00313A05">
              <w:rPr>
                <w:webHidden/>
              </w:rPr>
              <w:t>17</w:t>
            </w:r>
            <w:r>
              <w:rPr>
                <w:webHidden/>
              </w:rPr>
              <w:fldChar w:fldCharType="end"/>
            </w:r>
          </w:hyperlink>
        </w:p>
        <w:p w14:paraId="59FFDBB1" w14:textId="66EA85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5" w:history="1">
            <w:r w:rsidRPr="003A1D65">
              <w:rPr>
                <w:rStyle w:val="Hyperlink"/>
              </w:rPr>
              <w:t>1.16 Publicity During Trial</w:t>
            </w:r>
            <w:r>
              <w:rPr>
                <w:webHidden/>
              </w:rPr>
              <w:tab/>
            </w:r>
            <w:r>
              <w:rPr>
                <w:webHidden/>
              </w:rPr>
              <w:fldChar w:fldCharType="begin"/>
            </w:r>
            <w:r>
              <w:rPr>
                <w:webHidden/>
              </w:rPr>
              <w:instrText xml:space="preserve"> PAGEREF _Toc221525075 \h </w:instrText>
            </w:r>
            <w:r>
              <w:rPr>
                <w:webHidden/>
              </w:rPr>
            </w:r>
            <w:r>
              <w:rPr>
                <w:webHidden/>
              </w:rPr>
              <w:fldChar w:fldCharType="separate"/>
            </w:r>
            <w:r w:rsidR="00313A05">
              <w:rPr>
                <w:webHidden/>
              </w:rPr>
              <w:t>19</w:t>
            </w:r>
            <w:r>
              <w:rPr>
                <w:webHidden/>
              </w:rPr>
              <w:fldChar w:fldCharType="end"/>
            </w:r>
          </w:hyperlink>
        </w:p>
        <w:p w14:paraId="479BEF97" w14:textId="4DF0E8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6" w:history="1">
            <w:r w:rsidRPr="003A1D65">
              <w:rPr>
                <w:rStyle w:val="Hyperlink"/>
              </w:rPr>
              <w:t>1.17 No Transcript Available to Jury</w:t>
            </w:r>
            <w:r>
              <w:rPr>
                <w:webHidden/>
              </w:rPr>
              <w:tab/>
            </w:r>
            <w:r>
              <w:rPr>
                <w:webHidden/>
              </w:rPr>
              <w:fldChar w:fldCharType="begin"/>
            </w:r>
            <w:r>
              <w:rPr>
                <w:webHidden/>
              </w:rPr>
              <w:instrText xml:space="preserve"> PAGEREF _Toc221525076 \h </w:instrText>
            </w:r>
            <w:r>
              <w:rPr>
                <w:webHidden/>
              </w:rPr>
            </w:r>
            <w:r>
              <w:rPr>
                <w:webHidden/>
              </w:rPr>
              <w:fldChar w:fldCharType="separate"/>
            </w:r>
            <w:r w:rsidR="00313A05">
              <w:rPr>
                <w:webHidden/>
              </w:rPr>
              <w:t>20</w:t>
            </w:r>
            <w:r>
              <w:rPr>
                <w:webHidden/>
              </w:rPr>
              <w:fldChar w:fldCharType="end"/>
            </w:r>
          </w:hyperlink>
        </w:p>
        <w:p w14:paraId="444348F9" w14:textId="05DF3C3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7" w:history="1">
            <w:r w:rsidRPr="003A1D65">
              <w:rPr>
                <w:rStyle w:val="Hyperlink"/>
              </w:rPr>
              <w:t>1.18 Taking Notes</w:t>
            </w:r>
            <w:r>
              <w:rPr>
                <w:webHidden/>
              </w:rPr>
              <w:tab/>
            </w:r>
            <w:r>
              <w:rPr>
                <w:webHidden/>
              </w:rPr>
              <w:fldChar w:fldCharType="begin"/>
            </w:r>
            <w:r>
              <w:rPr>
                <w:webHidden/>
              </w:rPr>
              <w:instrText xml:space="preserve"> PAGEREF _Toc221525077 \h </w:instrText>
            </w:r>
            <w:r>
              <w:rPr>
                <w:webHidden/>
              </w:rPr>
            </w:r>
            <w:r>
              <w:rPr>
                <w:webHidden/>
              </w:rPr>
              <w:fldChar w:fldCharType="separate"/>
            </w:r>
            <w:r w:rsidR="00313A05">
              <w:rPr>
                <w:webHidden/>
              </w:rPr>
              <w:t>21</w:t>
            </w:r>
            <w:r>
              <w:rPr>
                <w:webHidden/>
              </w:rPr>
              <w:fldChar w:fldCharType="end"/>
            </w:r>
          </w:hyperlink>
        </w:p>
        <w:p w14:paraId="64535F7B" w14:textId="0907CE0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8" w:history="1">
            <w:r w:rsidRPr="003A1D65">
              <w:rPr>
                <w:rStyle w:val="Hyperlink"/>
              </w:rPr>
              <w:t>1.19 Questions to Witnesses by Jurors During Trial</w:t>
            </w:r>
            <w:r>
              <w:rPr>
                <w:webHidden/>
              </w:rPr>
              <w:tab/>
            </w:r>
            <w:r>
              <w:rPr>
                <w:webHidden/>
              </w:rPr>
              <w:fldChar w:fldCharType="begin"/>
            </w:r>
            <w:r>
              <w:rPr>
                <w:webHidden/>
              </w:rPr>
              <w:instrText xml:space="preserve"> PAGEREF _Toc221525078 \h </w:instrText>
            </w:r>
            <w:r>
              <w:rPr>
                <w:webHidden/>
              </w:rPr>
            </w:r>
            <w:r>
              <w:rPr>
                <w:webHidden/>
              </w:rPr>
              <w:fldChar w:fldCharType="separate"/>
            </w:r>
            <w:r w:rsidR="00313A05">
              <w:rPr>
                <w:webHidden/>
              </w:rPr>
              <w:t>22</w:t>
            </w:r>
            <w:r>
              <w:rPr>
                <w:webHidden/>
              </w:rPr>
              <w:fldChar w:fldCharType="end"/>
            </w:r>
          </w:hyperlink>
        </w:p>
        <w:p w14:paraId="6D82E884" w14:textId="5A44195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9" w:history="1">
            <w:r w:rsidRPr="003A1D65">
              <w:rPr>
                <w:rStyle w:val="Hyperlink"/>
              </w:rPr>
              <w:t>1.20 Bench Conferences and Recesses</w:t>
            </w:r>
            <w:r>
              <w:rPr>
                <w:webHidden/>
              </w:rPr>
              <w:tab/>
            </w:r>
            <w:r>
              <w:rPr>
                <w:webHidden/>
              </w:rPr>
              <w:fldChar w:fldCharType="begin"/>
            </w:r>
            <w:r>
              <w:rPr>
                <w:webHidden/>
              </w:rPr>
              <w:instrText xml:space="preserve"> PAGEREF _Toc221525079 \h </w:instrText>
            </w:r>
            <w:r>
              <w:rPr>
                <w:webHidden/>
              </w:rPr>
            </w:r>
            <w:r>
              <w:rPr>
                <w:webHidden/>
              </w:rPr>
              <w:fldChar w:fldCharType="separate"/>
            </w:r>
            <w:r w:rsidR="00313A05">
              <w:rPr>
                <w:webHidden/>
              </w:rPr>
              <w:t>23</w:t>
            </w:r>
            <w:r>
              <w:rPr>
                <w:webHidden/>
              </w:rPr>
              <w:fldChar w:fldCharType="end"/>
            </w:r>
          </w:hyperlink>
        </w:p>
        <w:p w14:paraId="521F134D" w14:textId="5ECC5B0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0" w:history="1">
            <w:r w:rsidRPr="003A1D65">
              <w:rPr>
                <w:rStyle w:val="Hyperlink"/>
              </w:rPr>
              <w:t>1.21 Outline of Trial</w:t>
            </w:r>
            <w:r>
              <w:rPr>
                <w:webHidden/>
              </w:rPr>
              <w:tab/>
            </w:r>
            <w:r>
              <w:rPr>
                <w:webHidden/>
              </w:rPr>
              <w:fldChar w:fldCharType="begin"/>
            </w:r>
            <w:r>
              <w:rPr>
                <w:webHidden/>
              </w:rPr>
              <w:instrText xml:space="preserve"> PAGEREF _Toc221525080 \h </w:instrText>
            </w:r>
            <w:r>
              <w:rPr>
                <w:webHidden/>
              </w:rPr>
            </w:r>
            <w:r>
              <w:rPr>
                <w:webHidden/>
              </w:rPr>
              <w:fldChar w:fldCharType="separate"/>
            </w:r>
            <w:r w:rsidR="00313A05">
              <w:rPr>
                <w:webHidden/>
              </w:rPr>
              <w:t>24</w:t>
            </w:r>
            <w:r>
              <w:rPr>
                <w:webHidden/>
              </w:rPr>
              <w:fldChar w:fldCharType="end"/>
            </w:r>
          </w:hyperlink>
        </w:p>
        <w:p w14:paraId="0D345ADA" w14:textId="539CFBB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1" w:history="1">
            <w:r w:rsidRPr="003A1D65">
              <w:rPr>
                <w:rStyle w:val="Hyperlink"/>
              </w:rPr>
              <w:t>1.22 Self-Represented Party</w:t>
            </w:r>
            <w:r>
              <w:rPr>
                <w:webHidden/>
              </w:rPr>
              <w:tab/>
            </w:r>
            <w:r>
              <w:rPr>
                <w:webHidden/>
              </w:rPr>
              <w:fldChar w:fldCharType="begin"/>
            </w:r>
            <w:r>
              <w:rPr>
                <w:webHidden/>
              </w:rPr>
              <w:instrText xml:space="preserve"> PAGEREF _Toc221525081 \h </w:instrText>
            </w:r>
            <w:r>
              <w:rPr>
                <w:webHidden/>
              </w:rPr>
            </w:r>
            <w:r>
              <w:rPr>
                <w:webHidden/>
              </w:rPr>
              <w:fldChar w:fldCharType="separate"/>
            </w:r>
            <w:r w:rsidR="00313A05">
              <w:rPr>
                <w:webHidden/>
              </w:rPr>
              <w:t>25</w:t>
            </w:r>
            <w:r>
              <w:rPr>
                <w:webHidden/>
              </w:rPr>
              <w:fldChar w:fldCharType="end"/>
            </w:r>
          </w:hyperlink>
        </w:p>
        <w:p w14:paraId="2C8E038F" w14:textId="5BB608BA" w:rsidR="0068478E" w:rsidRDefault="0068478E">
          <w:pPr>
            <w:pStyle w:val="TOC1"/>
            <w:rPr>
              <w:rFonts w:asciiTheme="minorHAnsi" w:eastAsiaTheme="minorEastAsia" w:hAnsiTheme="minorHAnsi"/>
              <w:noProof/>
              <w:kern w:val="2"/>
              <w:szCs w:val="24"/>
              <w14:ligatures w14:val="standardContextual"/>
            </w:rPr>
          </w:pPr>
          <w:hyperlink w:anchor="_Toc221525082" w:history="1">
            <w:r w:rsidRPr="003A1D65">
              <w:rPr>
                <w:rStyle w:val="Hyperlink"/>
                <w:noProof/>
              </w:rPr>
              <w:t>2. INSTRUCTIONS ON TYPES OF EVIDENCE</w:t>
            </w:r>
            <w:r>
              <w:rPr>
                <w:noProof/>
                <w:webHidden/>
              </w:rPr>
              <w:tab/>
            </w:r>
            <w:r>
              <w:rPr>
                <w:noProof/>
                <w:webHidden/>
              </w:rPr>
              <w:fldChar w:fldCharType="begin"/>
            </w:r>
            <w:r>
              <w:rPr>
                <w:noProof/>
                <w:webHidden/>
              </w:rPr>
              <w:instrText xml:space="preserve"> PAGEREF _Toc221525082 \h </w:instrText>
            </w:r>
            <w:r>
              <w:rPr>
                <w:noProof/>
                <w:webHidden/>
              </w:rPr>
            </w:r>
            <w:r>
              <w:rPr>
                <w:noProof/>
                <w:webHidden/>
              </w:rPr>
              <w:fldChar w:fldCharType="separate"/>
            </w:r>
            <w:r w:rsidR="00313A05">
              <w:rPr>
                <w:noProof/>
                <w:webHidden/>
              </w:rPr>
              <w:t>26</w:t>
            </w:r>
            <w:r>
              <w:rPr>
                <w:noProof/>
                <w:webHidden/>
              </w:rPr>
              <w:fldChar w:fldCharType="end"/>
            </w:r>
          </w:hyperlink>
        </w:p>
        <w:p w14:paraId="5F2B5EC9" w14:textId="708837F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3" w:history="1">
            <w:r w:rsidRPr="003A1D65">
              <w:rPr>
                <w:rStyle w:val="Hyperlink"/>
              </w:rPr>
              <w:t>2.1 Cautionary Instructions</w:t>
            </w:r>
            <w:r>
              <w:rPr>
                <w:webHidden/>
              </w:rPr>
              <w:tab/>
            </w:r>
            <w:r>
              <w:rPr>
                <w:webHidden/>
              </w:rPr>
              <w:fldChar w:fldCharType="begin"/>
            </w:r>
            <w:r>
              <w:rPr>
                <w:webHidden/>
              </w:rPr>
              <w:instrText xml:space="preserve"> PAGEREF _Toc221525083 \h </w:instrText>
            </w:r>
            <w:r>
              <w:rPr>
                <w:webHidden/>
              </w:rPr>
            </w:r>
            <w:r>
              <w:rPr>
                <w:webHidden/>
              </w:rPr>
              <w:fldChar w:fldCharType="separate"/>
            </w:r>
            <w:r w:rsidR="00313A05">
              <w:rPr>
                <w:webHidden/>
              </w:rPr>
              <w:t>27</w:t>
            </w:r>
            <w:r>
              <w:rPr>
                <w:webHidden/>
              </w:rPr>
              <w:fldChar w:fldCharType="end"/>
            </w:r>
          </w:hyperlink>
        </w:p>
        <w:p w14:paraId="1DE03D0F" w14:textId="45742A8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4" w:history="1">
            <w:r w:rsidRPr="003A1D65">
              <w:rPr>
                <w:rStyle w:val="Hyperlink"/>
              </w:rPr>
              <w:t>2.2 Stipulated Testimony</w:t>
            </w:r>
            <w:r>
              <w:rPr>
                <w:webHidden/>
              </w:rPr>
              <w:tab/>
            </w:r>
            <w:r>
              <w:rPr>
                <w:webHidden/>
              </w:rPr>
              <w:fldChar w:fldCharType="begin"/>
            </w:r>
            <w:r>
              <w:rPr>
                <w:webHidden/>
              </w:rPr>
              <w:instrText xml:space="preserve"> PAGEREF _Toc221525084 \h </w:instrText>
            </w:r>
            <w:r>
              <w:rPr>
                <w:webHidden/>
              </w:rPr>
            </w:r>
            <w:r>
              <w:rPr>
                <w:webHidden/>
              </w:rPr>
              <w:fldChar w:fldCharType="separate"/>
            </w:r>
            <w:r w:rsidR="00313A05">
              <w:rPr>
                <w:webHidden/>
              </w:rPr>
              <w:t>28</w:t>
            </w:r>
            <w:r>
              <w:rPr>
                <w:webHidden/>
              </w:rPr>
              <w:fldChar w:fldCharType="end"/>
            </w:r>
          </w:hyperlink>
        </w:p>
        <w:p w14:paraId="3E931B7A" w14:textId="6D24EE7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5" w:history="1">
            <w:r w:rsidRPr="003A1D65">
              <w:rPr>
                <w:rStyle w:val="Hyperlink"/>
              </w:rPr>
              <w:t>2.3 Stipulations of Fact</w:t>
            </w:r>
            <w:r>
              <w:rPr>
                <w:webHidden/>
              </w:rPr>
              <w:tab/>
            </w:r>
            <w:r>
              <w:rPr>
                <w:webHidden/>
              </w:rPr>
              <w:fldChar w:fldCharType="begin"/>
            </w:r>
            <w:r>
              <w:rPr>
                <w:webHidden/>
              </w:rPr>
              <w:instrText xml:space="preserve"> PAGEREF _Toc221525085 \h </w:instrText>
            </w:r>
            <w:r>
              <w:rPr>
                <w:webHidden/>
              </w:rPr>
            </w:r>
            <w:r>
              <w:rPr>
                <w:webHidden/>
              </w:rPr>
              <w:fldChar w:fldCharType="separate"/>
            </w:r>
            <w:r w:rsidR="00313A05">
              <w:rPr>
                <w:webHidden/>
              </w:rPr>
              <w:t>29</w:t>
            </w:r>
            <w:r>
              <w:rPr>
                <w:webHidden/>
              </w:rPr>
              <w:fldChar w:fldCharType="end"/>
            </w:r>
          </w:hyperlink>
        </w:p>
        <w:p w14:paraId="2C91E58C" w14:textId="11820C9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6" w:history="1">
            <w:r w:rsidRPr="003A1D65">
              <w:rPr>
                <w:rStyle w:val="Hyperlink"/>
              </w:rPr>
              <w:t>2.4 Judicial Notice</w:t>
            </w:r>
            <w:r>
              <w:rPr>
                <w:webHidden/>
              </w:rPr>
              <w:tab/>
            </w:r>
            <w:r>
              <w:rPr>
                <w:webHidden/>
              </w:rPr>
              <w:fldChar w:fldCharType="begin"/>
            </w:r>
            <w:r>
              <w:rPr>
                <w:webHidden/>
              </w:rPr>
              <w:instrText xml:space="preserve"> PAGEREF _Toc221525086 \h </w:instrText>
            </w:r>
            <w:r>
              <w:rPr>
                <w:webHidden/>
              </w:rPr>
            </w:r>
            <w:r>
              <w:rPr>
                <w:webHidden/>
              </w:rPr>
              <w:fldChar w:fldCharType="separate"/>
            </w:r>
            <w:r w:rsidR="00313A05">
              <w:rPr>
                <w:webHidden/>
              </w:rPr>
              <w:t>30</w:t>
            </w:r>
            <w:r>
              <w:rPr>
                <w:webHidden/>
              </w:rPr>
              <w:fldChar w:fldCharType="end"/>
            </w:r>
          </w:hyperlink>
        </w:p>
        <w:p w14:paraId="741FF79C" w14:textId="088B26E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7" w:history="1">
            <w:r w:rsidRPr="003A1D65">
              <w:rPr>
                <w:rStyle w:val="Hyperlink"/>
              </w:rPr>
              <w:t>2.5 Deposition in Lieu of Live Testimony</w:t>
            </w:r>
            <w:r>
              <w:rPr>
                <w:webHidden/>
              </w:rPr>
              <w:tab/>
            </w:r>
            <w:r>
              <w:rPr>
                <w:webHidden/>
              </w:rPr>
              <w:fldChar w:fldCharType="begin"/>
            </w:r>
            <w:r>
              <w:rPr>
                <w:webHidden/>
              </w:rPr>
              <w:instrText xml:space="preserve"> PAGEREF _Toc221525087 \h </w:instrText>
            </w:r>
            <w:r>
              <w:rPr>
                <w:webHidden/>
              </w:rPr>
            </w:r>
            <w:r>
              <w:rPr>
                <w:webHidden/>
              </w:rPr>
              <w:fldChar w:fldCharType="separate"/>
            </w:r>
            <w:r w:rsidR="00313A05">
              <w:rPr>
                <w:webHidden/>
              </w:rPr>
              <w:t>31</w:t>
            </w:r>
            <w:r>
              <w:rPr>
                <w:webHidden/>
              </w:rPr>
              <w:fldChar w:fldCharType="end"/>
            </w:r>
          </w:hyperlink>
        </w:p>
        <w:p w14:paraId="096B0E04" w14:textId="5649AF5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8" w:history="1">
            <w:r w:rsidRPr="003A1D65">
              <w:rPr>
                <w:rStyle w:val="Hyperlink"/>
              </w:rPr>
              <w:t>2.6 Transcript of Recording in English</w:t>
            </w:r>
            <w:r>
              <w:rPr>
                <w:webHidden/>
              </w:rPr>
              <w:tab/>
            </w:r>
            <w:r>
              <w:rPr>
                <w:webHidden/>
              </w:rPr>
              <w:fldChar w:fldCharType="begin"/>
            </w:r>
            <w:r>
              <w:rPr>
                <w:webHidden/>
              </w:rPr>
              <w:instrText xml:space="preserve"> PAGEREF _Toc221525088 \h </w:instrText>
            </w:r>
            <w:r>
              <w:rPr>
                <w:webHidden/>
              </w:rPr>
            </w:r>
            <w:r>
              <w:rPr>
                <w:webHidden/>
              </w:rPr>
              <w:fldChar w:fldCharType="separate"/>
            </w:r>
            <w:r w:rsidR="00313A05">
              <w:rPr>
                <w:webHidden/>
              </w:rPr>
              <w:t>32</w:t>
            </w:r>
            <w:r>
              <w:rPr>
                <w:webHidden/>
              </w:rPr>
              <w:fldChar w:fldCharType="end"/>
            </w:r>
          </w:hyperlink>
        </w:p>
        <w:p w14:paraId="6B056A1F" w14:textId="4D17D1E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9" w:history="1">
            <w:r w:rsidRPr="003A1D65">
              <w:rPr>
                <w:rStyle w:val="Hyperlink"/>
              </w:rPr>
              <w:t>2.7 Transcript of Recording in Foreign Language</w:t>
            </w:r>
            <w:r>
              <w:rPr>
                <w:webHidden/>
              </w:rPr>
              <w:tab/>
            </w:r>
            <w:r>
              <w:rPr>
                <w:webHidden/>
              </w:rPr>
              <w:fldChar w:fldCharType="begin"/>
            </w:r>
            <w:r>
              <w:rPr>
                <w:webHidden/>
              </w:rPr>
              <w:instrText xml:space="preserve"> PAGEREF _Toc221525089 \h </w:instrText>
            </w:r>
            <w:r>
              <w:rPr>
                <w:webHidden/>
              </w:rPr>
            </w:r>
            <w:r>
              <w:rPr>
                <w:webHidden/>
              </w:rPr>
              <w:fldChar w:fldCharType="separate"/>
            </w:r>
            <w:r w:rsidR="00313A05">
              <w:rPr>
                <w:webHidden/>
              </w:rPr>
              <w:t>33</w:t>
            </w:r>
            <w:r>
              <w:rPr>
                <w:webHidden/>
              </w:rPr>
              <w:fldChar w:fldCharType="end"/>
            </w:r>
          </w:hyperlink>
        </w:p>
        <w:p w14:paraId="49C509B8" w14:textId="21884A3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0" w:history="1">
            <w:r w:rsidRPr="003A1D65">
              <w:rPr>
                <w:rStyle w:val="Hyperlink"/>
              </w:rPr>
              <w:t>2.8 Disputed Transcript of Recording in Foreign Language</w:t>
            </w:r>
            <w:r>
              <w:rPr>
                <w:webHidden/>
              </w:rPr>
              <w:tab/>
            </w:r>
            <w:r>
              <w:rPr>
                <w:webHidden/>
              </w:rPr>
              <w:fldChar w:fldCharType="begin"/>
            </w:r>
            <w:r>
              <w:rPr>
                <w:webHidden/>
              </w:rPr>
              <w:instrText xml:space="preserve"> PAGEREF _Toc221525090 \h </w:instrText>
            </w:r>
            <w:r>
              <w:rPr>
                <w:webHidden/>
              </w:rPr>
            </w:r>
            <w:r>
              <w:rPr>
                <w:webHidden/>
              </w:rPr>
              <w:fldChar w:fldCharType="separate"/>
            </w:r>
            <w:r w:rsidR="00313A05">
              <w:rPr>
                <w:webHidden/>
              </w:rPr>
              <w:t>34</w:t>
            </w:r>
            <w:r>
              <w:rPr>
                <w:webHidden/>
              </w:rPr>
              <w:fldChar w:fldCharType="end"/>
            </w:r>
          </w:hyperlink>
        </w:p>
        <w:p w14:paraId="2712A565" w14:textId="3E24758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1" w:history="1">
            <w:r w:rsidRPr="003A1D65">
              <w:rPr>
                <w:rStyle w:val="Hyperlink"/>
              </w:rPr>
              <w:t>2.9 Foreign Language Testimony</w:t>
            </w:r>
            <w:r>
              <w:rPr>
                <w:webHidden/>
              </w:rPr>
              <w:tab/>
            </w:r>
            <w:r>
              <w:rPr>
                <w:webHidden/>
              </w:rPr>
              <w:fldChar w:fldCharType="begin"/>
            </w:r>
            <w:r>
              <w:rPr>
                <w:webHidden/>
              </w:rPr>
              <w:instrText xml:space="preserve"> PAGEREF _Toc221525091 \h </w:instrText>
            </w:r>
            <w:r>
              <w:rPr>
                <w:webHidden/>
              </w:rPr>
            </w:r>
            <w:r>
              <w:rPr>
                <w:webHidden/>
              </w:rPr>
              <w:fldChar w:fldCharType="separate"/>
            </w:r>
            <w:r w:rsidR="00313A05">
              <w:rPr>
                <w:webHidden/>
              </w:rPr>
              <w:t>36</w:t>
            </w:r>
            <w:r>
              <w:rPr>
                <w:webHidden/>
              </w:rPr>
              <w:fldChar w:fldCharType="end"/>
            </w:r>
          </w:hyperlink>
        </w:p>
        <w:p w14:paraId="115FED75" w14:textId="616FA51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2" w:history="1">
            <w:r w:rsidRPr="003A1D65">
              <w:rPr>
                <w:rStyle w:val="Hyperlink"/>
              </w:rPr>
              <w:t>2.10 Impeachment Evidence—Witness</w:t>
            </w:r>
            <w:r>
              <w:rPr>
                <w:webHidden/>
              </w:rPr>
              <w:tab/>
            </w:r>
            <w:r>
              <w:rPr>
                <w:webHidden/>
              </w:rPr>
              <w:fldChar w:fldCharType="begin"/>
            </w:r>
            <w:r>
              <w:rPr>
                <w:webHidden/>
              </w:rPr>
              <w:instrText xml:space="preserve"> PAGEREF _Toc221525092 \h </w:instrText>
            </w:r>
            <w:r>
              <w:rPr>
                <w:webHidden/>
              </w:rPr>
            </w:r>
            <w:r>
              <w:rPr>
                <w:webHidden/>
              </w:rPr>
              <w:fldChar w:fldCharType="separate"/>
            </w:r>
            <w:r w:rsidR="00313A05">
              <w:rPr>
                <w:webHidden/>
              </w:rPr>
              <w:t>37</w:t>
            </w:r>
            <w:r>
              <w:rPr>
                <w:webHidden/>
              </w:rPr>
              <w:fldChar w:fldCharType="end"/>
            </w:r>
          </w:hyperlink>
        </w:p>
        <w:p w14:paraId="28256C36" w14:textId="5EC4A83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3" w:history="1">
            <w:r w:rsidRPr="003A1D65">
              <w:rPr>
                <w:rStyle w:val="Hyperlink"/>
              </w:rPr>
              <w:t>2.11 Tests and Experiments</w:t>
            </w:r>
            <w:r>
              <w:rPr>
                <w:webHidden/>
              </w:rPr>
              <w:tab/>
            </w:r>
            <w:r>
              <w:rPr>
                <w:webHidden/>
              </w:rPr>
              <w:fldChar w:fldCharType="begin"/>
            </w:r>
            <w:r>
              <w:rPr>
                <w:webHidden/>
              </w:rPr>
              <w:instrText xml:space="preserve"> PAGEREF _Toc221525093 \h </w:instrText>
            </w:r>
            <w:r>
              <w:rPr>
                <w:webHidden/>
              </w:rPr>
            </w:r>
            <w:r>
              <w:rPr>
                <w:webHidden/>
              </w:rPr>
              <w:fldChar w:fldCharType="separate"/>
            </w:r>
            <w:r w:rsidR="00313A05">
              <w:rPr>
                <w:webHidden/>
              </w:rPr>
              <w:t>38</w:t>
            </w:r>
            <w:r>
              <w:rPr>
                <w:webHidden/>
              </w:rPr>
              <w:fldChar w:fldCharType="end"/>
            </w:r>
          </w:hyperlink>
        </w:p>
        <w:p w14:paraId="3EB50AC4" w14:textId="54553A8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4" w:history="1">
            <w:r w:rsidRPr="003A1D65">
              <w:rPr>
                <w:rStyle w:val="Hyperlink"/>
              </w:rPr>
              <w:t>2.12 Use of Interrogatories</w:t>
            </w:r>
            <w:r>
              <w:rPr>
                <w:webHidden/>
              </w:rPr>
              <w:tab/>
            </w:r>
            <w:r>
              <w:rPr>
                <w:webHidden/>
              </w:rPr>
              <w:fldChar w:fldCharType="begin"/>
            </w:r>
            <w:r>
              <w:rPr>
                <w:webHidden/>
              </w:rPr>
              <w:instrText xml:space="preserve"> PAGEREF _Toc221525094 \h </w:instrText>
            </w:r>
            <w:r>
              <w:rPr>
                <w:webHidden/>
              </w:rPr>
            </w:r>
            <w:r>
              <w:rPr>
                <w:webHidden/>
              </w:rPr>
              <w:fldChar w:fldCharType="separate"/>
            </w:r>
            <w:r w:rsidR="00313A05">
              <w:rPr>
                <w:webHidden/>
              </w:rPr>
              <w:t>39</w:t>
            </w:r>
            <w:r>
              <w:rPr>
                <w:webHidden/>
              </w:rPr>
              <w:fldChar w:fldCharType="end"/>
            </w:r>
          </w:hyperlink>
        </w:p>
        <w:p w14:paraId="426ACF0E" w14:textId="5451C96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5" w:history="1">
            <w:r w:rsidRPr="003A1D65">
              <w:rPr>
                <w:rStyle w:val="Hyperlink"/>
              </w:rPr>
              <w:t>2.13 Use of Requests for Admission</w:t>
            </w:r>
            <w:r>
              <w:rPr>
                <w:webHidden/>
              </w:rPr>
              <w:tab/>
            </w:r>
            <w:r>
              <w:rPr>
                <w:webHidden/>
              </w:rPr>
              <w:fldChar w:fldCharType="begin"/>
            </w:r>
            <w:r>
              <w:rPr>
                <w:webHidden/>
              </w:rPr>
              <w:instrText xml:space="preserve"> PAGEREF _Toc221525095 \h </w:instrText>
            </w:r>
            <w:r>
              <w:rPr>
                <w:webHidden/>
              </w:rPr>
            </w:r>
            <w:r>
              <w:rPr>
                <w:webHidden/>
              </w:rPr>
              <w:fldChar w:fldCharType="separate"/>
            </w:r>
            <w:r w:rsidR="00313A05">
              <w:rPr>
                <w:webHidden/>
              </w:rPr>
              <w:t>40</w:t>
            </w:r>
            <w:r>
              <w:rPr>
                <w:webHidden/>
              </w:rPr>
              <w:fldChar w:fldCharType="end"/>
            </w:r>
          </w:hyperlink>
        </w:p>
        <w:p w14:paraId="16961B5D" w14:textId="1F0C9DD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6" w:history="1">
            <w:r w:rsidRPr="003A1D65">
              <w:rPr>
                <w:rStyle w:val="Hyperlink"/>
              </w:rPr>
              <w:t>2.14 [Expert] Opinion Testimony</w:t>
            </w:r>
            <w:r>
              <w:rPr>
                <w:webHidden/>
              </w:rPr>
              <w:tab/>
            </w:r>
            <w:r>
              <w:rPr>
                <w:webHidden/>
              </w:rPr>
              <w:fldChar w:fldCharType="begin"/>
            </w:r>
            <w:r>
              <w:rPr>
                <w:webHidden/>
              </w:rPr>
              <w:instrText xml:space="preserve"> PAGEREF _Toc221525096 \h </w:instrText>
            </w:r>
            <w:r>
              <w:rPr>
                <w:webHidden/>
              </w:rPr>
            </w:r>
            <w:r>
              <w:rPr>
                <w:webHidden/>
              </w:rPr>
              <w:fldChar w:fldCharType="separate"/>
            </w:r>
            <w:r w:rsidR="00313A05">
              <w:rPr>
                <w:webHidden/>
              </w:rPr>
              <w:t>41</w:t>
            </w:r>
            <w:r>
              <w:rPr>
                <w:webHidden/>
              </w:rPr>
              <w:fldChar w:fldCharType="end"/>
            </w:r>
          </w:hyperlink>
        </w:p>
        <w:p w14:paraId="17A47902" w14:textId="1410713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7" w:history="1">
            <w:r w:rsidRPr="003A1D65">
              <w:rPr>
                <w:rStyle w:val="Hyperlink"/>
              </w:rPr>
              <w:t>2.15 Charts and Summaries Not Received in Evidence</w:t>
            </w:r>
            <w:r>
              <w:rPr>
                <w:webHidden/>
              </w:rPr>
              <w:tab/>
            </w:r>
            <w:r>
              <w:rPr>
                <w:webHidden/>
              </w:rPr>
              <w:fldChar w:fldCharType="begin"/>
            </w:r>
            <w:r>
              <w:rPr>
                <w:webHidden/>
              </w:rPr>
              <w:instrText xml:space="preserve"> PAGEREF _Toc221525097 \h </w:instrText>
            </w:r>
            <w:r>
              <w:rPr>
                <w:webHidden/>
              </w:rPr>
            </w:r>
            <w:r>
              <w:rPr>
                <w:webHidden/>
              </w:rPr>
              <w:fldChar w:fldCharType="separate"/>
            </w:r>
            <w:r w:rsidR="00313A05">
              <w:rPr>
                <w:webHidden/>
              </w:rPr>
              <w:t>43</w:t>
            </w:r>
            <w:r>
              <w:rPr>
                <w:webHidden/>
              </w:rPr>
              <w:fldChar w:fldCharType="end"/>
            </w:r>
          </w:hyperlink>
        </w:p>
        <w:p w14:paraId="1BC2FA60" w14:textId="59C4996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8" w:history="1">
            <w:r w:rsidRPr="003A1D65">
              <w:rPr>
                <w:rStyle w:val="Hyperlink"/>
              </w:rPr>
              <w:t>2.16 Charts and Summaries Received in Evidence</w:t>
            </w:r>
            <w:r>
              <w:rPr>
                <w:webHidden/>
              </w:rPr>
              <w:tab/>
            </w:r>
            <w:r>
              <w:rPr>
                <w:webHidden/>
              </w:rPr>
              <w:fldChar w:fldCharType="begin"/>
            </w:r>
            <w:r>
              <w:rPr>
                <w:webHidden/>
              </w:rPr>
              <w:instrText xml:space="preserve"> PAGEREF _Toc221525098 \h </w:instrText>
            </w:r>
            <w:r>
              <w:rPr>
                <w:webHidden/>
              </w:rPr>
            </w:r>
            <w:r>
              <w:rPr>
                <w:webHidden/>
              </w:rPr>
              <w:fldChar w:fldCharType="separate"/>
            </w:r>
            <w:r w:rsidR="00313A05">
              <w:rPr>
                <w:webHidden/>
              </w:rPr>
              <w:t>44</w:t>
            </w:r>
            <w:r>
              <w:rPr>
                <w:webHidden/>
              </w:rPr>
              <w:fldChar w:fldCharType="end"/>
            </w:r>
          </w:hyperlink>
        </w:p>
        <w:p w14:paraId="220BF4A4" w14:textId="1FDDDE3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9" w:history="1">
            <w:r w:rsidRPr="003A1D65">
              <w:rPr>
                <w:rStyle w:val="Hyperlink"/>
              </w:rPr>
              <w:t>2.17 Evidence in Electronic Format</w:t>
            </w:r>
            <w:r>
              <w:rPr>
                <w:webHidden/>
              </w:rPr>
              <w:tab/>
            </w:r>
            <w:r>
              <w:rPr>
                <w:webHidden/>
              </w:rPr>
              <w:fldChar w:fldCharType="begin"/>
            </w:r>
            <w:r>
              <w:rPr>
                <w:webHidden/>
              </w:rPr>
              <w:instrText xml:space="preserve"> PAGEREF _Toc221525099 \h </w:instrText>
            </w:r>
            <w:r>
              <w:rPr>
                <w:webHidden/>
              </w:rPr>
            </w:r>
            <w:r>
              <w:rPr>
                <w:webHidden/>
              </w:rPr>
              <w:fldChar w:fldCharType="separate"/>
            </w:r>
            <w:r w:rsidR="00313A05">
              <w:rPr>
                <w:webHidden/>
              </w:rPr>
              <w:t>45</w:t>
            </w:r>
            <w:r>
              <w:rPr>
                <w:webHidden/>
              </w:rPr>
              <w:fldChar w:fldCharType="end"/>
            </w:r>
          </w:hyperlink>
        </w:p>
        <w:p w14:paraId="3FB50128" w14:textId="6F94A6C0" w:rsidR="0068478E" w:rsidRDefault="0068478E">
          <w:pPr>
            <w:pStyle w:val="TOC1"/>
            <w:rPr>
              <w:rFonts w:asciiTheme="minorHAnsi" w:eastAsiaTheme="minorEastAsia" w:hAnsiTheme="minorHAnsi"/>
              <w:noProof/>
              <w:kern w:val="2"/>
              <w:szCs w:val="24"/>
              <w14:ligatures w14:val="standardContextual"/>
            </w:rPr>
          </w:pPr>
          <w:hyperlink w:anchor="_Toc221525100" w:history="1">
            <w:r w:rsidRPr="003A1D65">
              <w:rPr>
                <w:rStyle w:val="Hyperlink"/>
                <w:noProof/>
              </w:rPr>
              <w:t>3. INSTRUCTIONS CONCERNING DELIBERATIONS</w:t>
            </w:r>
            <w:r>
              <w:rPr>
                <w:noProof/>
                <w:webHidden/>
              </w:rPr>
              <w:tab/>
            </w:r>
            <w:r>
              <w:rPr>
                <w:noProof/>
                <w:webHidden/>
              </w:rPr>
              <w:fldChar w:fldCharType="begin"/>
            </w:r>
            <w:r>
              <w:rPr>
                <w:noProof/>
                <w:webHidden/>
              </w:rPr>
              <w:instrText xml:space="preserve"> PAGEREF _Toc221525100 \h </w:instrText>
            </w:r>
            <w:r>
              <w:rPr>
                <w:noProof/>
                <w:webHidden/>
              </w:rPr>
            </w:r>
            <w:r>
              <w:rPr>
                <w:noProof/>
                <w:webHidden/>
              </w:rPr>
              <w:fldChar w:fldCharType="separate"/>
            </w:r>
            <w:r w:rsidR="00313A05">
              <w:rPr>
                <w:noProof/>
                <w:webHidden/>
              </w:rPr>
              <w:t>48</w:t>
            </w:r>
            <w:r>
              <w:rPr>
                <w:noProof/>
                <w:webHidden/>
              </w:rPr>
              <w:fldChar w:fldCharType="end"/>
            </w:r>
          </w:hyperlink>
        </w:p>
        <w:p w14:paraId="1DFA439C" w14:textId="76E6C66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1" w:history="1">
            <w:r w:rsidRPr="003A1D65">
              <w:rPr>
                <w:rStyle w:val="Hyperlink"/>
              </w:rPr>
              <w:t>3.1 Duty to Deliberate</w:t>
            </w:r>
            <w:r>
              <w:rPr>
                <w:webHidden/>
              </w:rPr>
              <w:tab/>
            </w:r>
            <w:r>
              <w:rPr>
                <w:webHidden/>
              </w:rPr>
              <w:fldChar w:fldCharType="begin"/>
            </w:r>
            <w:r>
              <w:rPr>
                <w:webHidden/>
              </w:rPr>
              <w:instrText xml:space="preserve"> PAGEREF _Toc221525101 \h </w:instrText>
            </w:r>
            <w:r>
              <w:rPr>
                <w:webHidden/>
              </w:rPr>
            </w:r>
            <w:r>
              <w:rPr>
                <w:webHidden/>
              </w:rPr>
              <w:fldChar w:fldCharType="separate"/>
            </w:r>
            <w:r w:rsidR="00313A05">
              <w:rPr>
                <w:webHidden/>
              </w:rPr>
              <w:t>49</w:t>
            </w:r>
            <w:r>
              <w:rPr>
                <w:webHidden/>
              </w:rPr>
              <w:fldChar w:fldCharType="end"/>
            </w:r>
          </w:hyperlink>
        </w:p>
        <w:p w14:paraId="2500769D" w14:textId="165C18F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2" w:history="1">
            <w:r w:rsidRPr="003A1D65">
              <w:rPr>
                <w:rStyle w:val="Hyperlink"/>
              </w:rPr>
              <w:t>3.2 Consideration of Evidence—Conduct of the Jury</w:t>
            </w:r>
            <w:r>
              <w:rPr>
                <w:webHidden/>
              </w:rPr>
              <w:tab/>
            </w:r>
            <w:r>
              <w:rPr>
                <w:webHidden/>
              </w:rPr>
              <w:fldChar w:fldCharType="begin"/>
            </w:r>
            <w:r>
              <w:rPr>
                <w:webHidden/>
              </w:rPr>
              <w:instrText xml:space="preserve"> PAGEREF _Toc221525102 \h </w:instrText>
            </w:r>
            <w:r>
              <w:rPr>
                <w:webHidden/>
              </w:rPr>
            </w:r>
            <w:r>
              <w:rPr>
                <w:webHidden/>
              </w:rPr>
              <w:fldChar w:fldCharType="separate"/>
            </w:r>
            <w:r w:rsidR="00313A05">
              <w:rPr>
                <w:webHidden/>
              </w:rPr>
              <w:t>50</w:t>
            </w:r>
            <w:r>
              <w:rPr>
                <w:webHidden/>
              </w:rPr>
              <w:fldChar w:fldCharType="end"/>
            </w:r>
          </w:hyperlink>
        </w:p>
        <w:p w14:paraId="1DD32EB1" w14:textId="424F147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3" w:history="1">
            <w:r w:rsidRPr="003A1D65">
              <w:rPr>
                <w:rStyle w:val="Hyperlink"/>
              </w:rPr>
              <w:t>3.3 Communication with Court</w:t>
            </w:r>
            <w:r>
              <w:rPr>
                <w:webHidden/>
              </w:rPr>
              <w:tab/>
            </w:r>
            <w:r>
              <w:rPr>
                <w:webHidden/>
              </w:rPr>
              <w:fldChar w:fldCharType="begin"/>
            </w:r>
            <w:r>
              <w:rPr>
                <w:webHidden/>
              </w:rPr>
              <w:instrText xml:space="preserve"> PAGEREF _Toc221525103 \h </w:instrText>
            </w:r>
            <w:r>
              <w:rPr>
                <w:webHidden/>
              </w:rPr>
            </w:r>
            <w:r>
              <w:rPr>
                <w:webHidden/>
              </w:rPr>
              <w:fldChar w:fldCharType="separate"/>
            </w:r>
            <w:r w:rsidR="00313A05">
              <w:rPr>
                <w:webHidden/>
              </w:rPr>
              <w:t>51</w:t>
            </w:r>
            <w:r>
              <w:rPr>
                <w:webHidden/>
              </w:rPr>
              <w:fldChar w:fldCharType="end"/>
            </w:r>
          </w:hyperlink>
        </w:p>
        <w:p w14:paraId="49B304FB" w14:textId="2C30A70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4" w:history="1">
            <w:r w:rsidRPr="003A1D65">
              <w:rPr>
                <w:rStyle w:val="Hyperlink"/>
              </w:rPr>
              <w:t>3.4 Readback or Playback</w:t>
            </w:r>
            <w:r>
              <w:rPr>
                <w:webHidden/>
              </w:rPr>
              <w:tab/>
            </w:r>
            <w:r>
              <w:rPr>
                <w:webHidden/>
              </w:rPr>
              <w:fldChar w:fldCharType="begin"/>
            </w:r>
            <w:r>
              <w:rPr>
                <w:webHidden/>
              </w:rPr>
              <w:instrText xml:space="preserve"> PAGEREF _Toc221525104 \h </w:instrText>
            </w:r>
            <w:r>
              <w:rPr>
                <w:webHidden/>
              </w:rPr>
            </w:r>
            <w:r>
              <w:rPr>
                <w:webHidden/>
              </w:rPr>
              <w:fldChar w:fldCharType="separate"/>
            </w:r>
            <w:r w:rsidR="00313A05">
              <w:rPr>
                <w:webHidden/>
              </w:rPr>
              <w:t>52</w:t>
            </w:r>
            <w:r>
              <w:rPr>
                <w:webHidden/>
              </w:rPr>
              <w:fldChar w:fldCharType="end"/>
            </w:r>
          </w:hyperlink>
        </w:p>
        <w:p w14:paraId="73D2F25D" w14:textId="5D8CDF5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5" w:history="1">
            <w:r w:rsidRPr="003A1D65">
              <w:rPr>
                <w:rStyle w:val="Hyperlink"/>
              </w:rPr>
              <w:t>3.5 Return of Verdict</w:t>
            </w:r>
            <w:r>
              <w:rPr>
                <w:webHidden/>
              </w:rPr>
              <w:tab/>
            </w:r>
            <w:r>
              <w:rPr>
                <w:webHidden/>
              </w:rPr>
              <w:fldChar w:fldCharType="begin"/>
            </w:r>
            <w:r>
              <w:rPr>
                <w:webHidden/>
              </w:rPr>
              <w:instrText xml:space="preserve"> PAGEREF _Toc221525105 \h </w:instrText>
            </w:r>
            <w:r>
              <w:rPr>
                <w:webHidden/>
              </w:rPr>
            </w:r>
            <w:r>
              <w:rPr>
                <w:webHidden/>
              </w:rPr>
              <w:fldChar w:fldCharType="separate"/>
            </w:r>
            <w:r w:rsidR="00313A05">
              <w:rPr>
                <w:webHidden/>
              </w:rPr>
              <w:t>53</w:t>
            </w:r>
            <w:r>
              <w:rPr>
                <w:webHidden/>
              </w:rPr>
              <w:fldChar w:fldCharType="end"/>
            </w:r>
          </w:hyperlink>
        </w:p>
        <w:p w14:paraId="7EA8CA2D" w14:textId="1772C6C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6" w:history="1">
            <w:r w:rsidRPr="003A1D65">
              <w:rPr>
                <w:rStyle w:val="Hyperlink"/>
              </w:rPr>
              <w:t>3.6 Additional Instructions of Law</w:t>
            </w:r>
            <w:r>
              <w:rPr>
                <w:webHidden/>
              </w:rPr>
              <w:tab/>
            </w:r>
            <w:r>
              <w:rPr>
                <w:webHidden/>
              </w:rPr>
              <w:fldChar w:fldCharType="begin"/>
            </w:r>
            <w:r>
              <w:rPr>
                <w:webHidden/>
              </w:rPr>
              <w:instrText xml:space="preserve"> PAGEREF _Toc221525106 \h </w:instrText>
            </w:r>
            <w:r>
              <w:rPr>
                <w:webHidden/>
              </w:rPr>
            </w:r>
            <w:r>
              <w:rPr>
                <w:webHidden/>
              </w:rPr>
              <w:fldChar w:fldCharType="separate"/>
            </w:r>
            <w:r w:rsidR="00313A05">
              <w:rPr>
                <w:webHidden/>
              </w:rPr>
              <w:t>54</w:t>
            </w:r>
            <w:r>
              <w:rPr>
                <w:webHidden/>
              </w:rPr>
              <w:fldChar w:fldCharType="end"/>
            </w:r>
          </w:hyperlink>
        </w:p>
        <w:p w14:paraId="2C610BDF" w14:textId="16C0F0F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7" w:history="1">
            <w:r w:rsidRPr="003A1D65">
              <w:rPr>
                <w:rStyle w:val="Hyperlink"/>
              </w:rPr>
              <w:t>3.7 Deadlocked Jury</w:t>
            </w:r>
            <w:r>
              <w:rPr>
                <w:webHidden/>
              </w:rPr>
              <w:tab/>
            </w:r>
            <w:r>
              <w:rPr>
                <w:webHidden/>
              </w:rPr>
              <w:fldChar w:fldCharType="begin"/>
            </w:r>
            <w:r>
              <w:rPr>
                <w:webHidden/>
              </w:rPr>
              <w:instrText xml:space="preserve"> PAGEREF _Toc221525107 \h </w:instrText>
            </w:r>
            <w:r>
              <w:rPr>
                <w:webHidden/>
              </w:rPr>
            </w:r>
            <w:r>
              <w:rPr>
                <w:webHidden/>
              </w:rPr>
              <w:fldChar w:fldCharType="separate"/>
            </w:r>
            <w:r w:rsidR="00313A05">
              <w:rPr>
                <w:webHidden/>
              </w:rPr>
              <w:t>55</w:t>
            </w:r>
            <w:r>
              <w:rPr>
                <w:webHidden/>
              </w:rPr>
              <w:fldChar w:fldCharType="end"/>
            </w:r>
          </w:hyperlink>
        </w:p>
        <w:p w14:paraId="221136AA" w14:textId="3E8D97C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8" w:history="1">
            <w:r w:rsidRPr="003A1D65">
              <w:rPr>
                <w:rStyle w:val="Hyperlink"/>
              </w:rPr>
              <w:t>3.8 Continuing Deliberations After Juror is Discharged</w:t>
            </w:r>
            <w:r>
              <w:rPr>
                <w:webHidden/>
              </w:rPr>
              <w:tab/>
            </w:r>
            <w:r>
              <w:rPr>
                <w:webHidden/>
              </w:rPr>
              <w:fldChar w:fldCharType="begin"/>
            </w:r>
            <w:r>
              <w:rPr>
                <w:webHidden/>
              </w:rPr>
              <w:instrText xml:space="preserve"> PAGEREF _Toc221525108 \h </w:instrText>
            </w:r>
            <w:r>
              <w:rPr>
                <w:webHidden/>
              </w:rPr>
            </w:r>
            <w:r>
              <w:rPr>
                <w:webHidden/>
              </w:rPr>
              <w:fldChar w:fldCharType="separate"/>
            </w:r>
            <w:r w:rsidR="00313A05">
              <w:rPr>
                <w:webHidden/>
              </w:rPr>
              <w:t>56</w:t>
            </w:r>
            <w:r>
              <w:rPr>
                <w:webHidden/>
              </w:rPr>
              <w:fldChar w:fldCharType="end"/>
            </w:r>
          </w:hyperlink>
        </w:p>
        <w:p w14:paraId="096AEAA2" w14:textId="0ACE2A7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9" w:history="1">
            <w:r w:rsidRPr="003A1D65">
              <w:rPr>
                <w:rStyle w:val="Hyperlink"/>
              </w:rPr>
              <w:t>3.9 Post-Discharge Instruction</w:t>
            </w:r>
            <w:r>
              <w:rPr>
                <w:webHidden/>
              </w:rPr>
              <w:tab/>
            </w:r>
            <w:r>
              <w:rPr>
                <w:webHidden/>
              </w:rPr>
              <w:fldChar w:fldCharType="begin"/>
            </w:r>
            <w:r>
              <w:rPr>
                <w:webHidden/>
              </w:rPr>
              <w:instrText xml:space="preserve"> PAGEREF _Toc221525109 \h </w:instrText>
            </w:r>
            <w:r>
              <w:rPr>
                <w:webHidden/>
              </w:rPr>
            </w:r>
            <w:r>
              <w:rPr>
                <w:webHidden/>
              </w:rPr>
              <w:fldChar w:fldCharType="separate"/>
            </w:r>
            <w:r w:rsidR="00313A05">
              <w:rPr>
                <w:webHidden/>
              </w:rPr>
              <w:t>57</w:t>
            </w:r>
            <w:r>
              <w:rPr>
                <w:webHidden/>
              </w:rPr>
              <w:fldChar w:fldCharType="end"/>
            </w:r>
          </w:hyperlink>
        </w:p>
        <w:p w14:paraId="65B7F847" w14:textId="5ED089E7" w:rsidR="0068478E" w:rsidRDefault="0068478E">
          <w:pPr>
            <w:pStyle w:val="TOC1"/>
            <w:rPr>
              <w:rFonts w:asciiTheme="minorHAnsi" w:eastAsiaTheme="minorEastAsia" w:hAnsiTheme="minorHAnsi"/>
              <w:noProof/>
              <w:kern w:val="2"/>
              <w:szCs w:val="24"/>
              <w14:ligatures w14:val="standardContextual"/>
            </w:rPr>
          </w:pPr>
          <w:hyperlink w:anchor="_Toc221525110" w:history="1">
            <w:r w:rsidRPr="003A1D65">
              <w:rPr>
                <w:rStyle w:val="Hyperlink"/>
                <w:noProof/>
              </w:rPr>
              <w:t>4. AGENCY</w:t>
            </w:r>
            <w:r>
              <w:rPr>
                <w:noProof/>
                <w:webHidden/>
              </w:rPr>
              <w:tab/>
            </w:r>
            <w:r>
              <w:rPr>
                <w:noProof/>
                <w:webHidden/>
              </w:rPr>
              <w:fldChar w:fldCharType="begin"/>
            </w:r>
            <w:r>
              <w:rPr>
                <w:noProof/>
                <w:webHidden/>
              </w:rPr>
              <w:instrText xml:space="preserve"> PAGEREF _Toc221525110 \h </w:instrText>
            </w:r>
            <w:r>
              <w:rPr>
                <w:noProof/>
                <w:webHidden/>
              </w:rPr>
            </w:r>
            <w:r>
              <w:rPr>
                <w:noProof/>
                <w:webHidden/>
              </w:rPr>
              <w:fldChar w:fldCharType="separate"/>
            </w:r>
            <w:r w:rsidR="00313A05">
              <w:rPr>
                <w:noProof/>
                <w:webHidden/>
              </w:rPr>
              <w:t>58</w:t>
            </w:r>
            <w:r>
              <w:rPr>
                <w:noProof/>
                <w:webHidden/>
              </w:rPr>
              <w:fldChar w:fldCharType="end"/>
            </w:r>
          </w:hyperlink>
        </w:p>
        <w:p w14:paraId="5DBCBB2B" w14:textId="0558BAD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1" w:history="1">
            <w:r w:rsidRPr="003A1D65">
              <w:rPr>
                <w:rStyle w:val="Hyperlink"/>
              </w:rPr>
              <w:t>Introductory Comment</w:t>
            </w:r>
            <w:r>
              <w:rPr>
                <w:webHidden/>
              </w:rPr>
              <w:tab/>
            </w:r>
            <w:r>
              <w:rPr>
                <w:webHidden/>
              </w:rPr>
              <w:fldChar w:fldCharType="begin"/>
            </w:r>
            <w:r>
              <w:rPr>
                <w:webHidden/>
              </w:rPr>
              <w:instrText xml:space="preserve"> PAGEREF _Toc221525111 \h </w:instrText>
            </w:r>
            <w:r>
              <w:rPr>
                <w:webHidden/>
              </w:rPr>
            </w:r>
            <w:r>
              <w:rPr>
                <w:webHidden/>
              </w:rPr>
              <w:fldChar w:fldCharType="separate"/>
            </w:r>
            <w:r w:rsidR="00313A05">
              <w:rPr>
                <w:webHidden/>
              </w:rPr>
              <w:t>59</w:t>
            </w:r>
            <w:r>
              <w:rPr>
                <w:webHidden/>
              </w:rPr>
              <w:fldChar w:fldCharType="end"/>
            </w:r>
          </w:hyperlink>
        </w:p>
        <w:p w14:paraId="2C6558BC" w14:textId="7EACA88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2" w:history="1">
            <w:r w:rsidRPr="003A1D65">
              <w:rPr>
                <w:rStyle w:val="Hyperlink"/>
              </w:rPr>
              <w:t>4.1 Corporations and Partnerships—Fair Treatment</w:t>
            </w:r>
            <w:r>
              <w:rPr>
                <w:webHidden/>
              </w:rPr>
              <w:tab/>
            </w:r>
            <w:r>
              <w:rPr>
                <w:webHidden/>
              </w:rPr>
              <w:fldChar w:fldCharType="begin"/>
            </w:r>
            <w:r>
              <w:rPr>
                <w:webHidden/>
              </w:rPr>
              <w:instrText xml:space="preserve"> PAGEREF _Toc221525112 \h </w:instrText>
            </w:r>
            <w:r>
              <w:rPr>
                <w:webHidden/>
              </w:rPr>
            </w:r>
            <w:r>
              <w:rPr>
                <w:webHidden/>
              </w:rPr>
              <w:fldChar w:fldCharType="separate"/>
            </w:r>
            <w:r w:rsidR="00313A05">
              <w:rPr>
                <w:webHidden/>
              </w:rPr>
              <w:t>60</w:t>
            </w:r>
            <w:r>
              <w:rPr>
                <w:webHidden/>
              </w:rPr>
              <w:fldChar w:fldCharType="end"/>
            </w:r>
          </w:hyperlink>
        </w:p>
        <w:p w14:paraId="4709DE4B" w14:textId="73DDD63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3" w:history="1">
            <w:r w:rsidRPr="003A1D65">
              <w:rPr>
                <w:rStyle w:val="Hyperlink"/>
              </w:rPr>
              <w:t>4.2 Liability of Corporations—Scope of Authority Not in Issue</w:t>
            </w:r>
            <w:r>
              <w:rPr>
                <w:webHidden/>
              </w:rPr>
              <w:tab/>
            </w:r>
            <w:r>
              <w:rPr>
                <w:webHidden/>
              </w:rPr>
              <w:fldChar w:fldCharType="begin"/>
            </w:r>
            <w:r>
              <w:rPr>
                <w:webHidden/>
              </w:rPr>
              <w:instrText xml:space="preserve"> PAGEREF _Toc221525113 \h </w:instrText>
            </w:r>
            <w:r>
              <w:rPr>
                <w:webHidden/>
              </w:rPr>
            </w:r>
            <w:r>
              <w:rPr>
                <w:webHidden/>
              </w:rPr>
              <w:fldChar w:fldCharType="separate"/>
            </w:r>
            <w:r w:rsidR="00313A05">
              <w:rPr>
                <w:webHidden/>
              </w:rPr>
              <w:t>61</w:t>
            </w:r>
            <w:r>
              <w:rPr>
                <w:webHidden/>
              </w:rPr>
              <w:fldChar w:fldCharType="end"/>
            </w:r>
          </w:hyperlink>
        </w:p>
        <w:p w14:paraId="60A1AD59" w14:textId="25878F7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4" w:history="1">
            <w:r w:rsidRPr="003A1D65">
              <w:rPr>
                <w:rStyle w:val="Hyperlink"/>
              </w:rPr>
              <w:t>4.3 Liability of Partnerships—Scope of Authority Not in Issue</w:t>
            </w:r>
            <w:r>
              <w:rPr>
                <w:webHidden/>
              </w:rPr>
              <w:tab/>
            </w:r>
            <w:r>
              <w:rPr>
                <w:webHidden/>
              </w:rPr>
              <w:fldChar w:fldCharType="begin"/>
            </w:r>
            <w:r>
              <w:rPr>
                <w:webHidden/>
              </w:rPr>
              <w:instrText xml:space="preserve"> PAGEREF _Toc221525114 \h </w:instrText>
            </w:r>
            <w:r>
              <w:rPr>
                <w:webHidden/>
              </w:rPr>
            </w:r>
            <w:r>
              <w:rPr>
                <w:webHidden/>
              </w:rPr>
              <w:fldChar w:fldCharType="separate"/>
            </w:r>
            <w:r w:rsidR="00313A05">
              <w:rPr>
                <w:webHidden/>
              </w:rPr>
              <w:t>62</w:t>
            </w:r>
            <w:r>
              <w:rPr>
                <w:webHidden/>
              </w:rPr>
              <w:fldChar w:fldCharType="end"/>
            </w:r>
          </w:hyperlink>
        </w:p>
        <w:p w14:paraId="358421D3" w14:textId="6D5CD90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5" w:history="1">
            <w:r w:rsidRPr="003A1D65">
              <w:rPr>
                <w:rStyle w:val="Hyperlink"/>
              </w:rPr>
              <w:t>4.4 Agent and Principal—Definition</w:t>
            </w:r>
            <w:r>
              <w:rPr>
                <w:webHidden/>
              </w:rPr>
              <w:tab/>
            </w:r>
            <w:r>
              <w:rPr>
                <w:webHidden/>
              </w:rPr>
              <w:fldChar w:fldCharType="begin"/>
            </w:r>
            <w:r>
              <w:rPr>
                <w:webHidden/>
              </w:rPr>
              <w:instrText xml:space="preserve"> PAGEREF _Toc221525115 \h </w:instrText>
            </w:r>
            <w:r>
              <w:rPr>
                <w:webHidden/>
              </w:rPr>
            </w:r>
            <w:r>
              <w:rPr>
                <w:webHidden/>
              </w:rPr>
              <w:fldChar w:fldCharType="separate"/>
            </w:r>
            <w:r w:rsidR="00313A05">
              <w:rPr>
                <w:webHidden/>
              </w:rPr>
              <w:t>63</w:t>
            </w:r>
            <w:r>
              <w:rPr>
                <w:webHidden/>
              </w:rPr>
              <w:fldChar w:fldCharType="end"/>
            </w:r>
          </w:hyperlink>
        </w:p>
        <w:p w14:paraId="2912641C" w14:textId="279240C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6" w:history="1">
            <w:r w:rsidRPr="003A1D65">
              <w:rPr>
                <w:rStyle w:val="Hyperlink"/>
              </w:rPr>
              <w:t>4.5 Agent—Scope of Authority Defined</w:t>
            </w:r>
            <w:r>
              <w:rPr>
                <w:webHidden/>
              </w:rPr>
              <w:tab/>
            </w:r>
            <w:r>
              <w:rPr>
                <w:webHidden/>
              </w:rPr>
              <w:fldChar w:fldCharType="begin"/>
            </w:r>
            <w:r>
              <w:rPr>
                <w:webHidden/>
              </w:rPr>
              <w:instrText xml:space="preserve"> PAGEREF _Toc221525116 \h </w:instrText>
            </w:r>
            <w:r>
              <w:rPr>
                <w:webHidden/>
              </w:rPr>
            </w:r>
            <w:r>
              <w:rPr>
                <w:webHidden/>
              </w:rPr>
              <w:fldChar w:fldCharType="separate"/>
            </w:r>
            <w:r w:rsidR="00313A05">
              <w:rPr>
                <w:webHidden/>
              </w:rPr>
              <w:t>64</w:t>
            </w:r>
            <w:r>
              <w:rPr>
                <w:webHidden/>
              </w:rPr>
              <w:fldChar w:fldCharType="end"/>
            </w:r>
          </w:hyperlink>
        </w:p>
        <w:p w14:paraId="41975273" w14:textId="7BCC998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7" w:history="1">
            <w:r w:rsidRPr="003A1D65">
              <w:rPr>
                <w:rStyle w:val="Hyperlink"/>
              </w:rPr>
              <w:t>4.6 Apparent Agency</w:t>
            </w:r>
            <w:r>
              <w:rPr>
                <w:webHidden/>
              </w:rPr>
              <w:tab/>
            </w:r>
            <w:r>
              <w:rPr>
                <w:webHidden/>
              </w:rPr>
              <w:fldChar w:fldCharType="begin"/>
            </w:r>
            <w:r>
              <w:rPr>
                <w:webHidden/>
              </w:rPr>
              <w:instrText xml:space="preserve"> PAGEREF _Toc221525117 \h </w:instrText>
            </w:r>
            <w:r>
              <w:rPr>
                <w:webHidden/>
              </w:rPr>
            </w:r>
            <w:r>
              <w:rPr>
                <w:webHidden/>
              </w:rPr>
              <w:fldChar w:fldCharType="separate"/>
            </w:r>
            <w:r w:rsidR="00313A05">
              <w:rPr>
                <w:webHidden/>
              </w:rPr>
              <w:t>65</w:t>
            </w:r>
            <w:r>
              <w:rPr>
                <w:webHidden/>
              </w:rPr>
              <w:fldChar w:fldCharType="end"/>
            </w:r>
          </w:hyperlink>
        </w:p>
        <w:p w14:paraId="6542DC2B" w14:textId="53500F1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8" w:history="1">
            <w:r w:rsidRPr="003A1D65">
              <w:rPr>
                <w:rStyle w:val="Hyperlink"/>
              </w:rPr>
              <w:t>4.7 Ratification</w:t>
            </w:r>
            <w:r>
              <w:rPr>
                <w:webHidden/>
              </w:rPr>
              <w:tab/>
            </w:r>
            <w:r>
              <w:rPr>
                <w:webHidden/>
              </w:rPr>
              <w:fldChar w:fldCharType="begin"/>
            </w:r>
            <w:r>
              <w:rPr>
                <w:webHidden/>
              </w:rPr>
              <w:instrText xml:space="preserve"> PAGEREF _Toc221525118 \h </w:instrText>
            </w:r>
            <w:r>
              <w:rPr>
                <w:webHidden/>
              </w:rPr>
            </w:r>
            <w:r>
              <w:rPr>
                <w:webHidden/>
              </w:rPr>
              <w:fldChar w:fldCharType="separate"/>
            </w:r>
            <w:r w:rsidR="00313A05">
              <w:rPr>
                <w:webHidden/>
              </w:rPr>
              <w:t>66</w:t>
            </w:r>
            <w:r>
              <w:rPr>
                <w:webHidden/>
              </w:rPr>
              <w:fldChar w:fldCharType="end"/>
            </w:r>
          </w:hyperlink>
        </w:p>
        <w:p w14:paraId="51054805" w14:textId="0B8A9B8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9" w:history="1">
            <w:r w:rsidRPr="003A1D65">
              <w:rPr>
                <w:rStyle w:val="Hyperlink"/>
              </w:rPr>
              <w:t>4.8 Act of Agent is Act of Principal—Scope of Authority Not in Issue</w:t>
            </w:r>
            <w:r>
              <w:rPr>
                <w:webHidden/>
              </w:rPr>
              <w:tab/>
            </w:r>
            <w:r>
              <w:rPr>
                <w:webHidden/>
              </w:rPr>
              <w:fldChar w:fldCharType="begin"/>
            </w:r>
            <w:r>
              <w:rPr>
                <w:webHidden/>
              </w:rPr>
              <w:instrText xml:space="preserve"> PAGEREF _Toc221525119 \h </w:instrText>
            </w:r>
            <w:r>
              <w:rPr>
                <w:webHidden/>
              </w:rPr>
            </w:r>
            <w:r>
              <w:rPr>
                <w:webHidden/>
              </w:rPr>
              <w:fldChar w:fldCharType="separate"/>
            </w:r>
            <w:r w:rsidR="00313A05">
              <w:rPr>
                <w:webHidden/>
              </w:rPr>
              <w:t>67</w:t>
            </w:r>
            <w:r>
              <w:rPr>
                <w:webHidden/>
              </w:rPr>
              <w:fldChar w:fldCharType="end"/>
            </w:r>
          </w:hyperlink>
        </w:p>
        <w:p w14:paraId="52A8BEF5" w14:textId="4371932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0" w:history="1">
            <w:r w:rsidRPr="003A1D65">
              <w:rPr>
                <w:rStyle w:val="Hyperlink"/>
              </w:rPr>
              <w:t>4.9 Both Principal and Agent Sued—No Issue as to Agency or Authority</w:t>
            </w:r>
            <w:r>
              <w:rPr>
                <w:webHidden/>
              </w:rPr>
              <w:tab/>
            </w:r>
            <w:r>
              <w:rPr>
                <w:webHidden/>
              </w:rPr>
              <w:fldChar w:fldCharType="begin"/>
            </w:r>
            <w:r>
              <w:rPr>
                <w:webHidden/>
              </w:rPr>
              <w:instrText xml:space="preserve"> PAGEREF _Toc221525120 \h </w:instrText>
            </w:r>
            <w:r>
              <w:rPr>
                <w:webHidden/>
              </w:rPr>
            </w:r>
            <w:r>
              <w:rPr>
                <w:webHidden/>
              </w:rPr>
              <w:fldChar w:fldCharType="separate"/>
            </w:r>
            <w:r w:rsidR="00313A05">
              <w:rPr>
                <w:webHidden/>
              </w:rPr>
              <w:t>68</w:t>
            </w:r>
            <w:r>
              <w:rPr>
                <w:webHidden/>
              </w:rPr>
              <w:fldChar w:fldCharType="end"/>
            </w:r>
          </w:hyperlink>
        </w:p>
        <w:p w14:paraId="2EB2A05C" w14:textId="5B257BB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1" w:history="1">
            <w:r w:rsidRPr="003A1D65">
              <w:rPr>
                <w:rStyle w:val="Hyperlink"/>
              </w:rPr>
              <w:t>4.10 Principal Sued but Not Agent—No Issue as to Agency or Authority</w:t>
            </w:r>
            <w:r>
              <w:rPr>
                <w:webHidden/>
              </w:rPr>
              <w:tab/>
            </w:r>
            <w:r>
              <w:rPr>
                <w:webHidden/>
              </w:rPr>
              <w:fldChar w:fldCharType="begin"/>
            </w:r>
            <w:r>
              <w:rPr>
                <w:webHidden/>
              </w:rPr>
              <w:instrText xml:space="preserve"> PAGEREF _Toc221525121 \h </w:instrText>
            </w:r>
            <w:r>
              <w:rPr>
                <w:webHidden/>
              </w:rPr>
            </w:r>
            <w:r>
              <w:rPr>
                <w:webHidden/>
              </w:rPr>
              <w:fldChar w:fldCharType="separate"/>
            </w:r>
            <w:r w:rsidR="00313A05">
              <w:rPr>
                <w:webHidden/>
              </w:rPr>
              <w:t>69</w:t>
            </w:r>
            <w:r>
              <w:rPr>
                <w:webHidden/>
              </w:rPr>
              <w:fldChar w:fldCharType="end"/>
            </w:r>
          </w:hyperlink>
        </w:p>
        <w:p w14:paraId="15BEBDB8" w14:textId="18379C5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2" w:history="1">
            <w:r w:rsidRPr="003A1D65">
              <w:rPr>
                <w:rStyle w:val="Hyperlink"/>
              </w:rPr>
              <w:t>4.11 Both Principal and Agent Sued—Agency or Authority Denied</w:t>
            </w:r>
            <w:r>
              <w:rPr>
                <w:webHidden/>
              </w:rPr>
              <w:tab/>
            </w:r>
            <w:r>
              <w:rPr>
                <w:webHidden/>
              </w:rPr>
              <w:fldChar w:fldCharType="begin"/>
            </w:r>
            <w:r>
              <w:rPr>
                <w:webHidden/>
              </w:rPr>
              <w:instrText xml:space="preserve"> PAGEREF _Toc221525122 \h </w:instrText>
            </w:r>
            <w:r>
              <w:rPr>
                <w:webHidden/>
              </w:rPr>
            </w:r>
            <w:r>
              <w:rPr>
                <w:webHidden/>
              </w:rPr>
              <w:fldChar w:fldCharType="separate"/>
            </w:r>
            <w:r w:rsidR="00313A05">
              <w:rPr>
                <w:webHidden/>
              </w:rPr>
              <w:t>70</w:t>
            </w:r>
            <w:r>
              <w:rPr>
                <w:webHidden/>
              </w:rPr>
              <w:fldChar w:fldCharType="end"/>
            </w:r>
          </w:hyperlink>
        </w:p>
        <w:p w14:paraId="5180FC95" w14:textId="732EB00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3" w:history="1">
            <w:r w:rsidRPr="003A1D65">
              <w:rPr>
                <w:rStyle w:val="Hyperlink"/>
              </w:rPr>
              <w:t>4.12 Principal Sued but Not Agent—Agency or Authority Denied</w:t>
            </w:r>
            <w:r>
              <w:rPr>
                <w:webHidden/>
              </w:rPr>
              <w:tab/>
            </w:r>
            <w:r>
              <w:rPr>
                <w:webHidden/>
              </w:rPr>
              <w:fldChar w:fldCharType="begin"/>
            </w:r>
            <w:r>
              <w:rPr>
                <w:webHidden/>
              </w:rPr>
              <w:instrText xml:space="preserve"> PAGEREF _Toc221525123 \h </w:instrText>
            </w:r>
            <w:r>
              <w:rPr>
                <w:webHidden/>
              </w:rPr>
            </w:r>
            <w:r>
              <w:rPr>
                <w:webHidden/>
              </w:rPr>
              <w:fldChar w:fldCharType="separate"/>
            </w:r>
            <w:r w:rsidR="00313A05">
              <w:rPr>
                <w:webHidden/>
              </w:rPr>
              <w:t>71</w:t>
            </w:r>
            <w:r>
              <w:rPr>
                <w:webHidden/>
              </w:rPr>
              <w:fldChar w:fldCharType="end"/>
            </w:r>
          </w:hyperlink>
        </w:p>
        <w:p w14:paraId="5C66B792" w14:textId="72C0A11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4" w:history="1">
            <w:r w:rsidRPr="003A1D65">
              <w:rPr>
                <w:rStyle w:val="Hyperlink"/>
              </w:rPr>
              <w:t>4.13 Adverse Interest Exception</w:t>
            </w:r>
            <w:r>
              <w:rPr>
                <w:webHidden/>
              </w:rPr>
              <w:tab/>
            </w:r>
            <w:r>
              <w:rPr>
                <w:webHidden/>
              </w:rPr>
              <w:fldChar w:fldCharType="begin"/>
            </w:r>
            <w:r>
              <w:rPr>
                <w:webHidden/>
              </w:rPr>
              <w:instrText xml:space="preserve"> PAGEREF _Toc221525124 \h </w:instrText>
            </w:r>
            <w:r>
              <w:rPr>
                <w:webHidden/>
              </w:rPr>
            </w:r>
            <w:r>
              <w:rPr>
                <w:webHidden/>
              </w:rPr>
              <w:fldChar w:fldCharType="separate"/>
            </w:r>
            <w:r w:rsidR="00313A05">
              <w:rPr>
                <w:webHidden/>
              </w:rPr>
              <w:t>72</w:t>
            </w:r>
            <w:r>
              <w:rPr>
                <w:webHidden/>
              </w:rPr>
              <w:fldChar w:fldCharType="end"/>
            </w:r>
          </w:hyperlink>
        </w:p>
        <w:p w14:paraId="6B9D34E7" w14:textId="74B7FDF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5" w:history="1">
            <w:r w:rsidRPr="003A1D65">
              <w:rPr>
                <w:rStyle w:val="Hyperlink"/>
              </w:rPr>
              <w:t>4.14 Independent Contractor—Definition</w:t>
            </w:r>
            <w:r>
              <w:rPr>
                <w:webHidden/>
              </w:rPr>
              <w:tab/>
            </w:r>
            <w:r>
              <w:rPr>
                <w:webHidden/>
              </w:rPr>
              <w:fldChar w:fldCharType="begin"/>
            </w:r>
            <w:r>
              <w:rPr>
                <w:webHidden/>
              </w:rPr>
              <w:instrText xml:space="preserve"> PAGEREF _Toc221525125 \h </w:instrText>
            </w:r>
            <w:r>
              <w:rPr>
                <w:webHidden/>
              </w:rPr>
            </w:r>
            <w:r>
              <w:rPr>
                <w:webHidden/>
              </w:rPr>
              <w:fldChar w:fldCharType="separate"/>
            </w:r>
            <w:r w:rsidR="00313A05">
              <w:rPr>
                <w:webHidden/>
              </w:rPr>
              <w:t>73</w:t>
            </w:r>
            <w:r>
              <w:rPr>
                <w:webHidden/>
              </w:rPr>
              <w:fldChar w:fldCharType="end"/>
            </w:r>
          </w:hyperlink>
        </w:p>
        <w:p w14:paraId="09036C18" w14:textId="381FA39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6" w:history="1">
            <w:r w:rsidRPr="003A1D65">
              <w:rPr>
                <w:rStyle w:val="Hyperlink"/>
              </w:rPr>
              <w:t>4.15 General Partnership—Definition</w:t>
            </w:r>
            <w:r>
              <w:rPr>
                <w:webHidden/>
              </w:rPr>
              <w:tab/>
            </w:r>
            <w:r>
              <w:rPr>
                <w:webHidden/>
              </w:rPr>
              <w:fldChar w:fldCharType="begin"/>
            </w:r>
            <w:r>
              <w:rPr>
                <w:webHidden/>
              </w:rPr>
              <w:instrText xml:space="preserve"> PAGEREF _Toc221525126 \h </w:instrText>
            </w:r>
            <w:r>
              <w:rPr>
                <w:webHidden/>
              </w:rPr>
            </w:r>
            <w:r>
              <w:rPr>
                <w:webHidden/>
              </w:rPr>
              <w:fldChar w:fldCharType="separate"/>
            </w:r>
            <w:r w:rsidR="00313A05">
              <w:rPr>
                <w:webHidden/>
              </w:rPr>
              <w:t>74</w:t>
            </w:r>
            <w:r>
              <w:rPr>
                <w:webHidden/>
              </w:rPr>
              <w:fldChar w:fldCharType="end"/>
            </w:r>
          </w:hyperlink>
        </w:p>
        <w:p w14:paraId="63569707" w14:textId="5466E38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7" w:history="1">
            <w:r w:rsidRPr="003A1D65">
              <w:rPr>
                <w:rStyle w:val="Hyperlink"/>
              </w:rPr>
              <w:t>4.16 General Partnership—Scope of Partnership Business Defined</w:t>
            </w:r>
            <w:r>
              <w:rPr>
                <w:webHidden/>
              </w:rPr>
              <w:tab/>
            </w:r>
            <w:r>
              <w:rPr>
                <w:webHidden/>
              </w:rPr>
              <w:fldChar w:fldCharType="begin"/>
            </w:r>
            <w:r>
              <w:rPr>
                <w:webHidden/>
              </w:rPr>
              <w:instrText xml:space="preserve"> PAGEREF _Toc221525127 \h </w:instrText>
            </w:r>
            <w:r>
              <w:rPr>
                <w:webHidden/>
              </w:rPr>
            </w:r>
            <w:r>
              <w:rPr>
                <w:webHidden/>
              </w:rPr>
              <w:fldChar w:fldCharType="separate"/>
            </w:r>
            <w:r w:rsidR="00313A05">
              <w:rPr>
                <w:webHidden/>
              </w:rPr>
              <w:t>75</w:t>
            </w:r>
            <w:r>
              <w:rPr>
                <w:webHidden/>
              </w:rPr>
              <w:fldChar w:fldCharType="end"/>
            </w:r>
          </w:hyperlink>
        </w:p>
        <w:p w14:paraId="0BECDE3C" w14:textId="52741AE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8" w:history="1">
            <w:r w:rsidRPr="003A1D65">
              <w:rPr>
                <w:rStyle w:val="Hyperlink"/>
              </w:rPr>
              <w:t>4.17 General Partnership—Act of Partner is Act of All Partners</w:t>
            </w:r>
            <w:r>
              <w:rPr>
                <w:webHidden/>
              </w:rPr>
              <w:tab/>
            </w:r>
            <w:r>
              <w:rPr>
                <w:webHidden/>
              </w:rPr>
              <w:fldChar w:fldCharType="begin"/>
            </w:r>
            <w:r>
              <w:rPr>
                <w:webHidden/>
              </w:rPr>
              <w:instrText xml:space="preserve"> PAGEREF _Toc221525128 \h </w:instrText>
            </w:r>
            <w:r>
              <w:rPr>
                <w:webHidden/>
              </w:rPr>
            </w:r>
            <w:r>
              <w:rPr>
                <w:webHidden/>
              </w:rPr>
              <w:fldChar w:fldCharType="separate"/>
            </w:r>
            <w:r w:rsidR="00313A05">
              <w:rPr>
                <w:webHidden/>
              </w:rPr>
              <w:t>76</w:t>
            </w:r>
            <w:r>
              <w:rPr>
                <w:webHidden/>
              </w:rPr>
              <w:fldChar w:fldCharType="end"/>
            </w:r>
          </w:hyperlink>
        </w:p>
        <w:p w14:paraId="19164C7C" w14:textId="79A239E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9" w:history="1">
            <w:r w:rsidRPr="003A1D65">
              <w:rPr>
                <w:rStyle w:val="Hyperlink"/>
              </w:rPr>
              <w:t>4.18 General Partnership—Liability of Partner—No Issue as to Partnership, Agency, or Scope of Authority</w:t>
            </w:r>
            <w:r>
              <w:rPr>
                <w:webHidden/>
              </w:rPr>
              <w:tab/>
            </w:r>
            <w:r>
              <w:rPr>
                <w:webHidden/>
              </w:rPr>
              <w:fldChar w:fldCharType="begin"/>
            </w:r>
            <w:r>
              <w:rPr>
                <w:webHidden/>
              </w:rPr>
              <w:instrText xml:space="preserve"> PAGEREF _Toc221525129 \h </w:instrText>
            </w:r>
            <w:r>
              <w:rPr>
                <w:webHidden/>
              </w:rPr>
            </w:r>
            <w:r>
              <w:rPr>
                <w:webHidden/>
              </w:rPr>
              <w:fldChar w:fldCharType="separate"/>
            </w:r>
            <w:r w:rsidR="00313A05">
              <w:rPr>
                <w:webHidden/>
              </w:rPr>
              <w:t>77</w:t>
            </w:r>
            <w:r>
              <w:rPr>
                <w:webHidden/>
              </w:rPr>
              <w:fldChar w:fldCharType="end"/>
            </w:r>
          </w:hyperlink>
        </w:p>
        <w:p w14:paraId="0780FCBA" w14:textId="1C4F2AC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0" w:history="1">
            <w:r w:rsidRPr="003A1D65">
              <w:rPr>
                <w:rStyle w:val="Hyperlink"/>
              </w:rPr>
              <w:t>4.19 Partnership—Existence Admitted—Scope of Partnership Business in Issue—Effect</w:t>
            </w:r>
            <w:r>
              <w:rPr>
                <w:webHidden/>
              </w:rPr>
              <w:tab/>
            </w:r>
            <w:r>
              <w:rPr>
                <w:webHidden/>
              </w:rPr>
              <w:fldChar w:fldCharType="begin"/>
            </w:r>
            <w:r>
              <w:rPr>
                <w:webHidden/>
              </w:rPr>
              <w:instrText xml:space="preserve"> PAGEREF _Toc221525130 \h </w:instrText>
            </w:r>
            <w:r>
              <w:rPr>
                <w:webHidden/>
              </w:rPr>
            </w:r>
            <w:r>
              <w:rPr>
                <w:webHidden/>
              </w:rPr>
              <w:fldChar w:fldCharType="separate"/>
            </w:r>
            <w:r w:rsidR="00313A05">
              <w:rPr>
                <w:webHidden/>
              </w:rPr>
              <w:t>78</w:t>
            </w:r>
            <w:r>
              <w:rPr>
                <w:webHidden/>
              </w:rPr>
              <w:fldChar w:fldCharType="end"/>
            </w:r>
          </w:hyperlink>
        </w:p>
        <w:p w14:paraId="7A6C3093" w14:textId="7313040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1" w:history="1">
            <w:r w:rsidRPr="003A1D65">
              <w:rPr>
                <w:rStyle w:val="Hyperlink"/>
              </w:rPr>
              <w:t>4.20 Partnership—Existence of Partnership in Issue—Effect</w:t>
            </w:r>
            <w:r>
              <w:rPr>
                <w:webHidden/>
              </w:rPr>
              <w:tab/>
            </w:r>
            <w:r>
              <w:rPr>
                <w:webHidden/>
              </w:rPr>
              <w:fldChar w:fldCharType="begin"/>
            </w:r>
            <w:r>
              <w:rPr>
                <w:webHidden/>
              </w:rPr>
              <w:instrText xml:space="preserve"> PAGEREF _Toc221525131 \h </w:instrText>
            </w:r>
            <w:r>
              <w:rPr>
                <w:webHidden/>
              </w:rPr>
            </w:r>
            <w:r>
              <w:rPr>
                <w:webHidden/>
              </w:rPr>
              <w:fldChar w:fldCharType="separate"/>
            </w:r>
            <w:r w:rsidR="00313A05">
              <w:rPr>
                <w:webHidden/>
              </w:rPr>
              <w:t>79</w:t>
            </w:r>
            <w:r>
              <w:rPr>
                <w:webHidden/>
              </w:rPr>
              <w:fldChar w:fldCharType="end"/>
            </w:r>
          </w:hyperlink>
        </w:p>
        <w:p w14:paraId="239082C5" w14:textId="0A189B9F" w:rsidR="0068478E" w:rsidRDefault="0068478E">
          <w:pPr>
            <w:pStyle w:val="TOC1"/>
            <w:rPr>
              <w:rFonts w:asciiTheme="minorHAnsi" w:eastAsiaTheme="minorEastAsia" w:hAnsiTheme="minorHAnsi"/>
              <w:noProof/>
              <w:kern w:val="2"/>
              <w:szCs w:val="24"/>
              <w14:ligatures w14:val="standardContextual"/>
            </w:rPr>
          </w:pPr>
          <w:hyperlink w:anchor="_Toc221525132" w:history="1">
            <w:r w:rsidRPr="003A1D65">
              <w:rPr>
                <w:rStyle w:val="Hyperlink"/>
                <w:noProof/>
              </w:rPr>
              <w:t>5. DAMAGES</w:t>
            </w:r>
            <w:r>
              <w:rPr>
                <w:noProof/>
                <w:webHidden/>
              </w:rPr>
              <w:tab/>
            </w:r>
            <w:r>
              <w:rPr>
                <w:noProof/>
                <w:webHidden/>
              </w:rPr>
              <w:fldChar w:fldCharType="begin"/>
            </w:r>
            <w:r>
              <w:rPr>
                <w:noProof/>
                <w:webHidden/>
              </w:rPr>
              <w:instrText xml:space="preserve"> PAGEREF _Toc221525132 \h </w:instrText>
            </w:r>
            <w:r>
              <w:rPr>
                <w:noProof/>
                <w:webHidden/>
              </w:rPr>
            </w:r>
            <w:r>
              <w:rPr>
                <w:noProof/>
                <w:webHidden/>
              </w:rPr>
              <w:fldChar w:fldCharType="separate"/>
            </w:r>
            <w:r w:rsidR="00313A05">
              <w:rPr>
                <w:noProof/>
                <w:webHidden/>
              </w:rPr>
              <w:t>80</w:t>
            </w:r>
            <w:r>
              <w:rPr>
                <w:noProof/>
                <w:webHidden/>
              </w:rPr>
              <w:fldChar w:fldCharType="end"/>
            </w:r>
          </w:hyperlink>
        </w:p>
        <w:p w14:paraId="79F593B5" w14:textId="1995D7F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3" w:history="1">
            <w:r w:rsidRPr="003A1D65">
              <w:rPr>
                <w:rStyle w:val="Hyperlink"/>
              </w:rPr>
              <w:t>5.1 Damages—Proof</w:t>
            </w:r>
            <w:r>
              <w:rPr>
                <w:webHidden/>
              </w:rPr>
              <w:tab/>
            </w:r>
            <w:r>
              <w:rPr>
                <w:webHidden/>
              </w:rPr>
              <w:fldChar w:fldCharType="begin"/>
            </w:r>
            <w:r>
              <w:rPr>
                <w:webHidden/>
              </w:rPr>
              <w:instrText xml:space="preserve"> PAGEREF _Toc221525133 \h </w:instrText>
            </w:r>
            <w:r>
              <w:rPr>
                <w:webHidden/>
              </w:rPr>
            </w:r>
            <w:r>
              <w:rPr>
                <w:webHidden/>
              </w:rPr>
              <w:fldChar w:fldCharType="separate"/>
            </w:r>
            <w:r w:rsidR="00313A05">
              <w:rPr>
                <w:webHidden/>
              </w:rPr>
              <w:t>81</w:t>
            </w:r>
            <w:r>
              <w:rPr>
                <w:webHidden/>
              </w:rPr>
              <w:fldChar w:fldCharType="end"/>
            </w:r>
          </w:hyperlink>
        </w:p>
        <w:p w14:paraId="5D308648" w14:textId="4E40C35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4" w:history="1">
            <w:r w:rsidRPr="003A1D65">
              <w:rPr>
                <w:rStyle w:val="Hyperlink"/>
              </w:rPr>
              <w:t>5.2 Measures of Types of Damages</w:t>
            </w:r>
            <w:r>
              <w:rPr>
                <w:webHidden/>
              </w:rPr>
              <w:tab/>
            </w:r>
            <w:r>
              <w:rPr>
                <w:webHidden/>
              </w:rPr>
              <w:fldChar w:fldCharType="begin"/>
            </w:r>
            <w:r>
              <w:rPr>
                <w:webHidden/>
              </w:rPr>
              <w:instrText xml:space="preserve"> PAGEREF _Toc221525134 \h </w:instrText>
            </w:r>
            <w:r>
              <w:rPr>
                <w:webHidden/>
              </w:rPr>
            </w:r>
            <w:r>
              <w:rPr>
                <w:webHidden/>
              </w:rPr>
              <w:fldChar w:fldCharType="separate"/>
            </w:r>
            <w:r w:rsidR="00313A05">
              <w:rPr>
                <w:webHidden/>
              </w:rPr>
              <w:t>82</w:t>
            </w:r>
            <w:r>
              <w:rPr>
                <w:webHidden/>
              </w:rPr>
              <w:fldChar w:fldCharType="end"/>
            </w:r>
          </w:hyperlink>
        </w:p>
        <w:p w14:paraId="299C57FE" w14:textId="0E11BF5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5" w:history="1">
            <w:r w:rsidRPr="003A1D65">
              <w:rPr>
                <w:rStyle w:val="Hyperlink"/>
              </w:rPr>
              <w:t>5.3 Damages—Mitigation</w:t>
            </w:r>
            <w:r>
              <w:rPr>
                <w:webHidden/>
              </w:rPr>
              <w:tab/>
            </w:r>
            <w:r>
              <w:rPr>
                <w:webHidden/>
              </w:rPr>
              <w:fldChar w:fldCharType="begin"/>
            </w:r>
            <w:r>
              <w:rPr>
                <w:webHidden/>
              </w:rPr>
              <w:instrText xml:space="preserve"> PAGEREF _Toc221525135 \h </w:instrText>
            </w:r>
            <w:r>
              <w:rPr>
                <w:webHidden/>
              </w:rPr>
            </w:r>
            <w:r>
              <w:rPr>
                <w:webHidden/>
              </w:rPr>
              <w:fldChar w:fldCharType="separate"/>
            </w:r>
            <w:r w:rsidR="00313A05">
              <w:rPr>
                <w:webHidden/>
              </w:rPr>
              <w:t>84</w:t>
            </w:r>
            <w:r>
              <w:rPr>
                <w:webHidden/>
              </w:rPr>
              <w:fldChar w:fldCharType="end"/>
            </w:r>
          </w:hyperlink>
        </w:p>
        <w:p w14:paraId="6DE86AF6" w14:textId="46C0888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6" w:history="1">
            <w:r w:rsidRPr="003A1D65">
              <w:rPr>
                <w:rStyle w:val="Hyperlink"/>
              </w:rPr>
              <w:t>5.4 Damages Arising in the Future—Discount to Present Cash Value</w:t>
            </w:r>
            <w:r>
              <w:rPr>
                <w:webHidden/>
              </w:rPr>
              <w:tab/>
            </w:r>
            <w:r>
              <w:rPr>
                <w:webHidden/>
              </w:rPr>
              <w:fldChar w:fldCharType="begin"/>
            </w:r>
            <w:r>
              <w:rPr>
                <w:webHidden/>
              </w:rPr>
              <w:instrText xml:space="preserve"> PAGEREF _Toc221525136 \h </w:instrText>
            </w:r>
            <w:r>
              <w:rPr>
                <w:webHidden/>
              </w:rPr>
            </w:r>
            <w:r>
              <w:rPr>
                <w:webHidden/>
              </w:rPr>
              <w:fldChar w:fldCharType="separate"/>
            </w:r>
            <w:r w:rsidR="00313A05">
              <w:rPr>
                <w:webHidden/>
              </w:rPr>
              <w:t>85</w:t>
            </w:r>
            <w:r>
              <w:rPr>
                <w:webHidden/>
              </w:rPr>
              <w:fldChar w:fldCharType="end"/>
            </w:r>
          </w:hyperlink>
        </w:p>
        <w:p w14:paraId="085C4858" w14:textId="1712EAE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7" w:history="1">
            <w:r w:rsidRPr="003A1D65">
              <w:rPr>
                <w:rStyle w:val="Hyperlink"/>
              </w:rPr>
              <w:t>5.5 Punitive Damages</w:t>
            </w:r>
            <w:r>
              <w:rPr>
                <w:webHidden/>
              </w:rPr>
              <w:tab/>
            </w:r>
            <w:r>
              <w:rPr>
                <w:webHidden/>
              </w:rPr>
              <w:fldChar w:fldCharType="begin"/>
            </w:r>
            <w:r>
              <w:rPr>
                <w:webHidden/>
              </w:rPr>
              <w:instrText xml:space="preserve"> PAGEREF _Toc221525137 \h </w:instrText>
            </w:r>
            <w:r>
              <w:rPr>
                <w:webHidden/>
              </w:rPr>
            </w:r>
            <w:r>
              <w:rPr>
                <w:webHidden/>
              </w:rPr>
              <w:fldChar w:fldCharType="separate"/>
            </w:r>
            <w:r w:rsidR="00313A05">
              <w:rPr>
                <w:webHidden/>
              </w:rPr>
              <w:t>86</w:t>
            </w:r>
            <w:r>
              <w:rPr>
                <w:webHidden/>
              </w:rPr>
              <w:fldChar w:fldCharType="end"/>
            </w:r>
          </w:hyperlink>
        </w:p>
        <w:p w14:paraId="57501DE0" w14:textId="5D6FF8B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8" w:history="1">
            <w:r w:rsidRPr="003A1D65">
              <w:rPr>
                <w:rStyle w:val="Hyperlink"/>
              </w:rPr>
              <w:t>5.6 Nominal Damages</w:t>
            </w:r>
            <w:r>
              <w:rPr>
                <w:webHidden/>
              </w:rPr>
              <w:tab/>
            </w:r>
            <w:r>
              <w:rPr>
                <w:webHidden/>
              </w:rPr>
              <w:fldChar w:fldCharType="begin"/>
            </w:r>
            <w:r>
              <w:rPr>
                <w:webHidden/>
              </w:rPr>
              <w:instrText xml:space="preserve"> PAGEREF _Toc221525138 \h </w:instrText>
            </w:r>
            <w:r>
              <w:rPr>
                <w:webHidden/>
              </w:rPr>
            </w:r>
            <w:r>
              <w:rPr>
                <w:webHidden/>
              </w:rPr>
              <w:fldChar w:fldCharType="separate"/>
            </w:r>
            <w:r w:rsidR="00313A05">
              <w:rPr>
                <w:webHidden/>
              </w:rPr>
              <w:t>90</w:t>
            </w:r>
            <w:r>
              <w:rPr>
                <w:webHidden/>
              </w:rPr>
              <w:fldChar w:fldCharType="end"/>
            </w:r>
          </w:hyperlink>
        </w:p>
        <w:p w14:paraId="37970646" w14:textId="667E772E" w:rsidR="0068478E" w:rsidRDefault="0068478E">
          <w:pPr>
            <w:pStyle w:val="TOC1"/>
            <w:rPr>
              <w:rFonts w:asciiTheme="minorHAnsi" w:eastAsiaTheme="minorEastAsia" w:hAnsiTheme="minorHAnsi"/>
              <w:noProof/>
              <w:kern w:val="2"/>
              <w:szCs w:val="24"/>
              <w14:ligatures w14:val="standardContextual"/>
            </w:rPr>
          </w:pPr>
          <w:hyperlink w:anchor="_Toc221525139" w:history="1">
            <w:r w:rsidRPr="003A1D65">
              <w:rPr>
                <w:rStyle w:val="Hyperlink"/>
                <w:noProof/>
              </w:rPr>
              <w:t>6. FEDERAL EMPLOYERS’ LIABILITY ACT</w:t>
            </w:r>
            <w:r>
              <w:rPr>
                <w:noProof/>
                <w:webHidden/>
              </w:rPr>
              <w:tab/>
            </w:r>
            <w:r>
              <w:rPr>
                <w:noProof/>
                <w:webHidden/>
              </w:rPr>
              <w:fldChar w:fldCharType="begin"/>
            </w:r>
            <w:r>
              <w:rPr>
                <w:noProof/>
                <w:webHidden/>
              </w:rPr>
              <w:instrText xml:space="preserve"> PAGEREF _Toc221525139 \h </w:instrText>
            </w:r>
            <w:r>
              <w:rPr>
                <w:noProof/>
                <w:webHidden/>
              </w:rPr>
            </w:r>
            <w:r>
              <w:rPr>
                <w:noProof/>
                <w:webHidden/>
              </w:rPr>
              <w:fldChar w:fldCharType="separate"/>
            </w:r>
            <w:r w:rsidR="00313A05">
              <w:rPr>
                <w:noProof/>
                <w:webHidden/>
              </w:rPr>
              <w:t>91</w:t>
            </w:r>
            <w:r>
              <w:rPr>
                <w:noProof/>
                <w:webHidden/>
              </w:rPr>
              <w:fldChar w:fldCharType="end"/>
            </w:r>
          </w:hyperlink>
        </w:p>
        <w:p w14:paraId="37D8747C" w14:textId="559D594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0" w:history="1">
            <w:r w:rsidRPr="003A1D65">
              <w:rPr>
                <w:rStyle w:val="Hyperlink"/>
              </w:rPr>
              <w:t>6.1 Preliminary Jury Instruction—Federal Employers’ Liability Act (45 U.S.C. §§ 51 and 53)</w:t>
            </w:r>
            <w:r>
              <w:rPr>
                <w:webHidden/>
              </w:rPr>
              <w:tab/>
            </w:r>
            <w:r>
              <w:rPr>
                <w:webHidden/>
              </w:rPr>
              <w:fldChar w:fldCharType="begin"/>
            </w:r>
            <w:r>
              <w:rPr>
                <w:webHidden/>
              </w:rPr>
              <w:instrText xml:space="preserve"> PAGEREF _Toc221525140 \h </w:instrText>
            </w:r>
            <w:r>
              <w:rPr>
                <w:webHidden/>
              </w:rPr>
            </w:r>
            <w:r>
              <w:rPr>
                <w:webHidden/>
              </w:rPr>
              <w:fldChar w:fldCharType="separate"/>
            </w:r>
            <w:r w:rsidR="00313A05">
              <w:rPr>
                <w:webHidden/>
              </w:rPr>
              <w:t>92</w:t>
            </w:r>
            <w:r>
              <w:rPr>
                <w:webHidden/>
              </w:rPr>
              <w:fldChar w:fldCharType="end"/>
            </w:r>
          </w:hyperlink>
        </w:p>
        <w:p w14:paraId="05F996B6" w14:textId="36ED337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1" w:history="1">
            <w:r w:rsidRPr="003A1D65">
              <w:rPr>
                <w:rStyle w:val="Hyperlink"/>
              </w:rPr>
              <w:t>6.2 FELA—Elements and Burden of Proof</w:t>
            </w:r>
            <w:r>
              <w:rPr>
                <w:webHidden/>
              </w:rPr>
              <w:tab/>
            </w:r>
            <w:r>
              <w:rPr>
                <w:webHidden/>
              </w:rPr>
              <w:fldChar w:fldCharType="begin"/>
            </w:r>
            <w:r>
              <w:rPr>
                <w:webHidden/>
              </w:rPr>
              <w:instrText xml:space="preserve"> PAGEREF _Toc221525141 \h </w:instrText>
            </w:r>
            <w:r>
              <w:rPr>
                <w:webHidden/>
              </w:rPr>
            </w:r>
            <w:r>
              <w:rPr>
                <w:webHidden/>
              </w:rPr>
              <w:fldChar w:fldCharType="separate"/>
            </w:r>
            <w:r w:rsidR="00313A05">
              <w:rPr>
                <w:webHidden/>
              </w:rPr>
              <w:t>93</w:t>
            </w:r>
            <w:r>
              <w:rPr>
                <w:webHidden/>
              </w:rPr>
              <w:fldChar w:fldCharType="end"/>
            </w:r>
          </w:hyperlink>
        </w:p>
        <w:p w14:paraId="5317798A" w14:textId="0A54623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2" w:history="1">
            <w:r w:rsidRPr="003A1D65">
              <w:rPr>
                <w:rStyle w:val="Hyperlink"/>
              </w:rPr>
              <w:t>6.3 FELA—Negligence Defined</w:t>
            </w:r>
            <w:r>
              <w:rPr>
                <w:webHidden/>
              </w:rPr>
              <w:tab/>
            </w:r>
            <w:r>
              <w:rPr>
                <w:webHidden/>
              </w:rPr>
              <w:fldChar w:fldCharType="begin"/>
            </w:r>
            <w:r>
              <w:rPr>
                <w:webHidden/>
              </w:rPr>
              <w:instrText xml:space="preserve"> PAGEREF _Toc221525142 \h </w:instrText>
            </w:r>
            <w:r>
              <w:rPr>
                <w:webHidden/>
              </w:rPr>
            </w:r>
            <w:r>
              <w:rPr>
                <w:webHidden/>
              </w:rPr>
              <w:fldChar w:fldCharType="separate"/>
            </w:r>
            <w:r w:rsidR="00313A05">
              <w:rPr>
                <w:webHidden/>
              </w:rPr>
              <w:t>94</w:t>
            </w:r>
            <w:r>
              <w:rPr>
                <w:webHidden/>
              </w:rPr>
              <w:fldChar w:fldCharType="end"/>
            </w:r>
          </w:hyperlink>
        </w:p>
        <w:p w14:paraId="469E9087" w14:textId="6B0D909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3" w:history="1">
            <w:r w:rsidRPr="003A1D65">
              <w:rPr>
                <w:rStyle w:val="Hyperlink"/>
              </w:rPr>
              <w:t>6.4 FELA—Causation</w:t>
            </w:r>
            <w:r>
              <w:rPr>
                <w:webHidden/>
              </w:rPr>
              <w:tab/>
            </w:r>
            <w:r>
              <w:rPr>
                <w:webHidden/>
              </w:rPr>
              <w:fldChar w:fldCharType="begin"/>
            </w:r>
            <w:r>
              <w:rPr>
                <w:webHidden/>
              </w:rPr>
              <w:instrText xml:space="preserve"> PAGEREF _Toc221525143 \h </w:instrText>
            </w:r>
            <w:r>
              <w:rPr>
                <w:webHidden/>
              </w:rPr>
            </w:r>
            <w:r>
              <w:rPr>
                <w:webHidden/>
              </w:rPr>
              <w:fldChar w:fldCharType="separate"/>
            </w:r>
            <w:r w:rsidR="00313A05">
              <w:rPr>
                <w:webHidden/>
              </w:rPr>
              <w:t>95</w:t>
            </w:r>
            <w:r>
              <w:rPr>
                <w:webHidden/>
              </w:rPr>
              <w:fldChar w:fldCharType="end"/>
            </w:r>
          </w:hyperlink>
        </w:p>
        <w:p w14:paraId="4C1B6C60" w14:textId="42AA063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4" w:history="1">
            <w:r w:rsidRPr="003A1D65">
              <w:rPr>
                <w:rStyle w:val="Hyperlink"/>
              </w:rPr>
              <w:t>6.5 FELA—Plaintiff’s Compliance with Defendant’s Request or Direction</w:t>
            </w:r>
            <w:r>
              <w:rPr>
                <w:webHidden/>
              </w:rPr>
              <w:tab/>
            </w:r>
            <w:r>
              <w:rPr>
                <w:webHidden/>
              </w:rPr>
              <w:fldChar w:fldCharType="begin"/>
            </w:r>
            <w:r>
              <w:rPr>
                <w:webHidden/>
              </w:rPr>
              <w:instrText xml:space="preserve"> PAGEREF _Toc221525144 \h </w:instrText>
            </w:r>
            <w:r>
              <w:rPr>
                <w:webHidden/>
              </w:rPr>
            </w:r>
            <w:r>
              <w:rPr>
                <w:webHidden/>
              </w:rPr>
              <w:fldChar w:fldCharType="separate"/>
            </w:r>
            <w:r w:rsidR="00313A05">
              <w:rPr>
                <w:webHidden/>
              </w:rPr>
              <w:t>96</w:t>
            </w:r>
            <w:r>
              <w:rPr>
                <w:webHidden/>
              </w:rPr>
              <w:fldChar w:fldCharType="end"/>
            </w:r>
          </w:hyperlink>
        </w:p>
        <w:p w14:paraId="531976D7" w14:textId="3266343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5" w:history="1">
            <w:r w:rsidRPr="003A1D65">
              <w:rPr>
                <w:rStyle w:val="Hyperlink"/>
              </w:rPr>
              <w:t>6.6 FELA—Damages</w:t>
            </w:r>
            <w:r>
              <w:rPr>
                <w:webHidden/>
              </w:rPr>
              <w:tab/>
            </w:r>
            <w:r>
              <w:rPr>
                <w:webHidden/>
              </w:rPr>
              <w:fldChar w:fldCharType="begin"/>
            </w:r>
            <w:r>
              <w:rPr>
                <w:webHidden/>
              </w:rPr>
              <w:instrText xml:space="preserve"> PAGEREF _Toc221525145 \h </w:instrText>
            </w:r>
            <w:r>
              <w:rPr>
                <w:webHidden/>
              </w:rPr>
            </w:r>
            <w:r>
              <w:rPr>
                <w:webHidden/>
              </w:rPr>
              <w:fldChar w:fldCharType="separate"/>
            </w:r>
            <w:r w:rsidR="00313A05">
              <w:rPr>
                <w:webHidden/>
              </w:rPr>
              <w:t>97</w:t>
            </w:r>
            <w:r>
              <w:rPr>
                <w:webHidden/>
              </w:rPr>
              <w:fldChar w:fldCharType="end"/>
            </w:r>
          </w:hyperlink>
        </w:p>
        <w:p w14:paraId="12F0F963" w14:textId="316AD46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6" w:history="1">
            <w:r w:rsidRPr="003A1D65">
              <w:rPr>
                <w:rStyle w:val="Hyperlink"/>
              </w:rPr>
              <w:t>6.7 FELA—Plaintiff’s Negligence—Reduction of Damages (45 U.S.C. § 53)</w:t>
            </w:r>
            <w:r>
              <w:rPr>
                <w:webHidden/>
              </w:rPr>
              <w:tab/>
            </w:r>
            <w:r>
              <w:rPr>
                <w:webHidden/>
              </w:rPr>
              <w:fldChar w:fldCharType="begin"/>
            </w:r>
            <w:r>
              <w:rPr>
                <w:webHidden/>
              </w:rPr>
              <w:instrText xml:space="preserve"> PAGEREF _Toc221525146 \h </w:instrText>
            </w:r>
            <w:r>
              <w:rPr>
                <w:webHidden/>
              </w:rPr>
            </w:r>
            <w:r>
              <w:rPr>
                <w:webHidden/>
              </w:rPr>
              <w:fldChar w:fldCharType="separate"/>
            </w:r>
            <w:r w:rsidR="00313A05">
              <w:rPr>
                <w:webHidden/>
              </w:rPr>
              <w:t>98</w:t>
            </w:r>
            <w:r>
              <w:rPr>
                <w:webHidden/>
              </w:rPr>
              <w:fldChar w:fldCharType="end"/>
            </w:r>
          </w:hyperlink>
        </w:p>
        <w:p w14:paraId="419C184B" w14:textId="434BC0CD" w:rsidR="0068478E" w:rsidRDefault="0068478E">
          <w:pPr>
            <w:pStyle w:val="TOC1"/>
            <w:rPr>
              <w:rFonts w:asciiTheme="minorHAnsi" w:eastAsiaTheme="minorEastAsia" w:hAnsiTheme="minorHAnsi"/>
              <w:noProof/>
              <w:kern w:val="2"/>
              <w:szCs w:val="24"/>
              <w14:ligatures w14:val="standardContextual"/>
            </w:rPr>
          </w:pPr>
          <w:hyperlink w:anchor="_Toc221525147" w:history="1">
            <w:r w:rsidRPr="003A1D65">
              <w:rPr>
                <w:rStyle w:val="Hyperlink"/>
                <w:noProof/>
              </w:rPr>
              <w:t>7. JONES ACT AND OTHER ADMIRALTY CLAIMS</w:t>
            </w:r>
            <w:r>
              <w:rPr>
                <w:noProof/>
                <w:webHidden/>
              </w:rPr>
              <w:tab/>
            </w:r>
            <w:r>
              <w:rPr>
                <w:noProof/>
                <w:webHidden/>
              </w:rPr>
              <w:fldChar w:fldCharType="begin"/>
            </w:r>
            <w:r>
              <w:rPr>
                <w:noProof/>
                <w:webHidden/>
              </w:rPr>
              <w:instrText xml:space="preserve"> PAGEREF _Toc221525147 \h </w:instrText>
            </w:r>
            <w:r>
              <w:rPr>
                <w:noProof/>
                <w:webHidden/>
              </w:rPr>
            </w:r>
            <w:r>
              <w:rPr>
                <w:noProof/>
                <w:webHidden/>
              </w:rPr>
              <w:fldChar w:fldCharType="separate"/>
            </w:r>
            <w:r w:rsidR="00313A05">
              <w:rPr>
                <w:noProof/>
                <w:webHidden/>
              </w:rPr>
              <w:t>101</w:t>
            </w:r>
            <w:r>
              <w:rPr>
                <w:noProof/>
                <w:webHidden/>
              </w:rPr>
              <w:fldChar w:fldCharType="end"/>
            </w:r>
          </w:hyperlink>
        </w:p>
        <w:p w14:paraId="1C5CBA1C" w14:textId="0C42DCD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8" w:history="1">
            <w:r w:rsidRPr="003A1D65">
              <w:rPr>
                <w:rStyle w:val="Hyperlink"/>
              </w:rPr>
              <w:t>Introductory Comment</w:t>
            </w:r>
            <w:r>
              <w:rPr>
                <w:webHidden/>
              </w:rPr>
              <w:tab/>
            </w:r>
            <w:r>
              <w:rPr>
                <w:webHidden/>
              </w:rPr>
              <w:fldChar w:fldCharType="begin"/>
            </w:r>
            <w:r>
              <w:rPr>
                <w:webHidden/>
              </w:rPr>
              <w:instrText xml:space="preserve"> PAGEREF _Toc221525148 \h </w:instrText>
            </w:r>
            <w:r>
              <w:rPr>
                <w:webHidden/>
              </w:rPr>
            </w:r>
            <w:r>
              <w:rPr>
                <w:webHidden/>
              </w:rPr>
              <w:fldChar w:fldCharType="separate"/>
            </w:r>
            <w:r w:rsidR="00313A05">
              <w:rPr>
                <w:webHidden/>
              </w:rPr>
              <w:t>102</w:t>
            </w:r>
            <w:r>
              <w:rPr>
                <w:webHidden/>
              </w:rPr>
              <w:fldChar w:fldCharType="end"/>
            </w:r>
          </w:hyperlink>
        </w:p>
        <w:p w14:paraId="2C5C74E0" w14:textId="5ADDC49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9" w:history="1">
            <w:r w:rsidRPr="003A1D65">
              <w:rPr>
                <w:rStyle w:val="Hyperlink"/>
              </w:rPr>
              <w:t>7.1 Seaman Status</w:t>
            </w:r>
            <w:r>
              <w:rPr>
                <w:webHidden/>
              </w:rPr>
              <w:tab/>
            </w:r>
            <w:r>
              <w:rPr>
                <w:webHidden/>
              </w:rPr>
              <w:fldChar w:fldCharType="begin"/>
            </w:r>
            <w:r>
              <w:rPr>
                <w:webHidden/>
              </w:rPr>
              <w:instrText xml:space="preserve"> PAGEREF _Toc221525149 \h </w:instrText>
            </w:r>
            <w:r>
              <w:rPr>
                <w:webHidden/>
              </w:rPr>
            </w:r>
            <w:r>
              <w:rPr>
                <w:webHidden/>
              </w:rPr>
              <w:fldChar w:fldCharType="separate"/>
            </w:r>
            <w:r w:rsidR="00313A05">
              <w:rPr>
                <w:webHidden/>
              </w:rPr>
              <w:t>103</w:t>
            </w:r>
            <w:r>
              <w:rPr>
                <w:webHidden/>
              </w:rPr>
              <w:fldChar w:fldCharType="end"/>
            </w:r>
          </w:hyperlink>
        </w:p>
        <w:p w14:paraId="71FC91C2" w14:textId="480FA8C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0" w:history="1">
            <w:r w:rsidRPr="003A1D65">
              <w:rPr>
                <w:rStyle w:val="Hyperlink"/>
              </w:rPr>
              <w:t>7.2 Jones Act Negligence Claim—Elements and Burden of Proof (46 U.S.C. § 30104)</w:t>
            </w:r>
            <w:r>
              <w:rPr>
                <w:webHidden/>
              </w:rPr>
              <w:tab/>
            </w:r>
            <w:r>
              <w:rPr>
                <w:webHidden/>
              </w:rPr>
              <w:fldChar w:fldCharType="begin"/>
            </w:r>
            <w:r>
              <w:rPr>
                <w:webHidden/>
              </w:rPr>
              <w:instrText xml:space="preserve"> PAGEREF _Toc221525150 \h </w:instrText>
            </w:r>
            <w:r>
              <w:rPr>
                <w:webHidden/>
              </w:rPr>
            </w:r>
            <w:r>
              <w:rPr>
                <w:webHidden/>
              </w:rPr>
              <w:fldChar w:fldCharType="separate"/>
            </w:r>
            <w:r w:rsidR="00313A05">
              <w:rPr>
                <w:webHidden/>
              </w:rPr>
              <w:t>105</w:t>
            </w:r>
            <w:r>
              <w:rPr>
                <w:webHidden/>
              </w:rPr>
              <w:fldChar w:fldCharType="end"/>
            </w:r>
          </w:hyperlink>
        </w:p>
        <w:p w14:paraId="0170BE42" w14:textId="66C8463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1" w:history="1">
            <w:r w:rsidRPr="003A1D65">
              <w:rPr>
                <w:rStyle w:val="Hyperlink"/>
              </w:rPr>
              <w:t>7.3 Jones Act Negligence Claim—Negligence Defined</w:t>
            </w:r>
            <w:r>
              <w:rPr>
                <w:webHidden/>
              </w:rPr>
              <w:tab/>
            </w:r>
            <w:r>
              <w:rPr>
                <w:webHidden/>
              </w:rPr>
              <w:fldChar w:fldCharType="begin"/>
            </w:r>
            <w:r>
              <w:rPr>
                <w:webHidden/>
              </w:rPr>
              <w:instrText xml:space="preserve"> PAGEREF _Toc221525151 \h </w:instrText>
            </w:r>
            <w:r>
              <w:rPr>
                <w:webHidden/>
              </w:rPr>
            </w:r>
            <w:r>
              <w:rPr>
                <w:webHidden/>
              </w:rPr>
              <w:fldChar w:fldCharType="separate"/>
            </w:r>
            <w:r w:rsidR="00313A05">
              <w:rPr>
                <w:webHidden/>
              </w:rPr>
              <w:t>106</w:t>
            </w:r>
            <w:r>
              <w:rPr>
                <w:webHidden/>
              </w:rPr>
              <w:fldChar w:fldCharType="end"/>
            </w:r>
          </w:hyperlink>
        </w:p>
        <w:p w14:paraId="5D3FAA57" w14:textId="01D1372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2" w:history="1">
            <w:r w:rsidRPr="003A1D65">
              <w:rPr>
                <w:rStyle w:val="Hyperlink"/>
              </w:rPr>
              <w:t>7.4 Jones Act Negligence Claim—Causation Defined</w:t>
            </w:r>
            <w:r>
              <w:rPr>
                <w:webHidden/>
              </w:rPr>
              <w:tab/>
            </w:r>
            <w:r>
              <w:rPr>
                <w:webHidden/>
              </w:rPr>
              <w:fldChar w:fldCharType="begin"/>
            </w:r>
            <w:r>
              <w:rPr>
                <w:webHidden/>
              </w:rPr>
              <w:instrText xml:space="preserve"> PAGEREF _Toc221525152 \h </w:instrText>
            </w:r>
            <w:r>
              <w:rPr>
                <w:webHidden/>
              </w:rPr>
            </w:r>
            <w:r>
              <w:rPr>
                <w:webHidden/>
              </w:rPr>
              <w:fldChar w:fldCharType="separate"/>
            </w:r>
            <w:r w:rsidR="00313A05">
              <w:rPr>
                <w:webHidden/>
              </w:rPr>
              <w:t>107</w:t>
            </w:r>
            <w:r>
              <w:rPr>
                <w:webHidden/>
              </w:rPr>
              <w:fldChar w:fldCharType="end"/>
            </w:r>
          </w:hyperlink>
        </w:p>
        <w:p w14:paraId="6E76A691" w14:textId="4D5E21E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3" w:history="1">
            <w:r w:rsidRPr="003A1D65">
              <w:rPr>
                <w:rStyle w:val="Hyperlink"/>
              </w:rPr>
              <w:t>7.5 Unseaworthiness Claim—Elements and Burden of Proof</w:t>
            </w:r>
            <w:r>
              <w:rPr>
                <w:webHidden/>
              </w:rPr>
              <w:tab/>
            </w:r>
            <w:r>
              <w:rPr>
                <w:webHidden/>
              </w:rPr>
              <w:fldChar w:fldCharType="begin"/>
            </w:r>
            <w:r>
              <w:rPr>
                <w:webHidden/>
              </w:rPr>
              <w:instrText xml:space="preserve"> PAGEREF _Toc221525153 \h </w:instrText>
            </w:r>
            <w:r>
              <w:rPr>
                <w:webHidden/>
              </w:rPr>
            </w:r>
            <w:r>
              <w:rPr>
                <w:webHidden/>
              </w:rPr>
              <w:fldChar w:fldCharType="separate"/>
            </w:r>
            <w:r w:rsidR="00313A05">
              <w:rPr>
                <w:webHidden/>
              </w:rPr>
              <w:t>108</w:t>
            </w:r>
            <w:r>
              <w:rPr>
                <w:webHidden/>
              </w:rPr>
              <w:fldChar w:fldCharType="end"/>
            </w:r>
          </w:hyperlink>
        </w:p>
        <w:p w14:paraId="58E1019C" w14:textId="3BB65B8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4" w:history="1">
            <w:r w:rsidRPr="003A1D65">
              <w:rPr>
                <w:rStyle w:val="Hyperlink"/>
              </w:rPr>
              <w:t>7.6 Unseaworthiness—Defined</w:t>
            </w:r>
            <w:r>
              <w:rPr>
                <w:webHidden/>
              </w:rPr>
              <w:tab/>
            </w:r>
            <w:r>
              <w:rPr>
                <w:webHidden/>
              </w:rPr>
              <w:fldChar w:fldCharType="begin"/>
            </w:r>
            <w:r>
              <w:rPr>
                <w:webHidden/>
              </w:rPr>
              <w:instrText xml:space="preserve"> PAGEREF _Toc221525154 \h </w:instrText>
            </w:r>
            <w:r>
              <w:rPr>
                <w:webHidden/>
              </w:rPr>
            </w:r>
            <w:r>
              <w:rPr>
                <w:webHidden/>
              </w:rPr>
              <w:fldChar w:fldCharType="separate"/>
            </w:r>
            <w:r w:rsidR="00313A05">
              <w:rPr>
                <w:webHidden/>
              </w:rPr>
              <w:t>109</w:t>
            </w:r>
            <w:r>
              <w:rPr>
                <w:webHidden/>
              </w:rPr>
              <w:fldChar w:fldCharType="end"/>
            </w:r>
          </w:hyperlink>
        </w:p>
        <w:p w14:paraId="4B079E1B" w14:textId="445B191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5" w:history="1">
            <w:r w:rsidRPr="003A1D65">
              <w:rPr>
                <w:rStyle w:val="Hyperlink"/>
              </w:rPr>
              <w:t>7.7 Unseaworthiness—Causation Defined</w:t>
            </w:r>
            <w:r>
              <w:rPr>
                <w:webHidden/>
              </w:rPr>
              <w:tab/>
            </w:r>
            <w:r>
              <w:rPr>
                <w:webHidden/>
              </w:rPr>
              <w:fldChar w:fldCharType="begin"/>
            </w:r>
            <w:r>
              <w:rPr>
                <w:webHidden/>
              </w:rPr>
              <w:instrText xml:space="preserve"> PAGEREF _Toc221525155 \h </w:instrText>
            </w:r>
            <w:r>
              <w:rPr>
                <w:webHidden/>
              </w:rPr>
            </w:r>
            <w:r>
              <w:rPr>
                <w:webHidden/>
              </w:rPr>
              <w:fldChar w:fldCharType="separate"/>
            </w:r>
            <w:r w:rsidR="00313A05">
              <w:rPr>
                <w:webHidden/>
              </w:rPr>
              <w:t>110</w:t>
            </w:r>
            <w:r>
              <w:rPr>
                <w:webHidden/>
              </w:rPr>
              <w:fldChar w:fldCharType="end"/>
            </w:r>
          </w:hyperlink>
        </w:p>
        <w:p w14:paraId="7E4942E1" w14:textId="3AE05CF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6" w:history="1">
            <w:r w:rsidRPr="003A1D65">
              <w:rPr>
                <w:rStyle w:val="Hyperlink"/>
              </w:rPr>
              <w:t>7.8 Jones Act Negligence or Unseaworthiness—Damages—Proof</w:t>
            </w:r>
            <w:r>
              <w:rPr>
                <w:webHidden/>
              </w:rPr>
              <w:tab/>
            </w:r>
            <w:r>
              <w:rPr>
                <w:webHidden/>
              </w:rPr>
              <w:fldChar w:fldCharType="begin"/>
            </w:r>
            <w:r>
              <w:rPr>
                <w:webHidden/>
              </w:rPr>
              <w:instrText xml:space="preserve"> PAGEREF _Toc221525156 \h </w:instrText>
            </w:r>
            <w:r>
              <w:rPr>
                <w:webHidden/>
              </w:rPr>
            </w:r>
            <w:r>
              <w:rPr>
                <w:webHidden/>
              </w:rPr>
              <w:fldChar w:fldCharType="separate"/>
            </w:r>
            <w:r w:rsidR="00313A05">
              <w:rPr>
                <w:webHidden/>
              </w:rPr>
              <w:t>111</w:t>
            </w:r>
            <w:r>
              <w:rPr>
                <w:webHidden/>
              </w:rPr>
              <w:fldChar w:fldCharType="end"/>
            </w:r>
          </w:hyperlink>
        </w:p>
        <w:p w14:paraId="5B97A01B" w14:textId="7A0A145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7" w:history="1">
            <w:r w:rsidRPr="003A1D65">
              <w:rPr>
                <w:rStyle w:val="Hyperlink"/>
              </w:rPr>
              <w:t>7.9 Jones Act Negligence or Unseaworthiness—Plaintiff’s Negligence—Reduction of Damages</w:t>
            </w:r>
            <w:r>
              <w:rPr>
                <w:webHidden/>
              </w:rPr>
              <w:tab/>
            </w:r>
            <w:r>
              <w:rPr>
                <w:webHidden/>
              </w:rPr>
              <w:fldChar w:fldCharType="begin"/>
            </w:r>
            <w:r>
              <w:rPr>
                <w:webHidden/>
              </w:rPr>
              <w:instrText xml:space="preserve"> PAGEREF _Toc221525157 \h </w:instrText>
            </w:r>
            <w:r>
              <w:rPr>
                <w:webHidden/>
              </w:rPr>
            </w:r>
            <w:r>
              <w:rPr>
                <w:webHidden/>
              </w:rPr>
              <w:fldChar w:fldCharType="separate"/>
            </w:r>
            <w:r w:rsidR="00313A05">
              <w:rPr>
                <w:webHidden/>
              </w:rPr>
              <w:t>112</w:t>
            </w:r>
            <w:r>
              <w:rPr>
                <w:webHidden/>
              </w:rPr>
              <w:fldChar w:fldCharType="end"/>
            </w:r>
          </w:hyperlink>
        </w:p>
        <w:p w14:paraId="62E61B13" w14:textId="74493BB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8" w:history="1">
            <w:r w:rsidRPr="003A1D65">
              <w:rPr>
                <w:rStyle w:val="Hyperlink"/>
              </w:rPr>
              <w:t>7.10 Jones Act Negligence or Unseaworthiness—Plaintiff’s Compliance with Defendant’s Request or Directions</w:t>
            </w:r>
            <w:r>
              <w:rPr>
                <w:webHidden/>
              </w:rPr>
              <w:tab/>
            </w:r>
            <w:r>
              <w:rPr>
                <w:webHidden/>
              </w:rPr>
              <w:fldChar w:fldCharType="begin"/>
            </w:r>
            <w:r>
              <w:rPr>
                <w:webHidden/>
              </w:rPr>
              <w:instrText xml:space="preserve"> PAGEREF _Toc221525158 \h </w:instrText>
            </w:r>
            <w:r>
              <w:rPr>
                <w:webHidden/>
              </w:rPr>
            </w:r>
            <w:r>
              <w:rPr>
                <w:webHidden/>
              </w:rPr>
              <w:fldChar w:fldCharType="separate"/>
            </w:r>
            <w:r w:rsidR="00313A05">
              <w:rPr>
                <w:webHidden/>
              </w:rPr>
              <w:t>114</w:t>
            </w:r>
            <w:r>
              <w:rPr>
                <w:webHidden/>
              </w:rPr>
              <w:fldChar w:fldCharType="end"/>
            </w:r>
          </w:hyperlink>
        </w:p>
        <w:p w14:paraId="30A99DFE" w14:textId="7E3D987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9" w:history="1">
            <w:r w:rsidRPr="003A1D65">
              <w:rPr>
                <w:rStyle w:val="Hyperlink"/>
              </w:rPr>
              <w:t>7.11 Maintenance and Cure—Elements and Burden of Proof</w:t>
            </w:r>
            <w:r>
              <w:rPr>
                <w:webHidden/>
              </w:rPr>
              <w:tab/>
            </w:r>
            <w:r>
              <w:rPr>
                <w:webHidden/>
              </w:rPr>
              <w:fldChar w:fldCharType="begin"/>
            </w:r>
            <w:r>
              <w:rPr>
                <w:webHidden/>
              </w:rPr>
              <w:instrText xml:space="preserve"> PAGEREF _Toc221525159 \h </w:instrText>
            </w:r>
            <w:r>
              <w:rPr>
                <w:webHidden/>
              </w:rPr>
            </w:r>
            <w:r>
              <w:rPr>
                <w:webHidden/>
              </w:rPr>
              <w:fldChar w:fldCharType="separate"/>
            </w:r>
            <w:r w:rsidR="00313A05">
              <w:rPr>
                <w:webHidden/>
              </w:rPr>
              <w:t>115</w:t>
            </w:r>
            <w:r>
              <w:rPr>
                <w:webHidden/>
              </w:rPr>
              <w:fldChar w:fldCharType="end"/>
            </w:r>
          </w:hyperlink>
        </w:p>
        <w:p w14:paraId="761ED6F0" w14:textId="67AF120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60" w:history="1">
            <w:r w:rsidRPr="003A1D65">
              <w:rPr>
                <w:rStyle w:val="Hyperlink"/>
              </w:rPr>
              <w:t>7.12 Maintenance and Cure—Willful and Arbitrary Failure to Pay</w:t>
            </w:r>
            <w:r>
              <w:rPr>
                <w:webHidden/>
              </w:rPr>
              <w:tab/>
            </w:r>
            <w:r>
              <w:rPr>
                <w:webHidden/>
              </w:rPr>
              <w:fldChar w:fldCharType="begin"/>
            </w:r>
            <w:r>
              <w:rPr>
                <w:webHidden/>
              </w:rPr>
              <w:instrText xml:space="preserve"> PAGEREF _Toc221525160 \h </w:instrText>
            </w:r>
            <w:r>
              <w:rPr>
                <w:webHidden/>
              </w:rPr>
            </w:r>
            <w:r>
              <w:rPr>
                <w:webHidden/>
              </w:rPr>
              <w:fldChar w:fldCharType="separate"/>
            </w:r>
            <w:r w:rsidR="00313A05">
              <w:rPr>
                <w:webHidden/>
              </w:rPr>
              <w:t>117</w:t>
            </w:r>
            <w:r>
              <w:rPr>
                <w:webHidden/>
              </w:rPr>
              <w:fldChar w:fldCharType="end"/>
            </w:r>
          </w:hyperlink>
        </w:p>
        <w:p w14:paraId="1828A1D6" w14:textId="4B04EE9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61" w:history="1">
            <w:r w:rsidRPr="003A1D65">
              <w:rPr>
                <w:rStyle w:val="Hyperlink"/>
              </w:rPr>
              <w:t>7.13 Integrated Product Manufacturer’s Duty to Warn</w:t>
            </w:r>
            <w:r>
              <w:rPr>
                <w:webHidden/>
              </w:rPr>
              <w:tab/>
            </w:r>
            <w:r>
              <w:rPr>
                <w:webHidden/>
              </w:rPr>
              <w:fldChar w:fldCharType="begin"/>
            </w:r>
            <w:r>
              <w:rPr>
                <w:webHidden/>
              </w:rPr>
              <w:instrText xml:space="preserve"> PAGEREF _Toc221525161 \h </w:instrText>
            </w:r>
            <w:r>
              <w:rPr>
                <w:webHidden/>
              </w:rPr>
            </w:r>
            <w:r>
              <w:rPr>
                <w:webHidden/>
              </w:rPr>
              <w:fldChar w:fldCharType="separate"/>
            </w:r>
            <w:r w:rsidR="00313A05">
              <w:rPr>
                <w:webHidden/>
              </w:rPr>
              <w:t>118</w:t>
            </w:r>
            <w:r>
              <w:rPr>
                <w:webHidden/>
              </w:rPr>
              <w:fldChar w:fldCharType="end"/>
            </w:r>
          </w:hyperlink>
        </w:p>
        <w:p w14:paraId="69D550E7" w14:textId="5FFB7854" w:rsidR="0068478E" w:rsidRDefault="0068478E">
          <w:pPr>
            <w:pStyle w:val="TOC1"/>
            <w:rPr>
              <w:rFonts w:asciiTheme="minorHAnsi" w:eastAsiaTheme="minorEastAsia" w:hAnsiTheme="minorHAnsi"/>
              <w:noProof/>
              <w:kern w:val="2"/>
              <w:szCs w:val="24"/>
              <w14:ligatures w14:val="standardContextual"/>
            </w:rPr>
          </w:pPr>
          <w:hyperlink w:anchor="_Toc221525162" w:history="1">
            <w:r w:rsidRPr="003A1D65">
              <w:rPr>
                <w:rStyle w:val="Hyperlink"/>
                <w:noProof/>
              </w:rPr>
              <w:t>8. CIVIL RICO</w:t>
            </w:r>
            <w:r>
              <w:rPr>
                <w:noProof/>
                <w:webHidden/>
              </w:rPr>
              <w:tab/>
            </w:r>
            <w:r>
              <w:rPr>
                <w:noProof/>
                <w:webHidden/>
              </w:rPr>
              <w:fldChar w:fldCharType="begin"/>
            </w:r>
            <w:r>
              <w:rPr>
                <w:noProof/>
                <w:webHidden/>
              </w:rPr>
              <w:instrText xml:space="preserve"> PAGEREF _Toc221525162 \h </w:instrText>
            </w:r>
            <w:r>
              <w:rPr>
                <w:noProof/>
                <w:webHidden/>
              </w:rPr>
            </w:r>
            <w:r>
              <w:rPr>
                <w:noProof/>
                <w:webHidden/>
              </w:rPr>
              <w:fldChar w:fldCharType="separate"/>
            </w:r>
            <w:r w:rsidR="00313A05">
              <w:rPr>
                <w:noProof/>
                <w:webHidden/>
              </w:rPr>
              <w:t>119</w:t>
            </w:r>
            <w:r>
              <w:rPr>
                <w:noProof/>
                <w:webHidden/>
              </w:rPr>
              <w:fldChar w:fldCharType="end"/>
            </w:r>
          </w:hyperlink>
        </w:p>
        <w:p w14:paraId="378D96AB" w14:textId="4AF12784" w:rsidR="0068478E" w:rsidRPr="0068478E" w:rsidRDefault="0068478E">
          <w:pPr>
            <w:pStyle w:val="TOC1"/>
            <w:rPr>
              <w:rFonts w:asciiTheme="minorHAnsi" w:eastAsiaTheme="minorEastAsia" w:hAnsiTheme="minorHAnsi"/>
              <w:noProof/>
              <w:kern w:val="2"/>
              <w:szCs w:val="24"/>
              <w14:ligatures w14:val="standardContextual"/>
            </w:rPr>
          </w:pPr>
          <w:r w:rsidRPr="0068478E">
            <w:rPr>
              <w:rStyle w:val="Hyperlink"/>
              <w:noProof/>
              <w:color w:val="auto"/>
              <w:u w:val="none"/>
            </w:rPr>
            <w:t>9,</w:t>
          </w:r>
          <w:r>
            <w:rPr>
              <w:rStyle w:val="Hyperlink"/>
              <w:noProof/>
            </w:rPr>
            <w:t xml:space="preserve"> </w:t>
          </w:r>
          <w:hyperlink w:anchor="_Toc221525163" w:history="1">
            <w:r w:rsidRPr="0068478E">
              <w:rPr>
                <w:rStyle w:val="Hyperlink"/>
                <w:rFonts w:eastAsia="Calibri" w:cs="Times New Roman"/>
                <w:noProof/>
              </w:rPr>
              <w:t>CIVIL RIGHTS ACTIONS—42 U.S.C. § 1983</w:t>
            </w:r>
            <w:r w:rsidRPr="0068478E">
              <w:rPr>
                <w:noProof/>
                <w:webHidden/>
              </w:rPr>
              <w:tab/>
            </w:r>
            <w:r w:rsidRPr="0068478E">
              <w:rPr>
                <w:noProof/>
                <w:webHidden/>
              </w:rPr>
              <w:fldChar w:fldCharType="begin"/>
            </w:r>
            <w:r w:rsidRPr="0068478E">
              <w:rPr>
                <w:noProof/>
                <w:webHidden/>
              </w:rPr>
              <w:instrText xml:space="preserve"> PAGEREF _Toc221525163 \h </w:instrText>
            </w:r>
            <w:r w:rsidRPr="0068478E">
              <w:rPr>
                <w:noProof/>
                <w:webHidden/>
              </w:rPr>
            </w:r>
            <w:r w:rsidRPr="0068478E">
              <w:rPr>
                <w:noProof/>
                <w:webHidden/>
              </w:rPr>
              <w:fldChar w:fldCharType="separate"/>
            </w:r>
            <w:r w:rsidR="00313A05">
              <w:rPr>
                <w:noProof/>
                <w:webHidden/>
              </w:rPr>
              <w:t>124</w:t>
            </w:r>
            <w:r w:rsidRPr="0068478E">
              <w:rPr>
                <w:noProof/>
                <w:webHidden/>
              </w:rPr>
              <w:fldChar w:fldCharType="end"/>
            </w:r>
          </w:hyperlink>
        </w:p>
        <w:p w14:paraId="4DD9F569" w14:textId="18A8B807"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4" w:history="1">
            <w:r w:rsidRPr="0068478E">
              <w:rPr>
                <w:rStyle w:val="Hyperlink"/>
                <w:rFonts w:eastAsia="Calibri"/>
              </w:rPr>
              <w:t>Introductory Comment</w:t>
            </w:r>
            <w:r w:rsidRPr="0068478E">
              <w:rPr>
                <w:webHidden/>
              </w:rPr>
              <w:tab/>
            </w:r>
            <w:r w:rsidRPr="0068478E">
              <w:rPr>
                <w:webHidden/>
              </w:rPr>
              <w:fldChar w:fldCharType="begin"/>
            </w:r>
            <w:r w:rsidRPr="0068478E">
              <w:rPr>
                <w:webHidden/>
              </w:rPr>
              <w:instrText xml:space="preserve"> PAGEREF _Toc221525164 \h </w:instrText>
            </w:r>
            <w:r w:rsidRPr="0068478E">
              <w:rPr>
                <w:webHidden/>
              </w:rPr>
            </w:r>
            <w:r w:rsidRPr="0068478E">
              <w:rPr>
                <w:webHidden/>
              </w:rPr>
              <w:fldChar w:fldCharType="separate"/>
            </w:r>
            <w:r w:rsidR="00313A05">
              <w:rPr>
                <w:webHidden/>
              </w:rPr>
              <w:t>126</w:t>
            </w:r>
            <w:r w:rsidRPr="0068478E">
              <w:rPr>
                <w:webHidden/>
              </w:rPr>
              <w:fldChar w:fldCharType="end"/>
            </w:r>
          </w:hyperlink>
        </w:p>
        <w:p w14:paraId="3DA8AE70" w14:textId="2AF57B5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5" w:history="1">
            <w:r w:rsidRPr="0068478E">
              <w:rPr>
                <w:rStyle w:val="Hyperlink"/>
                <w:rFonts w:eastAsia="Calibri"/>
              </w:rPr>
              <w:t>9.1 Section 1983 Claim—Introductory Instruction</w:t>
            </w:r>
            <w:r w:rsidRPr="0068478E">
              <w:rPr>
                <w:webHidden/>
              </w:rPr>
              <w:tab/>
            </w:r>
            <w:r w:rsidRPr="0068478E">
              <w:rPr>
                <w:webHidden/>
              </w:rPr>
              <w:fldChar w:fldCharType="begin"/>
            </w:r>
            <w:r w:rsidRPr="0068478E">
              <w:rPr>
                <w:webHidden/>
              </w:rPr>
              <w:instrText xml:space="preserve"> PAGEREF _Toc221525165 \h </w:instrText>
            </w:r>
            <w:r w:rsidRPr="0068478E">
              <w:rPr>
                <w:webHidden/>
              </w:rPr>
            </w:r>
            <w:r w:rsidRPr="0068478E">
              <w:rPr>
                <w:webHidden/>
              </w:rPr>
              <w:fldChar w:fldCharType="separate"/>
            </w:r>
            <w:r w:rsidR="00313A05">
              <w:rPr>
                <w:webHidden/>
              </w:rPr>
              <w:t>131</w:t>
            </w:r>
            <w:r w:rsidRPr="0068478E">
              <w:rPr>
                <w:webHidden/>
              </w:rPr>
              <w:fldChar w:fldCharType="end"/>
            </w:r>
          </w:hyperlink>
        </w:p>
        <w:p w14:paraId="0B38CABE" w14:textId="06684AA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6" w:history="1">
            <w:r w:rsidRPr="0068478E">
              <w:rPr>
                <w:rStyle w:val="Hyperlink"/>
                <w:rFonts w:eastAsia="Calibri"/>
              </w:rPr>
              <w:t>9.2 Causation</w:t>
            </w:r>
            <w:r w:rsidRPr="0068478E">
              <w:rPr>
                <w:webHidden/>
              </w:rPr>
              <w:tab/>
            </w:r>
            <w:r w:rsidRPr="0068478E">
              <w:rPr>
                <w:webHidden/>
              </w:rPr>
              <w:fldChar w:fldCharType="begin"/>
            </w:r>
            <w:r w:rsidRPr="0068478E">
              <w:rPr>
                <w:webHidden/>
              </w:rPr>
              <w:instrText xml:space="preserve"> PAGEREF _Toc221525166 \h </w:instrText>
            </w:r>
            <w:r w:rsidRPr="0068478E">
              <w:rPr>
                <w:webHidden/>
              </w:rPr>
            </w:r>
            <w:r w:rsidRPr="0068478E">
              <w:rPr>
                <w:webHidden/>
              </w:rPr>
              <w:fldChar w:fldCharType="separate"/>
            </w:r>
            <w:r w:rsidR="00313A05">
              <w:rPr>
                <w:webHidden/>
              </w:rPr>
              <w:t>133</w:t>
            </w:r>
            <w:r w:rsidRPr="0068478E">
              <w:rPr>
                <w:webHidden/>
              </w:rPr>
              <w:fldChar w:fldCharType="end"/>
            </w:r>
          </w:hyperlink>
        </w:p>
        <w:p w14:paraId="1CC69C83" w14:textId="11DF18C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7" w:history="1">
            <w:r w:rsidRPr="0068478E">
              <w:rPr>
                <w:rStyle w:val="Hyperlink"/>
                <w:rFonts w:eastAsia="Calibri"/>
              </w:rPr>
              <w:t>9.3 Section 1983 Claim Against Defendant in Individual Capacity—Elements and Burden of Proof</w:t>
            </w:r>
            <w:r w:rsidRPr="0068478E">
              <w:rPr>
                <w:webHidden/>
              </w:rPr>
              <w:tab/>
            </w:r>
            <w:r w:rsidRPr="0068478E">
              <w:rPr>
                <w:webHidden/>
              </w:rPr>
              <w:fldChar w:fldCharType="begin"/>
            </w:r>
            <w:r w:rsidRPr="0068478E">
              <w:rPr>
                <w:webHidden/>
              </w:rPr>
              <w:instrText xml:space="preserve"> PAGEREF _Toc221525167 \h </w:instrText>
            </w:r>
            <w:r w:rsidRPr="0068478E">
              <w:rPr>
                <w:webHidden/>
              </w:rPr>
            </w:r>
            <w:r w:rsidRPr="0068478E">
              <w:rPr>
                <w:webHidden/>
              </w:rPr>
              <w:fldChar w:fldCharType="separate"/>
            </w:r>
            <w:r w:rsidR="00313A05">
              <w:rPr>
                <w:webHidden/>
              </w:rPr>
              <w:t>137</w:t>
            </w:r>
            <w:r w:rsidRPr="0068478E">
              <w:rPr>
                <w:webHidden/>
              </w:rPr>
              <w:fldChar w:fldCharType="end"/>
            </w:r>
          </w:hyperlink>
        </w:p>
        <w:p w14:paraId="0A6F1DFE" w14:textId="0519FB3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8" w:history="1">
            <w:r w:rsidRPr="0068478E">
              <w:rPr>
                <w:rStyle w:val="Hyperlink"/>
                <w:rFonts w:eastAsia="Calibri"/>
              </w:rPr>
              <w:t>9.4 Section 1983 Claim Against Supervisory Defendant In Individual Capacity—Elements and Burden of Proof</w:t>
            </w:r>
            <w:r w:rsidRPr="0068478E">
              <w:rPr>
                <w:webHidden/>
              </w:rPr>
              <w:tab/>
            </w:r>
            <w:r w:rsidRPr="0068478E">
              <w:rPr>
                <w:webHidden/>
              </w:rPr>
              <w:fldChar w:fldCharType="begin"/>
            </w:r>
            <w:r w:rsidRPr="0068478E">
              <w:rPr>
                <w:webHidden/>
              </w:rPr>
              <w:instrText xml:space="preserve"> PAGEREF _Toc221525168 \h </w:instrText>
            </w:r>
            <w:r w:rsidRPr="0068478E">
              <w:rPr>
                <w:webHidden/>
              </w:rPr>
            </w:r>
            <w:r w:rsidRPr="0068478E">
              <w:rPr>
                <w:webHidden/>
              </w:rPr>
              <w:fldChar w:fldCharType="separate"/>
            </w:r>
            <w:r w:rsidR="00313A05">
              <w:rPr>
                <w:webHidden/>
              </w:rPr>
              <w:t>140</w:t>
            </w:r>
            <w:r w:rsidRPr="0068478E">
              <w:rPr>
                <w:webHidden/>
              </w:rPr>
              <w:fldChar w:fldCharType="end"/>
            </w:r>
          </w:hyperlink>
        </w:p>
        <w:p w14:paraId="63DE48ED" w14:textId="6F15C91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9" w:history="1">
            <w:r w:rsidRPr="0068478E">
              <w:rPr>
                <w:rStyle w:val="Hyperlink"/>
                <w:rFonts w:eastAsia="Calibri"/>
              </w:rPr>
              <w:t>9.5 Section 1983 Claim Against Local Governing Body Defendants  Based on Unlawful Official Policy, Practice, or Custom—Elements and Burden of Proof</w:t>
            </w:r>
            <w:r w:rsidRPr="0068478E">
              <w:rPr>
                <w:webHidden/>
              </w:rPr>
              <w:tab/>
            </w:r>
            <w:r w:rsidRPr="0068478E">
              <w:rPr>
                <w:webHidden/>
              </w:rPr>
              <w:fldChar w:fldCharType="begin"/>
            </w:r>
            <w:r w:rsidRPr="0068478E">
              <w:rPr>
                <w:webHidden/>
              </w:rPr>
              <w:instrText xml:space="preserve"> PAGEREF _Toc221525169 \h </w:instrText>
            </w:r>
            <w:r w:rsidRPr="0068478E">
              <w:rPr>
                <w:webHidden/>
              </w:rPr>
            </w:r>
            <w:r w:rsidRPr="0068478E">
              <w:rPr>
                <w:webHidden/>
              </w:rPr>
              <w:fldChar w:fldCharType="separate"/>
            </w:r>
            <w:r w:rsidR="00313A05">
              <w:rPr>
                <w:webHidden/>
              </w:rPr>
              <w:t>144</w:t>
            </w:r>
            <w:r w:rsidRPr="0068478E">
              <w:rPr>
                <w:webHidden/>
              </w:rPr>
              <w:fldChar w:fldCharType="end"/>
            </w:r>
          </w:hyperlink>
        </w:p>
        <w:p w14:paraId="61A09A04" w14:textId="6A831D2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0" w:history="1">
            <w:r w:rsidRPr="0068478E">
              <w:rPr>
                <w:rStyle w:val="Hyperlink"/>
                <w:rFonts w:eastAsia="Calibri"/>
              </w:rPr>
              <w:t>9.6 Section 1983 Claim Against Local Governing Body Defendants Based on Act of Final Policymaker—Elements and Burden of Proof</w:t>
            </w:r>
            <w:r w:rsidRPr="0068478E">
              <w:rPr>
                <w:webHidden/>
              </w:rPr>
              <w:tab/>
            </w:r>
            <w:r w:rsidRPr="0068478E">
              <w:rPr>
                <w:webHidden/>
              </w:rPr>
              <w:fldChar w:fldCharType="begin"/>
            </w:r>
            <w:r w:rsidRPr="0068478E">
              <w:rPr>
                <w:webHidden/>
              </w:rPr>
              <w:instrText xml:space="preserve"> PAGEREF _Toc221525170 \h </w:instrText>
            </w:r>
            <w:r w:rsidRPr="0068478E">
              <w:rPr>
                <w:webHidden/>
              </w:rPr>
            </w:r>
            <w:r w:rsidRPr="0068478E">
              <w:rPr>
                <w:webHidden/>
              </w:rPr>
              <w:fldChar w:fldCharType="separate"/>
            </w:r>
            <w:r w:rsidR="00313A05">
              <w:rPr>
                <w:webHidden/>
              </w:rPr>
              <w:t>147</w:t>
            </w:r>
            <w:r w:rsidRPr="0068478E">
              <w:rPr>
                <w:webHidden/>
              </w:rPr>
              <w:fldChar w:fldCharType="end"/>
            </w:r>
          </w:hyperlink>
        </w:p>
        <w:p w14:paraId="69417733" w14:textId="255C039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1" w:history="1">
            <w:r w:rsidRPr="0068478E">
              <w:rPr>
                <w:rStyle w:val="Hyperlink"/>
                <w:rFonts w:eastAsia="Calibri"/>
              </w:rPr>
              <w:t>9.7 Section 1983 Claim Against Local Governing Body Defendants Based On Ratification—Elements and Burden of Proof</w:t>
            </w:r>
            <w:r w:rsidRPr="0068478E">
              <w:rPr>
                <w:webHidden/>
              </w:rPr>
              <w:tab/>
            </w:r>
            <w:r w:rsidRPr="0068478E">
              <w:rPr>
                <w:webHidden/>
              </w:rPr>
              <w:fldChar w:fldCharType="begin"/>
            </w:r>
            <w:r w:rsidRPr="0068478E">
              <w:rPr>
                <w:webHidden/>
              </w:rPr>
              <w:instrText xml:space="preserve"> PAGEREF _Toc221525171 \h </w:instrText>
            </w:r>
            <w:r w:rsidRPr="0068478E">
              <w:rPr>
                <w:webHidden/>
              </w:rPr>
            </w:r>
            <w:r w:rsidRPr="0068478E">
              <w:rPr>
                <w:webHidden/>
              </w:rPr>
              <w:fldChar w:fldCharType="separate"/>
            </w:r>
            <w:r w:rsidR="00313A05">
              <w:rPr>
                <w:webHidden/>
              </w:rPr>
              <w:t>150</w:t>
            </w:r>
            <w:r w:rsidRPr="0068478E">
              <w:rPr>
                <w:webHidden/>
              </w:rPr>
              <w:fldChar w:fldCharType="end"/>
            </w:r>
          </w:hyperlink>
        </w:p>
        <w:p w14:paraId="0F86C103" w14:textId="7FF6495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2" w:history="1">
            <w:r w:rsidRPr="0068478E">
              <w:rPr>
                <w:rStyle w:val="Hyperlink"/>
                <w:rFonts w:eastAsia="Calibri"/>
              </w:rPr>
              <w:t>9.8 Section 1983 Claim Against Local Governing Body Defendants Based  on a Policy That Fails to Prevent Violations of Law or a Policy  of Failure to Train—Elements and Burden of Proof</w:t>
            </w:r>
            <w:r w:rsidRPr="0068478E">
              <w:rPr>
                <w:webHidden/>
              </w:rPr>
              <w:tab/>
            </w:r>
            <w:r w:rsidRPr="0068478E">
              <w:rPr>
                <w:webHidden/>
              </w:rPr>
              <w:fldChar w:fldCharType="begin"/>
            </w:r>
            <w:r w:rsidRPr="0068478E">
              <w:rPr>
                <w:webHidden/>
              </w:rPr>
              <w:instrText xml:space="preserve"> PAGEREF _Toc221525172 \h </w:instrText>
            </w:r>
            <w:r w:rsidRPr="0068478E">
              <w:rPr>
                <w:webHidden/>
              </w:rPr>
            </w:r>
            <w:r w:rsidRPr="0068478E">
              <w:rPr>
                <w:webHidden/>
              </w:rPr>
              <w:fldChar w:fldCharType="separate"/>
            </w:r>
            <w:r w:rsidR="00313A05">
              <w:rPr>
                <w:webHidden/>
              </w:rPr>
              <w:t>152</w:t>
            </w:r>
            <w:r w:rsidRPr="0068478E">
              <w:rPr>
                <w:webHidden/>
              </w:rPr>
              <w:fldChar w:fldCharType="end"/>
            </w:r>
          </w:hyperlink>
        </w:p>
        <w:p w14:paraId="3FA74FA1" w14:textId="65035AE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3" w:history="1">
            <w:r w:rsidRPr="0068478E">
              <w:rPr>
                <w:rStyle w:val="Hyperlink"/>
                <w:rFonts w:eastAsia="Calibri"/>
              </w:rPr>
              <w:t>9.9 Particular Rights—First Amendment—Public Employees—Speech</w:t>
            </w:r>
            <w:r w:rsidRPr="0068478E">
              <w:rPr>
                <w:webHidden/>
              </w:rPr>
              <w:tab/>
            </w:r>
            <w:r w:rsidRPr="0068478E">
              <w:rPr>
                <w:webHidden/>
              </w:rPr>
              <w:fldChar w:fldCharType="begin"/>
            </w:r>
            <w:r w:rsidRPr="0068478E">
              <w:rPr>
                <w:webHidden/>
              </w:rPr>
              <w:instrText xml:space="preserve"> PAGEREF _Toc221525173 \h </w:instrText>
            </w:r>
            <w:r w:rsidRPr="0068478E">
              <w:rPr>
                <w:webHidden/>
              </w:rPr>
            </w:r>
            <w:r w:rsidRPr="0068478E">
              <w:rPr>
                <w:webHidden/>
              </w:rPr>
              <w:fldChar w:fldCharType="separate"/>
            </w:r>
            <w:r w:rsidR="00313A05">
              <w:rPr>
                <w:webHidden/>
              </w:rPr>
              <w:t>156</w:t>
            </w:r>
            <w:r w:rsidRPr="0068478E">
              <w:rPr>
                <w:webHidden/>
              </w:rPr>
              <w:fldChar w:fldCharType="end"/>
            </w:r>
          </w:hyperlink>
        </w:p>
        <w:p w14:paraId="10A6AE88" w14:textId="4EAF883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4" w:history="1">
            <w:r w:rsidRPr="0068478E">
              <w:rPr>
                <w:rStyle w:val="Hyperlink"/>
                <w:rFonts w:eastAsia="Calibri"/>
              </w:rPr>
              <w:t>9.10 Particular Rights—First Amendment—Public Employees—Speaking as a Private Citizen</w:t>
            </w:r>
            <w:r w:rsidRPr="0068478E">
              <w:rPr>
                <w:webHidden/>
              </w:rPr>
              <w:tab/>
            </w:r>
            <w:r w:rsidRPr="0068478E">
              <w:rPr>
                <w:webHidden/>
              </w:rPr>
              <w:fldChar w:fldCharType="begin"/>
            </w:r>
            <w:r w:rsidRPr="0068478E">
              <w:rPr>
                <w:webHidden/>
              </w:rPr>
              <w:instrText xml:space="preserve"> PAGEREF _Toc221525174 \h </w:instrText>
            </w:r>
            <w:r w:rsidRPr="0068478E">
              <w:rPr>
                <w:webHidden/>
              </w:rPr>
            </w:r>
            <w:r w:rsidRPr="0068478E">
              <w:rPr>
                <w:webHidden/>
              </w:rPr>
              <w:fldChar w:fldCharType="separate"/>
            </w:r>
            <w:r w:rsidR="00313A05">
              <w:rPr>
                <w:webHidden/>
              </w:rPr>
              <w:t>161</w:t>
            </w:r>
            <w:r w:rsidRPr="0068478E">
              <w:rPr>
                <w:webHidden/>
              </w:rPr>
              <w:fldChar w:fldCharType="end"/>
            </w:r>
          </w:hyperlink>
        </w:p>
        <w:p w14:paraId="65823F1E" w14:textId="6A9318E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5" w:history="1">
            <w:r w:rsidRPr="0068478E">
              <w:rPr>
                <w:rStyle w:val="Hyperlink"/>
                <w:rFonts w:eastAsia="Calibri"/>
              </w:rPr>
              <w:t>9.11 Particular Rights—First Amendment—“Citizen” Plaintiff</w:t>
            </w:r>
            <w:r w:rsidRPr="0068478E">
              <w:rPr>
                <w:webHidden/>
              </w:rPr>
              <w:tab/>
            </w:r>
            <w:r w:rsidRPr="0068478E">
              <w:rPr>
                <w:webHidden/>
              </w:rPr>
              <w:fldChar w:fldCharType="begin"/>
            </w:r>
            <w:r w:rsidRPr="0068478E">
              <w:rPr>
                <w:webHidden/>
              </w:rPr>
              <w:instrText xml:space="preserve"> PAGEREF _Toc221525175 \h </w:instrText>
            </w:r>
            <w:r w:rsidRPr="0068478E">
              <w:rPr>
                <w:webHidden/>
              </w:rPr>
            </w:r>
            <w:r w:rsidRPr="0068478E">
              <w:rPr>
                <w:webHidden/>
              </w:rPr>
              <w:fldChar w:fldCharType="separate"/>
            </w:r>
            <w:r w:rsidR="00313A05">
              <w:rPr>
                <w:webHidden/>
              </w:rPr>
              <w:t>164</w:t>
            </w:r>
            <w:r w:rsidRPr="0068478E">
              <w:rPr>
                <w:webHidden/>
              </w:rPr>
              <w:fldChar w:fldCharType="end"/>
            </w:r>
          </w:hyperlink>
        </w:p>
        <w:p w14:paraId="50BC4614" w14:textId="3AB38047"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6" w:history="1">
            <w:r w:rsidRPr="0068478E">
              <w:rPr>
                <w:rStyle w:val="Hyperlink"/>
                <w:rFonts w:eastAsia="Calibri"/>
              </w:rPr>
              <w:t>9.12 Particular Rights—First Amendment—Convicted Prisoner/Pretrial Detainee’s Claim of Retaliation</w:t>
            </w:r>
            <w:r w:rsidRPr="0068478E">
              <w:rPr>
                <w:webHidden/>
              </w:rPr>
              <w:tab/>
            </w:r>
            <w:r w:rsidRPr="0068478E">
              <w:rPr>
                <w:webHidden/>
              </w:rPr>
              <w:fldChar w:fldCharType="begin"/>
            </w:r>
            <w:r w:rsidRPr="0068478E">
              <w:rPr>
                <w:webHidden/>
              </w:rPr>
              <w:instrText xml:space="preserve"> PAGEREF _Toc221525176 \h </w:instrText>
            </w:r>
            <w:r w:rsidRPr="0068478E">
              <w:rPr>
                <w:webHidden/>
              </w:rPr>
            </w:r>
            <w:r w:rsidRPr="0068478E">
              <w:rPr>
                <w:webHidden/>
              </w:rPr>
              <w:fldChar w:fldCharType="separate"/>
            </w:r>
            <w:r w:rsidR="00313A05">
              <w:rPr>
                <w:webHidden/>
              </w:rPr>
              <w:t>170</w:t>
            </w:r>
            <w:r w:rsidRPr="0068478E">
              <w:rPr>
                <w:webHidden/>
              </w:rPr>
              <w:fldChar w:fldCharType="end"/>
            </w:r>
          </w:hyperlink>
        </w:p>
        <w:p w14:paraId="61D9417C" w14:textId="2F12235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7" w:history="1">
            <w:r w:rsidRPr="0068478E">
              <w:rPr>
                <w:rStyle w:val="Hyperlink"/>
                <w:rFonts w:eastAsia="Calibri"/>
              </w:rPr>
              <w:t>9.13 Particular Rights—Fourth Amendment—Unreasonable Search—Generally</w:t>
            </w:r>
            <w:r w:rsidRPr="0068478E">
              <w:rPr>
                <w:webHidden/>
              </w:rPr>
              <w:tab/>
            </w:r>
            <w:r w:rsidRPr="0068478E">
              <w:rPr>
                <w:webHidden/>
              </w:rPr>
              <w:fldChar w:fldCharType="begin"/>
            </w:r>
            <w:r w:rsidRPr="0068478E">
              <w:rPr>
                <w:webHidden/>
              </w:rPr>
              <w:instrText xml:space="preserve"> PAGEREF _Toc221525177 \h </w:instrText>
            </w:r>
            <w:r w:rsidRPr="0068478E">
              <w:rPr>
                <w:webHidden/>
              </w:rPr>
            </w:r>
            <w:r w:rsidRPr="0068478E">
              <w:rPr>
                <w:webHidden/>
              </w:rPr>
              <w:fldChar w:fldCharType="separate"/>
            </w:r>
            <w:r w:rsidR="00313A05">
              <w:rPr>
                <w:webHidden/>
              </w:rPr>
              <w:t>173</w:t>
            </w:r>
            <w:r w:rsidRPr="0068478E">
              <w:rPr>
                <w:webHidden/>
              </w:rPr>
              <w:fldChar w:fldCharType="end"/>
            </w:r>
          </w:hyperlink>
        </w:p>
        <w:p w14:paraId="66B2122E" w14:textId="3E1D0B8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8" w:history="1">
            <w:r w:rsidRPr="0068478E">
              <w:rPr>
                <w:rStyle w:val="Hyperlink"/>
                <w:rFonts w:eastAsia="Calibri"/>
              </w:rPr>
              <w:t>9.14 Particular Rights—Fourth Amendment—Unreasonable Search—Exception to Warrant Requirement—Search Incident to Arrest</w:t>
            </w:r>
            <w:r w:rsidRPr="0068478E">
              <w:rPr>
                <w:webHidden/>
              </w:rPr>
              <w:tab/>
            </w:r>
            <w:r w:rsidRPr="0068478E">
              <w:rPr>
                <w:webHidden/>
              </w:rPr>
              <w:fldChar w:fldCharType="begin"/>
            </w:r>
            <w:r w:rsidRPr="0068478E">
              <w:rPr>
                <w:webHidden/>
              </w:rPr>
              <w:instrText xml:space="preserve"> PAGEREF _Toc221525178 \h </w:instrText>
            </w:r>
            <w:r w:rsidRPr="0068478E">
              <w:rPr>
                <w:webHidden/>
              </w:rPr>
            </w:r>
            <w:r w:rsidRPr="0068478E">
              <w:rPr>
                <w:webHidden/>
              </w:rPr>
              <w:fldChar w:fldCharType="separate"/>
            </w:r>
            <w:r w:rsidR="00313A05">
              <w:rPr>
                <w:webHidden/>
              </w:rPr>
              <w:t>177</w:t>
            </w:r>
            <w:r w:rsidRPr="0068478E">
              <w:rPr>
                <w:webHidden/>
              </w:rPr>
              <w:fldChar w:fldCharType="end"/>
            </w:r>
          </w:hyperlink>
        </w:p>
        <w:p w14:paraId="58704A46" w14:textId="25AFF12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9" w:history="1">
            <w:r w:rsidRPr="0068478E">
              <w:rPr>
                <w:rStyle w:val="Hyperlink"/>
                <w:rFonts w:eastAsia="Calibri"/>
              </w:rPr>
              <w:t>9.15 Particular Rights—Fourth Amendment—Unreasonable Search— Exception to Warrant Requirement—Search of Vehicle Incident to Arrest of a Recent Occupant</w:t>
            </w:r>
            <w:r w:rsidRPr="0068478E">
              <w:rPr>
                <w:webHidden/>
              </w:rPr>
              <w:tab/>
            </w:r>
            <w:r w:rsidRPr="0068478E">
              <w:rPr>
                <w:webHidden/>
              </w:rPr>
              <w:fldChar w:fldCharType="begin"/>
            </w:r>
            <w:r w:rsidRPr="0068478E">
              <w:rPr>
                <w:webHidden/>
              </w:rPr>
              <w:instrText xml:space="preserve"> PAGEREF _Toc221525179 \h </w:instrText>
            </w:r>
            <w:r w:rsidRPr="0068478E">
              <w:rPr>
                <w:webHidden/>
              </w:rPr>
            </w:r>
            <w:r w:rsidRPr="0068478E">
              <w:rPr>
                <w:webHidden/>
              </w:rPr>
              <w:fldChar w:fldCharType="separate"/>
            </w:r>
            <w:r w:rsidR="00313A05">
              <w:rPr>
                <w:webHidden/>
              </w:rPr>
              <w:t>180</w:t>
            </w:r>
            <w:r w:rsidRPr="0068478E">
              <w:rPr>
                <w:webHidden/>
              </w:rPr>
              <w:fldChar w:fldCharType="end"/>
            </w:r>
          </w:hyperlink>
        </w:p>
        <w:p w14:paraId="66DE37EB" w14:textId="278A491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0" w:history="1">
            <w:r w:rsidRPr="0068478E">
              <w:rPr>
                <w:rStyle w:val="Hyperlink"/>
                <w:rFonts w:eastAsia="Calibri"/>
              </w:rPr>
              <w:t>9.16 Particular Rights—Fourth Amendment—Unreasonable Search—Exception To Warrant Requirement—Consent</w:t>
            </w:r>
            <w:r w:rsidRPr="0068478E">
              <w:rPr>
                <w:webHidden/>
              </w:rPr>
              <w:tab/>
            </w:r>
            <w:r w:rsidRPr="0068478E">
              <w:rPr>
                <w:webHidden/>
              </w:rPr>
              <w:fldChar w:fldCharType="begin"/>
            </w:r>
            <w:r w:rsidRPr="0068478E">
              <w:rPr>
                <w:webHidden/>
              </w:rPr>
              <w:instrText xml:space="preserve"> PAGEREF _Toc221525180 \h </w:instrText>
            </w:r>
            <w:r w:rsidRPr="0068478E">
              <w:rPr>
                <w:webHidden/>
              </w:rPr>
            </w:r>
            <w:r w:rsidRPr="0068478E">
              <w:rPr>
                <w:webHidden/>
              </w:rPr>
              <w:fldChar w:fldCharType="separate"/>
            </w:r>
            <w:r w:rsidR="00313A05">
              <w:rPr>
                <w:webHidden/>
              </w:rPr>
              <w:t>182</w:t>
            </w:r>
            <w:r w:rsidRPr="0068478E">
              <w:rPr>
                <w:webHidden/>
              </w:rPr>
              <w:fldChar w:fldCharType="end"/>
            </w:r>
          </w:hyperlink>
        </w:p>
        <w:p w14:paraId="76142010" w14:textId="72CECB7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1" w:history="1">
            <w:r w:rsidRPr="0068478E">
              <w:rPr>
                <w:rStyle w:val="Hyperlink"/>
                <w:rFonts w:eastAsia="Calibri"/>
              </w:rPr>
              <w:t>9.17 Particular Rights—Fourth Amendment—Unreasonable Search—Exception to Warrant Requirement—Exigent Circumstances</w:t>
            </w:r>
            <w:r w:rsidRPr="0068478E">
              <w:rPr>
                <w:webHidden/>
              </w:rPr>
              <w:tab/>
            </w:r>
            <w:r w:rsidRPr="0068478E">
              <w:rPr>
                <w:webHidden/>
              </w:rPr>
              <w:fldChar w:fldCharType="begin"/>
            </w:r>
            <w:r w:rsidRPr="0068478E">
              <w:rPr>
                <w:webHidden/>
              </w:rPr>
              <w:instrText xml:space="preserve"> PAGEREF _Toc221525181 \h </w:instrText>
            </w:r>
            <w:r w:rsidRPr="0068478E">
              <w:rPr>
                <w:webHidden/>
              </w:rPr>
            </w:r>
            <w:r w:rsidRPr="0068478E">
              <w:rPr>
                <w:webHidden/>
              </w:rPr>
              <w:fldChar w:fldCharType="separate"/>
            </w:r>
            <w:r w:rsidR="00313A05">
              <w:rPr>
                <w:webHidden/>
              </w:rPr>
              <w:t>186</w:t>
            </w:r>
            <w:r w:rsidRPr="0068478E">
              <w:rPr>
                <w:webHidden/>
              </w:rPr>
              <w:fldChar w:fldCharType="end"/>
            </w:r>
          </w:hyperlink>
        </w:p>
        <w:p w14:paraId="7D1F0304" w14:textId="473CF58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2" w:history="1">
            <w:r w:rsidRPr="0068478E">
              <w:rPr>
                <w:rStyle w:val="Hyperlink"/>
                <w:rFonts w:eastAsia="Calibri"/>
              </w:rPr>
              <w:t>9.18 Particular Rights—Fourth Amendment—Unreasonable Search—Exception to Warrant Requirement—Emergency Aid</w:t>
            </w:r>
            <w:r w:rsidRPr="0068478E">
              <w:rPr>
                <w:webHidden/>
              </w:rPr>
              <w:tab/>
            </w:r>
            <w:r w:rsidRPr="0068478E">
              <w:rPr>
                <w:webHidden/>
              </w:rPr>
              <w:fldChar w:fldCharType="begin"/>
            </w:r>
            <w:r w:rsidRPr="0068478E">
              <w:rPr>
                <w:webHidden/>
              </w:rPr>
              <w:instrText xml:space="preserve"> PAGEREF _Toc221525182 \h </w:instrText>
            </w:r>
            <w:r w:rsidRPr="0068478E">
              <w:rPr>
                <w:webHidden/>
              </w:rPr>
            </w:r>
            <w:r w:rsidRPr="0068478E">
              <w:rPr>
                <w:webHidden/>
              </w:rPr>
              <w:fldChar w:fldCharType="separate"/>
            </w:r>
            <w:r w:rsidR="00313A05">
              <w:rPr>
                <w:webHidden/>
              </w:rPr>
              <w:t>189</w:t>
            </w:r>
            <w:r w:rsidRPr="0068478E">
              <w:rPr>
                <w:webHidden/>
              </w:rPr>
              <w:fldChar w:fldCharType="end"/>
            </w:r>
          </w:hyperlink>
        </w:p>
        <w:p w14:paraId="29C39E60" w14:textId="5C69F23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3" w:history="1">
            <w:r w:rsidRPr="0068478E">
              <w:rPr>
                <w:rStyle w:val="Hyperlink"/>
                <w:rFonts w:eastAsia="Calibri"/>
              </w:rPr>
              <w:t>9.19 Particular Rights—Fourth Amendment—Unreasonable Search— Judicial Deception</w:t>
            </w:r>
            <w:r w:rsidRPr="0068478E">
              <w:rPr>
                <w:webHidden/>
              </w:rPr>
              <w:tab/>
            </w:r>
            <w:r w:rsidRPr="0068478E">
              <w:rPr>
                <w:webHidden/>
              </w:rPr>
              <w:fldChar w:fldCharType="begin"/>
            </w:r>
            <w:r w:rsidRPr="0068478E">
              <w:rPr>
                <w:webHidden/>
              </w:rPr>
              <w:instrText xml:space="preserve"> PAGEREF _Toc221525183 \h </w:instrText>
            </w:r>
            <w:r w:rsidRPr="0068478E">
              <w:rPr>
                <w:webHidden/>
              </w:rPr>
            </w:r>
            <w:r w:rsidRPr="0068478E">
              <w:rPr>
                <w:webHidden/>
              </w:rPr>
              <w:fldChar w:fldCharType="separate"/>
            </w:r>
            <w:r w:rsidR="00313A05">
              <w:rPr>
                <w:webHidden/>
              </w:rPr>
              <w:t>191</w:t>
            </w:r>
            <w:r w:rsidRPr="0068478E">
              <w:rPr>
                <w:webHidden/>
              </w:rPr>
              <w:fldChar w:fldCharType="end"/>
            </w:r>
          </w:hyperlink>
        </w:p>
        <w:p w14:paraId="509F8E55" w14:textId="5A648F9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4" w:history="1">
            <w:r w:rsidRPr="0068478E">
              <w:rPr>
                <w:rStyle w:val="Hyperlink"/>
                <w:rFonts w:eastAsia="Calibri"/>
              </w:rPr>
              <w:t>9.20 Particular Rights—Fourth Amendment—Unreasonable Seizure of Property—Generally</w:t>
            </w:r>
            <w:r w:rsidRPr="0068478E">
              <w:rPr>
                <w:webHidden/>
              </w:rPr>
              <w:tab/>
            </w:r>
            <w:r w:rsidRPr="0068478E">
              <w:rPr>
                <w:webHidden/>
              </w:rPr>
              <w:fldChar w:fldCharType="begin"/>
            </w:r>
            <w:r w:rsidRPr="0068478E">
              <w:rPr>
                <w:webHidden/>
              </w:rPr>
              <w:instrText xml:space="preserve"> PAGEREF _Toc221525184 \h </w:instrText>
            </w:r>
            <w:r w:rsidRPr="0068478E">
              <w:rPr>
                <w:webHidden/>
              </w:rPr>
            </w:r>
            <w:r w:rsidRPr="0068478E">
              <w:rPr>
                <w:webHidden/>
              </w:rPr>
              <w:fldChar w:fldCharType="separate"/>
            </w:r>
            <w:r w:rsidR="00313A05">
              <w:rPr>
                <w:webHidden/>
              </w:rPr>
              <w:t>193</w:t>
            </w:r>
            <w:r w:rsidRPr="0068478E">
              <w:rPr>
                <w:webHidden/>
              </w:rPr>
              <w:fldChar w:fldCharType="end"/>
            </w:r>
          </w:hyperlink>
        </w:p>
        <w:p w14:paraId="14243B55" w14:textId="49EAD564"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5" w:history="1">
            <w:r w:rsidRPr="0068478E">
              <w:rPr>
                <w:rStyle w:val="Hyperlink"/>
                <w:rFonts w:eastAsia="Calibri"/>
              </w:rPr>
              <w:t>9.21 Particular Rights—Fourth Amendment—Unreasonable Seizure of Property—Exceptions to Warrant Requirement</w:t>
            </w:r>
            <w:r w:rsidRPr="0068478E">
              <w:rPr>
                <w:webHidden/>
              </w:rPr>
              <w:tab/>
            </w:r>
            <w:r w:rsidRPr="0068478E">
              <w:rPr>
                <w:webHidden/>
              </w:rPr>
              <w:fldChar w:fldCharType="begin"/>
            </w:r>
            <w:r w:rsidRPr="0068478E">
              <w:rPr>
                <w:webHidden/>
              </w:rPr>
              <w:instrText xml:space="preserve"> PAGEREF _Toc221525185 \h </w:instrText>
            </w:r>
            <w:r w:rsidRPr="0068478E">
              <w:rPr>
                <w:webHidden/>
              </w:rPr>
            </w:r>
            <w:r w:rsidRPr="0068478E">
              <w:rPr>
                <w:webHidden/>
              </w:rPr>
              <w:fldChar w:fldCharType="separate"/>
            </w:r>
            <w:r w:rsidR="00313A05">
              <w:rPr>
                <w:webHidden/>
              </w:rPr>
              <w:t>196</w:t>
            </w:r>
            <w:r w:rsidRPr="0068478E">
              <w:rPr>
                <w:webHidden/>
              </w:rPr>
              <w:fldChar w:fldCharType="end"/>
            </w:r>
          </w:hyperlink>
        </w:p>
        <w:p w14:paraId="4D04E74C" w14:textId="4279A9E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6" w:history="1">
            <w:r w:rsidRPr="0068478E">
              <w:rPr>
                <w:rStyle w:val="Hyperlink"/>
                <w:rFonts w:eastAsia="Calibri"/>
              </w:rPr>
              <w:t>9.22 Particular Rights—Fourth Amendment—Unreasonable Seizure of Person—Generally</w:t>
            </w:r>
            <w:r w:rsidRPr="0068478E">
              <w:rPr>
                <w:webHidden/>
              </w:rPr>
              <w:tab/>
            </w:r>
            <w:r w:rsidRPr="0068478E">
              <w:rPr>
                <w:webHidden/>
              </w:rPr>
              <w:fldChar w:fldCharType="begin"/>
            </w:r>
            <w:r w:rsidRPr="0068478E">
              <w:rPr>
                <w:webHidden/>
              </w:rPr>
              <w:instrText xml:space="preserve"> PAGEREF _Toc221525186 \h </w:instrText>
            </w:r>
            <w:r w:rsidRPr="0068478E">
              <w:rPr>
                <w:webHidden/>
              </w:rPr>
            </w:r>
            <w:r w:rsidRPr="0068478E">
              <w:rPr>
                <w:webHidden/>
              </w:rPr>
              <w:fldChar w:fldCharType="separate"/>
            </w:r>
            <w:r w:rsidR="00313A05">
              <w:rPr>
                <w:webHidden/>
              </w:rPr>
              <w:t>199</w:t>
            </w:r>
            <w:r w:rsidRPr="0068478E">
              <w:rPr>
                <w:webHidden/>
              </w:rPr>
              <w:fldChar w:fldCharType="end"/>
            </w:r>
          </w:hyperlink>
        </w:p>
        <w:p w14:paraId="502A2A05" w14:textId="54F4141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7" w:history="1">
            <w:r w:rsidRPr="0068478E">
              <w:rPr>
                <w:rStyle w:val="Hyperlink"/>
                <w:rFonts w:eastAsia="Calibri"/>
              </w:rPr>
              <w:t>9.23 Particular Rights—Fourth Amendment—Unreasonable Seizure of Person—Exception to Warrant Requirement—</w:t>
            </w:r>
            <w:r w:rsidRPr="0068478E">
              <w:rPr>
                <w:rStyle w:val="Hyperlink"/>
                <w:rFonts w:eastAsia="Calibri"/>
                <w:i/>
                <w:iCs/>
              </w:rPr>
              <w:t xml:space="preserve">Terry </w:t>
            </w:r>
            <w:r w:rsidRPr="0068478E">
              <w:rPr>
                <w:rStyle w:val="Hyperlink"/>
                <w:rFonts w:eastAsia="Calibri"/>
              </w:rPr>
              <w:t>Stop</w:t>
            </w:r>
            <w:r w:rsidRPr="0068478E">
              <w:rPr>
                <w:webHidden/>
              </w:rPr>
              <w:tab/>
            </w:r>
            <w:r w:rsidRPr="0068478E">
              <w:rPr>
                <w:webHidden/>
              </w:rPr>
              <w:fldChar w:fldCharType="begin"/>
            </w:r>
            <w:r w:rsidRPr="0068478E">
              <w:rPr>
                <w:webHidden/>
              </w:rPr>
              <w:instrText xml:space="preserve"> PAGEREF _Toc221525187 \h </w:instrText>
            </w:r>
            <w:r w:rsidRPr="0068478E">
              <w:rPr>
                <w:webHidden/>
              </w:rPr>
            </w:r>
            <w:r w:rsidRPr="0068478E">
              <w:rPr>
                <w:webHidden/>
              </w:rPr>
              <w:fldChar w:fldCharType="separate"/>
            </w:r>
            <w:r w:rsidR="00313A05">
              <w:rPr>
                <w:webHidden/>
              </w:rPr>
              <w:t>204</w:t>
            </w:r>
            <w:r w:rsidRPr="0068478E">
              <w:rPr>
                <w:webHidden/>
              </w:rPr>
              <w:fldChar w:fldCharType="end"/>
            </w:r>
          </w:hyperlink>
        </w:p>
        <w:p w14:paraId="7C9AF2BB" w14:textId="305EF4B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8" w:history="1">
            <w:r w:rsidRPr="0068478E">
              <w:rPr>
                <w:rStyle w:val="Hyperlink"/>
                <w:rFonts w:eastAsia="Calibri"/>
              </w:rPr>
              <w:t>9.24 Particular Rights—Fourth Amendment—Unreasonable Search—Exception To Warrant Requirement—</w:t>
            </w:r>
            <w:r w:rsidRPr="0068478E">
              <w:rPr>
                <w:rStyle w:val="Hyperlink"/>
                <w:rFonts w:eastAsia="Calibri"/>
                <w:i/>
                <w:iCs/>
              </w:rPr>
              <w:t xml:space="preserve">Terry </w:t>
            </w:r>
            <w:r w:rsidRPr="0068478E">
              <w:rPr>
                <w:rStyle w:val="Hyperlink"/>
                <w:rFonts w:eastAsia="Calibri"/>
              </w:rPr>
              <w:t>Frisk</w:t>
            </w:r>
            <w:r w:rsidRPr="0068478E">
              <w:rPr>
                <w:webHidden/>
              </w:rPr>
              <w:tab/>
            </w:r>
            <w:r w:rsidRPr="0068478E">
              <w:rPr>
                <w:webHidden/>
              </w:rPr>
              <w:fldChar w:fldCharType="begin"/>
            </w:r>
            <w:r w:rsidRPr="0068478E">
              <w:rPr>
                <w:webHidden/>
              </w:rPr>
              <w:instrText xml:space="preserve"> PAGEREF _Toc221525188 \h </w:instrText>
            </w:r>
            <w:r w:rsidRPr="0068478E">
              <w:rPr>
                <w:webHidden/>
              </w:rPr>
            </w:r>
            <w:r w:rsidRPr="0068478E">
              <w:rPr>
                <w:webHidden/>
              </w:rPr>
              <w:fldChar w:fldCharType="separate"/>
            </w:r>
            <w:r w:rsidR="00313A05">
              <w:rPr>
                <w:webHidden/>
              </w:rPr>
              <w:t>208</w:t>
            </w:r>
            <w:r w:rsidRPr="0068478E">
              <w:rPr>
                <w:webHidden/>
              </w:rPr>
              <w:fldChar w:fldCharType="end"/>
            </w:r>
          </w:hyperlink>
        </w:p>
        <w:p w14:paraId="5F5EE5DF" w14:textId="3DFA39F4"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9" w:history="1">
            <w:r w:rsidRPr="0068478E">
              <w:rPr>
                <w:rStyle w:val="Hyperlink"/>
                <w:rFonts w:eastAsia="Calibri"/>
              </w:rPr>
              <w:t>9.25 Particular Rights—Fourth Amendment—Unreasonable Seizure of Person—Probable Cause Arrest</w:t>
            </w:r>
            <w:r w:rsidRPr="0068478E">
              <w:rPr>
                <w:webHidden/>
              </w:rPr>
              <w:tab/>
            </w:r>
            <w:r w:rsidRPr="0068478E">
              <w:rPr>
                <w:webHidden/>
              </w:rPr>
              <w:fldChar w:fldCharType="begin"/>
            </w:r>
            <w:r w:rsidRPr="0068478E">
              <w:rPr>
                <w:webHidden/>
              </w:rPr>
              <w:instrText xml:space="preserve"> PAGEREF _Toc221525189 \h </w:instrText>
            </w:r>
            <w:r w:rsidRPr="0068478E">
              <w:rPr>
                <w:webHidden/>
              </w:rPr>
            </w:r>
            <w:r w:rsidRPr="0068478E">
              <w:rPr>
                <w:webHidden/>
              </w:rPr>
              <w:fldChar w:fldCharType="separate"/>
            </w:r>
            <w:r w:rsidR="00313A05">
              <w:rPr>
                <w:webHidden/>
              </w:rPr>
              <w:t>210</w:t>
            </w:r>
            <w:r w:rsidRPr="0068478E">
              <w:rPr>
                <w:webHidden/>
              </w:rPr>
              <w:fldChar w:fldCharType="end"/>
            </w:r>
          </w:hyperlink>
        </w:p>
        <w:p w14:paraId="56A57241" w14:textId="3960C61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0" w:history="1">
            <w:r w:rsidRPr="0068478E">
              <w:rPr>
                <w:rStyle w:val="Hyperlink"/>
                <w:rFonts w:eastAsia="Calibri"/>
              </w:rPr>
              <w:t>9.26 Particular Rights—Fourth Amendment—Unreasonable Seizure of Person—Detention During Execution of Search Warrant</w:t>
            </w:r>
            <w:r w:rsidRPr="0068478E">
              <w:rPr>
                <w:webHidden/>
              </w:rPr>
              <w:tab/>
            </w:r>
            <w:r w:rsidRPr="0068478E">
              <w:rPr>
                <w:webHidden/>
              </w:rPr>
              <w:fldChar w:fldCharType="begin"/>
            </w:r>
            <w:r w:rsidRPr="0068478E">
              <w:rPr>
                <w:webHidden/>
              </w:rPr>
              <w:instrText xml:space="preserve"> PAGEREF _Toc221525190 \h </w:instrText>
            </w:r>
            <w:r w:rsidRPr="0068478E">
              <w:rPr>
                <w:webHidden/>
              </w:rPr>
            </w:r>
            <w:r w:rsidRPr="0068478E">
              <w:rPr>
                <w:webHidden/>
              </w:rPr>
              <w:fldChar w:fldCharType="separate"/>
            </w:r>
            <w:r w:rsidR="00313A05">
              <w:rPr>
                <w:webHidden/>
              </w:rPr>
              <w:t>213</w:t>
            </w:r>
            <w:r w:rsidRPr="0068478E">
              <w:rPr>
                <w:webHidden/>
              </w:rPr>
              <w:fldChar w:fldCharType="end"/>
            </w:r>
          </w:hyperlink>
        </w:p>
        <w:p w14:paraId="241D0414" w14:textId="08A3EAD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1" w:history="1">
            <w:r w:rsidRPr="0068478E">
              <w:rPr>
                <w:rStyle w:val="Hyperlink"/>
                <w:rFonts w:eastAsia="Calibri"/>
              </w:rPr>
              <w:t>9.27 Particular Rights—Fourth Amendment—Unreasonable  Seizure of Person—Excessive Force</w:t>
            </w:r>
            <w:r w:rsidRPr="0068478E">
              <w:rPr>
                <w:webHidden/>
              </w:rPr>
              <w:tab/>
            </w:r>
            <w:r w:rsidRPr="0068478E">
              <w:rPr>
                <w:webHidden/>
              </w:rPr>
              <w:fldChar w:fldCharType="begin"/>
            </w:r>
            <w:r w:rsidRPr="0068478E">
              <w:rPr>
                <w:webHidden/>
              </w:rPr>
              <w:instrText xml:space="preserve"> PAGEREF _Toc221525191 \h </w:instrText>
            </w:r>
            <w:r w:rsidRPr="0068478E">
              <w:rPr>
                <w:webHidden/>
              </w:rPr>
            </w:r>
            <w:r w:rsidRPr="0068478E">
              <w:rPr>
                <w:webHidden/>
              </w:rPr>
              <w:fldChar w:fldCharType="separate"/>
            </w:r>
            <w:r w:rsidR="00313A05">
              <w:rPr>
                <w:webHidden/>
              </w:rPr>
              <w:t>216</w:t>
            </w:r>
            <w:r w:rsidRPr="0068478E">
              <w:rPr>
                <w:webHidden/>
              </w:rPr>
              <w:fldChar w:fldCharType="end"/>
            </w:r>
          </w:hyperlink>
        </w:p>
        <w:p w14:paraId="08322C4A" w14:textId="363D865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2" w:history="1">
            <w:r w:rsidRPr="0068478E">
              <w:rPr>
                <w:rStyle w:val="Hyperlink"/>
                <w:rFonts w:eastAsia="Calibri"/>
              </w:rPr>
              <w:t>9.28 Particular Rights—Sixth Amendment—Right to  Compulsory Process—Interference with Witness</w:t>
            </w:r>
            <w:r w:rsidRPr="0068478E">
              <w:rPr>
                <w:webHidden/>
              </w:rPr>
              <w:tab/>
            </w:r>
            <w:r w:rsidRPr="0068478E">
              <w:rPr>
                <w:webHidden/>
              </w:rPr>
              <w:fldChar w:fldCharType="begin"/>
            </w:r>
            <w:r w:rsidRPr="0068478E">
              <w:rPr>
                <w:webHidden/>
              </w:rPr>
              <w:instrText xml:space="preserve"> PAGEREF _Toc221525192 \h </w:instrText>
            </w:r>
            <w:r w:rsidRPr="0068478E">
              <w:rPr>
                <w:webHidden/>
              </w:rPr>
            </w:r>
            <w:r w:rsidRPr="0068478E">
              <w:rPr>
                <w:webHidden/>
              </w:rPr>
              <w:fldChar w:fldCharType="separate"/>
            </w:r>
            <w:r w:rsidR="00313A05">
              <w:rPr>
                <w:webHidden/>
              </w:rPr>
              <w:t>225</w:t>
            </w:r>
            <w:r w:rsidRPr="0068478E">
              <w:rPr>
                <w:webHidden/>
              </w:rPr>
              <w:fldChar w:fldCharType="end"/>
            </w:r>
          </w:hyperlink>
        </w:p>
        <w:p w14:paraId="07D9CF21" w14:textId="6CCD313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3" w:history="1">
            <w:r w:rsidRPr="0068478E">
              <w:rPr>
                <w:rStyle w:val="Hyperlink"/>
                <w:rFonts w:eastAsia="Calibri"/>
              </w:rPr>
              <w:t>9.29 Particular Rights—Eighth Amendment—Convicted  Prisoner’s Claim of Excessive Force</w:t>
            </w:r>
            <w:r w:rsidRPr="0068478E">
              <w:rPr>
                <w:webHidden/>
              </w:rPr>
              <w:tab/>
            </w:r>
            <w:r w:rsidRPr="0068478E">
              <w:rPr>
                <w:webHidden/>
              </w:rPr>
              <w:fldChar w:fldCharType="begin"/>
            </w:r>
            <w:r w:rsidRPr="0068478E">
              <w:rPr>
                <w:webHidden/>
              </w:rPr>
              <w:instrText xml:space="preserve"> PAGEREF _Toc221525193 \h </w:instrText>
            </w:r>
            <w:r w:rsidRPr="0068478E">
              <w:rPr>
                <w:webHidden/>
              </w:rPr>
            </w:r>
            <w:r w:rsidRPr="0068478E">
              <w:rPr>
                <w:webHidden/>
              </w:rPr>
              <w:fldChar w:fldCharType="separate"/>
            </w:r>
            <w:r w:rsidR="00313A05">
              <w:rPr>
                <w:webHidden/>
              </w:rPr>
              <w:t>227</w:t>
            </w:r>
            <w:r w:rsidRPr="0068478E">
              <w:rPr>
                <w:webHidden/>
              </w:rPr>
              <w:fldChar w:fldCharType="end"/>
            </w:r>
          </w:hyperlink>
        </w:p>
        <w:p w14:paraId="49EBD9F6" w14:textId="7EE024B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4" w:history="1">
            <w:r w:rsidRPr="0068478E">
              <w:rPr>
                <w:rStyle w:val="Hyperlink"/>
                <w:rFonts w:eastAsia="Calibri"/>
              </w:rPr>
              <w:t>9.30 Particular Rights—Eighth Amendment—Convicted Prisoner’s Claim of Sexual Assault</w:t>
            </w:r>
            <w:r w:rsidRPr="0068478E">
              <w:rPr>
                <w:webHidden/>
              </w:rPr>
              <w:tab/>
            </w:r>
            <w:r w:rsidRPr="0068478E">
              <w:rPr>
                <w:webHidden/>
              </w:rPr>
              <w:fldChar w:fldCharType="begin"/>
            </w:r>
            <w:r w:rsidRPr="0068478E">
              <w:rPr>
                <w:webHidden/>
              </w:rPr>
              <w:instrText xml:space="preserve"> PAGEREF _Toc221525194 \h </w:instrText>
            </w:r>
            <w:r w:rsidRPr="0068478E">
              <w:rPr>
                <w:webHidden/>
              </w:rPr>
            </w:r>
            <w:r w:rsidRPr="0068478E">
              <w:rPr>
                <w:webHidden/>
              </w:rPr>
              <w:fldChar w:fldCharType="separate"/>
            </w:r>
            <w:r w:rsidR="00313A05">
              <w:rPr>
                <w:webHidden/>
              </w:rPr>
              <w:t>232</w:t>
            </w:r>
            <w:r w:rsidRPr="0068478E">
              <w:rPr>
                <w:webHidden/>
              </w:rPr>
              <w:fldChar w:fldCharType="end"/>
            </w:r>
          </w:hyperlink>
        </w:p>
        <w:p w14:paraId="78159C50" w14:textId="77C160C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5" w:history="1">
            <w:r w:rsidRPr="0068478E">
              <w:rPr>
                <w:rStyle w:val="Hyperlink"/>
                <w:rFonts w:eastAsia="Calibri"/>
              </w:rPr>
              <w:t>9.31 Particular Rights—Eighth Amendment—Convicted Prisoner’s Claim Re Conditions of Confinement/Medical Care</w:t>
            </w:r>
            <w:r w:rsidRPr="0068478E">
              <w:rPr>
                <w:webHidden/>
              </w:rPr>
              <w:tab/>
            </w:r>
            <w:r w:rsidRPr="0068478E">
              <w:rPr>
                <w:webHidden/>
              </w:rPr>
              <w:fldChar w:fldCharType="begin"/>
            </w:r>
            <w:r w:rsidRPr="0068478E">
              <w:rPr>
                <w:webHidden/>
              </w:rPr>
              <w:instrText xml:space="preserve"> PAGEREF _Toc221525195 \h </w:instrText>
            </w:r>
            <w:r w:rsidRPr="0068478E">
              <w:rPr>
                <w:webHidden/>
              </w:rPr>
            </w:r>
            <w:r w:rsidRPr="0068478E">
              <w:rPr>
                <w:webHidden/>
              </w:rPr>
              <w:fldChar w:fldCharType="separate"/>
            </w:r>
            <w:r w:rsidR="00313A05">
              <w:rPr>
                <w:webHidden/>
              </w:rPr>
              <w:t>234</w:t>
            </w:r>
            <w:r w:rsidRPr="0068478E">
              <w:rPr>
                <w:webHidden/>
              </w:rPr>
              <w:fldChar w:fldCharType="end"/>
            </w:r>
          </w:hyperlink>
        </w:p>
        <w:p w14:paraId="701AA31E" w14:textId="4CB4A55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6" w:history="1">
            <w:r w:rsidRPr="0068478E">
              <w:rPr>
                <w:rStyle w:val="Hyperlink"/>
                <w:rFonts w:eastAsia="Calibri"/>
              </w:rPr>
              <w:t>9.32 Particular Rights—Eighth Amendment—Convicted Prisoner’s Claim of Failure to Protect</w:t>
            </w:r>
            <w:r w:rsidRPr="0068478E">
              <w:rPr>
                <w:webHidden/>
              </w:rPr>
              <w:tab/>
            </w:r>
            <w:r w:rsidRPr="0068478E">
              <w:rPr>
                <w:webHidden/>
              </w:rPr>
              <w:fldChar w:fldCharType="begin"/>
            </w:r>
            <w:r w:rsidRPr="0068478E">
              <w:rPr>
                <w:webHidden/>
              </w:rPr>
              <w:instrText xml:space="preserve"> PAGEREF _Toc221525196 \h </w:instrText>
            </w:r>
            <w:r w:rsidRPr="0068478E">
              <w:rPr>
                <w:webHidden/>
              </w:rPr>
            </w:r>
            <w:r w:rsidRPr="0068478E">
              <w:rPr>
                <w:webHidden/>
              </w:rPr>
              <w:fldChar w:fldCharType="separate"/>
            </w:r>
            <w:r w:rsidR="00313A05">
              <w:rPr>
                <w:webHidden/>
              </w:rPr>
              <w:t>240</w:t>
            </w:r>
            <w:r w:rsidRPr="0068478E">
              <w:rPr>
                <w:webHidden/>
              </w:rPr>
              <w:fldChar w:fldCharType="end"/>
            </w:r>
          </w:hyperlink>
        </w:p>
        <w:p w14:paraId="48F0B20E" w14:textId="74685BB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7" w:history="1">
            <w:r w:rsidRPr="0068478E">
              <w:rPr>
                <w:rStyle w:val="Hyperlink"/>
                <w:rFonts w:eastAsia="Calibri"/>
              </w:rPr>
              <w:t>9.33 Particular Rights—Fourteenth Amendment—Pretrial  Detainee’s Claim of Excessive Force</w:t>
            </w:r>
            <w:r w:rsidRPr="0068478E">
              <w:rPr>
                <w:webHidden/>
              </w:rPr>
              <w:tab/>
            </w:r>
            <w:r w:rsidRPr="0068478E">
              <w:rPr>
                <w:webHidden/>
              </w:rPr>
              <w:fldChar w:fldCharType="begin"/>
            </w:r>
            <w:r w:rsidRPr="0068478E">
              <w:rPr>
                <w:webHidden/>
              </w:rPr>
              <w:instrText xml:space="preserve"> PAGEREF _Toc221525197 \h </w:instrText>
            </w:r>
            <w:r w:rsidRPr="0068478E">
              <w:rPr>
                <w:webHidden/>
              </w:rPr>
            </w:r>
            <w:r w:rsidRPr="0068478E">
              <w:rPr>
                <w:webHidden/>
              </w:rPr>
              <w:fldChar w:fldCharType="separate"/>
            </w:r>
            <w:r w:rsidR="00313A05">
              <w:rPr>
                <w:webHidden/>
              </w:rPr>
              <w:t>244</w:t>
            </w:r>
            <w:r w:rsidRPr="0068478E">
              <w:rPr>
                <w:webHidden/>
              </w:rPr>
              <w:fldChar w:fldCharType="end"/>
            </w:r>
          </w:hyperlink>
        </w:p>
        <w:p w14:paraId="54EB9C2D" w14:textId="634A28D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8" w:history="1">
            <w:r w:rsidRPr="0068478E">
              <w:rPr>
                <w:rStyle w:val="Hyperlink"/>
                <w:rFonts w:eastAsia="Calibri"/>
              </w:rPr>
              <w:t>9.34 Particular Rights—Fourteenth Amendment—Pretrial Detainee’s  Claim Re Conditions of Confinement/Medical Care</w:t>
            </w:r>
            <w:r w:rsidRPr="0068478E">
              <w:rPr>
                <w:webHidden/>
              </w:rPr>
              <w:tab/>
            </w:r>
            <w:r w:rsidRPr="0068478E">
              <w:rPr>
                <w:webHidden/>
              </w:rPr>
              <w:fldChar w:fldCharType="begin"/>
            </w:r>
            <w:r w:rsidRPr="0068478E">
              <w:rPr>
                <w:webHidden/>
              </w:rPr>
              <w:instrText xml:space="preserve"> PAGEREF _Toc221525198 \h </w:instrText>
            </w:r>
            <w:r w:rsidRPr="0068478E">
              <w:rPr>
                <w:webHidden/>
              </w:rPr>
            </w:r>
            <w:r w:rsidRPr="0068478E">
              <w:rPr>
                <w:webHidden/>
              </w:rPr>
              <w:fldChar w:fldCharType="separate"/>
            </w:r>
            <w:r w:rsidR="00313A05">
              <w:rPr>
                <w:webHidden/>
              </w:rPr>
              <w:t>249</w:t>
            </w:r>
            <w:r w:rsidRPr="0068478E">
              <w:rPr>
                <w:webHidden/>
              </w:rPr>
              <w:fldChar w:fldCharType="end"/>
            </w:r>
          </w:hyperlink>
        </w:p>
        <w:p w14:paraId="6DD3430F" w14:textId="48BA5CB4"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9" w:history="1">
            <w:r w:rsidRPr="0068478E">
              <w:rPr>
                <w:rStyle w:val="Hyperlink"/>
                <w:rFonts w:eastAsia="Calibri"/>
              </w:rPr>
              <w:t>9.35 Particular Rights—Fourteenth Amendment—Pretrial  Detainee’s Claim of Failure to Protect</w:t>
            </w:r>
            <w:r w:rsidRPr="0068478E">
              <w:rPr>
                <w:webHidden/>
              </w:rPr>
              <w:tab/>
            </w:r>
            <w:r w:rsidRPr="0068478E">
              <w:rPr>
                <w:webHidden/>
              </w:rPr>
              <w:fldChar w:fldCharType="begin"/>
            </w:r>
            <w:r w:rsidRPr="0068478E">
              <w:rPr>
                <w:webHidden/>
              </w:rPr>
              <w:instrText xml:space="preserve"> PAGEREF _Toc221525199 \h </w:instrText>
            </w:r>
            <w:r w:rsidRPr="0068478E">
              <w:rPr>
                <w:webHidden/>
              </w:rPr>
            </w:r>
            <w:r w:rsidRPr="0068478E">
              <w:rPr>
                <w:webHidden/>
              </w:rPr>
              <w:fldChar w:fldCharType="separate"/>
            </w:r>
            <w:r w:rsidR="00313A05">
              <w:rPr>
                <w:webHidden/>
              </w:rPr>
              <w:t>254</w:t>
            </w:r>
            <w:r w:rsidRPr="0068478E">
              <w:rPr>
                <w:webHidden/>
              </w:rPr>
              <w:fldChar w:fldCharType="end"/>
            </w:r>
          </w:hyperlink>
        </w:p>
        <w:p w14:paraId="5CC0990C" w14:textId="1D235D9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0" w:history="1">
            <w:r w:rsidRPr="0068478E">
              <w:rPr>
                <w:rStyle w:val="Hyperlink"/>
                <w:rFonts w:eastAsia="Calibri"/>
              </w:rPr>
              <w:t>9.36 Particular Rights—Fourteenth Amendment—Due Process— Interference with Parent/Child Relationship</w:t>
            </w:r>
            <w:r w:rsidRPr="0068478E">
              <w:rPr>
                <w:webHidden/>
              </w:rPr>
              <w:tab/>
            </w:r>
            <w:r w:rsidRPr="0068478E">
              <w:rPr>
                <w:webHidden/>
              </w:rPr>
              <w:fldChar w:fldCharType="begin"/>
            </w:r>
            <w:r w:rsidRPr="0068478E">
              <w:rPr>
                <w:webHidden/>
              </w:rPr>
              <w:instrText xml:space="preserve"> PAGEREF _Toc221525200 \h </w:instrText>
            </w:r>
            <w:r w:rsidRPr="0068478E">
              <w:rPr>
                <w:webHidden/>
              </w:rPr>
            </w:r>
            <w:r w:rsidRPr="0068478E">
              <w:rPr>
                <w:webHidden/>
              </w:rPr>
              <w:fldChar w:fldCharType="separate"/>
            </w:r>
            <w:r w:rsidR="00313A05">
              <w:rPr>
                <w:webHidden/>
              </w:rPr>
              <w:t>258</w:t>
            </w:r>
            <w:r w:rsidRPr="0068478E">
              <w:rPr>
                <w:webHidden/>
              </w:rPr>
              <w:fldChar w:fldCharType="end"/>
            </w:r>
          </w:hyperlink>
        </w:p>
        <w:p w14:paraId="63BC5246" w14:textId="48C8290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1" w:history="1">
            <w:r w:rsidRPr="0068478E">
              <w:rPr>
                <w:rStyle w:val="Hyperlink"/>
                <w:rFonts w:eastAsia="Calibri"/>
              </w:rPr>
              <w:t>9.37 Particular Rights–Fourteenth Amendment— Due Process—Civil Commitment</w:t>
            </w:r>
            <w:r w:rsidRPr="0068478E">
              <w:rPr>
                <w:webHidden/>
              </w:rPr>
              <w:tab/>
            </w:r>
            <w:r w:rsidRPr="0068478E">
              <w:rPr>
                <w:webHidden/>
              </w:rPr>
              <w:fldChar w:fldCharType="begin"/>
            </w:r>
            <w:r w:rsidRPr="0068478E">
              <w:rPr>
                <w:webHidden/>
              </w:rPr>
              <w:instrText xml:space="preserve"> PAGEREF _Toc221525201 \h </w:instrText>
            </w:r>
            <w:r w:rsidRPr="0068478E">
              <w:rPr>
                <w:webHidden/>
              </w:rPr>
            </w:r>
            <w:r w:rsidRPr="0068478E">
              <w:rPr>
                <w:webHidden/>
              </w:rPr>
              <w:fldChar w:fldCharType="separate"/>
            </w:r>
            <w:r w:rsidR="00313A05">
              <w:rPr>
                <w:webHidden/>
              </w:rPr>
              <w:t>266</w:t>
            </w:r>
            <w:r w:rsidRPr="0068478E">
              <w:rPr>
                <w:webHidden/>
              </w:rPr>
              <w:fldChar w:fldCharType="end"/>
            </w:r>
          </w:hyperlink>
        </w:p>
        <w:p w14:paraId="4AAD3D5E" w14:textId="71F54AD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2" w:history="1">
            <w:r w:rsidRPr="0068478E">
              <w:rPr>
                <w:rStyle w:val="Hyperlink"/>
                <w:rFonts w:eastAsia="Calibri"/>
              </w:rPr>
              <w:t>9.38 Particular Rights—Fourteenth Amendment—Due  Process—Deliberate Fabrication of Evidence</w:t>
            </w:r>
            <w:r w:rsidRPr="0068478E">
              <w:rPr>
                <w:webHidden/>
              </w:rPr>
              <w:tab/>
            </w:r>
            <w:r w:rsidRPr="0068478E">
              <w:rPr>
                <w:webHidden/>
              </w:rPr>
              <w:fldChar w:fldCharType="begin"/>
            </w:r>
            <w:r w:rsidRPr="0068478E">
              <w:rPr>
                <w:webHidden/>
              </w:rPr>
              <w:instrText xml:space="preserve"> PAGEREF _Toc221525202 \h </w:instrText>
            </w:r>
            <w:r w:rsidRPr="0068478E">
              <w:rPr>
                <w:webHidden/>
              </w:rPr>
            </w:r>
            <w:r w:rsidRPr="0068478E">
              <w:rPr>
                <w:webHidden/>
              </w:rPr>
              <w:fldChar w:fldCharType="separate"/>
            </w:r>
            <w:r w:rsidR="00313A05">
              <w:rPr>
                <w:webHidden/>
              </w:rPr>
              <w:t>267</w:t>
            </w:r>
            <w:r w:rsidRPr="0068478E">
              <w:rPr>
                <w:webHidden/>
              </w:rPr>
              <w:fldChar w:fldCharType="end"/>
            </w:r>
          </w:hyperlink>
        </w:p>
        <w:p w14:paraId="7318153D" w14:textId="24104E2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3" w:history="1">
            <w:r w:rsidRPr="0068478E">
              <w:rPr>
                <w:rStyle w:val="Hyperlink"/>
                <w:rFonts w:eastAsia="Calibri"/>
              </w:rPr>
              <w:t>9.39 Particular Rights—Fourteenth Amendment—Due Process— Deliberate or Reckless Suppression of Evidence</w:t>
            </w:r>
            <w:r w:rsidRPr="0068478E">
              <w:rPr>
                <w:webHidden/>
              </w:rPr>
              <w:tab/>
            </w:r>
            <w:r w:rsidRPr="0068478E">
              <w:rPr>
                <w:webHidden/>
              </w:rPr>
              <w:fldChar w:fldCharType="begin"/>
            </w:r>
            <w:r w:rsidRPr="0068478E">
              <w:rPr>
                <w:webHidden/>
              </w:rPr>
              <w:instrText xml:space="preserve"> PAGEREF _Toc221525203 \h </w:instrText>
            </w:r>
            <w:r w:rsidRPr="0068478E">
              <w:rPr>
                <w:webHidden/>
              </w:rPr>
            </w:r>
            <w:r w:rsidRPr="0068478E">
              <w:rPr>
                <w:webHidden/>
              </w:rPr>
              <w:fldChar w:fldCharType="separate"/>
            </w:r>
            <w:r w:rsidR="00313A05">
              <w:rPr>
                <w:webHidden/>
              </w:rPr>
              <w:t>271</w:t>
            </w:r>
            <w:r w:rsidRPr="0068478E">
              <w:rPr>
                <w:webHidden/>
              </w:rPr>
              <w:fldChar w:fldCharType="end"/>
            </w:r>
          </w:hyperlink>
        </w:p>
        <w:p w14:paraId="7DF3BA0B" w14:textId="7F9B1E0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4" w:history="1">
            <w:r w:rsidRPr="0068478E">
              <w:rPr>
                <w:rStyle w:val="Hyperlink"/>
                <w:rFonts w:eastAsia="Calibri"/>
              </w:rPr>
              <w:t>9.40 Particular Rights—Fourteenth Amendment—Due Process—State-Created Danger</w:t>
            </w:r>
            <w:r w:rsidRPr="0068478E">
              <w:rPr>
                <w:webHidden/>
              </w:rPr>
              <w:tab/>
            </w:r>
            <w:r w:rsidRPr="0068478E">
              <w:rPr>
                <w:webHidden/>
              </w:rPr>
              <w:fldChar w:fldCharType="begin"/>
            </w:r>
            <w:r w:rsidRPr="0068478E">
              <w:rPr>
                <w:webHidden/>
              </w:rPr>
              <w:instrText xml:space="preserve"> PAGEREF _Toc221525204 \h </w:instrText>
            </w:r>
            <w:r w:rsidRPr="0068478E">
              <w:rPr>
                <w:webHidden/>
              </w:rPr>
            </w:r>
            <w:r w:rsidRPr="0068478E">
              <w:rPr>
                <w:webHidden/>
              </w:rPr>
              <w:fldChar w:fldCharType="separate"/>
            </w:r>
            <w:r w:rsidR="00313A05">
              <w:rPr>
                <w:webHidden/>
              </w:rPr>
              <w:t>273</w:t>
            </w:r>
            <w:r w:rsidRPr="0068478E">
              <w:rPr>
                <w:webHidden/>
              </w:rPr>
              <w:fldChar w:fldCharType="end"/>
            </w:r>
          </w:hyperlink>
        </w:p>
        <w:p w14:paraId="0A3545FD" w14:textId="2122B1C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5" w:history="1">
            <w:r w:rsidRPr="0068478E">
              <w:rPr>
                <w:rStyle w:val="Hyperlink"/>
                <w:rFonts w:eastAsia="Calibri"/>
              </w:rPr>
              <w:t>9.41 Qualified Immunity</w:t>
            </w:r>
            <w:r w:rsidRPr="0068478E">
              <w:rPr>
                <w:webHidden/>
              </w:rPr>
              <w:tab/>
            </w:r>
            <w:r w:rsidRPr="0068478E">
              <w:rPr>
                <w:webHidden/>
              </w:rPr>
              <w:fldChar w:fldCharType="begin"/>
            </w:r>
            <w:r w:rsidRPr="0068478E">
              <w:rPr>
                <w:webHidden/>
              </w:rPr>
              <w:instrText xml:space="preserve"> PAGEREF _Toc221525205 \h </w:instrText>
            </w:r>
            <w:r w:rsidRPr="0068478E">
              <w:rPr>
                <w:webHidden/>
              </w:rPr>
            </w:r>
            <w:r w:rsidRPr="0068478E">
              <w:rPr>
                <w:webHidden/>
              </w:rPr>
              <w:fldChar w:fldCharType="separate"/>
            </w:r>
            <w:r w:rsidR="00313A05">
              <w:rPr>
                <w:webHidden/>
              </w:rPr>
              <w:t>275</w:t>
            </w:r>
            <w:r w:rsidRPr="0068478E">
              <w:rPr>
                <w:webHidden/>
              </w:rPr>
              <w:fldChar w:fldCharType="end"/>
            </w:r>
          </w:hyperlink>
        </w:p>
        <w:p w14:paraId="38CAB67B" w14:textId="24A9083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6" w:history="1">
            <w:r w:rsidRPr="0068478E">
              <w:rPr>
                <w:rStyle w:val="Hyperlink"/>
                <w:rFonts w:eastAsia="Calibri"/>
              </w:rPr>
              <w:t xml:space="preserve">9.42 </w:t>
            </w:r>
            <w:r w:rsidRPr="0068478E">
              <w:rPr>
                <w:rStyle w:val="Hyperlink"/>
                <w:rFonts w:eastAsia="Calibri"/>
                <w:i/>
                <w:iCs/>
              </w:rPr>
              <w:t xml:space="preserve">Bivens </w:t>
            </w:r>
            <w:r w:rsidRPr="0068478E">
              <w:rPr>
                <w:rStyle w:val="Hyperlink"/>
                <w:rFonts w:eastAsia="Calibri"/>
              </w:rPr>
              <w:t>Claim Against Federal Defendant in Individual Capacity— Elements and Burden of Proof</w:t>
            </w:r>
            <w:r w:rsidRPr="0068478E">
              <w:rPr>
                <w:webHidden/>
              </w:rPr>
              <w:tab/>
            </w:r>
            <w:r w:rsidRPr="0068478E">
              <w:rPr>
                <w:webHidden/>
              </w:rPr>
              <w:fldChar w:fldCharType="begin"/>
            </w:r>
            <w:r w:rsidRPr="0068478E">
              <w:rPr>
                <w:webHidden/>
              </w:rPr>
              <w:instrText xml:space="preserve"> PAGEREF _Toc221525206 \h </w:instrText>
            </w:r>
            <w:r w:rsidRPr="0068478E">
              <w:rPr>
                <w:webHidden/>
              </w:rPr>
            </w:r>
            <w:r w:rsidRPr="0068478E">
              <w:rPr>
                <w:webHidden/>
              </w:rPr>
              <w:fldChar w:fldCharType="separate"/>
            </w:r>
            <w:r w:rsidR="00313A05">
              <w:rPr>
                <w:webHidden/>
              </w:rPr>
              <w:t>286</w:t>
            </w:r>
            <w:r w:rsidRPr="0068478E">
              <w:rPr>
                <w:webHidden/>
              </w:rPr>
              <w:fldChar w:fldCharType="end"/>
            </w:r>
          </w:hyperlink>
        </w:p>
        <w:p w14:paraId="53C74FAB" w14:textId="760C508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7" w:history="1">
            <w:r w:rsidRPr="0068478E">
              <w:rPr>
                <w:rStyle w:val="Hyperlink"/>
                <w:rFonts w:eastAsia="Calibri"/>
              </w:rPr>
              <w:t xml:space="preserve">9.43 </w:t>
            </w:r>
            <w:r w:rsidRPr="0068478E">
              <w:rPr>
                <w:rStyle w:val="Hyperlink"/>
                <w:rFonts w:eastAsia="Calibri"/>
                <w:spacing w:val="-8"/>
              </w:rPr>
              <w:t xml:space="preserve">Discrimination </w:t>
            </w:r>
            <w:r w:rsidRPr="0068478E">
              <w:rPr>
                <w:rStyle w:val="Hyperlink"/>
                <w:rFonts w:eastAsia="Calibri"/>
              </w:rPr>
              <w:t>in</w:t>
            </w:r>
            <w:r w:rsidRPr="0068478E">
              <w:rPr>
                <w:rStyle w:val="Hyperlink"/>
                <w:rFonts w:eastAsia="Calibri"/>
                <w:spacing w:val="-8"/>
              </w:rPr>
              <w:t xml:space="preserve"> </w:t>
            </w:r>
            <w:r w:rsidRPr="0068478E">
              <w:rPr>
                <w:rStyle w:val="Hyperlink"/>
                <w:rFonts w:eastAsia="Calibri"/>
              </w:rPr>
              <w:t>Making</w:t>
            </w:r>
            <w:r w:rsidRPr="0068478E">
              <w:rPr>
                <w:rStyle w:val="Hyperlink"/>
                <w:rFonts w:eastAsia="Calibri"/>
                <w:spacing w:val="-8"/>
              </w:rPr>
              <w:t xml:space="preserve"> </w:t>
            </w:r>
            <w:r w:rsidRPr="0068478E">
              <w:rPr>
                <w:rStyle w:val="Hyperlink"/>
                <w:rFonts w:eastAsia="Calibri"/>
              </w:rPr>
              <w:t>and</w:t>
            </w:r>
            <w:r w:rsidRPr="0068478E">
              <w:rPr>
                <w:rStyle w:val="Hyperlink"/>
                <w:rFonts w:eastAsia="Calibri"/>
                <w:spacing w:val="-8"/>
              </w:rPr>
              <w:t xml:space="preserve"> </w:t>
            </w:r>
            <w:r w:rsidRPr="0068478E">
              <w:rPr>
                <w:rStyle w:val="Hyperlink"/>
                <w:rFonts w:eastAsia="Calibri"/>
              </w:rPr>
              <w:t>Enforcing</w:t>
            </w:r>
            <w:r w:rsidRPr="0068478E">
              <w:rPr>
                <w:rStyle w:val="Hyperlink"/>
                <w:rFonts w:eastAsia="Calibri"/>
                <w:spacing w:val="-8"/>
              </w:rPr>
              <w:t xml:space="preserve"> </w:t>
            </w:r>
            <w:r w:rsidRPr="0068478E">
              <w:rPr>
                <w:rStyle w:val="Hyperlink"/>
                <w:rFonts w:eastAsia="Calibri"/>
              </w:rPr>
              <w:t>Contracts (42 U.S.C. § 1981)</w:t>
            </w:r>
            <w:r w:rsidRPr="0068478E">
              <w:rPr>
                <w:webHidden/>
              </w:rPr>
              <w:tab/>
            </w:r>
            <w:r w:rsidRPr="0068478E">
              <w:rPr>
                <w:webHidden/>
              </w:rPr>
              <w:fldChar w:fldCharType="begin"/>
            </w:r>
            <w:r w:rsidRPr="0068478E">
              <w:rPr>
                <w:webHidden/>
              </w:rPr>
              <w:instrText xml:space="preserve"> PAGEREF _Toc221525207 \h </w:instrText>
            </w:r>
            <w:r w:rsidRPr="0068478E">
              <w:rPr>
                <w:webHidden/>
              </w:rPr>
            </w:r>
            <w:r w:rsidRPr="0068478E">
              <w:rPr>
                <w:webHidden/>
              </w:rPr>
              <w:fldChar w:fldCharType="separate"/>
            </w:r>
            <w:r w:rsidR="00313A05">
              <w:rPr>
                <w:webHidden/>
              </w:rPr>
              <w:t>291</w:t>
            </w:r>
            <w:r w:rsidRPr="0068478E">
              <w:rPr>
                <w:webHidden/>
              </w:rPr>
              <w:fldChar w:fldCharType="end"/>
            </w:r>
          </w:hyperlink>
        </w:p>
        <w:p w14:paraId="20483BCC" w14:textId="65BDA1A0" w:rsidR="0068478E" w:rsidRDefault="0068478E">
          <w:pPr>
            <w:pStyle w:val="TOC1"/>
            <w:rPr>
              <w:rFonts w:asciiTheme="minorHAnsi" w:eastAsiaTheme="minorEastAsia" w:hAnsiTheme="minorHAnsi"/>
              <w:noProof/>
              <w:kern w:val="2"/>
              <w:szCs w:val="24"/>
              <w14:ligatures w14:val="standardContextual"/>
            </w:rPr>
          </w:pPr>
          <w:hyperlink w:anchor="_Toc221525208" w:history="1">
            <w:r w:rsidRPr="003A1D65">
              <w:rPr>
                <w:rStyle w:val="Hyperlink"/>
                <w:noProof/>
              </w:rPr>
              <w:t>10. CIVIL RIGHTS—TITLE VII—EMPLOYMENT DISCRIMINATION; HARASSMENT; RETALIATION</w:t>
            </w:r>
            <w:r>
              <w:rPr>
                <w:noProof/>
                <w:webHidden/>
              </w:rPr>
              <w:tab/>
            </w:r>
            <w:r>
              <w:rPr>
                <w:noProof/>
                <w:webHidden/>
              </w:rPr>
              <w:fldChar w:fldCharType="begin"/>
            </w:r>
            <w:r>
              <w:rPr>
                <w:noProof/>
                <w:webHidden/>
              </w:rPr>
              <w:instrText xml:space="preserve"> PAGEREF _Toc221525208 \h </w:instrText>
            </w:r>
            <w:r>
              <w:rPr>
                <w:noProof/>
                <w:webHidden/>
              </w:rPr>
            </w:r>
            <w:r>
              <w:rPr>
                <w:noProof/>
                <w:webHidden/>
              </w:rPr>
              <w:fldChar w:fldCharType="separate"/>
            </w:r>
            <w:r w:rsidR="00313A05">
              <w:rPr>
                <w:noProof/>
                <w:webHidden/>
              </w:rPr>
              <w:t>294</w:t>
            </w:r>
            <w:r>
              <w:rPr>
                <w:noProof/>
                <w:webHidden/>
              </w:rPr>
              <w:fldChar w:fldCharType="end"/>
            </w:r>
          </w:hyperlink>
        </w:p>
        <w:p w14:paraId="0E2AD170" w14:textId="45B8FD2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09" w:history="1">
            <w:r w:rsidRPr="003A1D65">
              <w:rPr>
                <w:rStyle w:val="Hyperlink"/>
              </w:rPr>
              <w:t>Introductory Comment</w:t>
            </w:r>
            <w:r>
              <w:rPr>
                <w:webHidden/>
              </w:rPr>
              <w:tab/>
            </w:r>
            <w:r>
              <w:rPr>
                <w:webHidden/>
              </w:rPr>
              <w:fldChar w:fldCharType="begin"/>
            </w:r>
            <w:r>
              <w:rPr>
                <w:webHidden/>
              </w:rPr>
              <w:instrText xml:space="preserve"> PAGEREF _Toc221525209 \h </w:instrText>
            </w:r>
            <w:r>
              <w:rPr>
                <w:webHidden/>
              </w:rPr>
            </w:r>
            <w:r>
              <w:rPr>
                <w:webHidden/>
              </w:rPr>
              <w:fldChar w:fldCharType="separate"/>
            </w:r>
            <w:r w:rsidR="00313A05">
              <w:rPr>
                <w:webHidden/>
              </w:rPr>
              <w:t>295</w:t>
            </w:r>
            <w:r>
              <w:rPr>
                <w:webHidden/>
              </w:rPr>
              <w:fldChar w:fldCharType="end"/>
            </w:r>
          </w:hyperlink>
        </w:p>
        <w:p w14:paraId="1BB15E60" w14:textId="56BB079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0" w:history="1">
            <w:r w:rsidRPr="003A1D65">
              <w:rPr>
                <w:rStyle w:val="Hyperlink"/>
              </w:rPr>
              <w:t>10.1 Civil Rights—Title VII—Disparate Treatment—Without  Affirmative Defense of “Same Decision”</w:t>
            </w:r>
            <w:r>
              <w:rPr>
                <w:webHidden/>
              </w:rPr>
              <w:tab/>
            </w:r>
            <w:r>
              <w:rPr>
                <w:webHidden/>
              </w:rPr>
              <w:fldChar w:fldCharType="begin"/>
            </w:r>
            <w:r>
              <w:rPr>
                <w:webHidden/>
              </w:rPr>
              <w:instrText xml:space="preserve"> PAGEREF _Toc221525210 \h </w:instrText>
            </w:r>
            <w:r>
              <w:rPr>
                <w:webHidden/>
              </w:rPr>
            </w:r>
            <w:r>
              <w:rPr>
                <w:webHidden/>
              </w:rPr>
              <w:fldChar w:fldCharType="separate"/>
            </w:r>
            <w:r w:rsidR="00313A05">
              <w:rPr>
                <w:webHidden/>
              </w:rPr>
              <w:t>302</w:t>
            </w:r>
            <w:r>
              <w:rPr>
                <w:webHidden/>
              </w:rPr>
              <w:fldChar w:fldCharType="end"/>
            </w:r>
          </w:hyperlink>
        </w:p>
        <w:p w14:paraId="7E7E548D" w14:textId="6A04DA9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1" w:history="1">
            <w:r w:rsidRPr="003A1D65">
              <w:rPr>
                <w:rStyle w:val="Hyperlink"/>
              </w:rPr>
              <w:t>10.2 Civil Rights—Title VII—Disparate Treatment—With  Affirmative Defense of “Same Decision”</w:t>
            </w:r>
            <w:r>
              <w:rPr>
                <w:webHidden/>
              </w:rPr>
              <w:tab/>
            </w:r>
            <w:r>
              <w:rPr>
                <w:webHidden/>
              </w:rPr>
              <w:fldChar w:fldCharType="begin"/>
            </w:r>
            <w:r>
              <w:rPr>
                <w:webHidden/>
              </w:rPr>
              <w:instrText xml:space="preserve"> PAGEREF _Toc221525211 \h </w:instrText>
            </w:r>
            <w:r>
              <w:rPr>
                <w:webHidden/>
              </w:rPr>
            </w:r>
            <w:r>
              <w:rPr>
                <w:webHidden/>
              </w:rPr>
              <w:fldChar w:fldCharType="separate"/>
            </w:r>
            <w:r w:rsidR="00313A05">
              <w:rPr>
                <w:webHidden/>
              </w:rPr>
              <w:t>304</w:t>
            </w:r>
            <w:r>
              <w:rPr>
                <w:webHidden/>
              </w:rPr>
              <w:fldChar w:fldCharType="end"/>
            </w:r>
          </w:hyperlink>
        </w:p>
        <w:p w14:paraId="4F7E9098" w14:textId="014FCFF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2" w:history="1">
            <w:r w:rsidRPr="003A1D65">
              <w:rPr>
                <w:rStyle w:val="Hyperlink"/>
              </w:rPr>
              <w:t>10.3 Civil Rights—Title VII—Disparate Treatment—“Because of” Defined</w:t>
            </w:r>
            <w:r>
              <w:rPr>
                <w:webHidden/>
              </w:rPr>
              <w:tab/>
            </w:r>
            <w:r>
              <w:rPr>
                <w:webHidden/>
              </w:rPr>
              <w:fldChar w:fldCharType="begin"/>
            </w:r>
            <w:r>
              <w:rPr>
                <w:webHidden/>
              </w:rPr>
              <w:instrText xml:space="preserve"> PAGEREF _Toc221525212 \h </w:instrText>
            </w:r>
            <w:r>
              <w:rPr>
                <w:webHidden/>
              </w:rPr>
            </w:r>
            <w:r>
              <w:rPr>
                <w:webHidden/>
              </w:rPr>
              <w:fldChar w:fldCharType="separate"/>
            </w:r>
            <w:r w:rsidR="00313A05">
              <w:rPr>
                <w:webHidden/>
              </w:rPr>
              <w:t>307</w:t>
            </w:r>
            <w:r>
              <w:rPr>
                <w:webHidden/>
              </w:rPr>
              <w:fldChar w:fldCharType="end"/>
            </w:r>
          </w:hyperlink>
        </w:p>
        <w:p w14:paraId="457DFC4C" w14:textId="280C078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3" w:history="1">
            <w:r w:rsidRPr="003A1D65">
              <w:rPr>
                <w:rStyle w:val="Hyperlink"/>
              </w:rPr>
              <w:t>10.4 Civil Rights—Title VII—Hostile Work Environment—Harassment</w:t>
            </w:r>
            <w:r>
              <w:rPr>
                <w:webHidden/>
              </w:rPr>
              <w:tab/>
            </w:r>
            <w:r>
              <w:rPr>
                <w:webHidden/>
              </w:rPr>
              <w:fldChar w:fldCharType="begin"/>
            </w:r>
            <w:r>
              <w:rPr>
                <w:webHidden/>
              </w:rPr>
              <w:instrText xml:space="preserve"> PAGEREF _Toc221525213 \h </w:instrText>
            </w:r>
            <w:r>
              <w:rPr>
                <w:webHidden/>
              </w:rPr>
            </w:r>
            <w:r>
              <w:rPr>
                <w:webHidden/>
              </w:rPr>
              <w:fldChar w:fldCharType="separate"/>
            </w:r>
            <w:r w:rsidR="00313A05">
              <w:rPr>
                <w:webHidden/>
              </w:rPr>
              <w:t>308</w:t>
            </w:r>
            <w:r>
              <w:rPr>
                <w:webHidden/>
              </w:rPr>
              <w:fldChar w:fldCharType="end"/>
            </w:r>
          </w:hyperlink>
        </w:p>
        <w:p w14:paraId="0D44CABA" w14:textId="5579480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4" w:history="1">
            <w:r w:rsidRPr="003A1D65">
              <w:rPr>
                <w:rStyle w:val="Hyperlink"/>
              </w:rPr>
              <w:t>10.5 Civil Rights—Title VII—Hostile Work Environment—Definition</w:t>
            </w:r>
            <w:r>
              <w:rPr>
                <w:webHidden/>
              </w:rPr>
              <w:tab/>
            </w:r>
            <w:r>
              <w:rPr>
                <w:webHidden/>
              </w:rPr>
              <w:fldChar w:fldCharType="begin"/>
            </w:r>
            <w:r>
              <w:rPr>
                <w:webHidden/>
              </w:rPr>
              <w:instrText xml:space="preserve"> PAGEREF _Toc221525214 \h </w:instrText>
            </w:r>
            <w:r>
              <w:rPr>
                <w:webHidden/>
              </w:rPr>
            </w:r>
            <w:r>
              <w:rPr>
                <w:webHidden/>
              </w:rPr>
              <w:fldChar w:fldCharType="separate"/>
            </w:r>
            <w:r w:rsidR="00313A05">
              <w:rPr>
                <w:webHidden/>
              </w:rPr>
              <w:t>310</w:t>
            </w:r>
            <w:r>
              <w:rPr>
                <w:webHidden/>
              </w:rPr>
              <w:fldChar w:fldCharType="end"/>
            </w:r>
          </w:hyperlink>
        </w:p>
        <w:p w14:paraId="2321F041" w14:textId="4B9BF1A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5" w:history="1">
            <w:r w:rsidRPr="003A1D65">
              <w:rPr>
                <w:rStyle w:val="Hyperlink"/>
              </w:rPr>
              <w:t>10.6 Civil Rights—Title VII—Hostile Work Environment—Harassment Because Of Protected Characteristics—Elements</w:t>
            </w:r>
            <w:r>
              <w:rPr>
                <w:webHidden/>
              </w:rPr>
              <w:tab/>
            </w:r>
            <w:r>
              <w:rPr>
                <w:webHidden/>
              </w:rPr>
              <w:fldChar w:fldCharType="begin"/>
            </w:r>
            <w:r>
              <w:rPr>
                <w:webHidden/>
              </w:rPr>
              <w:instrText xml:space="preserve"> PAGEREF _Toc221525215 \h </w:instrText>
            </w:r>
            <w:r>
              <w:rPr>
                <w:webHidden/>
              </w:rPr>
            </w:r>
            <w:r>
              <w:rPr>
                <w:webHidden/>
              </w:rPr>
              <w:fldChar w:fldCharType="separate"/>
            </w:r>
            <w:r w:rsidR="00313A05">
              <w:rPr>
                <w:webHidden/>
              </w:rPr>
              <w:t>311</w:t>
            </w:r>
            <w:r>
              <w:rPr>
                <w:webHidden/>
              </w:rPr>
              <w:fldChar w:fldCharType="end"/>
            </w:r>
          </w:hyperlink>
        </w:p>
        <w:p w14:paraId="680AA74E" w14:textId="3D48BF9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6" w:history="1">
            <w:r w:rsidRPr="003A1D65">
              <w:rPr>
                <w:rStyle w:val="Hyperlink"/>
              </w:rPr>
              <w:t>10.7 Civil Rights—Title VII—Hostile Work Environment Caused by Supervisor—Claim Based on Vicarious Liability—Tangible Employment Action—Affirmative Defense</w:t>
            </w:r>
            <w:r>
              <w:rPr>
                <w:webHidden/>
              </w:rPr>
              <w:tab/>
            </w:r>
            <w:r>
              <w:rPr>
                <w:webHidden/>
              </w:rPr>
              <w:fldChar w:fldCharType="begin"/>
            </w:r>
            <w:r>
              <w:rPr>
                <w:webHidden/>
              </w:rPr>
              <w:instrText xml:space="preserve"> PAGEREF _Toc221525216 \h </w:instrText>
            </w:r>
            <w:r>
              <w:rPr>
                <w:webHidden/>
              </w:rPr>
            </w:r>
            <w:r>
              <w:rPr>
                <w:webHidden/>
              </w:rPr>
              <w:fldChar w:fldCharType="separate"/>
            </w:r>
            <w:r w:rsidR="00313A05">
              <w:rPr>
                <w:webHidden/>
              </w:rPr>
              <w:t>313</w:t>
            </w:r>
            <w:r>
              <w:rPr>
                <w:webHidden/>
              </w:rPr>
              <w:fldChar w:fldCharType="end"/>
            </w:r>
          </w:hyperlink>
        </w:p>
        <w:p w14:paraId="7BC1564A" w14:textId="7AC420D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7" w:history="1">
            <w:r w:rsidRPr="003A1D65">
              <w:rPr>
                <w:rStyle w:val="Hyperlink"/>
              </w:rPr>
              <w:t>10.8 Civil Rights—Title VII—Hostile Work Environment Caused by Non-Immediate Supervisor or by Co-Worker—Claim Based on Negligence</w:t>
            </w:r>
            <w:r>
              <w:rPr>
                <w:webHidden/>
              </w:rPr>
              <w:tab/>
            </w:r>
            <w:r>
              <w:rPr>
                <w:webHidden/>
              </w:rPr>
              <w:fldChar w:fldCharType="begin"/>
            </w:r>
            <w:r>
              <w:rPr>
                <w:webHidden/>
              </w:rPr>
              <w:instrText xml:space="preserve"> PAGEREF _Toc221525217 \h </w:instrText>
            </w:r>
            <w:r>
              <w:rPr>
                <w:webHidden/>
              </w:rPr>
            </w:r>
            <w:r>
              <w:rPr>
                <w:webHidden/>
              </w:rPr>
              <w:fldChar w:fldCharType="separate"/>
            </w:r>
            <w:r w:rsidR="00313A05">
              <w:rPr>
                <w:webHidden/>
              </w:rPr>
              <w:t>316</w:t>
            </w:r>
            <w:r>
              <w:rPr>
                <w:webHidden/>
              </w:rPr>
              <w:fldChar w:fldCharType="end"/>
            </w:r>
          </w:hyperlink>
        </w:p>
        <w:p w14:paraId="431857DC" w14:textId="000FF3C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18" w:history="1">
            <w:r w:rsidRPr="0068478E">
              <w:rPr>
                <w:rStyle w:val="Hyperlink"/>
              </w:rPr>
              <w:t>10.9 “Hostile Work Environment” Defined</w:t>
            </w:r>
            <w:r w:rsidRPr="0068478E">
              <w:rPr>
                <w:webHidden/>
              </w:rPr>
              <w:tab/>
            </w:r>
            <w:r w:rsidRPr="0068478E">
              <w:rPr>
                <w:webHidden/>
              </w:rPr>
              <w:fldChar w:fldCharType="begin"/>
            </w:r>
            <w:r w:rsidRPr="0068478E">
              <w:rPr>
                <w:webHidden/>
              </w:rPr>
              <w:instrText xml:space="preserve"> PAGEREF _Toc221525218 \h </w:instrText>
            </w:r>
            <w:r w:rsidRPr="0068478E">
              <w:rPr>
                <w:webHidden/>
              </w:rPr>
            </w:r>
            <w:r w:rsidRPr="0068478E">
              <w:rPr>
                <w:webHidden/>
              </w:rPr>
              <w:fldChar w:fldCharType="separate"/>
            </w:r>
            <w:r w:rsidR="00313A05">
              <w:rPr>
                <w:webHidden/>
              </w:rPr>
              <w:t>319</w:t>
            </w:r>
            <w:r w:rsidRPr="0068478E">
              <w:rPr>
                <w:webHidden/>
              </w:rPr>
              <w:fldChar w:fldCharType="end"/>
            </w:r>
          </w:hyperlink>
        </w:p>
        <w:p w14:paraId="17EF59E2" w14:textId="25F55F5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9" w:history="1">
            <w:r w:rsidRPr="003A1D65">
              <w:rPr>
                <w:rStyle w:val="Hyperlink"/>
              </w:rPr>
              <w:t>10.10 Civil Rights—Title VII—Retaliation—Elements and Burden of Proof</w:t>
            </w:r>
            <w:r>
              <w:rPr>
                <w:webHidden/>
              </w:rPr>
              <w:tab/>
            </w:r>
            <w:r>
              <w:rPr>
                <w:webHidden/>
              </w:rPr>
              <w:fldChar w:fldCharType="begin"/>
            </w:r>
            <w:r>
              <w:rPr>
                <w:webHidden/>
              </w:rPr>
              <w:instrText xml:space="preserve"> PAGEREF _Toc221525219 \h </w:instrText>
            </w:r>
            <w:r>
              <w:rPr>
                <w:webHidden/>
              </w:rPr>
            </w:r>
            <w:r>
              <w:rPr>
                <w:webHidden/>
              </w:rPr>
              <w:fldChar w:fldCharType="separate"/>
            </w:r>
            <w:r w:rsidR="00313A05">
              <w:rPr>
                <w:webHidden/>
              </w:rPr>
              <w:t>320</w:t>
            </w:r>
            <w:r>
              <w:rPr>
                <w:webHidden/>
              </w:rPr>
              <w:fldChar w:fldCharType="end"/>
            </w:r>
          </w:hyperlink>
        </w:p>
        <w:p w14:paraId="5457E71A" w14:textId="3E18CA0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0" w:history="1">
            <w:r w:rsidRPr="003A1D65">
              <w:rPr>
                <w:rStyle w:val="Hyperlink"/>
              </w:rPr>
              <w:t>10.11 Civil Rights—Title VII—“Adverse Employment Action” Defined</w:t>
            </w:r>
            <w:r>
              <w:rPr>
                <w:webHidden/>
              </w:rPr>
              <w:tab/>
            </w:r>
            <w:r>
              <w:rPr>
                <w:webHidden/>
              </w:rPr>
              <w:fldChar w:fldCharType="begin"/>
            </w:r>
            <w:r>
              <w:rPr>
                <w:webHidden/>
              </w:rPr>
              <w:instrText xml:space="preserve"> PAGEREF _Toc221525220 \h </w:instrText>
            </w:r>
            <w:r>
              <w:rPr>
                <w:webHidden/>
              </w:rPr>
            </w:r>
            <w:r>
              <w:rPr>
                <w:webHidden/>
              </w:rPr>
              <w:fldChar w:fldCharType="separate"/>
            </w:r>
            <w:r w:rsidR="00313A05">
              <w:rPr>
                <w:webHidden/>
              </w:rPr>
              <w:t>322</w:t>
            </w:r>
            <w:r>
              <w:rPr>
                <w:webHidden/>
              </w:rPr>
              <w:fldChar w:fldCharType="end"/>
            </w:r>
          </w:hyperlink>
        </w:p>
        <w:p w14:paraId="4B49AC88" w14:textId="5288740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1" w:history="1">
            <w:r w:rsidRPr="003A1D65">
              <w:rPr>
                <w:rStyle w:val="Hyperlink"/>
              </w:rPr>
              <w:t>10.12 Civil Rights—Title VII—“Adverse Employment Action” in Retaliation Cases</w:t>
            </w:r>
            <w:r>
              <w:rPr>
                <w:webHidden/>
              </w:rPr>
              <w:tab/>
            </w:r>
            <w:r>
              <w:rPr>
                <w:webHidden/>
              </w:rPr>
              <w:fldChar w:fldCharType="begin"/>
            </w:r>
            <w:r>
              <w:rPr>
                <w:webHidden/>
              </w:rPr>
              <w:instrText xml:space="preserve"> PAGEREF _Toc221525221 \h </w:instrText>
            </w:r>
            <w:r>
              <w:rPr>
                <w:webHidden/>
              </w:rPr>
            </w:r>
            <w:r>
              <w:rPr>
                <w:webHidden/>
              </w:rPr>
              <w:fldChar w:fldCharType="separate"/>
            </w:r>
            <w:r w:rsidR="00313A05">
              <w:rPr>
                <w:webHidden/>
              </w:rPr>
              <w:t>323</w:t>
            </w:r>
            <w:r>
              <w:rPr>
                <w:webHidden/>
              </w:rPr>
              <w:fldChar w:fldCharType="end"/>
            </w:r>
          </w:hyperlink>
        </w:p>
        <w:p w14:paraId="646CC04F" w14:textId="4E95D45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2" w:history="1">
            <w:r w:rsidRPr="003A1D65">
              <w:rPr>
                <w:rStyle w:val="Hyperlink"/>
              </w:rPr>
              <w:t>10.13 Civil Rights—Title VII—“Adverse Employment Action” in Disparate Treatment Cases</w:t>
            </w:r>
            <w:r>
              <w:rPr>
                <w:webHidden/>
              </w:rPr>
              <w:tab/>
            </w:r>
            <w:r>
              <w:rPr>
                <w:webHidden/>
              </w:rPr>
              <w:fldChar w:fldCharType="begin"/>
            </w:r>
            <w:r>
              <w:rPr>
                <w:webHidden/>
              </w:rPr>
              <w:instrText xml:space="preserve"> PAGEREF _Toc221525222 \h </w:instrText>
            </w:r>
            <w:r>
              <w:rPr>
                <w:webHidden/>
              </w:rPr>
            </w:r>
            <w:r>
              <w:rPr>
                <w:webHidden/>
              </w:rPr>
              <w:fldChar w:fldCharType="separate"/>
            </w:r>
            <w:r w:rsidR="00313A05">
              <w:rPr>
                <w:webHidden/>
              </w:rPr>
              <w:t>325</w:t>
            </w:r>
            <w:r>
              <w:rPr>
                <w:webHidden/>
              </w:rPr>
              <w:fldChar w:fldCharType="end"/>
            </w:r>
          </w:hyperlink>
        </w:p>
        <w:p w14:paraId="3B1A8DE9" w14:textId="5CB455E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3" w:history="1">
            <w:r w:rsidRPr="003A1D65">
              <w:rPr>
                <w:rStyle w:val="Hyperlink"/>
              </w:rPr>
              <w:t>10.14 Civil Rights—Title VII—“Tangible Employment Action” Defined</w:t>
            </w:r>
            <w:r>
              <w:rPr>
                <w:webHidden/>
              </w:rPr>
              <w:tab/>
            </w:r>
            <w:r>
              <w:rPr>
                <w:webHidden/>
              </w:rPr>
              <w:fldChar w:fldCharType="begin"/>
            </w:r>
            <w:r>
              <w:rPr>
                <w:webHidden/>
              </w:rPr>
              <w:instrText xml:space="preserve"> PAGEREF _Toc221525223 \h </w:instrText>
            </w:r>
            <w:r>
              <w:rPr>
                <w:webHidden/>
              </w:rPr>
            </w:r>
            <w:r>
              <w:rPr>
                <w:webHidden/>
              </w:rPr>
              <w:fldChar w:fldCharType="separate"/>
            </w:r>
            <w:r w:rsidR="00313A05">
              <w:rPr>
                <w:webHidden/>
              </w:rPr>
              <w:t>326</w:t>
            </w:r>
            <w:r>
              <w:rPr>
                <w:webHidden/>
              </w:rPr>
              <w:fldChar w:fldCharType="end"/>
            </w:r>
          </w:hyperlink>
        </w:p>
        <w:p w14:paraId="04C2FD1D" w14:textId="15DEE91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4" w:history="1">
            <w:r w:rsidRPr="003A1D65">
              <w:rPr>
                <w:rStyle w:val="Hyperlink"/>
              </w:rPr>
              <w:t>10.15 Civil Rights—Title VII—“Constructive Discharge” Defined</w:t>
            </w:r>
            <w:r>
              <w:rPr>
                <w:webHidden/>
              </w:rPr>
              <w:tab/>
            </w:r>
            <w:r>
              <w:rPr>
                <w:webHidden/>
              </w:rPr>
              <w:fldChar w:fldCharType="begin"/>
            </w:r>
            <w:r>
              <w:rPr>
                <w:webHidden/>
              </w:rPr>
              <w:instrText xml:space="preserve"> PAGEREF _Toc221525224 \h </w:instrText>
            </w:r>
            <w:r>
              <w:rPr>
                <w:webHidden/>
              </w:rPr>
            </w:r>
            <w:r>
              <w:rPr>
                <w:webHidden/>
              </w:rPr>
              <w:fldChar w:fldCharType="separate"/>
            </w:r>
            <w:r w:rsidR="00313A05">
              <w:rPr>
                <w:webHidden/>
              </w:rPr>
              <w:t>328</w:t>
            </w:r>
            <w:r>
              <w:rPr>
                <w:webHidden/>
              </w:rPr>
              <w:fldChar w:fldCharType="end"/>
            </w:r>
          </w:hyperlink>
        </w:p>
        <w:p w14:paraId="4774F05D" w14:textId="115634B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5" w:history="1">
            <w:r w:rsidRPr="003A1D65">
              <w:rPr>
                <w:rStyle w:val="Hyperlink"/>
              </w:rPr>
              <w:t>10.16 Civil Rights—Title VII—Defense—Bona Fide Occupational Qualification</w:t>
            </w:r>
            <w:r>
              <w:rPr>
                <w:webHidden/>
              </w:rPr>
              <w:tab/>
            </w:r>
            <w:r>
              <w:rPr>
                <w:webHidden/>
              </w:rPr>
              <w:fldChar w:fldCharType="begin"/>
            </w:r>
            <w:r>
              <w:rPr>
                <w:webHidden/>
              </w:rPr>
              <w:instrText xml:space="preserve"> PAGEREF _Toc221525225 \h </w:instrText>
            </w:r>
            <w:r>
              <w:rPr>
                <w:webHidden/>
              </w:rPr>
            </w:r>
            <w:r>
              <w:rPr>
                <w:webHidden/>
              </w:rPr>
              <w:fldChar w:fldCharType="separate"/>
            </w:r>
            <w:r w:rsidR="00313A05">
              <w:rPr>
                <w:webHidden/>
              </w:rPr>
              <w:t>329</w:t>
            </w:r>
            <w:r>
              <w:rPr>
                <w:webHidden/>
              </w:rPr>
              <w:fldChar w:fldCharType="end"/>
            </w:r>
          </w:hyperlink>
        </w:p>
        <w:p w14:paraId="6C360DC7" w14:textId="2E5ECB7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6" w:history="1">
            <w:r w:rsidRPr="003A1D65">
              <w:rPr>
                <w:rStyle w:val="Hyperlink"/>
              </w:rPr>
              <w:t>10.17 Civil Rights—Title VII—Defense—Bona Fide Seniority System</w:t>
            </w:r>
            <w:r>
              <w:rPr>
                <w:webHidden/>
              </w:rPr>
              <w:tab/>
            </w:r>
            <w:r>
              <w:rPr>
                <w:webHidden/>
              </w:rPr>
              <w:fldChar w:fldCharType="begin"/>
            </w:r>
            <w:r>
              <w:rPr>
                <w:webHidden/>
              </w:rPr>
              <w:instrText xml:space="preserve"> PAGEREF _Toc221525226 \h </w:instrText>
            </w:r>
            <w:r>
              <w:rPr>
                <w:webHidden/>
              </w:rPr>
            </w:r>
            <w:r>
              <w:rPr>
                <w:webHidden/>
              </w:rPr>
              <w:fldChar w:fldCharType="separate"/>
            </w:r>
            <w:r w:rsidR="00313A05">
              <w:rPr>
                <w:webHidden/>
              </w:rPr>
              <w:t>331</w:t>
            </w:r>
            <w:r>
              <w:rPr>
                <w:webHidden/>
              </w:rPr>
              <w:fldChar w:fldCharType="end"/>
            </w:r>
          </w:hyperlink>
        </w:p>
        <w:p w14:paraId="70BB7E01" w14:textId="455A91B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7" w:history="1">
            <w:r w:rsidRPr="003A1D65">
              <w:rPr>
                <w:rStyle w:val="Hyperlink"/>
              </w:rPr>
              <w:t>10.18 Civil Rights—Title VII—Defense—After-Acquired Evidence</w:t>
            </w:r>
            <w:r>
              <w:rPr>
                <w:webHidden/>
              </w:rPr>
              <w:tab/>
            </w:r>
            <w:r>
              <w:rPr>
                <w:webHidden/>
              </w:rPr>
              <w:fldChar w:fldCharType="begin"/>
            </w:r>
            <w:r>
              <w:rPr>
                <w:webHidden/>
              </w:rPr>
              <w:instrText xml:space="preserve"> PAGEREF _Toc221525227 \h </w:instrText>
            </w:r>
            <w:r>
              <w:rPr>
                <w:webHidden/>
              </w:rPr>
            </w:r>
            <w:r>
              <w:rPr>
                <w:webHidden/>
              </w:rPr>
              <w:fldChar w:fldCharType="separate"/>
            </w:r>
            <w:r w:rsidR="00313A05">
              <w:rPr>
                <w:webHidden/>
              </w:rPr>
              <w:t>333</w:t>
            </w:r>
            <w:r>
              <w:rPr>
                <w:webHidden/>
              </w:rPr>
              <w:fldChar w:fldCharType="end"/>
            </w:r>
          </w:hyperlink>
        </w:p>
        <w:p w14:paraId="63DDF029" w14:textId="3607C54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8" w:history="1">
            <w:r w:rsidRPr="003A1D65">
              <w:rPr>
                <w:rStyle w:val="Hyperlink"/>
              </w:rPr>
              <w:t>10.19 Civil Rights—Title VII—Defense—Undue Hardship in</w:t>
            </w:r>
            <w:r>
              <w:rPr>
                <w:webHidden/>
              </w:rPr>
              <w:tab/>
            </w:r>
            <w:r>
              <w:rPr>
                <w:webHidden/>
              </w:rPr>
              <w:fldChar w:fldCharType="begin"/>
            </w:r>
            <w:r>
              <w:rPr>
                <w:webHidden/>
              </w:rPr>
              <w:instrText xml:space="preserve"> PAGEREF _Toc221525228 \h </w:instrText>
            </w:r>
            <w:r>
              <w:rPr>
                <w:webHidden/>
              </w:rPr>
            </w:r>
            <w:r>
              <w:rPr>
                <w:webHidden/>
              </w:rPr>
              <w:fldChar w:fldCharType="separate"/>
            </w:r>
            <w:r w:rsidR="00313A05">
              <w:rPr>
                <w:webHidden/>
              </w:rPr>
              <w:t>334</w:t>
            </w:r>
            <w:r>
              <w:rPr>
                <w:webHidden/>
              </w:rPr>
              <w:fldChar w:fldCharType="end"/>
            </w:r>
          </w:hyperlink>
        </w:p>
        <w:p w14:paraId="54534237" w14:textId="74C9626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9" w:history="1">
            <w:r w:rsidRPr="003A1D65">
              <w:rPr>
                <w:rStyle w:val="Hyperlink"/>
              </w:rPr>
              <w:t>Religious Accommodation Cases</w:t>
            </w:r>
            <w:r>
              <w:rPr>
                <w:webHidden/>
              </w:rPr>
              <w:tab/>
            </w:r>
            <w:r>
              <w:rPr>
                <w:webHidden/>
              </w:rPr>
              <w:fldChar w:fldCharType="begin"/>
            </w:r>
            <w:r>
              <w:rPr>
                <w:webHidden/>
              </w:rPr>
              <w:instrText xml:space="preserve"> PAGEREF _Toc221525229 \h </w:instrText>
            </w:r>
            <w:r>
              <w:rPr>
                <w:webHidden/>
              </w:rPr>
            </w:r>
            <w:r>
              <w:rPr>
                <w:webHidden/>
              </w:rPr>
              <w:fldChar w:fldCharType="separate"/>
            </w:r>
            <w:r w:rsidR="00313A05">
              <w:rPr>
                <w:webHidden/>
              </w:rPr>
              <w:t>334</w:t>
            </w:r>
            <w:r>
              <w:rPr>
                <w:webHidden/>
              </w:rPr>
              <w:fldChar w:fldCharType="end"/>
            </w:r>
          </w:hyperlink>
        </w:p>
        <w:p w14:paraId="19201259" w14:textId="2B7DAFD4" w:rsidR="0068478E" w:rsidRDefault="0068478E">
          <w:pPr>
            <w:pStyle w:val="TOC1"/>
            <w:rPr>
              <w:rFonts w:asciiTheme="minorHAnsi" w:eastAsiaTheme="minorEastAsia" w:hAnsiTheme="minorHAnsi"/>
              <w:noProof/>
              <w:kern w:val="2"/>
              <w:szCs w:val="24"/>
              <w14:ligatures w14:val="standardContextual"/>
            </w:rPr>
          </w:pPr>
          <w:hyperlink w:anchor="_Toc221525230" w:history="1">
            <w:r w:rsidRPr="003A1D65">
              <w:rPr>
                <w:rStyle w:val="Hyperlink"/>
                <w:noProof/>
              </w:rPr>
              <w:t>11. AGE DISCRIMINATION</w:t>
            </w:r>
            <w:r>
              <w:rPr>
                <w:noProof/>
                <w:webHidden/>
              </w:rPr>
              <w:tab/>
            </w:r>
            <w:r>
              <w:rPr>
                <w:noProof/>
                <w:webHidden/>
              </w:rPr>
              <w:fldChar w:fldCharType="begin"/>
            </w:r>
            <w:r>
              <w:rPr>
                <w:noProof/>
                <w:webHidden/>
              </w:rPr>
              <w:instrText xml:space="preserve"> PAGEREF _Toc221525230 \h </w:instrText>
            </w:r>
            <w:r>
              <w:rPr>
                <w:noProof/>
                <w:webHidden/>
              </w:rPr>
            </w:r>
            <w:r>
              <w:rPr>
                <w:noProof/>
                <w:webHidden/>
              </w:rPr>
              <w:fldChar w:fldCharType="separate"/>
            </w:r>
            <w:r w:rsidR="00313A05">
              <w:rPr>
                <w:noProof/>
                <w:webHidden/>
              </w:rPr>
              <w:t>335</w:t>
            </w:r>
            <w:r>
              <w:rPr>
                <w:noProof/>
                <w:webHidden/>
              </w:rPr>
              <w:fldChar w:fldCharType="end"/>
            </w:r>
          </w:hyperlink>
        </w:p>
        <w:p w14:paraId="7E6C960D" w14:textId="3704534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1" w:history="1">
            <w:r w:rsidRPr="003A1D65">
              <w:rPr>
                <w:rStyle w:val="Hyperlink"/>
              </w:rPr>
              <w:t>Introductory Comment</w:t>
            </w:r>
            <w:r>
              <w:rPr>
                <w:webHidden/>
              </w:rPr>
              <w:tab/>
            </w:r>
            <w:r>
              <w:rPr>
                <w:webHidden/>
              </w:rPr>
              <w:fldChar w:fldCharType="begin"/>
            </w:r>
            <w:r>
              <w:rPr>
                <w:webHidden/>
              </w:rPr>
              <w:instrText xml:space="preserve"> PAGEREF _Toc221525231 \h </w:instrText>
            </w:r>
            <w:r>
              <w:rPr>
                <w:webHidden/>
              </w:rPr>
            </w:r>
            <w:r>
              <w:rPr>
                <w:webHidden/>
              </w:rPr>
              <w:fldChar w:fldCharType="separate"/>
            </w:r>
            <w:r w:rsidR="00313A05">
              <w:rPr>
                <w:webHidden/>
              </w:rPr>
              <w:t>336</w:t>
            </w:r>
            <w:r>
              <w:rPr>
                <w:webHidden/>
              </w:rPr>
              <w:fldChar w:fldCharType="end"/>
            </w:r>
          </w:hyperlink>
        </w:p>
        <w:p w14:paraId="26C579FE" w14:textId="516E033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2" w:history="1">
            <w:r w:rsidRPr="003A1D65">
              <w:rPr>
                <w:rStyle w:val="Hyperlink"/>
              </w:rPr>
              <w:t>11.1 Age Discrimination—Disparate Treatment—Elements and Burden of Proof</w:t>
            </w:r>
            <w:r>
              <w:rPr>
                <w:webHidden/>
              </w:rPr>
              <w:tab/>
            </w:r>
            <w:r>
              <w:rPr>
                <w:webHidden/>
              </w:rPr>
              <w:fldChar w:fldCharType="begin"/>
            </w:r>
            <w:r>
              <w:rPr>
                <w:webHidden/>
              </w:rPr>
              <w:instrText xml:space="preserve"> PAGEREF _Toc221525232 \h </w:instrText>
            </w:r>
            <w:r>
              <w:rPr>
                <w:webHidden/>
              </w:rPr>
            </w:r>
            <w:r>
              <w:rPr>
                <w:webHidden/>
              </w:rPr>
              <w:fldChar w:fldCharType="separate"/>
            </w:r>
            <w:r w:rsidR="00313A05">
              <w:rPr>
                <w:webHidden/>
              </w:rPr>
              <w:t>339</w:t>
            </w:r>
            <w:r>
              <w:rPr>
                <w:webHidden/>
              </w:rPr>
              <w:fldChar w:fldCharType="end"/>
            </w:r>
          </w:hyperlink>
        </w:p>
        <w:p w14:paraId="00E5D620" w14:textId="1C7B62F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3" w:history="1">
            <w:r w:rsidRPr="003A1D65">
              <w:rPr>
                <w:rStyle w:val="Hyperlink"/>
              </w:rPr>
              <w:t>11.2 Age Discrimination—Hostile Work Environment</w:t>
            </w:r>
            <w:r>
              <w:rPr>
                <w:webHidden/>
              </w:rPr>
              <w:tab/>
            </w:r>
            <w:r>
              <w:rPr>
                <w:webHidden/>
              </w:rPr>
              <w:fldChar w:fldCharType="begin"/>
            </w:r>
            <w:r>
              <w:rPr>
                <w:webHidden/>
              </w:rPr>
              <w:instrText xml:space="preserve"> PAGEREF _Toc221525233 \h </w:instrText>
            </w:r>
            <w:r>
              <w:rPr>
                <w:webHidden/>
              </w:rPr>
            </w:r>
            <w:r>
              <w:rPr>
                <w:webHidden/>
              </w:rPr>
              <w:fldChar w:fldCharType="separate"/>
            </w:r>
            <w:r w:rsidR="00313A05">
              <w:rPr>
                <w:webHidden/>
              </w:rPr>
              <w:t>341</w:t>
            </w:r>
            <w:r>
              <w:rPr>
                <w:webHidden/>
              </w:rPr>
              <w:fldChar w:fldCharType="end"/>
            </w:r>
          </w:hyperlink>
        </w:p>
        <w:p w14:paraId="0C543CBB" w14:textId="72089DA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4" w:history="1">
            <w:r w:rsidRPr="003A1D65">
              <w:rPr>
                <w:rStyle w:val="Hyperlink"/>
              </w:rPr>
              <w:t>11.3 Age Discrimination—Retaliation</w:t>
            </w:r>
            <w:r>
              <w:rPr>
                <w:webHidden/>
              </w:rPr>
              <w:tab/>
            </w:r>
            <w:r>
              <w:rPr>
                <w:webHidden/>
              </w:rPr>
              <w:fldChar w:fldCharType="begin"/>
            </w:r>
            <w:r>
              <w:rPr>
                <w:webHidden/>
              </w:rPr>
              <w:instrText xml:space="preserve"> PAGEREF _Toc221525234 \h </w:instrText>
            </w:r>
            <w:r>
              <w:rPr>
                <w:webHidden/>
              </w:rPr>
            </w:r>
            <w:r>
              <w:rPr>
                <w:webHidden/>
              </w:rPr>
              <w:fldChar w:fldCharType="separate"/>
            </w:r>
            <w:r w:rsidR="00313A05">
              <w:rPr>
                <w:webHidden/>
              </w:rPr>
              <w:t>342</w:t>
            </w:r>
            <w:r>
              <w:rPr>
                <w:webHidden/>
              </w:rPr>
              <w:fldChar w:fldCharType="end"/>
            </w:r>
          </w:hyperlink>
        </w:p>
        <w:p w14:paraId="16AA80C5" w14:textId="32D091F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5" w:history="1">
            <w:r w:rsidRPr="003A1D65">
              <w:rPr>
                <w:rStyle w:val="Hyperlink"/>
              </w:rPr>
              <w:t>11.4 Age Discrimination—Disparate Impact—Elements</w:t>
            </w:r>
            <w:r>
              <w:rPr>
                <w:webHidden/>
              </w:rPr>
              <w:tab/>
            </w:r>
            <w:r>
              <w:rPr>
                <w:webHidden/>
              </w:rPr>
              <w:fldChar w:fldCharType="begin"/>
            </w:r>
            <w:r>
              <w:rPr>
                <w:webHidden/>
              </w:rPr>
              <w:instrText xml:space="preserve"> PAGEREF _Toc221525235 \h </w:instrText>
            </w:r>
            <w:r>
              <w:rPr>
                <w:webHidden/>
              </w:rPr>
            </w:r>
            <w:r>
              <w:rPr>
                <w:webHidden/>
              </w:rPr>
              <w:fldChar w:fldCharType="separate"/>
            </w:r>
            <w:r w:rsidR="00313A05">
              <w:rPr>
                <w:webHidden/>
              </w:rPr>
              <w:t>343</w:t>
            </w:r>
            <w:r>
              <w:rPr>
                <w:webHidden/>
              </w:rPr>
              <w:fldChar w:fldCharType="end"/>
            </w:r>
          </w:hyperlink>
        </w:p>
        <w:p w14:paraId="261AB257" w14:textId="04763F9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6" w:history="1">
            <w:r w:rsidRPr="003A1D65">
              <w:rPr>
                <w:rStyle w:val="Hyperlink"/>
              </w:rPr>
              <w:t>11.5 Age Discrimination—Definition of Common Terms</w:t>
            </w:r>
            <w:r>
              <w:rPr>
                <w:webHidden/>
              </w:rPr>
              <w:tab/>
            </w:r>
            <w:r>
              <w:rPr>
                <w:webHidden/>
              </w:rPr>
              <w:fldChar w:fldCharType="begin"/>
            </w:r>
            <w:r>
              <w:rPr>
                <w:webHidden/>
              </w:rPr>
              <w:instrText xml:space="preserve"> PAGEREF _Toc221525236 \h </w:instrText>
            </w:r>
            <w:r>
              <w:rPr>
                <w:webHidden/>
              </w:rPr>
            </w:r>
            <w:r>
              <w:rPr>
                <w:webHidden/>
              </w:rPr>
              <w:fldChar w:fldCharType="separate"/>
            </w:r>
            <w:r w:rsidR="00313A05">
              <w:rPr>
                <w:webHidden/>
              </w:rPr>
              <w:t>345</w:t>
            </w:r>
            <w:r>
              <w:rPr>
                <w:webHidden/>
              </w:rPr>
              <w:fldChar w:fldCharType="end"/>
            </w:r>
          </w:hyperlink>
        </w:p>
        <w:p w14:paraId="6938683E" w14:textId="213C43C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7" w:history="1">
            <w:r w:rsidRPr="003A1D65">
              <w:rPr>
                <w:rStyle w:val="Hyperlink"/>
              </w:rPr>
              <w:t>11.6 Age Discrimination—Defenses</w:t>
            </w:r>
            <w:r>
              <w:rPr>
                <w:webHidden/>
              </w:rPr>
              <w:tab/>
            </w:r>
            <w:r>
              <w:rPr>
                <w:webHidden/>
              </w:rPr>
              <w:fldChar w:fldCharType="begin"/>
            </w:r>
            <w:r>
              <w:rPr>
                <w:webHidden/>
              </w:rPr>
              <w:instrText xml:space="preserve"> PAGEREF _Toc221525237 \h </w:instrText>
            </w:r>
            <w:r>
              <w:rPr>
                <w:webHidden/>
              </w:rPr>
            </w:r>
            <w:r>
              <w:rPr>
                <w:webHidden/>
              </w:rPr>
              <w:fldChar w:fldCharType="separate"/>
            </w:r>
            <w:r w:rsidR="00313A05">
              <w:rPr>
                <w:webHidden/>
              </w:rPr>
              <w:t>346</w:t>
            </w:r>
            <w:r>
              <w:rPr>
                <w:webHidden/>
              </w:rPr>
              <w:fldChar w:fldCharType="end"/>
            </w:r>
          </w:hyperlink>
        </w:p>
        <w:p w14:paraId="3403F04C" w14:textId="51C5959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8" w:history="1">
            <w:r w:rsidRPr="003A1D65">
              <w:rPr>
                <w:rStyle w:val="Hyperlink"/>
              </w:rPr>
              <w:t>11.7 Age Discrimination—Defenses—Bona Fide Occupational Qualification</w:t>
            </w:r>
            <w:r>
              <w:rPr>
                <w:webHidden/>
              </w:rPr>
              <w:tab/>
            </w:r>
            <w:r>
              <w:rPr>
                <w:webHidden/>
              </w:rPr>
              <w:fldChar w:fldCharType="begin"/>
            </w:r>
            <w:r>
              <w:rPr>
                <w:webHidden/>
              </w:rPr>
              <w:instrText xml:space="preserve"> PAGEREF _Toc221525238 \h </w:instrText>
            </w:r>
            <w:r>
              <w:rPr>
                <w:webHidden/>
              </w:rPr>
            </w:r>
            <w:r>
              <w:rPr>
                <w:webHidden/>
              </w:rPr>
              <w:fldChar w:fldCharType="separate"/>
            </w:r>
            <w:r w:rsidR="00313A05">
              <w:rPr>
                <w:webHidden/>
              </w:rPr>
              <w:t>347</w:t>
            </w:r>
            <w:r>
              <w:rPr>
                <w:webHidden/>
              </w:rPr>
              <w:fldChar w:fldCharType="end"/>
            </w:r>
          </w:hyperlink>
        </w:p>
        <w:p w14:paraId="162666A2" w14:textId="68D6616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9" w:history="1">
            <w:r w:rsidRPr="003A1D65">
              <w:rPr>
                <w:rStyle w:val="Hyperlink"/>
              </w:rPr>
              <w:t>11.8 Age Discrimination—Defenses—Bona Fide Seniority System</w:t>
            </w:r>
            <w:r>
              <w:rPr>
                <w:webHidden/>
              </w:rPr>
              <w:tab/>
            </w:r>
            <w:r>
              <w:rPr>
                <w:webHidden/>
              </w:rPr>
              <w:fldChar w:fldCharType="begin"/>
            </w:r>
            <w:r>
              <w:rPr>
                <w:webHidden/>
              </w:rPr>
              <w:instrText xml:space="preserve"> PAGEREF _Toc221525239 \h </w:instrText>
            </w:r>
            <w:r>
              <w:rPr>
                <w:webHidden/>
              </w:rPr>
            </w:r>
            <w:r>
              <w:rPr>
                <w:webHidden/>
              </w:rPr>
              <w:fldChar w:fldCharType="separate"/>
            </w:r>
            <w:r w:rsidR="00313A05">
              <w:rPr>
                <w:webHidden/>
              </w:rPr>
              <w:t>348</w:t>
            </w:r>
            <w:r>
              <w:rPr>
                <w:webHidden/>
              </w:rPr>
              <w:fldChar w:fldCharType="end"/>
            </w:r>
          </w:hyperlink>
        </w:p>
        <w:p w14:paraId="5A3C1237" w14:textId="0EAF12C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0" w:history="1">
            <w:r w:rsidRPr="003A1D65">
              <w:rPr>
                <w:rStyle w:val="Hyperlink"/>
              </w:rPr>
              <w:t>11.9 Age Discrimination—Defenses—After-Acquired Evidence</w:t>
            </w:r>
            <w:r>
              <w:rPr>
                <w:webHidden/>
              </w:rPr>
              <w:tab/>
            </w:r>
            <w:r>
              <w:rPr>
                <w:webHidden/>
              </w:rPr>
              <w:fldChar w:fldCharType="begin"/>
            </w:r>
            <w:r>
              <w:rPr>
                <w:webHidden/>
              </w:rPr>
              <w:instrText xml:space="preserve"> PAGEREF _Toc221525240 \h </w:instrText>
            </w:r>
            <w:r>
              <w:rPr>
                <w:webHidden/>
              </w:rPr>
            </w:r>
            <w:r>
              <w:rPr>
                <w:webHidden/>
              </w:rPr>
              <w:fldChar w:fldCharType="separate"/>
            </w:r>
            <w:r w:rsidR="00313A05">
              <w:rPr>
                <w:webHidden/>
              </w:rPr>
              <w:t>350</w:t>
            </w:r>
            <w:r>
              <w:rPr>
                <w:webHidden/>
              </w:rPr>
              <w:fldChar w:fldCharType="end"/>
            </w:r>
          </w:hyperlink>
        </w:p>
        <w:p w14:paraId="4D93BF1E" w14:textId="27685E2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1" w:history="1">
            <w:r w:rsidRPr="003A1D65">
              <w:rPr>
                <w:rStyle w:val="Hyperlink"/>
              </w:rPr>
              <w:t>11.10 Age Discrimination—Defenses—Bona Fide Employee Benefit Plan</w:t>
            </w:r>
            <w:r>
              <w:rPr>
                <w:webHidden/>
              </w:rPr>
              <w:tab/>
            </w:r>
            <w:r>
              <w:rPr>
                <w:webHidden/>
              </w:rPr>
              <w:fldChar w:fldCharType="begin"/>
            </w:r>
            <w:r>
              <w:rPr>
                <w:webHidden/>
              </w:rPr>
              <w:instrText xml:space="preserve"> PAGEREF _Toc221525241 \h </w:instrText>
            </w:r>
            <w:r>
              <w:rPr>
                <w:webHidden/>
              </w:rPr>
            </w:r>
            <w:r>
              <w:rPr>
                <w:webHidden/>
              </w:rPr>
              <w:fldChar w:fldCharType="separate"/>
            </w:r>
            <w:r w:rsidR="00313A05">
              <w:rPr>
                <w:webHidden/>
              </w:rPr>
              <w:t>351</w:t>
            </w:r>
            <w:r>
              <w:rPr>
                <w:webHidden/>
              </w:rPr>
              <w:fldChar w:fldCharType="end"/>
            </w:r>
          </w:hyperlink>
        </w:p>
        <w:p w14:paraId="3817B465" w14:textId="509D45C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2" w:history="1">
            <w:r w:rsidRPr="003A1D65">
              <w:rPr>
                <w:rStyle w:val="Hyperlink"/>
              </w:rPr>
              <w:t>11.11 Age Discrimination—Defenses—Reasonable Factor Other Than Age</w:t>
            </w:r>
            <w:r>
              <w:rPr>
                <w:webHidden/>
              </w:rPr>
              <w:tab/>
            </w:r>
            <w:r>
              <w:rPr>
                <w:webHidden/>
              </w:rPr>
              <w:fldChar w:fldCharType="begin"/>
            </w:r>
            <w:r>
              <w:rPr>
                <w:webHidden/>
              </w:rPr>
              <w:instrText xml:space="preserve"> PAGEREF _Toc221525242 \h </w:instrText>
            </w:r>
            <w:r>
              <w:rPr>
                <w:webHidden/>
              </w:rPr>
            </w:r>
            <w:r>
              <w:rPr>
                <w:webHidden/>
              </w:rPr>
              <w:fldChar w:fldCharType="separate"/>
            </w:r>
            <w:r w:rsidR="00313A05">
              <w:rPr>
                <w:webHidden/>
              </w:rPr>
              <w:t>354</w:t>
            </w:r>
            <w:r>
              <w:rPr>
                <w:webHidden/>
              </w:rPr>
              <w:fldChar w:fldCharType="end"/>
            </w:r>
          </w:hyperlink>
        </w:p>
        <w:p w14:paraId="00706003" w14:textId="462071C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3" w:history="1">
            <w:r w:rsidRPr="003A1D65">
              <w:rPr>
                <w:rStyle w:val="Hyperlink"/>
              </w:rPr>
              <w:t>11.12 Age Discrimination—Damages</w:t>
            </w:r>
            <w:r>
              <w:rPr>
                <w:webHidden/>
              </w:rPr>
              <w:tab/>
            </w:r>
            <w:r>
              <w:rPr>
                <w:webHidden/>
              </w:rPr>
              <w:fldChar w:fldCharType="begin"/>
            </w:r>
            <w:r>
              <w:rPr>
                <w:webHidden/>
              </w:rPr>
              <w:instrText xml:space="preserve"> PAGEREF _Toc221525243 \h </w:instrText>
            </w:r>
            <w:r>
              <w:rPr>
                <w:webHidden/>
              </w:rPr>
            </w:r>
            <w:r>
              <w:rPr>
                <w:webHidden/>
              </w:rPr>
              <w:fldChar w:fldCharType="separate"/>
            </w:r>
            <w:r w:rsidR="00313A05">
              <w:rPr>
                <w:webHidden/>
              </w:rPr>
              <w:t>356</w:t>
            </w:r>
            <w:r>
              <w:rPr>
                <w:webHidden/>
              </w:rPr>
              <w:fldChar w:fldCharType="end"/>
            </w:r>
          </w:hyperlink>
        </w:p>
        <w:p w14:paraId="721FF3FB" w14:textId="18FE160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4" w:history="1">
            <w:r w:rsidRPr="003A1D65">
              <w:rPr>
                <w:rStyle w:val="Hyperlink"/>
              </w:rPr>
              <w:t>11.13 Age Discrimination—Damages—Back Pay—Mitigation</w:t>
            </w:r>
            <w:r>
              <w:rPr>
                <w:webHidden/>
              </w:rPr>
              <w:tab/>
            </w:r>
            <w:r>
              <w:rPr>
                <w:webHidden/>
              </w:rPr>
              <w:fldChar w:fldCharType="begin"/>
            </w:r>
            <w:r>
              <w:rPr>
                <w:webHidden/>
              </w:rPr>
              <w:instrText xml:space="preserve"> PAGEREF _Toc221525244 \h </w:instrText>
            </w:r>
            <w:r>
              <w:rPr>
                <w:webHidden/>
              </w:rPr>
            </w:r>
            <w:r>
              <w:rPr>
                <w:webHidden/>
              </w:rPr>
              <w:fldChar w:fldCharType="separate"/>
            </w:r>
            <w:r w:rsidR="00313A05">
              <w:rPr>
                <w:webHidden/>
              </w:rPr>
              <w:t>357</w:t>
            </w:r>
            <w:r>
              <w:rPr>
                <w:webHidden/>
              </w:rPr>
              <w:fldChar w:fldCharType="end"/>
            </w:r>
          </w:hyperlink>
        </w:p>
        <w:p w14:paraId="4EDFDA6C" w14:textId="7F4FBA9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5" w:history="1">
            <w:r w:rsidRPr="003A1D65">
              <w:rPr>
                <w:rStyle w:val="Hyperlink"/>
              </w:rPr>
              <w:t>11.14 Age Discrimination—Damages—Willful Discrimination—Liquidated Damages</w:t>
            </w:r>
            <w:r>
              <w:rPr>
                <w:webHidden/>
              </w:rPr>
              <w:tab/>
            </w:r>
            <w:r>
              <w:rPr>
                <w:webHidden/>
              </w:rPr>
              <w:fldChar w:fldCharType="begin"/>
            </w:r>
            <w:r>
              <w:rPr>
                <w:webHidden/>
              </w:rPr>
              <w:instrText xml:space="preserve"> PAGEREF _Toc221525245 \h </w:instrText>
            </w:r>
            <w:r>
              <w:rPr>
                <w:webHidden/>
              </w:rPr>
            </w:r>
            <w:r>
              <w:rPr>
                <w:webHidden/>
              </w:rPr>
              <w:fldChar w:fldCharType="separate"/>
            </w:r>
            <w:r w:rsidR="00313A05">
              <w:rPr>
                <w:webHidden/>
              </w:rPr>
              <w:t>360</w:t>
            </w:r>
            <w:r>
              <w:rPr>
                <w:webHidden/>
              </w:rPr>
              <w:fldChar w:fldCharType="end"/>
            </w:r>
          </w:hyperlink>
        </w:p>
        <w:p w14:paraId="7CCB385F" w14:textId="3C76496C" w:rsidR="0068478E" w:rsidRDefault="0068478E">
          <w:pPr>
            <w:pStyle w:val="TOC1"/>
            <w:rPr>
              <w:rFonts w:asciiTheme="minorHAnsi" w:eastAsiaTheme="minorEastAsia" w:hAnsiTheme="minorHAnsi"/>
              <w:noProof/>
              <w:kern w:val="2"/>
              <w:szCs w:val="24"/>
              <w14:ligatures w14:val="standardContextual"/>
            </w:rPr>
          </w:pPr>
          <w:hyperlink w:anchor="_Toc221525246" w:history="1">
            <w:r w:rsidRPr="003A1D65">
              <w:rPr>
                <w:rStyle w:val="Hyperlink"/>
                <w:noProof/>
              </w:rPr>
              <w:t>12. AMERICANS WITH DISABILITIES ACT</w:t>
            </w:r>
            <w:r>
              <w:rPr>
                <w:noProof/>
                <w:webHidden/>
              </w:rPr>
              <w:tab/>
            </w:r>
            <w:r>
              <w:rPr>
                <w:noProof/>
                <w:webHidden/>
              </w:rPr>
              <w:fldChar w:fldCharType="begin"/>
            </w:r>
            <w:r>
              <w:rPr>
                <w:noProof/>
                <w:webHidden/>
              </w:rPr>
              <w:instrText xml:space="preserve"> PAGEREF _Toc221525246 \h </w:instrText>
            </w:r>
            <w:r>
              <w:rPr>
                <w:noProof/>
                <w:webHidden/>
              </w:rPr>
            </w:r>
            <w:r>
              <w:rPr>
                <w:noProof/>
                <w:webHidden/>
              </w:rPr>
              <w:fldChar w:fldCharType="separate"/>
            </w:r>
            <w:r w:rsidR="00313A05">
              <w:rPr>
                <w:noProof/>
                <w:webHidden/>
              </w:rPr>
              <w:t>361</w:t>
            </w:r>
            <w:r>
              <w:rPr>
                <w:noProof/>
                <w:webHidden/>
              </w:rPr>
              <w:fldChar w:fldCharType="end"/>
            </w:r>
          </w:hyperlink>
        </w:p>
        <w:p w14:paraId="1B3E9E3C" w14:textId="4345C5C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7" w:history="1">
            <w:r w:rsidRPr="003A1D65">
              <w:rPr>
                <w:rStyle w:val="Hyperlink"/>
              </w:rPr>
              <w:t>Introductory Comment</w:t>
            </w:r>
            <w:r>
              <w:rPr>
                <w:webHidden/>
              </w:rPr>
              <w:tab/>
            </w:r>
            <w:r>
              <w:rPr>
                <w:webHidden/>
              </w:rPr>
              <w:fldChar w:fldCharType="begin"/>
            </w:r>
            <w:r>
              <w:rPr>
                <w:webHidden/>
              </w:rPr>
              <w:instrText xml:space="preserve"> PAGEREF _Toc221525247 \h </w:instrText>
            </w:r>
            <w:r>
              <w:rPr>
                <w:webHidden/>
              </w:rPr>
            </w:r>
            <w:r>
              <w:rPr>
                <w:webHidden/>
              </w:rPr>
              <w:fldChar w:fldCharType="separate"/>
            </w:r>
            <w:r w:rsidR="00313A05">
              <w:rPr>
                <w:webHidden/>
              </w:rPr>
              <w:t>362</w:t>
            </w:r>
            <w:r>
              <w:rPr>
                <w:webHidden/>
              </w:rPr>
              <w:fldChar w:fldCharType="end"/>
            </w:r>
          </w:hyperlink>
        </w:p>
        <w:p w14:paraId="4C4911E1" w14:textId="014A8CB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48" w:history="1">
            <w:r w:rsidRPr="0068478E">
              <w:rPr>
                <w:rStyle w:val="Hyperlink"/>
              </w:rPr>
              <w:t>12.1 ADA Employment Actions—Actual Disability—Elements</w:t>
            </w:r>
            <w:r w:rsidRPr="0068478E">
              <w:rPr>
                <w:webHidden/>
              </w:rPr>
              <w:tab/>
            </w:r>
            <w:r w:rsidRPr="0068478E">
              <w:rPr>
                <w:webHidden/>
              </w:rPr>
              <w:fldChar w:fldCharType="begin"/>
            </w:r>
            <w:r w:rsidRPr="0068478E">
              <w:rPr>
                <w:webHidden/>
              </w:rPr>
              <w:instrText xml:space="preserve"> PAGEREF _Toc221525248 \h </w:instrText>
            </w:r>
            <w:r w:rsidRPr="0068478E">
              <w:rPr>
                <w:webHidden/>
              </w:rPr>
            </w:r>
            <w:r w:rsidRPr="0068478E">
              <w:rPr>
                <w:webHidden/>
              </w:rPr>
              <w:fldChar w:fldCharType="separate"/>
            </w:r>
            <w:r w:rsidR="00313A05">
              <w:rPr>
                <w:webHidden/>
              </w:rPr>
              <w:t>365</w:t>
            </w:r>
            <w:r w:rsidRPr="0068478E">
              <w:rPr>
                <w:webHidden/>
              </w:rPr>
              <w:fldChar w:fldCharType="end"/>
            </w:r>
          </w:hyperlink>
        </w:p>
        <w:p w14:paraId="2A3FB36A" w14:textId="656319F7"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49" w:history="1">
            <w:r w:rsidRPr="0068478E">
              <w:rPr>
                <w:rStyle w:val="Hyperlink"/>
              </w:rPr>
              <w:t>12.2 ADA Employment Actions—Record of Disability—Elements</w:t>
            </w:r>
            <w:r w:rsidRPr="0068478E">
              <w:rPr>
                <w:webHidden/>
              </w:rPr>
              <w:tab/>
            </w:r>
            <w:r w:rsidRPr="0068478E">
              <w:rPr>
                <w:webHidden/>
              </w:rPr>
              <w:fldChar w:fldCharType="begin"/>
            </w:r>
            <w:r w:rsidRPr="0068478E">
              <w:rPr>
                <w:webHidden/>
              </w:rPr>
              <w:instrText xml:space="preserve"> PAGEREF _Toc221525249 \h </w:instrText>
            </w:r>
            <w:r w:rsidRPr="0068478E">
              <w:rPr>
                <w:webHidden/>
              </w:rPr>
            </w:r>
            <w:r w:rsidRPr="0068478E">
              <w:rPr>
                <w:webHidden/>
              </w:rPr>
              <w:fldChar w:fldCharType="separate"/>
            </w:r>
            <w:r w:rsidR="00313A05">
              <w:rPr>
                <w:webHidden/>
              </w:rPr>
              <w:t>368</w:t>
            </w:r>
            <w:r w:rsidRPr="0068478E">
              <w:rPr>
                <w:webHidden/>
              </w:rPr>
              <w:fldChar w:fldCharType="end"/>
            </w:r>
          </w:hyperlink>
        </w:p>
        <w:p w14:paraId="68D2B8B4" w14:textId="6D263DF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0" w:history="1">
            <w:r w:rsidRPr="0068478E">
              <w:rPr>
                <w:rStyle w:val="Hyperlink"/>
              </w:rPr>
              <w:t>12.3 ADA Employment Actions—Regarded as Disability—Elements</w:t>
            </w:r>
            <w:r w:rsidRPr="0068478E">
              <w:rPr>
                <w:webHidden/>
              </w:rPr>
              <w:tab/>
            </w:r>
            <w:r w:rsidRPr="0068478E">
              <w:rPr>
                <w:webHidden/>
              </w:rPr>
              <w:fldChar w:fldCharType="begin"/>
            </w:r>
            <w:r w:rsidRPr="0068478E">
              <w:rPr>
                <w:webHidden/>
              </w:rPr>
              <w:instrText xml:space="preserve"> PAGEREF _Toc221525250 \h </w:instrText>
            </w:r>
            <w:r w:rsidRPr="0068478E">
              <w:rPr>
                <w:webHidden/>
              </w:rPr>
            </w:r>
            <w:r w:rsidRPr="0068478E">
              <w:rPr>
                <w:webHidden/>
              </w:rPr>
              <w:fldChar w:fldCharType="separate"/>
            </w:r>
            <w:r w:rsidR="00313A05">
              <w:rPr>
                <w:webHidden/>
              </w:rPr>
              <w:t>369</w:t>
            </w:r>
            <w:r w:rsidRPr="0068478E">
              <w:rPr>
                <w:webHidden/>
              </w:rPr>
              <w:fldChar w:fldCharType="end"/>
            </w:r>
          </w:hyperlink>
        </w:p>
        <w:p w14:paraId="7704D15D" w14:textId="379904F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1" w:history="1">
            <w:r w:rsidRPr="0068478E">
              <w:rPr>
                <w:rStyle w:val="Hyperlink"/>
                <w:highlight w:val="white"/>
              </w:rPr>
              <w:t xml:space="preserve">12.4 </w:t>
            </w:r>
            <w:r w:rsidRPr="0068478E">
              <w:rPr>
                <w:rStyle w:val="Hyperlink"/>
              </w:rPr>
              <w:t>ADA—Physical or Mental Impairment</w:t>
            </w:r>
            <w:r w:rsidRPr="0068478E">
              <w:rPr>
                <w:webHidden/>
              </w:rPr>
              <w:tab/>
            </w:r>
            <w:r w:rsidRPr="0068478E">
              <w:rPr>
                <w:webHidden/>
              </w:rPr>
              <w:fldChar w:fldCharType="begin"/>
            </w:r>
            <w:r w:rsidRPr="0068478E">
              <w:rPr>
                <w:webHidden/>
              </w:rPr>
              <w:instrText xml:space="preserve"> PAGEREF _Toc221525251 \h </w:instrText>
            </w:r>
            <w:r w:rsidRPr="0068478E">
              <w:rPr>
                <w:webHidden/>
              </w:rPr>
            </w:r>
            <w:r w:rsidRPr="0068478E">
              <w:rPr>
                <w:webHidden/>
              </w:rPr>
              <w:fldChar w:fldCharType="separate"/>
            </w:r>
            <w:r w:rsidR="00313A05">
              <w:rPr>
                <w:webHidden/>
              </w:rPr>
              <w:t>370</w:t>
            </w:r>
            <w:r w:rsidRPr="0068478E">
              <w:rPr>
                <w:webHidden/>
              </w:rPr>
              <w:fldChar w:fldCharType="end"/>
            </w:r>
          </w:hyperlink>
        </w:p>
        <w:p w14:paraId="0EE0E648" w14:textId="3E95C72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2" w:history="1">
            <w:r w:rsidRPr="0068478E">
              <w:rPr>
                <w:rStyle w:val="Hyperlink"/>
              </w:rPr>
              <w:t>12.5 ADA—Work as a Major Life Activity</w:t>
            </w:r>
            <w:r w:rsidRPr="0068478E">
              <w:rPr>
                <w:webHidden/>
              </w:rPr>
              <w:tab/>
            </w:r>
            <w:r w:rsidRPr="0068478E">
              <w:rPr>
                <w:webHidden/>
              </w:rPr>
              <w:fldChar w:fldCharType="begin"/>
            </w:r>
            <w:r w:rsidRPr="0068478E">
              <w:rPr>
                <w:webHidden/>
              </w:rPr>
              <w:instrText xml:space="preserve"> PAGEREF _Toc221525252 \h </w:instrText>
            </w:r>
            <w:r w:rsidRPr="0068478E">
              <w:rPr>
                <w:webHidden/>
              </w:rPr>
            </w:r>
            <w:r w:rsidRPr="0068478E">
              <w:rPr>
                <w:webHidden/>
              </w:rPr>
              <w:fldChar w:fldCharType="separate"/>
            </w:r>
            <w:r w:rsidR="00313A05">
              <w:rPr>
                <w:webHidden/>
              </w:rPr>
              <w:t>371</w:t>
            </w:r>
            <w:r w:rsidRPr="0068478E">
              <w:rPr>
                <w:webHidden/>
              </w:rPr>
              <w:fldChar w:fldCharType="end"/>
            </w:r>
          </w:hyperlink>
        </w:p>
        <w:p w14:paraId="64EF179E" w14:textId="77D4104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3" w:history="1">
            <w:r w:rsidRPr="0068478E">
              <w:rPr>
                <w:rStyle w:val="Hyperlink"/>
              </w:rPr>
              <w:t>12.6 ADA—Interacting with Others as Major Life Activity</w:t>
            </w:r>
            <w:r w:rsidRPr="0068478E">
              <w:rPr>
                <w:webHidden/>
              </w:rPr>
              <w:tab/>
            </w:r>
            <w:r w:rsidRPr="0068478E">
              <w:rPr>
                <w:webHidden/>
              </w:rPr>
              <w:fldChar w:fldCharType="begin"/>
            </w:r>
            <w:r w:rsidRPr="0068478E">
              <w:rPr>
                <w:webHidden/>
              </w:rPr>
              <w:instrText xml:space="preserve"> PAGEREF _Toc221525253 \h </w:instrText>
            </w:r>
            <w:r w:rsidRPr="0068478E">
              <w:rPr>
                <w:webHidden/>
              </w:rPr>
            </w:r>
            <w:r w:rsidRPr="0068478E">
              <w:rPr>
                <w:webHidden/>
              </w:rPr>
              <w:fldChar w:fldCharType="separate"/>
            </w:r>
            <w:r w:rsidR="00313A05">
              <w:rPr>
                <w:webHidden/>
              </w:rPr>
              <w:t>372</w:t>
            </w:r>
            <w:r w:rsidRPr="0068478E">
              <w:rPr>
                <w:webHidden/>
              </w:rPr>
              <w:fldChar w:fldCharType="end"/>
            </w:r>
          </w:hyperlink>
        </w:p>
        <w:p w14:paraId="436A02D5" w14:textId="06AB425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4" w:history="1">
            <w:r w:rsidRPr="0068478E">
              <w:rPr>
                <w:rStyle w:val="Hyperlink"/>
              </w:rPr>
              <w:t>12.7 ADA—Qualified Individual</w:t>
            </w:r>
            <w:r w:rsidRPr="0068478E">
              <w:rPr>
                <w:webHidden/>
              </w:rPr>
              <w:tab/>
            </w:r>
            <w:r w:rsidRPr="0068478E">
              <w:rPr>
                <w:webHidden/>
              </w:rPr>
              <w:fldChar w:fldCharType="begin"/>
            </w:r>
            <w:r w:rsidRPr="0068478E">
              <w:rPr>
                <w:webHidden/>
              </w:rPr>
              <w:instrText xml:space="preserve"> PAGEREF _Toc221525254 \h </w:instrText>
            </w:r>
            <w:r w:rsidRPr="0068478E">
              <w:rPr>
                <w:webHidden/>
              </w:rPr>
            </w:r>
            <w:r w:rsidRPr="0068478E">
              <w:rPr>
                <w:webHidden/>
              </w:rPr>
              <w:fldChar w:fldCharType="separate"/>
            </w:r>
            <w:r w:rsidR="00313A05">
              <w:rPr>
                <w:webHidden/>
              </w:rPr>
              <w:t>373</w:t>
            </w:r>
            <w:r w:rsidRPr="0068478E">
              <w:rPr>
                <w:webHidden/>
              </w:rPr>
              <w:fldChar w:fldCharType="end"/>
            </w:r>
          </w:hyperlink>
        </w:p>
        <w:p w14:paraId="54FB7793" w14:textId="5FD6CC3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5" w:history="1">
            <w:r w:rsidRPr="0068478E">
              <w:rPr>
                <w:rStyle w:val="Hyperlink"/>
              </w:rPr>
              <w:t>12.8 ADA—Ability to Perform Essential Functions—Factors</w:t>
            </w:r>
            <w:r w:rsidRPr="0068478E">
              <w:rPr>
                <w:webHidden/>
              </w:rPr>
              <w:tab/>
            </w:r>
            <w:r w:rsidRPr="0068478E">
              <w:rPr>
                <w:webHidden/>
              </w:rPr>
              <w:fldChar w:fldCharType="begin"/>
            </w:r>
            <w:r w:rsidRPr="0068478E">
              <w:rPr>
                <w:webHidden/>
              </w:rPr>
              <w:instrText xml:space="preserve"> PAGEREF _Toc221525255 \h </w:instrText>
            </w:r>
            <w:r w:rsidRPr="0068478E">
              <w:rPr>
                <w:webHidden/>
              </w:rPr>
            </w:r>
            <w:r w:rsidRPr="0068478E">
              <w:rPr>
                <w:webHidden/>
              </w:rPr>
              <w:fldChar w:fldCharType="separate"/>
            </w:r>
            <w:r w:rsidR="00313A05">
              <w:rPr>
                <w:webHidden/>
              </w:rPr>
              <w:t>375</w:t>
            </w:r>
            <w:r w:rsidRPr="0068478E">
              <w:rPr>
                <w:webHidden/>
              </w:rPr>
              <w:fldChar w:fldCharType="end"/>
            </w:r>
          </w:hyperlink>
        </w:p>
        <w:p w14:paraId="4E272635" w14:textId="5283E4D4"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6" w:history="1">
            <w:r w:rsidRPr="0068478E">
              <w:rPr>
                <w:rStyle w:val="Hyperlink"/>
              </w:rPr>
              <w:t>12.9 ADA—Reasonable Accommodation</w:t>
            </w:r>
            <w:r w:rsidRPr="0068478E">
              <w:rPr>
                <w:webHidden/>
              </w:rPr>
              <w:tab/>
            </w:r>
            <w:r w:rsidRPr="0068478E">
              <w:rPr>
                <w:webHidden/>
              </w:rPr>
              <w:fldChar w:fldCharType="begin"/>
            </w:r>
            <w:r w:rsidRPr="0068478E">
              <w:rPr>
                <w:webHidden/>
              </w:rPr>
              <w:instrText xml:space="preserve"> PAGEREF _Toc221525256 \h </w:instrText>
            </w:r>
            <w:r w:rsidRPr="0068478E">
              <w:rPr>
                <w:webHidden/>
              </w:rPr>
            </w:r>
            <w:r w:rsidRPr="0068478E">
              <w:rPr>
                <w:webHidden/>
              </w:rPr>
              <w:fldChar w:fldCharType="separate"/>
            </w:r>
            <w:r w:rsidR="00313A05">
              <w:rPr>
                <w:webHidden/>
              </w:rPr>
              <w:t>377</w:t>
            </w:r>
            <w:r w:rsidRPr="0068478E">
              <w:rPr>
                <w:webHidden/>
              </w:rPr>
              <w:fldChar w:fldCharType="end"/>
            </w:r>
          </w:hyperlink>
        </w:p>
        <w:p w14:paraId="4EF196FF" w14:textId="337DCF7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7" w:history="1">
            <w:r w:rsidRPr="0068478E">
              <w:rPr>
                <w:rStyle w:val="Hyperlink"/>
              </w:rPr>
              <w:t>12.10 ADA—Defenses—Undue Hardship</w:t>
            </w:r>
            <w:r w:rsidRPr="0068478E">
              <w:rPr>
                <w:webHidden/>
              </w:rPr>
              <w:tab/>
            </w:r>
            <w:r w:rsidRPr="0068478E">
              <w:rPr>
                <w:webHidden/>
              </w:rPr>
              <w:fldChar w:fldCharType="begin"/>
            </w:r>
            <w:r w:rsidRPr="0068478E">
              <w:rPr>
                <w:webHidden/>
              </w:rPr>
              <w:instrText xml:space="preserve"> PAGEREF _Toc221525257 \h </w:instrText>
            </w:r>
            <w:r w:rsidRPr="0068478E">
              <w:rPr>
                <w:webHidden/>
              </w:rPr>
            </w:r>
            <w:r w:rsidRPr="0068478E">
              <w:rPr>
                <w:webHidden/>
              </w:rPr>
              <w:fldChar w:fldCharType="separate"/>
            </w:r>
            <w:r w:rsidR="00313A05">
              <w:rPr>
                <w:webHidden/>
              </w:rPr>
              <w:t>380</w:t>
            </w:r>
            <w:r w:rsidRPr="0068478E">
              <w:rPr>
                <w:webHidden/>
              </w:rPr>
              <w:fldChar w:fldCharType="end"/>
            </w:r>
          </w:hyperlink>
        </w:p>
        <w:p w14:paraId="253A8304" w14:textId="46BAD30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8" w:history="1">
            <w:r w:rsidRPr="0068478E">
              <w:rPr>
                <w:rStyle w:val="Hyperlink"/>
              </w:rPr>
              <w:t>12.11 ADA—Defenses—Business Necessity</w:t>
            </w:r>
            <w:r w:rsidRPr="0068478E">
              <w:rPr>
                <w:webHidden/>
              </w:rPr>
              <w:tab/>
            </w:r>
            <w:r w:rsidRPr="0068478E">
              <w:rPr>
                <w:webHidden/>
              </w:rPr>
              <w:fldChar w:fldCharType="begin"/>
            </w:r>
            <w:r w:rsidRPr="0068478E">
              <w:rPr>
                <w:webHidden/>
              </w:rPr>
              <w:instrText xml:space="preserve"> PAGEREF _Toc221525258 \h </w:instrText>
            </w:r>
            <w:r w:rsidRPr="0068478E">
              <w:rPr>
                <w:webHidden/>
              </w:rPr>
            </w:r>
            <w:r w:rsidRPr="0068478E">
              <w:rPr>
                <w:webHidden/>
              </w:rPr>
              <w:fldChar w:fldCharType="separate"/>
            </w:r>
            <w:r w:rsidR="00313A05">
              <w:rPr>
                <w:webHidden/>
              </w:rPr>
              <w:t>382</w:t>
            </w:r>
            <w:r w:rsidRPr="0068478E">
              <w:rPr>
                <w:webHidden/>
              </w:rPr>
              <w:fldChar w:fldCharType="end"/>
            </w:r>
          </w:hyperlink>
        </w:p>
        <w:p w14:paraId="50C0E3C7" w14:textId="09F9B41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9" w:history="1">
            <w:r w:rsidRPr="0068478E">
              <w:rPr>
                <w:rStyle w:val="Hyperlink"/>
              </w:rPr>
              <w:t>12.12 ADA—Defenses—Direct Threat</w:t>
            </w:r>
            <w:r w:rsidRPr="0068478E">
              <w:rPr>
                <w:webHidden/>
              </w:rPr>
              <w:tab/>
            </w:r>
            <w:r w:rsidRPr="0068478E">
              <w:rPr>
                <w:webHidden/>
              </w:rPr>
              <w:fldChar w:fldCharType="begin"/>
            </w:r>
            <w:r w:rsidRPr="0068478E">
              <w:rPr>
                <w:webHidden/>
              </w:rPr>
              <w:instrText xml:space="preserve"> PAGEREF _Toc221525259 \h </w:instrText>
            </w:r>
            <w:r w:rsidRPr="0068478E">
              <w:rPr>
                <w:webHidden/>
              </w:rPr>
            </w:r>
            <w:r w:rsidRPr="0068478E">
              <w:rPr>
                <w:webHidden/>
              </w:rPr>
              <w:fldChar w:fldCharType="separate"/>
            </w:r>
            <w:r w:rsidR="00313A05">
              <w:rPr>
                <w:webHidden/>
              </w:rPr>
              <w:t>383</w:t>
            </w:r>
            <w:r w:rsidRPr="0068478E">
              <w:rPr>
                <w:webHidden/>
              </w:rPr>
              <w:fldChar w:fldCharType="end"/>
            </w:r>
          </w:hyperlink>
        </w:p>
        <w:p w14:paraId="12EF3365" w14:textId="5744171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60" w:history="1">
            <w:r w:rsidRPr="0068478E">
              <w:rPr>
                <w:rStyle w:val="Hyperlink"/>
              </w:rPr>
              <w:t>12.13 ADA—Defenses—Good Faith in Interactive Process</w:t>
            </w:r>
            <w:r w:rsidRPr="0068478E">
              <w:rPr>
                <w:webHidden/>
              </w:rPr>
              <w:tab/>
            </w:r>
            <w:r w:rsidRPr="0068478E">
              <w:rPr>
                <w:webHidden/>
              </w:rPr>
              <w:fldChar w:fldCharType="begin"/>
            </w:r>
            <w:r w:rsidRPr="0068478E">
              <w:rPr>
                <w:webHidden/>
              </w:rPr>
              <w:instrText xml:space="preserve"> PAGEREF _Toc221525260 \h </w:instrText>
            </w:r>
            <w:r w:rsidRPr="0068478E">
              <w:rPr>
                <w:webHidden/>
              </w:rPr>
            </w:r>
            <w:r w:rsidRPr="0068478E">
              <w:rPr>
                <w:webHidden/>
              </w:rPr>
              <w:fldChar w:fldCharType="separate"/>
            </w:r>
            <w:r w:rsidR="00313A05">
              <w:rPr>
                <w:webHidden/>
              </w:rPr>
              <w:t>385</w:t>
            </w:r>
            <w:r w:rsidRPr="0068478E">
              <w:rPr>
                <w:webHidden/>
              </w:rPr>
              <w:fldChar w:fldCharType="end"/>
            </w:r>
          </w:hyperlink>
        </w:p>
        <w:p w14:paraId="7D9364F5" w14:textId="7CBCDE54"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61" w:history="1">
            <w:r w:rsidRPr="0068478E">
              <w:rPr>
                <w:rStyle w:val="Hyperlink"/>
              </w:rPr>
              <w:t>12.14 ADA—Damages</w:t>
            </w:r>
            <w:r w:rsidRPr="0068478E">
              <w:rPr>
                <w:webHidden/>
              </w:rPr>
              <w:tab/>
            </w:r>
            <w:r w:rsidRPr="0068478E">
              <w:rPr>
                <w:webHidden/>
              </w:rPr>
              <w:fldChar w:fldCharType="begin"/>
            </w:r>
            <w:r w:rsidRPr="0068478E">
              <w:rPr>
                <w:webHidden/>
              </w:rPr>
              <w:instrText xml:space="preserve"> PAGEREF _Toc221525261 \h </w:instrText>
            </w:r>
            <w:r w:rsidRPr="0068478E">
              <w:rPr>
                <w:webHidden/>
              </w:rPr>
            </w:r>
            <w:r w:rsidRPr="0068478E">
              <w:rPr>
                <w:webHidden/>
              </w:rPr>
              <w:fldChar w:fldCharType="separate"/>
            </w:r>
            <w:r w:rsidR="00313A05">
              <w:rPr>
                <w:webHidden/>
              </w:rPr>
              <w:t>386</w:t>
            </w:r>
            <w:r w:rsidRPr="0068478E">
              <w:rPr>
                <w:webHidden/>
              </w:rPr>
              <w:fldChar w:fldCharType="end"/>
            </w:r>
          </w:hyperlink>
        </w:p>
        <w:p w14:paraId="1A94FED8" w14:textId="580364ED" w:rsidR="0068478E" w:rsidRDefault="0068478E">
          <w:pPr>
            <w:pStyle w:val="TOC1"/>
            <w:rPr>
              <w:rFonts w:asciiTheme="minorHAnsi" w:eastAsiaTheme="minorEastAsia" w:hAnsiTheme="minorHAnsi"/>
              <w:noProof/>
              <w:kern w:val="2"/>
              <w:szCs w:val="24"/>
              <w14:ligatures w14:val="standardContextual"/>
            </w:rPr>
          </w:pPr>
          <w:hyperlink w:anchor="_Toc221525262" w:history="1">
            <w:r w:rsidRPr="003A1D65">
              <w:rPr>
                <w:rStyle w:val="Hyperlink"/>
                <w:noProof/>
              </w:rPr>
              <w:t>13. LABOR (INCLUDING FAIR REPRESENTATION)</w:t>
            </w:r>
            <w:r>
              <w:rPr>
                <w:noProof/>
                <w:webHidden/>
              </w:rPr>
              <w:tab/>
            </w:r>
            <w:r>
              <w:rPr>
                <w:noProof/>
                <w:webHidden/>
              </w:rPr>
              <w:fldChar w:fldCharType="begin"/>
            </w:r>
            <w:r>
              <w:rPr>
                <w:noProof/>
                <w:webHidden/>
              </w:rPr>
              <w:instrText xml:space="preserve"> PAGEREF _Toc221525262 \h </w:instrText>
            </w:r>
            <w:r>
              <w:rPr>
                <w:noProof/>
                <w:webHidden/>
              </w:rPr>
            </w:r>
            <w:r>
              <w:rPr>
                <w:noProof/>
                <w:webHidden/>
              </w:rPr>
              <w:fldChar w:fldCharType="separate"/>
            </w:r>
            <w:r w:rsidR="00313A05">
              <w:rPr>
                <w:noProof/>
                <w:webHidden/>
              </w:rPr>
              <w:t>388</w:t>
            </w:r>
            <w:r>
              <w:rPr>
                <w:noProof/>
                <w:webHidden/>
              </w:rPr>
              <w:fldChar w:fldCharType="end"/>
            </w:r>
          </w:hyperlink>
        </w:p>
        <w:p w14:paraId="6101776A" w14:textId="7C8043F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3" w:history="1">
            <w:r w:rsidRPr="003A1D65">
              <w:rPr>
                <w:rStyle w:val="Hyperlink"/>
              </w:rPr>
              <w:t>13.1 Employee Claim Against Union and/or Employer—Labor Management Relations Act (LMRA) § 301 (29 U.S.C. § 185)</w:t>
            </w:r>
            <w:r>
              <w:rPr>
                <w:webHidden/>
              </w:rPr>
              <w:tab/>
            </w:r>
            <w:r>
              <w:rPr>
                <w:webHidden/>
              </w:rPr>
              <w:fldChar w:fldCharType="begin"/>
            </w:r>
            <w:r>
              <w:rPr>
                <w:webHidden/>
              </w:rPr>
              <w:instrText xml:space="preserve"> PAGEREF _Toc221525263 \h </w:instrText>
            </w:r>
            <w:r>
              <w:rPr>
                <w:webHidden/>
              </w:rPr>
            </w:r>
            <w:r>
              <w:rPr>
                <w:webHidden/>
              </w:rPr>
              <w:fldChar w:fldCharType="separate"/>
            </w:r>
            <w:r w:rsidR="00313A05">
              <w:rPr>
                <w:webHidden/>
              </w:rPr>
              <w:t>389</w:t>
            </w:r>
            <w:r>
              <w:rPr>
                <w:webHidden/>
              </w:rPr>
              <w:fldChar w:fldCharType="end"/>
            </w:r>
          </w:hyperlink>
        </w:p>
        <w:p w14:paraId="104EFA46" w14:textId="6957864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4" w:history="1">
            <w:r w:rsidRPr="003A1D65">
              <w:rPr>
                <w:rStyle w:val="Hyperlink"/>
              </w:rPr>
              <w:t>13.2 LMRA § 301—Damages (29 U.S.C. § 185)</w:t>
            </w:r>
            <w:r>
              <w:rPr>
                <w:webHidden/>
              </w:rPr>
              <w:tab/>
            </w:r>
            <w:r>
              <w:rPr>
                <w:webHidden/>
              </w:rPr>
              <w:fldChar w:fldCharType="begin"/>
            </w:r>
            <w:r>
              <w:rPr>
                <w:webHidden/>
              </w:rPr>
              <w:instrText xml:space="preserve"> PAGEREF _Toc221525264 \h </w:instrText>
            </w:r>
            <w:r>
              <w:rPr>
                <w:webHidden/>
              </w:rPr>
            </w:r>
            <w:r>
              <w:rPr>
                <w:webHidden/>
              </w:rPr>
              <w:fldChar w:fldCharType="separate"/>
            </w:r>
            <w:r w:rsidR="00313A05">
              <w:rPr>
                <w:webHidden/>
              </w:rPr>
              <w:t>393</w:t>
            </w:r>
            <w:r>
              <w:rPr>
                <w:webHidden/>
              </w:rPr>
              <w:fldChar w:fldCharType="end"/>
            </w:r>
          </w:hyperlink>
        </w:p>
        <w:p w14:paraId="40E3FDF6" w14:textId="1F651416" w:rsidR="0068478E" w:rsidRDefault="0068478E">
          <w:pPr>
            <w:pStyle w:val="TOC1"/>
            <w:rPr>
              <w:rFonts w:asciiTheme="minorHAnsi" w:eastAsiaTheme="minorEastAsia" w:hAnsiTheme="minorHAnsi"/>
              <w:noProof/>
              <w:kern w:val="2"/>
              <w:szCs w:val="24"/>
              <w14:ligatures w14:val="standardContextual"/>
            </w:rPr>
          </w:pPr>
          <w:hyperlink w:anchor="_Toc221525265" w:history="1">
            <w:r w:rsidRPr="003A1D65">
              <w:rPr>
                <w:rStyle w:val="Hyperlink"/>
                <w:noProof/>
              </w:rPr>
              <w:t>14. ANTITRUST</w:t>
            </w:r>
            <w:r>
              <w:rPr>
                <w:noProof/>
                <w:webHidden/>
              </w:rPr>
              <w:tab/>
            </w:r>
            <w:r>
              <w:rPr>
                <w:noProof/>
                <w:webHidden/>
              </w:rPr>
              <w:fldChar w:fldCharType="begin"/>
            </w:r>
            <w:r>
              <w:rPr>
                <w:noProof/>
                <w:webHidden/>
              </w:rPr>
              <w:instrText xml:space="preserve"> PAGEREF _Toc221525265 \h </w:instrText>
            </w:r>
            <w:r>
              <w:rPr>
                <w:noProof/>
                <w:webHidden/>
              </w:rPr>
            </w:r>
            <w:r>
              <w:rPr>
                <w:noProof/>
                <w:webHidden/>
              </w:rPr>
              <w:fldChar w:fldCharType="separate"/>
            </w:r>
            <w:r w:rsidR="00313A05">
              <w:rPr>
                <w:noProof/>
                <w:webHidden/>
              </w:rPr>
              <w:t>397</w:t>
            </w:r>
            <w:r>
              <w:rPr>
                <w:noProof/>
                <w:webHidden/>
              </w:rPr>
              <w:fldChar w:fldCharType="end"/>
            </w:r>
          </w:hyperlink>
        </w:p>
        <w:p w14:paraId="0592987E" w14:textId="6E969DFA" w:rsidR="0068478E" w:rsidRDefault="0068478E">
          <w:pPr>
            <w:pStyle w:val="TOC1"/>
            <w:rPr>
              <w:rFonts w:asciiTheme="minorHAnsi" w:eastAsiaTheme="minorEastAsia" w:hAnsiTheme="minorHAnsi"/>
              <w:noProof/>
              <w:kern w:val="2"/>
              <w:szCs w:val="24"/>
              <w14:ligatures w14:val="standardContextual"/>
            </w:rPr>
          </w:pPr>
          <w:hyperlink w:anchor="_Toc221525266" w:history="1">
            <w:r w:rsidRPr="003A1D65">
              <w:rPr>
                <w:rStyle w:val="Hyperlink"/>
                <w:noProof/>
              </w:rPr>
              <w:t>15. TRADEMARK</w:t>
            </w:r>
            <w:r>
              <w:rPr>
                <w:noProof/>
                <w:webHidden/>
              </w:rPr>
              <w:tab/>
            </w:r>
            <w:r>
              <w:rPr>
                <w:noProof/>
                <w:webHidden/>
              </w:rPr>
              <w:fldChar w:fldCharType="begin"/>
            </w:r>
            <w:r>
              <w:rPr>
                <w:noProof/>
                <w:webHidden/>
              </w:rPr>
              <w:instrText xml:space="preserve"> PAGEREF _Toc221525266 \h </w:instrText>
            </w:r>
            <w:r>
              <w:rPr>
                <w:noProof/>
                <w:webHidden/>
              </w:rPr>
            </w:r>
            <w:r>
              <w:rPr>
                <w:noProof/>
                <w:webHidden/>
              </w:rPr>
              <w:fldChar w:fldCharType="separate"/>
            </w:r>
            <w:r w:rsidR="00313A05">
              <w:rPr>
                <w:noProof/>
                <w:webHidden/>
              </w:rPr>
              <w:t>398</w:t>
            </w:r>
            <w:r>
              <w:rPr>
                <w:noProof/>
                <w:webHidden/>
              </w:rPr>
              <w:fldChar w:fldCharType="end"/>
            </w:r>
          </w:hyperlink>
        </w:p>
        <w:p w14:paraId="63F0D03F" w14:textId="63BD7DD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7" w:history="1">
            <w:r w:rsidRPr="003A1D65">
              <w:rPr>
                <w:rStyle w:val="Hyperlink"/>
              </w:rPr>
              <w:t>15.1 Preliminary Instruction—Trademark</w:t>
            </w:r>
            <w:r>
              <w:rPr>
                <w:webHidden/>
              </w:rPr>
              <w:tab/>
            </w:r>
            <w:r>
              <w:rPr>
                <w:webHidden/>
              </w:rPr>
              <w:fldChar w:fldCharType="begin"/>
            </w:r>
            <w:r>
              <w:rPr>
                <w:webHidden/>
              </w:rPr>
              <w:instrText xml:space="preserve"> PAGEREF _Toc221525267 \h </w:instrText>
            </w:r>
            <w:r>
              <w:rPr>
                <w:webHidden/>
              </w:rPr>
            </w:r>
            <w:r>
              <w:rPr>
                <w:webHidden/>
              </w:rPr>
              <w:fldChar w:fldCharType="separate"/>
            </w:r>
            <w:r w:rsidR="00313A05">
              <w:rPr>
                <w:webHidden/>
              </w:rPr>
              <w:t>399</w:t>
            </w:r>
            <w:r>
              <w:rPr>
                <w:webHidden/>
              </w:rPr>
              <w:fldChar w:fldCharType="end"/>
            </w:r>
          </w:hyperlink>
        </w:p>
        <w:p w14:paraId="2871DCC0" w14:textId="772B69E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8" w:history="1">
            <w:r w:rsidRPr="003A1D65">
              <w:rPr>
                <w:rStyle w:val="Hyperlink"/>
              </w:rPr>
              <w:t>15.2 Definition—Trademark (15 U.S.C. § 1127)</w:t>
            </w:r>
            <w:r>
              <w:rPr>
                <w:webHidden/>
              </w:rPr>
              <w:tab/>
            </w:r>
            <w:r>
              <w:rPr>
                <w:webHidden/>
              </w:rPr>
              <w:fldChar w:fldCharType="begin"/>
            </w:r>
            <w:r>
              <w:rPr>
                <w:webHidden/>
              </w:rPr>
              <w:instrText xml:space="preserve"> PAGEREF _Toc221525268 \h </w:instrText>
            </w:r>
            <w:r>
              <w:rPr>
                <w:webHidden/>
              </w:rPr>
            </w:r>
            <w:r>
              <w:rPr>
                <w:webHidden/>
              </w:rPr>
              <w:fldChar w:fldCharType="separate"/>
            </w:r>
            <w:r w:rsidR="00313A05">
              <w:rPr>
                <w:webHidden/>
              </w:rPr>
              <w:t>402</w:t>
            </w:r>
            <w:r>
              <w:rPr>
                <w:webHidden/>
              </w:rPr>
              <w:fldChar w:fldCharType="end"/>
            </w:r>
          </w:hyperlink>
        </w:p>
        <w:p w14:paraId="332E7FC0" w14:textId="4A33B24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9" w:history="1">
            <w:r w:rsidRPr="003A1D65">
              <w:rPr>
                <w:rStyle w:val="Hyperlink"/>
              </w:rPr>
              <w:t>15.3 Definition—Trade Dress (15 U.S.C. § 1125(a))</w:t>
            </w:r>
            <w:r>
              <w:rPr>
                <w:webHidden/>
              </w:rPr>
              <w:tab/>
            </w:r>
            <w:r>
              <w:rPr>
                <w:webHidden/>
              </w:rPr>
              <w:fldChar w:fldCharType="begin"/>
            </w:r>
            <w:r>
              <w:rPr>
                <w:webHidden/>
              </w:rPr>
              <w:instrText xml:space="preserve"> PAGEREF _Toc221525269 \h </w:instrText>
            </w:r>
            <w:r>
              <w:rPr>
                <w:webHidden/>
              </w:rPr>
            </w:r>
            <w:r>
              <w:rPr>
                <w:webHidden/>
              </w:rPr>
              <w:fldChar w:fldCharType="separate"/>
            </w:r>
            <w:r w:rsidR="00313A05">
              <w:rPr>
                <w:webHidden/>
              </w:rPr>
              <w:t>405</w:t>
            </w:r>
            <w:r>
              <w:rPr>
                <w:webHidden/>
              </w:rPr>
              <w:fldChar w:fldCharType="end"/>
            </w:r>
          </w:hyperlink>
        </w:p>
        <w:p w14:paraId="19E7C5F7" w14:textId="56A83EE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0" w:history="1">
            <w:r w:rsidRPr="003A1D65">
              <w:rPr>
                <w:rStyle w:val="Hyperlink"/>
              </w:rPr>
              <w:t>15.4 Definition—Trade Name/Commercial Name  (15 U.S.C. § 1127)</w:t>
            </w:r>
            <w:r>
              <w:rPr>
                <w:webHidden/>
              </w:rPr>
              <w:tab/>
            </w:r>
            <w:r>
              <w:rPr>
                <w:webHidden/>
              </w:rPr>
              <w:fldChar w:fldCharType="begin"/>
            </w:r>
            <w:r>
              <w:rPr>
                <w:webHidden/>
              </w:rPr>
              <w:instrText xml:space="preserve"> PAGEREF _Toc221525270 \h </w:instrText>
            </w:r>
            <w:r>
              <w:rPr>
                <w:webHidden/>
              </w:rPr>
            </w:r>
            <w:r>
              <w:rPr>
                <w:webHidden/>
              </w:rPr>
              <w:fldChar w:fldCharType="separate"/>
            </w:r>
            <w:r w:rsidR="00313A05">
              <w:rPr>
                <w:webHidden/>
              </w:rPr>
              <w:t>407</w:t>
            </w:r>
            <w:r>
              <w:rPr>
                <w:webHidden/>
              </w:rPr>
              <w:fldChar w:fldCharType="end"/>
            </w:r>
          </w:hyperlink>
        </w:p>
        <w:p w14:paraId="6BA246B5" w14:textId="7F168D9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1" w:history="1">
            <w:r w:rsidRPr="003A1D65">
              <w:rPr>
                <w:rStyle w:val="Hyperlink"/>
              </w:rPr>
              <w:t>15.5 Trademark Liability—Theories and Policies  (15 U.S.C. §§ 1114(1), 1125(a))</w:t>
            </w:r>
            <w:r>
              <w:rPr>
                <w:webHidden/>
              </w:rPr>
              <w:tab/>
            </w:r>
            <w:r>
              <w:rPr>
                <w:webHidden/>
              </w:rPr>
              <w:fldChar w:fldCharType="begin"/>
            </w:r>
            <w:r>
              <w:rPr>
                <w:webHidden/>
              </w:rPr>
              <w:instrText xml:space="preserve"> PAGEREF _Toc221525271 \h </w:instrText>
            </w:r>
            <w:r>
              <w:rPr>
                <w:webHidden/>
              </w:rPr>
            </w:r>
            <w:r>
              <w:rPr>
                <w:webHidden/>
              </w:rPr>
              <w:fldChar w:fldCharType="separate"/>
            </w:r>
            <w:r w:rsidR="00313A05">
              <w:rPr>
                <w:webHidden/>
              </w:rPr>
              <w:t>408</w:t>
            </w:r>
            <w:r>
              <w:rPr>
                <w:webHidden/>
              </w:rPr>
              <w:fldChar w:fldCharType="end"/>
            </w:r>
          </w:hyperlink>
        </w:p>
        <w:p w14:paraId="4B7F6D83" w14:textId="7043A35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2" w:history="1">
            <w:r w:rsidRPr="003A1D65">
              <w:rPr>
                <w:rStyle w:val="Hyperlink"/>
              </w:rPr>
              <w:t>15.6 Infringement—Elements and Burden of Proof—Trademark  (15 U.S.C. § 1114(1))</w:t>
            </w:r>
            <w:r>
              <w:rPr>
                <w:webHidden/>
              </w:rPr>
              <w:tab/>
            </w:r>
            <w:r>
              <w:rPr>
                <w:webHidden/>
              </w:rPr>
              <w:fldChar w:fldCharType="begin"/>
            </w:r>
            <w:r>
              <w:rPr>
                <w:webHidden/>
              </w:rPr>
              <w:instrText xml:space="preserve"> PAGEREF _Toc221525272 \h </w:instrText>
            </w:r>
            <w:r>
              <w:rPr>
                <w:webHidden/>
              </w:rPr>
            </w:r>
            <w:r>
              <w:rPr>
                <w:webHidden/>
              </w:rPr>
              <w:fldChar w:fldCharType="separate"/>
            </w:r>
            <w:r w:rsidR="00313A05">
              <w:rPr>
                <w:webHidden/>
              </w:rPr>
              <w:t>411</w:t>
            </w:r>
            <w:r>
              <w:rPr>
                <w:webHidden/>
              </w:rPr>
              <w:fldChar w:fldCharType="end"/>
            </w:r>
          </w:hyperlink>
        </w:p>
        <w:p w14:paraId="729919D2" w14:textId="245EF63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3" w:history="1">
            <w:r w:rsidRPr="003A1D65">
              <w:rPr>
                <w:rStyle w:val="Hyperlink"/>
              </w:rPr>
              <w:t>15.7 Infringement—Elements and Burden of Proof—Trade Dress (15 U.S.C. § 1125(a)(1))</w:t>
            </w:r>
            <w:r>
              <w:rPr>
                <w:webHidden/>
              </w:rPr>
              <w:tab/>
            </w:r>
            <w:r>
              <w:rPr>
                <w:webHidden/>
              </w:rPr>
              <w:fldChar w:fldCharType="begin"/>
            </w:r>
            <w:r>
              <w:rPr>
                <w:webHidden/>
              </w:rPr>
              <w:instrText xml:space="preserve"> PAGEREF _Toc221525273 \h </w:instrText>
            </w:r>
            <w:r>
              <w:rPr>
                <w:webHidden/>
              </w:rPr>
            </w:r>
            <w:r>
              <w:rPr>
                <w:webHidden/>
              </w:rPr>
              <w:fldChar w:fldCharType="separate"/>
            </w:r>
            <w:r w:rsidR="00313A05">
              <w:rPr>
                <w:webHidden/>
              </w:rPr>
              <w:t>413</w:t>
            </w:r>
            <w:r>
              <w:rPr>
                <w:webHidden/>
              </w:rPr>
              <w:fldChar w:fldCharType="end"/>
            </w:r>
          </w:hyperlink>
        </w:p>
        <w:p w14:paraId="76808851" w14:textId="6DFFE20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4" w:history="1">
            <w:r w:rsidRPr="003A1D65">
              <w:rPr>
                <w:rStyle w:val="Hyperlink"/>
              </w:rPr>
              <w:t>15.8 Infringement—Elements—Presumed Validity and Ownership—Registered Trademark (15 U.S.C. §§ 1057, 1065 and 1115)</w:t>
            </w:r>
            <w:r>
              <w:rPr>
                <w:webHidden/>
              </w:rPr>
              <w:tab/>
            </w:r>
            <w:r>
              <w:rPr>
                <w:webHidden/>
              </w:rPr>
              <w:fldChar w:fldCharType="begin"/>
            </w:r>
            <w:r>
              <w:rPr>
                <w:webHidden/>
              </w:rPr>
              <w:instrText xml:space="preserve"> PAGEREF _Toc221525274 \h </w:instrText>
            </w:r>
            <w:r>
              <w:rPr>
                <w:webHidden/>
              </w:rPr>
            </w:r>
            <w:r>
              <w:rPr>
                <w:webHidden/>
              </w:rPr>
              <w:fldChar w:fldCharType="separate"/>
            </w:r>
            <w:r w:rsidR="00313A05">
              <w:rPr>
                <w:webHidden/>
              </w:rPr>
              <w:t>415</w:t>
            </w:r>
            <w:r>
              <w:rPr>
                <w:webHidden/>
              </w:rPr>
              <w:fldChar w:fldCharType="end"/>
            </w:r>
          </w:hyperlink>
        </w:p>
        <w:p w14:paraId="3BFA9585" w14:textId="12B1C47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5" w:history="1">
            <w:r w:rsidRPr="003A1D65">
              <w:rPr>
                <w:rStyle w:val="Hyperlink"/>
              </w:rPr>
              <w:t>15.9 Infringement—Elements—Validity—Unregistered Marks</w:t>
            </w:r>
            <w:r>
              <w:rPr>
                <w:webHidden/>
              </w:rPr>
              <w:tab/>
            </w:r>
            <w:r>
              <w:rPr>
                <w:webHidden/>
              </w:rPr>
              <w:fldChar w:fldCharType="begin"/>
            </w:r>
            <w:r>
              <w:rPr>
                <w:webHidden/>
              </w:rPr>
              <w:instrText xml:space="preserve"> PAGEREF _Toc221525275 \h </w:instrText>
            </w:r>
            <w:r>
              <w:rPr>
                <w:webHidden/>
              </w:rPr>
            </w:r>
            <w:r>
              <w:rPr>
                <w:webHidden/>
              </w:rPr>
              <w:fldChar w:fldCharType="separate"/>
            </w:r>
            <w:r w:rsidR="00313A05">
              <w:rPr>
                <w:webHidden/>
              </w:rPr>
              <w:t>420</w:t>
            </w:r>
            <w:r>
              <w:rPr>
                <w:webHidden/>
              </w:rPr>
              <w:fldChar w:fldCharType="end"/>
            </w:r>
          </w:hyperlink>
        </w:p>
        <w:p w14:paraId="1746E02B" w14:textId="1FCF9C3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6" w:history="1">
            <w:r w:rsidRPr="003A1D65">
              <w:rPr>
                <w:rStyle w:val="Hyperlink"/>
              </w:rPr>
              <w:t>15.10 Infringement—Elements—Validity—Unregistered Marks—Distinctiveness</w:t>
            </w:r>
            <w:r>
              <w:rPr>
                <w:webHidden/>
              </w:rPr>
              <w:tab/>
            </w:r>
            <w:r>
              <w:rPr>
                <w:webHidden/>
              </w:rPr>
              <w:fldChar w:fldCharType="begin"/>
            </w:r>
            <w:r>
              <w:rPr>
                <w:webHidden/>
              </w:rPr>
              <w:instrText xml:space="preserve"> PAGEREF _Toc221525276 \h </w:instrText>
            </w:r>
            <w:r>
              <w:rPr>
                <w:webHidden/>
              </w:rPr>
            </w:r>
            <w:r>
              <w:rPr>
                <w:webHidden/>
              </w:rPr>
              <w:fldChar w:fldCharType="separate"/>
            </w:r>
            <w:r w:rsidR="00313A05">
              <w:rPr>
                <w:webHidden/>
              </w:rPr>
              <w:t>422</w:t>
            </w:r>
            <w:r>
              <w:rPr>
                <w:webHidden/>
              </w:rPr>
              <w:fldChar w:fldCharType="end"/>
            </w:r>
          </w:hyperlink>
        </w:p>
        <w:p w14:paraId="151284BA" w14:textId="1E24A51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7" w:history="1">
            <w:r w:rsidRPr="003A1D65">
              <w:rPr>
                <w:rStyle w:val="Hyperlink"/>
              </w:rPr>
              <w:t>15.11 Infringement—Elements—Validity—Distinctiveness—Secondary Meaning</w:t>
            </w:r>
            <w:r>
              <w:rPr>
                <w:webHidden/>
              </w:rPr>
              <w:tab/>
            </w:r>
            <w:r>
              <w:rPr>
                <w:webHidden/>
              </w:rPr>
              <w:fldChar w:fldCharType="begin"/>
            </w:r>
            <w:r>
              <w:rPr>
                <w:webHidden/>
              </w:rPr>
              <w:instrText xml:space="preserve"> PAGEREF _Toc221525277 \h </w:instrText>
            </w:r>
            <w:r>
              <w:rPr>
                <w:webHidden/>
              </w:rPr>
            </w:r>
            <w:r>
              <w:rPr>
                <w:webHidden/>
              </w:rPr>
              <w:fldChar w:fldCharType="separate"/>
            </w:r>
            <w:r w:rsidR="00313A05">
              <w:rPr>
                <w:webHidden/>
              </w:rPr>
              <w:t>428</w:t>
            </w:r>
            <w:r>
              <w:rPr>
                <w:webHidden/>
              </w:rPr>
              <w:fldChar w:fldCharType="end"/>
            </w:r>
          </w:hyperlink>
        </w:p>
        <w:p w14:paraId="027A8268" w14:textId="5FBAAB4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8" w:history="1">
            <w:r w:rsidRPr="003A1D65">
              <w:rPr>
                <w:rStyle w:val="Hyperlink"/>
              </w:rPr>
              <w:t>15.12 Infringement—Elements—Validity—Trade Dress—Non-Functionality Requirement</w:t>
            </w:r>
            <w:r>
              <w:rPr>
                <w:webHidden/>
              </w:rPr>
              <w:tab/>
            </w:r>
            <w:r>
              <w:rPr>
                <w:webHidden/>
              </w:rPr>
              <w:fldChar w:fldCharType="begin"/>
            </w:r>
            <w:r>
              <w:rPr>
                <w:webHidden/>
              </w:rPr>
              <w:instrText xml:space="preserve"> PAGEREF _Toc221525278 \h </w:instrText>
            </w:r>
            <w:r>
              <w:rPr>
                <w:webHidden/>
              </w:rPr>
            </w:r>
            <w:r>
              <w:rPr>
                <w:webHidden/>
              </w:rPr>
              <w:fldChar w:fldCharType="separate"/>
            </w:r>
            <w:r w:rsidR="00313A05">
              <w:rPr>
                <w:webHidden/>
              </w:rPr>
              <w:t>432</w:t>
            </w:r>
            <w:r>
              <w:rPr>
                <w:webHidden/>
              </w:rPr>
              <w:fldChar w:fldCharType="end"/>
            </w:r>
          </w:hyperlink>
        </w:p>
        <w:p w14:paraId="30E9710D" w14:textId="3F6A59F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9" w:history="1">
            <w:r w:rsidRPr="003A1D65">
              <w:rPr>
                <w:rStyle w:val="Hyperlink"/>
              </w:rPr>
              <w:t>15.13 Infringement—Elements—Ownership—Generally</w:t>
            </w:r>
            <w:r>
              <w:rPr>
                <w:webHidden/>
              </w:rPr>
              <w:tab/>
            </w:r>
            <w:r>
              <w:rPr>
                <w:webHidden/>
              </w:rPr>
              <w:fldChar w:fldCharType="begin"/>
            </w:r>
            <w:r>
              <w:rPr>
                <w:webHidden/>
              </w:rPr>
              <w:instrText xml:space="preserve"> PAGEREF _Toc221525279 \h </w:instrText>
            </w:r>
            <w:r>
              <w:rPr>
                <w:webHidden/>
              </w:rPr>
            </w:r>
            <w:r>
              <w:rPr>
                <w:webHidden/>
              </w:rPr>
              <w:fldChar w:fldCharType="separate"/>
            </w:r>
            <w:r w:rsidR="00313A05">
              <w:rPr>
                <w:webHidden/>
              </w:rPr>
              <w:t>435</w:t>
            </w:r>
            <w:r>
              <w:rPr>
                <w:webHidden/>
              </w:rPr>
              <w:fldChar w:fldCharType="end"/>
            </w:r>
          </w:hyperlink>
        </w:p>
        <w:p w14:paraId="06A2CC15" w14:textId="6024C5D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0" w:history="1">
            <w:r w:rsidRPr="003A1D65">
              <w:rPr>
                <w:rStyle w:val="Hyperlink"/>
              </w:rPr>
              <w:t>15.14 Infringement—Elements—Ownership—Priority Through Tacking</w:t>
            </w:r>
            <w:r>
              <w:rPr>
                <w:webHidden/>
              </w:rPr>
              <w:tab/>
            </w:r>
            <w:r>
              <w:rPr>
                <w:webHidden/>
              </w:rPr>
              <w:fldChar w:fldCharType="begin"/>
            </w:r>
            <w:r>
              <w:rPr>
                <w:webHidden/>
              </w:rPr>
              <w:instrText xml:space="preserve"> PAGEREF _Toc221525280 \h </w:instrText>
            </w:r>
            <w:r>
              <w:rPr>
                <w:webHidden/>
              </w:rPr>
            </w:r>
            <w:r>
              <w:rPr>
                <w:webHidden/>
              </w:rPr>
              <w:fldChar w:fldCharType="separate"/>
            </w:r>
            <w:r w:rsidR="00313A05">
              <w:rPr>
                <w:webHidden/>
              </w:rPr>
              <w:t>438</w:t>
            </w:r>
            <w:r>
              <w:rPr>
                <w:webHidden/>
              </w:rPr>
              <w:fldChar w:fldCharType="end"/>
            </w:r>
          </w:hyperlink>
        </w:p>
        <w:p w14:paraId="2E7BE944" w14:textId="157D4A3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1" w:history="1">
            <w:r w:rsidRPr="003A1D65">
              <w:rPr>
                <w:rStyle w:val="Hyperlink"/>
              </w:rPr>
              <w:t>15.15 Trademark Ownership—Assignee  (15 U.S.C. § 1060)</w:t>
            </w:r>
            <w:r>
              <w:rPr>
                <w:webHidden/>
              </w:rPr>
              <w:tab/>
            </w:r>
            <w:r>
              <w:rPr>
                <w:webHidden/>
              </w:rPr>
              <w:fldChar w:fldCharType="begin"/>
            </w:r>
            <w:r>
              <w:rPr>
                <w:webHidden/>
              </w:rPr>
              <w:instrText xml:space="preserve"> PAGEREF _Toc221525281 \h </w:instrText>
            </w:r>
            <w:r>
              <w:rPr>
                <w:webHidden/>
              </w:rPr>
            </w:r>
            <w:r>
              <w:rPr>
                <w:webHidden/>
              </w:rPr>
              <w:fldChar w:fldCharType="separate"/>
            </w:r>
            <w:r w:rsidR="00313A05">
              <w:rPr>
                <w:webHidden/>
              </w:rPr>
              <w:t>439</w:t>
            </w:r>
            <w:r>
              <w:rPr>
                <w:webHidden/>
              </w:rPr>
              <w:fldChar w:fldCharType="end"/>
            </w:r>
          </w:hyperlink>
        </w:p>
        <w:p w14:paraId="62B0B2EA" w14:textId="10DD6C3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2" w:history="1">
            <w:r w:rsidRPr="003A1D65">
              <w:rPr>
                <w:rStyle w:val="Hyperlink"/>
              </w:rPr>
              <w:t>15.16 Trademark Ownership—Licensee</w:t>
            </w:r>
            <w:r>
              <w:rPr>
                <w:webHidden/>
              </w:rPr>
              <w:tab/>
            </w:r>
            <w:r>
              <w:rPr>
                <w:webHidden/>
              </w:rPr>
              <w:fldChar w:fldCharType="begin"/>
            </w:r>
            <w:r>
              <w:rPr>
                <w:webHidden/>
              </w:rPr>
              <w:instrText xml:space="preserve"> PAGEREF _Toc221525282 \h </w:instrText>
            </w:r>
            <w:r>
              <w:rPr>
                <w:webHidden/>
              </w:rPr>
            </w:r>
            <w:r>
              <w:rPr>
                <w:webHidden/>
              </w:rPr>
              <w:fldChar w:fldCharType="separate"/>
            </w:r>
            <w:r w:rsidR="00313A05">
              <w:rPr>
                <w:webHidden/>
              </w:rPr>
              <w:t>440</w:t>
            </w:r>
            <w:r>
              <w:rPr>
                <w:webHidden/>
              </w:rPr>
              <w:fldChar w:fldCharType="end"/>
            </w:r>
          </w:hyperlink>
        </w:p>
        <w:p w14:paraId="2FCC9359" w14:textId="5B016EE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3" w:history="1">
            <w:r w:rsidRPr="003A1D65">
              <w:rPr>
                <w:rStyle w:val="Hyperlink"/>
              </w:rPr>
              <w:t>15.17 Trademark Ownership—Merchant or Distributor</w:t>
            </w:r>
            <w:r>
              <w:rPr>
                <w:webHidden/>
              </w:rPr>
              <w:tab/>
            </w:r>
            <w:r>
              <w:rPr>
                <w:webHidden/>
              </w:rPr>
              <w:fldChar w:fldCharType="begin"/>
            </w:r>
            <w:r>
              <w:rPr>
                <w:webHidden/>
              </w:rPr>
              <w:instrText xml:space="preserve"> PAGEREF _Toc221525283 \h </w:instrText>
            </w:r>
            <w:r>
              <w:rPr>
                <w:webHidden/>
              </w:rPr>
            </w:r>
            <w:r>
              <w:rPr>
                <w:webHidden/>
              </w:rPr>
              <w:fldChar w:fldCharType="separate"/>
            </w:r>
            <w:r w:rsidR="00313A05">
              <w:rPr>
                <w:webHidden/>
              </w:rPr>
              <w:t>441</w:t>
            </w:r>
            <w:r>
              <w:rPr>
                <w:webHidden/>
              </w:rPr>
              <w:fldChar w:fldCharType="end"/>
            </w:r>
          </w:hyperlink>
        </w:p>
        <w:p w14:paraId="563D9D17" w14:textId="3CC57CE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4" w:history="1">
            <w:r w:rsidRPr="003A1D65">
              <w:rPr>
                <w:rStyle w:val="Hyperlink"/>
              </w:rPr>
              <w:t>15.18 Infringement—Likelihood of Confusion—Factors—</w:t>
            </w:r>
            <w:r w:rsidRPr="003A1D65">
              <w:rPr>
                <w:rStyle w:val="Hyperlink"/>
                <w:i/>
                <w:iCs/>
              </w:rPr>
              <w:t>Sleekcraft</w:t>
            </w:r>
            <w:r w:rsidRPr="003A1D65">
              <w:rPr>
                <w:rStyle w:val="Hyperlink"/>
              </w:rPr>
              <w:t xml:space="preserve"> Test  (15 U.S.C. §§ 1114(1) and 1125(a))</w:t>
            </w:r>
            <w:r>
              <w:rPr>
                <w:webHidden/>
              </w:rPr>
              <w:tab/>
            </w:r>
            <w:r>
              <w:rPr>
                <w:webHidden/>
              </w:rPr>
              <w:fldChar w:fldCharType="begin"/>
            </w:r>
            <w:r>
              <w:rPr>
                <w:webHidden/>
              </w:rPr>
              <w:instrText xml:space="preserve"> PAGEREF _Toc221525284 \h </w:instrText>
            </w:r>
            <w:r>
              <w:rPr>
                <w:webHidden/>
              </w:rPr>
            </w:r>
            <w:r>
              <w:rPr>
                <w:webHidden/>
              </w:rPr>
              <w:fldChar w:fldCharType="separate"/>
            </w:r>
            <w:r w:rsidR="00313A05">
              <w:rPr>
                <w:webHidden/>
              </w:rPr>
              <w:t>442</w:t>
            </w:r>
            <w:r>
              <w:rPr>
                <w:webHidden/>
              </w:rPr>
              <w:fldChar w:fldCharType="end"/>
            </w:r>
          </w:hyperlink>
        </w:p>
        <w:p w14:paraId="14C05A71" w14:textId="60A5D76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5" w:history="1">
            <w:r w:rsidRPr="003A1D65">
              <w:rPr>
                <w:rStyle w:val="Hyperlink"/>
                <w:highlight w:val="white"/>
              </w:rPr>
              <w:t xml:space="preserve">15.19 </w:t>
            </w:r>
            <w:r w:rsidRPr="003A1D65">
              <w:rPr>
                <w:rStyle w:val="Hyperlink"/>
              </w:rPr>
              <w:t>Infringement—Likelihood of Confusion—</w:t>
            </w:r>
            <w:r w:rsidRPr="003A1D65">
              <w:rPr>
                <w:rStyle w:val="Hyperlink"/>
                <w:i/>
                <w:iCs/>
              </w:rPr>
              <w:t xml:space="preserve">Sleekcraft </w:t>
            </w:r>
            <w:r w:rsidRPr="003A1D65">
              <w:rPr>
                <w:rStyle w:val="Hyperlink"/>
              </w:rPr>
              <w:t>Factor 1—Strength or Weakness of the Plaintiff’s Mark</w:t>
            </w:r>
            <w:r>
              <w:rPr>
                <w:webHidden/>
              </w:rPr>
              <w:tab/>
            </w:r>
            <w:r>
              <w:rPr>
                <w:webHidden/>
              </w:rPr>
              <w:fldChar w:fldCharType="begin"/>
            </w:r>
            <w:r>
              <w:rPr>
                <w:webHidden/>
              </w:rPr>
              <w:instrText xml:space="preserve"> PAGEREF _Toc221525285 \h </w:instrText>
            </w:r>
            <w:r>
              <w:rPr>
                <w:webHidden/>
              </w:rPr>
            </w:r>
            <w:r>
              <w:rPr>
                <w:webHidden/>
              </w:rPr>
              <w:fldChar w:fldCharType="separate"/>
            </w:r>
            <w:r w:rsidR="00313A05">
              <w:rPr>
                <w:webHidden/>
              </w:rPr>
              <w:t>446</w:t>
            </w:r>
            <w:r>
              <w:rPr>
                <w:webHidden/>
              </w:rPr>
              <w:fldChar w:fldCharType="end"/>
            </w:r>
          </w:hyperlink>
        </w:p>
        <w:p w14:paraId="325A67C9" w14:textId="6029306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6" w:history="1">
            <w:r w:rsidRPr="003A1D65">
              <w:rPr>
                <w:rStyle w:val="Hyperlink"/>
              </w:rPr>
              <w:t>15.20 Expressive</w:t>
            </w:r>
            <w:r w:rsidRPr="003A1D65">
              <w:rPr>
                <w:rStyle w:val="Hyperlink"/>
                <w:spacing w:val="-1"/>
              </w:rPr>
              <w:t xml:space="preserve"> </w:t>
            </w:r>
            <w:r w:rsidRPr="003A1D65">
              <w:rPr>
                <w:rStyle w:val="Hyperlink"/>
              </w:rPr>
              <w:t>Works</w:t>
            </w:r>
            <w:r>
              <w:rPr>
                <w:webHidden/>
              </w:rPr>
              <w:tab/>
            </w:r>
            <w:r>
              <w:rPr>
                <w:webHidden/>
              </w:rPr>
              <w:fldChar w:fldCharType="begin"/>
            </w:r>
            <w:r>
              <w:rPr>
                <w:webHidden/>
              </w:rPr>
              <w:instrText xml:space="preserve"> PAGEREF _Toc221525286 \h </w:instrText>
            </w:r>
            <w:r>
              <w:rPr>
                <w:webHidden/>
              </w:rPr>
            </w:r>
            <w:r>
              <w:rPr>
                <w:webHidden/>
              </w:rPr>
              <w:fldChar w:fldCharType="separate"/>
            </w:r>
            <w:r w:rsidR="00313A05">
              <w:rPr>
                <w:webHidden/>
              </w:rPr>
              <w:t>450</w:t>
            </w:r>
            <w:r>
              <w:rPr>
                <w:webHidden/>
              </w:rPr>
              <w:fldChar w:fldCharType="end"/>
            </w:r>
          </w:hyperlink>
        </w:p>
        <w:p w14:paraId="514C4F7A" w14:textId="11B58E1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7" w:history="1">
            <w:r w:rsidRPr="003A1D65">
              <w:rPr>
                <w:rStyle w:val="Hyperlink"/>
              </w:rPr>
              <w:t>15.21 Derivative Liability—Inducing Infringement</w:t>
            </w:r>
            <w:r>
              <w:rPr>
                <w:webHidden/>
              </w:rPr>
              <w:tab/>
            </w:r>
            <w:r>
              <w:rPr>
                <w:webHidden/>
              </w:rPr>
              <w:fldChar w:fldCharType="begin"/>
            </w:r>
            <w:r>
              <w:rPr>
                <w:webHidden/>
              </w:rPr>
              <w:instrText xml:space="preserve"> PAGEREF _Toc221525287 \h </w:instrText>
            </w:r>
            <w:r>
              <w:rPr>
                <w:webHidden/>
              </w:rPr>
            </w:r>
            <w:r>
              <w:rPr>
                <w:webHidden/>
              </w:rPr>
              <w:fldChar w:fldCharType="separate"/>
            </w:r>
            <w:r w:rsidR="00313A05">
              <w:rPr>
                <w:webHidden/>
              </w:rPr>
              <w:t>452</w:t>
            </w:r>
            <w:r>
              <w:rPr>
                <w:webHidden/>
              </w:rPr>
              <w:fldChar w:fldCharType="end"/>
            </w:r>
          </w:hyperlink>
        </w:p>
        <w:p w14:paraId="7791E3C4" w14:textId="3EBDC1F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8" w:history="1">
            <w:r w:rsidRPr="003A1D65">
              <w:rPr>
                <w:rStyle w:val="Hyperlink"/>
              </w:rPr>
              <w:t>15.22 Derivative Liability—Contributory Infringement</w:t>
            </w:r>
            <w:r>
              <w:rPr>
                <w:webHidden/>
              </w:rPr>
              <w:tab/>
            </w:r>
            <w:r>
              <w:rPr>
                <w:webHidden/>
              </w:rPr>
              <w:fldChar w:fldCharType="begin"/>
            </w:r>
            <w:r>
              <w:rPr>
                <w:webHidden/>
              </w:rPr>
              <w:instrText xml:space="preserve"> PAGEREF _Toc221525288 \h </w:instrText>
            </w:r>
            <w:r>
              <w:rPr>
                <w:webHidden/>
              </w:rPr>
            </w:r>
            <w:r>
              <w:rPr>
                <w:webHidden/>
              </w:rPr>
              <w:fldChar w:fldCharType="separate"/>
            </w:r>
            <w:r w:rsidR="00313A05">
              <w:rPr>
                <w:webHidden/>
              </w:rPr>
              <w:t>453</w:t>
            </w:r>
            <w:r>
              <w:rPr>
                <w:webHidden/>
              </w:rPr>
              <w:fldChar w:fldCharType="end"/>
            </w:r>
          </w:hyperlink>
        </w:p>
        <w:p w14:paraId="32DBDE59" w14:textId="147226F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9" w:history="1">
            <w:r w:rsidRPr="003A1D65">
              <w:rPr>
                <w:rStyle w:val="Hyperlink"/>
              </w:rPr>
              <w:t>15.23 Defenses—Abandonment—Affirmative Defense—Defendant’s Burden of Proof  (15 U.S.C. § 1127)</w:t>
            </w:r>
            <w:r>
              <w:rPr>
                <w:webHidden/>
              </w:rPr>
              <w:tab/>
            </w:r>
            <w:r>
              <w:rPr>
                <w:webHidden/>
              </w:rPr>
              <w:fldChar w:fldCharType="begin"/>
            </w:r>
            <w:r>
              <w:rPr>
                <w:webHidden/>
              </w:rPr>
              <w:instrText xml:space="preserve"> PAGEREF _Toc221525289 \h </w:instrText>
            </w:r>
            <w:r>
              <w:rPr>
                <w:webHidden/>
              </w:rPr>
            </w:r>
            <w:r>
              <w:rPr>
                <w:webHidden/>
              </w:rPr>
              <w:fldChar w:fldCharType="separate"/>
            </w:r>
            <w:r w:rsidR="00313A05">
              <w:rPr>
                <w:webHidden/>
              </w:rPr>
              <w:t>455</w:t>
            </w:r>
            <w:r>
              <w:rPr>
                <w:webHidden/>
              </w:rPr>
              <w:fldChar w:fldCharType="end"/>
            </w:r>
          </w:hyperlink>
        </w:p>
        <w:p w14:paraId="37EDD7D2" w14:textId="2FB777F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0" w:history="1">
            <w:r w:rsidRPr="003A1D65">
              <w:rPr>
                <w:rStyle w:val="Hyperlink"/>
              </w:rPr>
              <w:t>15.24 Defenses—Continuous Prior Use Within Remote Geographic  Area—Affirmative Defense (15 U.S.C. § 1115(b)(5))</w:t>
            </w:r>
            <w:r>
              <w:rPr>
                <w:webHidden/>
              </w:rPr>
              <w:tab/>
            </w:r>
            <w:r>
              <w:rPr>
                <w:webHidden/>
              </w:rPr>
              <w:fldChar w:fldCharType="begin"/>
            </w:r>
            <w:r>
              <w:rPr>
                <w:webHidden/>
              </w:rPr>
              <w:instrText xml:space="preserve"> PAGEREF _Toc221525290 \h </w:instrText>
            </w:r>
            <w:r>
              <w:rPr>
                <w:webHidden/>
              </w:rPr>
            </w:r>
            <w:r>
              <w:rPr>
                <w:webHidden/>
              </w:rPr>
              <w:fldChar w:fldCharType="separate"/>
            </w:r>
            <w:r w:rsidR="00313A05">
              <w:rPr>
                <w:webHidden/>
              </w:rPr>
              <w:t>457</w:t>
            </w:r>
            <w:r>
              <w:rPr>
                <w:webHidden/>
              </w:rPr>
              <w:fldChar w:fldCharType="end"/>
            </w:r>
          </w:hyperlink>
        </w:p>
        <w:p w14:paraId="3A7D64D0" w14:textId="3910FF2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1" w:history="1">
            <w:r w:rsidRPr="003A1D65">
              <w:rPr>
                <w:rStyle w:val="Hyperlink"/>
              </w:rPr>
              <w:t>15.25 Defenses—“Classic” Fair Use  (15 U.S.C. § 1115(b)(4))</w:t>
            </w:r>
            <w:r>
              <w:rPr>
                <w:webHidden/>
              </w:rPr>
              <w:tab/>
            </w:r>
            <w:r>
              <w:rPr>
                <w:webHidden/>
              </w:rPr>
              <w:fldChar w:fldCharType="begin"/>
            </w:r>
            <w:r>
              <w:rPr>
                <w:webHidden/>
              </w:rPr>
              <w:instrText xml:space="preserve"> PAGEREF _Toc221525291 \h </w:instrText>
            </w:r>
            <w:r>
              <w:rPr>
                <w:webHidden/>
              </w:rPr>
            </w:r>
            <w:r>
              <w:rPr>
                <w:webHidden/>
              </w:rPr>
              <w:fldChar w:fldCharType="separate"/>
            </w:r>
            <w:r w:rsidR="00313A05">
              <w:rPr>
                <w:webHidden/>
              </w:rPr>
              <w:t>459</w:t>
            </w:r>
            <w:r>
              <w:rPr>
                <w:webHidden/>
              </w:rPr>
              <w:fldChar w:fldCharType="end"/>
            </w:r>
          </w:hyperlink>
        </w:p>
        <w:p w14:paraId="77914B03" w14:textId="716C901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2" w:history="1">
            <w:r w:rsidRPr="003A1D65">
              <w:rPr>
                <w:rStyle w:val="Hyperlink"/>
              </w:rPr>
              <w:t>15.26 Defenses—Nominative Fair Use</w:t>
            </w:r>
            <w:r>
              <w:rPr>
                <w:webHidden/>
              </w:rPr>
              <w:tab/>
            </w:r>
            <w:r>
              <w:rPr>
                <w:webHidden/>
              </w:rPr>
              <w:fldChar w:fldCharType="begin"/>
            </w:r>
            <w:r>
              <w:rPr>
                <w:webHidden/>
              </w:rPr>
              <w:instrText xml:space="preserve"> PAGEREF _Toc221525292 \h </w:instrText>
            </w:r>
            <w:r>
              <w:rPr>
                <w:webHidden/>
              </w:rPr>
            </w:r>
            <w:r>
              <w:rPr>
                <w:webHidden/>
              </w:rPr>
              <w:fldChar w:fldCharType="separate"/>
            </w:r>
            <w:r w:rsidR="00313A05">
              <w:rPr>
                <w:webHidden/>
              </w:rPr>
              <w:t>462</w:t>
            </w:r>
            <w:r>
              <w:rPr>
                <w:webHidden/>
              </w:rPr>
              <w:fldChar w:fldCharType="end"/>
            </w:r>
          </w:hyperlink>
        </w:p>
        <w:p w14:paraId="1BF7AEEC" w14:textId="28E0104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3" w:history="1">
            <w:r w:rsidRPr="003A1D65">
              <w:rPr>
                <w:rStyle w:val="Hyperlink"/>
              </w:rPr>
              <w:t>15.27 Defenses—First Sale</w:t>
            </w:r>
            <w:r>
              <w:rPr>
                <w:webHidden/>
              </w:rPr>
              <w:tab/>
            </w:r>
            <w:r>
              <w:rPr>
                <w:webHidden/>
              </w:rPr>
              <w:fldChar w:fldCharType="begin"/>
            </w:r>
            <w:r>
              <w:rPr>
                <w:webHidden/>
              </w:rPr>
              <w:instrText xml:space="preserve"> PAGEREF _Toc221525293 \h </w:instrText>
            </w:r>
            <w:r>
              <w:rPr>
                <w:webHidden/>
              </w:rPr>
            </w:r>
            <w:r>
              <w:rPr>
                <w:webHidden/>
              </w:rPr>
              <w:fldChar w:fldCharType="separate"/>
            </w:r>
            <w:r w:rsidR="00313A05">
              <w:rPr>
                <w:webHidden/>
              </w:rPr>
              <w:t>465</w:t>
            </w:r>
            <w:r>
              <w:rPr>
                <w:webHidden/>
              </w:rPr>
              <w:fldChar w:fldCharType="end"/>
            </w:r>
          </w:hyperlink>
        </w:p>
        <w:p w14:paraId="07FE5EE4" w14:textId="71CBFD2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94" w:history="1">
            <w:r w:rsidRPr="0068478E">
              <w:rPr>
                <w:rStyle w:val="Hyperlink"/>
              </w:rPr>
              <w:t>15.28 Trademark Damages—Actual or Statutory Notice (15 U.S.C. § 1111)</w:t>
            </w:r>
            <w:r w:rsidRPr="0068478E">
              <w:rPr>
                <w:webHidden/>
              </w:rPr>
              <w:tab/>
            </w:r>
            <w:r w:rsidRPr="0068478E">
              <w:rPr>
                <w:webHidden/>
              </w:rPr>
              <w:fldChar w:fldCharType="begin"/>
            </w:r>
            <w:r w:rsidRPr="0068478E">
              <w:rPr>
                <w:webHidden/>
              </w:rPr>
              <w:instrText xml:space="preserve"> PAGEREF _Toc221525294 \h </w:instrText>
            </w:r>
            <w:r w:rsidRPr="0068478E">
              <w:rPr>
                <w:webHidden/>
              </w:rPr>
            </w:r>
            <w:r w:rsidRPr="0068478E">
              <w:rPr>
                <w:webHidden/>
              </w:rPr>
              <w:fldChar w:fldCharType="separate"/>
            </w:r>
            <w:r w:rsidR="00313A05">
              <w:rPr>
                <w:webHidden/>
              </w:rPr>
              <w:t>467</w:t>
            </w:r>
            <w:r w:rsidRPr="0068478E">
              <w:rPr>
                <w:webHidden/>
              </w:rPr>
              <w:fldChar w:fldCharType="end"/>
            </w:r>
          </w:hyperlink>
        </w:p>
        <w:p w14:paraId="448B0B6C" w14:textId="7966DA7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5" w:history="1">
            <w:r w:rsidRPr="003A1D65">
              <w:rPr>
                <w:rStyle w:val="Hyperlink"/>
              </w:rPr>
              <w:t>15.29 Trademark Damages—Plaintiff’s Actual Damages (15 U.S.C. § 1117(a))</w:t>
            </w:r>
            <w:r>
              <w:rPr>
                <w:webHidden/>
              </w:rPr>
              <w:tab/>
            </w:r>
            <w:r>
              <w:rPr>
                <w:webHidden/>
              </w:rPr>
              <w:fldChar w:fldCharType="begin"/>
            </w:r>
            <w:r>
              <w:rPr>
                <w:webHidden/>
              </w:rPr>
              <w:instrText xml:space="preserve"> PAGEREF _Toc221525295 \h </w:instrText>
            </w:r>
            <w:r>
              <w:rPr>
                <w:webHidden/>
              </w:rPr>
            </w:r>
            <w:r>
              <w:rPr>
                <w:webHidden/>
              </w:rPr>
              <w:fldChar w:fldCharType="separate"/>
            </w:r>
            <w:r w:rsidR="00313A05">
              <w:rPr>
                <w:webHidden/>
              </w:rPr>
              <w:t>468</w:t>
            </w:r>
            <w:r>
              <w:rPr>
                <w:webHidden/>
              </w:rPr>
              <w:fldChar w:fldCharType="end"/>
            </w:r>
          </w:hyperlink>
        </w:p>
        <w:p w14:paraId="254209B9" w14:textId="47F2CE6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6" w:history="1">
            <w:r w:rsidRPr="003A1D65">
              <w:rPr>
                <w:rStyle w:val="Hyperlink"/>
              </w:rPr>
              <w:t>15.30 Trademark Damages—Plaintiff’s Statutory Damages (15 U.S.C. § 1117(c) and (d))</w:t>
            </w:r>
            <w:r>
              <w:rPr>
                <w:webHidden/>
              </w:rPr>
              <w:tab/>
            </w:r>
            <w:r>
              <w:rPr>
                <w:webHidden/>
              </w:rPr>
              <w:fldChar w:fldCharType="begin"/>
            </w:r>
            <w:r>
              <w:rPr>
                <w:webHidden/>
              </w:rPr>
              <w:instrText xml:space="preserve"> PAGEREF _Toc221525296 \h </w:instrText>
            </w:r>
            <w:r>
              <w:rPr>
                <w:webHidden/>
              </w:rPr>
            </w:r>
            <w:r>
              <w:rPr>
                <w:webHidden/>
              </w:rPr>
              <w:fldChar w:fldCharType="separate"/>
            </w:r>
            <w:r w:rsidR="00313A05">
              <w:rPr>
                <w:webHidden/>
              </w:rPr>
              <w:t>471</w:t>
            </w:r>
            <w:r>
              <w:rPr>
                <w:webHidden/>
              </w:rPr>
              <w:fldChar w:fldCharType="end"/>
            </w:r>
          </w:hyperlink>
        </w:p>
        <w:p w14:paraId="717BCFBA" w14:textId="008741E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7" w:history="1">
            <w:r w:rsidRPr="003A1D65">
              <w:rPr>
                <w:rStyle w:val="Hyperlink"/>
              </w:rPr>
              <w:t>15.31 Trademark Damages—Disgorgement of Defendant’s Profits (15 U.S.C. § 1117(a))</w:t>
            </w:r>
            <w:r>
              <w:rPr>
                <w:webHidden/>
              </w:rPr>
              <w:tab/>
            </w:r>
            <w:r>
              <w:rPr>
                <w:webHidden/>
              </w:rPr>
              <w:fldChar w:fldCharType="begin"/>
            </w:r>
            <w:r>
              <w:rPr>
                <w:webHidden/>
              </w:rPr>
              <w:instrText xml:space="preserve"> PAGEREF _Toc221525297 \h </w:instrText>
            </w:r>
            <w:r>
              <w:rPr>
                <w:webHidden/>
              </w:rPr>
            </w:r>
            <w:r>
              <w:rPr>
                <w:webHidden/>
              </w:rPr>
              <w:fldChar w:fldCharType="separate"/>
            </w:r>
            <w:r w:rsidR="00313A05">
              <w:rPr>
                <w:webHidden/>
              </w:rPr>
              <w:t>472</w:t>
            </w:r>
            <w:r>
              <w:rPr>
                <w:webHidden/>
              </w:rPr>
              <w:fldChar w:fldCharType="end"/>
            </w:r>
          </w:hyperlink>
        </w:p>
        <w:p w14:paraId="35DD0463" w14:textId="744A36B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8" w:history="1">
            <w:r w:rsidRPr="003A1D65">
              <w:rPr>
                <w:rStyle w:val="Hyperlink"/>
              </w:rPr>
              <w:t>15.32 Trademark Dilution (15 U.S.C. § 1125(c))</w:t>
            </w:r>
            <w:r>
              <w:rPr>
                <w:webHidden/>
              </w:rPr>
              <w:tab/>
            </w:r>
            <w:r>
              <w:rPr>
                <w:webHidden/>
              </w:rPr>
              <w:fldChar w:fldCharType="begin"/>
            </w:r>
            <w:r>
              <w:rPr>
                <w:webHidden/>
              </w:rPr>
              <w:instrText xml:space="preserve"> PAGEREF _Toc221525298 \h </w:instrText>
            </w:r>
            <w:r>
              <w:rPr>
                <w:webHidden/>
              </w:rPr>
            </w:r>
            <w:r>
              <w:rPr>
                <w:webHidden/>
              </w:rPr>
              <w:fldChar w:fldCharType="separate"/>
            </w:r>
            <w:r w:rsidR="00313A05">
              <w:rPr>
                <w:webHidden/>
              </w:rPr>
              <w:t>475</w:t>
            </w:r>
            <w:r>
              <w:rPr>
                <w:webHidden/>
              </w:rPr>
              <w:fldChar w:fldCharType="end"/>
            </w:r>
          </w:hyperlink>
        </w:p>
        <w:p w14:paraId="7AFE2081" w14:textId="2CA1853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9" w:history="1">
            <w:r w:rsidRPr="003A1D65">
              <w:rPr>
                <w:rStyle w:val="Hyperlink"/>
              </w:rPr>
              <w:t>15.33 Anti-Cybersquatting (15 U.S.C. § 1125(d))</w:t>
            </w:r>
            <w:r>
              <w:rPr>
                <w:webHidden/>
              </w:rPr>
              <w:tab/>
            </w:r>
            <w:r>
              <w:rPr>
                <w:webHidden/>
              </w:rPr>
              <w:fldChar w:fldCharType="begin"/>
            </w:r>
            <w:r>
              <w:rPr>
                <w:webHidden/>
              </w:rPr>
              <w:instrText xml:space="preserve"> PAGEREF _Toc221525299 \h </w:instrText>
            </w:r>
            <w:r>
              <w:rPr>
                <w:webHidden/>
              </w:rPr>
            </w:r>
            <w:r>
              <w:rPr>
                <w:webHidden/>
              </w:rPr>
              <w:fldChar w:fldCharType="separate"/>
            </w:r>
            <w:r w:rsidR="00313A05">
              <w:rPr>
                <w:webHidden/>
              </w:rPr>
              <w:t>476</w:t>
            </w:r>
            <w:r>
              <w:rPr>
                <w:webHidden/>
              </w:rPr>
              <w:fldChar w:fldCharType="end"/>
            </w:r>
          </w:hyperlink>
        </w:p>
        <w:p w14:paraId="0231ED34" w14:textId="237E5F1C" w:rsidR="0068478E" w:rsidRDefault="0068478E">
          <w:pPr>
            <w:pStyle w:val="TOC1"/>
            <w:rPr>
              <w:rFonts w:asciiTheme="minorHAnsi" w:eastAsiaTheme="minorEastAsia" w:hAnsiTheme="minorHAnsi"/>
              <w:noProof/>
              <w:kern w:val="2"/>
              <w:szCs w:val="24"/>
              <w14:ligatures w14:val="standardContextual"/>
            </w:rPr>
          </w:pPr>
          <w:hyperlink w:anchor="_Toc221525300" w:history="1">
            <w:r w:rsidRPr="003A1D65">
              <w:rPr>
                <w:rStyle w:val="Hyperlink"/>
                <w:noProof/>
              </w:rPr>
              <w:t>16. PATENTS</w:t>
            </w:r>
            <w:r>
              <w:rPr>
                <w:noProof/>
                <w:webHidden/>
              </w:rPr>
              <w:tab/>
            </w:r>
            <w:r>
              <w:rPr>
                <w:noProof/>
                <w:webHidden/>
              </w:rPr>
              <w:fldChar w:fldCharType="begin"/>
            </w:r>
            <w:r>
              <w:rPr>
                <w:noProof/>
                <w:webHidden/>
              </w:rPr>
              <w:instrText xml:space="preserve"> PAGEREF _Toc221525300 \h </w:instrText>
            </w:r>
            <w:r>
              <w:rPr>
                <w:noProof/>
                <w:webHidden/>
              </w:rPr>
            </w:r>
            <w:r>
              <w:rPr>
                <w:noProof/>
                <w:webHidden/>
              </w:rPr>
              <w:fldChar w:fldCharType="separate"/>
            </w:r>
            <w:r w:rsidR="00313A05">
              <w:rPr>
                <w:noProof/>
                <w:webHidden/>
              </w:rPr>
              <w:t>477</w:t>
            </w:r>
            <w:r>
              <w:rPr>
                <w:noProof/>
                <w:webHidden/>
              </w:rPr>
              <w:fldChar w:fldCharType="end"/>
            </w:r>
          </w:hyperlink>
        </w:p>
        <w:p w14:paraId="50658C93" w14:textId="1ABA3213" w:rsidR="0068478E" w:rsidRPr="0068478E" w:rsidRDefault="0068478E">
          <w:pPr>
            <w:pStyle w:val="TOC1"/>
            <w:rPr>
              <w:rFonts w:asciiTheme="minorHAnsi" w:eastAsiaTheme="minorEastAsia" w:hAnsiTheme="minorHAnsi"/>
              <w:noProof/>
              <w:kern w:val="2"/>
              <w:szCs w:val="24"/>
              <w14:ligatures w14:val="standardContextual"/>
            </w:rPr>
          </w:pPr>
          <w:hyperlink w:anchor="_Toc221525301" w:history="1">
            <w:r w:rsidRPr="0068478E">
              <w:rPr>
                <w:rStyle w:val="Hyperlink"/>
                <w:rFonts w:eastAsia="Calibri" w:cs="Times New Roman"/>
                <w:noProof/>
              </w:rPr>
              <w:t>17. COPYRIGHT</w:t>
            </w:r>
            <w:r w:rsidRPr="0068478E">
              <w:rPr>
                <w:noProof/>
                <w:webHidden/>
              </w:rPr>
              <w:tab/>
            </w:r>
            <w:r w:rsidRPr="0068478E">
              <w:rPr>
                <w:noProof/>
                <w:webHidden/>
              </w:rPr>
              <w:fldChar w:fldCharType="begin"/>
            </w:r>
            <w:r w:rsidRPr="0068478E">
              <w:rPr>
                <w:noProof/>
                <w:webHidden/>
              </w:rPr>
              <w:instrText xml:space="preserve"> PAGEREF _Toc221525301 \h </w:instrText>
            </w:r>
            <w:r w:rsidRPr="0068478E">
              <w:rPr>
                <w:noProof/>
                <w:webHidden/>
              </w:rPr>
            </w:r>
            <w:r w:rsidRPr="0068478E">
              <w:rPr>
                <w:noProof/>
                <w:webHidden/>
              </w:rPr>
              <w:fldChar w:fldCharType="separate"/>
            </w:r>
            <w:r w:rsidR="00313A05">
              <w:rPr>
                <w:noProof/>
                <w:webHidden/>
              </w:rPr>
              <w:t>478</w:t>
            </w:r>
            <w:r w:rsidRPr="0068478E">
              <w:rPr>
                <w:noProof/>
                <w:webHidden/>
              </w:rPr>
              <w:fldChar w:fldCharType="end"/>
            </w:r>
          </w:hyperlink>
        </w:p>
        <w:p w14:paraId="62CED572" w14:textId="680EC5B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2" w:history="1">
            <w:r w:rsidRPr="0068478E">
              <w:rPr>
                <w:rStyle w:val="Hyperlink"/>
                <w:rFonts w:eastAsia="Calibri"/>
              </w:rPr>
              <w:t>17.1 Preliminary Instruction—Copyright</w:t>
            </w:r>
            <w:r w:rsidRPr="0068478E">
              <w:rPr>
                <w:webHidden/>
              </w:rPr>
              <w:tab/>
            </w:r>
            <w:r w:rsidRPr="0068478E">
              <w:rPr>
                <w:webHidden/>
              </w:rPr>
              <w:fldChar w:fldCharType="begin"/>
            </w:r>
            <w:r w:rsidRPr="0068478E">
              <w:rPr>
                <w:webHidden/>
              </w:rPr>
              <w:instrText xml:space="preserve"> PAGEREF _Toc221525302 \h </w:instrText>
            </w:r>
            <w:r w:rsidRPr="0068478E">
              <w:rPr>
                <w:webHidden/>
              </w:rPr>
            </w:r>
            <w:r w:rsidRPr="0068478E">
              <w:rPr>
                <w:webHidden/>
              </w:rPr>
              <w:fldChar w:fldCharType="separate"/>
            </w:r>
            <w:r w:rsidR="00313A05">
              <w:rPr>
                <w:webHidden/>
              </w:rPr>
              <w:t>480</w:t>
            </w:r>
            <w:r w:rsidRPr="0068478E">
              <w:rPr>
                <w:webHidden/>
              </w:rPr>
              <w:fldChar w:fldCharType="end"/>
            </w:r>
          </w:hyperlink>
        </w:p>
        <w:p w14:paraId="33DF526D" w14:textId="383A298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3" w:history="1">
            <w:r w:rsidRPr="0068478E">
              <w:rPr>
                <w:rStyle w:val="Hyperlink"/>
                <w:rFonts w:eastAsia="Calibri"/>
              </w:rPr>
              <w:t>17.2 Copyright—Defined (17 U.S.C. § 106)</w:t>
            </w:r>
            <w:r w:rsidRPr="0068478E">
              <w:rPr>
                <w:webHidden/>
              </w:rPr>
              <w:tab/>
            </w:r>
            <w:r w:rsidRPr="0068478E">
              <w:rPr>
                <w:webHidden/>
              </w:rPr>
              <w:fldChar w:fldCharType="begin"/>
            </w:r>
            <w:r w:rsidRPr="0068478E">
              <w:rPr>
                <w:webHidden/>
              </w:rPr>
              <w:instrText xml:space="preserve"> PAGEREF _Toc221525303 \h </w:instrText>
            </w:r>
            <w:r w:rsidRPr="0068478E">
              <w:rPr>
                <w:webHidden/>
              </w:rPr>
            </w:r>
            <w:r w:rsidRPr="0068478E">
              <w:rPr>
                <w:webHidden/>
              </w:rPr>
              <w:fldChar w:fldCharType="separate"/>
            </w:r>
            <w:r w:rsidR="00313A05">
              <w:rPr>
                <w:webHidden/>
              </w:rPr>
              <w:t>485</w:t>
            </w:r>
            <w:r w:rsidRPr="0068478E">
              <w:rPr>
                <w:webHidden/>
              </w:rPr>
              <w:fldChar w:fldCharType="end"/>
            </w:r>
          </w:hyperlink>
        </w:p>
        <w:p w14:paraId="1969FB8A" w14:textId="41FAF8C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4" w:history="1">
            <w:r w:rsidRPr="0068478E">
              <w:rPr>
                <w:rStyle w:val="Hyperlink"/>
                <w:rFonts w:eastAsia="Calibri"/>
              </w:rPr>
              <w:t>17.3 Copyright—Subject Matter—Generally (17 U.S.C. § 102)</w:t>
            </w:r>
            <w:r w:rsidRPr="0068478E">
              <w:rPr>
                <w:webHidden/>
              </w:rPr>
              <w:tab/>
            </w:r>
            <w:r w:rsidRPr="0068478E">
              <w:rPr>
                <w:webHidden/>
              </w:rPr>
              <w:fldChar w:fldCharType="begin"/>
            </w:r>
            <w:r w:rsidRPr="0068478E">
              <w:rPr>
                <w:webHidden/>
              </w:rPr>
              <w:instrText xml:space="preserve"> PAGEREF _Toc221525304 \h </w:instrText>
            </w:r>
            <w:r w:rsidRPr="0068478E">
              <w:rPr>
                <w:webHidden/>
              </w:rPr>
            </w:r>
            <w:r w:rsidRPr="0068478E">
              <w:rPr>
                <w:webHidden/>
              </w:rPr>
              <w:fldChar w:fldCharType="separate"/>
            </w:r>
            <w:r w:rsidR="00313A05">
              <w:rPr>
                <w:webHidden/>
              </w:rPr>
              <w:t>486</w:t>
            </w:r>
            <w:r w:rsidRPr="0068478E">
              <w:rPr>
                <w:webHidden/>
              </w:rPr>
              <w:fldChar w:fldCharType="end"/>
            </w:r>
          </w:hyperlink>
        </w:p>
        <w:p w14:paraId="11E38BBE" w14:textId="7E18A9D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5" w:history="1">
            <w:r w:rsidRPr="0068478E">
              <w:rPr>
                <w:rStyle w:val="Hyperlink"/>
                <w:rFonts w:eastAsia="Calibri"/>
              </w:rPr>
              <w:t>17.4 Copyright—Subject Matter—Ideas and Expression  (17 U.S.C. § 102(b))</w:t>
            </w:r>
            <w:r w:rsidRPr="0068478E">
              <w:rPr>
                <w:webHidden/>
              </w:rPr>
              <w:tab/>
            </w:r>
            <w:r w:rsidRPr="0068478E">
              <w:rPr>
                <w:webHidden/>
              </w:rPr>
              <w:fldChar w:fldCharType="begin"/>
            </w:r>
            <w:r w:rsidRPr="0068478E">
              <w:rPr>
                <w:webHidden/>
              </w:rPr>
              <w:instrText xml:space="preserve"> PAGEREF _Toc221525305 \h </w:instrText>
            </w:r>
            <w:r w:rsidRPr="0068478E">
              <w:rPr>
                <w:webHidden/>
              </w:rPr>
            </w:r>
            <w:r w:rsidRPr="0068478E">
              <w:rPr>
                <w:webHidden/>
              </w:rPr>
              <w:fldChar w:fldCharType="separate"/>
            </w:r>
            <w:r w:rsidR="00313A05">
              <w:rPr>
                <w:webHidden/>
              </w:rPr>
              <w:t>488</w:t>
            </w:r>
            <w:r w:rsidRPr="0068478E">
              <w:rPr>
                <w:webHidden/>
              </w:rPr>
              <w:fldChar w:fldCharType="end"/>
            </w:r>
          </w:hyperlink>
        </w:p>
        <w:p w14:paraId="6174AAC0" w14:textId="6D28B0F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6" w:history="1">
            <w:r w:rsidRPr="0068478E">
              <w:rPr>
                <w:rStyle w:val="Hyperlink"/>
                <w:rFonts w:eastAsia="Calibri"/>
              </w:rPr>
              <w:t>17.5 Copyright Infringement—Elements—Ownership and Copying  (17 U.S.C. § 501(a)-(b))</w:t>
            </w:r>
            <w:r w:rsidRPr="0068478E">
              <w:rPr>
                <w:webHidden/>
              </w:rPr>
              <w:tab/>
            </w:r>
            <w:r w:rsidRPr="0068478E">
              <w:rPr>
                <w:webHidden/>
              </w:rPr>
              <w:fldChar w:fldCharType="begin"/>
            </w:r>
            <w:r w:rsidRPr="0068478E">
              <w:rPr>
                <w:webHidden/>
              </w:rPr>
              <w:instrText xml:space="preserve"> PAGEREF _Toc221525306 \h </w:instrText>
            </w:r>
            <w:r w:rsidRPr="0068478E">
              <w:rPr>
                <w:webHidden/>
              </w:rPr>
            </w:r>
            <w:r w:rsidRPr="0068478E">
              <w:rPr>
                <w:webHidden/>
              </w:rPr>
              <w:fldChar w:fldCharType="separate"/>
            </w:r>
            <w:r w:rsidR="00313A05">
              <w:rPr>
                <w:webHidden/>
              </w:rPr>
              <w:t>489</w:t>
            </w:r>
            <w:r w:rsidRPr="0068478E">
              <w:rPr>
                <w:webHidden/>
              </w:rPr>
              <w:fldChar w:fldCharType="end"/>
            </w:r>
          </w:hyperlink>
        </w:p>
        <w:p w14:paraId="53C76077" w14:textId="2AA6D12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7" w:history="1">
            <w:r w:rsidRPr="0068478E">
              <w:rPr>
                <w:rStyle w:val="Hyperlink"/>
                <w:rFonts w:eastAsia="Calibri"/>
              </w:rPr>
              <w:t>17.6 Copyright Infringement—Ownership of Valid Copyright—Definition  (17 U.S.C. §§ 201–205)</w:t>
            </w:r>
            <w:r w:rsidRPr="0068478E">
              <w:rPr>
                <w:webHidden/>
              </w:rPr>
              <w:tab/>
            </w:r>
            <w:r w:rsidRPr="0068478E">
              <w:rPr>
                <w:webHidden/>
              </w:rPr>
              <w:fldChar w:fldCharType="begin"/>
            </w:r>
            <w:r w:rsidRPr="0068478E">
              <w:rPr>
                <w:webHidden/>
              </w:rPr>
              <w:instrText xml:space="preserve"> PAGEREF _Toc221525307 \h </w:instrText>
            </w:r>
            <w:r w:rsidRPr="0068478E">
              <w:rPr>
                <w:webHidden/>
              </w:rPr>
            </w:r>
            <w:r w:rsidRPr="0068478E">
              <w:rPr>
                <w:webHidden/>
              </w:rPr>
              <w:fldChar w:fldCharType="separate"/>
            </w:r>
            <w:r w:rsidR="00313A05">
              <w:rPr>
                <w:webHidden/>
              </w:rPr>
              <w:t>491</w:t>
            </w:r>
            <w:r w:rsidRPr="0068478E">
              <w:rPr>
                <w:webHidden/>
              </w:rPr>
              <w:fldChar w:fldCharType="end"/>
            </w:r>
          </w:hyperlink>
        </w:p>
        <w:p w14:paraId="22CC9178" w14:textId="2917DB8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8" w:history="1">
            <w:r w:rsidRPr="0068478E">
              <w:rPr>
                <w:rStyle w:val="Hyperlink"/>
                <w:rFonts w:eastAsia="Calibri"/>
              </w:rPr>
              <w:t>17.7 Copyright Infringement—Copyright Registration Certificate  (17 U.S.C. § 410(c))</w:t>
            </w:r>
            <w:r w:rsidRPr="0068478E">
              <w:rPr>
                <w:webHidden/>
              </w:rPr>
              <w:tab/>
            </w:r>
            <w:r w:rsidRPr="0068478E">
              <w:rPr>
                <w:webHidden/>
              </w:rPr>
              <w:fldChar w:fldCharType="begin"/>
            </w:r>
            <w:r w:rsidRPr="0068478E">
              <w:rPr>
                <w:webHidden/>
              </w:rPr>
              <w:instrText xml:space="preserve"> PAGEREF _Toc221525308 \h </w:instrText>
            </w:r>
            <w:r w:rsidRPr="0068478E">
              <w:rPr>
                <w:webHidden/>
              </w:rPr>
            </w:r>
            <w:r w:rsidRPr="0068478E">
              <w:rPr>
                <w:webHidden/>
              </w:rPr>
              <w:fldChar w:fldCharType="separate"/>
            </w:r>
            <w:r w:rsidR="00313A05">
              <w:rPr>
                <w:webHidden/>
              </w:rPr>
              <w:t>492</w:t>
            </w:r>
            <w:r w:rsidRPr="0068478E">
              <w:rPr>
                <w:webHidden/>
              </w:rPr>
              <w:fldChar w:fldCharType="end"/>
            </w:r>
          </w:hyperlink>
        </w:p>
        <w:p w14:paraId="1CF57313" w14:textId="6A312FB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9" w:history="1">
            <w:r w:rsidRPr="0068478E">
              <w:rPr>
                <w:rStyle w:val="Hyperlink"/>
                <w:rFonts w:eastAsia="Calibri"/>
              </w:rPr>
              <w:t>17.8 Copyright Interests—Authorship  (17 U.S.C. § 201(a))</w:t>
            </w:r>
            <w:r w:rsidRPr="0068478E">
              <w:rPr>
                <w:webHidden/>
              </w:rPr>
              <w:tab/>
            </w:r>
            <w:r w:rsidRPr="0068478E">
              <w:rPr>
                <w:webHidden/>
              </w:rPr>
              <w:fldChar w:fldCharType="begin"/>
            </w:r>
            <w:r w:rsidRPr="0068478E">
              <w:rPr>
                <w:webHidden/>
              </w:rPr>
              <w:instrText xml:space="preserve"> PAGEREF _Toc221525309 \h </w:instrText>
            </w:r>
            <w:r w:rsidRPr="0068478E">
              <w:rPr>
                <w:webHidden/>
              </w:rPr>
            </w:r>
            <w:r w:rsidRPr="0068478E">
              <w:rPr>
                <w:webHidden/>
              </w:rPr>
              <w:fldChar w:fldCharType="separate"/>
            </w:r>
            <w:r w:rsidR="00313A05">
              <w:rPr>
                <w:webHidden/>
              </w:rPr>
              <w:t>495</w:t>
            </w:r>
            <w:r w:rsidRPr="0068478E">
              <w:rPr>
                <w:webHidden/>
              </w:rPr>
              <w:fldChar w:fldCharType="end"/>
            </w:r>
          </w:hyperlink>
        </w:p>
        <w:p w14:paraId="0F4C6883" w14:textId="68B2B62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0" w:history="1">
            <w:r w:rsidRPr="0068478E">
              <w:rPr>
                <w:rStyle w:val="Hyperlink"/>
                <w:rFonts w:eastAsia="Calibri"/>
              </w:rPr>
              <w:t>17.9 Copyright Interests— Joint Authors  (17 U.S.C. §§ 101, 201(a))</w:t>
            </w:r>
            <w:r w:rsidRPr="0068478E">
              <w:rPr>
                <w:webHidden/>
              </w:rPr>
              <w:tab/>
            </w:r>
            <w:r w:rsidRPr="0068478E">
              <w:rPr>
                <w:webHidden/>
              </w:rPr>
              <w:fldChar w:fldCharType="begin"/>
            </w:r>
            <w:r w:rsidRPr="0068478E">
              <w:rPr>
                <w:webHidden/>
              </w:rPr>
              <w:instrText xml:space="preserve"> PAGEREF _Toc221525310 \h </w:instrText>
            </w:r>
            <w:r w:rsidRPr="0068478E">
              <w:rPr>
                <w:webHidden/>
              </w:rPr>
            </w:r>
            <w:r w:rsidRPr="0068478E">
              <w:rPr>
                <w:webHidden/>
              </w:rPr>
              <w:fldChar w:fldCharType="separate"/>
            </w:r>
            <w:r w:rsidR="00313A05">
              <w:rPr>
                <w:webHidden/>
              </w:rPr>
              <w:t>496</w:t>
            </w:r>
            <w:r w:rsidRPr="0068478E">
              <w:rPr>
                <w:webHidden/>
              </w:rPr>
              <w:fldChar w:fldCharType="end"/>
            </w:r>
          </w:hyperlink>
        </w:p>
        <w:p w14:paraId="01521D72" w14:textId="069CAE3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1" w:history="1">
            <w:r w:rsidRPr="0068478E">
              <w:rPr>
                <w:rStyle w:val="Hyperlink"/>
                <w:rFonts w:eastAsia="Calibri"/>
              </w:rPr>
              <w:t>17.10 Copyright Interests—Authors of Collective Works (17 U.S.C. § 201(c))</w:t>
            </w:r>
            <w:r w:rsidRPr="0068478E">
              <w:rPr>
                <w:webHidden/>
              </w:rPr>
              <w:tab/>
            </w:r>
            <w:r w:rsidRPr="0068478E">
              <w:rPr>
                <w:webHidden/>
              </w:rPr>
              <w:fldChar w:fldCharType="begin"/>
            </w:r>
            <w:r w:rsidRPr="0068478E">
              <w:rPr>
                <w:webHidden/>
              </w:rPr>
              <w:instrText xml:space="preserve"> PAGEREF _Toc221525311 \h </w:instrText>
            </w:r>
            <w:r w:rsidRPr="0068478E">
              <w:rPr>
                <w:webHidden/>
              </w:rPr>
            </w:r>
            <w:r w:rsidRPr="0068478E">
              <w:rPr>
                <w:webHidden/>
              </w:rPr>
              <w:fldChar w:fldCharType="separate"/>
            </w:r>
            <w:r w:rsidR="00313A05">
              <w:rPr>
                <w:webHidden/>
              </w:rPr>
              <w:t>499</w:t>
            </w:r>
            <w:r w:rsidRPr="0068478E">
              <w:rPr>
                <w:webHidden/>
              </w:rPr>
              <w:fldChar w:fldCharType="end"/>
            </w:r>
          </w:hyperlink>
        </w:p>
        <w:p w14:paraId="46404633" w14:textId="64A48CC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2" w:history="1">
            <w:r w:rsidRPr="0068478E">
              <w:rPr>
                <w:rStyle w:val="Hyperlink"/>
                <w:rFonts w:eastAsia="Calibri"/>
              </w:rPr>
              <w:t>17.11 Copyright Interests—Work Made for Hire by Employee</w:t>
            </w:r>
            <w:r w:rsidRPr="0068478E">
              <w:rPr>
                <w:webHidden/>
              </w:rPr>
              <w:tab/>
            </w:r>
            <w:r w:rsidRPr="0068478E">
              <w:rPr>
                <w:webHidden/>
              </w:rPr>
              <w:fldChar w:fldCharType="begin"/>
            </w:r>
            <w:r w:rsidRPr="0068478E">
              <w:rPr>
                <w:webHidden/>
              </w:rPr>
              <w:instrText xml:space="preserve"> PAGEREF _Toc221525312 \h </w:instrText>
            </w:r>
            <w:r w:rsidRPr="0068478E">
              <w:rPr>
                <w:webHidden/>
              </w:rPr>
            </w:r>
            <w:r w:rsidRPr="0068478E">
              <w:rPr>
                <w:webHidden/>
              </w:rPr>
              <w:fldChar w:fldCharType="separate"/>
            </w:r>
            <w:r w:rsidR="00313A05">
              <w:rPr>
                <w:webHidden/>
              </w:rPr>
              <w:t>501</w:t>
            </w:r>
            <w:r w:rsidRPr="0068478E">
              <w:rPr>
                <w:webHidden/>
              </w:rPr>
              <w:fldChar w:fldCharType="end"/>
            </w:r>
          </w:hyperlink>
        </w:p>
        <w:p w14:paraId="2AD1FDAD" w14:textId="6AD7C29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3" w:history="1">
            <w:r w:rsidRPr="0068478E">
              <w:rPr>
                <w:rStyle w:val="Hyperlink"/>
                <w:rFonts w:eastAsia="Calibri"/>
              </w:rPr>
              <w:t>17.12 Copyright Interests—Assignee (17 U.S.C. § 201(d)(1))</w:t>
            </w:r>
            <w:r w:rsidRPr="0068478E">
              <w:rPr>
                <w:webHidden/>
              </w:rPr>
              <w:tab/>
            </w:r>
            <w:r w:rsidRPr="0068478E">
              <w:rPr>
                <w:webHidden/>
              </w:rPr>
              <w:fldChar w:fldCharType="begin"/>
            </w:r>
            <w:r w:rsidRPr="0068478E">
              <w:rPr>
                <w:webHidden/>
              </w:rPr>
              <w:instrText xml:space="preserve"> PAGEREF _Toc221525313 \h </w:instrText>
            </w:r>
            <w:r w:rsidRPr="0068478E">
              <w:rPr>
                <w:webHidden/>
              </w:rPr>
            </w:r>
            <w:r w:rsidRPr="0068478E">
              <w:rPr>
                <w:webHidden/>
              </w:rPr>
              <w:fldChar w:fldCharType="separate"/>
            </w:r>
            <w:r w:rsidR="00313A05">
              <w:rPr>
                <w:webHidden/>
              </w:rPr>
              <w:t>504</w:t>
            </w:r>
            <w:r w:rsidRPr="0068478E">
              <w:rPr>
                <w:webHidden/>
              </w:rPr>
              <w:fldChar w:fldCharType="end"/>
            </w:r>
          </w:hyperlink>
        </w:p>
        <w:p w14:paraId="54FDB169" w14:textId="021038A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4" w:history="1">
            <w:r w:rsidRPr="0068478E">
              <w:rPr>
                <w:rStyle w:val="Hyperlink"/>
                <w:rFonts w:eastAsia="Calibri"/>
              </w:rPr>
              <w:t>17.13 Copyright Interests—Exclusive Licensee (17 U.S.C. § 201(d)(2))</w:t>
            </w:r>
            <w:r w:rsidRPr="0068478E">
              <w:rPr>
                <w:webHidden/>
              </w:rPr>
              <w:tab/>
            </w:r>
            <w:r w:rsidRPr="0068478E">
              <w:rPr>
                <w:webHidden/>
              </w:rPr>
              <w:fldChar w:fldCharType="begin"/>
            </w:r>
            <w:r w:rsidRPr="0068478E">
              <w:rPr>
                <w:webHidden/>
              </w:rPr>
              <w:instrText xml:space="preserve"> PAGEREF _Toc221525314 \h </w:instrText>
            </w:r>
            <w:r w:rsidRPr="0068478E">
              <w:rPr>
                <w:webHidden/>
              </w:rPr>
            </w:r>
            <w:r w:rsidRPr="0068478E">
              <w:rPr>
                <w:webHidden/>
              </w:rPr>
              <w:fldChar w:fldCharType="separate"/>
            </w:r>
            <w:r w:rsidR="00313A05">
              <w:rPr>
                <w:webHidden/>
              </w:rPr>
              <w:t>507</w:t>
            </w:r>
            <w:r w:rsidRPr="0068478E">
              <w:rPr>
                <w:webHidden/>
              </w:rPr>
              <w:fldChar w:fldCharType="end"/>
            </w:r>
          </w:hyperlink>
        </w:p>
        <w:p w14:paraId="238BE1A3" w14:textId="29CB9CF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5" w:history="1">
            <w:r w:rsidRPr="0068478E">
              <w:rPr>
                <w:rStyle w:val="Hyperlink"/>
                <w:rFonts w:eastAsia="Calibri"/>
              </w:rPr>
              <w:t>17.14 Copyright Infringement—Originality</w:t>
            </w:r>
            <w:r w:rsidRPr="0068478E">
              <w:rPr>
                <w:webHidden/>
              </w:rPr>
              <w:tab/>
            </w:r>
            <w:r w:rsidRPr="0068478E">
              <w:rPr>
                <w:webHidden/>
              </w:rPr>
              <w:fldChar w:fldCharType="begin"/>
            </w:r>
            <w:r w:rsidRPr="0068478E">
              <w:rPr>
                <w:webHidden/>
              </w:rPr>
              <w:instrText xml:space="preserve"> PAGEREF _Toc221525315 \h </w:instrText>
            </w:r>
            <w:r w:rsidRPr="0068478E">
              <w:rPr>
                <w:webHidden/>
              </w:rPr>
            </w:r>
            <w:r w:rsidRPr="0068478E">
              <w:rPr>
                <w:webHidden/>
              </w:rPr>
              <w:fldChar w:fldCharType="separate"/>
            </w:r>
            <w:r w:rsidR="00313A05">
              <w:rPr>
                <w:webHidden/>
              </w:rPr>
              <w:t>509</w:t>
            </w:r>
            <w:r w:rsidRPr="0068478E">
              <w:rPr>
                <w:webHidden/>
              </w:rPr>
              <w:fldChar w:fldCharType="end"/>
            </w:r>
          </w:hyperlink>
        </w:p>
        <w:p w14:paraId="485BF18C" w14:textId="62B2363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6" w:history="1">
            <w:r w:rsidRPr="0068478E">
              <w:rPr>
                <w:rStyle w:val="Hyperlink"/>
                <w:rFonts w:eastAsia="Calibri"/>
              </w:rPr>
              <w:t>17.15 Copyright Interests—Derivative Work</w:t>
            </w:r>
            <w:r w:rsidRPr="0068478E">
              <w:rPr>
                <w:webHidden/>
              </w:rPr>
              <w:tab/>
            </w:r>
            <w:r w:rsidRPr="0068478E">
              <w:rPr>
                <w:webHidden/>
              </w:rPr>
              <w:fldChar w:fldCharType="begin"/>
            </w:r>
            <w:r w:rsidRPr="0068478E">
              <w:rPr>
                <w:webHidden/>
              </w:rPr>
              <w:instrText xml:space="preserve"> PAGEREF _Toc221525316 \h </w:instrText>
            </w:r>
            <w:r w:rsidRPr="0068478E">
              <w:rPr>
                <w:webHidden/>
              </w:rPr>
            </w:r>
            <w:r w:rsidRPr="0068478E">
              <w:rPr>
                <w:webHidden/>
              </w:rPr>
              <w:fldChar w:fldCharType="separate"/>
            </w:r>
            <w:r w:rsidR="00313A05">
              <w:rPr>
                <w:webHidden/>
              </w:rPr>
              <w:t>511</w:t>
            </w:r>
            <w:r w:rsidRPr="0068478E">
              <w:rPr>
                <w:webHidden/>
              </w:rPr>
              <w:fldChar w:fldCharType="end"/>
            </w:r>
          </w:hyperlink>
        </w:p>
        <w:p w14:paraId="0A4E5EB4" w14:textId="03DA08E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7" w:history="1">
            <w:r w:rsidRPr="0068478E">
              <w:rPr>
                <w:rStyle w:val="Hyperlink"/>
                <w:rFonts w:eastAsia="Calibri"/>
              </w:rPr>
              <w:t>17.16 Compilation (17 U.S.C. § 101)</w:t>
            </w:r>
            <w:r w:rsidRPr="0068478E">
              <w:rPr>
                <w:webHidden/>
              </w:rPr>
              <w:tab/>
            </w:r>
            <w:r w:rsidRPr="0068478E">
              <w:rPr>
                <w:webHidden/>
              </w:rPr>
              <w:fldChar w:fldCharType="begin"/>
            </w:r>
            <w:r w:rsidRPr="0068478E">
              <w:rPr>
                <w:webHidden/>
              </w:rPr>
              <w:instrText xml:space="preserve"> PAGEREF _Toc221525317 \h </w:instrText>
            </w:r>
            <w:r w:rsidRPr="0068478E">
              <w:rPr>
                <w:webHidden/>
              </w:rPr>
            </w:r>
            <w:r w:rsidRPr="0068478E">
              <w:rPr>
                <w:webHidden/>
              </w:rPr>
              <w:fldChar w:fldCharType="separate"/>
            </w:r>
            <w:r w:rsidR="00313A05">
              <w:rPr>
                <w:webHidden/>
              </w:rPr>
              <w:t>513</w:t>
            </w:r>
            <w:r w:rsidRPr="0068478E">
              <w:rPr>
                <w:webHidden/>
              </w:rPr>
              <w:fldChar w:fldCharType="end"/>
            </w:r>
          </w:hyperlink>
        </w:p>
        <w:p w14:paraId="7B93E6DE" w14:textId="48424CF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8" w:history="1">
            <w:r w:rsidRPr="0068478E">
              <w:rPr>
                <w:rStyle w:val="Hyperlink"/>
                <w:rFonts w:eastAsia="Calibri"/>
              </w:rPr>
              <w:t>17.17 Copying—Access and Substantial Similarity</w:t>
            </w:r>
            <w:r w:rsidRPr="0068478E">
              <w:rPr>
                <w:webHidden/>
              </w:rPr>
              <w:tab/>
            </w:r>
            <w:r w:rsidRPr="0068478E">
              <w:rPr>
                <w:webHidden/>
              </w:rPr>
              <w:fldChar w:fldCharType="begin"/>
            </w:r>
            <w:r w:rsidRPr="0068478E">
              <w:rPr>
                <w:webHidden/>
              </w:rPr>
              <w:instrText xml:space="preserve"> PAGEREF _Toc221525318 \h </w:instrText>
            </w:r>
            <w:r w:rsidRPr="0068478E">
              <w:rPr>
                <w:webHidden/>
              </w:rPr>
            </w:r>
            <w:r w:rsidRPr="0068478E">
              <w:rPr>
                <w:webHidden/>
              </w:rPr>
              <w:fldChar w:fldCharType="separate"/>
            </w:r>
            <w:r w:rsidR="00313A05">
              <w:rPr>
                <w:webHidden/>
              </w:rPr>
              <w:t>515</w:t>
            </w:r>
            <w:r w:rsidRPr="0068478E">
              <w:rPr>
                <w:webHidden/>
              </w:rPr>
              <w:fldChar w:fldCharType="end"/>
            </w:r>
          </w:hyperlink>
        </w:p>
        <w:p w14:paraId="740CDDCA" w14:textId="2E648B4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9" w:history="1">
            <w:r w:rsidRPr="0068478E">
              <w:rPr>
                <w:rStyle w:val="Hyperlink"/>
                <w:rFonts w:eastAsia="Calibri"/>
              </w:rPr>
              <w:t>17.18 Copyright Infringement—Copying—Access Defined</w:t>
            </w:r>
            <w:r w:rsidRPr="0068478E">
              <w:rPr>
                <w:webHidden/>
              </w:rPr>
              <w:tab/>
            </w:r>
            <w:r w:rsidRPr="0068478E">
              <w:rPr>
                <w:webHidden/>
              </w:rPr>
              <w:fldChar w:fldCharType="begin"/>
            </w:r>
            <w:r w:rsidRPr="0068478E">
              <w:rPr>
                <w:webHidden/>
              </w:rPr>
              <w:instrText xml:space="preserve"> PAGEREF _Toc221525319 \h </w:instrText>
            </w:r>
            <w:r w:rsidRPr="0068478E">
              <w:rPr>
                <w:webHidden/>
              </w:rPr>
            </w:r>
            <w:r w:rsidRPr="0068478E">
              <w:rPr>
                <w:webHidden/>
              </w:rPr>
              <w:fldChar w:fldCharType="separate"/>
            </w:r>
            <w:r w:rsidR="00313A05">
              <w:rPr>
                <w:webHidden/>
              </w:rPr>
              <w:t>518</w:t>
            </w:r>
            <w:r w:rsidRPr="0068478E">
              <w:rPr>
                <w:webHidden/>
              </w:rPr>
              <w:fldChar w:fldCharType="end"/>
            </w:r>
          </w:hyperlink>
        </w:p>
        <w:p w14:paraId="2CA57410" w14:textId="24D2EF9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0" w:history="1">
            <w:r w:rsidRPr="0068478E">
              <w:rPr>
                <w:rStyle w:val="Hyperlink"/>
                <w:rFonts w:eastAsia="Calibri"/>
              </w:rPr>
              <w:t>17.19 Substantial Similarity—Extrinsic Test; Intrinsic Test</w:t>
            </w:r>
            <w:r w:rsidRPr="0068478E">
              <w:rPr>
                <w:webHidden/>
              </w:rPr>
              <w:tab/>
            </w:r>
            <w:r w:rsidRPr="0068478E">
              <w:rPr>
                <w:webHidden/>
              </w:rPr>
              <w:fldChar w:fldCharType="begin"/>
            </w:r>
            <w:r w:rsidRPr="0068478E">
              <w:rPr>
                <w:webHidden/>
              </w:rPr>
              <w:instrText xml:space="preserve"> PAGEREF _Toc221525320 \h </w:instrText>
            </w:r>
            <w:r w:rsidRPr="0068478E">
              <w:rPr>
                <w:webHidden/>
              </w:rPr>
            </w:r>
            <w:r w:rsidRPr="0068478E">
              <w:rPr>
                <w:webHidden/>
              </w:rPr>
              <w:fldChar w:fldCharType="separate"/>
            </w:r>
            <w:r w:rsidR="00313A05">
              <w:rPr>
                <w:webHidden/>
              </w:rPr>
              <w:t>520</w:t>
            </w:r>
            <w:r w:rsidRPr="0068478E">
              <w:rPr>
                <w:webHidden/>
              </w:rPr>
              <w:fldChar w:fldCharType="end"/>
            </w:r>
          </w:hyperlink>
        </w:p>
        <w:p w14:paraId="62625005" w14:textId="3597F14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1" w:history="1">
            <w:r w:rsidRPr="0068478E">
              <w:rPr>
                <w:rStyle w:val="Hyperlink"/>
                <w:rFonts w:eastAsia="Calibri"/>
              </w:rPr>
              <w:t>17.20 Secondary Liability—Vicarious Infringement—Elements and Burden of Proof</w:t>
            </w:r>
            <w:r w:rsidRPr="0068478E">
              <w:rPr>
                <w:webHidden/>
              </w:rPr>
              <w:tab/>
            </w:r>
            <w:r w:rsidRPr="0068478E">
              <w:rPr>
                <w:webHidden/>
              </w:rPr>
              <w:fldChar w:fldCharType="begin"/>
            </w:r>
            <w:r w:rsidRPr="0068478E">
              <w:rPr>
                <w:webHidden/>
              </w:rPr>
              <w:instrText xml:space="preserve"> PAGEREF _Toc221525321 \h </w:instrText>
            </w:r>
            <w:r w:rsidRPr="0068478E">
              <w:rPr>
                <w:webHidden/>
              </w:rPr>
            </w:r>
            <w:r w:rsidRPr="0068478E">
              <w:rPr>
                <w:webHidden/>
              </w:rPr>
              <w:fldChar w:fldCharType="separate"/>
            </w:r>
            <w:r w:rsidR="00313A05">
              <w:rPr>
                <w:webHidden/>
              </w:rPr>
              <w:t>523</w:t>
            </w:r>
            <w:r w:rsidRPr="0068478E">
              <w:rPr>
                <w:webHidden/>
              </w:rPr>
              <w:fldChar w:fldCharType="end"/>
            </w:r>
          </w:hyperlink>
        </w:p>
        <w:p w14:paraId="70A4B138" w14:textId="58CB438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2" w:history="1">
            <w:r w:rsidRPr="0068478E">
              <w:rPr>
                <w:rStyle w:val="Hyperlink"/>
                <w:rFonts w:eastAsia="Calibri"/>
              </w:rPr>
              <w:t>17.21 Secondary Liability—Contributory Infringement—Elements and Burden of Proof</w:t>
            </w:r>
            <w:r w:rsidRPr="0068478E">
              <w:rPr>
                <w:webHidden/>
              </w:rPr>
              <w:tab/>
            </w:r>
            <w:r w:rsidRPr="0068478E">
              <w:rPr>
                <w:webHidden/>
              </w:rPr>
              <w:fldChar w:fldCharType="begin"/>
            </w:r>
            <w:r w:rsidRPr="0068478E">
              <w:rPr>
                <w:webHidden/>
              </w:rPr>
              <w:instrText xml:space="preserve"> PAGEREF _Toc221525322 \h </w:instrText>
            </w:r>
            <w:r w:rsidRPr="0068478E">
              <w:rPr>
                <w:webHidden/>
              </w:rPr>
            </w:r>
            <w:r w:rsidRPr="0068478E">
              <w:rPr>
                <w:webHidden/>
              </w:rPr>
              <w:fldChar w:fldCharType="separate"/>
            </w:r>
            <w:r w:rsidR="00313A05">
              <w:rPr>
                <w:webHidden/>
              </w:rPr>
              <w:t>525</w:t>
            </w:r>
            <w:r w:rsidRPr="0068478E">
              <w:rPr>
                <w:webHidden/>
              </w:rPr>
              <w:fldChar w:fldCharType="end"/>
            </w:r>
          </w:hyperlink>
        </w:p>
        <w:p w14:paraId="792FB6A3" w14:textId="42F04ED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3" w:history="1">
            <w:r w:rsidRPr="0068478E">
              <w:rPr>
                <w:rStyle w:val="Hyperlink"/>
                <w:rFonts w:eastAsia="Calibri"/>
              </w:rPr>
              <w:t>17.22 Copyright—Useful Articles/Functional Elements (17 U.S.C. § 101)</w:t>
            </w:r>
            <w:r w:rsidRPr="0068478E">
              <w:rPr>
                <w:webHidden/>
              </w:rPr>
              <w:tab/>
            </w:r>
            <w:r w:rsidRPr="0068478E">
              <w:rPr>
                <w:webHidden/>
              </w:rPr>
              <w:fldChar w:fldCharType="begin"/>
            </w:r>
            <w:r w:rsidRPr="0068478E">
              <w:rPr>
                <w:webHidden/>
              </w:rPr>
              <w:instrText xml:space="preserve"> PAGEREF _Toc221525323 \h </w:instrText>
            </w:r>
            <w:r w:rsidRPr="0068478E">
              <w:rPr>
                <w:webHidden/>
              </w:rPr>
            </w:r>
            <w:r w:rsidRPr="0068478E">
              <w:rPr>
                <w:webHidden/>
              </w:rPr>
              <w:fldChar w:fldCharType="separate"/>
            </w:r>
            <w:r w:rsidR="00313A05">
              <w:rPr>
                <w:webHidden/>
              </w:rPr>
              <w:t>527</w:t>
            </w:r>
            <w:r w:rsidRPr="0068478E">
              <w:rPr>
                <w:webHidden/>
              </w:rPr>
              <w:fldChar w:fldCharType="end"/>
            </w:r>
          </w:hyperlink>
        </w:p>
        <w:p w14:paraId="367E90D0" w14:textId="2ECF9D9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4" w:history="1">
            <w:r w:rsidRPr="0068478E">
              <w:rPr>
                <w:rStyle w:val="Hyperlink"/>
                <w:rFonts w:eastAsia="Calibri"/>
              </w:rPr>
              <w:t xml:space="preserve">17.23 Copyright—Affirmative Defense—Fair </w:t>
            </w:r>
            <w:r w:rsidRPr="0068478E">
              <w:rPr>
                <w:rStyle w:val="Hyperlink"/>
                <w:rFonts w:eastAsia="Calibri"/>
                <w:spacing w:val="-5"/>
              </w:rPr>
              <w:t xml:space="preserve">Use </w:t>
            </w:r>
            <w:r w:rsidRPr="0068478E">
              <w:rPr>
                <w:rStyle w:val="Hyperlink"/>
                <w:rFonts w:eastAsia="Calibri"/>
              </w:rPr>
              <w:t>(17 U.S.C. §</w:t>
            </w:r>
            <w:r w:rsidRPr="0068478E">
              <w:rPr>
                <w:rStyle w:val="Hyperlink"/>
                <w:rFonts w:eastAsia="Calibri"/>
                <w:spacing w:val="-1"/>
              </w:rPr>
              <w:t xml:space="preserve"> </w:t>
            </w:r>
            <w:r w:rsidRPr="0068478E">
              <w:rPr>
                <w:rStyle w:val="Hyperlink"/>
                <w:rFonts w:eastAsia="Calibri"/>
              </w:rPr>
              <w:t>107)</w:t>
            </w:r>
            <w:r w:rsidRPr="0068478E">
              <w:rPr>
                <w:webHidden/>
              </w:rPr>
              <w:tab/>
            </w:r>
            <w:r w:rsidRPr="0068478E">
              <w:rPr>
                <w:webHidden/>
              </w:rPr>
              <w:fldChar w:fldCharType="begin"/>
            </w:r>
            <w:r w:rsidRPr="0068478E">
              <w:rPr>
                <w:webHidden/>
              </w:rPr>
              <w:instrText xml:space="preserve"> PAGEREF _Toc221525324 \h </w:instrText>
            </w:r>
            <w:r w:rsidRPr="0068478E">
              <w:rPr>
                <w:webHidden/>
              </w:rPr>
            </w:r>
            <w:r w:rsidRPr="0068478E">
              <w:rPr>
                <w:webHidden/>
              </w:rPr>
              <w:fldChar w:fldCharType="separate"/>
            </w:r>
            <w:r w:rsidR="00313A05">
              <w:rPr>
                <w:webHidden/>
              </w:rPr>
              <w:t>528</w:t>
            </w:r>
            <w:r w:rsidRPr="0068478E">
              <w:rPr>
                <w:webHidden/>
              </w:rPr>
              <w:fldChar w:fldCharType="end"/>
            </w:r>
          </w:hyperlink>
        </w:p>
        <w:p w14:paraId="3086504F" w14:textId="52EC733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5" w:history="1">
            <w:r w:rsidRPr="0068478E">
              <w:rPr>
                <w:rStyle w:val="Hyperlink"/>
                <w:rFonts w:eastAsia="Calibri"/>
              </w:rPr>
              <w:t>17.24 Copyright—Affirmative Defense—Abandonment</w:t>
            </w:r>
            <w:r w:rsidRPr="0068478E">
              <w:rPr>
                <w:webHidden/>
              </w:rPr>
              <w:tab/>
            </w:r>
            <w:r w:rsidRPr="0068478E">
              <w:rPr>
                <w:webHidden/>
              </w:rPr>
              <w:fldChar w:fldCharType="begin"/>
            </w:r>
            <w:r w:rsidRPr="0068478E">
              <w:rPr>
                <w:webHidden/>
              </w:rPr>
              <w:instrText xml:space="preserve"> PAGEREF _Toc221525325 \h </w:instrText>
            </w:r>
            <w:r w:rsidRPr="0068478E">
              <w:rPr>
                <w:webHidden/>
              </w:rPr>
            </w:r>
            <w:r w:rsidRPr="0068478E">
              <w:rPr>
                <w:webHidden/>
              </w:rPr>
              <w:fldChar w:fldCharType="separate"/>
            </w:r>
            <w:r w:rsidR="00313A05">
              <w:rPr>
                <w:webHidden/>
              </w:rPr>
              <w:t>533</w:t>
            </w:r>
            <w:r w:rsidRPr="0068478E">
              <w:rPr>
                <w:webHidden/>
              </w:rPr>
              <w:fldChar w:fldCharType="end"/>
            </w:r>
          </w:hyperlink>
        </w:p>
        <w:p w14:paraId="2BC3AAE3" w14:textId="3BB738B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6" w:history="1">
            <w:r w:rsidRPr="0068478E">
              <w:rPr>
                <w:rStyle w:val="Hyperlink"/>
                <w:rFonts w:eastAsia="Calibri"/>
              </w:rPr>
              <w:t>17.25 Copyright—Affirmative Defense—Copyright Misuse</w:t>
            </w:r>
            <w:r w:rsidRPr="0068478E">
              <w:rPr>
                <w:webHidden/>
              </w:rPr>
              <w:tab/>
            </w:r>
            <w:r w:rsidRPr="0068478E">
              <w:rPr>
                <w:webHidden/>
              </w:rPr>
              <w:fldChar w:fldCharType="begin"/>
            </w:r>
            <w:r w:rsidRPr="0068478E">
              <w:rPr>
                <w:webHidden/>
              </w:rPr>
              <w:instrText xml:space="preserve"> PAGEREF _Toc221525326 \h </w:instrText>
            </w:r>
            <w:r w:rsidRPr="0068478E">
              <w:rPr>
                <w:webHidden/>
              </w:rPr>
            </w:r>
            <w:r w:rsidRPr="0068478E">
              <w:rPr>
                <w:webHidden/>
              </w:rPr>
              <w:fldChar w:fldCharType="separate"/>
            </w:r>
            <w:r w:rsidR="00313A05">
              <w:rPr>
                <w:webHidden/>
              </w:rPr>
              <w:t>535</w:t>
            </w:r>
            <w:r w:rsidRPr="0068478E">
              <w:rPr>
                <w:webHidden/>
              </w:rPr>
              <w:fldChar w:fldCharType="end"/>
            </w:r>
          </w:hyperlink>
        </w:p>
        <w:p w14:paraId="0C7F852F" w14:textId="0826EEB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7" w:history="1">
            <w:r w:rsidRPr="0068478E">
              <w:rPr>
                <w:rStyle w:val="Hyperlink"/>
                <w:rFonts w:eastAsia="Calibri"/>
              </w:rPr>
              <w:t>17.26 Copyright—Affirmative Defense—Implied License</w:t>
            </w:r>
            <w:r w:rsidRPr="0068478E">
              <w:rPr>
                <w:webHidden/>
              </w:rPr>
              <w:tab/>
            </w:r>
            <w:r w:rsidRPr="0068478E">
              <w:rPr>
                <w:webHidden/>
              </w:rPr>
              <w:fldChar w:fldCharType="begin"/>
            </w:r>
            <w:r w:rsidRPr="0068478E">
              <w:rPr>
                <w:webHidden/>
              </w:rPr>
              <w:instrText xml:space="preserve"> PAGEREF _Toc221525327 \h </w:instrText>
            </w:r>
            <w:r w:rsidRPr="0068478E">
              <w:rPr>
                <w:webHidden/>
              </w:rPr>
            </w:r>
            <w:r w:rsidRPr="0068478E">
              <w:rPr>
                <w:webHidden/>
              </w:rPr>
              <w:fldChar w:fldCharType="separate"/>
            </w:r>
            <w:r w:rsidR="00313A05">
              <w:rPr>
                <w:webHidden/>
              </w:rPr>
              <w:t>536</w:t>
            </w:r>
            <w:r w:rsidRPr="0068478E">
              <w:rPr>
                <w:webHidden/>
              </w:rPr>
              <w:fldChar w:fldCharType="end"/>
            </w:r>
          </w:hyperlink>
        </w:p>
        <w:p w14:paraId="132510D4" w14:textId="5E95D2F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8" w:history="1">
            <w:r w:rsidRPr="0068478E">
              <w:rPr>
                <w:rStyle w:val="Hyperlink"/>
                <w:rFonts w:eastAsia="Calibri"/>
              </w:rPr>
              <w:t>17.27 Copyright—Affirmative Defense—Express License</w:t>
            </w:r>
            <w:r w:rsidRPr="0068478E">
              <w:rPr>
                <w:webHidden/>
              </w:rPr>
              <w:tab/>
            </w:r>
            <w:r w:rsidRPr="0068478E">
              <w:rPr>
                <w:webHidden/>
              </w:rPr>
              <w:fldChar w:fldCharType="begin"/>
            </w:r>
            <w:r w:rsidRPr="0068478E">
              <w:rPr>
                <w:webHidden/>
              </w:rPr>
              <w:instrText xml:space="preserve"> PAGEREF _Toc221525328 \h </w:instrText>
            </w:r>
            <w:r w:rsidRPr="0068478E">
              <w:rPr>
                <w:webHidden/>
              </w:rPr>
            </w:r>
            <w:r w:rsidRPr="0068478E">
              <w:rPr>
                <w:webHidden/>
              </w:rPr>
              <w:fldChar w:fldCharType="separate"/>
            </w:r>
            <w:r w:rsidR="00313A05">
              <w:rPr>
                <w:webHidden/>
              </w:rPr>
              <w:t>538</w:t>
            </w:r>
            <w:r w:rsidRPr="0068478E">
              <w:rPr>
                <w:webHidden/>
              </w:rPr>
              <w:fldChar w:fldCharType="end"/>
            </w:r>
          </w:hyperlink>
        </w:p>
        <w:p w14:paraId="100343B3" w14:textId="1AA04E34"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9" w:history="1">
            <w:r w:rsidRPr="0068478E">
              <w:rPr>
                <w:rStyle w:val="Hyperlink"/>
                <w:rFonts w:eastAsia="Calibri"/>
              </w:rPr>
              <w:t>17.28 Copyright—Affirmative Defense—First Sale  (17 U.S.C. § 109(a))</w:t>
            </w:r>
            <w:r w:rsidRPr="0068478E">
              <w:rPr>
                <w:webHidden/>
              </w:rPr>
              <w:tab/>
            </w:r>
            <w:r w:rsidRPr="0068478E">
              <w:rPr>
                <w:webHidden/>
              </w:rPr>
              <w:fldChar w:fldCharType="begin"/>
            </w:r>
            <w:r w:rsidRPr="0068478E">
              <w:rPr>
                <w:webHidden/>
              </w:rPr>
              <w:instrText xml:space="preserve"> PAGEREF _Toc221525329 \h </w:instrText>
            </w:r>
            <w:r w:rsidRPr="0068478E">
              <w:rPr>
                <w:webHidden/>
              </w:rPr>
            </w:r>
            <w:r w:rsidRPr="0068478E">
              <w:rPr>
                <w:webHidden/>
              </w:rPr>
              <w:fldChar w:fldCharType="separate"/>
            </w:r>
            <w:r w:rsidR="00313A05">
              <w:rPr>
                <w:webHidden/>
              </w:rPr>
              <w:t>540</w:t>
            </w:r>
            <w:r w:rsidRPr="0068478E">
              <w:rPr>
                <w:webHidden/>
              </w:rPr>
              <w:fldChar w:fldCharType="end"/>
            </w:r>
          </w:hyperlink>
        </w:p>
        <w:p w14:paraId="6848E3B8" w14:textId="553C66A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0" w:history="1">
            <w:r w:rsidRPr="0068478E">
              <w:rPr>
                <w:rStyle w:val="Hyperlink"/>
                <w:rFonts w:eastAsia="Calibri"/>
              </w:rPr>
              <w:t>17.29 Copyright—Affirmative Defense—Service Provider  of Network Communications Services Defined  (17 U.S.C. §§ 512(i), (k))</w:t>
            </w:r>
            <w:r w:rsidRPr="0068478E">
              <w:rPr>
                <w:webHidden/>
              </w:rPr>
              <w:tab/>
            </w:r>
            <w:r w:rsidRPr="0068478E">
              <w:rPr>
                <w:webHidden/>
              </w:rPr>
              <w:fldChar w:fldCharType="begin"/>
            </w:r>
            <w:r w:rsidRPr="0068478E">
              <w:rPr>
                <w:webHidden/>
              </w:rPr>
              <w:instrText xml:space="preserve"> PAGEREF _Toc221525330 \h </w:instrText>
            </w:r>
            <w:r w:rsidRPr="0068478E">
              <w:rPr>
                <w:webHidden/>
              </w:rPr>
            </w:r>
            <w:r w:rsidRPr="0068478E">
              <w:rPr>
                <w:webHidden/>
              </w:rPr>
              <w:fldChar w:fldCharType="separate"/>
            </w:r>
            <w:r w:rsidR="00313A05">
              <w:rPr>
                <w:webHidden/>
              </w:rPr>
              <w:t>541</w:t>
            </w:r>
            <w:r w:rsidRPr="0068478E">
              <w:rPr>
                <w:webHidden/>
              </w:rPr>
              <w:fldChar w:fldCharType="end"/>
            </w:r>
          </w:hyperlink>
        </w:p>
        <w:p w14:paraId="4F5504CD" w14:textId="6D97263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1" w:history="1">
            <w:r w:rsidRPr="0068478E">
              <w:rPr>
                <w:rStyle w:val="Hyperlink"/>
                <w:rFonts w:eastAsia="Calibri"/>
              </w:rPr>
              <w:t>17.30 Copyright—Affirmative Defense—Limitation on Liability for  Transitory Digital Network Communications (17 U.S.C. § 512(a))</w:t>
            </w:r>
            <w:r w:rsidRPr="0068478E">
              <w:rPr>
                <w:webHidden/>
              </w:rPr>
              <w:tab/>
            </w:r>
            <w:r w:rsidRPr="0068478E">
              <w:rPr>
                <w:webHidden/>
              </w:rPr>
              <w:fldChar w:fldCharType="begin"/>
            </w:r>
            <w:r w:rsidRPr="0068478E">
              <w:rPr>
                <w:webHidden/>
              </w:rPr>
              <w:instrText xml:space="preserve"> PAGEREF _Toc221525331 \h </w:instrText>
            </w:r>
            <w:r w:rsidRPr="0068478E">
              <w:rPr>
                <w:webHidden/>
              </w:rPr>
            </w:r>
            <w:r w:rsidRPr="0068478E">
              <w:rPr>
                <w:webHidden/>
              </w:rPr>
              <w:fldChar w:fldCharType="separate"/>
            </w:r>
            <w:r w:rsidR="00313A05">
              <w:rPr>
                <w:webHidden/>
              </w:rPr>
              <w:t>542</w:t>
            </w:r>
            <w:r w:rsidRPr="0068478E">
              <w:rPr>
                <w:webHidden/>
              </w:rPr>
              <w:fldChar w:fldCharType="end"/>
            </w:r>
          </w:hyperlink>
        </w:p>
        <w:p w14:paraId="0BA60916" w14:textId="7A45EDF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2" w:history="1">
            <w:r w:rsidRPr="0068478E">
              <w:rPr>
                <w:rStyle w:val="Hyperlink"/>
                <w:rFonts w:eastAsia="Calibri"/>
              </w:rPr>
              <w:t>17.31 Copyright—Affirmative Defense—Limitation on Liability for System Caching (17 U.S.C. § 512(b))</w:t>
            </w:r>
            <w:r w:rsidRPr="0068478E">
              <w:rPr>
                <w:webHidden/>
              </w:rPr>
              <w:tab/>
            </w:r>
            <w:r w:rsidRPr="0068478E">
              <w:rPr>
                <w:webHidden/>
              </w:rPr>
              <w:fldChar w:fldCharType="begin"/>
            </w:r>
            <w:r w:rsidRPr="0068478E">
              <w:rPr>
                <w:webHidden/>
              </w:rPr>
              <w:instrText xml:space="preserve"> PAGEREF _Toc221525332 \h </w:instrText>
            </w:r>
            <w:r w:rsidRPr="0068478E">
              <w:rPr>
                <w:webHidden/>
              </w:rPr>
            </w:r>
            <w:r w:rsidRPr="0068478E">
              <w:rPr>
                <w:webHidden/>
              </w:rPr>
              <w:fldChar w:fldCharType="separate"/>
            </w:r>
            <w:r w:rsidR="00313A05">
              <w:rPr>
                <w:webHidden/>
              </w:rPr>
              <w:t>544</w:t>
            </w:r>
            <w:r w:rsidRPr="0068478E">
              <w:rPr>
                <w:webHidden/>
              </w:rPr>
              <w:fldChar w:fldCharType="end"/>
            </w:r>
          </w:hyperlink>
        </w:p>
        <w:p w14:paraId="7BB757F2" w14:textId="0EF87DB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3" w:history="1">
            <w:r w:rsidRPr="0068478E">
              <w:rPr>
                <w:rStyle w:val="Hyperlink"/>
                <w:rFonts w:eastAsia="Calibri"/>
              </w:rPr>
              <w:t>17.32 Copyright—Affirmative Defense—Limitation on Liability for Information Residing on Systems or Networks at Direction of Users (17 U.S.C. § 512(c))</w:t>
            </w:r>
            <w:r w:rsidRPr="0068478E">
              <w:rPr>
                <w:webHidden/>
              </w:rPr>
              <w:tab/>
            </w:r>
            <w:r w:rsidRPr="0068478E">
              <w:rPr>
                <w:webHidden/>
              </w:rPr>
              <w:fldChar w:fldCharType="begin"/>
            </w:r>
            <w:r w:rsidRPr="0068478E">
              <w:rPr>
                <w:webHidden/>
              </w:rPr>
              <w:instrText xml:space="preserve"> PAGEREF _Toc221525333 \h </w:instrText>
            </w:r>
            <w:r w:rsidRPr="0068478E">
              <w:rPr>
                <w:webHidden/>
              </w:rPr>
            </w:r>
            <w:r w:rsidRPr="0068478E">
              <w:rPr>
                <w:webHidden/>
              </w:rPr>
              <w:fldChar w:fldCharType="separate"/>
            </w:r>
            <w:r w:rsidR="00313A05">
              <w:rPr>
                <w:webHidden/>
              </w:rPr>
              <w:t>547</w:t>
            </w:r>
            <w:r w:rsidRPr="0068478E">
              <w:rPr>
                <w:webHidden/>
              </w:rPr>
              <w:fldChar w:fldCharType="end"/>
            </w:r>
          </w:hyperlink>
        </w:p>
        <w:p w14:paraId="43B5DFA4" w14:textId="3CF2BA3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4" w:history="1">
            <w:r w:rsidRPr="0068478E">
              <w:rPr>
                <w:rStyle w:val="Hyperlink"/>
                <w:rFonts w:eastAsia="Calibri"/>
              </w:rPr>
              <w:t>17.33 Copyright—Affirmative Defense—Limitation on Liability for Information Location Tools (17 U.S.C. § 512(d))</w:t>
            </w:r>
            <w:r w:rsidRPr="0068478E">
              <w:rPr>
                <w:webHidden/>
              </w:rPr>
              <w:tab/>
            </w:r>
            <w:r w:rsidRPr="0068478E">
              <w:rPr>
                <w:webHidden/>
              </w:rPr>
              <w:fldChar w:fldCharType="begin"/>
            </w:r>
            <w:r w:rsidRPr="0068478E">
              <w:rPr>
                <w:webHidden/>
              </w:rPr>
              <w:instrText xml:space="preserve"> PAGEREF _Toc221525334 \h </w:instrText>
            </w:r>
            <w:r w:rsidRPr="0068478E">
              <w:rPr>
                <w:webHidden/>
              </w:rPr>
            </w:r>
            <w:r w:rsidRPr="0068478E">
              <w:rPr>
                <w:webHidden/>
              </w:rPr>
              <w:fldChar w:fldCharType="separate"/>
            </w:r>
            <w:r w:rsidR="00313A05">
              <w:rPr>
                <w:webHidden/>
              </w:rPr>
              <w:t>550</w:t>
            </w:r>
            <w:r w:rsidRPr="0068478E">
              <w:rPr>
                <w:webHidden/>
              </w:rPr>
              <w:fldChar w:fldCharType="end"/>
            </w:r>
          </w:hyperlink>
        </w:p>
        <w:p w14:paraId="335172D1" w14:textId="6B7DF13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5" w:history="1">
            <w:r w:rsidRPr="0068478E">
              <w:rPr>
                <w:rStyle w:val="Hyperlink"/>
                <w:rFonts w:eastAsia="Calibri"/>
              </w:rPr>
              <w:t>17.34 Copyright—Damages (17 U.S.C. § 504)</w:t>
            </w:r>
            <w:r w:rsidRPr="0068478E">
              <w:rPr>
                <w:webHidden/>
              </w:rPr>
              <w:tab/>
            </w:r>
            <w:r w:rsidRPr="0068478E">
              <w:rPr>
                <w:webHidden/>
              </w:rPr>
              <w:fldChar w:fldCharType="begin"/>
            </w:r>
            <w:r w:rsidRPr="0068478E">
              <w:rPr>
                <w:webHidden/>
              </w:rPr>
              <w:instrText xml:space="preserve"> PAGEREF _Toc221525335 \h </w:instrText>
            </w:r>
            <w:r w:rsidRPr="0068478E">
              <w:rPr>
                <w:webHidden/>
              </w:rPr>
            </w:r>
            <w:r w:rsidRPr="0068478E">
              <w:rPr>
                <w:webHidden/>
              </w:rPr>
              <w:fldChar w:fldCharType="separate"/>
            </w:r>
            <w:r w:rsidR="00313A05">
              <w:rPr>
                <w:webHidden/>
              </w:rPr>
              <w:t>552</w:t>
            </w:r>
            <w:r w:rsidRPr="0068478E">
              <w:rPr>
                <w:webHidden/>
              </w:rPr>
              <w:fldChar w:fldCharType="end"/>
            </w:r>
          </w:hyperlink>
        </w:p>
        <w:p w14:paraId="56AE8667" w14:textId="04A1EEC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6" w:history="1">
            <w:r w:rsidRPr="0068478E">
              <w:rPr>
                <w:rStyle w:val="Hyperlink"/>
                <w:rFonts w:eastAsia="Calibri"/>
              </w:rPr>
              <w:t>17.35 Copyright—Damages—Actual Damages  (17 U.S.C. § 504(b))</w:t>
            </w:r>
            <w:r w:rsidRPr="0068478E">
              <w:rPr>
                <w:webHidden/>
              </w:rPr>
              <w:tab/>
            </w:r>
            <w:r w:rsidRPr="0068478E">
              <w:rPr>
                <w:webHidden/>
              </w:rPr>
              <w:fldChar w:fldCharType="begin"/>
            </w:r>
            <w:r w:rsidRPr="0068478E">
              <w:rPr>
                <w:webHidden/>
              </w:rPr>
              <w:instrText xml:space="preserve"> PAGEREF _Toc221525336 \h </w:instrText>
            </w:r>
            <w:r w:rsidRPr="0068478E">
              <w:rPr>
                <w:webHidden/>
              </w:rPr>
            </w:r>
            <w:r w:rsidRPr="0068478E">
              <w:rPr>
                <w:webHidden/>
              </w:rPr>
              <w:fldChar w:fldCharType="separate"/>
            </w:r>
            <w:r w:rsidR="00313A05">
              <w:rPr>
                <w:webHidden/>
              </w:rPr>
              <w:t>553</w:t>
            </w:r>
            <w:r w:rsidRPr="0068478E">
              <w:rPr>
                <w:webHidden/>
              </w:rPr>
              <w:fldChar w:fldCharType="end"/>
            </w:r>
          </w:hyperlink>
        </w:p>
        <w:p w14:paraId="00670C64" w14:textId="0503FC0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7" w:history="1">
            <w:r w:rsidRPr="0068478E">
              <w:rPr>
                <w:rStyle w:val="Hyperlink"/>
                <w:rFonts w:eastAsia="Calibri"/>
              </w:rPr>
              <w:t>17.36 Copyright—Damages—Defendant’s Profits  (17 U.S.C. § 504(b))</w:t>
            </w:r>
            <w:r w:rsidRPr="0068478E">
              <w:rPr>
                <w:webHidden/>
              </w:rPr>
              <w:tab/>
            </w:r>
            <w:r w:rsidRPr="0068478E">
              <w:rPr>
                <w:webHidden/>
              </w:rPr>
              <w:fldChar w:fldCharType="begin"/>
            </w:r>
            <w:r w:rsidRPr="0068478E">
              <w:rPr>
                <w:webHidden/>
              </w:rPr>
              <w:instrText xml:space="preserve"> PAGEREF _Toc221525337 \h </w:instrText>
            </w:r>
            <w:r w:rsidRPr="0068478E">
              <w:rPr>
                <w:webHidden/>
              </w:rPr>
            </w:r>
            <w:r w:rsidRPr="0068478E">
              <w:rPr>
                <w:webHidden/>
              </w:rPr>
              <w:fldChar w:fldCharType="separate"/>
            </w:r>
            <w:r w:rsidR="00313A05">
              <w:rPr>
                <w:webHidden/>
              </w:rPr>
              <w:t>555</w:t>
            </w:r>
            <w:r w:rsidRPr="0068478E">
              <w:rPr>
                <w:webHidden/>
              </w:rPr>
              <w:fldChar w:fldCharType="end"/>
            </w:r>
          </w:hyperlink>
        </w:p>
        <w:p w14:paraId="0C530C2F" w14:textId="6CDF1AC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8" w:history="1">
            <w:r w:rsidRPr="0068478E">
              <w:rPr>
                <w:rStyle w:val="Hyperlink"/>
                <w:rFonts w:eastAsia="Calibri"/>
              </w:rPr>
              <w:t xml:space="preserve">17.37 Copyright—Damages—Statutory </w:t>
            </w:r>
            <w:r w:rsidRPr="0068478E">
              <w:rPr>
                <w:rStyle w:val="Hyperlink"/>
                <w:rFonts w:eastAsia="Calibri"/>
                <w:spacing w:val="-4"/>
              </w:rPr>
              <w:t xml:space="preserve">Damages </w:t>
            </w:r>
            <w:r w:rsidRPr="0068478E">
              <w:rPr>
                <w:rStyle w:val="Hyperlink"/>
                <w:rFonts w:eastAsia="Calibri"/>
              </w:rPr>
              <w:t>(17 U.S.C. § 504(c))</w:t>
            </w:r>
            <w:r w:rsidRPr="0068478E">
              <w:rPr>
                <w:webHidden/>
              </w:rPr>
              <w:tab/>
            </w:r>
            <w:r w:rsidRPr="0068478E">
              <w:rPr>
                <w:webHidden/>
              </w:rPr>
              <w:fldChar w:fldCharType="begin"/>
            </w:r>
            <w:r w:rsidRPr="0068478E">
              <w:rPr>
                <w:webHidden/>
              </w:rPr>
              <w:instrText xml:space="preserve"> PAGEREF _Toc221525338 \h </w:instrText>
            </w:r>
            <w:r w:rsidRPr="0068478E">
              <w:rPr>
                <w:webHidden/>
              </w:rPr>
            </w:r>
            <w:r w:rsidRPr="0068478E">
              <w:rPr>
                <w:webHidden/>
              </w:rPr>
              <w:fldChar w:fldCharType="separate"/>
            </w:r>
            <w:r w:rsidR="00313A05">
              <w:rPr>
                <w:webHidden/>
              </w:rPr>
              <w:t>558</w:t>
            </w:r>
            <w:r w:rsidRPr="0068478E">
              <w:rPr>
                <w:webHidden/>
              </w:rPr>
              <w:fldChar w:fldCharType="end"/>
            </w:r>
          </w:hyperlink>
        </w:p>
        <w:p w14:paraId="69070EDC" w14:textId="7D68B4D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9" w:history="1">
            <w:r w:rsidRPr="0068478E">
              <w:rPr>
                <w:rStyle w:val="Hyperlink"/>
                <w:rFonts w:eastAsia="Calibri"/>
              </w:rPr>
              <w:t>17.38 Copyright—Damages—Innocent Infringement  (17 U.S.C. § 504(c)(2))</w:t>
            </w:r>
            <w:r w:rsidRPr="0068478E">
              <w:rPr>
                <w:webHidden/>
              </w:rPr>
              <w:tab/>
            </w:r>
            <w:r w:rsidRPr="0068478E">
              <w:rPr>
                <w:webHidden/>
              </w:rPr>
              <w:fldChar w:fldCharType="begin"/>
            </w:r>
            <w:r w:rsidRPr="0068478E">
              <w:rPr>
                <w:webHidden/>
              </w:rPr>
              <w:instrText xml:space="preserve"> PAGEREF _Toc221525339 \h </w:instrText>
            </w:r>
            <w:r w:rsidRPr="0068478E">
              <w:rPr>
                <w:webHidden/>
              </w:rPr>
            </w:r>
            <w:r w:rsidRPr="0068478E">
              <w:rPr>
                <w:webHidden/>
              </w:rPr>
              <w:fldChar w:fldCharType="separate"/>
            </w:r>
            <w:r w:rsidR="00313A05">
              <w:rPr>
                <w:webHidden/>
              </w:rPr>
              <w:t>562</w:t>
            </w:r>
            <w:r w:rsidRPr="0068478E">
              <w:rPr>
                <w:webHidden/>
              </w:rPr>
              <w:fldChar w:fldCharType="end"/>
            </w:r>
          </w:hyperlink>
        </w:p>
        <w:p w14:paraId="4ED20772" w14:textId="6C3B9F5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40" w:history="1">
            <w:r w:rsidRPr="0068478E">
              <w:rPr>
                <w:rStyle w:val="Hyperlink"/>
                <w:rFonts w:eastAsia="Calibri"/>
              </w:rPr>
              <w:t>17.39 Copyright—Damages—Willful Infringement (17 U.S.C. § 504(c)(2))</w:t>
            </w:r>
            <w:r w:rsidRPr="0068478E">
              <w:rPr>
                <w:webHidden/>
              </w:rPr>
              <w:tab/>
            </w:r>
            <w:r w:rsidRPr="0068478E">
              <w:rPr>
                <w:webHidden/>
              </w:rPr>
              <w:fldChar w:fldCharType="begin"/>
            </w:r>
            <w:r w:rsidRPr="0068478E">
              <w:rPr>
                <w:webHidden/>
              </w:rPr>
              <w:instrText xml:space="preserve"> PAGEREF _Toc221525340 \h </w:instrText>
            </w:r>
            <w:r w:rsidRPr="0068478E">
              <w:rPr>
                <w:webHidden/>
              </w:rPr>
            </w:r>
            <w:r w:rsidRPr="0068478E">
              <w:rPr>
                <w:webHidden/>
              </w:rPr>
              <w:fldChar w:fldCharType="separate"/>
            </w:r>
            <w:r w:rsidR="00313A05">
              <w:rPr>
                <w:webHidden/>
              </w:rPr>
              <w:t>563</w:t>
            </w:r>
            <w:r w:rsidRPr="0068478E">
              <w:rPr>
                <w:webHidden/>
              </w:rPr>
              <w:fldChar w:fldCharType="end"/>
            </w:r>
          </w:hyperlink>
        </w:p>
        <w:p w14:paraId="6A7482CB" w14:textId="538557AE" w:rsidR="0068478E" w:rsidRDefault="0068478E">
          <w:pPr>
            <w:pStyle w:val="TOC1"/>
            <w:rPr>
              <w:rFonts w:asciiTheme="minorHAnsi" w:eastAsiaTheme="minorEastAsia" w:hAnsiTheme="minorHAnsi"/>
              <w:noProof/>
              <w:kern w:val="2"/>
              <w:szCs w:val="24"/>
              <w14:ligatures w14:val="standardContextual"/>
            </w:rPr>
          </w:pPr>
          <w:hyperlink w:anchor="_Toc221525341" w:history="1">
            <w:r w:rsidRPr="003A1D65">
              <w:rPr>
                <w:rStyle w:val="Hyperlink"/>
                <w:noProof/>
              </w:rPr>
              <w:t>18.  SECURITIES EXCHANGE ACT</w:t>
            </w:r>
            <w:r>
              <w:rPr>
                <w:noProof/>
                <w:webHidden/>
              </w:rPr>
              <w:tab/>
            </w:r>
            <w:r>
              <w:rPr>
                <w:noProof/>
                <w:webHidden/>
              </w:rPr>
              <w:fldChar w:fldCharType="begin"/>
            </w:r>
            <w:r>
              <w:rPr>
                <w:noProof/>
                <w:webHidden/>
              </w:rPr>
              <w:instrText xml:space="preserve"> PAGEREF _Toc221525341 \h </w:instrText>
            </w:r>
            <w:r>
              <w:rPr>
                <w:noProof/>
                <w:webHidden/>
              </w:rPr>
            </w:r>
            <w:r>
              <w:rPr>
                <w:noProof/>
                <w:webHidden/>
              </w:rPr>
              <w:fldChar w:fldCharType="separate"/>
            </w:r>
            <w:r w:rsidR="00313A05">
              <w:rPr>
                <w:noProof/>
                <w:webHidden/>
              </w:rPr>
              <w:t>565</w:t>
            </w:r>
            <w:r>
              <w:rPr>
                <w:noProof/>
                <w:webHidden/>
              </w:rPr>
              <w:fldChar w:fldCharType="end"/>
            </w:r>
          </w:hyperlink>
        </w:p>
        <w:p w14:paraId="12CA928C" w14:textId="06F0A3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2" w:history="1">
            <w:r w:rsidRPr="003A1D65">
              <w:rPr>
                <w:rStyle w:val="Hyperlink"/>
              </w:rPr>
              <w:t>Introductory Comment</w:t>
            </w:r>
            <w:r>
              <w:rPr>
                <w:webHidden/>
              </w:rPr>
              <w:tab/>
            </w:r>
            <w:r>
              <w:rPr>
                <w:webHidden/>
              </w:rPr>
              <w:fldChar w:fldCharType="begin"/>
            </w:r>
            <w:r>
              <w:rPr>
                <w:webHidden/>
              </w:rPr>
              <w:instrText xml:space="preserve"> PAGEREF _Toc221525342 \h </w:instrText>
            </w:r>
            <w:r>
              <w:rPr>
                <w:webHidden/>
              </w:rPr>
            </w:r>
            <w:r>
              <w:rPr>
                <w:webHidden/>
              </w:rPr>
              <w:fldChar w:fldCharType="separate"/>
            </w:r>
            <w:r w:rsidR="00313A05">
              <w:rPr>
                <w:webHidden/>
              </w:rPr>
              <w:t>566</w:t>
            </w:r>
            <w:r>
              <w:rPr>
                <w:webHidden/>
              </w:rPr>
              <w:fldChar w:fldCharType="end"/>
            </w:r>
          </w:hyperlink>
        </w:p>
        <w:p w14:paraId="0064AE73" w14:textId="7AA9CB5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3" w:history="1">
            <w:r w:rsidRPr="003A1D65">
              <w:rPr>
                <w:rStyle w:val="Hyperlink"/>
              </w:rPr>
              <w:t>18.1 Securities—Purpose and Selected Definitions</w:t>
            </w:r>
            <w:r>
              <w:rPr>
                <w:webHidden/>
              </w:rPr>
              <w:tab/>
            </w:r>
            <w:r>
              <w:rPr>
                <w:webHidden/>
              </w:rPr>
              <w:fldChar w:fldCharType="begin"/>
            </w:r>
            <w:r>
              <w:rPr>
                <w:webHidden/>
              </w:rPr>
              <w:instrText xml:space="preserve"> PAGEREF _Toc221525343 \h </w:instrText>
            </w:r>
            <w:r>
              <w:rPr>
                <w:webHidden/>
              </w:rPr>
            </w:r>
            <w:r>
              <w:rPr>
                <w:webHidden/>
              </w:rPr>
              <w:fldChar w:fldCharType="separate"/>
            </w:r>
            <w:r w:rsidR="00313A05">
              <w:rPr>
                <w:webHidden/>
              </w:rPr>
              <w:t>568</w:t>
            </w:r>
            <w:r>
              <w:rPr>
                <w:webHidden/>
              </w:rPr>
              <w:fldChar w:fldCharType="end"/>
            </w:r>
          </w:hyperlink>
        </w:p>
        <w:p w14:paraId="31851DFC" w14:textId="3C5B053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4" w:history="1">
            <w:r w:rsidRPr="003A1D65">
              <w:rPr>
                <w:rStyle w:val="Hyperlink"/>
              </w:rPr>
              <w:t>18.2 Securities—Rule 10b-5 Claim</w:t>
            </w:r>
            <w:r>
              <w:rPr>
                <w:webHidden/>
              </w:rPr>
              <w:tab/>
            </w:r>
            <w:r>
              <w:rPr>
                <w:webHidden/>
              </w:rPr>
              <w:fldChar w:fldCharType="begin"/>
            </w:r>
            <w:r>
              <w:rPr>
                <w:webHidden/>
              </w:rPr>
              <w:instrText xml:space="preserve"> PAGEREF _Toc221525344 \h </w:instrText>
            </w:r>
            <w:r>
              <w:rPr>
                <w:webHidden/>
              </w:rPr>
            </w:r>
            <w:r>
              <w:rPr>
                <w:webHidden/>
              </w:rPr>
              <w:fldChar w:fldCharType="separate"/>
            </w:r>
            <w:r w:rsidR="00313A05">
              <w:rPr>
                <w:webHidden/>
              </w:rPr>
              <w:t>573</w:t>
            </w:r>
            <w:r>
              <w:rPr>
                <w:webHidden/>
              </w:rPr>
              <w:fldChar w:fldCharType="end"/>
            </w:r>
          </w:hyperlink>
        </w:p>
        <w:p w14:paraId="5ADC2CD4" w14:textId="07E4FE4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5" w:history="1">
            <w:r w:rsidRPr="003A1D65">
              <w:rPr>
                <w:rStyle w:val="Hyperlink"/>
              </w:rPr>
              <w:t>18.3 Securities—Misrepresentations or Omissions—Materiality</w:t>
            </w:r>
            <w:r>
              <w:rPr>
                <w:webHidden/>
              </w:rPr>
              <w:tab/>
            </w:r>
            <w:r>
              <w:rPr>
                <w:webHidden/>
              </w:rPr>
              <w:fldChar w:fldCharType="begin"/>
            </w:r>
            <w:r>
              <w:rPr>
                <w:webHidden/>
              </w:rPr>
              <w:instrText xml:space="preserve"> PAGEREF _Toc221525345 \h </w:instrText>
            </w:r>
            <w:r>
              <w:rPr>
                <w:webHidden/>
              </w:rPr>
            </w:r>
            <w:r>
              <w:rPr>
                <w:webHidden/>
              </w:rPr>
              <w:fldChar w:fldCharType="separate"/>
            </w:r>
            <w:r w:rsidR="00313A05">
              <w:rPr>
                <w:webHidden/>
              </w:rPr>
              <w:t>575</w:t>
            </w:r>
            <w:r>
              <w:rPr>
                <w:webHidden/>
              </w:rPr>
              <w:fldChar w:fldCharType="end"/>
            </w:r>
          </w:hyperlink>
        </w:p>
        <w:p w14:paraId="4BB0B8E7" w14:textId="3ED212A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6" w:history="1">
            <w:r w:rsidRPr="003A1D65">
              <w:rPr>
                <w:rStyle w:val="Hyperlink"/>
              </w:rPr>
              <w:t>18.4 Securities—Forward-Looking Statements</w:t>
            </w:r>
            <w:r>
              <w:rPr>
                <w:webHidden/>
              </w:rPr>
              <w:tab/>
            </w:r>
            <w:r>
              <w:rPr>
                <w:webHidden/>
              </w:rPr>
              <w:fldChar w:fldCharType="begin"/>
            </w:r>
            <w:r>
              <w:rPr>
                <w:webHidden/>
              </w:rPr>
              <w:instrText xml:space="preserve"> PAGEREF _Toc221525346 \h </w:instrText>
            </w:r>
            <w:r>
              <w:rPr>
                <w:webHidden/>
              </w:rPr>
            </w:r>
            <w:r>
              <w:rPr>
                <w:webHidden/>
              </w:rPr>
              <w:fldChar w:fldCharType="separate"/>
            </w:r>
            <w:r w:rsidR="00313A05">
              <w:rPr>
                <w:webHidden/>
              </w:rPr>
              <w:t>577</w:t>
            </w:r>
            <w:r>
              <w:rPr>
                <w:webHidden/>
              </w:rPr>
              <w:fldChar w:fldCharType="end"/>
            </w:r>
          </w:hyperlink>
        </w:p>
        <w:p w14:paraId="55B2415F" w14:textId="559E5EE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7" w:history="1">
            <w:r w:rsidRPr="003A1D65">
              <w:rPr>
                <w:rStyle w:val="Hyperlink"/>
              </w:rPr>
              <w:t>18.5 Securities—Knowingly and Recklessly</w:t>
            </w:r>
            <w:r>
              <w:rPr>
                <w:webHidden/>
              </w:rPr>
              <w:tab/>
            </w:r>
            <w:r>
              <w:rPr>
                <w:webHidden/>
              </w:rPr>
              <w:fldChar w:fldCharType="begin"/>
            </w:r>
            <w:r>
              <w:rPr>
                <w:webHidden/>
              </w:rPr>
              <w:instrText xml:space="preserve"> PAGEREF _Toc221525347 \h </w:instrText>
            </w:r>
            <w:r>
              <w:rPr>
                <w:webHidden/>
              </w:rPr>
            </w:r>
            <w:r>
              <w:rPr>
                <w:webHidden/>
              </w:rPr>
              <w:fldChar w:fldCharType="separate"/>
            </w:r>
            <w:r w:rsidR="00313A05">
              <w:rPr>
                <w:webHidden/>
              </w:rPr>
              <w:t>580</w:t>
            </w:r>
            <w:r>
              <w:rPr>
                <w:webHidden/>
              </w:rPr>
              <w:fldChar w:fldCharType="end"/>
            </w:r>
          </w:hyperlink>
        </w:p>
        <w:p w14:paraId="3282AFFB" w14:textId="262A46D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8" w:history="1">
            <w:r w:rsidRPr="003A1D65">
              <w:rPr>
                <w:rStyle w:val="Hyperlink"/>
              </w:rPr>
              <w:t>18.6 Securities—Justifiable Reliance Generally</w:t>
            </w:r>
            <w:r>
              <w:rPr>
                <w:webHidden/>
              </w:rPr>
              <w:tab/>
            </w:r>
            <w:r>
              <w:rPr>
                <w:webHidden/>
              </w:rPr>
              <w:fldChar w:fldCharType="begin"/>
            </w:r>
            <w:r>
              <w:rPr>
                <w:webHidden/>
              </w:rPr>
              <w:instrText xml:space="preserve"> PAGEREF _Toc221525348 \h </w:instrText>
            </w:r>
            <w:r>
              <w:rPr>
                <w:webHidden/>
              </w:rPr>
            </w:r>
            <w:r>
              <w:rPr>
                <w:webHidden/>
              </w:rPr>
              <w:fldChar w:fldCharType="separate"/>
            </w:r>
            <w:r w:rsidR="00313A05">
              <w:rPr>
                <w:webHidden/>
              </w:rPr>
              <w:t>582</w:t>
            </w:r>
            <w:r>
              <w:rPr>
                <w:webHidden/>
              </w:rPr>
              <w:fldChar w:fldCharType="end"/>
            </w:r>
          </w:hyperlink>
        </w:p>
        <w:p w14:paraId="5AA5FB2F" w14:textId="09859A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9" w:history="1">
            <w:r w:rsidRPr="003A1D65">
              <w:rPr>
                <w:rStyle w:val="Hyperlink"/>
              </w:rPr>
              <w:t>18.7 Securities—Justifiable Reliance—Fraud-on-the-Market Case</w:t>
            </w:r>
            <w:r>
              <w:rPr>
                <w:webHidden/>
              </w:rPr>
              <w:tab/>
            </w:r>
            <w:r>
              <w:rPr>
                <w:webHidden/>
              </w:rPr>
              <w:fldChar w:fldCharType="begin"/>
            </w:r>
            <w:r>
              <w:rPr>
                <w:webHidden/>
              </w:rPr>
              <w:instrText xml:space="preserve"> PAGEREF _Toc221525349 \h </w:instrText>
            </w:r>
            <w:r>
              <w:rPr>
                <w:webHidden/>
              </w:rPr>
            </w:r>
            <w:r>
              <w:rPr>
                <w:webHidden/>
              </w:rPr>
              <w:fldChar w:fldCharType="separate"/>
            </w:r>
            <w:r w:rsidR="00313A05">
              <w:rPr>
                <w:webHidden/>
              </w:rPr>
              <w:t>584</w:t>
            </w:r>
            <w:r>
              <w:rPr>
                <w:webHidden/>
              </w:rPr>
              <w:fldChar w:fldCharType="end"/>
            </w:r>
          </w:hyperlink>
        </w:p>
        <w:p w14:paraId="2CA23376" w14:textId="3FD6C9B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0" w:history="1">
            <w:r w:rsidRPr="003A1D65">
              <w:rPr>
                <w:rStyle w:val="Hyperlink"/>
              </w:rPr>
              <w:t>18.8 Securities—Causation</w:t>
            </w:r>
            <w:r>
              <w:rPr>
                <w:webHidden/>
              </w:rPr>
              <w:tab/>
            </w:r>
            <w:r>
              <w:rPr>
                <w:webHidden/>
              </w:rPr>
              <w:fldChar w:fldCharType="begin"/>
            </w:r>
            <w:r>
              <w:rPr>
                <w:webHidden/>
              </w:rPr>
              <w:instrText xml:space="preserve"> PAGEREF _Toc221525350 \h </w:instrText>
            </w:r>
            <w:r>
              <w:rPr>
                <w:webHidden/>
              </w:rPr>
            </w:r>
            <w:r>
              <w:rPr>
                <w:webHidden/>
              </w:rPr>
              <w:fldChar w:fldCharType="separate"/>
            </w:r>
            <w:r w:rsidR="00313A05">
              <w:rPr>
                <w:webHidden/>
              </w:rPr>
              <w:t>587</w:t>
            </w:r>
            <w:r>
              <w:rPr>
                <w:webHidden/>
              </w:rPr>
              <w:fldChar w:fldCharType="end"/>
            </w:r>
          </w:hyperlink>
        </w:p>
        <w:p w14:paraId="659CF33B" w14:textId="2326201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1" w:history="1">
            <w:r w:rsidRPr="003A1D65">
              <w:rPr>
                <w:rStyle w:val="Hyperlink"/>
              </w:rPr>
              <w:t>18.9 Securities—Damages</w:t>
            </w:r>
            <w:r>
              <w:rPr>
                <w:webHidden/>
              </w:rPr>
              <w:tab/>
            </w:r>
            <w:r>
              <w:rPr>
                <w:webHidden/>
              </w:rPr>
              <w:fldChar w:fldCharType="begin"/>
            </w:r>
            <w:r>
              <w:rPr>
                <w:webHidden/>
              </w:rPr>
              <w:instrText xml:space="preserve"> PAGEREF _Toc221525351 \h </w:instrText>
            </w:r>
            <w:r>
              <w:rPr>
                <w:webHidden/>
              </w:rPr>
            </w:r>
            <w:r>
              <w:rPr>
                <w:webHidden/>
              </w:rPr>
              <w:fldChar w:fldCharType="separate"/>
            </w:r>
            <w:r w:rsidR="00313A05">
              <w:rPr>
                <w:webHidden/>
              </w:rPr>
              <w:t>590</w:t>
            </w:r>
            <w:r>
              <w:rPr>
                <w:webHidden/>
              </w:rPr>
              <w:fldChar w:fldCharType="end"/>
            </w:r>
          </w:hyperlink>
        </w:p>
        <w:p w14:paraId="512C1592" w14:textId="5A6ACA5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2" w:history="1">
            <w:r w:rsidRPr="003A1D65">
              <w:rPr>
                <w:rStyle w:val="Hyperlink"/>
              </w:rPr>
              <w:t>18.10 Securities—Controlling Person Liability</w:t>
            </w:r>
            <w:r>
              <w:rPr>
                <w:webHidden/>
              </w:rPr>
              <w:tab/>
            </w:r>
            <w:r>
              <w:rPr>
                <w:webHidden/>
              </w:rPr>
              <w:fldChar w:fldCharType="begin"/>
            </w:r>
            <w:r>
              <w:rPr>
                <w:webHidden/>
              </w:rPr>
              <w:instrText xml:space="preserve"> PAGEREF _Toc221525352 \h </w:instrText>
            </w:r>
            <w:r>
              <w:rPr>
                <w:webHidden/>
              </w:rPr>
            </w:r>
            <w:r>
              <w:rPr>
                <w:webHidden/>
              </w:rPr>
              <w:fldChar w:fldCharType="separate"/>
            </w:r>
            <w:r w:rsidR="00313A05">
              <w:rPr>
                <w:webHidden/>
              </w:rPr>
              <w:t>591</w:t>
            </w:r>
            <w:r>
              <w:rPr>
                <w:webHidden/>
              </w:rPr>
              <w:fldChar w:fldCharType="end"/>
            </w:r>
          </w:hyperlink>
        </w:p>
        <w:p w14:paraId="2344548A" w14:textId="709432F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3" w:history="1">
            <w:r w:rsidRPr="003A1D65">
              <w:rPr>
                <w:rStyle w:val="Hyperlink"/>
              </w:rPr>
              <w:t>18.11 Securities—Good Faith Defense to Controlling Person Liability</w:t>
            </w:r>
            <w:r>
              <w:rPr>
                <w:webHidden/>
              </w:rPr>
              <w:tab/>
            </w:r>
            <w:r>
              <w:rPr>
                <w:webHidden/>
              </w:rPr>
              <w:fldChar w:fldCharType="begin"/>
            </w:r>
            <w:r>
              <w:rPr>
                <w:webHidden/>
              </w:rPr>
              <w:instrText xml:space="preserve"> PAGEREF _Toc221525353 \h </w:instrText>
            </w:r>
            <w:r>
              <w:rPr>
                <w:webHidden/>
              </w:rPr>
            </w:r>
            <w:r>
              <w:rPr>
                <w:webHidden/>
              </w:rPr>
              <w:fldChar w:fldCharType="separate"/>
            </w:r>
            <w:r w:rsidR="00313A05">
              <w:rPr>
                <w:webHidden/>
              </w:rPr>
              <w:t>592</w:t>
            </w:r>
            <w:r>
              <w:rPr>
                <w:webHidden/>
              </w:rPr>
              <w:fldChar w:fldCharType="end"/>
            </w:r>
          </w:hyperlink>
        </w:p>
        <w:p w14:paraId="29C197F2" w14:textId="0F6BE516" w:rsidR="008F5159" w:rsidRPr="002B283E" w:rsidRDefault="008F5159" w:rsidP="002B283E">
          <w:pPr>
            <w:spacing w:afterLines="40" w:after="96"/>
            <w:rPr>
              <w:rFonts w:cs="Times New Roman"/>
              <w:szCs w:val="24"/>
            </w:rPr>
          </w:pPr>
          <w:r w:rsidRPr="00826E77">
            <w:rPr>
              <w:rFonts w:cs="Times New Roman"/>
              <w:noProof/>
              <w:szCs w:val="24"/>
            </w:rPr>
            <w:fldChar w:fldCharType="end"/>
          </w:r>
        </w:p>
      </w:sdtContent>
    </w:sdt>
    <w:p w14:paraId="461DE248" w14:textId="4CAD0EF4" w:rsidR="00F422E6" w:rsidRPr="002B283E" w:rsidRDefault="00F422E6" w:rsidP="002B283E">
      <w:pPr>
        <w:autoSpaceDE w:val="0"/>
        <w:autoSpaceDN w:val="0"/>
        <w:adjustRightInd w:val="0"/>
        <w:jc w:val="center"/>
        <w:rPr>
          <w:rFonts w:cs="Times New Roman"/>
          <w:szCs w:val="24"/>
        </w:rPr>
      </w:pPr>
    </w:p>
    <w:p w14:paraId="02654E9A" w14:textId="77777777" w:rsidR="006A4CD7" w:rsidRPr="002B283E" w:rsidRDefault="006A4CD7" w:rsidP="002B283E">
      <w:pPr>
        <w:autoSpaceDE w:val="0"/>
        <w:autoSpaceDN w:val="0"/>
        <w:adjustRightInd w:val="0"/>
        <w:jc w:val="center"/>
        <w:rPr>
          <w:rFonts w:cs="Times New Roman"/>
          <w:szCs w:val="24"/>
        </w:rPr>
      </w:pPr>
    </w:p>
    <w:p w14:paraId="3C42CFC2" w14:textId="19E49669" w:rsidR="006A4CD7" w:rsidRPr="002B283E" w:rsidRDefault="006A4CD7" w:rsidP="002B283E">
      <w:pPr>
        <w:autoSpaceDE w:val="0"/>
        <w:autoSpaceDN w:val="0"/>
        <w:adjustRightInd w:val="0"/>
        <w:jc w:val="center"/>
        <w:rPr>
          <w:rFonts w:cs="Times New Roman"/>
          <w:szCs w:val="24"/>
        </w:rPr>
      </w:pPr>
    </w:p>
    <w:p w14:paraId="544EA4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begin"/>
      </w:r>
      <w:r w:rsidRPr="002B283E">
        <w:rPr>
          <w:rFonts w:cs="Times New Roman"/>
          <w:szCs w:val="24"/>
        </w:rPr>
        <w:instrText>TOC \f</w:instrText>
      </w:r>
      <w:r w:rsidRPr="002B283E">
        <w:rPr>
          <w:rFonts w:cs="Times New Roman"/>
          <w:szCs w:val="24"/>
        </w:rPr>
        <w:fldChar w:fldCharType="separate"/>
      </w:r>
    </w:p>
    <w:p w14:paraId="6811D73F" w14:textId="77777777" w:rsidR="006A4CD7" w:rsidRPr="002B283E" w:rsidRDefault="006A4CD7" w:rsidP="002B283E">
      <w:pPr>
        <w:autoSpaceDE w:val="0"/>
        <w:autoSpaceDN w:val="0"/>
        <w:adjustRightInd w:val="0"/>
        <w:rPr>
          <w:rFonts w:cs="Times New Roman"/>
          <w:szCs w:val="24"/>
        </w:rPr>
      </w:pPr>
    </w:p>
    <w:p w14:paraId="0F7B72C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end"/>
      </w:r>
    </w:p>
    <w:p w14:paraId="414C6F13" w14:textId="77777777" w:rsidR="00BF7C90" w:rsidRPr="002B283E" w:rsidRDefault="00BF7C90" w:rsidP="002B283E">
      <w:pPr>
        <w:pStyle w:val="Heading1"/>
        <w:spacing w:before="0" w:line="240" w:lineRule="auto"/>
        <w:sectPr w:rsidR="00BF7C90" w:rsidRPr="002B283E" w:rsidSect="00A75A60">
          <w:footerReference w:type="default" r:id="rId11"/>
          <w:pgSz w:w="12240" w:h="15840"/>
          <w:pgMar w:top="1360" w:right="1340" w:bottom="280" w:left="1340" w:header="720" w:footer="720" w:gutter="0"/>
          <w:pgNumType w:fmt="lowerRoman"/>
          <w:cols w:space="720"/>
        </w:sectPr>
      </w:pPr>
    </w:p>
    <w:p w14:paraId="6F9293C1" w14:textId="3BD8B3DA" w:rsidR="006A4CD7" w:rsidRPr="002B283E" w:rsidRDefault="006A4CD7" w:rsidP="002B283E">
      <w:pPr>
        <w:pStyle w:val="Heading1"/>
        <w:spacing w:before="0" w:line="240" w:lineRule="auto"/>
      </w:pPr>
      <w:bookmarkStart w:id="5" w:name="_Toc221525058"/>
      <w:r w:rsidRPr="002B283E">
        <w:lastRenderedPageBreak/>
        <w:t>1</w:t>
      </w:r>
      <w:r w:rsidR="00A87F6E">
        <w:t xml:space="preserve">. </w:t>
      </w:r>
      <w:r w:rsidRPr="002B283E">
        <w:t>INSTRUCTIONS ON THE TRIAL PROCESS</w:t>
      </w:r>
      <w:bookmarkEnd w:id="5"/>
    </w:p>
    <w:p w14:paraId="653B33EB" w14:textId="77777777" w:rsidR="006A4CD7" w:rsidRPr="002B283E" w:rsidRDefault="006A4CD7" w:rsidP="002B283E">
      <w:pPr>
        <w:autoSpaceDE w:val="0"/>
        <w:autoSpaceDN w:val="0"/>
        <w:adjustRightInd w:val="0"/>
        <w:rPr>
          <w:rFonts w:cs="Times New Roman"/>
          <w:szCs w:val="24"/>
        </w:rPr>
      </w:pPr>
    </w:p>
    <w:p w14:paraId="2B43B249"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5F1B7448" w14:textId="77777777" w:rsidR="006A4CD7" w:rsidRPr="002B283E" w:rsidRDefault="006A4CD7" w:rsidP="002B283E">
      <w:pPr>
        <w:autoSpaceDE w:val="0"/>
        <w:autoSpaceDN w:val="0"/>
        <w:adjustRightInd w:val="0"/>
        <w:rPr>
          <w:rFonts w:cs="Times New Roman"/>
          <w:szCs w:val="24"/>
        </w:rPr>
      </w:pPr>
    </w:p>
    <w:p w14:paraId="3B48DF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5A86B3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w:t>
      </w:r>
      <w:r w:rsidRPr="002B283E">
        <w:rPr>
          <w:rFonts w:cs="Times New Roman"/>
          <w:szCs w:val="24"/>
        </w:rPr>
        <w:tab/>
        <w:t>Cover Sheet</w:t>
      </w:r>
    </w:p>
    <w:p w14:paraId="59261131" w14:textId="22D9582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1.2 </w:t>
      </w:r>
      <w:r w:rsidRPr="002B283E">
        <w:rPr>
          <w:rFonts w:cs="Times New Roman"/>
          <w:szCs w:val="24"/>
        </w:rPr>
        <w:tab/>
        <w:t>Duty of Jury (Court Reads and Provides Written Set of Instructions</w:t>
      </w:r>
      <w:r w:rsidR="004A232A" w:rsidRPr="002B283E">
        <w:rPr>
          <w:rFonts w:cs="Times New Roman"/>
          <w:szCs w:val="24"/>
        </w:rPr>
        <w:t xml:space="preserve"> at the Beginning of Trial</w:t>
      </w:r>
      <w:r w:rsidRPr="002B283E">
        <w:rPr>
          <w:rFonts w:cs="Times New Roman"/>
          <w:szCs w:val="24"/>
        </w:rPr>
        <w:t>)</w:t>
      </w:r>
    </w:p>
    <w:p w14:paraId="246E7A84" w14:textId="11EF61E2" w:rsidR="006A4CD7" w:rsidRPr="002B283E" w:rsidRDefault="006A4CD7" w:rsidP="00DA0CA9">
      <w:pPr>
        <w:tabs>
          <w:tab w:val="left" w:pos="900"/>
        </w:tabs>
        <w:autoSpaceDE w:val="0"/>
        <w:autoSpaceDN w:val="0"/>
        <w:adjustRightInd w:val="0"/>
        <w:ind w:left="900" w:hanging="900"/>
        <w:rPr>
          <w:rFonts w:cs="Times New Roman"/>
          <w:szCs w:val="24"/>
        </w:rPr>
      </w:pPr>
      <w:r w:rsidRPr="002B283E">
        <w:rPr>
          <w:rFonts w:cs="Times New Roman"/>
          <w:szCs w:val="24"/>
        </w:rPr>
        <w:t>1.3</w:t>
      </w:r>
      <w:r w:rsidRPr="002B283E">
        <w:rPr>
          <w:rFonts w:cs="Times New Roman"/>
          <w:szCs w:val="24"/>
        </w:rPr>
        <w:tab/>
        <w:t>Duty of Jury (</w:t>
      </w:r>
      <w:r w:rsidR="00DA0CA9" w:rsidRPr="00DA0CA9">
        <w:rPr>
          <w:rFonts w:cs="Times New Roman"/>
          <w:szCs w:val="24"/>
        </w:rPr>
        <w:t xml:space="preserve">Court Reads Instructions </w:t>
      </w:r>
      <w:r w:rsidR="00DA0CA9">
        <w:rPr>
          <w:rFonts w:cs="Times New Roman"/>
          <w:szCs w:val="24"/>
        </w:rPr>
        <w:t>at t</w:t>
      </w:r>
      <w:r w:rsidR="00DA0CA9" w:rsidRPr="00DA0CA9">
        <w:rPr>
          <w:rFonts w:cs="Times New Roman"/>
          <w:szCs w:val="24"/>
        </w:rPr>
        <w:t>he Beginning</w:t>
      </w:r>
      <w:r w:rsidR="00DA0CA9">
        <w:rPr>
          <w:rFonts w:cs="Times New Roman"/>
          <w:szCs w:val="24"/>
        </w:rPr>
        <w:t xml:space="preserve"> </w:t>
      </w:r>
      <w:r w:rsidR="00C3392D">
        <w:rPr>
          <w:rFonts w:cs="Times New Roman"/>
          <w:szCs w:val="24"/>
        </w:rPr>
        <w:t>o</w:t>
      </w:r>
      <w:r w:rsidR="00DA0CA9" w:rsidRPr="00DA0CA9">
        <w:rPr>
          <w:rFonts w:cs="Times New Roman"/>
          <w:szCs w:val="24"/>
        </w:rPr>
        <w:t xml:space="preserve">f Trial </w:t>
      </w:r>
      <w:r w:rsidR="00DA0CA9">
        <w:rPr>
          <w:rFonts w:cs="Times New Roman"/>
          <w:szCs w:val="24"/>
        </w:rPr>
        <w:t>b</w:t>
      </w:r>
      <w:r w:rsidR="00DA0CA9" w:rsidRPr="00DA0CA9">
        <w:rPr>
          <w:rFonts w:cs="Times New Roman"/>
          <w:szCs w:val="24"/>
        </w:rPr>
        <w:t>ut Does Not Provide Written Copies</w:t>
      </w:r>
      <w:r w:rsidRPr="002B283E">
        <w:rPr>
          <w:rFonts w:cs="Times New Roman"/>
          <w:szCs w:val="24"/>
        </w:rPr>
        <w:t>)</w:t>
      </w:r>
    </w:p>
    <w:p w14:paraId="3D5EDB2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 xml:space="preserve">1.4 </w:t>
      </w:r>
      <w:r w:rsidRPr="002B283E">
        <w:rPr>
          <w:rFonts w:cs="Times New Roman"/>
          <w:szCs w:val="24"/>
        </w:rPr>
        <w:tab/>
        <w:t>Duty of Jury (Court Reads and Provides Written Instructions at End of Case)</w:t>
      </w:r>
    </w:p>
    <w:p w14:paraId="7B09CEF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1.5 </w:t>
      </w:r>
      <w:r w:rsidRPr="002B283E">
        <w:rPr>
          <w:rFonts w:cs="Times New Roman"/>
          <w:szCs w:val="24"/>
        </w:rPr>
        <w:tab/>
        <w:t>Claims and Defenses</w:t>
      </w:r>
    </w:p>
    <w:p w14:paraId="4255C03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1.6 </w:t>
      </w:r>
      <w:r w:rsidRPr="002B283E">
        <w:rPr>
          <w:rFonts w:cs="Times New Roman"/>
          <w:szCs w:val="24"/>
        </w:rPr>
        <w:tab/>
        <w:t>Burden of Proof—Preponderance of the Evidence</w:t>
      </w:r>
    </w:p>
    <w:p w14:paraId="6EBC83D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1.7 </w:t>
      </w:r>
      <w:r w:rsidRPr="002B283E">
        <w:rPr>
          <w:rFonts w:cs="Times New Roman"/>
          <w:szCs w:val="24"/>
        </w:rPr>
        <w:tab/>
        <w:t>Burden of Proof—Clear and Convincing Evidence</w:t>
      </w:r>
    </w:p>
    <w:p w14:paraId="511B3C0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1.8</w:t>
      </w:r>
      <w:r w:rsidRPr="002B283E">
        <w:rPr>
          <w:rFonts w:cs="Times New Roman"/>
          <w:szCs w:val="24"/>
        </w:rPr>
        <w:tab/>
        <w:t>Two or More Parties—Different Legal Rights</w:t>
      </w:r>
    </w:p>
    <w:p w14:paraId="1CDABFDF" w14:textId="4519483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1.9</w:t>
      </w:r>
      <w:r w:rsidRPr="002B283E">
        <w:rPr>
          <w:rFonts w:cs="Times New Roman"/>
          <w:szCs w:val="24"/>
        </w:rPr>
        <w:tab/>
        <w:t>What</w:t>
      </w:r>
      <w:r w:rsidR="00052E93" w:rsidRPr="002B283E">
        <w:rPr>
          <w:rFonts w:cs="Times New Roman"/>
          <w:szCs w:val="24"/>
        </w:rPr>
        <w:t xml:space="preserve"> is </w:t>
      </w:r>
      <w:r w:rsidRPr="002B283E">
        <w:rPr>
          <w:rFonts w:cs="Times New Roman"/>
          <w:szCs w:val="24"/>
        </w:rPr>
        <w:t>Evidence</w:t>
      </w:r>
    </w:p>
    <w:p w14:paraId="0EFF9400" w14:textId="1903FDB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1.10 </w:t>
      </w:r>
      <w:r w:rsidRPr="002B283E">
        <w:rPr>
          <w:rFonts w:cs="Times New Roman"/>
          <w:szCs w:val="24"/>
        </w:rPr>
        <w:tab/>
        <w:t>What</w:t>
      </w:r>
      <w:r w:rsidR="00052E93" w:rsidRPr="002B283E">
        <w:rPr>
          <w:rFonts w:cs="Times New Roman"/>
          <w:szCs w:val="24"/>
        </w:rPr>
        <w:t xml:space="preserve"> is </w:t>
      </w:r>
      <w:r w:rsidRPr="002B283E">
        <w:rPr>
          <w:rFonts w:cs="Times New Roman"/>
          <w:szCs w:val="24"/>
        </w:rPr>
        <w:t>Not Evidence</w:t>
      </w:r>
    </w:p>
    <w:p w14:paraId="7DDD6A2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Evidence for Limited Purpose</w:t>
      </w:r>
    </w:p>
    <w:p w14:paraId="323DAC0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1.12 </w:t>
      </w:r>
      <w:r w:rsidRPr="002B283E">
        <w:rPr>
          <w:rFonts w:cs="Times New Roman"/>
          <w:szCs w:val="24"/>
        </w:rPr>
        <w:tab/>
        <w:t>Direct and Circumstantial Evidence</w:t>
      </w:r>
    </w:p>
    <w:p w14:paraId="02FCCD2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Ruling on Objections</w:t>
      </w:r>
    </w:p>
    <w:p w14:paraId="37561CE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Credibility of Witnesses</w:t>
      </w:r>
    </w:p>
    <w:p w14:paraId="7D9F2F9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Conduct of the Jury</w:t>
      </w:r>
    </w:p>
    <w:p w14:paraId="5EF2BA9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Publicity During Trial</w:t>
      </w:r>
    </w:p>
    <w:p w14:paraId="20EDB0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No Transcript Available to Jury</w:t>
      </w:r>
    </w:p>
    <w:p w14:paraId="5987406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1.18 </w:t>
      </w:r>
      <w:r w:rsidRPr="002B283E">
        <w:rPr>
          <w:rFonts w:cs="Times New Roman"/>
          <w:szCs w:val="24"/>
        </w:rPr>
        <w:tab/>
        <w:t>Taking Notes</w:t>
      </w:r>
    </w:p>
    <w:p w14:paraId="34BEA84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Questions to Witnesses by Jurors</w:t>
      </w:r>
    </w:p>
    <w:p w14:paraId="114A851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1.20</w:t>
      </w:r>
      <w:r w:rsidRPr="002B283E">
        <w:rPr>
          <w:rFonts w:cs="Times New Roman"/>
          <w:szCs w:val="24"/>
        </w:rPr>
        <w:tab/>
        <w:t>Bench Conferences and Recesses</w:t>
      </w:r>
    </w:p>
    <w:p w14:paraId="72E14A6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Outline of Trial</w:t>
      </w:r>
    </w:p>
    <w:p w14:paraId="47F12DD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Self-Represented Party</w:t>
      </w:r>
    </w:p>
    <w:p w14:paraId="0A783680" w14:textId="77777777" w:rsidR="006A4CD7" w:rsidRPr="002B283E" w:rsidRDefault="006A4CD7" w:rsidP="002B283E">
      <w:pPr>
        <w:autoSpaceDE w:val="0"/>
        <w:autoSpaceDN w:val="0"/>
        <w:adjustRightInd w:val="0"/>
        <w:jc w:val="center"/>
        <w:rPr>
          <w:rFonts w:cs="Times New Roman"/>
          <w:szCs w:val="24"/>
        </w:rPr>
      </w:pPr>
    </w:p>
    <w:p w14:paraId="7159A36A" w14:textId="39D32C44"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0B2277E0" w14:textId="445D7330" w:rsidR="00785181" w:rsidRPr="002B283E" w:rsidRDefault="00785181" w:rsidP="002B283E">
      <w:pPr>
        <w:autoSpaceDE w:val="0"/>
        <w:autoSpaceDN w:val="0"/>
        <w:adjustRightInd w:val="0"/>
        <w:jc w:val="center"/>
        <w:rPr>
          <w:rFonts w:cs="Times New Roman"/>
          <w:b/>
          <w:bCs/>
          <w:szCs w:val="24"/>
        </w:rPr>
      </w:pPr>
    </w:p>
    <w:p w14:paraId="5018D5B9" w14:textId="072C3851" w:rsidR="00785181" w:rsidRPr="002B283E" w:rsidRDefault="00785181" w:rsidP="002B283E">
      <w:pPr>
        <w:autoSpaceDE w:val="0"/>
        <w:autoSpaceDN w:val="0"/>
        <w:adjustRightInd w:val="0"/>
        <w:jc w:val="center"/>
        <w:rPr>
          <w:rFonts w:cs="Times New Roman"/>
          <w:b/>
          <w:bCs/>
          <w:szCs w:val="24"/>
        </w:rPr>
      </w:pPr>
    </w:p>
    <w:p w14:paraId="46793EA3" w14:textId="142E68B2" w:rsidR="00785181" w:rsidRPr="002B283E" w:rsidRDefault="00785181" w:rsidP="002B283E">
      <w:pPr>
        <w:autoSpaceDE w:val="0"/>
        <w:autoSpaceDN w:val="0"/>
        <w:adjustRightInd w:val="0"/>
        <w:jc w:val="center"/>
        <w:rPr>
          <w:rFonts w:cs="Times New Roman"/>
          <w:b/>
          <w:bCs/>
          <w:szCs w:val="24"/>
        </w:rPr>
      </w:pPr>
    </w:p>
    <w:p w14:paraId="537335C7" w14:textId="0CB62936" w:rsidR="00785181" w:rsidRPr="002B283E" w:rsidRDefault="00785181" w:rsidP="002B283E">
      <w:pPr>
        <w:autoSpaceDE w:val="0"/>
        <w:autoSpaceDN w:val="0"/>
        <w:adjustRightInd w:val="0"/>
        <w:jc w:val="center"/>
        <w:rPr>
          <w:rFonts w:cs="Times New Roman"/>
          <w:b/>
          <w:bCs/>
          <w:szCs w:val="24"/>
        </w:rPr>
      </w:pPr>
    </w:p>
    <w:p w14:paraId="4357AD65" w14:textId="758324C4" w:rsidR="00785181" w:rsidRPr="002B283E" w:rsidRDefault="00785181" w:rsidP="002B283E">
      <w:pPr>
        <w:autoSpaceDE w:val="0"/>
        <w:autoSpaceDN w:val="0"/>
        <w:adjustRightInd w:val="0"/>
        <w:jc w:val="center"/>
        <w:rPr>
          <w:rFonts w:cs="Times New Roman"/>
          <w:b/>
          <w:bCs/>
          <w:szCs w:val="24"/>
        </w:rPr>
      </w:pPr>
    </w:p>
    <w:p w14:paraId="43267102" w14:textId="338B2009" w:rsidR="00785181" w:rsidRPr="002B283E" w:rsidRDefault="00785181" w:rsidP="002B283E">
      <w:pPr>
        <w:autoSpaceDE w:val="0"/>
        <w:autoSpaceDN w:val="0"/>
        <w:adjustRightInd w:val="0"/>
        <w:jc w:val="center"/>
        <w:rPr>
          <w:rFonts w:cs="Times New Roman"/>
          <w:b/>
          <w:bCs/>
          <w:szCs w:val="24"/>
        </w:rPr>
      </w:pPr>
    </w:p>
    <w:p w14:paraId="7B58C2FF" w14:textId="2ED6BF6D" w:rsidR="00785181" w:rsidRPr="002B283E" w:rsidRDefault="00785181" w:rsidP="002B283E">
      <w:pPr>
        <w:autoSpaceDE w:val="0"/>
        <w:autoSpaceDN w:val="0"/>
        <w:adjustRightInd w:val="0"/>
        <w:jc w:val="center"/>
        <w:rPr>
          <w:rFonts w:cs="Times New Roman"/>
          <w:b/>
          <w:bCs/>
          <w:szCs w:val="24"/>
        </w:rPr>
      </w:pPr>
    </w:p>
    <w:p w14:paraId="7F7A761C" w14:textId="299B2B25" w:rsidR="00785181" w:rsidRPr="002B283E" w:rsidRDefault="00785181" w:rsidP="002B283E">
      <w:pPr>
        <w:autoSpaceDE w:val="0"/>
        <w:autoSpaceDN w:val="0"/>
        <w:adjustRightInd w:val="0"/>
        <w:jc w:val="center"/>
        <w:rPr>
          <w:rFonts w:cs="Times New Roman"/>
          <w:b/>
          <w:bCs/>
          <w:szCs w:val="24"/>
        </w:rPr>
      </w:pPr>
    </w:p>
    <w:p w14:paraId="40D2EAA8" w14:textId="75096BBB" w:rsidR="00785181" w:rsidRPr="002B283E" w:rsidRDefault="00785181" w:rsidP="002B283E">
      <w:pPr>
        <w:autoSpaceDE w:val="0"/>
        <w:autoSpaceDN w:val="0"/>
        <w:adjustRightInd w:val="0"/>
        <w:jc w:val="center"/>
        <w:rPr>
          <w:rFonts w:cs="Times New Roman"/>
          <w:b/>
          <w:bCs/>
          <w:szCs w:val="24"/>
        </w:rPr>
      </w:pPr>
    </w:p>
    <w:p w14:paraId="0576ED28" w14:textId="11CE66C4" w:rsidR="00785181" w:rsidRPr="002B283E" w:rsidRDefault="00785181" w:rsidP="002B283E">
      <w:pPr>
        <w:autoSpaceDE w:val="0"/>
        <w:autoSpaceDN w:val="0"/>
        <w:adjustRightInd w:val="0"/>
        <w:jc w:val="center"/>
        <w:rPr>
          <w:rFonts w:cs="Times New Roman"/>
          <w:b/>
          <w:bCs/>
          <w:szCs w:val="24"/>
        </w:rPr>
      </w:pPr>
    </w:p>
    <w:p w14:paraId="36491A29" w14:textId="7F9D8D5B" w:rsidR="00785181" w:rsidRPr="002B283E" w:rsidRDefault="00785181" w:rsidP="002B283E">
      <w:pPr>
        <w:autoSpaceDE w:val="0"/>
        <w:autoSpaceDN w:val="0"/>
        <w:adjustRightInd w:val="0"/>
        <w:jc w:val="center"/>
        <w:rPr>
          <w:rFonts w:cs="Times New Roman"/>
          <w:b/>
          <w:bCs/>
          <w:szCs w:val="24"/>
        </w:rPr>
      </w:pPr>
    </w:p>
    <w:p w14:paraId="5A44CDA6" w14:textId="11B1C95F" w:rsidR="00785181" w:rsidRPr="002B283E" w:rsidRDefault="00785181" w:rsidP="002B283E">
      <w:pPr>
        <w:autoSpaceDE w:val="0"/>
        <w:autoSpaceDN w:val="0"/>
        <w:adjustRightInd w:val="0"/>
        <w:jc w:val="center"/>
        <w:rPr>
          <w:rFonts w:cs="Times New Roman"/>
          <w:b/>
          <w:bCs/>
          <w:szCs w:val="24"/>
        </w:rPr>
      </w:pPr>
    </w:p>
    <w:p w14:paraId="6C870971" w14:textId="312113C5" w:rsidR="00785181" w:rsidRPr="002B283E" w:rsidRDefault="00785181" w:rsidP="002B283E">
      <w:pPr>
        <w:autoSpaceDE w:val="0"/>
        <w:autoSpaceDN w:val="0"/>
        <w:adjustRightInd w:val="0"/>
        <w:jc w:val="center"/>
        <w:rPr>
          <w:rFonts w:cs="Times New Roman"/>
          <w:b/>
          <w:bCs/>
          <w:szCs w:val="24"/>
        </w:rPr>
      </w:pPr>
    </w:p>
    <w:p w14:paraId="5D0031E0" w14:textId="5D711281" w:rsidR="00785181" w:rsidRPr="002B283E" w:rsidRDefault="00785181" w:rsidP="002B283E">
      <w:pPr>
        <w:autoSpaceDE w:val="0"/>
        <w:autoSpaceDN w:val="0"/>
        <w:adjustRightInd w:val="0"/>
        <w:jc w:val="center"/>
        <w:rPr>
          <w:rFonts w:cs="Times New Roman"/>
          <w:b/>
          <w:bCs/>
          <w:szCs w:val="24"/>
        </w:rPr>
      </w:pPr>
    </w:p>
    <w:p w14:paraId="55DFC06B" w14:textId="4BE8BC00" w:rsidR="00785181" w:rsidRPr="002B283E" w:rsidRDefault="00785181" w:rsidP="002B283E">
      <w:pPr>
        <w:autoSpaceDE w:val="0"/>
        <w:autoSpaceDN w:val="0"/>
        <w:adjustRightInd w:val="0"/>
        <w:jc w:val="center"/>
        <w:rPr>
          <w:rFonts w:cs="Times New Roman"/>
          <w:b/>
          <w:bCs/>
          <w:szCs w:val="24"/>
        </w:rPr>
      </w:pPr>
    </w:p>
    <w:p w14:paraId="3A812CA8" w14:textId="77777777" w:rsidR="00785181" w:rsidRPr="002B283E" w:rsidRDefault="00785181" w:rsidP="002B283E">
      <w:pPr>
        <w:autoSpaceDE w:val="0"/>
        <w:autoSpaceDN w:val="0"/>
        <w:adjustRightInd w:val="0"/>
        <w:jc w:val="center"/>
        <w:rPr>
          <w:rFonts w:cs="Times New Roman"/>
          <w:b/>
          <w:bCs/>
          <w:szCs w:val="24"/>
        </w:rPr>
      </w:pPr>
    </w:p>
    <w:p w14:paraId="38A6B5EC" w14:textId="77777777" w:rsidR="00F421A9" w:rsidRPr="002B283E" w:rsidRDefault="00F421A9" w:rsidP="002B283E">
      <w:pPr>
        <w:rPr>
          <w:rFonts w:cs="Times New Roman"/>
          <w:szCs w:val="24"/>
        </w:rPr>
      </w:pPr>
    </w:p>
    <w:p w14:paraId="2B194167" w14:textId="77777777" w:rsidR="0062185F" w:rsidRPr="002B283E" w:rsidRDefault="0062185F" w:rsidP="002B283E">
      <w:pPr>
        <w:pStyle w:val="Heading2"/>
        <w:sectPr w:rsidR="0062185F" w:rsidRPr="002B283E" w:rsidSect="00C8345D">
          <w:footerReference w:type="default" r:id="rId12"/>
          <w:pgSz w:w="12240" w:h="15840"/>
          <w:pgMar w:top="1360" w:right="1340" w:bottom="280" w:left="1340" w:header="720" w:footer="720" w:gutter="0"/>
          <w:pgNumType w:start="1"/>
          <w:cols w:space="720"/>
        </w:sectPr>
      </w:pPr>
    </w:p>
    <w:p w14:paraId="16DF1465" w14:textId="69B6165D" w:rsidR="006A4CD7" w:rsidRPr="002B283E" w:rsidRDefault="006A4CD7" w:rsidP="002B283E">
      <w:pPr>
        <w:pStyle w:val="Heading2"/>
      </w:pPr>
      <w:bookmarkStart w:id="6" w:name="_Toc221525059"/>
      <w:r w:rsidRPr="002B283E">
        <w:lastRenderedPageBreak/>
        <w:t>Introductory Comment</w:t>
      </w:r>
      <w:bookmarkEnd w:id="6"/>
    </w:p>
    <w:p w14:paraId="071E15FA" w14:textId="77777777" w:rsidR="006A4CD7" w:rsidRPr="002B283E" w:rsidRDefault="006A4CD7" w:rsidP="002B283E">
      <w:pPr>
        <w:autoSpaceDE w:val="0"/>
        <w:autoSpaceDN w:val="0"/>
        <w:adjustRightInd w:val="0"/>
        <w:rPr>
          <w:rFonts w:cs="Times New Roman"/>
          <w:szCs w:val="24"/>
        </w:rPr>
      </w:pPr>
    </w:p>
    <w:p w14:paraId="283DBC89" w14:textId="43983BD2" w:rsidR="006A4CD7" w:rsidRPr="002B283E" w:rsidRDefault="006A4CD7" w:rsidP="002B283E">
      <w:pPr>
        <w:autoSpaceDE w:val="0"/>
        <w:autoSpaceDN w:val="0"/>
        <w:adjustRightInd w:val="0"/>
        <w:rPr>
          <w:rFonts w:cs="Times New Roman"/>
          <w:szCs w:val="24"/>
        </w:rPr>
      </w:pPr>
      <w:r w:rsidRPr="002B283E">
        <w:rPr>
          <w:rFonts w:cs="Times New Roman"/>
          <w:szCs w:val="24"/>
        </w:rPr>
        <w:tab/>
        <w:t>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w:t>
      </w:r>
      <w:r w:rsidR="00780AD7">
        <w:rPr>
          <w:rFonts w:cs="Times New Roman"/>
          <w:szCs w:val="24"/>
        </w:rPr>
        <w:t>,</w:t>
      </w:r>
      <w:r w:rsidRPr="002B283E">
        <w:rPr>
          <w:rFonts w:cs="Times New Roman"/>
          <w:szCs w:val="24"/>
        </w:rPr>
        <w:t xml:space="preserve">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w:t>
      </w:r>
      <w:r w:rsidR="00A87F6E">
        <w:rPr>
          <w:rFonts w:cs="Times New Roman"/>
          <w:szCs w:val="24"/>
        </w:rPr>
        <w:t xml:space="preserve">. </w:t>
      </w:r>
    </w:p>
    <w:p w14:paraId="6376ADC2" w14:textId="77777777" w:rsidR="006A4CD7" w:rsidRPr="002B283E" w:rsidRDefault="006A4CD7" w:rsidP="002B283E">
      <w:pPr>
        <w:autoSpaceDE w:val="0"/>
        <w:autoSpaceDN w:val="0"/>
        <w:adjustRightInd w:val="0"/>
        <w:rPr>
          <w:rFonts w:cs="Times New Roman"/>
          <w:szCs w:val="24"/>
        </w:rPr>
      </w:pPr>
    </w:p>
    <w:p w14:paraId="5AF4CB15" w14:textId="5D0A5A2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introductory instruction chapters are organized as follows: </w:t>
      </w:r>
      <w:r w:rsidR="00B9329E">
        <w:rPr>
          <w:rFonts w:cs="Times New Roman"/>
          <w:szCs w:val="24"/>
        </w:rPr>
        <w:t>Preliminary Instructions</w:t>
      </w:r>
      <w:r w:rsidRPr="002B283E">
        <w:rPr>
          <w:rFonts w:cs="Times New Roman"/>
          <w:szCs w:val="24"/>
        </w:rPr>
        <w:t xml:space="preserve"> (Chapter 1), Instructions </w:t>
      </w:r>
      <w:r w:rsidR="00B9329E">
        <w:rPr>
          <w:rFonts w:cs="Times New Roman"/>
          <w:szCs w:val="24"/>
        </w:rPr>
        <w:t xml:space="preserve">in the Course of Trial </w:t>
      </w:r>
      <w:r w:rsidRPr="002B283E">
        <w:rPr>
          <w:rFonts w:cs="Times New Roman"/>
          <w:szCs w:val="24"/>
        </w:rPr>
        <w:t xml:space="preserve">(Chapter 2), and Instructions </w:t>
      </w:r>
      <w:r w:rsidR="00B9329E">
        <w:rPr>
          <w:rFonts w:cs="Times New Roman"/>
          <w:szCs w:val="24"/>
        </w:rPr>
        <w:t>at the End of Case</w:t>
      </w:r>
      <w:r w:rsidRPr="002B283E">
        <w:rPr>
          <w:rFonts w:cs="Times New Roman"/>
          <w:szCs w:val="24"/>
        </w:rPr>
        <w:t xml:space="preserve"> (Chapter 3).</w:t>
      </w:r>
    </w:p>
    <w:p w14:paraId="7C1FDC23" w14:textId="77777777" w:rsidR="006A4CD7" w:rsidRPr="002B283E" w:rsidRDefault="006A4CD7" w:rsidP="002B283E">
      <w:pPr>
        <w:autoSpaceDE w:val="0"/>
        <w:autoSpaceDN w:val="0"/>
        <w:adjustRightInd w:val="0"/>
        <w:rPr>
          <w:rFonts w:cs="Times New Roman"/>
          <w:szCs w:val="24"/>
        </w:rPr>
      </w:pPr>
    </w:p>
    <w:p w14:paraId="6D4D200D" w14:textId="07FCF138" w:rsidR="006A4CD7" w:rsidRPr="002B283E" w:rsidRDefault="006A4CD7" w:rsidP="002B283E">
      <w:pPr>
        <w:autoSpaceDE w:val="0"/>
        <w:autoSpaceDN w:val="0"/>
        <w:adjustRightInd w:val="0"/>
        <w:rPr>
          <w:rFonts w:cs="Times New Roman"/>
          <w:szCs w:val="24"/>
        </w:rPr>
      </w:pPr>
      <w:r w:rsidRPr="002B283E">
        <w:rPr>
          <w:rFonts w:cs="Times New Roman"/>
          <w:szCs w:val="24"/>
        </w:rPr>
        <w:tab/>
        <w:t>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w:t>
      </w:r>
      <w:r w:rsidR="00A87F6E">
        <w:rPr>
          <w:rFonts w:cs="Times New Roman"/>
          <w:szCs w:val="24"/>
        </w:rPr>
        <w:t xml:space="preserve">. </w:t>
      </w:r>
    </w:p>
    <w:p w14:paraId="42D37DF2" w14:textId="77777777" w:rsidR="006A4CD7" w:rsidRPr="002B283E" w:rsidRDefault="006A4CD7" w:rsidP="002B283E">
      <w:pPr>
        <w:autoSpaceDE w:val="0"/>
        <w:autoSpaceDN w:val="0"/>
        <w:adjustRightInd w:val="0"/>
        <w:rPr>
          <w:rFonts w:cs="Times New Roman"/>
          <w:szCs w:val="24"/>
        </w:rPr>
      </w:pPr>
    </w:p>
    <w:p w14:paraId="4693840E" w14:textId="6444AF4A" w:rsidR="006A4CD7" w:rsidRPr="002B283E" w:rsidRDefault="006A4CD7" w:rsidP="002B283E">
      <w:pPr>
        <w:autoSpaceDE w:val="0"/>
        <w:autoSpaceDN w:val="0"/>
        <w:adjustRightInd w:val="0"/>
        <w:rPr>
          <w:rFonts w:cs="Times New Roman"/>
          <w:szCs w:val="24"/>
        </w:rPr>
      </w:pPr>
      <w:r w:rsidRPr="002B283E">
        <w:rPr>
          <w:rFonts w:cs="Times New Roman"/>
          <w:szCs w:val="24"/>
        </w:rPr>
        <w:tab/>
        <w:t>Practices vary among judges on how complete introductory instructions should be. Some judges prefer to instruct initially only on the trial process (Chapter 1)</w:t>
      </w:r>
      <w:r w:rsidR="00A87F6E">
        <w:rPr>
          <w:rFonts w:cs="Times New Roman"/>
          <w:szCs w:val="24"/>
        </w:rPr>
        <w:t xml:space="preserve">. </w:t>
      </w:r>
      <w:r w:rsidRPr="002B283E">
        <w:rPr>
          <w:rFonts w:cs="Times New Roman"/>
          <w:szCs w:val="24"/>
        </w:rPr>
        <w:t>Some prefer to instruct not only on the process but also on types of evidence to be presented and/or on deliberations (Chapters 2 and 3). Finally, some include all topics in Chapters 1, 2</w:t>
      </w:r>
      <w:r w:rsidR="00DD1EC9">
        <w:rPr>
          <w:rFonts w:cs="Times New Roman"/>
          <w:szCs w:val="24"/>
        </w:rPr>
        <w:t>,</w:t>
      </w:r>
      <w:r w:rsidRPr="002B283E">
        <w:rPr>
          <w:rFonts w:cs="Times New Roman"/>
          <w:szCs w:val="24"/>
        </w:rPr>
        <w:t xml:space="preserve"> and 3 as well as substantive law instructions for particular claims made. There is no right or wrong way to accomplish this task. It depends on the nature of the case, the preliminary rulings</w:t>
      </w:r>
      <w:r w:rsidR="00DD1EC9">
        <w:rPr>
          <w:rFonts w:cs="Times New Roman"/>
          <w:szCs w:val="24"/>
        </w:rPr>
        <w:t>,</w:t>
      </w:r>
      <w:r w:rsidRPr="002B283E">
        <w:rPr>
          <w:rFonts w:cs="Times New Roman"/>
          <w:szCs w:val="24"/>
        </w:rPr>
        <w:t xml:space="preserve"> and the legal culture of each district.</w:t>
      </w:r>
    </w:p>
    <w:p w14:paraId="243DF071" w14:textId="77777777" w:rsidR="006A4CD7" w:rsidRPr="002B283E" w:rsidRDefault="006A4CD7" w:rsidP="002B283E">
      <w:pPr>
        <w:autoSpaceDE w:val="0"/>
        <w:autoSpaceDN w:val="0"/>
        <w:adjustRightInd w:val="0"/>
        <w:rPr>
          <w:rFonts w:cs="Times New Roman"/>
          <w:szCs w:val="24"/>
        </w:rPr>
      </w:pPr>
    </w:p>
    <w:p w14:paraId="773DF358" w14:textId="4B9CB65F" w:rsidR="006A4CD7" w:rsidRPr="002B283E" w:rsidRDefault="006A4CD7" w:rsidP="002B283E">
      <w:pPr>
        <w:autoSpaceDE w:val="0"/>
        <w:autoSpaceDN w:val="0"/>
        <w:adjustRightInd w:val="0"/>
        <w:rPr>
          <w:rFonts w:cs="Times New Roman"/>
          <w:szCs w:val="24"/>
        </w:rPr>
      </w:pPr>
      <w:r w:rsidRPr="002B283E">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2B283E" w:rsidRDefault="006A4CD7" w:rsidP="002B283E">
      <w:pPr>
        <w:autoSpaceDE w:val="0"/>
        <w:autoSpaceDN w:val="0"/>
        <w:adjustRightInd w:val="0"/>
        <w:rPr>
          <w:rFonts w:cs="Times New Roman"/>
          <w:szCs w:val="24"/>
        </w:rPr>
      </w:pPr>
    </w:p>
    <w:p w14:paraId="7BFEAFFA" w14:textId="77777777" w:rsidR="006A4CD7" w:rsidRPr="002B283E" w:rsidRDefault="006A4CD7" w:rsidP="002B283E">
      <w:pPr>
        <w:autoSpaceDE w:val="0"/>
        <w:autoSpaceDN w:val="0"/>
        <w:adjustRightInd w:val="0"/>
        <w:rPr>
          <w:rFonts w:cs="Times New Roman"/>
          <w:szCs w:val="24"/>
        </w:rPr>
      </w:pPr>
    </w:p>
    <w:p w14:paraId="74B2090C" w14:textId="77777777" w:rsidR="006A4CD7" w:rsidRPr="002B283E" w:rsidRDefault="006A4CD7" w:rsidP="002B283E">
      <w:pPr>
        <w:rPr>
          <w:rFonts w:cs="Times New Roman"/>
          <w:b/>
          <w:bCs/>
          <w:szCs w:val="24"/>
        </w:rPr>
      </w:pPr>
      <w:r w:rsidRPr="002B283E">
        <w:rPr>
          <w:rFonts w:cs="Times New Roman"/>
          <w:b/>
          <w:bCs/>
          <w:szCs w:val="24"/>
        </w:rPr>
        <w:br w:type="page"/>
      </w:r>
    </w:p>
    <w:p w14:paraId="6D11FBAE" w14:textId="386A4C38" w:rsidR="006A4CD7" w:rsidRPr="002B283E" w:rsidRDefault="006A4CD7" w:rsidP="002B283E">
      <w:pPr>
        <w:pStyle w:val="Heading2"/>
      </w:pPr>
      <w:bookmarkStart w:id="7" w:name="_Toc221525060"/>
      <w:r w:rsidRPr="002B283E">
        <w:lastRenderedPageBreak/>
        <w:t xml:space="preserve">1.1 </w:t>
      </w:r>
      <w:r w:rsidR="00785181" w:rsidRPr="002B283E">
        <w:t>Cover Sheet</w:t>
      </w:r>
      <w:bookmarkEnd w:id="7"/>
    </w:p>
    <w:p w14:paraId="65F138D2" w14:textId="77777777" w:rsidR="006A4CD7" w:rsidRPr="002B283E" w:rsidRDefault="006A4CD7" w:rsidP="002B283E">
      <w:pPr>
        <w:autoSpaceDE w:val="0"/>
        <w:autoSpaceDN w:val="0"/>
        <w:adjustRightInd w:val="0"/>
        <w:jc w:val="center"/>
        <w:rPr>
          <w:rFonts w:cs="Times New Roman"/>
          <w:szCs w:val="24"/>
        </w:rPr>
      </w:pPr>
    </w:p>
    <w:p w14:paraId="721DBECE"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IN THE UNITED STATES DISTRICT COURT</w:t>
      </w:r>
    </w:p>
    <w:p w14:paraId="7A2DE1F7"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 xml:space="preserve"> _______ DISTRICT OF _______ </w:t>
      </w:r>
    </w:p>
    <w:p w14:paraId="4D42A7C2" w14:textId="77777777" w:rsidR="006A4CD7" w:rsidRPr="002B283E" w:rsidRDefault="006A4CD7" w:rsidP="002B283E">
      <w:pPr>
        <w:autoSpaceDE w:val="0"/>
        <w:autoSpaceDN w:val="0"/>
        <w:adjustRightInd w:val="0"/>
        <w:rPr>
          <w:rFonts w:cs="Times New Roman"/>
          <w:szCs w:val="24"/>
        </w:rPr>
      </w:pPr>
    </w:p>
    <w:p w14:paraId="112A8E07" w14:textId="77777777" w:rsidR="006A4CD7" w:rsidRPr="002B283E" w:rsidRDefault="006A4CD7" w:rsidP="002B283E">
      <w:pPr>
        <w:autoSpaceDE w:val="0"/>
        <w:autoSpaceDN w:val="0"/>
        <w:adjustRightInd w:val="0"/>
        <w:rPr>
          <w:rFonts w:cs="Times New Roman"/>
          <w:szCs w:val="24"/>
        </w:rPr>
      </w:pPr>
    </w:p>
    <w:p w14:paraId="28976023" w14:textId="77777777" w:rsidR="006A4CD7" w:rsidRPr="002B283E" w:rsidRDefault="006A4CD7" w:rsidP="002B283E">
      <w:pPr>
        <w:autoSpaceDE w:val="0"/>
        <w:autoSpaceDN w:val="0"/>
        <w:adjustRightInd w:val="0"/>
        <w:rPr>
          <w:rFonts w:cs="Times New Roman"/>
          <w:szCs w:val="24"/>
        </w:rPr>
      </w:pPr>
    </w:p>
    <w:p w14:paraId="524FDE0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 </w:t>
      </w:r>
      <w:r w:rsidRPr="002B283E">
        <w:rPr>
          <w:rFonts w:cs="Times New Roman"/>
          <w:szCs w:val="24"/>
        </w:rPr>
        <w:tab/>
      </w:r>
      <w:r w:rsidRPr="002B283E">
        <w:rPr>
          <w:rFonts w:cs="Times New Roman"/>
          <w:szCs w:val="24"/>
        </w:rPr>
        <w:tab/>
        <w:t xml:space="preserve">)  </w:t>
      </w:r>
    </w:p>
    <w:p w14:paraId="5D059F0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3BB31D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Plaintiff, </w:t>
      </w:r>
      <w:r w:rsidRPr="002B283E">
        <w:rPr>
          <w:rFonts w:cs="Times New Roman"/>
          <w:szCs w:val="24"/>
        </w:rPr>
        <w:tab/>
      </w:r>
      <w:r w:rsidRPr="002B283E">
        <w:rPr>
          <w:rFonts w:cs="Times New Roman"/>
          <w:szCs w:val="24"/>
        </w:rPr>
        <w:tab/>
      </w:r>
      <w:r w:rsidRPr="002B283E">
        <w:rPr>
          <w:rFonts w:cs="Times New Roman"/>
          <w:szCs w:val="24"/>
        </w:rPr>
        <w:tab/>
        <w:t xml:space="preserve">) </w:t>
      </w:r>
    </w:p>
    <w:p w14:paraId="616F1E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7EF58C0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r w:rsidRPr="002B283E">
        <w:rPr>
          <w:rFonts w:cs="Times New Roman"/>
          <w:szCs w:val="24"/>
        </w:rPr>
        <w:tab/>
        <w:t xml:space="preserve">v.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2D08D39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46A9F76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w:t>
      </w:r>
      <w:r w:rsidRPr="002B283E">
        <w:rPr>
          <w:rFonts w:cs="Times New Roman"/>
          <w:szCs w:val="24"/>
        </w:rPr>
        <w:tab/>
      </w:r>
      <w:r w:rsidRPr="002B283E">
        <w:rPr>
          <w:rFonts w:cs="Times New Roman"/>
          <w:szCs w:val="24"/>
        </w:rPr>
        <w:tab/>
        <w:t xml:space="preserve"> No. __________</w:t>
      </w:r>
    </w:p>
    <w:p w14:paraId="0186444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6F6214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_________________,</w:t>
      </w:r>
      <w:r w:rsidRPr="002B283E">
        <w:rPr>
          <w:rFonts w:cs="Times New Roman"/>
          <w:szCs w:val="24"/>
        </w:rPr>
        <w:tab/>
      </w:r>
      <w:r w:rsidRPr="002B283E">
        <w:rPr>
          <w:rFonts w:cs="Times New Roman"/>
          <w:szCs w:val="24"/>
        </w:rPr>
        <w:tab/>
      </w:r>
      <w:r w:rsidR="007B1C2E" w:rsidRPr="002B283E">
        <w:rPr>
          <w:rFonts w:cs="Times New Roman"/>
          <w:szCs w:val="24"/>
        </w:rPr>
        <w:tab/>
      </w:r>
      <w:r w:rsidRPr="002B283E">
        <w:rPr>
          <w:rFonts w:cs="Times New Roman"/>
          <w:szCs w:val="24"/>
        </w:rPr>
        <w:t xml:space="preserve">) </w:t>
      </w:r>
    </w:p>
    <w:p w14:paraId="7B6841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69ADFE6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Defendant</w:t>
      </w:r>
      <w:r w:rsidRPr="002B283E">
        <w:rPr>
          <w:rFonts w:cs="Times New Roman"/>
          <w:szCs w:val="24"/>
        </w:rPr>
        <w:tab/>
      </w:r>
      <w:r w:rsidRPr="002B283E">
        <w:rPr>
          <w:rFonts w:cs="Times New Roman"/>
          <w:szCs w:val="24"/>
        </w:rPr>
        <w:tab/>
      </w:r>
      <w:r w:rsidRPr="002B283E">
        <w:rPr>
          <w:rFonts w:cs="Times New Roman"/>
          <w:szCs w:val="24"/>
        </w:rPr>
        <w:tab/>
        <w:t xml:space="preserve">) </w:t>
      </w:r>
    </w:p>
    <w:p w14:paraId="5305B3D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CD0698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______________________________) </w:t>
      </w:r>
    </w:p>
    <w:p w14:paraId="026D9C58" w14:textId="77777777" w:rsidR="006A4CD7" w:rsidRPr="002B283E" w:rsidRDefault="006A4CD7" w:rsidP="002B283E">
      <w:pPr>
        <w:autoSpaceDE w:val="0"/>
        <w:autoSpaceDN w:val="0"/>
        <w:adjustRightInd w:val="0"/>
        <w:rPr>
          <w:rFonts w:cs="Times New Roman"/>
          <w:szCs w:val="24"/>
        </w:rPr>
      </w:pPr>
    </w:p>
    <w:p w14:paraId="42137AD7" w14:textId="77777777" w:rsidR="006A4CD7" w:rsidRPr="002B283E" w:rsidRDefault="006A4CD7" w:rsidP="002B283E">
      <w:pPr>
        <w:autoSpaceDE w:val="0"/>
        <w:autoSpaceDN w:val="0"/>
        <w:adjustRightInd w:val="0"/>
        <w:rPr>
          <w:rFonts w:cs="Times New Roman"/>
          <w:szCs w:val="24"/>
        </w:rPr>
      </w:pPr>
    </w:p>
    <w:p w14:paraId="005C5DA8"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JURY INSTRUCTIONS</w:t>
      </w:r>
    </w:p>
    <w:p w14:paraId="7281AE73" w14:textId="77777777" w:rsidR="006A4CD7" w:rsidRPr="002B283E" w:rsidRDefault="006A4CD7" w:rsidP="002B283E">
      <w:pPr>
        <w:autoSpaceDE w:val="0"/>
        <w:autoSpaceDN w:val="0"/>
        <w:adjustRightInd w:val="0"/>
        <w:rPr>
          <w:rFonts w:cs="Times New Roman"/>
          <w:szCs w:val="24"/>
        </w:rPr>
      </w:pPr>
    </w:p>
    <w:p w14:paraId="740E695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DATED: ___________</w:t>
      </w:r>
    </w:p>
    <w:p w14:paraId="67ECF91D" w14:textId="77777777" w:rsidR="006A4CD7" w:rsidRPr="002B283E" w:rsidRDefault="006A4CD7" w:rsidP="002B283E">
      <w:pPr>
        <w:autoSpaceDE w:val="0"/>
        <w:autoSpaceDN w:val="0"/>
        <w:adjustRightInd w:val="0"/>
        <w:rPr>
          <w:rFonts w:cs="Times New Roman"/>
          <w:szCs w:val="24"/>
        </w:rPr>
      </w:pPr>
    </w:p>
    <w:p w14:paraId="091DAFC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________________________________________________</w:t>
      </w:r>
    </w:p>
    <w:p w14:paraId="52ECD11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UNITED STATES [DISTRICT] [MAGISTRATE] JUDGE</w:t>
      </w:r>
    </w:p>
    <w:p w14:paraId="621D2B00" w14:textId="77777777" w:rsidR="006A4CD7" w:rsidRPr="002B283E" w:rsidRDefault="006A4CD7" w:rsidP="002B283E">
      <w:pPr>
        <w:autoSpaceDE w:val="0"/>
        <w:autoSpaceDN w:val="0"/>
        <w:adjustRightInd w:val="0"/>
        <w:rPr>
          <w:rFonts w:cs="Times New Roman"/>
          <w:szCs w:val="24"/>
        </w:rPr>
      </w:pPr>
    </w:p>
    <w:p w14:paraId="14079730" w14:textId="77777777" w:rsidR="006A4CD7" w:rsidRPr="002B283E" w:rsidRDefault="006A4CD7" w:rsidP="002B283E">
      <w:pPr>
        <w:autoSpaceDE w:val="0"/>
        <w:autoSpaceDN w:val="0"/>
        <w:adjustRightInd w:val="0"/>
        <w:rPr>
          <w:rFonts w:cs="Times New Roman"/>
          <w:szCs w:val="24"/>
        </w:rPr>
      </w:pPr>
    </w:p>
    <w:p w14:paraId="023FCD68" w14:textId="77777777" w:rsidR="006A4CD7" w:rsidRPr="002B283E" w:rsidRDefault="006A4CD7" w:rsidP="002B283E">
      <w:pPr>
        <w:autoSpaceDE w:val="0"/>
        <w:autoSpaceDN w:val="0"/>
        <w:adjustRightInd w:val="0"/>
        <w:rPr>
          <w:rFonts w:cs="Times New Roman"/>
          <w:szCs w:val="24"/>
        </w:rPr>
      </w:pPr>
    </w:p>
    <w:p w14:paraId="64B7AE66" w14:textId="77777777" w:rsidR="006A4CD7" w:rsidRPr="002B283E" w:rsidRDefault="006A4CD7" w:rsidP="002B283E">
      <w:pPr>
        <w:autoSpaceDE w:val="0"/>
        <w:autoSpaceDN w:val="0"/>
        <w:adjustRightInd w:val="0"/>
        <w:rPr>
          <w:rFonts w:cs="Times New Roman"/>
          <w:szCs w:val="24"/>
        </w:rPr>
      </w:pPr>
    </w:p>
    <w:p w14:paraId="75AA71EB" w14:textId="77777777" w:rsidR="00030A67" w:rsidRPr="002B283E" w:rsidRDefault="00030A67" w:rsidP="002B283E">
      <w:pPr>
        <w:rPr>
          <w:rFonts w:cs="Times New Roman"/>
          <w:szCs w:val="24"/>
        </w:rPr>
      </w:pPr>
      <w:r w:rsidRPr="002B283E">
        <w:rPr>
          <w:rFonts w:cs="Times New Roman"/>
          <w:szCs w:val="24"/>
        </w:rPr>
        <w:br w:type="page"/>
      </w:r>
    </w:p>
    <w:p w14:paraId="2B610988" w14:textId="2A62CBBD" w:rsidR="006A4CD7" w:rsidRPr="002B283E" w:rsidRDefault="006A4CD7" w:rsidP="00826E77">
      <w:pPr>
        <w:pStyle w:val="Heading2"/>
      </w:pPr>
      <w:bookmarkStart w:id="8" w:name="_Toc221525061"/>
      <w:r w:rsidRPr="002B283E">
        <w:lastRenderedPageBreak/>
        <w:t xml:space="preserve">1.2 </w:t>
      </w:r>
      <w:r w:rsidR="00785181" w:rsidRPr="002B283E">
        <w:t>Duty of Jury (Court Reads and Provides Written Set of Instructions</w:t>
      </w:r>
      <w:r w:rsidR="004A232A" w:rsidRPr="002B283E">
        <w:t xml:space="preserve"> at the Beginning of Trial</w:t>
      </w:r>
      <w:r w:rsidR="00785181" w:rsidRPr="002B283E">
        <w:t>)</w:t>
      </w:r>
      <w:bookmarkEnd w:id="8"/>
    </w:p>
    <w:p w14:paraId="274A2C7F" w14:textId="77777777" w:rsidR="00785181" w:rsidRPr="002B283E" w:rsidRDefault="00785181" w:rsidP="002B283E">
      <w:pPr>
        <w:rPr>
          <w:rFonts w:cs="Times New Roman"/>
          <w:szCs w:val="24"/>
        </w:rPr>
      </w:pPr>
    </w:p>
    <w:p w14:paraId="44B7601A" w14:textId="02CE8889"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49EE9A0A" w14:textId="77777777" w:rsidR="006A4CD7" w:rsidRPr="002B283E" w:rsidRDefault="006A4CD7" w:rsidP="002B283E">
      <w:pPr>
        <w:autoSpaceDE w:val="0"/>
        <w:autoSpaceDN w:val="0"/>
        <w:adjustRightInd w:val="0"/>
        <w:rPr>
          <w:rFonts w:cs="Times New Roman"/>
          <w:szCs w:val="24"/>
        </w:rPr>
      </w:pPr>
    </w:p>
    <w:p w14:paraId="61984E3E" w14:textId="0B19BDF6" w:rsidR="006A4CD7" w:rsidRPr="002B283E" w:rsidRDefault="006A4CD7" w:rsidP="002B283E">
      <w:pPr>
        <w:autoSpaceDE w:val="0"/>
        <w:autoSpaceDN w:val="0"/>
        <w:adjustRightInd w:val="0"/>
        <w:rPr>
          <w:rFonts w:cs="Times New Roman"/>
          <w:szCs w:val="24"/>
        </w:rPr>
      </w:pPr>
      <w:r w:rsidRPr="002B283E">
        <w:rPr>
          <w:rFonts w:cs="Times New Roman"/>
          <w:szCs w:val="24"/>
        </w:rPr>
        <w:tab/>
        <w:t>These instructions are preliminary instructions to help you understand the principles that apply to civil trials and to help you understand the evidence as you listen to it</w:t>
      </w:r>
      <w:r w:rsidR="00A87F6E">
        <w:rPr>
          <w:rFonts w:cs="Times New Roman"/>
          <w:szCs w:val="24"/>
        </w:rPr>
        <w:t xml:space="preserve">. </w:t>
      </w:r>
      <w:r w:rsidRPr="002B283E">
        <w:rPr>
          <w:rFonts w:cs="Times New Roman"/>
          <w:szCs w:val="24"/>
        </w:rPr>
        <w:t xml:space="preserve">You will be allowed to keep this set of instructions to refer to throughout the trial. These instructions are not to be taken home and must remain in the jury room when you leave in the evenings. At the end of the trial, these instructions will be </w:t>
      </w:r>
      <w:r w:rsidR="00C23711" w:rsidRPr="002B283E">
        <w:rPr>
          <w:rFonts w:cs="Times New Roman"/>
          <w:szCs w:val="24"/>
        </w:rPr>
        <w:t>collected,</w:t>
      </w:r>
      <w:r w:rsidRPr="002B283E">
        <w:rPr>
          <w:rFonts w:cs="Times New Roman"/>
          <w:szCs w:val="24"/>
        </w:rPr>
        <w:t xml:space="preserve"> and I will give you a final set of instructions. It is the final set of instructions that will govern your deliberations.</w:t>
      </w:r>
    </w:p>
    <w:p w14:paraId="2AFE8DD8" w14:textId="77777777" w:rsidR="006A4CD7" w:rsidRPr="002B283E" w:rsidRDefault="006A4CD7" w:rsidP="002B283E">
      <w:pPr>
        <w:autoSpaceDE w:val="0"/>
        <w:autoSpaceDN w:val="0"/>
        <w:adjustRightInd w:val="0"/>
        <w:rPr>
          <w:rFonts w:cs="Times New Roman"/>
          <w:szCs w:val="24"/>
        </w:rPr>
      </w:pPr>
    </w:p>
    <w:p w14:paraId="029471D6" w14:textId="13AE753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2B283E">
        <w:rPr>
          <w:rFonts w:cs="Times New Roman"/>
          <w:szCs w:val="24"/>
        </w:rPr>
        <w:t>prejudices,</w:t>
      </w:r>
      <w:r w:rsidRPr="002B283E">
        <w:rPr>
          <w:rFonts w:cs="Times New Roman"/>
          <w:szCs w:val="24"/>
        </w:rPr>
        <w:t xml:space="preserve">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13DFD478" w14:textId="77777777" w:rsidR="006A4CD7" w:rsidRPr="002B283E" w:rsidRDefault="006A4CD7" w:rsidP="002B283E">
      <w:pPr>
        <w:autoSpaceDE w:val="0"/>
        <w:autoSpaceDN w:val="0"/>
        <w:adjustRightInd w:val="0"/>
        <w:rPr>
          <w:rFonts w:cs="Times New Roman"/>
          <w:szCs w:val="24"/>
        </w:rPr>
      </w:pPr>
    </w:p>
    <w:p w14:paraId="0CE6BC2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0ACC7292" w14:textId="77777777" w:rsidR="006A4CD7" w:rsidRPr="002B283E" w:rsidRDefault="006A4CD7" w:rsidP="002B283E">
      <w:pPr>
        <w:autoSpaceDE w:val="0"/>
        <w:autoSpaceDN w:val="0"/>
        <w:adjustRightInd w:val="0"/>
        <w:rPr>
          <w:rFonts w:cs="Times New Roman"/>
          <w:szCs w:val="24"/>
        </w:rPr>
      </w:pPr>
    </w:p>
    <w:p w14:paraId="6053F51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EDAFEC" w14:textId="77777777" w:rsidR="006A4CD7" w:rsidRPr="002B283E" w:rsidRDefault="006A4CD7" w:rsidP="002B283E">
      <w:pPr>
        <w:autoSpaceDE w:val="0"/>
        <w:autoSpaceDN w:val="0"/>
        <w:adjustRightInd w:val="0"/>
        <w:rPr>
          <w:rFonts w:cs="Times New Roman"/>
          <w:szCs w:val="24"/>
        </w:rPr>
      </w:pPr>
    </w:p>
    <w:p w14:paraId="2C82B84B" w14:textId="21EA404A"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r w:rsidR="008F7348">
        <w:rPr>
          <w:rFonts w:cs="Times New Roman"/>
          <w:szCs w:val="24"/>
        </w:rPr>
        <w:t xml:space="preserve"> (</w:t>
      </w:r>
      <w:r w:rsidR="008F7348" w:rsidRPr="008F7348">
        <w:rPr>
          <w:rFonts w:cs="Times New Roman"/>
          <w:szCs w:val="24"/>
        </w:rPr>
        <w:t>Duty of Jury (Court Reads Instructions At The Beginning Of Trial But Does Not Provide Written Copies)</w:t>
      </w:r>
      <w:r w:rsidR="008F7348">
        <w:rPr>
          <w:rFonts w:cs="Times New Roman"/>
          <w:szCs w:val="24"/>
        </w:rPr>
        <w:t>)</w:t>
      </w:r>
      <w:r w:rsidRPr="002B283E">
        <w:rPr>
          <w:rFonts w:cs="Times New Roman"/>
          <w:szCs w:val="24"/>
        </w:rPr>
        <w:t>.</w:t>
      </w:r>
    </w:p>
    <w:p w14:paraId="2DE4DAA2" w14:textId="77777777" w:rsidR="006A4CD7" w:rsidRPr="002B283E" w:rsidRDefault="006A4CD7" w:rsidP="002B283E">
      <w:pPr>
        <w:autoSpaceDE w:val="0"/>
        <w:autoSpaceDN w:val="0"/>
        <w:adjustRightInd w:val="0"/>
        <w:rPr>
          <w:rFonts w:cs="Times New Roman"/>
          <w:szCs w:val="24"/>
        </w:rPr>
      </w:pPr>
    </w:p>
    <w:p w14:paraId="3FA433F8" w14:textId="77777777" w:rsidR="006A4CD7" w:rsidRPr="002B283E" w:rsidRDefault="006A4CD7" w:rsidP="002B283E">
      <w:pPr>
        <w:autoSpaceDE w:val="0"/>
        <w:autoSpaceDN w:val="0"/>
        <w:adjustRightInd w:val="0"/>
        <w:rPr>
          <w:rFonts w:cs="Times New Roman"/>
          <w:szCs w:val="24"/>
        </w:rPr>
      </w:pPr>
    </w:p>
    <w:p w14:paraId="196A9700" w14:textId="77777777" w:rsidR="00030A67" w:rsidRPr="002B283E" w:rsidRDefault="00030A67" w:rsidP="002B283E">
      <w:pPr>
        <w:rPr>
          <w:rFonts w:cs="Times New Roman"/>
          <w:szCs w:val="24"/>
        </w:rPr>
      </w:pPr>
      <w:r w:rsidRPr="002B283E">
        <w:rPr>
          <w:rFonts w:cs="Times New Roman"/>
          <w:szCs w:val="24"/>
        </w:rPr>
        <w:br w:type="page"/>
      </w:r>
    </w:p>
    <w:p w14:paraId="292F8FAD" w14:textId="05C728EC" w:rsidR="006A4CD7" w:rsidRPr="002B283E" w:rsidRDefault="006A4CD7" w:rsidP="00826E77">
      <w:pPr>
        <w:pStyle w:val="Heading2"/>
      </w:pPr>
      <w:bookmarkStart w:id="9" w:name="_Toc221525062"/>
      <w:r w:rsidRPr="002B283E">
        <w:lastRenderedPageBreak/>
        <w:t xml:space="preserve">1.3 </w:t>
      </w:r>
      <w:r w:rsidR="00785181" w:rsidRPr="002B283E">
        <w:t xml:space="preserve">Duty of Jury (Court Reads Instructions at the Beginning of Trial </w:t>
      </w:r>
      <w:r w:rsidR="004A232A" w:rsidRPr="002B283E">
        <w:t>b</w:t>
      </w:r>
      <w:r w:rsidR="00785181" w:rsidRPr="002B283E">
        <w:t>ut Does Not Provide Written Copies</w:t>
      </w:r>
      <w:r w:rsidR="004A232A" w:rsidRPr="002B283E">
        <w:t>)</w:t>
      </w:r>
      <w:bookmarkEnd w:id="9"/>
    </w:p>
    <w:p w14:paraId="20A7ADED" w14:textId="77777777" w:rsidR="006A4CD7" w:rsidRPr="002B283E" w:rsidRDefault="006A4CD7" w:rsidP="002B283E">
      <w:pPr>
        <w:autoSpaceDE w:val="0"/>
        <w:autoSpaceDN w:val="0"/>
        <w:adjustRightInd w:val="0"/>
        <w:rPr>
          <w:rFonts w:cs="Times New Roman"/>
          <w:szCs w:val="24"/>
        </w:rPr>
      </w:pPr>
    </w:p>
    <w:p w14:paraId="5BC81AEA" w14:textId="3A1185A1"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26BD573B" w14:textId="77777777" w:rsidR="006A4CD7" w:rsidRPr="002B283E" w:rsidRDefault="006A4CD7" w:rsidP="002B283E">
      <w:pPr>
        <w:autoSpaceDE w:val="0"/>
        <w:autoSpaceDN w:val="0"/>
        <w:adjustRightInd w:val="0"/>
        <w:rPr>
          <w:rFonts w:cs="Times New Roman"/>
          <w:szCs w:val="24"/>
        </w:rPr>
      </w:pPr>
    </w:p>
    <w:p w14:paraId="48C82C34" w14:textId="606ABC4E"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4254A274" w14:textId="77777777" w:rsidR="006A4CD7" w:rsidRPr="002B283E" w:rsidRDefault="006A4CD7" w:rsidP="002B283E">
      <w:pPr>
        <w:autoSpaceDE w:val="0"/>
        <w:autoSpaceDN w:val="0"/>
        <w:adjustRightInd w:val="0"/>
        <w:rPr>
          <w:rFonts w:cs="Times New Roman"/>
          <w:szCs w:val="24"/>
        </w:rPr>
      </w:pPr>
    </w:p>
    <w:p w14:paraId="43E914A2" w14:textId="79C6DD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At the end of the </w:t>
      </w:r>
      <w:r w:rsidR="00C23711" w:rsidRPr="002B283E">
        <w:rPr>
          <w:rFonts w:cs="Times New Roman"/>
          <w:szCs w:val="24"/>
        </w:rPr>
        <w:t>trial,</w:t>
      </w:r>
      <w:r w:rsidRPr="002B283E">
        <w:rPr>
          <w:rFonts w:cs="Times New Roman"/>
          <w:szCs w:val="24"/>
        </w:rPr>
        <w:t xml:space="preserve"> I will give you final instructions. It is the final instructions that will govern your duties.</w:t>
      </w:r>
    </w:p>
    <w:p w14:paraId="5FC9522F" w14:textId="77777777" w:rsidR="006A4CD7" w:rsidRPr="002B283E" w:rsidRDefault="006A4CD7" w:rsidP="002B283E">
      <w:pPr>
        <w:autoSpaceDE w:val="0"/>
        <w:autoSpaceDN w:val="0"/>
        <w:adjustRightInd w:val="0"/>
        <w:rPr>
          <w:rFonts w:cs="Times New Roman"/>
          <w:szCs w:val="24"/>
        </w:rPr>
      </w:pPr>
    </w:p>
    <w:p w14:paraId="4962ABEA" w14:textId="1936F99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696A1DDA" w14:textId="77777777" w:rsidR="006A4CD7" w:rsidRPr="002B283E" w:rsidRDefault="006A4CD7" w:rsidP="002B283E">
      <w:pPr>
        <w:autoSpaceDE w:val="0"/>
        <w:autoSpaceDN w:val="0"/>
        <w:adjustRightInd w:val="0"/>
        <w:rPr>
          <w:rFonts w:cs="Times New Roman"/>
          <w:szCs w:val="24"/>
        </w:rPr>
      </w:pPr>
    </w:p>
    <w:p w14:paraId="270818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B2EE0E" w14:textId="77777777" w:rsidR="006A4CD7" w:rsidRPr="002B283E" w:rsidRDefault="006A4CD7" w:rsidP="002B283E">
      <w:pPr>
        <w:autoSpaceDE w:val="0"/>
        <w:autoSpaceDN w:val="0"/>
        <w:adjustRightInd w:val="0"/>
        <w:rPr>
          <w:rFonts w:cs="Times New Roman"/>
          <w:szCs w:val="24"/>
        </w:rPr>
      </w:pPr>
    </w:p>
    <w:p w14:paraId="77639AF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2B283E" w:rsidRDefault="006A4CD7" w:rsidP="002B283E">
      <w:pPr>
        <w:autoSpaceDE w:val="0"/>
        <w:autoSpaceDN w:val="0"/>
        <w:adjustRightInd w:val="0"/>
        <w:rPr>
          <w:rFonts w:cs="Times New Roman"/>
          <w:szCs w:val="24"/>
        </w:rPr>
      </w:pPr>
    </w:p>
    <w:p w14:paraId="20EB16DE" w14:textId="77777777" w:rsidR="006A4CD7" w:rsidRPr="002B283E" w:rsidRDefault="006A4CD7" w:rsidP="002B283E">
      <w:pPr>
        <w:autoSpaceDE w:val="0"/>
        <w:autoSpaceDN w:val="0"/>
        <w:adjustRightInd w:val="0"/>
        <w:rPr>
          <w:rFonts w:cs="Times New Roman"/>
          <w:szCs w:val="24"/>
        </w:rPr>
      </w:pPr>
    </w:p>
    <w:p w14:paraId="75D9016F" w14:textId="77777777" w:rsidR="00030A67" w:rsidRPr="002B283E" w:rsidRDefault="00030A67" w:rsidP="002B283E">
      <w:pPr>
        <w:rPr>
          <w:rFonts w:cs="Times New Roman"/>
          <w:szCs w:val="24"/>
        </w:rPr>
      </w:pPr>
      <w:r w:rsidRPr="002B283E">
        <w:rPr>
          <w:rFonts w:cs="Times New Roman"/>
          <w:szCs w:val="24"/>
        </w:rPr>
        <w:br w:type="page"/>
      </w:r>
    </w:p>
    <w:p w14:paraId="211907C5" w14:textId="2B5140D8" w:rsidR="006A4CD7" w:rsidRPr="002B283E" w:rsidRDefault="006A4CD7" w:rsidP="00826E77">
      <w:pPr>
        <w:pStyle w:val="Heading2"/>
      </w:pPr>
      <w:bookmarkStart w:id="10" w:name="_Toc221525063"/>
      <w:r w:rsidRPr="002B283E">
        <w:lastRenderedPageBreak/>
        <w:t xml:space="preserve">1.4 </w:t>
      </w:r>
      <w:r w:rsidR="00785181" w:rsidRPr="002B283E">
        <w:t>Duty of Jury (Court Reads and Provides</w:t>
      </w:r>
      <w:r w:rsidR="00DC3111" w:rsidRPr="002B283E">
        <w:t xml:space="preserve"> </w:t>
      </w:r>
      <w:r w:rsidR="00785181" w:rsidRPr="002B283E">
        <w:t>Written Instructions at End of Case)</w:t>
      </w:r>
      <w:bookmarkEnd w:id="10"/>
    </w:p>
    <w:p w14:paraId="584BE190" w14:textId="77777777" w:rsidR="006A4CD7" w:rsidRPr="002B283E" w:rsidRDefault="006A4CD7" w:rsidP="002B283E">
      <w:pPr>
        <w:autoSpaceDE w:val="0"/>
        <w:autoSpaceDN w:val="0"/>
        <w:adjustRightInd w:val="0"/>
        <w:rPr>
          <w:rFonts w:cs="Times New Roman"/>
          <w:szCs w:val="24"/>
        </w:rPr>
      </w:pPr>
    </w:p>
    <w:p w14:paraId="721938B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Now that you have heard all of the evidence [and the arguments of the attorneys], it is my duty to instruct you on the law that applies to this case.</w:t>
      </w:r>
    </w:p>
    <w:p w14:paraId="4CA1916E" w14:textId="77777777" w:rsidR="006A4CD7" w:rsidRPr="002B283E" w:rsidRDefault="006A4CD7" w:rsidP="002B283E">
      <w:pPr>
        <w:autoSpaceDE w:val="0"/>
        <w:autoSpaceDN w:val="0"/>
        <w:adjustRightInd w:val="0"/>
        <w:rPr>
          <w:rFonts w:cs="Times New Roman"/>
          <w:szCs w:val="24"/>
        </w:rPr>
      </w:pPr>
    </w:p>
    <w:p w14:paraId="6D5517C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has received a copy of these instructions that you may take with you to the jury room to consult during your deliberations.]</w:t>
      </w:r>
    </w:p>
    <w:p w14:paraId="747E1F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259BEA5E"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or</w:t>
      </w:r>
    </w:p>
    <w:p w14:paraId="697AEA31" w14:textId="77777777" w:rsidR="006A4CD7" w:rsidRPr="002B283E" w:rsidRDefault="006A4CD7" w:rsidP="002B283E">
      <w:pPr>
        <w:autoSpaceDE w:val="0"/>
        <w:autoSpaceDN w:val="0"/>
        <w:adjustRightInd w:val="0"/>
        <w:rPr>
          <w:rFonts w:cs="Times New Roman"/>
          <w:szCs w:val="24"/>
        </w:rPr>
      </w:pPr>
    </w:p>
    <w:p w14:paraId="2B7756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copy of these instructions will be sent to the jury room for you to consult during your deliberations.]</w:t>
      </w:r>
    </w:p>
    <w:p w14:paraId="1C2C50E4" w14:textId="77777777" w:rsidR="006A4CD7" w:rsidRPr="002B283E" w:rsidRDefault="006A4CD7" w:rsidP="002B283E">
      <w:pPr>
        <w:autoSpaceDE w:val="0"/>
        <w:autoSpaceDN w:val="0"/>
        <w:adjustRightInd w:val="0"/>
        <w:rPr>
          <w:rFonts w:cs="Times New Roman"/>
          <w:szCs w:val="24"/>
        </w:rPr>
      </w:pPr>
    </w:p>
    <w:p w14:paraId="6B280874" w14:textId="37EF97AB"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79D92ADF" w14:textId="77777777" w:rsidR="006A4CD7" w:rsidRPr="002B283E" w:rsidRDefault="006A4CD7" w:rsidP="002B283E">
      <w:pPr>
        <w:autoSpaceDE w:val="0"/>
        <w:autoSpaceDN w:val="0"/>
        <w:adjustRightInd w:val="0"/>
        <w:rPr>
          <w:rFonts w:cs="Times New Roman"/>
          <w:szCs w:val="24"/>
        </w:rPr>
      </w:pPr>
    </w:p>
    <w:p w14:paraId="1B4E9A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2B283E" w:rsidRDefault="006A4CD7" w:rsidP="002B283E">
      <w:pPr>
        <w:autoSpaceDE w:val="0"/>
        <w:autoSpaceDN w:val="0"/>
        <w:adjustRightInd w:val="0"/>
        <w:rPr>
          <w:rFonts w:cs="Times New Roman"/>
          <w:szCs w:val="24"/>
        </w:rPr>
      </w:pPr>
    </w:p>
    <w:p w14:paraId="651E23E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054CBA8" w14:textId="77777777" w:rsidR="006A4CD7" w:rsidRPr="002B283E" w:rsidRDefault="006A4CD7" w:rsidP="002B283E">
      <w:pPr>
        <w:autoSpaceDE w:val="0"/>
        <w:autoSpaceDN w:val="0"/>
        <w:adjustRightInd w:val="0"/>
        <w:rPr>
          <w:rFonts w:cs="Times New Roman"/>
          <w:szCs w:val="24"/>
        </w:rPr>
      </w:pPr>
    </w:p>
    <w:p w14:paraId="6015CB57" w14:textId="072B763C"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2B283E" w:rsidRDefault="006A4CD7" w:rsidP="002B283E">
      <w:pPr>
        <w:autoSpaceDE w:val="0"/>
        <w:autoSpaceDN w:val="0"/>
        <w:adjustRightInd w:val="0"/>
        <w:rPr>
          <w:rFonts w:cs="Times New Roman"/>
          <w:szCs w:val="24"/>
        </w:rPr>
      </w:pPr>
    </w:p>
    <w:p w14:paraId="4877BDFB" w14:textId="77777777" w:rsidR="00030A67" w:rsidRPr="002B283E" w:rsidRDefault="00030A67" w:rsidP="002B283E">
      <w:pPr>
        <w:rPr>
          <w:rFonts w:cs="Times New Roman"/>
          <w:b/>
          <w:bCs/>
          <w:szCs w:val="24"/>
        </w:rPr>
      </w:pPr>
      <w:r w:rsidRPr="002B283E">
        <w:rPr>
          <w:rFonts w:cs="Times New Roman"/>
          <w:b/>
          <w:bCs/>
          <w:szCs w:val="24"/>
        </w:rPr>
        <w:br w:type="page"/>
      </w:r>
    </w:p>
    <w:p w14:paraId="34C02FC2" w14:textId="09AD6F55" w:rsidR="006A4CD7" w:rsidRPr="002B283E" w:rsidRDefault="006A4CD7" w:rsidP="002B283E">
      <w:pPr>
        <w:pStyle w:val="Heading2"/>
      </w:pPr>
      <w:bookmarkStart w:id="11" w:name="_Toc221525064"/>
      <w:r w:rsidRPr="002B283E">
        <w:lastRenderedPageBreak/>
        <w:t xml:space="preserve">1.5 </w:t>
      </w:r>
      <w:r w:rsidR="00F421A9" w:rsidRPr="002B283E">
        <w:t>Claims and Defenses</w:t>
      </w:r>
      <w:bookmarkEnd w:id="11"/>
    </w:p>
    <w:p w14:paraId="4BF4FCB1" w14:textId="77777777" w:rsidR="006A4CD7" w:rsidRPr="002B283E" w:rsidRDefault="006A4CD7" w:rsidP="002B283E">
      <w:pPr>
        <w:autoSpaceDE w:val="0"/>
        <w:autoSpaceDN w:val="0"/>
        <w:adjustRightInd w:val="0"/>
        <w:rPr>
          <w:rFonts w:cs="Times New Roman"/>
          <w:szCs w:val="24"/>
        </w:rPr>
      </w:pPr>
    </w:p>
    <w:p w14:paraId="108EFCA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To help you follow the evidence, I will give you a brief summary of the positions of the parties:</w:t>
      </w:r>
    </w:p>
    <w:p w14:paraId="587E564C" w14:textId="77777777" w:rsidR="006A4CD7" w:rsidRPr="002B283E" w:rsidRDefault="006A4CD7" w:rsidP="002B283E">
      <w:pPr>
        <w:autoSpaceDE w:val="0"/>
        <w:autoSpaceDN w:val="0"/>
        <w:adjustRightInd w:val="0"/>
        <w:rPr>
          <w:rFonts w:cs="Times New Roman"/>
          <w:szCs w:val="24"/>
        </w:rPr>
      </w:pPr>
    </w:p>
    <w:p w14:paraId="01C18917" w14:textId="2549EC9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8A04C2">
        <w:rPr>
          <w:rFonts w:cs="Times New Roman"/>
          <w:i/>
          <w:iCs/>
          <w:szCs w:val="24"/>
          <w:u w:val="single"/>
        </w:rPr>
        <w:t>name</w:t>
      </w:r>
      <w:r w:rsidR="00EB2C87">
        <w:rPr>
          <w:rFonts w:cs="Times New Roman"/>
          <w:szCs w:val="24"/>
        </w:rPr>
        <w:t xml:space="preserve">] </w:t>
      </w:r>
      <w:r w:rsidRPr="002B283E">
        <w:rPr>
          <w:rFonts w:cs="Times New Roman"/>
          <w:szCs w:val="24"/>
        </w:rPr>
        <w:t>asserts that [</w:t>
      </w:r>
      <w:r w:rsidRPr="002B283E">
        <w:rPr>
          <w:rFonts w:cs="Times New Roman"/>
          <w:i/>
          <w:iCs/>
          <w:szCs w:val="24"/>
          <w:u w:val="single"/>
        </w:rPr>
        <w:t>plaintiff’s claims</w:t>
      </w:r>
      <w:r w:rsidRPr="002B283E">
        <w:rPr>
          <w:rFonts w:cs="Times New Roman"/>
          <w:szCs w:val="24"/>
        </w:rPr>
        <w:t>]</w:t>
      </w:r>
      <w:r w:rsidR="00A87F6E">
        <w:rPr>
          <w:rFonts w:cs="Times New Roman"/>
          <w:szCs w:val="24"/>
        </w:rPr>
        <w:t xml:space="preserve">. </w:t>
      </w:r>
      <w:r w:rsidRPr="002B283E">
        <w:rPr>
          <w:rFonts w:cs="Times New Roman"/>
          <w:szCs w:val="24"/>
        </w:rPr>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 xml:space="preserve">has the burden of proving these claims. </w:t>
      </w:r>
    </w:p>
    <w:p w14:paraId="78B4E4E9" w14:textId="77777777" w:rsidR="006A4CD7" w:rsidRPr="002B283E" w:rsidRDefault="006A4CD7" w:rsidP="002B283E">
      <w:pPr>
        <w:autoSpaceDE w:val="0"/>
        <w:autoSpaceDN w:val="0"/>
        <w:adjustRightInd w:val="0"/>
        <w:rPr>
          <w:rFonts w:cs="Times New Roman"/>
          <w:szCs w:val="24"/>
        </w:rPr>
      </w:pPr>
    </w:p>
    <w:p w14:paraId="4EBEA945" w14:textId="103ABE8C"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those claims [and also contends that [</w:t>
      </w:r>
      <w:r w:rsidRPr="002B283E">
        <w:rPr>
          <w:rFonts w:cs="Times New Roman"/>
          <w:i/>
          <w:iCs/>
          <w:szCs w:val="24"/>
          <w:u w:val="single"/>
        </w:rPr>
        <w:t>defendant’s counterclaims and/or affirmative defenses</w:t>
      </w:r>
      <w:r w:rsidRPr="002B283E">
        <w:rPr>
          <w:rFonts w:cs="Times New Roman"/>
          <w:szCs w:val="24"/>
        </w:rPr>
        <w:t>]]</w:t>
      </w:r>
      <w:r w:rsidR="00A87F6E">
        <w:rPr>
          <w:rFonts w:cs="Times New Roman"/>
          <w:szCs w:val="24"/>
        </w:rPr>
        <w:t xml:space="preserve">. </w:t>
      </w:r>
      <w:r w:rsidRPr="002B283E">
        <w:rPr>
          <w:rFonts w:cs="Times New Roman"/>
          <w:szCs w:val="24"/>
        </w:rPr>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has the burden of proof on these [</w:t>
      </w:r>
      <w:r w:rsidRPr="002B283E">
        <w:rPr>
          <w:rFonts w:cs="Times New Roman"/>
          <w:i/>
          <w:iCs/>
          <w:szCs w:val="24"/>
          <w:u w:val="single"/>
        </w:rPr>
        <w:t>counterclaims and/or affirmative defenses.</w:t>
      </w:r>
      <w:r w:rsidRPr="002B283E">
        <w:rPr>
          <w:rFonts w:cs="Times New Roman"/>
          <w:szCs w:val="24"/>
          <w:u w:val="single"/>
        </w:rPr>
        <w:t>]</w:t>
      </w:r>
      <w:r w:rsidRPr="002B283E">
        <w:rPr>
          <w:rFonts w:cs="Times New Roman"/>
          <w:szCs w:val="24"/>
        </w:rPr>
        <w:t>]</w:t>
      </w:r>
    </w:p>
    <w:p w14:paraId="037098C2" w14:textId="77777777" w:rsidR="006A4CD7" w:rsidRPr="002B283E" w:rsidRDefault="006A4CD7" w:rsidP="002B283E">
      <w:pPr>
        <w:autoSpaceDE w:val="0"/>
        <w:autoSpaceDN w:val="0"/>
        <w:adjustRightInd w:val="0"/>
        <w:rPr>
          <w:rFonts w:cs="Times New Roman"/>
          <w:szCs w:val="24"/>
        </w:rPr>
      </w:pPr>
    </w:p>
    <w:p w14:paraId="11A0F20B" w14:textId="1C927F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w:t>
      </w:r>
      <w:r w:rsidRPr="002B283E">
        <w:rPr>
          <w:rFonts w:cs="Times New Roman"/>
          <w:i/>
          <w:iCs/>
          <w:szCs w:val="24"/>
          <w:u w:val="single"/>
        </w:rPr>
        <w:t>defendant’s counterclaims and/or affirmative defenses</w:t>
      </w:r>
      <w:r w:rsidRPr="002B283E">
        <w:rPr>
          <w:rFonts w:cs="Times New Roman"/>
          <w:szCs w:val="24"/>
        </w:rPr>
        <w:t>].]</w:t>
      </w:r>
    </w:p>
    <w:p w14:paraId="66723FE0" w14:textId="77777777" w:rsidR="006A4CD7" w:rsidRPr="002B283E" w:rsidRDefault="006A4CD7" w:rsidP="002B283E">
      <w:pPr>
        <w:autoSpaceDE w:val="0"/>
        <w:autoSpaceDN w:val="0"/>
        <w:adjustRightInd w:val="0"/>
        <w:rPr>
          <w:rFonts w:cs="Times New Roman"/>
          <w:szCs w:val="24"/>
        </w:rPr>
      </w:pPr>
    </w:p>
    <w:p w14:paraId="480950D6" w14:textId="77777777" w:rsidR="006A4CD7" w:rsidRPr="002B283E" w:rsidRDefault="006A4CD7" w:rsidP="002B283E">
      <w:pPr>
        <w:autoSpaceDE w:val="0"/>
        <w:autoSpaceDN w:val="0"/>
        <w:adjustRightInd w:val="0"/>
        <w:rPr>
          <w:rFonts w:cs="Times New Roman"/>
          <w:szCs w:val="24"/>
        </w:rPr>
      </w:pPr>
    </w:p>
    <w:p w14:paraId="286F0121" w14:textId="77777777" w:rsidR="006A4CD7" w:rsidRPr="002B283E" w:rsidRDefault="006A4CD7" w:rsidP="002B283E">
      <w:pPr>
        <w:autoSpaceDE w:val="0"/>
        <w:autoSpaceDN w:val="0"/>
        <w:adjustRightInd w:val="0"/>
        <w:rPr>
          <w:rFonts w:cs="Times New Roman"/>
          <w:szCs w:val="24"/>
        </w:rPr>
      </w:pPr>
    </w:p>
    <w:p w14:paraId="458B0B3B" w14:textId="77777777" w:rsidR="00030A67" w:rsidRPr="002B283E" w:rsidRDefault="00030A67" w:rsidP="002B283E">
      <w:pPr>
        <w:rPr>
          <w:rFonts w:cs="Times New Roman"/>
          <w:szCs w:val="24"/>
        </w:rPr>
      </w:pPr>
      <w:r w:rsidRPr="002B283E">
        <w:rPr>
          <w:rFonts w:cs="Times New Roman"/>
          <w:szCs w:val="24"/>
        </w:rPr>
        <w:br w:type="page"/>
      </w:r>
    </w:p>
    <w:p w14:paraId="023AB1C6" w14:textId="787100C3" w:rsidR="006A4CD7" w:rsidRPr="002B283E" w:rsidRDefault="006A4CD7" w:rsidP="002B283E">
      <w:pPr>
        <w:pStyle w:val="Heading2"/>
      </w:pPr>
      <w:bookmarkStart w:id="12" w:name="_Toc221525065"/>
      <w:r w:rsidRPr="002B283E">
        <w:lastRenderedPageBreak/>
        <w:t xml:space="preserve">1.6 </w:t>
      </w:r>
      <w:r w:rsidR="00F421A9" w:rsidRPr="002B283E">
        <w:t>Burden of Proof—Preponderance of the Evidence</w:t>
      </w:r>
      <w:bookmarkEnd w:id="12"/>
    </w:p>
    <w:p w14:paraId="20C2BC84" w14:textId="77777777" w:rsidR="006A4CD7" w:rsidRPr="002B283E" w:rsidRDefault="006A4CD7" w:rsidP="002B283E">
      <w:pPr>
        <w:autoSpaceDE w:val="0"/>
        <w:autoSpaceDN w:val="0"/>
        <w:adjustRightInd w:val="0"/>
        <w:rPr>
          <w:rFonts w:cs="Times New Roman"/>
          <w:szCs w:val="24"/>
        </w:rPr>
      </w:pPr>
    </w:p>
    <w:p w14:paraId="69C6E7A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2B283E" w:rsidRDefault="006A4CD7" w:rsidP="002B283E">
      <w:pPr>
        <w:autoSpaceDE w:val="0"/>
        <w:autoSpaceDN w:val="0"/>
        <w:adjustRightInd w:val="0"/>
        <w:rPr>
          <w:rFonts w:cs="Times New Roman"/>
          <w:szCs w:val="24"/>
        </w:rPr>
      </w:pPr>
    </w:p>
    <w:p w14:paraId="52EDAD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should base your decision on all of the evidence, regardless of which party presented it.</w:t>
      </w:r>
    </w:p>
    <w:p w14:paraId="0326C460" w14:textId="77777777" w:rsidR="006A4CD7" w:rsidRPr="002B283E" w:rsidRDefault="006A4CD7" w:rsidP="002B283E">
      <w:pPr>
        <w:autoSpaceDE w:val="0"/>
        <w:autoSpaceDN w:val="0"/>
        <w:adjustRightInd w:val="0"/>
        <w:rPr>
          <w:rFonts w:cs="Times New Roman"/>
          <w:szCs w:val="24"/>
        </w:rPr>
      </w:pPr>
    </w:p>
    <w:p w14:paraId="0148506D" w14:textId="77777777" w:rsidR="006A4CD7" w:rsidRPr="002B283E" w:rsidRDefault="006A4CD7" w:rsidP="002B283E">
      <w:pPr>
        <w:autoSpaceDE w:val="0"/>
        <w:autoSpaceDN w:val="0"/>
        <w:adjustRightInd w:val="0"/>
        <w:rPr>
          <w:rFonts w:cs="Times New Roman"/>
          <w:szCs w:val="24"/>
        </w:rPr>
      </w:pPr>
    </w:p>
    <w:p w14:paraId="4E4205E5" w14:textId="77777777" w:rsidR="00030A67" w:rsidRPr="002B283E" w:rsidRDefault="00030A67" w:rsidP="002B283E">
      <w:pPr>
        <w:rPr>
          <w:rFonts w:cs="Times New Roman"/>
          <w:b/>
          <w:bCs/>
          <w:szCs w:val="24"/>
        </w:rPr>
      </w:pPr>
      <w:r w:rsidRPr="002B283E">
        <w:rPr>
          <w:rFonts w:cs="Times New Roman"/>
          <w:b/>
          <w:bCs/>
          <w:szCs w:val="24"/>
        </w:rPr>
        <w:br w:type="page"/>
      </w:r>
    </w:p>
    <w:p w14:paraId="55E8F7AD" w14:textId="2963A275" w:rsidR="006A4CD7" w:rsidRPr="002B283E" w:rsidRDefault="006A4CD7" w:rsidP="002B283E">
      <w:pPr>
        <w:pStyle w:val="Heading2"/>
      </w:pPr>
      <w:bookmarkStart w:id="13" w:name="_Toc221525066"/>
      <w:r w:rsidRPr="002B283E">
        <w:lastRenderedPageBreak/>
        <w:t xml:space="preserve">1.7 </w:t>
      </w:r>
      <w:r w:rsidR="00F421A9" w:rsidRPr="002B283E">
        <w:t>Burden of Proof—</w:t>
      </w:r>
      <w:r w:rsidR="00033D65" w:rsidRPr="002B283E">
        <w:t>Clear and Convincing Evidence</w:t>
      </w:r>
      <w:bookmarkEnd w:id="13"/>
    </w:p>
    <w:p w14:paraId="65729E9B" w14:textId="77777777" w:rsidR="006A4CD7" w:rsidRPr="002B283E" w:rsidRDefault="006A4CD7" w:rsidP="002B283E">
      <w:pPr>
        <w:autoSpaceDE w:val="0"/>
        <w:autoSpaceDN w:val="0"/>
        <w:adjustRightInd w:val="0"/>
        <w:rPr>
          <w:rFonts w:cs="Times New Roman"/>
          <w:szCs w:val="24"/>
        </w:rPr>
      </w:pPr>
    </w:p>
    <w:p w14:paraId="793B9CB0" w14:textId="51E0D5BD"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defense by clear and convincing evidence, it means that the party must present evidence that leaves you with a firm belief or conviction that it is highly probable that the factual contentions of the claim or defense are true</w:t>
      </w:r>
      <w:r w:rsidR="00A87F6E">
        <w:rPr>
          <w:rFonts w:cs="Times New Roman"/>
          <w:szCs w:val="24"/>
        </w:rPr>
        <w:t xml:space="preserve">. </w:t>
      </w:r>
      <w:r w:rsidRPr="002B283E">
        <w:rPr>
          <w:rFonts w:cs="Times New Roman"/>
          <w:szCs w:val="24"/>
        </w:rPr>
        <w:t>This is a higher standard of proof than proof by a preponderance of the evidence, but it does not require proof beyond a reasonable doubt</w:t>
      </w:r>
      <w:r w:rsidR="00A87F6E">
        <w:rPr>
          <w:rFonts w:cs="Times New Roman"/>
          <w:szCs w:val="24"/>
        </w:rPr>
        <w:t xml:space="preserve">. </w:t>
      </w:r>
    </w:p>
    <w:p w14:paraId="7EF6F9DB" w14:textId="77777777" w:rsidR="006A4CD7" w:rsidRPr="002B283E" w:rsidRDefault="006A4CD7" w:rsidP="002B283E">
      <w:pPr>
        <w:autoSpaceDE w:val="0"/>
        <w:autoSpaceDN w:val="0"/>
        <w:adjustRightInd w:val="0"/>
        <w:rPr>
          <w:rFonts w:cs="Times New Roman"/>
          <w:szCs w:val="24"/>
        </w:rPr>
      </w:pPr>
    </w:p>
    <w:p w14:paraId="63DC3261"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1859BC4" w14:textId="77777777" w:rsidR="006A4CD7" w:rsidRPr="002B283E" w:rsidRDefault="006A4CD7" w:rsidP="002B283E">
      <w:pPr>
        <w:rPr>
          <w:rFonts w:cs="Times New Roman"/>
          <w:szCs w:val="24"/>
        </w:rPr>
      </w:pPr>
    </w:p>
    <w:p w14:paraId="4DB57097" w14:textId="47DC52C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Colorado v. New Mexico</w:t>
      </w:r>
      <w:r w:rsidRPr="002B283E">
        <w:rPr>
          <w:rFonts w:cs="Times New Roman"/>
          <w:szCs w:val="24"/>
        </w:rPr>
        <w:t xml:space="preserve">, 467 U.S. 310, 316 (1984) (defining clear and convincing evidence). </w:t>
      </w:r>
      <w:r w:rsidRPr="002B283E">
        <w:rPr>
          <w:rFonts w:cs="Times New Roman"/>
          <w:i/>
          <w:iCs/>
          <w:szCs w:val="24"/>
        </w:rPr>
        <w:t>See also Sophanthavong v. Palmateer</w:t>
      </w:r>
      <w:r w:rsidRPr="002B283E">
        <w:rPr>
          <w:rFonts w:cs="Times New Roman"/>
          <w:szCs w:val="24"/>
        </w:rPr>
        <w:t xml:space="preserve">, 378 F.3d 859, 866 (9th Cir. 2004) (citing </w:t>
      </w:r>
      <w:r w:rsidRPr="002B283E">
        <w:rPr>
          <w:rFonts w:cs="Times New Roman"/>
          <w:i/>
          <w:iCs/>
          <w:szCs w:val="24"/>
        </w:rPr>
        <w:t>Colorado</w:t>
      </w:r>
      <w:r w:rsidRPr="002B283E">
        <w:rPr>
          <w:rFonts w:cs="Times New Roman"/>
          <w:szCs w:val="24"/>
        </w:rPr>
        <w:t>).</w:t>
      </w:r>
    </w:p>
    <w:p w14:paraId="44AD2826" w14:textId="77777777" w:rsidR="006A4CD7" w:rsidRPr="002B283E" w:rsidRDefault="006A4CD7" w:rsidP="002B283E">
      <w:pPr>
        <w:autoSpaceDE w:val="0"/>
        <w:autoSpaceDN w:val="0"/>
        <w:adjustRightInd w:val="0"/>
        <w:rPr>
          <w:rFonts w:cs="Times New Roman"/>
          <w:szCs w:val="24"/>
        </w:rPr>
      </w:pPr>
    </w:p>
    <w:p w14:paraId="41EA04BC" w14:textId="77777777" w:rsidR="006A4CD7" w:rsidRPr="002B283E" w:rsidRDefault="006A4CD7" w:rsidP="002B283E">
      <w:pPr>
        <w:autoSpaceDE w:val="0"/>
        <w:autoSpaceDN w:val="0"/>
        <w:adjustRightInd w:val="0"/>
        <w:rPr>
          <w:rFonts w:cs="Times New Roman"/>
          <w:szCs w:val="24"/>
        </w:rPr>
      </w:pPr>
    </w:p>
    <w:p w14:paraId="49C46C59" w14:textId="2317A948" w:rsidR="006A4CD7" w:rsidRPr="002B283E" w:rsidRDefault="006A4CD7" w:rsidP="002B283E">
      <w:pPr>
        <w:pStyle w:val="Heading2"/>
      </w:pPr>
      <w:r w:rsidRPr="002B283E">
        <w:br w:type="page"/>
      </w:r>
      <w:bookmarkStart w:id="14" w:name="_Toc221525067"/>
      <w:r w:rsidRPr="002B283E">
        <w:lastRenderedPageBreak/>
        <w:t xml:space="preserve">1.8 </w:t>
      </w:r>
      <w:r w:rsidR="00F421A9" w:rsidRPr="002B283E">
        <w:t>Two or More Parties—Different Legal Rights</w:t>
      </w:r>
      <w:bookmarkEnd w:id="14"/>
    </w:p>
    <w:p w14:paraId="0F7D7A30" w14:textId="77777777" w:rsidR="006A4CD7" w:rsidRPr="002B283E" w:rsidRDefault="006A4CD7" w:rsidP="002B283E">
      <w:pPr>
        <w:autoSpaceDE w:val="0"/>
        <w:autoSpaceDN w:val="0"/>
        <w:adjustRightInd w:val="0"/>
        <w:rPr>
          <w:rFonts w:cs="Times New Roman"/>
          <w:szCs w:val="24"/>
        </w:rPr>
      </w:pPr>
    </w:p>
    <w:p w14:paraId="5BC52D79" w14:textId="548532B4" w:rsidR="006A4CD7" w:rsidRPr="002B283E" w:rsidRDefault="006A4CD7" w:rsidP="002B283E">
      <w:pPr>
        <w:autoSpaceDE w:val="0"/>
        <w:autoSpaceDN w:val="0"/>
        <w:adjustRightInd w:val="0"/>
        <w:rPr>
          <w:rFonts w:cs="Times New Roman"/>
          <w:szCs w:val="24"/>
        </w:rPr>
      </w:pPr>
      <w:r w:rsidRPr="002B283E">
        <w:rPr>
          <w:rFonts w:cs="Times New Roman"/>
          <w:szCs w:val="24"/>
        </w:rPr>
        <w:tab/>
        <w:t>You should decide the case as to each [plaintiff] [defendant] [party] separately. Unless otherwise stated, the instructions apply to all parties.</w:t>
      </w:r>
    </w:p>
    <w:p w14:paraId="366E50FA" w14:textId="77777777" w:rsidR="006A4CD7" w:rsidRPr="002B283E" w:rsidRDefault="006A4CD7" w:rsidP="002B283E">
      <w:pPr>
        <w:autoSpaceDE w:val="0"/>
        <w:autoSpaceDN w:val="0"/>
        <w:adjustRightInd w:val="0"/>
        <w:rPr>
          <w:rFonts w:cs="Times New Roman"/>
          <w:szCs w:val="24"/>
        </w:rPr>
      </w:pPr>
    </w:p>
    <w:p w14:paraId="41254E61" w14:textId="77777777" w:rsidR="006A4CD7" w:rsidRPr="002B283E" w:rsidRDefault="006A4CD7" w:rsidP="002B283E">
      <w:pPr>
        <w:autoSpaceDE w:val="0"/>
        <w:autoSpaceDN w:val="0"/>
        <w:adjustRightInd w:val="0"/>
        <w:rPr>
          <w:rFonts w:cs="Times New Roman"/>
          <w:szCs w:val="24"/>
        </w:rPr>
      </w:pPr>
    </w:p>
    <w:p w14:paraId="4F3CA49F" w14:textId="77777777" w:rsidR="00030A67" w:rsidRPr="002B283E" w:rsidRDefault="00030A67" w:rsidP="002B283E">
      <w:pPr>
        <w:rPr>
          <w:rFonts w:cs="Times New Roman"/>
          <w:szCs w:val="24"/>
        </w:rPr>
      </w:pPr>
      <w:r w:rsidRPr="002B283E">
        <w:rPr>
          <w:rFonts w:cs="Times New Roman"/>
          <w:szCs w:val="24"/>
        </w:rPr>
        <w:br w:type="page"/>
      </w:r>
    </w:p>
    <w:p w14:paraId="6484493E" w14:textId="689ED395" w:rsidR="006A4CD7" w:rsidRPr="002B283E" w:rsidRDefault="006A4CD7" w:rsidP="002B283E">
      <w:pPr>
        <w:pStyle w:val="Heading2"/>
        <w:tabs>
          <w:tab w:val="left" w:pos="7020"/>
          <w:tab w:val="left" w:pos="7110"/>
        </w:tabs>
      </w:pPr>
      <w:bookmarkStart w:id="15" w:name="_Toc221525068"/>
      <w:r w:rsidRPr="002B283E">
        <w:lastRenderedPageBreak/>
        <w:t xml:space="preserve">1.9 </w:t>
      </w:r>
      <w:r w:rsidR="00F421A9" w:rsidRPr="002B283E">
        <w:t>What is Evidence</w:t>
      </w:r>
      <w:bookmarkEnd w:id="15"/>
    </w:p>
    <w:p w14:paraId="41FAB56D" w14:textId="77777777" w:rsidR="006A4CD7" w:rsidRPr="002B283E" w:rsidRDefault="006A4CD7" w:rsidP="002B283E">
      <w:pPr>
        <w:autoSpaceDE w:val="0"/>
        <w:autoSpaceDN w:val="0"/>
        <w:adjustRightInd w:val="0"/>
        <w:rPr>
          <w:rFonts w:cs="Times New Roman"/>
          <w:szCs w:val="24"/>
        </w:rPr>
      </w:pPr>
    </w:p>
    <w:p w14:paraId="4A0EF1A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evidence you are to consider in deciding what the facts are consists of:</w:t>
      </w:r>
    </w:p>
    <w:p w14:paraId="3A58C84A" w14:textId="77777777" w:rsidR="006A4CD7" w:rsidRPr="002B283E" w:rsidRDefault="006A4CD7" w:rsidP="002B283E">
      <w:pPr>
        <w:autoSpaceDE w:val="0"/>
        <w:autoSpaceDN w:val="0"/>
        <w:adjustRightInd w:val="0"/>
        <w:rPr>
          <w:rFonts w:cs="Times New Roman"/>
          <w:szCs w:val="24"/>
        </w:rPr>
      </w:pPr>
    </w:p>
    <w:p w14:paraId="7B08A30F" w14:textId="6A5F5DD3"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1</w:t>
      </w:r>
      <w:r w:rsidR="00DD1EC9">
        <w:rPr>
          <w:rFonts w:cs="Times New Roman"/>
          <w:szCs w:val="24"/>
        </w:rPr>
        <w:t>)</w:t>
      </w:r>
      <w:r w:rsidRPr="002B283E">
        <w:rPr>
          <w:rFonts w:cs="Times New Roman"/>
          <w:szCs w:val="24"/>
        </w:rPr>
        <w:tab/>
        <w:t>the sworn testimony of any witness;</w:t>
      </w:r>
    </w:p>
    <w:p w14:paraId="15647109" w14:textId="77777777" w:rsidR="006A4CD7" w:rsidRPr="002B283E" w:rsidRDefault="006A4CD7" w:rsidP="002B283E">
      <w:pPr>
        <w:autoSpaceDE w:val="0"/>
        <w:autoSpaceDN w:val="0"/>
        <w:adjustRightInd w:val="0"/>
        <w:rPr>
          <w:rFonts w:cs="Times New Roman"/>
          <w:szCs w:val="24"/>
        </w:rPr>
      </w:pPr>
    </w:p>
    <w:p w14:paraId="4951200A" w14:textId="679F4BD4"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2</w:t>
      </w:r>
      <w:r w:rsidR="00DD1EC9">
        <w:rPr>
          <w:rFonts w:cs="Times New Roman"/>
          <w:szCs w:val="24"/>
        </w:rPr>
        <w:t>)</w:t>
      </w:r>
      <w:r w:rsidRPr="002B283E">
        <w:rPr>
          <w:rFonts w:cs="Times New Roman"/>
          <w:szCs w:val="24"/>
        </w:rPr>
        <w:tab/>
        <w:t>the exhibits that are admitted into evidence;</w:t>
      </w:r>
    </w:p>
    <w:p w14:paraId="4846FB32" w14:textId="77777777" w:rsidR="006A4CD7" w:rsidRPr="002B283E" w:rsidRDefault="006A4CD7" w:rsidP="002B283E">
      <w:pPr>
        <w:autoSpaceDE w:val="0"/>
        <w:autoSpaceDN w:val="0"/>
        <w:adjustRightInd w:val="0"/>
        <w:rPr>
          <w:rFonts w:cs="Times New Roman"/>
          <w:szCs w:val="24"/>
        </w:rPr>
      </w:pPr>
    </w:p>
    <w:p w14:paraId="661F85A7" w14:textId="652CFE99"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3</w:t>
      </w:r>
      <w:r w:rsidR="00DD1EC9">
        <w:rPr>
          <w:rFonts w:cs="Times New Roman"/>
          <w:szCs w:val="24"/>
        </w:rPr>
        <w:t>)</w:t>
      </w:r>
      <w:r w:rsidRPr="002B283E">
        <w:rPr>
          <w:rFonts w:cs="Times New Roman"/>
          <w:szCs w:val="24"/>
        </w:rPr>
        <w:tab/>
        <w:t>any facts to which the lawyers have agreed; and</w:t>
      </w:r>
    </w:p>
    <w:p w14:paraId="6257455C" w14:textId="77777777" w:rsidR="006A4CD7" w:rsidRPr="002B283E" w:rsidRDefault="006A4CD7" w:rsidP="002B283E">
      <w:pPr>
        <w:autoSpaceDE w:val="0"/>
        <w:autoSpaceDN w:val="0"/>
        <w:adjustRightInd w:val="0"/>
        <w:rPr>
          <w:rFonts w:cs="Times New Roman"/>
          <w:szCs w:val="24"/>
        </w:rPr>
      </w:pPr>
    </w:p>
    <w:p w14:paraId="490CD7A0" w14:textId="0A3013B8"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4</w:t>
      </w:r>
      <w:r w:rsidR="00DD1EC9">
        <w:rPr>
          <w:rFonts w:cs="Times New Roman"/>
          <w:szCs w:val="24"/>
        </w:rPr>
        <w:t>)</w:t>
      </w:r>
      <w:r w:rsidRPr="002B283E">
        <w:rPr>
          <w:rFonts w:cs="Times New Roman"/>
          <w:szCs w:val="24"/>
        </w:rPr>
        <w:tab/>
        <w:t>any facts that I [may instruct] [have instructed] you to accept as proved.</w:t>
      </w:r>
    </w:p>
    <w:p w14:paraId="0CB902F9" w14:textId="77777777" w:rsidR="006A4CD7" w:rsidRPr="002B283E" w:rsidRDefault="006A4CD7" w:rsidP="002B283E">
      <w:pPr>
        <w:autoSpaceDE w:val="0"/>
        <w:autoSpaceDN w:val="0"/>
        <w:adjustRightInd w:val="0"/>
        <w:rPr>
          <w:rFonts w:cs="Times New Roman"/>
          <w:szCs w:val="24"/>
        </w:rPr>
      </w:pPr>
    </w:p>
    <w:p w14:paraId="3E40254D" w14:textId="77777777" w:rsidR="00244716" w:rsidRDefault="00244716" w:rsidP="00244716">
      <w:pPr>
        <w:jc w:val="center"/>
        <w:rPr>
          <w:b/>
          <w:bCs/>
        </w:rPr>
      </w:pPr>
      <w:r w:rsidRPr="004436A3">
        <w:rPr>
          <w:b/>
          <w:bCs/>
        </w:rPr>
        <w:t>Comment</w:t>
      </w:r>
    </w:p>
    <w:p w14:paraId="3DE3CDFE" w14:textId="77777777" w:rsidR="00244716" w:rsidRPr="004436A3" w:rsidRDefault="00244716" w:rsidP="00244716">
      <w:pPr>
        <w:jc w:val="center"/>
        <w:rPr>
          <w:b/>
          <w:bCs/>
        </w:rPr>
      </w:pPr>
    </w:p>
    <w:p w14:paraId="67626D00" w14:textId="77777777" w:rsidR="00244716" w:rsidRDefault="00244716" w:rsidP="00244716">
      <w:pPr>
        <w:ind w:firstLine="720"/>
      </w:pPr>
      <w:r w:rsidRPr="004436A3">
        <w:t>During deliberation, jurors are generally entitled to examine</w:t>
      </w:r>
      <w:r>
        <w:t xml:space="preserve"> all</w:t>
      </w:r>
      <w:r w:rsidRPr="004436A3">
        <w:t xml:space="preserve"> exhibits properly admitted</w:t>
      </w:r>
      <w:r>
        <w:t xml:space="preserve"> </w:t>
      </w:r>
      <w:r w:rsidRPr="004436A3">
        <w:t>into evidence. The decision to send exhibits to the jury room is within the discretion of the trial</w:t>
      </w:r>
      <w:r>
        <w:t xml:space="preserve"> </w:t>
      </w:r>
      <w:r w:rsidRPr="004436A3">
        <w:t xml:space="preserve">court. </w:t>
      </w:r>
      <w:r w:rsidRPr="004436A3">
        <w:rPr>
          <w:i/>
          <w:iCs/>
        </w:rPr>
        <w:t>United States v. DeCoito</w:t>
      </w:r>
      <w:r w:rsidRPr="004436A3">
        <w:t xml:space="preserve">, 764 F.2d 690, 695 (9th Cir. 1985); </w:t>
      </w:r>
      <w:r w:rsidRPr="004436A3">
        <w:rPr>
          <w:i/>
          <w:iCs/>
        </w:rPr>
        <w:t>see also United States v.</w:t>
      </w:r>
      <w:r>
        <w:t xml:space="preserve"> </w:t>
      </w:r>
      <w:r w:rsidRPr="004436A3">
        <w:rPr>
          <w:i/>
          <w:iCs/>
        </w:rPr>
        <w:t>Chadwell</w:t>
      </w:r>
      <w:r w:rsidRPr="004436A3">
        <w:t>, 798 F.3d 910, 914-15 (9th Cir. 2015).</w:t>
      </w:r>
    </w:p>
    <w:p w14:paraId="45FC9023" w14:textId="77777777" w:rsidR="00244716" w:rsidRDefault="00244716" w:rsidP="00244716"/>
    <w:p w14:paraId="05326137" w14:textId="77777777" w:rsidR="00244716" w:rsidRPr="004436A3" w:rsidRDefault="00244716" w:rsidP="00244716">
      <w:pPr>
        <w:jc w:val="right"/>
        <w:rPr>
          <w:i/>
          <w:iCs/>
        </w:rPr>
      </w:pPr>
      <w:r w:rsidRPr="004436A3">
        <w:rPr>
          <w:i/>
          <w:iCs/>
        </w:rPr>
        <w:t>Revised June 2025</w:t>
      </w:r>
    </w:p>
    <w:p w14:paraId="30B3C8E0" w14:textId="77777777" w:rsidR="006A4CD7" w:rsidRPr="002B283E" w:rsidRDefault="006A4CD7" w:rsidP="002B283E">
      <w:pPr>
        <w:autoSpaceDE w:val="0"/>
        <w:autoSpaceDN w:val="0"/>
        <w:adjustRightInd w:val="0"/>
        <w:rPr>
          <w:rFonts w:cs="Times New Roman"/>
          <w:szCs w:val="24"/>
        </w:rPr>
      </w:pPr>
    </w:p>
    <w:p w14:paraId="7C2DF89C" w14:textId="77777777" w:rsidR="00030A67" w:rsidRPr="002B283E" w:rsidRDefault="00030A67" w:rsidP="002B283E">
      <w:pPr>
        <w:rPr>
          <w:rFonts w:cs="Times New Roman"/>
          <w:b/>
          <w:bCs/>
          <w:szCs w:val="24"/>
        </w:rPr>
      </w:pPr>
      <w:r w:rsidRPr="002B283E">
        <w:rPr>
          <w:rFonts w:cs="Times New Roman"/>
          <w:b/>
          <w:bCs/>
          <w:szCs w:val="24"/>
        </w:rPr>
        <w:br w:type="page"/>
      </w:r>
    </w:p>
    <w:p w14:paraId="0AA78491" w14:textId="10B40353" w:rsidR="006A4CD7" w:rsidRPr="002B283E" w:rsidRDefault="006A4CD7" w:rsidP="002B283E">
      <w:pPr>
        <w:pStyle w:val="Heading2"/>
      </w:pPr>
      <w:bookmarkStart w:id="16" w:name="_Toc221525069"/>
      <w:r w:rsidRPr="002B283E">
        <w:lastRenderedPageBreak/>
        <w:t xml:space="preserve">1.10 </w:t>
      </w:r>
      <w:r w:rsidR="00F421A9" w:rsidRPr="002B283E">
        <w:t>What is Not Evidence</w:t>
      </w:r>
      <w:bookmarkEnd w:id="16"/>
    </w:p>
    <w:p w14:paraId="579566F2" w14:textId="77777777" w:rsidR="006A4CD7" w:rsidRPr="002B283E" w:rsidRDefault="006A4CD7" w:rsidP="002B283E">
      <w:pPr>
        <w:autoSpaceDE w:val="0"/>
        <w:autoSpaceDN w:val="0"/>
        <w:adjustRightInd w:val="0"/>
        <w:rPr>
          <w:rFonts w:cs="Times New Roman"/>
          <w:szCs w:val="24"/>
        </w:rPr>
      </w:pPr>
    </w:p>
    <w:p w14:paraId="199B3B91" w14:textId="71712F0A" w:rsidR="006A4CD7" w:rsidRPr="002B283E" w:rsidRDefault="006A4CD7" w:rsidP="002B283E">
      <w:pPr>
        <w:autoSpaceDE w:val="0"/>
        <w:autoSpaceDN w:val="0"/>
        <w:adjustRightInd w:val="0"/>
        <w:rPr>
          <w:rFonts w:cs="Times New Roman"/>
          <w:szCs w:val="24"/>
        </w:rPr>
      </w:pPr>
      <w:r w:rsidRPr="002B283E">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2B283E" w:rsidRDefault="006A4CD7" w:rsidP="002B283E">
      <w:pPr>
        <w:autoSpaceDE w:val="0"/>
        <w:autoSpaceDN w:val="0"/>
        <w:adjustRightInd w:val="0"/>
        <w:rPr>
          <w:rFonts w:cs="Times New Roman"/>
          <w:szCs w:val="24"/>
        </w:rPr>
      </w:pPr>
    </w:p>
    <w:p w14:paraId="4DFFAB57"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(1)</w:t>
      </w:r>
      <w:r w:rsidRPr="002B283E">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2B283E" w:rsidRDefault="006A4CD7" w:rsidP="00021D2C">
      <w:pPr>
        <w:autoSpaceDE w:val="0"/>
        <w:autoSpaceDN w:val="0"/>
        <w:adjustRightInd w:val="0"/>
        <w:ind w:firstLine="720"/>
        <w:rPr>
          <w:rFonts w:cs="Times New Roman"/>
          <w:szCs w:val="24"/>
        </w:rPr>
      </w:pPr>
    </w:p>
    <w:p w14:paraId="5DCF311F"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(2)</w:t>
      </w:r>
      <w:r w:rsidRPr="002B283E">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2B283E" w:rsidRDefault="006A4CD7" w:rsidP="00021D2C">
      <w:pPr>
        <w:autoSpaceDE w:val="0"/>
        <w:autoSpaceDN w:val="0"/>
        <w:adjustRightInd w:val="0"/>
        <w:ind w:firstLine="720"/>
        <w:rPr>
          <w:rFonts w:cs="Times New Roman"/>
          <w:szCs w:val="24"/>
        </w:rPr>
      </w:pPr>
    </w:p>
    <w:p w14:paraId="38E67EAF" w14:textId="1E26917D"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(3)</w:t>
      </w:r>
      <w:r w:rsidRPr="002B283E">
        <w:rPr>
          <w:rFonts w:cs="Times New Roman"/>
          <w:szCs w:val="24"/>
        </w:rPr>
        <w:tab/>
        <w:t xml:space="preserve">Testimony that is excluded or stricken, or that you [are] [have been] instructed to disregard, is not evidence and must not be considered. In </w:t>
      </w:r>
      <w:r w:rsidR="00C23711" w:rsidRPr="002B283E">
        <w:rPr>
          <w:rFonts w:cs="Times New Roman"/>
          <w:szCs w:val="24"/>
        </w:rPr>
        <w:t>addition,</w:t>
      </w:r>
      <w:r w:rsidRPr="002B283E">
        <w:rPr>
          <w:rFonts w:cs="Times New Roman"/>
          <w:szCs w:val="24"/>
        </w:rPr>
        <w:t xml:space="preserve"> some evidence [may be] [was] received only for a limited purpose; when I [instruct] [have instructed] you to consider certain evidence only for a limited purpose, you must do </w:t>
      </w:r>
      <w:r w:rsidR="005663FC" w:rsidRPr="002B283E">
        <w:rPr>
          <w:rFonts w:cs="Times New Roman"/>
          <w:szCs w:val="24"/>
        </w:rPr>
        <w:t>so,</w:t>
      </w:r>
      <w:r w:rsidRPr="002B283E">
        <w:rPr>
          <w:rFonts w:cs="Times New Roman"/>
          <w:szCs w:val="24"/>
        </w:rPr>
        <w:t xml:space="preserve"> and you may not consider that evidence for any other purpose.</w:t>
      </w:r>
    </w:p>
    <w:p w14:paraId="7D96DA02" w14:textId="77777777" w:rsidR="006A4CD7" w:rsidRPr="002B283E" w:rsidRDefault="006A4CD7" w:rsidP="00021D2C">
      <w:pPr>
        <w:autoSpaceDE w:val="0"/>
        <w:autoSpaceDN w:val="0"/>
        <w:adjustRightInd w:val="0"/>
        <w:ind w:firstLine="720"/>
        <w:rPr>
          <w:rFonts w:cs="Times New Roman"/>
          <w:szCs w:val="24"/>
        </w:rPr>
      </w:pPr>
    </w:p>
    <w:p w14:paraId="1F368826"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(4)</w:t>
      </w:r>
      <w:r w:rsidRPr="002B283E">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2B283E" w:rsidRDefault="006A4CD7" w:rsidP="002B283E">
      <w:pPr>
        <w:autoSpaceDE w:val="0"/>
        <w:autoSpaceDN w:val="0"/>
        <w:adjustRightInd w:val="0"/>
        <w:jc w:val="center"/>
        <w:rPr>
          <w:rFonts w:cs="Times New Roman"/>
          <w:szCs w:val="24"/>
        </w:rPr>
      </w:pPr>
    </w:p>
    <w:p w14:paraId="68C08C0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DC902F8" w14:textId="77777777" w:rsidR="006A4CD7" w:rsidRPr="002B283E" w:rsidRDefault="006A4CD7" w:rsidP="002B283E">
      <w:pPr>
        <w:autoSpaceDE w:val="0"/>
        <w:autoSpaceDN w:val="0"/>
        <w:adjustRightInd w:val="0"/>
        <w:rPr>
          <w:rFonts w:cs="Times New Roman"/>
          <w:szCs w:val="24"/>
        </w:rPr>
      </w:pPr>
    </w:p>
    <w:p w14:paraId="6383CBCB" w14:textId="48A82FD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With regard to the bracketed material in paragraph 3, select the appropriate bracket depending on whether the instruction is given at the beginning or at the end of the case. </w:t>
      </w:r>
      <w:r w:rsidRPr="002B283E">
        <w:rPr>
          <w:rFonts w:cs="Times New Roman"/>
          <w:i/>
          <w:iCs/>
          <w:szCs w:val="24"/>
        </w:rPr>
        <w:t>See also</w:t>
      </w:r>
      <w:r w:rsidRPr="002B283E">
        <w:rPr>
          <w:rFonts w:cs="Times New Roman"/>
          <w:szCs w:val="24"/>
        </w:rPr>
        <w:t xml:space="preserve"> Instruction 1.11 (Evidence for Limited Purpose).</w:t>
      </w:r>
    </w:p>
    <w:p w14:paraId="522E1392" w14:textId="77777777" w:rsidR="006A4CD7" w:rsidRPr="002B283E" w:rsidRDefault="006A4CD7" w:rsidP="002B283E">
      <w:pPr>
        <w:autoSpaceDE w:val="0"/>
        <w:autoSpaceDN w:val="0"/>
        <w:adjustRightInd w:val="0"/>
        <w:rPr>
          <w:rFonts w:cs="Times New Roman"/>
          <w:szCs w:val="24"/>
        </w:rPr>
      </w:pPr>
    </w:p>
    <w:p w14:paraId="4CB1A64C" w14:textId="77777777" w:rsidR="006A4CD7" w:rsidRPr="002B283E" w:rsidRDefault="006A4CD7" w:rsidP="002B283E">
      <w:pPr>
        <w:autoSpaceDE w:val="0"/>
        <w:autoSpaceDN w:val="0"/>
        <w:adjustRightInd w:val="0"/>
        <w:rPr>
          <w:rFonts w:cs="Times New Roman"/>
          <w:szCs w:val="24"/>
        </w:rPr>
      </w:pPr>
    </w:p>
    <w:p w14:paraId="56459EC7" w14:textId="77777777" w:rsidR="00030A67" w:rsidRPr="002B283E" w:rsidRDefault="00030A67" w:rsidP="002B283E">
      <w:pPr>
        <w:rPr>
          <w:rFonts w:cs="Times New Roman"/>
          <w:b/>
          <w:bCs/>
          <w:szCs w:val="24"/>
        </w:rPr>
      </w:pPr>
      <w:r w:rsidRPr="002B283E">
        <w:rPr>
          <w:rFonts w:cs="Times New Roman"/>
          <w:b/>
          <w:bCs/>
          <w:szCs w:val="24"/>
        </w:rPr>
        <w:br w:type="page"/>
      </w:r>
    </w:p>
    <w:p w14:paraId="6A441833" w14:textId="290C30E4" w:rsidR="002D5216" w:rsidRPr="002B283E" w:rsidRDefault="00A33BD6" w:rsidP="002B283E">
      <w:pPr>
        <w:pStyle w:val="Heading2"/>
      </w:pPr>
      <w:r w:rsidRPr="002B283E">
        <w:lastRenderedPageBreak/>
        <w:t xml:space="preserve">  </w:t>
      </w:r>
      <w:bookmarkStart w:id="17" w:name="_Toc221525070"/>
      <w:r w:rsidR="002D5216" w:rsidRPr="002B283E">
        <w:t>1.11 Evidence for Limited Purpose</w:t>
      </w:r>
      <w:bookmarkEnd w:id="17"/>
    </w:p>
    <w:p w14:paraId="516156E2" w14:textId="77777777" w:rsidR="002D5216" w:rsidRPr="002B283E" w:rsidRDefault="002D5216" w:rsidP="002B283E">
      <w:pPr>
        <w:pStyle w:val="BodyText"/>
        <w:rPr>
          <w:b/>
        </w:rPr>
      </w:pPr>
    </w:p>
    <w:p w14:paraId="1E4F0DB2" w14:textId="77777777" w:rsidR="002D5216" w:rsidRPr="002B283E" w:rsidRDefault="002D5216" w:rsidP="002B283E">
      <w:pPr>
        <w:pStyle w:val="BodyText"/>
        <w:ind w:left="820"/>
      </w:pPr>
      <w:r w:rsidRPr="002B283E">
        <w:t>Some</w:t>
      </w:r>
      <w:r w:rsidRPr="002B283E">
        <w:rPr>
          <w:spacing w:val="-4"/>
        </w:rPr>
        <w:t xml:space="preserve"> </w:t>
      </w:r>
      <w:r w:rsidRPr="002B283E">
        <w:t>evidence</w:t>
      </w:r>
      <w:r w:rsidRPr="002B283E">
        <w:rPr>
          <w:spacing w:val="-1"/>
        </w:rPr>
        <w:t xml:space="preserve"> </w:t>
      </w:r>
      <w:r w:rsidRPr="002B283E">
        <w:t>may</w:t>
      </w:r>
      <w:r w:rsidRPr="002B283E">
        <w:rPr>
          <w:spacing w:val="-1"/>
        </w:rPr>
        <w:t xml:space="preserve"> </w:t>
      </w:r>
      <w:r w:rsidRPr="002B283E">
        <w:t>be</w:t>
      </w:r>
      <w:r w:rsidRPr="002B283E">
        <w:rPr>
          <w:spacing w:val="-1"/>
        </w:rPr>
        <w:t xml:space="preserve"> </w:t>
      </w:r>
      <w:r w:rsidRPr="002B283E">
        <w:t>admitted</w:t>
      </w:r>
      <w:r w:rsidRPr="002B283E">
        <w:rPr>
          <w:spacing w:val="-1"/>
        </w:rPr>
        <w:t xml:space="preserve"> </w:t>
      </w:r>
      <w:r w:rsidRPr="002B283E">
        <w:t>only for</w:t>
      </w:r>
      <w:r w:rsidRPr="002B283E">
        <w:rPr>
          <w:spacing w:val="-2"/>
        </w:rPr>
        <w:t xml:space="preserve"> </w:t>
      </w:r>
      <w:r w:rsidRPr="002B283E">
        <w:t>a</w:t>
      </w:r>
      <w:r w:rsidRPr="002B283E">
        <w:rPr>
          <w:spacing w:val="-1"/>
        </w:rPr>
        <w:t xml:space="preserve"> </w:t>
      </w:r>
      <w:r w:rsidRPr="002B283E">
        <w:t xml:space="preserve">limited </w:t>
      </w:r>
      <w:r w:rsidRPr="002B283E">
        <w:rPr>
          <w:spacing w:val="-2"/>
        </w:rPr>
        <w:t>purpose.</w:t>
      </w:r>
    </w:p>
    <w:p w14:paraId="59CD273A" w14:textId="77777777" w:rsidR="002D5216" w:rsidRPr="002B283E" w:rsidRDefault="002D5216" w:rsidP="002B283E">
      <w:pPr>
        <w:pStyle w:val="BodyText"/>
      </w:pPr>
    </w:p>
    <w:p w14:paraId="2E66B370" w14:textId="773F42BC" w:rsidR="002D5216" w:rsidRPr="002B283E" w:rsidRDefault="002D5216" w:rsidP="002B283E">
      <w:pPr>
        <w:pStyle w:val="BodyText"/>
        <w:ind w:left="100" w:right="127" w:firstLine="720"/>
      </w:pPr>
      <w:r w:rsidRPr="002B283E">
        <w:t>When I instruct you that an item of evidence has been admitted only for a limited</w:t>
      </w:r>
      <w:r w:rsidR="00FE1D58">
        <w:t xml:space="preserve"> </w:t>
      </w:r>
      <w:r w:rsidRPr="002B283E">
        <w:t>purpose,</w:t>
      </w:r>
      <w:r w:rsidRPr="002B283E">
        <w:rPr>
          <w:spacing w:val="-3"/>
        </w:rPr>
        <w:t xml:space="preserve"> </w:t>
      </w:r>
      <w:r w:rsidRPr="002B283E">
        <w:t>you</w:t>
      </w:r>
      <w:r w:rsidRPr="002B283E">
        <w:rPr>
          <w:spacing w:val="-3"/>
        </w:rPr>
        <w:t xml:space="preserve"> </w:t>
      </w:r>
      <w:r w:rsidRPr="002B283E">
        <w:t>must</w:t>
      </w:r>
      <w:r w:rsidRPr="002B283E">
        <w:rPr>
          <w:spacing w:val="-3"/>
        </w:rPr>
        <w:t xml:space="preserve"> </w:t>
      </w:r>
      <w:r w:rsidRPr="002B283E">
        <w:t>consider</w:t>
      </w:r>
      <w:r w:rsidRPr="002B283E">
        <w:rPr>
          <w:spacing w:val="-4"/>
        </w:rPr>
        <w:t xml:space="preserve"> </w:t>
      </w:r>
      <w:r w:rsidRPr="002B283E">
        <w:t>it</w:t>
      </w:r>
      <w:r w:rsidRPr="002B283E">
        <w:rPr>
          <w:spacing w:val="-3"/>
        </w:rPr>
        <w:t xml:space="preserve"> </w:t>
      </w:r>
      <w:r w:rsidRPr="002B283E">
        <w:t>only</w:t>
      </w:r>
      <w:r w:rsidRPr="002B283E">
        <w:rPr>
          <w:spacing w:val="-3"/>
        </w:rPr>
        <w:t xml:space="preserve"> </w:t>
      </w:r>
      <w:r w:rsidRPr="002B283E">
        <w:t>for</w:t>
      </w:r>
      <w:r w:rsidRPr="002B283E">
        <w:rPr>
          <w:spacing w:val="-4"/>
        </w:rPr>
        <w:t xml:space="preserve"> </w:t>
      </w:r>
      <w:r w:rsidRPr="002B283E">
        <w:t>that</w:t>
      </w:r>
      <w:r w:rsidRPr="002B283E">
        <w:rPr>
          <w:spacing w:val="-3"/>
        </w:rPr>
        <w:t xml:space="preserve"> </w:t>
      </w:r>
      <w:r w:rsidRPr="002B283E">
        <w:t>limited</w:t>
      </w:r>
      <w:r w:rsidRPr="002B283E">
        <w:rPr>
          <w:spacing w:val="-3"/>
        </w:rPr>
        <w:t xml:space="preserve"> </w:t>
      </w:r>
      <w:r w:rsidRPr="002B283E">
        <w:t>purpose</w:t>
      </w:r>
      <w:r w:rsidRPr="002B283E">
        <w:rPr>
          <w:spacing w:val="-4"/>
        </w:rPr>
        <w:t xml:space="preserve"> </w:t>
      </w:r>
      <w:r w:rsidRPr="002B283E">
        <w:t>and</w:t>
      </w:r>
      <w:r w:rsidRPr="002B283E">
        <w:rPr>
          <w:spacing w:val="-3"/>
        </w:rPr>
        <w:t xml:space="preserve"> </w:t>
      </w:r>
      <w:r w:rsidRPr="002B283E">
        <w:t>not</w:t>
      </w:r>
      <w:r w:rsidRPr="002B283E">
        <w:rPr>
          <w:spacing w:val="-3"/>
        </w:rPr>
        <w:t xml:space="preserve"> </w:t>
      </w:r>
      <w:r w:rsidRPr="002B283E">
        <w:t>for</w:t>
      </w:r>
      <w:r w:rsidRPr="002B283E">
        <w:rPr>
          <w:spacing w:val="-2"/>
        </w:rPr>
        <w:t xml:space="preserve"> </w:t>
      </w:r>
      <w:r w:rsidRPr="002B283E">
        <w:t>any</w:t>
      </w:r>
      <w:r w:rsidRPr="002B283E">
        <w:rPr>
          <w:spacing w:val="-1"/>
        </w:rPr>
        <w:t xml:space="preserve"> </w:t>
      </w:r>
      <w:r w:rsidRPr="002B283E">
        <w:t>other</w:t>
      </w:r>
      <w:r w:rsidRPr="002B283E">
        <w:rPr>
          <w:spacing w:val="-4"/>
        </w:rPr>
        <w:t xml:space="preserve"> </w:t>
      </w:r>
      <w:r w:rsidRPr="002B283E">
        <w:t>purpose.</w:t>
      </w:r>
    </w:p>
    <w:p w14:paraId="34FEA196" w14:textId="77777777" w:rsidR="002D5216" w:rsidRPr="002B283E" w:rsidRDefault="002D5216" w:rsidP="002B283E">
      <w:pPr>
        <w:pStyle w:val="BodyText"/>
      </w:pPr>
    </w:p>
    <w:p w14:paraId="2789BF6D" w14:textId="77777777" w:rsidR="002D5216" w:rsidRPr="002B283E" w:rsidRDefault="002D5216" w:rsidP="002B283E">
      <w:pPr>
        <w:pStyle w:val="BodyText"/>
        <w:ind w:left="100" w:right="127" w:firstLine="720"/>
      </w:pPr>
      <w:r w:rsidRPr="002B283E">
        <w:t>[The</w:t>
      </w:r>
      <w:r w:rsidRPr="002B283E">
        <w:rPr>
          <w:spacing w:val="-4"/>
        </w:rPr>
        <w:t xml:space="preserve"> </w:t>
      </w:r>
      <w:r w:rsidRPr="002B283E">
        <w:t>testimony</w:t>
      </w:r>
      <w:r w:rsidRPr="002B283E">
        <w:rPr>
          <w:spacing w:val="-3"/>
        </w:rPr>
        <w:t xml:space="preserve"> </w:t>
      </w:r>
      <w:r w:rsidRPr="002B283E">
        <w:t>[you</w:t>
      </w:r>
      <w:r w:rsidRPr="002B283E">
        <w:rPr>
          <w:spacing w:val="-3"/>
        </w:rPr>
        <w:t xml:space="preserve"> </w:t>
      </w:r>
      <w:r w:rsidRPr="002B283E">
        <w:t>are</w:t>
      </w:r>
      <w:r w:rsidRPr="002B283E">
        <w:rPr>
          <w:spacing w:val="-2"/>
        </w:rPr>
        <w:t xml:space="preserve"> </w:t>
      </w:r>
      <w:r w:rsidRPr="002B283E">
        <w:t>about</w:t>
      </w:r>
      <w:r w:rsidRPr="002B283E">
        <w:rPr>
          <w:spacing w:val="-3"/>
        </w:rPr>
        <w:t xml:space="preserve"> </w:t>
      </w:r>
      <w:r w:rsidRPr="002B283E">
        <w:t>to</w:t>
      </w:r>
      <w:r w:rsidRPr="002B283E">
        <w:rPr>
          <w:spacing w:val="-3"/>
        </w:rPr>
        <w:t xml:space="preserve"> </w:t>
      </w:r>
      <w:r w:rsidRPr="002B283E">
        <w:t>hear]</w:t>
      </w:r>
      <w:r w:rsidRPr="002B283E">
        <w:rPr>
          <w:spacing w:val="-2"/>
        </w:rPr>
        <w:t xml:space="preserve"> </w:t>
      </w:r>
      <w:r w:rsidRPr="002B283E">
        <w:t>[you</w:t>
      </w:r>
      <w:r w:rsidRPr="002B283E">
        <w:rPr>
          <w:spacing w:val="-3"/>
        </w:rPr>
        <w:t xml:space="preserve"> </w:t>
      </w:r>
      <w:r w:rsidRPr="002B283E">
        <w:t>have</w:t>
      </w:r>
      <w:r w:rsidRPr="002B283E">
        <w:rPr>
          <w:spacing w:val="-2"/>
        </w:rPr>
        <w:t xml:space="preserve"> </w:t>
      </w:r>
      <w:r w:rsidRPr="002B283E">
        <w:t>just</w:t>
      </w:r>
      <w:r w:rsidRPr="002B283E">
        <w:rPr>
          <w:spacing w:val="-3"/>
        </w:rPr>
        <w:t xml:space="preserve"> </w:t>
      </w:r>
      <w:r w:rsidRPr="002B283E">
        <w:t>heard]</w:t>
      </w:r>
      <w:r w:rsidRPr="002B283E">
        <w:rPr>
          <w:spacing w:val="-4"/>
        </w:rPr>
        <w:t xml:space="preserve"> </w:t>
      </w:r>
      <w:r w:rsidRPr="002B283E">
        <w:t>may</w:t>
      </w:r>
      <w:r w:rsidRPr="002B283E">
        <w:rPr>
          <w:spacing w:val="-3"/>
        </w:rPr>
        <w:t xml:space="preserve"> </w:t>
      </w:r>
      <w:r w:rsidRPr="002B283E">
        <w:t>be</w:t>
      </w:r>
      <w:r w:rsidRPr="002B283E">
        <w:rPr>
          <w:spacing w:val="-2"/>
        </w:rPr>
        <w:t xml:space="preserve"> </w:t>
      </w:r>
      <w:r w:rsidRPr="002B283E">
        <w:t>considered</w:t>
      </w:r>
      <w:r w:rsidRPr="002B283E">
        <w:rPr>
          <w:spacing w:val="-3"/>
        </w:rPr>
        <w:t xml:space="preserve"> </w:t>
      </w:r>
      <w:r w:rsidRPr="002B283E">
        <w:t>only</w:t>
      </w:r>
      <w:r w:rsidRPr="002B283E">
        <w:rPr>
          <w:spacing w:val="-3"/>
        </w:rPr>
        <w:t xml:space="preserve"> </w:t>
      </w:r>
      <w:r w:rsidRPr="002B283E">
        <w:t>for the limited purpose of [</w:t>
      </w:r>
      <w:r w:rsidRPr="002B283E">
        <w:rPr>
          <w:i/>
          <w:u w:val="single"/>
        </w:rPr>
        <w:t>describe purpose</w:t>
      </w:r>
      <w:r w:rsidRPr="002B283E">
        <w:t>] and not for any other purpose.]</w:t>
      </w:r>
    </w:p>
    <w:p w14:paraId="6A817A75" w14:textId="77777777" w:rsidR="002D5216" w:rsidRPr="002B283E" w:rsidRDefault="002D5216" w:rsidP="002B283E">
      <w:pPr>
        <w:pStyle w:val="BodyText"/>
      </w:pPr>
    </w:p>
    <w:p w14:paraId="0443CDBF" w14:textId="77777777" w:rsidR="002D5216" w:rsidRPr="002B283E" w:rsidRDefault="002D5216" w:rsidP="002B283E">
      <w:pPr>
        <w:jc w:val="center"/>
        <w:rPr>
          <w:rFonts w:cs="Times New Roman"/>
          <w:b/>
          <w:bCs/>
          <w:szCs w:val="24"/>
        </w:rPr>
      </w:pPr>
      <w:r w:rsidRPr="002B283E">
        <w:rPr>
          <w:rFonts w:cs="Times New Roman"/>
          <w:b/>
          <w:bCs/>
          <w:szCs w:val="24"/>
        </w:rPr>
        <w:t>Comment</w:t>
      </w:r>
    </w:p>
    <w:p w14:paraId="3838D9CD" w14:textId="77777777" w:rsidR="002D5216" w:rsidRPr="002B283E" w:rsidRDefault="002D5216" w:rsidP="002B283E">
      <w:pPr>
        <w:pStyle w:val="BodyText"/>
        <w:rPr>
          <w:b/>
        </w:rPr>
      </w:pPr>
    </w:p>
    <w:p w14:paraId="780856E6" w14:textId="77777777" w:rsidR="002D5216" w:rsidRPr="002B283E" w:rsidRDefault="002D5216" w:rsidP="002B283E">
      <w:pPr>
        <w:ind w:left="100" w:right="127" w:firstLine="720"/>
        <w:rPr>
          <w:rFonts w:cs="Times New Roman"/>
          <w:szCs w:val="24"/>
        </w:rPr>
      </w:pPr>
      <w:r w:rsidRPr="002B283E">
        <w:rPr>
          <w:rFonts w:cs="Times New Roman"/>
          <w:szCs w:val="24"/>
        </w:rPr>
        <w:t>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rule,</w:t>
      </w:r>
      <w:r w:rsidRPr="002B283E">
        <w:rPr>
          <w:rFonts w:cs="Times New Roman"/>
          <w:spacing w:val="-3"/>
          <w:szCs w:val="24"/>
        </w:rPr>
        <w:t xml:space="preserve"> </w:t>
      </w:r>
      <w:r w:rsidRPr="002B283E">
        <w:rPr>
          <w:rFonts w:cs="Times New Roman"/>
          <w:szCs w:val="24"/>
        </w:rPr>
        <w:t>limiting</w:t>
      </w:r>
      <w:r w:rsidRPr="002B283E">
        <w:rPr>
          <w:rFonts w:cs="Times New Roman"/>
          <w:spacing w:val="-3"/>
          <w:szCs w:val="24"/>
        </w:rPr>
        <w:t xml:space="preserve"> </w:t>
      </w:r>
      <w:r w:rsidRPr="002B283E">
        <w:rPr>
          <w:rFonts w:cs="Times New Roman"/>
          <w:szCs w:val="24"/>
        </w:rPr>
        <w:t>instructions</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only</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given</w:t>
      </w:r>
      <w:r w:rsidRPr="002B283E">
        <w:rPr>
          <w:rFonts w:cs="Times New Roman"/>
          <w:spacing w:val="-1"/>
          <w:szCs w:val="24"/>
        </w:rPr>
        <w:t xml:space="preserve"> </w:t>
      </w:r>
      <w:r w:rsidRPr="002B283E">
        <w:rPr>
          <w:rFonts w:cs="Times New Roman"/>
          <w:szCs w:val="24"/>
        </w:rPr>
        <w:t>when</w:t>
      </w:r>
      <w:r w:rsidRPr="002B283E">
        <w:rPr>
          <w:rFonts w:cs="Times New Roman"/>
          <w:spacing w:val="-3"/>
          <w:szCs w:val="24"/>
        </w:rPr>
        <w:t xml:space="preserve"> </w:t>
      </w:r>
      <w:r w:rsidRPr="002B283E">
        <w:rPr>
          <w:rFonts w:cs="Times New Roman"/>
          <w:szCs w:val="24"/>
        </w:rPr>
        <w:t>requested</w:t>
      </w:r>
      <w:r w:rsidRPr="002B283E">
        <w:rPr>
          <w:rFonts w:cs="Times New Roman"/>
          <w:spacing w:val="-3"/>
          <w:szCs w:val="24"/>
        </w:rPr>
        <w:t xml:space="preserve"> </w:t>
      </w:r>
      <w:r w:rsidRPr="002B283E">
        <w:rPr>
          <w:rFonts w:cs="Times New Roman"/>
          <w:szCs w:val="24"/>
        </w:rPr>
        <w:t>and</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not</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 xml:space="preserve">given </w:t>
      </w:r>
      <w:r w:rsidRPr="002B283E">
        <w:rPr>
          <w:rFonts w:cs="Times New Roman"/>
          <w:i/>
          <w:szCs w:val="24"/>
        </w:rPr>
        <w:t xml:space="preserve">sua sponte </w:t>
      </w:r>
      <w:r w:rsidRPr="002B283E">
        <w:rPr>
          <w:rFonts w:cs="Times New Roman"/>
          <w:szCs w:val="24"/>
        </w:rPr>
        <w:t xml:space="preserve">by the court. </w:t>
      </w:r>
      <w:r w:rsidRPr="002B283E">
        <w:rPr>
          <w:rFonts w:cs="Times New Roman"/>
          <w:i/>
          <w:szCs w:val="24"/>
        </w:rPr>
        <w:t>United States v. Palmer</w:t>
      </w:r>
      <w:r w:rsidRPr="002B283E">
        <w:rPr>
          <w:rFonts w:cs="Times New Roman"/>
          <w:szCs w:val="24"/>
        </w:rPr>
        <w:t xml:space="preserve">, 691 F.2d 921, 923 (9th Cir. 1982) (citing </w:t>
      </w:r>
      <w:r w:rsidRPr="002B283E">
        <w:rPr>
          <w:rFonts w:cs="Times New Roman"/>
          <w:i/>
          <w:szCs w:val="24"/>
        </w:rPr>
        <w:t>United States v. McLennan</w:t>
      </w:r>
      <w:r w:rsidRPr="002B283E">
        <w:rPr>
          <w:rFonts w:cs="Times New Roman"/>
          <w:szCs w:val="24"/>
        </w:rPr>
        <w:t>, 563 F.2d 943, 947-48 (9th Cir. 1977)).</w:t>
      </w:r>
    </w:p>
    <w:p w14:paraId="72FAB60E" w14:textId="77777777" w:rsidR="002D5216" w:rsidRPr="002B283E" w:rsidRDefault="002D5216" w:rsidP="002B283E">
      <w:pPr>
        <w:pStyle w:val="BodyText"/>
      </w:pPr>
    </w:p>
    <w:p w14:paraId="172724B5" w14:textId="0FC08FFD" w:rsidR="002D5216" w:rsidRPr="002B283E" w:rsidRDefault="002D5216" w:rsidP="002B283E">
      <w:pPr>
        <w:pStyle w:val="BodyText"/>
        <w:ind w:left="100" w:firstLine="720"/>
      </w:pPr>
      <w:r w:rsidRPr="002B283E">
        <w:rPr>
          <w:i/>
        </w:rPr>
        <w:t>See</w:t>
      </w:r>
      <w:r w:rsidRPr="002B283E">
        <w:rPr>
          <w:i/>
          <w:spacing w:val="-1"/>
        </w:rPr>
        <w:t xml:space="preserve"> </w:t>
      </w:r>
      <w:r w:rsidRPr="002B283E">
        <w:rPr>
          <w:i/>
        </w:rPr>
        <w:t>United States v. Marsh</w:t>
      </w:r>
      <w:r w:rsidRPr="002B283E">
        <w:t>, 144 F.3d 1229, 1238 (9th Cir. 1998)</w:t>
      </w:r>
      <w:r w:rsidRPr="002B283E">
        <w:rPr>
          <w:spacing w:val="-1"/>
        </w:rPr>
        <w:t xml:space="preserve"> </w:t>
      </w:r>
      <w:r w:rsidRPr="002B283E">
        <w:t xml:space="preserve">(when </w:t>
      </w:r>
      <w:r w:rsidR="00780AD7">
        <w:t xml:space="preserve">the </w:t>
      </w:r>
      <w:r w:rsidRPr="002B283E">
        <w:t xml:space="preserve">trial court fails to instruct </w:t>
      </w:r>
      <w:r w:rsidR="00780AD7">
        <w:t xml:space="preserve">the </w:t>
      </w:r>
      <w:r w:rsidRPr="002B283E">
        <w:t xml:space="preserve">jury in its final instructions regarding receipt of evidence for </w:t>
      </w:r>
      <w:r w:rsidR="00780AD7">
        <w:t xml:space="preserve">a </w:t>
      </w:r>
      <w:r w:rsidRPr="002B283E">
        <w:t xml:space="preserve">limited purpose, </w:t>
      </w:r>
      <w:r w:rsidR="00FE1D58">
        <w:t xml:space="preserve">the </w:t>
      </w:r>
      <w:r w:rsidRPr="002B283E">
        <w:t>Ninth Circuit</w:t>
      </w:r>
      <w:r w:rsidRPr="002B283E">
        <w:rPr>
          <w:spacing w:val="-4"/>
        </w:rPr>
        <w:t xml:space="preserve"> </w:t>
      </w:r>
      <w:r w:rsidRPr="002B283E">
        <w:t>examines</w:t>
      </w:r>
      <w:r w:rsidRPr="002B283E">
        <w:rPr>
          <w:spacing w:val="-4"/>
        </w:rPr>
        <w:t xml:space="preserve"> </w:t>
      </w:r>
      <w:r w:rsidR="00780AD7">
        <w:rPr>
          <w:spacing w:val="-4"/>
        </w:rPr>
        <w:t xml:space="preserve">the </w:t>
      </w:r>
      <w:r w:rsidRPr="002B283E">
        <w:t>trial</w:t>
      </w:r>
      <w:r w:rsidRPr="002B283E">
        <w:rPr>
          <w:spacing w:val="-4"/>
        </w:rPr>
        <w:t xml:space="preserve"> </w:t>
      </w:r>
      <w:r w:rsidRPr="002B283E">
        <w:t>court’s</w:t>
      </w:r>
      <w:r w:rsidRPr="002B283E">
        <w:rPr>
          <w:spacing w:val="-4"/>
        </w:rPr>
        <w:t xml:space="preserve"> </w:t>
      </w:r>
      <w:r w:rsidRPr="002B283E">
        <w:t>preliminary</w:t>
      </w:r>
      <w:r w:rsidRPr="002B283E">
        <w:rPr>
          <w:spacing w:val="-4"/>
        </w:rPr>
        <w:t xml:space="preserve"> </w:t>
      </w:r>
      <w:r w:rsidRPr="002B283E">
        <w:t>instructions</w:t>
      </w:r>
      <w:r w:rsidRPr="002B283E">
        <w:rPr>
          <w:spacing w:val="-4"/>
        </w:rPr>
        <w:t xml:space="preserve"> </w:t>
      </w:r>
      <w:r w:rsidRPr="002B283E">
        <w:t>to</w:t>
      </w:r>
      <w:r w:rsidRPr="002B283E">
        <w:rPr>
          <w:spacing w:val="-4"/>
        </w:rPr>
        <w:t xml:space="preserve"> </w:t>
      </w:r>
      <w:r w:rsidRPr="002B283E">
        <w:t>determine</w:t>
      </w:r>
      <w:r w:rsidRPr="002B283E">
        <w:rPr>
          <w:spacing w:val="-5"/>
        </w:rPr>
        <w:t xml:space="preserve"> </w:t>
      </w:r>
      <w:r w:rsidRPr="002B283E">
        <w:t>if</w:t>
      </w:r>
      <w:r w:rsidRPr="002B283E">
        <w:rPr>
          <w:spacing w:val="-5"/>
        </w:rPr>
        <w:t xml:space="preserve"> </w:t>
      </w:r>
      <w:r w:rsidR="00FE1D58">
        <w:rPr>
          <w:spacing w:val="-5"/>
        </w:rPr>
        <w:t xml:space="preserve">the </w:t>
      </w:r>
      <w:r w:rsidRPr="002B283E">
        <w:t>court</w:t>
      </w:r>
      <w:r w:rsidRPr="002B283E">
        <w:rPr>
          <w:spacing w:val="-3"/>
        </w:rPr>
        <w:t xml:space="preserve"> </w:t>
      </w:r>
      <w:r w:rsidRPr="002B283E">
        <w:t>instructed</w:t>
      </w:r>
      <w:r w:rsidRPr="002B283E">
        <w:rPr>
          <w:spacing w:val="-4"/>
        </w:rPr>
        <w:t xml:space="preserve"> </w:t>
      </w:r>
      <w:r w:rsidR="00780AD7">
        <w:rPr>
          <w:spacing w:val="-4"/>
        </w:rPr>
        <w:t xml:space="preserve">the </w:t>
      </w:r>
      <w:r w:rsidRPr="002B283E">
        <w:t>jury</w:t>
      </w:r>
      <w:r w:rsidRPr="002B283E">
        <w:rPr>
          <w:spacing w:val="-4"/>
        </w:rPr>
        <w:t xml:space="preserve"> </w:t>
      </w:r>
      <w:r w:rsidRPr="002B283E">
        <w:t>on</w:t>
      </w:r>
      <w:r w:rsidRPr="002B283E">
        <w:rPr>
          <w:spacing w:val="-4"/>
        </w:rPr>
        <w:t xml:space="preserve"> </w:t>
      </w:r>
      <w:r w:rsidRPr="002B283E">
        <w:t xml:space="preserve">this </w:t>
      </w:r>
      <w:r w:rsidRPr="002B283E">
        <w:rPr>
          <w:spacing w:val="-2"/>
        </w:rPr>
        <w:t>issue).</w:t>
      </w:r>
    </w:p>
    <w:p w14:paraId="53B803B4" w14:textId="77777777" w:rsidR="002D5216" w:rsidRPr="002B283E" w:rsidRDefault="002D5216" w:rsidP="002B283E">
      <w:pPr>
        <w:pStyle w:val="BodyText"/>
      </w:pPr>
    </w:p>
    <w:p w14:paraId="5572E2F6" w14:textId="7F6DA90C" w:rsidR="002D5216" w:rsidRPr="002B283E" w:rsidRDefault="002D5216" w:rsidP="002B283E">
      <w:pPr>
        <w:pStyle w:val="BodyText"/>
        <w:ind w:left="100" w:right="514" w:firstLine="720"/>
        <w:rPr>
          <w:spacing w:val="-2"/>
        </w:rPr>
      </w:pPr>
      <w:r w:rsidRPr="002B283E">
        <w:rPr>
          <w:i/>
        </w:rPr>
        <w:t>See</w:t>
      </w:r>
      <w:r w:rsidRPr="002B283E">
        <w:rPr>
          <w:i/>
          <w:spacing w:val="-5"/>
        </w:rPr>
        <w:t xml:space="preserve"> </w:t>
      </w:r>
      <w:r w:rsidRPr="002B283E">
        <w:rPr>
          <w:i/>
        </w:rPr>
        <w:t>also</w:t>
      </w:r>
      <w:r w:rsidRPr="002B283E">
        <w:rPr>
          <w:i/>
          <w:spacing w:val="-4"/>
        </w:rPr>
        <w:t xml:space="preserve"> </w:t>
      </w:r>
      <w:r w:rsidRPr="002B283E">
        <w:t>Instructions</w:t>
      </w:r>
      <w:r w:rsidRPr="002B283E">
        <w:rPr>
          <w:spacing w:val="-4"/>
        </w:rPr>
        <w:t xml:space="preserve"> </w:t>
      </w:r>
      <w:r w:rsidRPr="002B283E">
        <w:t>1.10</w:t>
      </w:r>
      <w:r w:rsidRPr="002B283E">
        <w:rPr>
          <w:spacing w:val="-4"/>
        </w:rPr>
        <w:t xml:space="preserve"> </w:t>
      </w:r>
      <w:r w:rsidRPr="002B283E">
        <w:t>(What</w:t>
      </w:r>
      <w:r w:rsidRPr="002B283E">
        <w:rPr>
          <w:spacing w:val="-4"/>
        </w:rPr>
        <w:t xml:space="preserve"> </w:t>
      </w:r>
      <w:r w:rsidRPr="002B283E">
        <w:t>is</w:t>
      </w:r>
      <w:r w:rsidRPr="002B283E">
        <w:rPr>
          <w:spacing w:val="-4"/>
        </w:rPr>
        <w:t xml:space="preserve"> </w:t>
      </w:r>
      <w:r w:rsidRPr="002B283E">
        <w:t>Not</w:t>
      </w:r>
      <w:r w:rsidRPr="002B283E">
        <w:rPr>
          <w:spacing w:val="-4"/>
        </w:rPr>
        <w:t xml:space="preserve"> </w:t>
      </w:r>
      <w:r w:rsidRPr="002B283E">
        <w:t>Evidence)</w:t>
      </w:r>
      <w:r w:rsidRPr="002B283E">
        <w:rPr>
          <w:spacing w:val="-3"/>
        </w:rPr>
        <w:t xml:space="preserve"> </w:t>
      </w:r>
      <w:r w:rsidRPr="002B283E">
        <w:t>and</w:t>
      </w:r>
      <w:r w:rsidRPr="002B283E">
        <w:rPr>
          <w:spacing w:val="-4"/>
        </w:rPr>
        <w:t xml:space="preserve"> </w:t>
      </w:r>
      <w:r w:rsidRPr="002B283E">
        <w:t>2.</w:t>
      </w:r>
      <w:r w:rsidR="008F7348">
        <w:t>10</w:t>
      </w:r>
      <w:r w:rsidRPr="002B283E">
        <w:rPr>
          <w:spacing w:val="-4"/>
        </w:rPr>
        <w:t xml:space="preserve"> </w:t>
      </w:r>
      <w:r w:rsidRPr="002B283E">
        <w:t>(Impeachment</w:t>
      </w:r>
      <w:r w:rsidRPr="002B283E">
        <w:rPr>
          <w:spacing w:val="-4"/>
        </w:rPr>
        <w:t xml:space="preserve"> </w:t>
      </w:r>
      <w:r w:rsidRPr="002B283E">
        <w:t>Evidence—</w:t>
      </w:r>
      <w:r w:rsidRPr="002B283E">
        <w:rPr>
          <w:spacing w:val="-2"/>
        </w:rPr>
        <w:t>Witness).</w:t>
      </w:r>
    </w:p>
    <w:p w14:paraId="3379D7A7" w14:textId="77777777" w:rsidR="002D5216" w:rsidRPr="002B283E" w:rsidRDefault="002D5216" w:rsidP="002B283E">
      <w:pPr>
        <w:pStyle w:val="BodyText"/>
        <w:ind w:left="100" w:right="514" w:firstLine="720"/>
      </w:pPr>
    </w:p>
    <w:p w14:paraId="6452E4CD" w14:textId="77777777" w:rsidR="002D5216" w:rsidRPr="002B283E" w:rsidRDefault="002D5216" w:rsidP="002B283E">
      <w:pPr>
        <w:pStyle w:val="BodyText"/>
        <w:ind w:left="100" w:right="514" w:firstLine="720"/>
        <w:jc w:val="right"/>
        <w:rPr>
          <w:i/>
          <w:iCs/>
        </w:rPr>
      </w:pPr>
      <w:r w:rsidRPr="002B283E">
        <w:rPr>
          <w:i/>
          <w:iCs/>
        </w:rPr>
        <w:t>Revised March 2025</w:t>
      </w:r>
    </w:p>
    <w:p w14:paraId="7E24CF5B" w14:textId="77777777" w:rsidR="006A4CD7" w:rsidRPr="002B283E" w:rsidRDefault="006A4CD7" w:rsidP="002B283E">
      <w:pPr>
        <w:autoSpaceDE w:val="0"/>
        <w:autoSpaceDN w:val="0"/>
        <w:adjustRightInd w:val="0"/>
        <w:rPr>
          <w:rFonts w:cs="Times New Roman"/>
          <w:szCs w:val="24"/>
        </w:rPr>
      </w:pPr>
    </w:p>
    <w:p w14:paraId="6533C733" w14:textId="77777777" w:rsidR="00030A67" w:rsidRPr="002B283E" w:rsidRDefault="00030A67" w:rsidP="002B283E">
      <w:pPr>
        <w:autoSpaceDE w:val="0"/>
        <w:autoSpaceDN w:val="0"/>
        <w:adjustRightInd w:val="0"/>
        <w:rPr>
          <w:rFonts w:cs="Times New Roman"/>
          <w:szCs w:val="24"/>
        </w:rPr>
      </w:pPr>
    </w:p>
    <w:p w14:paraId="0E6DD429" w14:textId="77777777" w:rsidR="00030A67" w:rsidRPr="002B283E" w:rsidRDefault="00030A67" w:rsidP="002B283E">
      <w:pPr>
        <w:rPr>
          <w:rFonts w:cs="Times New Roman"/>
          <w:b/>
          <w:bCs/>
          <w:szCs w:val="24"/>
        </w:rPr>
      </w:pPr>
      <w:r w:rsidRPr="002B283E">
        <w:rPr>
          <w:rFonts w:cs="Times New Roman"/>
          <w:b/>
          <w:bCs/>
          <w:szCs w:val="24"/>
        </w:rPr>
        <w:br w:type="page"/>
      </w:r>
    </w:p>
    <w:p w14:paraId="2670DA33" w14:textId="7B1B0259" w:rsidR="006A4CD7" w:rsidRPr="002B283E" w:rsidRDefault="006A4CD7" w:rsidP="002B283E">
      <w:pPr>
        <w:pStyle w:val="Heading2"/>
      </w:pPr>
      <w:bookmarkStart w:id="18" w:name="_Toc221525071"/>
      <w:r w:rsidRPr="002B283E">
        <w:lastRenderedPageBreak/>
        <w:t xml:space="preserve">1.12 </w:t>
      </w:r>
      <w:r w:rsidR="00F421A9" w:rsidRPr="002B283E">
        <w:t>Direct and Circumstantial Evidence</w:t>
      </w:r>
      <w:bookmarkEnd w:id="18"/>
    </w:p>
    <w:p w14:paraId="526F9DEF" w14:textId="77777777" w:rsidR="006A4CD7" w:rsidRPr="002B283E" w:rsidRDefault="006A4CD7" w:rsidP="002B283E">
      <w:pPr>
        <w:autoSpaceDE w:val="0"/>
        <w:autoSpaceDN w:val="0"/>
        <w:adjustRightInd w:val="0"/>
        <w:rPr>
          <w:rFonts w:cs="Times New Roman"/>
          <w:szCs w:val="24"/>
        </w:rPr>
      </w:pPr>
    </w:p>
    <w:p w14:paraId="1F0AB7A3" w14:textId="01C008F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w:t>
      </w:r>
      <w:r w:rsidR="00FE1D58">
        <w:rPr>
          <w:rFonts w:cs="Times New Roman"/>
          <w:szCs w:val="24"/>
        </w:rPr>
        <w:t>T</w:t>
      </w:r>
      <w:r w:rsidRPr="002B283E">
        <w:rPr>
          <w:rFonts w:cs="Times New Roman"/>
          <w:szCs w:val="24"/>
        </w:rPr>
        <w:t>he law makes no distinction between the weight to be given to either direct or circumstantial evidence. It is for you to decide how much weight to give to any evidence.</w:t>
      </w:r>
    </w:p>
    <w:p w14:paraId="7933AB92" w14:textId="77777777" w:rsidR="006A4CD7" w:rsidRPr="002B283E" w:rsidRDefault="006A4CD7" w:rsidP="002B283E">
      <w:pPr>
        <w:autoSpaceDE w:val="0"/>
        <w:autoSpaceDN w:val="0"/>
        <w:adjustRightInd w:val="0"/>
        <w:rPr>
          <w:rFonts w:cs="Times New Roman"/>
          <w:szCs w:val="24"/>
        </w:rPr>
      </w:pPr>
    </w:p>
    <w:p w14:paraId="4E4A0B8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AA28D2" w14:textId="77777777" w:rsidR="006A4CD7" w:rsidRPr="002B283E" w:rsidRDefault="006A4CD7" w:rsidP="002B283E">
      <w:pPr>
        <w:autoSpaceDE w:val="0"/>
        <w:autoSpaceDN w:val="0"/>
        <w:adjustRightInd w:val="0"/>
        <w:rPr>
          <w:rFonts w:cs="Times New Roman"/>
          <w:szCs w:val="24"/>
        </w:rPr>
      </w:pPr>
    </w:p>
    <w:p w14:paraId="5FECB8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may be helpful to include an illustrative example in the instruction:</w:t>
      </w:r>
    </w:p>
    <w:p w14:paraId="1779CF37" w14:textId="77777777" w:rsidR="006A4CD7" w:rsidRPr="002B283E" w:rsidRDefault="006A4CD7" w:rsidP="002B283E">
      <w:pPr>
        <w:autoSpaceDE w:val="0"/>
        <w:autoSpaceDN w:val="0"/>
        <w:adjustRightInd w:val="0"/>
        <w:rPr>
          <w:rFonts w:cs="Times New Roman"/>
          <w:szCs w:val="24"/>
        </w:rPr>
      </w:pPr>
    </w:p>
    <w:p w14:paraId="370F1C71" w14:textId="3F23DF51" w:rsidR="006A4CD7" w:rsidRPr="002B283E" w:rsidRDefault="006A4CD7" w:rsidP="002B283E">
      <w:pPr>
        <w:autoSpaceDE w:val="0"/>
        <w:autoSpaceDN w:val="0"/>
        <w:adjustRightInd w:val="0"/>
        <w:ind w:left="720" w:right="720"/>
        <w:jc w:val="both"/>
        <w:rPr>
          <w:rFonts w:cs="Times New Roman"/>
          <w:szCs w:val="24"/>
        </w:rPr>
      </w:pPr>
      <w:r w:rsidRPr="002B283E">
        <w:rPr>
          <w:rFonts w:cs="Times New Roman"/>
          <w:szCs w:val="24"/>
        </w:rPr>
        <w:t xml:space="preserve">By way of example, if you wake up in the morning and see that the sidewalk is wet, you may find from that fact that it rained during the night. However, other evidence, such as a </w:t>
      </w:r>
      <w:r w:rsidR="00C23711" w:rsidRPr="002B283E">
        <w:rPr>
          <w:rFonts w:cs="Times New Roman"/>
          <w:szCs w:val="24"/>
        </w:rPr>
        <w:t>turned-on</w:t>
      </w:r>
      <w:r w:rsidRPr="002B283E">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2B283E">
        <w:rPr>
          <w:rFonts w:cs="Times New Roman"/>
          <w:szCs w:val="24"/>
        </w:rPr>
        <w:t>experience,</w:t>
      </w:r>
      <w:r w:rsidRPr="002B283E">
        <w:rPr>
          <w:rFonts w:cs="Times New Roman"/>
          <w:szCs w:val="24"/>
        </w:rPr>
        <w:t xml:space="preserve"> and common sense.</w:t>
      </w:r>
    </w:p>
    <w:p w14:paraId="59C2DC03" w14:textId="77777777" w:rsidR="006A4CD7" w:rsidRPr="002B283E" w:rsidRDefault="006A4CD7" w:rsidP="002B283E">
      <w:pPr>
        <w:autoSpaceDE w:val="0"/>
        <w:autoSpaceDN w:val="0"/>
        <w:adjustRightInd w:val="0"/>
        <w:rPr>
          <w:rFonts w:cs="Times New Roman"/>
          <w:szCs w:val="24"/>
        </w:rPr>
      </w:pPr>
    </w:p>
    <w:p w14:paraId="237F4B70" w14:textId="77777777" w:rsidR="006A4CD7" w:rsidRPr="002B283E" w:rsidRDefault="006A4CD7" w:rsidP="002B283E">
      <w:pPr>
        <w:autoSpaceDE w:val="0"/>
        <w:autoSpaceDN w:val="0"/>
        <w:adjustRightInd w:val="0"/>
        <w:rPr>
          <w:rFonts w:cs="Times New Roman"/>
          <w:szCs w:val="24"/>
        </w:rPr>
      </w:pPr>
    </w:p>
    <w:p w14:paraId="657DD430" w14:textId="77777777" w:rsidR="00030A67" w:rsidRPr="002B283E" w:rsidRDefault="00030A67" w:rsidP="002B283E">
      <w:pPr>
        <w:rPr>
          <w:rFonts w:cs="Times New Roman"/>
          <w:b/>
          <w:bCs/>
          <w:szCs w:val="24"/>
        </w:rPr>
      </w:pPr>
      <w:r w:rsidRPr="002B283E">
        <w:rPr>
          <w:rFonts w:cs="Times New Roman"/>
          <w:b/>
          <w:bCs/>
          <w:szCs w:val="24"/>
        </w:rPr>
        <w:br w:type="page"/>
      </w:r>
    </w:p>
    <w:p w14:paraId="274220BD" w14:textId="385AABC6" w:rsidR="006A4CD7" w:rsidRPr="002B283E" w:rsidRDefault="006A4CD7" w:rsidP="002B283E">
      <w:pPr>
        <w:pStyle w:val="Heading2"/>
      </w:pPr>
      <w:bookmarkStart w:id="19" w:name="_Toc221525072"/>
      <w:r w:rsidRPr="002B283E">
        <w:lastRenderedPageBreak/>
        <w:t xml:space="preserve">1.13 </w:t>
      </w:r>
      <w:r w:rsidR="00F421A9" w:rsidRPr="002B283E">
        <w:t>Ruling on Objections</w:t>
      </w:r>
      <w:bookmarkEnd w:id="19"/>
    </w:p>
    <w:p w14:paraId="2EEEAA55" w14:textId="77777777" w:rsidR="006A4CD7" w:rsidRPr="002B283E" w:rsidRDefault="006A4CD7" w:rsidP="002B283E">
      <w:pPr>
        <w:autoSpaceDE w:val="0"/>
        <w:autoSpaceDN w:val="0"/>
        <w:adjustRightInd w:val="0"/>
        <w:rPr>
          <w:rFonts w:cs="Times New Roman"/>
          <w:szCs w:val="24"/>
        </w:rPr>
      </w:pPr>
    </w:p>
    <w:p w14:paraId="15095726" w14:textId="51CF106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2B283E">
        <w:rPr>
          <w:rFonts w:cs="Times New Roman"/>
          <w:szCs w:val="24"/>
        </w:rPr>
        <w:t>answered,</w:t>
      </w:r>
      <w:r w:rsidRPr="002B283E">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2B283E" w:rsidRDefault="006A4CD7" w:rsidP="002B283E">
      <w:pPr>
        <w:autoSpaceDE w:val="0"/>
        <w:autoSpaceDN w:val="0"/>
        <w:adjustRightInd w:val="0"/>
        <w:rPr>
          <w:rFonts w:cs="Times New Roman"/>
          <w:szCs w:val="24"/>
        </w:rPr>
      </w:pPr>
    </w:p>
    <w:p w14:paraId="7E2C5DA3" w14:textId="0FB51FEE" w:rsidR="006A4CD7" w:rsidRPr="002B283E" w:rsidRDefault="006A4CD7" w:rsidP="002B283E">
      <w:pPr>
        <w:autoSpaceDE w:val="0"/>
        <w:autoSpaceDN w:val="0"/>
        <w:adjustRightInd w:val="0"/>
        <w:rPr>
          <w:rFonts w:cs="Times New Roman"/>
          <w:szCs w:val="24"/>
        </w:rPr>
      </w:pPr>
      <w:r w:rsidRPr="002B283E">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2B283E" w:rsidRDefault="006A4CD7" w:rsidP="002B283E">
      <w:pPr>
        <w:autoSpaceDE w:val="0"/>
        <w:autoSpaceDN w:val="0"/>
        <w:adjustRightInd w:val="0"/>
        <w:rPr>
          <w:rFonts w:cs="Times New Roman"/>
          <w:szCs w:val="24"/>
        </w:rPr>
      </w:pPr>
    </w:p>
    <w:p w14:paraId="37761A3E" w14:textId="77777777" w:rsidR="006A4CD7" w:rsidRPr="002B283E" w:rsidRDefault="006A4CD7" w:rsidP="002B283E">
      <w:pPr>
        <w:autoSpaceDE w:val="0"/>
        <w:autoSpaceDN w:val="0"/>
        <w:adjustRightInd w:val="0"/>
        <w:rPr>
          <w:rFonts w:cs="Times New Roman"/>
          <w:szCs w:val="24"/>
        </w:rPr>
      </w:pPr>
    </w:p>
    <w:p w14:paraId="48D99A2F" w14:textId="77777777" w:rsidR="00030A67" w:rsidRPr="002B283E" w:rsidRDefault="00030A67" w:rsidP="002B283E">
      <w:pPr>
        <w:rPr>
          <w:rFonts w:cs="Times New Roman"/>
          <w:b/>
          <w:bCs/>
          <w:szCs w:val="24"/>
        </w:rPr>
      </w:pPr>
      <w:r w:rsidRPr="002B283E">
        <w:rPr>
          <w:rFonts w:cs="Times New Roman"/>
          <w:b/>
          <w:bCs/>
          <w:szCs w:val="24"/>
        </w:rPr>
        <w:br w:type="page"/>
      </w:r>
    </w:p>
    <w:p w14:paraId="5EFCD8DC" w14:textId="2F5F4F4D" w:rsidR="006A4CD7" w:rsidRPr="002B283E" w:rsidRDefault="006A4CD7" w:rsidP="002B283E">
      <w:pPr>
        <w:pStyle w:val="Heading2"/>
      </w:pPr>
      <w:bookmarkStart w:id="20" w:name="_Toc221525073"/>
      <w:r w:rsidRPr="002B283E">
        <w:lastRenderedPageBreak/>
        <w:t xml:space="preserve">1.14 </w:t>
      </w:r>
      <w:r w:rsidR="00F421A9" w:rsidRPr="002B283E">
        <w:t>Credibility of Witnesses</w:t>
      </w:r>
      <w:bookmarkEnd w:id="20"/>
    </w:p>
    <w:p w14:paraId="25185D52" w14:textId="77777777" w:rsidR="006A4CD7" w:rsidRPr="002B283E" w:rsidRDefault="006A4CD7" w:rsidP="002B283E">
      <w:pPr>
        <w:autoSpaceDE w:val="0"/>
        <w:autoSpaceDN w:val="0"/>
        <w:adjustRightInd w:val="0"/>
        <w:rPr>
          <w:rFonts w:cs="Times New Roman"/>
          <w:szCs w:val="24"/>
        </w:rPr>
      </w:pPr>
    </w:p>
    <w:p w14:paraId="32C0CDC2" w14:textId="4AEBD090" w:rsidR="006A4CD7" w:rsidRPr="002B283E" w:rsidRDefault="006A4CD7" w:rsidP="002B283E">
      <w:pPr>
        <w:autoSpaceDE w:val="0"/>
        <w:autoSpaceDN w:val="0"/>
        <w:adjustRightInd w:val="0"/>
        <w:rPr>
          <w:rFonts w:cs="Times New Roman"/>
          <w:szCs w:val="24"/>
        </w:rPr>
      </w:pPr>
      <w:r w:rsidRPr="002B283E">
        <w:rPr>
          <w:rFonts w:cs="Times New Roman"/>
          <w:szCs w:val="24"/>
        </w:rPr>
        <w:tab/>
        <w:t>In deciding the facts in this case, you may have to decide which testimony to believe and which testimony not to believe. You may believe everything a witness says, or part of it, or none of it</w:t>
      </w:r>
      <w:r w:rsidR="00A87F6E">
        <w:rPr>
          <w:rFonts w:cs="Times New Roman"/>
          <w:szCs w:val="24"/>
        </w:rPr>
        <w:t xml:space="preserve">. </w:t>
      </w:r>
    </w:p>
    <w:p w14:paraId="29A26372" w14:textId="77777777" w:rsidR="006A4CD7" w:rsidRPr="002B283E" w:rsidRDefault="006A4CD7" w:rsidP="002B283E">
      <w:pPr>
        <w:autoSpaceDE w:val="0"/>
        <w:autoSpaceDN w:val="0"/>
        <w:adjustRightInd w:val="0"/>
        <w:rPr>
          <w:rFonts w:cs="Times New Roman"/>
          <w:szCs w:val="24"/>
        </w:rPr>
      </w:pPr>
    </w:p>
    <w:p w14:paraId="55CDC95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considering the testimony of any witness, you may take into account:</w:t>
      </w:r>
    </w:p>
    <w:p w14:paraId="52B18F34" w14:textId="77777777" w:rsidR="006A4CD7" w:rsidRPr="002B283E" w:rsidRDefault="006A4CD7" w:rsidP="002B283E">
      <w:pPr>
        <w:autoSpaceDE w:val="0"/>
        <w:autoSpaceDN w:val="0"/>
        <w:adjustRightInd w:val="0"/>
        <w:rPr>
          <w:rFonts w:cs="Times New Roman"/>
          <w:szCs w:val="24"/>
        </w:rPr>
      </w:pPr>
    </w:p>
    <w:p w14:paraId="00CFA91E"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(1)</w:t>
      </w:r>
      <w:r w:rsidRPr="002B283E">
        <w:rPr>
          <w:rFonts w:cs="Times New Roman"/>
          <w:szCs w:val="24"/>
        </w:rPr>
        <w:tab/>
        <w:t>the opportunity and ability of the witness to see or hear or know the things testified to;</w:t>
      </w:r>
    </w:p>
    <w:p w14:paraId="3997949A" w14:textId="77777777" w:rsidR="006A4CD7" w:rsidRPr="002B283E" w:rsidRDefault="006A4CD7" w:rsidP="00C251B9">
      <w:pPr>
        <w:autoSpaceDE w:val="0"/>
        <w:autoSpaceDN w:val="0"/>
        <w:adjustRightInd w:val="0"/>
        <w:ind w:right="920" w:hanging="720"/>
        <w:rPr>
          <w:rFonts w:cs="Times New Roman"/>
          <w:szCs w:val="24"/>
        </w:rPr>
      </w:pPr>
    </w:p>
    <w:p w14:paraId="072CB456"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(2)</w:t>
      </w:r>
      <w:r w:rsidRPr="002B283E">
        <w:rPr>
          <w:rFonts w:cs="Times New Roman"/>
          <w:szCs w:val="24"/>
        </w:rPr>
        <w:tab/>
        <w:t>the witness’s memory;</w:t>
      </w:r>
    </w:p>
    <w:p w14:paraId="590F04C2" w14:textId="77777777" w:rsidR="006A4CD7" w:rsidRPr="002B283E" w:rsidRDefault="006A4CD7" w:rsidP="00C251B9">
      <w:pPr>
        <w:autoSpaceDE w:val="0"/>
        <w:autoSpaceDN w:val="0"/>
        <w:adjustRightInd w:val="0"/>
        <w:ind w:right="920" w:hanging="720"/>
        <w:rPr>
          <w:rFonts w:cs="Times New Roman"/>
          <w:szCs w:val="24"/>
        </w:rPr>
      </w:pPr>
    </w:p>
    <w:p w14:paraId="30366530"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(3)</w:t>
      </w:r>
      <w:r w:rsidRPr="002B283E">
        <w:rPr>
          <w:rFonts w:cs="Times New Roman"/>
          <w:szCs w:val="24"/>
        </w:rPr>
        <w:tab/>
        <w:t>the witness’s manner while testifying;</w:t>
      </w:r>
    </w:p>
    <w:p w14:paraId="31D4ACB1" w14:textId="77777777" w:rsidR="006A4CD7" w:rsidRPr="002B283E" w:rsidRDefault="006A4CD7" w:rsidP="00C251B9">
      <w:pPr>
        <w:autoSpaceDE w:val="0"/>
        <w:autoSpaceDN w:val="0"/>
        <w:adjustRightInd w:val="0"/>
        <w:ind w:right="920" w:hanging="720"/>
        <w:rPr>
          <w:rFonts w:cs="Times New Roman"/>
          <w:szCs w:val="24"/>
        </w:rPr>
      </w:pPr>
    </w:p>
    <w:p w14:paraId="46F1DC5D"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(4)</w:t>
      </w:r>
      <w:r w:rsidRPr="002B283E">
        <w:rPr>
          <w:rFonts w:cs="Times New Roman"/>
          <w:szCs w:val="24"/>
        </w:rPr>
        <w:tab/>
        <w:t>the witness’s interest in the outcome of the case, if any;</w:t>
      </w:r>
    </w:p>
    <w:p w14:paraId="479FC25D" w14:textId="77777777" w:rsidR="006A4CD7" w:rsidRPr="002B283E" w:rsidRDefault="006A4CD7" w:rsidP="00C251B9">
      <w:pPr>
        <w:autoSpaceDE w:val="0"/>
        <w:autoSpaceDN w:val="0"/>
        <w:adjustRightInd w:val="0"/>
        <w:ind w:right="920" w:hanging="720"/>
        <w:rPr>
          <w:rFonts w:cs="Times New Roman"/>
          <w:szCs w:val="24"/>
        </w:rPr>
      </w:pPr>
    </w:p>
    <w:p w14:paraId="56F036CF"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(5)</w:t>
      </w:r>
      <w:r w:rsidRPr="002B283E">
        <w:rPr>
          <w:rFonts w:cs="Times New Roman"/>
          <w:szCs w:val="24"/>
        </w:rPr>
        <w:tab/>
        <w:t>the witness’s bias or prejudice, if any;</w:t>
      </w:r>
    </w:p>
    <w:p w14:paraId="587398E9" w14:textId="77777777" w:rsidR="006A4CD7" w:rsidRPr="002B283E" w:rsidRDefault="006A4CD7" w:rsidP="00C251B9">
      <w:pPr>
        <w:autoSpaceDE w:val="0"/>
        <w:autoSpaceDN w:val="0"/>
        <w:adjustRightInd w:val="0"/>
        <w:ind w:right="920" w:hanging="720"/>
        <w:rPr>
          <w:rFonts w:cs="Times New Roman"/>
          <w:szCs w:val="24"/>
        </w:rPr>
      </w:pPr>
    </w:p>
    <w:p w14:paraId="65BE0A32"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(6)</w:t>
      </w:r>
      <w:r w:rsidRPr="002B283E">
        <w:rPr>
          <w:rFonts w:cs="Times New Roman"/>
          <w:szCs w:val="24"/>
        </w:rPr>
        <w:tab/>
        <w:t>whether other evidence contradicted the witness’s testimony;</w:t>
      </w:r>
    </w:p>
    <w:p w14:paraId="4699FB0D" w14:textId="77777777" w:rsidR="006A4CD7" w:rsidRPr="002B283E" w:rsidRDefault="006A4CD7" w:rsidP="00C251B9">
      <w:pPr>
        <w:autoSpaceDE w:val="0"/>
        <w:autoSpaceDN w:val="0"/>
        <w:adjustRightInd w:val="0"/>
        <w:ind w:right="920" w:hanging="720"/>
        <w:rPr>
          <w:rFonts w:cs="Times New Roman"/>
          <w:szCs w:val="24"/>
        </w:rPr>
      </w:pPr>
    </w:p>
    <w:p w14:paraId="1C41083A"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(7)</w:t>
      </w:r>
      <w:r w:rsidRPr="002B283E">
        <w:rPr>
          <w:rFonts w:cs="Times New Roman"/>
          <w:szCs w:val="24"/>
        </w:rPr>
        <w:tab/>
        <w:t>the reasonableness of the witness’s testimony in light of all the evidence; and</w:t>
      </w:r>
    </w:p>
    <w:p w14:paraId="05E55F22" w14:textId="77777777" w:rsidR="006A4CD7" w:rsidRPr="002B283E" w:rsidRDefault="006A4CD7" w:rsidP="00C251B9">
      <w:pPr>
        <w:autoSpaceDE w:val="0"/>
        <w:autoSpaceDN w:val="0"/>
        <w:adjustRightInd w:val="0"/>
        <w:ind w:right="920" w:hanging="720"/>
        <w:rPr>
          <w:rFonts w:cs="Times New Roman"/>
          <w:szCs w:val="24"/>
        </w:rPr>
      </w:pPr>
    </w:p>
    <w:p w14:paraId="4B7F4875"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(8)</w:t>
      </w:r>
      <w:r w:rsidRPr="002B283E">
        <w:rPr>
          <w:rFonts w:cs="Times New Roman"/>
          <w:szCs w:val="24"/>
        </w:rPr>
        <w:tab/>
        <w:t>any other factors that bear on believability.</w:t>
      </w:r>
    </w:p>
    <w:p w14:paraId="6D0B97AE" w14:textId="77777777" w:rsidR="006A4CD7" w:rsidRPr="002B283E" w:rsidRDefault="006A4CD7" w:rsidP="002B283E">
      <w:pPr>
        <w:autoSpaceDE w:val="0"/>
        <w:autoSpaceDN w:val="0"/>
        <w:adjustRightInd w:val="0"/>
        <w:rPr>
          <w:rFonts w:cs="Times New Roman"/>
          <w:szCs w:val="24"/>
        </w:rPr>
      </w:pPr>
    </w:p>
    <w:p w14:paraId="70C6CC9E" w14:textId="2F602BF0" w:rsidR="006A4CD7" w:rsidRPr="002B283E" w:rsidRDefault="006A4CD7" w:rsidP="002B283E">
      <w:pPr>
        <w:autoSpaceDE w:val="0"/>
        <w:autoSpaceDN w:val="0"/>
        <w:adjustRightInd w:val="0"/>
        <w:rPr>
          <w:rFonts w:cs="Times New Roman"/>
          <w:szCs w:val="24"/>
        </w:rPr>
      </w:pPr>
      <w:r w:rsidRPr="002B283E">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2B283E" w:rsidRDefault="006A4CD7" w:rsidP="002B283E">
      <w:pPr>
        <w:autoSpaceDE w:val="0"/>
        <w:autoSpaceDN w:val="0"/>
        <w:adjustRightInd w:val="0"/>
        <w:rPr>
          <w:rFonts w:cs="Times New Roman"/>
          <w:szCs w:val="24"/>
        </w:rPr>
      </w:pPr>
    </w:p>
    <w:p w14:paraId="6D13737C" w14:textId="17825B6D"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2B283E" w:rsidRDefault="006A4CD7" w:rsidP="002B283E">
      <w:pPr>
        <w:autoSpaceDE w:val="0"/>
        <w:autoSpaceDN w:val="0"/>
        <w:adjustRightInd w:val="0"/>
        <w:rPr>
          <w:rFonts w:cs="Times New Roman"/>
          <w:szCs w:val="24"/>
        </w:rPr>
      </w:pPr>
    </w:p>
    <w:p w14:paraId="6FD497DC" w14:textId="7EFA11C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53716DCE" w:rsidR="006A4CD7" w:rsidRPr="002B283E" w:rsidRDefault="006A4CD7" w:rsidP="002B283E">
      <w:pPr>
        <w:autoSpaceDE w:val="0"/>
        <w:autoSpaceDN w:val="0"/>
        <w:adjustRightInd w:val="0"/>
        <w:rPr>
          <w:rFonts w:cs="Times New Roman"/>
          <w:szCs w:val="24"/>
        </w:rPr>
      </w:pPr>
    </w:p>
    <w:p w14:paraId="0CDA4046" w14:textId="77777777" w:rsidR="000F55A9" w:rsidRPr="002B283E" w:rsidRDefault="000F55A9" w:rsidP="002B283E">
      <w:pPr>
        <w:autoSpaceDE w:val="0"/>
        <w:autoSpaceDN w:val="0"/>
        <w:adjustRightInd w:val="0"/>
        <w:jc w:val="center"/>
        <w:rPr>
          <w:rFonts w:cs="Times New Roman"/>
          <w:b/>
          <w:bCs/>
          <w:szCs w:val="24"/>
        </w:rPr>
      </w:pPr>
      <w:r w:rsidRPr="002B283E">
        <w:rPr>
          <w:rFonts w:cs="Times New Roman"/>
          <w:b/>
          <w:bCs/>
          <w:szCs w:val="24"/>
        </w:rPr>
        <w:t>Comment</w:t>
      </w:r>
    </w:p>
    <w:p w14:paraId="2BE06332" w14:textId="77777777" w:rsidR="000F55A9" w:rsidRPr="002B283E" w:rsidRDefault="000F55A9" w:rsidP="002B283E">
      <w:pPr>
        <w:autoSpaceDE w:val="0"/>
        <w:autoSpaceDN w:val="0"/>
        <w:adjustRightInd w:val="0"/>
        <w:jc w:val="center"/>
        <w:rPr>
          <w:rFonts w:cs="Times New Roman"/>
          <w:szCs w:val="24"/>
        </w:rPr>
      </w:pPr>
    </w:p>
    <w:p w14:paraId="33A7963D" w14:textId="336C9D45" w:rsidR="006A4CD7" w:rsidRPr="002B283E" w:rsidRDefault="000F55A9" w:rsidP="002B283E">
      <w:pPr>
        <w:rPr>
          <w:rFonts w:cs="Times New Roman"/>
          <w:szCs w:val="24"/>
        </w:rPr>
      </w:pPr>
      <w:r w:rsidRPr="002B283E">
        <w:rPr>
          <w:rFonts w:cs="Times New Roman"/>
          <w:szCs w:val="24"/>
        </w:rPr>
        <w:t>            The Committee recommends that the jurors be given some guidelines for determining credibility at the beginning of the trial so that they will know what to look for when witnesses are testifying.</w:t>
      </w:r>
    </w:p>
    <w:p w14:paraId="3F3B70D6" w14:textId="77777777" w:rsidR="00030A67" w:rsidRPr="002B283E" w:rsidRDefault="00030A67" w:rsidP="002B283E">
      <w:pPr>
        <w:rPr>
          <w:rFonts w:cs="Times New Roman"/>
          <w:b/>
          <w:bCs/>
          <w:szCs w:val="24"/>
        </w:rPr>
      </w:pPr>
      <w:r w:rsidRPr="002B283E">
        <w:rPr>
          <w:rFonts w:cs="Times New Roman"/>
          <w:b/>
          <w:bCs/>
          <w:szCs w:val="24"/>
        </w:rPr>
        <w:br w:type="page"/>
      </w:r>
    </w:p>
    <w:p w14:paraId="666490F0" w14:textId="19AF31FA" w:rsidR="006A4CD7" w:rsidRPr="002B283E" w:rsidRDefault="006A4CD7" w:rsidP="002B283E">
      <w:pPr>
        <w:pStyle w:val="Heading2"/>
      </w:pPr>
      <w:bookmarkStart w:id="21" w:name="_Toc221525074"/>
      <w:r w:rsidRPr="002B283E">
        <w:lastRenderedPageBreak/>
        <w:t xml:space="preserve">1.15 </w:t>
      </w:r>
      <w:r w:rsidR="00F421A9" w:rsidRPr="002B283E">
        <w:t>Conduct of the Jury</w:t>
      </w:r>
      <w:bookmarkEnd w:id="21"/>
    </w:p>
    <w:p w14:paraId="3B19472A" w14:textId="77777777" w:rsidR="006A4CD7" w:rsidRPr="002B283E" w:rsidRDefault="006A4CD7" w:rsidP="002B283E">
      <w:pPr>
        <w:autoSpaceDE w:val="0"/>
        <w:autoSpaceDN w:val="0"/>
        <w:adjustRightInd w:val="0"/>
        <w:rPr>
          <w:rFonts w:cs="Times New Roman"/>
          <w:szCs w:val="24"/>
        </w:rPr>
      </w:pPr>
    </w:p>
    <w:p w14:paraId="5F97A8B2" w14:textId="5A88ED70" w:rsidR="003E1A97" w:rsidRPr="002B283E" w:rsidRDefault="003E1A97" w:rsidP="008A04C2">
      <w:pPr>
        <w:pStyle w:val="BodyText"/>
        <w:ind w:firstLine="820"/>
        <w:jc w:val="both"/>
      </w:pPr>
      <w:r w:rsidRPr="002B283E">
        <w:t>I</w:t>
      </w:r>
      <w:r w:rsidRPr="002B283E">
        <w:rPr>
          <w:spacing w:val="-4"/>
        </w:rPr>
        <w:t xml:space="preserve"> </w:t>
      </w:r>
      <w:r w:rsidRPr="002B283E">
        <w:t>will</w:t>
      </w:r>
      <w:r w:rsidRPr="002B283E">
        <w:rPr>
          <w:spacing w:val="-1"/>
        </w:rPr>
        <w:t xml:space="preserve"> </w:t>
      </w:r>
      <w:r w:rsidRPr="002B283E">
        <w:t>now</w:t>
      </w:r>
      <w:r w:rsidRPr="002B283E">
        <w:rPr>
          <w:spacing w:val="-2"/>
        </w:rPr>
        <w:t xml:space="preserve"> </w:t>
      </w:r>
      <w:r w:rsidRPr="002B283E">
        <w:t>say</w:t>
      </w:r>
      <w:r w:rsidRPr="002B283E">
        <w:rPr>
          <w:spacing w:val="-1"/>
        </w:rPr>
        <w:t xml:space="preserve"> </w:t>
      </w:r>
      <w:r w:rsidRPr="002B283E">
        <w:t>a</w:t>
      </w:r>
      <w:r w:rsidRPr="002B283E">
        <w:rPr>
          <w:spacing w:val="-2"/>
        </w:rPr>
        <w:t xml:space="preserve"> </w:t>
      </w:r>
      <w:r w:rsidRPr="002B283E">
        <w:t>few</w:t>
      </w:r>
      <w:r w:rsidRPr="002B283E">
        <w:rPr>
          <w:spacing w:val="-1"/>
        </w:rPr>
        <w:t xml:space="preserve"> </w:t>
      </w:r>
      <w:r w:rsidRPr="002B283E">
        <w:t>words</w:t>
      </w:r>
      <w:r w:rsidRPr="002B283E">
        <w:rPr>
          <w:spacing w:val="-1"/>
        </w:rPr>
        <w:t xml:space="preserve"> </w:t>
      </w:r>
      <w:r w:rsidRPr="002B283E">
        <w:t>about</w:t>
      </w:r>
      <w:r w:rsidRPr="002B283E">
        <w:rPr>
          <w:spacing w:val="-1"/>
        </w:rPr>
        <w:t xml:space="preserve"> </w:t>
      </w:r>
      <w:r w:rsidRPr="002B283E">
        <w:t>your</w:t>
      </w:r>
      <w:r w:rsidRPr="002B283E">
        <w:rPr>
          <w:spacing w:val="-2"/>
        </w:rPr>
        <w:t xml:space="preserve"> </w:t>
      </w:r>
      <w:r w:rsidRPr="002B283E">
        <w:t>conduct</w:t>
      </w:r>
      <w:r w:rsidRPr="002B283E">
        <w:rPr>
          <w:spacing w:val="-1"/>
        </w:rPr>
        <w:t xml:space="preserve"> </w:t>
      </w:r>
      <w:r w:rsidRPr="002B283E">
        <w:t>as</w:t>
      </w:r>
      <w:r w:rsidRPr="002B283E">
        <w:rPr>
          <w:spacing w:val="2"/>
        </w:rPr>
        <w:t xml:space="preserve"> </w:t>
      </w:r>
      <w:r w:rsidRPr="002B283E">
        <w:rPr>
          <w:spacing w:val="-2"/>
        </w:rPr>
        <w:t>jurors.</w:t>
      </w:r>
    </w:p>
    <w:p w14:paraId="582FAB6D" w14:textId="77777777" w:rsidR="003E1A97" w:rsidRPr="002B283E" w:rsidRDefault="003E1A97" w:rsidP="008A04C2">
      <w:pPr>
        <w:pStyle w:val="BodyText"/>
        <w:ind w:firstLine="820"/>
      </w:pPr>
    </w:p>
    <w:p w14:paraId="37D04A9E" w14:textId="77777777" w:rsidR="003E1A97" w:rsidRPr="002B283E" w:rsidRDefault="003E1A97" w:rsidP="008A04C2">
      <w:pPr>
        <w:pStyle w:val="BodyText"/>
        <w:ind w:firstLine="820"/>
      </w:pPr>
      <w:r w:rsidRPr="002B283E">
        <w:t>First,</w:t>
      </w:r>
      <w:r w:rsidRPr="002B283E">
        <w:rPr>
          <w:spacing w:val="-3"/>
        </w:rPr>
        <w:t xml:space="preserve"> </w:t>
      </w:r>
      <w:r w:rsidRPr="002B283E">
        <w:t>keep</w:t>
      </w:r>
      <w:r w:rsidRPr="002B283E">
        <w:rPr>
          <w:spacing w:val="-3"/>
        </w:rPr>
        <w:t xml:space="preserve"> </w:t>
      </w:r>
      <w:r w:rsidRPr="002B283E">
        <w:t>an</w:t>
      </w:r>
      <w:r w:rsidRPr="002B283E">
        <w:rPr>
          <w:spacing w:val="-3"/>
        </w:rPr>
        <w:t xml:space="preserve"> </w:t>
      </w:r>
      <w:r w:rsidRPr="002B283E">
        <w:t>open</w:t>
      </w:r>
      <w:r w:rsidRPr="002B283E">
        <w:rPr>
          <w:spacing w:val="-3"/>
        </w:rPr>
        <w:t xml:space="preserve"> </w:t>
      </w:r>
      <w:r w:rsidRPr="002B283E">
        <w:t>mind</w:t>
      </w:r>
      <w:r w:rsidRPr="002B283E">
        <w:rPr>
          <w:spacing w:val="-1"/>
        </w:rPr>
        <w:t xml:space="preserve"> </w:t>
      </w:r>
      <w:r w:rsidRPr="002B283E">
        <w:t>throughout</w:t>
      </w:r>
      <w:r w:rsidRPr="002B283E">
        <w:rPr>
          <w:spacing w:val="-3"/>
        </w:rPr>
        <w:t xml:space="preserve"> </w:t>
      </w:r>
      <w:r w:rsidRPr="002B283E">
        <w:t>the</w:t>
      </w:r>
      <w:r w:rsidRPr="002B283E">
        <w:rPr>
          <w:spacing w:val="-4"/>
        </w:rPr>
        <w:t xml:space="preserve"> </w:t>
      </w:r>
      <w:r w:rsidRPr="002B283E">
        <w:t>trial,</w:t>
      </w:r>
      <w:r w:rsidRPr="002B283E">
        <w:rPr>
          <w:spacing w:val="-3"/>
        </w:rPr>
        <w:t xml:space="preserve"> </w:t>
      </w:r>
      <w:r w:rsidRPr="002B283E">
        <w:t>and</w:t>
      </w:r>
      <w:r w:rsidRPr="002B283E">
        <w:rPr>
          <w:spacing w:val="-1"/>
        </w:rPr>
        <w:t xml:space="preserve"> </w:t>
      </w:r>
      <w:r w:rsidRPr="002B283E">
        <w:t>do</w:t>
      </w:r>
      <w:r w:rsidRPr="002B283E">
        <w:rPr>
          <w:spacing w:val="-3"/>
        </w:rPr>
        <w:t xml:space="preserve"> </w:t>
      </w:r>
      <w:r w:rsidRPr="002B283E">
        <w:t>not</w:t>
      </w:r>
      <w:r w:rsidRPr="002B283E">
        <w:rPr>
          <w:spacing w:val="-3"/>
        </w:rPr>
        <w:t xml:space="preserve"> </w:t>
      </w:r>
      <w:r w:rsidRPr="002B283E">
        <w:t>decide</w:t>
      </w:r>
      <w:r w:rsidRPr="002B283E">
        <w:rPr>
          <w:spacing w:val="-4"/>
        </w:rPr>
        <w:t xml:space="preserve"> </w:t>
      </w:r>
      <w:r w:rsidRPr="002B283E">
        <w:t>what</w:t>
      </w:r>
      <w:r w:rsidRPr="002B283E">
        <w:rPr>
          <w:spacing w:val="-3"/>
        </w:rPr>
        <w:t xml:space="preserve"> </w:t>
      </w:r>
      <w:r w:rsidRPr="002B283E">
        <w:t>the</w:t>
      </w:r>
      <w:r w:rsidRPr="002B283E">
        <w:rPr>
          <w:spacing w:val="-4"/>
        </w:rPr>
        <w:t xml:space="preserve"> </w:t>
      </w:r>
      <w:r w:rsidRPr="002B283E">
        <w:t>verdict</w:t>
      </w:r>
      <w:r w:rsidRPr="002B283E">
        <w:rPr>
          <w:spacing w:val="-3"/>
        </w:rPr>
        <w:t xml:space="preserve"> </w:t>
      </w:r>
      <w:r w:rsidRPr="002B283E">
        <w:t>should be until you and your fellow jurors have completed your deliberations at the end of the case.</w:t>
      </w:r>
    </w:p>
    <w:p w14:paraId="4CCB56F4" w14:textId="77777777" w:rsidR="003E1A97" w:rsidRPr="002B283E" w:rsidRDefault="003E1A97" w:rsidP="008A04C2">
      <w:pPr>
        <w:pStyle w:val="BodyText"/>
        <w:ind w:firstLine="820"/>
      </w:pPr>
    </w:p>
    <w:p w14:paraId="2FD3BA64" w14:textId="5209BC20" w:rsidR="003E1A97" w:rsidRPr="002B283E" w:rsidRDefault="003E1A97" w:rsidP="008A04C2">
      <w:pPr>
        <w:pStyle w:val="BodyText"/>
        <w:ind w:firstLine="820"/>
      </w:pPr>
      <w:r w:rsidRPr="002B283E">
        <w:t>Second, because you must decide this case based only on the evidence received in the case and on my instructions as to the law that applies, you must not be exposed to any other information</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or</w:t>
      </w:r>
      <w:r w:rsidRPr="002B283E">
        <w:rPr>
          <w:spacing w:val="-4"/>
        </w:rPr>
        <w:t xml:space="preserve"> </w:t>
      </w:r>
      <w:r w:rsidRPr="002B283E">
        <w:t>to</w:t>
      </w:r>
      <w:r w:rsidRPr="002B283E">
        <w:rPr>
          <w:spacing w:val="-3"/>
        </w:rPr>
        <w:t xml:space="preserve"> </w:t>
      </w:r>
      <w:r w:rsidRPr="002B283E">
        <w:t>the</w:t>
      </w:r>
      <w:r w:rsidRPr="002B283E">
        <w:rPr>
          <w:spacing w:val="-4"/>
        </w:rPr>
        <w:t xml:space="preserve"> </w:t>
      </w:r>
      <w:r w:rsidRPr="002B283E">
        <w:t>issues</w:t>
      </w:r>
      <w:r w:rsidRPr="002B283E">
        <w:rPr>
          <w:spacing w:val="-3"/>
        </w:rPr>
        <w:t xml:space="preserve"> </w:t>
      </w:r>
      <w:r w:rsidRPr="002B283E">
        <w:t>it</w:t>
      </w:r>
      <w:r w:rsidRPr="002B283E">
        <w:rPr>
          <w:spacing w:val="-3"/>
        </w:rPr>
        <w:t xml:space="preserve"> </w:t>
      </w:r>
      <w:r w:rsidRPr="002B283E">
        <w:t>involves</w:t>
      </w:r>
      <w:r w:rsidRPr="002B283E">
        <w:rPr>
          <w:spacing w:val="-3"/>
        </w:rPr>
        <w:t xml:space="preserve"> </w:t>
      </w:r>
      <w:r w:rsidRPr="002B283E">
        <w:t>during</w:t>
      </w:r>
      <w:r w:rsidRPr="002B283E">
        <w:rPr>
          <w:spacing w:val="-3"/>
        </w:rPr>
        <w:t xml:space="preserve"> </w:t>
      </w:r>
      <w:r w:rsidRPr="002B283E">
        <w:t>the</w:t>
      </w:r>
      <w:r w:rsidRPr="002B283E">
        <w:rPr>
          <w:spacing w:val="-4"/>
        </w:rPr>
        <w:t xml:space="preserve"> </w:t>
      </w:r>
      <w:r w:rsidRPr="002B283E">
        <w:t>course</w:t>
      </w:r>
      <w:r w:rsidRPr="002B283E">
        <w:rPr>
          <w:spacing w:val="-4"/>
        </w:rPr>
        <w:t xml:space="preserve"> </w:t>
      </w:r>
      <w:r w:rsidRPr="002B283E">
        <w:t>of</w:t>
      </w:r>
      <w:r w:rsidRPr="002B283E">
        <w:rPr>
          <w:spacing w:val="-2"/>
        </w:rPr>
        <w:t xml:space="preserve"> </w:t>
      </w:r>
      <w:r w:rsidRPr="002B283E">
        <w:t>your</w:t>
      </w:r>
      <w:r w:rsidRPr="002B283E">
        <w:rPr>
          <w:spacing w:val="-4"/>
        </w:rPr>
        <w:t xml:space="preserve"> </w:t>
      </w:r>
      <w:r w:rsidRPr="002B283E">
        <w:t>jury</w:t>
      </w:r>
      <w:r w:rsidRPr="002B283E">
        <w:rPr>
          <w:spacing w:val="-3"/>
        </w:rPr>
        <w:t xml:space="preserve"> </w:t>
      </w:r>
      <w:r w:rsidRPr="002B283E">
        <w:t>duty.</w:t>
      </w:r>
      <w:r w:rsidR="00F1370F">
        <w:rPr>
          <w:spacing w:val="40"/>
        </w:rPr>
        <w:t xml:space="preserve"> </w:t>
      </w:r>
      <w:r w:rsidRPr="002B283E">
        <w:t>Thus, until the end of the case or unless I tell you otherwise:</w:t>
      </w:r>
    </w:p>
    <w:p w14:paraId="68A24972" w14:textId="77777777" w:rsidR="003E1A97" w:rsidRPr="002B283E" w:rsidRDefault="003E1A97" w:rsidP="008A04C2">
      <w:pPr>
        <w:pStyle w:val="BodyText"/>
        <w:ind w:firstLine="820"/>
      </w:pPr>
    </w:p>
    <w:p w14:paraId="34E88051" w14:textId="6DD7C3FE" w:rsidR="003E1A97" w:rsidRPr="002B283E" w:rsidRDefault="003E1A97" w:rsidP="002B283E">
      <w:pPr>
        <w:pStyle w:val="BodyText"/>
        <w:ind w:left="820" w:right="814"/>
        <w:jc w:val="both"/>
      </w:pPr>
      <w:r w:rsidRPr="002B283E">
        <w:t>Do not communicate with anyone in any way and do not let anyone else communicate with you in any way about the merits of the case or anything to do with</w:t>
      </w:r>
      <w:r w:rsidRPr="002B283E">
        <w:rPr>
          <w:spacing w:val="-5"/>
        </w:rPr>
        <w:t xml:space="preserve"> </w:t>
      </w:r>
      <w:r w:rsidRPr="002B283E">
        <w:t>it.</w:t>
      </w:r>
      <w:r w:rsidR="00F1370F">
        <w:rPr>
          <w:spacing w:val="40"/>
        </w:rPr>
        <w:t xml:space="preserve"> </w:t>
      </w:r>
      <w:r w:rsidRPr="002B283E">
        <w:t>This</w:t>
      </w:r>
      <w:r w:rsidRPr="002B283E">
        <w:rPr>
          <w:spacing w:val="-5"/>
        </w:rPr>
        <w:t xml:space="preserve"> </w:t>
      </w:r>
      <w:r w:rsidRPr="002B283E">
        <w:t>includes</w:t>
      </w:r>
      <w:r w:rsidRPr="002B283E">
        <w:rPr>
          <w:spacing w:val="-5"/>
        </w:rPr>
        <w:t xml:space="preserve"> </w:t>
      </w:r>
      <w:r w:rsidRPr="002B283E">
        <w:t>discussing</w:t>
      </w:r>
      <w:r w:rsidRPr="002B283E">
        <w:rPr>
          <w:spacing w:val="-5"/>
        </w:rPr>
        <w:t xml:space="preserve"> </w:t>
      </w:r>
      <w:r w:rsidRPr="002B283E">
        <w:t>the</w:t>
      </w:r>
      <w:r w:rsidRPr="002B283E">
        <w:rPr>
          <w:spacing w:val="-6"/>
        </w:rPr>
        <w:t xml:space="preserve"> </w:t>
      </w:r>
      <w:r w:rsidRPr="002B283E">
        <w:t>case</w:t>
      </w:r>
      <w:r w:rsidRPr="002B283E">
        <w:rPr>
          <w:spacing w:val="-6"/>
        </w:rPr>
        <w:t xml:space="preserve"> </w:t>
      </w:r>
      <w:r w:rsidRPr="002B283E">
        <w:t>in</w:t>
      </w:r>
      <w:r w:rsidRPr="002B283E">
        <w:rPr>
          <w:spacing w:val="-5"/>
        </w:rPr>
        <w:t xml:space="preserve"> </w:t>
      </w:r>
      <w:r w:rsidRPr="002B283E">
        <w:t>person,</w:t>
      </w:r>
      <w:r w:rsidRPr="002B283E">
        <w:rPr>
          <w:spacing w:val="-5"/>
        </w:rPr>
        <w:t xml:space="preserve"> </w:t>
      </w:r>
      <w:r w:rsidRPr="002B283E">
        <w:t>in</w:t>
      </w:r>
      <w:r w:rsidRPr="002B283E">
        <w:rPr>
          <w:spacing w:val="-5"/>
        </w:rPr>
        <w:t xml:space="preserve"> </w:t>
      </w:r>
      <w:r w:rsidRPr="002B283E">
        <w:t>writing,</w:t>
      </w:r>
      <w:r w:rsidRPr="002B283E">
        <w:rPr>
          <w:spacing w:val="-5"/>
        </w:rPr>
        <w:t xml:space="preserve"> </w:t>
      </w:r>
      <w:r w:rsidRPr="002B283E">
        <w:t>by</w:t>
      </w:r>
      <w:r w:rsidRPr="002B283E">
        <w:rPr>
          <w:spacing w:val="-5"/>
        </w:rPr>
        <w:t xml:space="preserve"> </w:t>
      </w:r>
      <w:r w:rsidRPr="002B283E">
        <w:t>phone,</w:t>
      </w:r>
      <w:r w:rsidRPr="002B283E">
        <w:rPr>
          <w:spacing w:val="-5"/>
        </w:rPr>
        <w:t xml:space="preserve"> </w:t>
      </w:r>
      <w:r w:rsidRPr="002B283E">
        <w:t>tablet,</w:t>
      </w:r>
      <w:r w:rsidRPr="002B283E">
        <w:rPr>
          <w:spacing w:val="-5"/>
        </w:rPr>
        <w:t xml:space="preserve"> </w:t>
      </w:r>
      <w:r w:rsidRPr="002B283E">
        <w:t>or computer,</w:t>
      </w:r>
      <w:r w:rsidRPr="002B283E">
        <w:rPr>
          <w:spacing w:val="-5"/>
        </w:rPr>
        <w:t xml:space="preserve"> </w:t>
      </w:r>
      <w:r w:rsidRPr="002B283E">
        <w:t>or</w:t>
      </w:r>
      <w:r w:rsidRPr="002B283E">
        <w:rPr>
          <w:spacing w:val="-6"/>
        </w:rPr>
        <w:t xml:space="preserve"> </w:t>
      </w:r>
      <w:r w:rsidRPr="002B283E">
        <w:t>any</w:t>
      </w:r>
      <w:r w:rsidRPr="002B283E">
        <w:rPr>
          <w:spacing w:val="-5"/>
        </w:rPr>
        <w:t xml:space="preserve"> </w:t>
      </w:r>
      <w:r w:rsidRPr="002B283E">
        <w:t>other</w:t>
      </w:r>
      <w:r w:rsidRPr="002B283E">
        <w:rPr>
          <w:spacing w:val="-6"/>
        </w:rPr>
        <w:t xml:space="preserve"> </w:t>
      </w:r>
      <w:r w:rsidRPr="002B283E">
        <w:t>electronic</w:t>
      </w:r>
      <w:r w:rsidRPr="002B283E">
        <w:rPr>
          <w:spacing w:val="-6"/>
        </w:rPr>
        <w:t xml:space="preserve"> </w:t>
      </w:r>
      <w:r w:rsidRPr="002B283E">
        <w:t>means,</w:t>
      </w:r>
      <w:r w:rsidRPr="002B283E">
        <w:rPr>
          <w:spacing w:val="-5"/>
        </w:rPr>
        <w:t xml:space="preserve"> </w:t>
      </w:r>
      <w:r w:rsidRPr="002B283E">
        <w:t>via</w:t>
      </w:r>
      <w:r w:rsidRPr="002B283E">
        <w:rPr>
          <w:spacing w:val="-6"/>
        </w:rPr>
        <w:t xml:space="preserve"> </w:t>
      </w:r>
      <w:r w:rsidRPr="002B283E">
        <w:t>email,</w:t>
      </w:r>
      <w:r w:rsidRPr="002B283E">
        <w:rPr>
          <w:spacing w:val="-5"/>
        </w:rPr>
        <w:t xml:space="preserve"> </w:t>
      </w:r>
      <w:r w:rsidRPr="002B283E">
        <w:t>text</w:t>
      </w:r>
      <w:r w:rsidRPr="002B283E">
        <w:rPr>
          <w:spacing w:val="-5"/>
        </w:rPr>
        <w:t xml:space="preserve"> </w:t>
      </w:r>
      <w:r w:rsidRPr="002B283E">
        <w:t>messaging,</w:t>
      </w:r>
      <w:r w:rsidRPr="002B283E">
        <w:rPr>
          <w:spacing w:val="-5"/>
        </w:rPr>
        <w:t xml:space="preserve"> </w:t>
      </w:r>
      <w:r w:rsidRPr="002B283E">
        <w:t>or</w:t>
      </w:r>
      <w:r w:rsidRPr="002B283E">
        <w:rPr>
          <w:spacing w:val="-8"/>
        </w:rPr>
        <w:t xml:space="preserve"> </w:t>
      </w:r>
      <w:r w:rsidRPr="002B283E">
        <w:t>any</w:t>
      </w:r>
      <w:r w:rsidRPr="002B283E">
        <w:rPr>
          <w:spacing w:val="-5"/>
        </w:rPr>
        <w:t xml:space="preserve"> </w:t>
      </w:r>
      <w:r w:rsidRPr="002B283E">
        <w:t>internet chat room, blog, website or application, including but not limited to Facebook, YouTube, the platform “X” formerly known as</w:t>
      </w:r>
      <w:r w:rsidR="00F1370F" w:rsidRPr="008A04C2">
        <w:rPr>
          <w:u w:color="D13438"/>
        </w:rPr>
        <w:t xml:space="preserve"> </w:t>
      </w:r>
      <w:r w:rsidRPr="002B283E">
        <w:t>Twitter, Instagram, LinkedIn, Snapchat, TikTok, or any other forms of social media.</w:t>
      </w:r>
      <w:r w:rsidRPr="002B283E">
        <w:rPr>
          <w:spacing w:val="40"/>
        </w:rPr>
        <w:t xml:space="preserve"> </w:t>
      </w:r>
      <w:r w:rsidRPr="002B283E">
        <w:t>This applies to communicating with your fellow jurors until I give you the case for deliberation, and it applies to communicating with everyone else including your family members, your employer, the media or press, and the people involved in the trial, although</w:t>
      </w:r>
      <w:r w:rsidRPr="002B283E">
        <w:rPr>
          <w:spacing w:val="-5"/>
        </w:rPr>
        <w:t xml:space="preserve"> </w:t>
      </w:r>
      <w:r w:rsidRPr="002B283E">
        <w:t>you</w:t>
      </w:r>
      <w:r w:rsidRPr="002B283E">
        <w:rPr>
          <w:spacing w:val="-5"/>
        </w:rPr>
        <w:t xml:space="preserve"> </w:t>
      </w:r>
      <w:r w:rsidRPr="002B283E">
        <w:t>may</w:t>
      </w:r>
      <w:r w:rsidRPr="002B283E">
        <w:rPr>
          <w:spacing w:val="-5"/>
        </w:rPr>
        <w:t xml:space="preserve"> </w:t>
      </w:r>
      <w:r w:rsidRPr="002B283E">
        <w:t>notify</w:t>
      </w:r>
      <w:r w:rsidRPr="002B283E">
        <w:rPr>
          <w:spacing w:val="-5"/>
        </w:rPr>
        <w:t xml:space="preserve"> </w:t>
      </w:r>
      <w:r w:rsidRPr="002B283E">
        <w:t>your</w:t>
      </w:r>
      <w:r w:rsidRPr="002B283E">
        <w:rPr>
          <w:spacing w:val="-6"/>
        </w:rPr>
        <w:t xml:space="preserve"> </w:t>
      </w:r>
      <w:r w:rsidRPr="002B283E">
        <w:t>family</w:t>
      </w:r>
      <w:r w:rsidRPr="002B283E">
        <w:rPr>
          <w:spacing w:val="-5"/>
        </w:rPr>
        <w:t xml:space="preserve"> </w:t>
      </w:r>
      <w:r w:rsidRPr="002B283E">
        <w:t>and</w:t>
      </w:r>
      <w:r w:rsidRPr="002B283E">
        <w:rPr>
          <w:spacing w:val="-5"/>
        </w:rPr>
        <w:t xml:space="preserve"> </w:t>
      </w:r>
      <w:r w:rsidRPr="002B283E">
        <w:t>your</w:t>
      </w:r>
      <w:r w:rsidRPr="002B283E">
        <w:rPr>
          <w:spacing w:val="-6"/>
        </w:rPr>
        <w:t xml:space="preserve"> </w:t>
      </w:r>
      <w:r w:rsidRPr="002B283E">
        <w:t>employer</w:t>
      </w:r>
      <w:r w:rsidRPr="002B283E">
        <w:rPr>
          <w:spacing w:val="-6"/>
        </w:rPr>
        <w:t xml:space="preserve"> </w:t>
      </w:r>
      <w:r w:rsidRPr="002B283E">
        <w:t>that</w:t>
      </w:r>
      <w:r w:rsidRPr="002B283E">
        <w:rPr>
          <w:spacing w:val="-4"/>
        </w:rPr>
        <w:t xml:space="preserve"> </w:t>
      </w:r>
      <w:r w:rsidRPr="002B283E">
        <w:t>you</w:t>
      </w:r>
      <w:r w:rsidRPr="002B283E">
        <w:rPr>
          <w:spacing w:val="-5"/>
        </w:rPr>
        <w:t xml:space="preserve"> </w:t>
      </w:r>
      <w:r w:rsidRPr="002B283E">
        <w:t>have</w:t>
      </w:r>
      <w:r w:rsidRPr="002B283E">
        <w:rPr>
          <w:spacing w:val="-6"/>
        </w:rPr>
        <w:t xml:space="preserve"> </w:t>
      </w:r>
      <w:r w:rsidRPr="002B283E">
        <w:t>been</w:t>
      </w:r>
      <w:r w:rsidRPr="002B283E">
        <w:rPr>
          <w:spacing w:val="-5"/>
        </w:rPr>
        <w:t xml:space="preserve"> </w:t>
      </w:r>
      <w:r w:rsidRPr="002B283E">
        <w:t>seated as</w:t>
      </w:r>
      <w:r w:rsidRPr="002B283E">
        <w:rPr>
          <w:spacing w:val="-12"/>
        </w:rPr>
        <w:t xml:space="preserve"> </w:t>
      </w:r>
      <w:r w:rsidRPr="002B283E">
        <w:t>a</w:t>
      </w:r>
      <w:r w:rsidRPr="002B283E">
        <w:rPr>
          <w:spacing w:val="-13"/>
        </w:rPr>
        <w:t xml:space="preserve"> </w:t>
      </w:r>
      <w:r w:rsidRPr="002B283E">
        <w:t>juror</w:t>
      </w:r>
      <w:r w:rsidRPr="002B283E">
        <w:rPr>
          <w:spacing w:val="-13"/>
        </w:rPr>
        <w:t xml:space="preserve"> </w:t>
      </w:r>
      <w:r w:rsidRPr="002B283E">
        <w:t>in</w:t>
      </w:r>
      <w:r w:rsidRPr="002B283E">
        <w:rPr>
          <w:spacing w:val="-12"/>
        </w:rPr>
        <w:t xml:space="preserve"> </w:t>
      </w:r>
      <w:r w:rsidRPr="002B283E">
        <w:t>the</w:t>
      </w:r>
      <w:r w:rsidRPr="002B283E">
        <w:rPr>
          <w:spacing w:val="-11"/>
        </w:rPr>
        <w:t xml:space="preserve"> </w:t>
      </w:r>
      <w:r w:rsidRPr="002B283E">
        <w:t>case,</w:t>
      </w:r>
      <w:r w:rsidRPr="002B283E">
        <w:rPr>
          <w:spacing w:val="-10"/>
        </w:rPr>
        <w:t xml:space="preserve"> </w:t>
      </w:r>
      <w:r w:rsidRPr="002B283E">
        <w:t>and</w:t>
      </w:r>
      <w:r w:rsidRPr="002B283E">
        <w:rPr>
          <w:spacing w:val="-10"/>
        </w:rPr>
        <w:t xml:space="preserve"> </w:t>
      </w:r>
      <w:r w:rsidRPr="002B283E">
        <w:t>how</w:t>
      </w:r>
      <w:r w:rsidRPr="002B283E">
        <w:rPr>
          <w:spacing w:val="-13"/>
        </w:rPr>
        <w:t xml:space="preserve"> </w:t>
      </w:r>
      <w:r w:rsidRPr="002B283E">
        <w:t>long</w:t>
      </w:r>
      <w:r w:rsidRPr="002B283E">
        <w:rPr>
          <w:spacing w:val="-12"/>
        </w:rPr>
        <w:t xml:space="preserve"> </w:t>
      </w:r>
      <w:r w:rsidRPr="002B283E">
        <w:t>you</w:t>
      </w:r>
      <w:r w:rsidRPr="002B283E">
        <w:rPr>
          <w:spacing w:val="-12"/>
        </w:rPr>
        <w:t xml:space="preserve"> </w:t>
      </w:r>
      <w:r w:rsidRPr="002B283E">
        <w:t>expect</w:t>
      </w:r>
      <w:r w:rsidRPr="002B283E">
        <w:rPr>
          <w:spacing w:val="-12"/>
        </w:rPr>
        <w:t xml:space="preserve"> </w:t>
      </w:r>
      <w:r w:rsidRPr="002B283E">
        <w:t>the</w:t>
      </w:r>
      <w:r w:rsidRPr="002B283E">
        <w:rPr>
          <w:spacing w:val="-13"/>
        </w:rPr>
        <w:t xml:space="preserve"> </w:t>
      </w:r>
      <w:r w:rsidRPr="002B283E">
        <w:t>trial</w:t>
      </w:r>
      <w:r w:rsidRPr="002B283E">
        <w:rPr>
          <w:spacing w:val="-12"/>
        </w:rPr>
        <w:t xml:space="preserve"> </w:t>
      </w:r>
      <w:r w:rsidRPr="002B283E">
        <w:t>to</w:t>
      </w:r>
      <w:r w:rsidRPr="002B283E">
        <w:rPr>
          <w:spacing w:val="-12"/>
        </w:rPr>
        <w:t xml:space="preserve"> </w:t>
      </w:r>
      <w:r w:rsidRPr="002B283E">
        <w:t>last.</w:t>
      </w:r>
      <w:r w:rsidRPr="002B283E">
        <w:rPr>
          <w:spacing w:val="37"/>
        </w:rPr>
        <w:t xml:space="preserve"> </w:t>
      </w:r>
      <w:r w:rsidRPr="002B283E">
        <w:t>But,</w:t>
      </w:r>
      <w:r w:rsidRPr="002B283E">
        <w:rPr>
          <w:spacing w:val="-12"/>
        </w:rPr>
        <w:t xml:space="preserve"> </w:t>
      </w:r>
      <w:r w:rsidRPr="002B283E">
        <w:t>if</w:t>
      </w:r>
      <w:r w:rsidRPr="002B283E">
        <w:rPr>
          <w:spacing w:val="-13"/>
        </w:rPr>
        <w:t xml:space="preserve"> </w:t>
      </w:r>
      <w:r w:rsidRPr="002B283E">
        <w:t>you</w:t>
      </w:r>
      <w:r w:rsidRPr="002B283E">
        <w:rPr>
          <w:spacing w:val="-12"/>
        </w:rPr>
        <w:t xml:space="preserve"> </w:t>
      </w:r>
      <w:r w:rsidRPr="002B283E">
        <w:t>are</w:t>
      </w:r>
      <w:r w:rsidRPr="002B283E">
        <w:rPr>
          <w:spacing w:val="-13"/>
        </w:rPr>
        <w:t xml:space="preserve"> </w:t>
      </w:r>
      <w:r w:rsidRPr="002B283E">
        <w:t>asked or</w:t>
      </w:r>
      <w:r w:rsidRPr="002B283E">
        <w:rPr>
          <w:spacing w:val="-1"/>
        </w:rPr>
        <w:t xml:space="preserve"> </w:t>
      </w:r>
      <w:r w:rsidRPr="002B283E">
        <w:t>approached in any way about your jury service or anything about this case, you must respond that you have been ordered not to discuss the matter and report the contact to the court.</w:t>
      </w:r>
    </w:p>
    <w:p w14:paraId="568F7E76" w14:textId="77777777" w:rsidR="003E1A97" w:rsidRPr="002B283E" w:rsidRDefault="003E1A97" w:rsidP="002B283E">
      <w:pPr>
        <w:pStyle w:val="BodyText"/>
      </w:pPr>
    </w:p>
    <w:p w14:paraId="59F3694E" w14:textId="4F0E06EC" w:rsidR="003E1A97" w:rsidRPr="002B283E" w:rsidRDefault="003E1A97" w:rsidP="002B283E">
      <w:pPr>
        <w:pStyle w:val="BodyText"/>
        <w:ind w:left="820" w:right="815"/>
        <w:jc w:val="both"/>
      </w:pPr>
      <w:r w:rsidRPr="002B283E">
        <w:t>Because you will receive all the evidence and legal instruction you properly may consider to return a verdict:</w:t>
      </w:r>
      <w:r w:rsidRPr="002B283E">
        <w:rPr>
          <w:spacing w:val="40"/>
        </w:rPr>
        <w:t xml:space="preserve"> </w:t>
      </w:r>
      <w:r w:rsidRPr="002B283E">
        <w:t>do not read, watch</w:t>
      </w:r>
      <w:r w:rsidR="00F1370F">
        <w:t>,</w:t>
      </w:r>
      <w:r w:rsidRPr="002B283E">
        <w:t xml:space="preserve"> or listen to any news or media accounts or commentary about the case or anything to do with it[,</w:t>
      </w:r>
      <w:r w:rsidR="00F1370F">
        <w:t xml:space="preserve"> </w:t>
      </w:r>
      <w:r w:rsidRPr="002B283E">
        <w:t>although I have no information that there will be news reports about this case]; do not do any research, such as consulting dictionaries, searching the Internet, or using other reference materials; and do not make any investigation or in any other way try to learn about the case</w:t>
      </w:r>
      <w:r w:rsidRPr="002B283E">
        <w:rPr>
          <w:spacing w:val="-1"/>
        </w:rPr>
        <w:t xml:space="preserve"> </w:t>
      </w:r>
      <w:r w:rsidRPr="002B283E">
        <w:t>on your</w:t>
      </w:r>
      <w:r w:rsidRPr="002B283E">
        <w:rPr>
          <w:spacing w:val="-1"/>
        </w:rPr>
        <w:t xml:space="preserve"> </w:t>
      </w:r>
      <w:r w:rsidRPr="002B283E">
        <w:t>own.</w:t>
      </w:r>
      <w:r w:rsidRPr="002B283E">
        <w:rPr>
          <w:spacing w:val="40"/>
        </w:rPr>
        <w:t xml:space="preserve"> </w:t>
      </w:r>
      <w:r w:rsidRPr="002B283E">
        <w:t>Do not visit or</w:t>
      </w:r>
      <w:r w:rsidRPr="002B283E">
        <w:rPr>
          <w:spacing w:val="-1"/>
        </w:rPr>
        <w:t xml:space="preserve"> </w:t>
      </w:r>
      <w:r w:rsidRPr="002B283E">
        <w:t>view</w:t>
      </w:r>
      <w:r w:rsidRPr="002B283E">
        <w:rPr>
          <w:spacing w:val="-1"/>
        </w:rPr>
        <w:t xml:space="preserve"> </w:t>
      </w:r>
      <w:r w:rsidRPr="002B283E">
        <w:t>any place</w:t>
      </w:r>
      <w:r w:rsidRPr="002B283E">
        <w:rPr>
          <w:spacing w:val="-1"/>
        </w:rPr>
        <w:t xml:space="preserve"> </w:t>
      </w:r>
      <w:r w:rsidRPr="002B283E">
        <w:t>discussed in this case, and do not use the Internet or any other resource to search for or view any place discussed during the trial.</w:t>
      </w:r>
      <w:r w:rsidRPr="002B283E">
        <w:rPr>
          <w:spacing w:val="40"/>
        </w:rPr>
        <w:t xml:space="preserve"> </w:t>
      </w:r>
      <w:r w:rsidRPr="002B283E">
        <w:t>Also, do not do any research about this case, the law, or the people involved—including the</w:t>
      </w:r>
      <w:r w:rsidRPr="002B283E">
        <w:rPr>
          <w:spacing w:val="-1"/>
        </w:rPr>
        <w:t xml:space="preserve"> </w:t>
      </w:r>
      <w:r w:rsidRPr="002B283E">
        <w:t>parties, the</w:t>
      </w:r>
      <w:r w:rsidRPr="002B283E">
        <w:rPr>
          <w:spacing w:val="-1"/>
        </w:rPr>
        <w:t xml:space="preserve"> </w:t>
      </w:r>
      <w:r w:rsidRPr="002B283E">
        <w:t>witnesses or the</w:t>
      </w:r>
      <w:r w:rsidRPr="002B283E">
        <w:rPr>
          <w:spacing w:val="-1"/>
        </w:rPr>
        <w:t xml:space="preserve"> </w:t>
      </w:r>
      <w:r w:rsidRPr="002B283E">
        <w:t>lawyers— until you have been excused as jurors. If you happen to read or hear anything touching</w:t>
      </w:r>
      <w:r w:rsidRPr="002B283E">
        <w:rPr>
          <w:spacing w:val="-15"/>
        </w:rPr>
        <w:t xml:space="preserve"> </w:t>
      </w:r>
      <w:r w:rsidRPr="002B283E">
        <w:t>on</w:t>
      </w:r>
      <w:r w:rsidRPr="002B283E">
        <w:rPr>
          <w:spacing w:val="-13"/>
        </w:rPr>
        <w:t xml:space="preserve"> </w:t>
      </w:r>
      <w:r w:rsidRPr="002B283E">
        <w:t>this</w:t>
      </w:r>
      <w:r w:rsidRPr="002B283E">
        <w:rPr>
          <w:spacing w:val="-12"/>
        </w:rPr>
        <w:t xml:space="preserve"> </w:t>
      </w:r>
      <w:r w:rsidRPr="002B283E">
        <w:t>case</w:t>
      </w:r>
      <w:r w:rsidRPr="002B283E">
        <w:rPr>
          <w:spacing w:val="-12"/>
        </w:rPr>
        <w:t xml:space="preserve"> </w:t>
      </w:r>
      <w:r w:rsidRPr="002B283E">
        <w:t>in</w:t>
      </w:r>
      <w:r w:rsidRPr="002B283E">
        <w:rPr>
          <w:spacing w:val="-12"/>
        </w:rPr>
        <w:t xml:space="preserve"> </w:t>
      </w:r>
      <w:r w:rsidRPr="002B283E">
        <w:t>the</w:t>
      </w:r>
      <w:r w:rsidRPr="002B283E">
        <w:rPr>
          <w:spacing w:val="-14"/>
        </w:rPr>
        <w:t xml:space="preserve"> </w:t>
      </w:r>
      <w:r w:rsidRPr="002B283E">
        <w:t>media,</w:t>
      </w:r>
      <w:r w:rsidRPr="002B283E">
        <w:rPr>
          <w:spacing w:val="-12"/>
        </w:rPr>
        <w:t xml:space="preserve"> </w:t>
      </w:r>
      <w:r w:rsidRPr="002B283E">
        <w:t>turn</w:t>
      </w:r>
      <w:r w:rsidRPr="002B283E">
        <w:rPr>
          <w:spacing w:val="-11"/>
        </w:rPr>
        <w:t xml:space="preserve"> </w:t>
      </w:r>
      <w:r w:rsidRPr="002B283E">
        <w:t>away</w:t>
      </w:r>
      <w:r w:rsidRPr="002B283E">
        <w:rPr>
          <w:spacing w:val="-12"/>
        </w:rPr>
        <w:t xml:space="preserve"> </w:t>
      </w:r>
      <w:r w:rsidRPr="002B283E">
        <w:t>and</w:t>
      </w:r>
      <w:r w:rsidRPr="002B283E">
        <w:rPr>
          <w:spacing w:val="-11"/>
        </w:rPr>
        <w:t xml:space="preserve"> </w:t>
      </w:r>
      <w:r w:rsidRPr="002B283E">
        <w:t>report</w:t>
      </w:r>
      <w:r w:rsidRPr="002B283E">
        <w:rPr>
          <w:spacing w:val="-12"/>
        </w:rPr>
        <w:t xml:space="preserve"> </w:t>
      </w:r>
      <w:r w:rsidRPr="002B283E">
        <w:t>it</w:t>
      </w:r>
      <w:r w:rsidRPr="002B283E">
        <w:rPr>
          <w:spacing w:val="-13"/>
        </w:rPr>
        <w:t xml:space="preserve"> </w:t>
      </w:r>
      <w:r w:rsidRPr="002B283E">
        <w:t>to</w:t>
      </w:r>
      <w:r w:rsidRPr="002B283E">
        <w:rPr>
          <w:spacing w:val="-12"/>
        </w:rPr>
        <w:t xml:space="preserve"> </w:t>
      </w:r>
      <w:r w:rsidRPr="002B283E">
        <w:t>me</w:t>
      </w:r>
      <w:r w:rsidRPr="002B283E">
        <w:rPr>
          <w:spacing w:val="-12"/>
        </w:rPr>
        <w:t xml:space="preserve"> </w:t>
      </w:r>
      <w:r w:rsidRPr="002B283E">
        <w:t>as</w:t>
      </w:r>
      <w:r w:rsidRPr="002B283E">
        <w:rPr>
          <w:spacing w:val="-12"/>
        </w:rPr>
        <w:t xml:space="preserve"> </w:t>
      </w:r>
      <w:r w:rsidRPr="002B283E">
        <w:t>soon</w:t>
      </w:r>
      <w:r w:rsidRPr="002B283E">
        <w:rPr>
          <w:spacing w:val="-13"/>
        </w:rPr>
        <w:t xml:space="preserve"> </w:t>
      </w:r>
      <w:r w:rsidRPr="002B283E">
        <w:t>as</w:t>
      </w:r>
      <w:r w:rsidRPr="002B283E">
        <w:rPr>
          <w:spacing w:val="-10"/>
        </w:rPr>
        <w:t xml:space="preserve"> </w:t>
      </w:r>
      <w:r w:rsidRPr="002B283E">
        <w:rPr>
          <w:spacing w:val="-2"/>
        </w:rPr>
        <w:t>possible.</w:t>
      </w:r>
    </w:p>
    <w:p w14:paraId="6A1BB983" w14:textId="77777777" w:rsidR="003E1A97" w:rsidRPr="002B283E" w:rsidRDefault="003E1A97" w:rsidP="002B283E">
      <w:pPr>
        <w:pStyle w:val="BodyText"/>
      </w:pPr>
    </w:p>
    <w:p w14:paraId="44A8D12C" w14:textId="77777777" w:rsidR="003E1A97" w:rsidRPr="002B283E" w:rsidRDefault="003E1A97" w:rsidP="002B283E">
      <w:pPr>
        <w:pStyle w:val="BodyText"/>
        <w:ind w:left="820"/>
      </w:pPr>
      <w:r w:rsidRPr="002B283E">
        <w:t>These</w:t>
      </w:r>
      <w:r w:rsidRPr="002B283E">
        <w:rPr>
          <w:spacing w:val="-5"/>
        </w:rPr>
        <w:t xml:space="preserve"> </w:t>
      </w:r>
      <w:r w:rsidRPr="002B283E">
        <w:t>rules</w:t>
      </w:r>
      <w:r w:rsidRPr="002B283E">
        <w:rPr>
          <w:spacing w:val="-2"/>
        </w:rPr>
        <w:t xml:space="preserve"> </w:t>
      </w:r>
      <w:r w:rsidRPr="002B283E">
        <w:t>protect</w:t>
      </w:r>
      <w:r w:rsidRPr="002B283E">
        <w:rPr>
          <w:spacing w:val="-2"/>
        </w:rPr>
        <w:t xml:space="preserve"> </w:t>
      </w:r>
      <w:r w:rsidRPr="002B283E">
        <w:t>each</w:t>
      </w:r>
      <w:r w:rsidRPr="002B283E">
        <w:rPr>
          <w:spacing w:val="-1"/>
        </w:rPr>
        <w:t xml:space="preserve"> </w:t>
      </w:r>
      <w:r w:rsidRPr="002B283E">
        <w:t>party’s</w:t>
      </w:r>
      <w:r w:rsidRPr="002B283E">
        <w:rPr>
          <w:spacing w:val="-2"/>
        </w:rPr>
        <w:t xml:space="preserve"> </w:t>
      </w:r>
      <w:r w:rsidRPr="002B283E">
        <w:t>right</w:t>
      </w:r>
      <w:r w:rsidRPr="002B283E">
        <w:rPr>
          <w:spacing w:val="-2"/>
        </w:rPr>
        <w:t xml:space="preserve"> </w:t>
      </w:r>
      <w:r w:rsidRPr="002B283E">
        <w:t>to</w:t>
      </w:r>
      <w:r w:rsidRPr="002B283E">
        <w:rPr>
          <w:spacing w:val="-2"/>
        </w:rPr>
        <w:t xml:space="preserve"> </w:t>
      </w:r>
      <w:r w:rsidRPr="002B283E">
        <w:t>have</w:t>
      </w:r>
      <w:r w:rsidRPr="002B283E">
        <w:rPr>
          <w:spacing w:val="-3"/>
        </w:rPr>
        <w:t xml:space="preserve"> </w:t>
      </w:r>
      <w:r w:rsidRPr="002B283E">
        <w:t>this</w:t>
      </w:r>
      <w:r w:rsidRPr="002B283E">
        <w:rPr>
          <w:spacing w:val="-2"/>
        </w:rPr>
        <w:t xml:space="preserve"> </w:t>
      </w:r>
      <w:r w:rsidRPr="002B283E">
        <w:t>case</w:t>
      </w:r>
      <w:r w:rsidRPr="002B283E">
        <w:rPr>
          <w:spacing w:val="-2"/>
        </w:rPr>
        <w:t xml:space="preserve"> </w:t>
      </w:r>
      <w:r w:rsidRPr="002B283E">
        <w:t>decided</w:t>
      </w:r>
      <w:r w:rsidRPr="002B283E">
        <w:rPr>
          <w:spacing w:val="-2"/>
        </w:rPr>
        <w:t xml:space="preserve"> </w:t>
      </w:r>
      <w:r w:rsidRPr="002B283E">
        <w:t>only</w:t>
      </w:r>
      <w:r w:rsidRPr="002B283E">
        <w:rPr>
          <w:spacing w:val="-2"/>
        </w:rPr>
        <w:t xml:space="preserve"> </w:t>
      </w:r>
      <w:r w:rsidRPr="002B283E">
        <w:t>on</w:t>
      </w:r>
      <w:r w:rsidRPr="002B283E">
        <w:rPr>
          <w:spacing w:val="-2"/>
        </w:rPr>
        <w:t xml:space="preserve"> evidence</w:t>
      </w:r>
    </w:p>
    <w:p w14:paraId="1B6D651F" w14:textId="0986DEDD" w:rsidR="003E1A97" w:rsidRPr="002B283E" w:rsidRDefault="003E1A97" w:rsidP="002B283E">
      <w:pPr>
        <w:pStyle w:val="BodyText"/>
        <w:ind w:left="100" w:right="169"/>
      </w:pPr>
      <w:r w:rsidRPr="002B283E">
        <w:t>that has been presented here in court.</w:t>
      </w:r>
      <w:r w:rsidR="00F1370F">
        <w:rPr>
          <w:spacing w:val="40"/>
        </w:rPr>
        <w:t xml:space="preserve"> </w:t>
      </w:r>
      <w:r w:rsidRPr="002B283E">
        <w:t>Witnesses here in court take an oath to tell the truth, and the accuracy of their testimony is tested through the trial process.</w:t>
      </w:r>
      <w:r w:rsidRPr="002B283E">
        <w:rPr>
          <w:spacing w:val="40"/>
        </w:rPr>
        <w:t xml:space="preserve"> </w:t>
      </w:r>
      <w:r w:rsidRPr="002B283E">
        <w:t>If you do any research or investigation</w:t>
      </w:r>
      <w:r w:rsidRPr="002B283E">
        <w:rPr>
          <w:spacing w:val="-4"/>
        </w:rPr>
        <w:t xml:space="preserve"> </w:t>
      </w:r>
      <w:r w:rsidRPr="002B283E">
        <w:t>outside</w:t>
      </w:r>
      <w:r w:rsidRPr="002B283E">
        <w:rPr>
          <w:spacing w:val="-5"/>
        </w:rPr>
        <w:t xml:space="preserve"> </w:t>
      </w:r>
      <w:r w:rsidRPr="002B283E">
        <w:t>the</w:t>
      </w:r>
      <w:r w:rsidRPr="002B283E">
        <w:rPr>
          <w:spacing w:val="-5"/>
        </w:rPr>
        <w:t xml:space="preserve"> </w:t>
      </w:r>
      <w:r w:rsidRPr="002B283E">
        <w:t>courtroom,</w:t>
      </w:r>
      <w:r w:rsidRPr="002B283E">
        <w:rPr>
          <w:spacing w:val="-4"/>
        </w:rPr>
        <w:t xml:space="preserve"> </w:t>
      </w:r>
      <w:r w:rsidRPr="002B283E">
        <w:t>or</w:t>
      </w:r>
      <w:r w:rsidRPr="002B283E">
        <w:rPr>
          <w:spacing w:val="-5"/>
        </w:rPr>
        <w:t xml:space="preserve"> </w:t>
      </w:r>
      <w:r w:rsidRPr="002B283E">
        <w:t>gain</w:t>
      </w:r>
      <w:r w:rsidRPr="002B283E">
        <w:rPr>
          <w:spacing w:val="-4"/>
        </w:rPr>
        <w:t xml:space="preserve"> </w:t>
      </w:r>
      <w:r w:rsidRPr="002B283E">
        <w:t>any</w:t>
      </w:r>
      <w:r w:rsidRPr="002B283E">
        <w:rPr>
          <w:spacing w:val="-4"/>
        </w:rPr>
        <w:t xml:space="preserve"> </w:t>
      </w:r>
      <w:r w:rsidRPr="002B283E">
        <w:t>information</w:t>
      </w:r>
      <w:r w:rsidRPr="002B283E">
        <w:rPr>
          <w:spacing w:val="-4"/>
        </w:rPr>
        <w:t xml:space="preserve"> </w:t>
      </w:r>
      <w:r w:rsidRPr="002B283E">
        <w:t>through</w:t>
      </w:r>
      <w:r w:rsidRPr="002B283E">
        <w:rPr>
          <w:spacing w:val="-4"/>
        </w:rPr>
        <w:t xml:space="preserve"> </w:t>
      </w:r>
      <w:r w:rsidRPr="002B283E">
        <w:t>improper</w:t>
      </w:r>
      <w:r w:rsidRPr="002B283E">
        <w:rPr>
          <w:spacing w:val="-5"/>
        </w:rPr>
        <w:t xml:space="preserve"> </w:t>
      </w:r>
      <w:r w:rsidRPr="002B283E">
        <w:t>communications,</w:t>
      </w:r>
    </w:p>
    <w:p w14:paraId="4ECD0B76" w14:textId="77777777" w:rsidR="003E1A97" w:rsidRPr="002B283E" w:rsidRDefault="003E1A97" w:rsidP="002B283E">
      <w:pPr>
        <w:rPr>
          <w:rFonts w:cs="Times New Roman"/>
          <w:szCs w:val="24"/>
        </w:rPr>
        <w:sectPr w:rsidR="003E1A97" w:rsidRPr="002B283E" w:rsidSect="003E1A97">
          <w:pgSz w:w="12240" w:h="15840"/>
          <w:pgMar w:top="1360" w:right="1340" w:bottom="280" w:left="1340" w:header="720" w:footer="720" w:gutter="0"/>
          <w:cols w:space="720"/>
        </w:sectPr>
      </w:pPr>
    </w:p>
    <w:p w14:paraId="2B3D865C" w14:textId="77777777" w:rsidR="003E1A97" w:rsidRPr="002B283E" w:rsidRDefault="003E1A97" w:rsidP="002B283E">
      <w:pPr>
        <w:pStyle w:val="BodyText"/>
        <w:ind w:left="100" w:right="169"/>
      </w:pPr>
      <w:r w:rsidRPr="002B283E">
        <w:lastRenderedPageBreak/>
        <w:t>then your verdict may be influenced by inaccurate, incomplete or misleading information that has not been tested by the trial process.</w:t>
      </w:r>
      <w:r w:rsidRPr="002B283E">
        <w:rPr>
          <w:spacing w:val="40"/>
        </w:rPr>
        <w:t xml:space="preserve"> </w:t>
      </w:r>
      <w:r w:rsidRPr="002B283E">
        <w:t>Each of the parties is entitled to a fair trial by an impartial jury, and if you decide the case based on information not presented in court, you will have</w:t>
      </w:r>
      <w:r w:rsidRPr="002B283E">
        <w:rPr>
          <w:spacing w:val="-4"/>
        </w:rPr>
        <w:t xml:space="preserve"> </w:t>
      </w:r>
      <w:r w:rsidRPr="002B283E">
        <w:t>denied</w:t>
      </w:r>
      <w:r w:rsidRPr="002B283E">
        <w:rPr>
          <w:spacing w:val="-3"/>
        </w:rPr>
        <w:t xml:space="preserve"> </w:t>
      </w:r>
      <w:r w:rsidRPr="002B283E">
        <w:t>the</w:t>
      </w:r>
      <w:r w:rsidRPr="002B283E">
        <w:rPr>
          <w:spacing w:val="-4"/>
        </w:rPr>
        <w:t xml:space="preserve"> </w:t>
      </w:r>
      <w:r w:rsidRPr="002B283E">
        <w:t>parties</w:t>
      </w:r>
      <w:r w:rsidRPr="002B283E">
        <w:rPr>
          <w:spacing w:val="-1"/>
        </w:rPr>
        <w:t xml:space="preserve"> </w:t>
      </w:r>
      <w:r w:rsidRPr="002B283E">
        <w:t>a</w:t>
      </w:r>
      <w:r w:rsidRPr="002B283E">
        <w:rPr>
          <w:spacing w:val="-2"/>
        </w:rPr>
        <w:t xml:space="preserve"> </w:t>
      </w:r>
      <w:r w:rsidRPr="002B283E">
        <w:t>fair</w:t>
      </w:r>
      <w:r w:rsidRPr="002B283E">
        <w:rPr>
          <w:spacing w:val="-4"/>
        </w:rPr>
        <w:t xml:space="preserve"> </w:t>
      </w:r>
      <w:r w:rsidRPr="002B283E">
        <w:t>trial.</w:t>
      </w:r>
      <w:r w:rsidRPr="002B283E">
        <w:rPr>
          <w:spacing w:val="40"/>
        </w:rPr>
        <w:t xml:space="preserve"> </w:t>
      </w:r>
      <w:r w:rsidRPr="002B283E">
        <w:t>Remember,</w:t>
      </w:r>
      <w:r w:rsidRPr="002B283E">
        <w:rPr>
          <w:spacing w:val="-3"/>
        </w:rPr>
        <w:t xml:space="preserve"> </w:t>
      </w:r>
      <w:r w:rsidRPr="002B283E">
        <w:t>you</w:t>
      </w:r>
      <w:r w:rsidRPr="002B283E">
        <w:rPr>
          <w:spacing w:val="-3"/>
        </w:rPr>
        <w:t xml:space="preserve"> </w:t>
      </w:r>
      <w:r w:rsidRPr="002B283E">
        <w:t>have</w:t>
      </w:r>
      <w:r w:rsidRPr="002B283E">
        <w:rPr>
          <w:spacing w:val="-4"/>
        </w:rPr>
        <w:t xml:space="preserve"> </w:t>
      </w:r>
      <w:r w:rsidRPr="002B283E">
        <w:t>taken</w:t>
      </w:r>
      <w:r w:rsidRPr="002B283E">
        <w:rPr>
          <w:spacing w:val="-1"/>
        </w:rPr>
        <w:t xml:space="preserve"> </w:t>
      </w:r>
      <w:r w:rsidRPr="002B283E">
        <w:t>an</w:t>
      </w:r>
      <w:r w:rsidRPr="002B283E">
        <w:rPr>
          <w:spacing w:val="-3"/>
        </w:rPr>
        <w:t xml:space="preserve"> </w:t>
      </w:r>
      <w:r w:rsidRPr="002B283E">
        <w:t>oath</w:t>
      </w:r>
      <w:r w:rsidRPr="002B283E">
        <w:rPr>
          <w:spacing w:val="-3"/>
        </w:rPr>
        <w:t xml:space="preserve"> </w:t>
      </w:r>
      <w:r w:rsidRPr="002B283E">
        <w:t>to</w:t>
      </w:r>
      <w:r w:rsidRPr="002B283E">
        <w:rPr>
          <w:spacing w:val="-3"/>
        </w:rPr>
        <w:t xml:space="preserve"> </w:t>
      </w:r>
      <w:r w:rsidRPr="002B283E">
        <w:t>follow</w:t>
      </w:r>
      <w:r w:rsidRPr="002B283E">
        <w:rPr>
          <w:spacing w:val="-4"/>
        </w:rPr>
        <w:t xml:space="preserve"> </w:t>
      </w:r>
      <w:r w:rsidRPr="002B283E">
        <w:t>the</w:t>
      </w:r>
      <w:r w:rsidRPr="002B283E">
        <w:rPr>
          <w:spacing w:val="-4"/>
        </w:rPr>
        <w:t xml:space="preserve"> </w:t>
      </w:r>
      <w:r w:rsidRPr="002B283E">
        <w:t>rules,</w:t>
      </w:r>
      <w:r w:rsidRPr="002B283E">
        <w:rPr>
          <w:spacing w:val="-3"/>
        </w:rPr>
        <w:t xml:space="preserve"> </w:t>
      </w:r>
      <w:r w:rsidRPr="002B283E">
        <w:t>and</w:t>
      </w:r>
      <w:r w:rsidRPr="002B283E">
        <w:rPr>
          <w:spacing w:val="-3"/>
        </w:rPr>
        <w:t xml:space="preserve"> </w:t>
      </w:r>
      <w:r w:rsidRPr="002B283E">
        <w:t>it is very important that you follow these rules.</w:t>
      </w:r>
    </w:p>
    <w:p w14:paraId="72583EC0" w14:textId="77777777" w:rsidR="003E1A97" w:rsidRPr="002B283E" w:rsidRDefault="003E1A97" w:rsidP="002B283E">
      <w:pPr>
        <w:pStyle w:val="BodyText"/>
      </w:pPr>
    </w:p>
    <w:p w14:paraId="3E6C48F5" w14:textId="162073DE" w:rsidR="003E1A97" w:rsidRPr="002B283E" w:rsidRDefault="003E1A97" w:rsidP="002B283E">
      <w:pPr>
        <w:pStyle w:val="BodyText"/>
        <w:ind w:left="100" w:right="106" w:firstLine="720"/>
      </w:pPr>
      <w:r w:rsidRPr="002B283E">
        <w:t>A</w:t>
      </w:r>
      <w:r w:rsidRPr="002B283E">
        <w:rPr>
          <w:spacing w:val="-15"/>
        </w:rPr>
        <w:t xml:space="preserve"> </w:t>
      </w:r>
      <w:r w:rsidRPr="002B283E">
        <w:t>juror</w:t>
      </w:r>
      <w:r w:rsidRPr="002B283E">
        <w:rPr>
          <w:spacing w:val="-5"/>
        </w:rPr>
        <w:t xml:space="preserve"> </w:t>
      </w:r>
      <w:r w:rsidRPr="002B283E">
        <w:t>who</w:t>
      </w:r>
      <w:r w:rsidRPr="002B283E">
        <w:rPr>
          <w:spacing w:val="-4"/>
        </w:rPr>
        <w:t xml:space="preserve"> </w:t>
      </w:r>
      <w:r w:rsidRPr="002B283E">
        <w:t>violates</w:t>
      </w:r>
      <w:r w:rsidRPr="002B283E">
        <w:rPr>
          <w:spacing w:val="-4"/>
        </w:rPr>
        <w:t xml:space="preserve"> </w:t>
      </w:r>
      <w:r w:rsidRPr="002B283E">
        <w:t>these</w:t>
      </w:r>
      <w:r w:rsidRPr="002B283E">
        <w:rPr>
          <w:spacing w:val="-5"/>
        </w:rPr>
        <w:t xml:space="preserve"> </w:t>
      </w:r>
      <w:r w:rsidRPr="002B283E">
        <w:t>restrictions</w:t>
      </w:r>
      <w:r w:rsidRPr="002B283E">
        <w:rPr>
          <w:spacing w:val="-4"/>
        </w:rPr>
        <w:t xml:space="preserve"> </w:t>
      </w:r>
      <w:r w:rsidRPr="002B283E">
        <w:t>jeopardizes</w:t>
      </w:r>
      <w:r w:rsidRPr="002B283E">
        <w:rPr>
          <w:spacing w:val="-2"/>
        </w:rPr>
        <w:t xml:space="preserve"> </w:t>
      </w:r>
      <w:r w:rsidRPr="002B283E">
        <w:t>the</w:t>
      </w:r>
      <w:r w:rsidRPr="002B283E">
        <w:rPr>
          <w:spacing w:val="-5"/>
        </w:rPr>
        <w:t xml:space="preserve"> </w:t>
      </w:r>
      <w:r w:rsidRPr="002B283E">
        <w:t>fairness</w:t>
      </w:r>
      <w:r w:rsidRPr="002B283E">
        <w:rPr>
          <w:spacing w:val="-4"/>
        </w:rPr>
        <w:t xml:space="preserve"> </w:t>
      </w:r>
      <w:r w:rsidRPr="002B283E">
        <w:t>of</w:t>
      </w:r>
      <w:r w:rsidRPr="002B283E">
        <w:rPr>
          <w:spacing w:val="-3"/>
        </w:rPr>
        <w:t xml:space="preserve"> </w:t>
      </w:r>
      <w:r w:rsidRPr="002B283E">
        <w:t>these</w:t>
      </w:r>
      <w:r w:rsidRPr="002B283E">
        <w:rPr>
          <w:spacing w:val="-5"/>
        </w:rPr>
        <w:t xml:space="preserve"> </w:t>
      </w:r>
      <w:r w:rsidRPr="002B283E">
        <w:t>proceedings[,</w:t>
      </w:r>
      <w:r w:rsidRPr="002B283E">
        <w:rPr>
          <w:spacing w:val="-4"/>
        </w:rPr>
        <w:t xml:space="preserve"> </w:t>
      </w:r>
      <w:r w:rsidRPr="002B283E">
        <w:t>and a mistrial could result, requiring the entire trial process to start over].</w:t>
      </w:r>
      <w:r w:rsidRPr="002B283E">
        <w:rPr>
          <w:spacing w:val="40"/>
        </w:rPr>
        <w:t xml:space="preserve"> </w:t>
      </w:r>
      <w:r w:rsidRPr="002B283E">
        <w:t>If any juror is exposed to any outside information, please notify the court immediately, by sending a note through the [clerk] [bailiff] signed by any one or more of you.</w:t>
      </w:r>
    </w:p>
    <w:p w14:paraId="5B37A68F" w14:textId="77777777" w:rsidR="003E1A97" w:rsidRPr="002B283E" w:rsidRDefault="003E1A97" w:rsidP="002B283E">
      <w:pPr>
        <w:pStyle w:val="BodyText"/>
      </w:pPr>
    </w:p>
    <w:p w14:paraId="00FDA7B3" w14:textId="77777777" w:rsidR="003E1A97" w:rsidRPr="002B283E" w:rsidRDefault="003E1A97" w:rsidP="002B283E">
      <w:pPr>
        <w:jc w:val="center"/>
        <w:rPr>
          <w:rFonts w:cs="Times New Roman"/>
          <w:b/>
          <w:bCs/>
          <w:szCs w:val="24"/>
        </w:rPr>
      </w:pPr>
      <w:r w:rsidRPr="002B283E">
        <w:rPr>
          <w:rFonts w:cs="Times New Roman"/>
          <w:b/>
          <w:bCs/>
          <w:szCs w:val="24"/>
        </w:rPr>
        <w:t>Comment</w:t>
      </w:r>
    </w:p>
    <w:p w14:paraId="1E173926" w14:textId="77777777" w:rsidR="003E1A97" w:rsidRPr="002B283E" w:rsidRDefault="003E1A97" w:rsidP="002B283E">
      <w:pPr>
        <w:pStyle w:val="BodyText"/>
        <w:rPr>
          <w:b/>
        </w:rPr>
      </w:pPr>
    </w:p>
    <w:p w14:paraId="7BF82657" w14:textId="7609CC3C" w:rsidR="003E1A97" w:rsidRPr="002B283E" w:rsidRDefault="003E1A97" w:rsidP="002B283E">
      <w:pPr>
        <w:pStyle w:val="BodyText"/>
        <w:ind w:left="100" w:right="169" w:firstLine="720"/>
      </w:pPr>
      <w:r w:rsidRPr="002B283E">
        <w:t>This instruction has been updated specifically to instruct jurors against accessing electronic</w:t>
      </w:r>
      <w:r w:rsidRPr="002B283E">
        <w:rPr>
          <w:spacing w:val="-4"/>
        </w:rPr>
        <w:t xml:space="preserve"> </w:t>
      </w:r>
      <w:r w:rsidRPr="002B283E">
        <w:t>sources</w:t>
      </w:r>
      <w:r w:rsidRPr="002B283E">
        <w:rPr>
          <w:spacing w:val="-3"/>
        </w:rPr>
        <w:t xml:space="preserve"> </w:t>
      </w:r>
      <w:r w:rsidRPr="002B283E">
        <w:t>of</w:t>
      </w:r>
      <w:r w:rsidRPr="002B283E">
        <w:rPr>
          <w:spacing w:val="-4"/>
        </w:rPr>
        <w:t xml:space="preserve"> </w:t>
      </w:r>
      <w:r w:rsidRPr="002B283E">
        <w:t>information</w:t>
      </w:r>
      <w:r w:rsidRPr="002B283E">
        <w:rPr>
          <w:spacing w:val="-3"/>
        </w:rPr>
        <w:t xml:space="preserve"> </w:t>
      </w:r>
      <w:r w:rsidRPr="002B283E">
        <w:t>and</w:t>
      </w:r>
      <w:r w:rsidRPr="002B283E">
        <w:rPr>
          <w:spacing w:val="-3"/>
        </w:rPr>
        <w:t xml:space="preserve"> </w:t>
      </w:r>
      <w:r w:rsidRPr="002B283E">
        <w:t>communicating</w:t>
      </w:r>
      <w:r w:rsidRPr="002B283E">
        <w:rPr>
          <w:spacing w:val="-3"/>
        </w:rPr>
        <w:t xml:space="preserve"> </w:t>
      </w:r>
      <w:r w:rsidRPr="002B283E">
        <w:t>electronically</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1"/>
        </w:rPr>
        <w:t xml:space="preserve"> </w:t>
      </w:r>
      <w:r w:rsidRPr="002B283E">
        <w:t>as</w:t>
      </w:r>
      <w:r w:rsidRPr="002B283E">
        <w:rPr>
          <w:spacing w:val="-3"/>
        </w:rPr>
        <w:t xml:space="preserve"> </w:t>
      </w:r>
      <w:r w:rsidRPr="002B283E">
        <w:t>well</w:t>
      </w:r>
      <w:r w:rsidRPr="002B283E">
        <w:rPr>
          <w:spacing w:val="-3"/>
        </w:rPr>
        <w:t xml:space="preserve"> </w:t>
      </w:r>
      <w:r w:rsidRPr="002B283E">
        <w:t>as</w:t>
      </w:r>
      <w:r w:rsidRPr="002B283E">
        <w:rPr>
          <w:spacing w:val="-3"/>
        </w:rPr>
        <w:t xml:space="preserve"> </w:t>
      </w:r>
      <w:r w:rsidRPr="002B283E">
        <w:t>to inform jurors of the potential consequences if a juror violates this instruction.</w:t>
      </w:r>
      <w:r w:rsidR="00F1370F">
        <w:rPr>
          <w:spacing w:val="40"/>
        </w:rPr>
        <w:t xml:space="preserve"> </w:t>
      </w:r>
      <w:r w:rsidRPr="002B283E">
        <w:t>An abbreviated instruction should be repeated before the first recess, and as needed before other recesses.</w:t>
      </w:r>
    </w:p>
    <w:p w14:paraId="79E3E481" w14:textId="77777777" w:rsidR="003E1A97" w:rsidRPr="002B283E" w:rsidRDefault="003E1A97" w:rsidP="002B283E">
      <w:pPr>
        <w:pStyle w:val="BodyText"/>
      </w:pPr>
    </w:p>
    <w:p w14:paraId="36C22C10" w14:textId="22B9F8D1" w:rsidR="003E1A97" w:rsidRPr="002B283E" w:rsidRDefault="003E1A97" w:rsidP="002B283E">
      <w:pPr>
        <w:pStyle w:val="BodyText"/>
        <w:ind w:left="100" w:right="116" w:firstLine="720"/>
      </w:pPr>
      <w:r w:rsidRPr="002B283E">
        <w:t>The</w:t>
      </w:r>
      <w:r w:rsidRPr="002B283E">
        <w:rPr>
          <w:spacing w:val="-4"/>
        </w:rPr>
        <w:t xml:space="preserve"> </w:t>
      </w:r>
      <w:r w:rsidRPr="002B283E">
        <w:t>practice</w:t>
      </w:r>
      <w:r w:rsidRPr="002B283E">
        <w:rPr>
          <w:spacing w:val="-4"/>
        </w:rPr>
        <w:t xml:space="preserve"> </w:t>
      </w:r>
      <w:r w:rsidRPr="002B283E">
        <w:t>in</w:t>
      </w:r>
      <w:r w:rsidRPr="002B283E">
        <w:rPr>
          <w:spacing w:val="-3"/>
        </w:rPr>
        <w:t xml:space="preserve"> </w:t>
      </w:r>
      <w:r w:rsidRPr="002B283E">
        <w:t>federal</w:t>
      </w:r>
      <w:r w:rsidRPr="002B283E">
        <w:rPr>
          <w:spacing w:val="-1"/>
        </w:rPr>
        <w:t xml:space="preserve"> </w:t>
      </w:r>
      <w:r w:rsidRPr="002B283E">
        <w:t>court</w:t>
      </w:r>
      <w:r w:rsidRPr="002B283E">
        <w:rPr>
          <w:spacing w:val="-3"/>
        </w:rPr>
        <w:t xml:space="preserve"> </w:t>
      </w:r>
      <w:r w:rsidRPr="002B283E">
        <w:t>of</w:t>
      </w:r>
      <w:r w:rsidRPr="002B283E">
        <w:rPr>
          <w:spacing w:val="-4"/>
        </w:rPr>
        <w:t xml:space="preserve"> </w:t>
      </w:r>
      <w:r w:rsidRPr="002B283E">
        <w:t>repeatedly</w:t>
      </w:r>
      <w:r w:rsidRPr="002B283E">
        <w:rPr>
          <w:spacing w:val="-3"/>
        </w:rPr>
        <w:t xml:space="preserve"> </w:t>
      </w:r>
      <w:r w:rsidRPr="002B283E">
        <w:t>instructing</w:t>
      </w:r>
      <w:r w:rsidRPr="002B283E">
        <w:rPr>
          <w:spacing w:val="-3"/>
        </w:rPr>
        <w:t xml:space="preserve"> </w:t>
      </w:r>
      <w:r w:rsidRPr="002B283E">
        <w:t>jurors</w:t>
      </w:r>
      <w:r w:rsidRPr="002B283E">
        <w:rPr>
          <w:spacing w:val="-3"/>
        </w:rPr>
        <w:t xml:space="preserve"> </w:t>
      </w:r>
      <w:r w:rsidRPr="002B283E">
        <w:t>not</w:t>
      </w:r>
      <w:r w:rsidRPr="002B283E">
        <w:rPr>
          <w:spacing w:val="-3"/>
        </w:rPr>
        <w:t xml:space="preserve"> </w:t>
      </w:r>
      <w:r w:rsidRPr="002B283E">
        <w:t>to</w:t>
      </w:r>
      <w:r w:rsidRPr="002B283E">
        <w:rPr>
          <w:spacing w:val="-3"/>
        </w:rPr>
        <w:t xml:space="preserve"> </w:t>
      </w:r>
      <w:r w:rsidRPr="002B283E">
        <w:t>discuss</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until deliberations</w:t>
      </w:r>
      <w:r w:rsidRPr="002B283E">
        <w:rPr>
          <w:spacing w:val="-4"/>
        </w:rPr>
        <w:t xml:space="preserve"> </w:t>
      </w:r>
      <w:r w:rsidRPr="002B283E">
        <w:t>is</w:t>
      </w:r>
      <w:r w:rsidRPr="002B283E">
        <w:rPr>
          <w:spacing w:val="-4"/>
        </w:rPr>
        <w:t xml:space="preserve"> </w:t>
      </w:r>
      <w:r w:rsidRPr="002B283E">
        <w:t>widespread.</w:t>
      </w:r>
      <w:r w:rsidRPr="002B283E">
        <w:rPr>
          <w:spacing w:val="40"/>
        </w:rPr>
        <w:t xml:space="preserve"> </w:t>
      </w:r>
      <w:r w:rsidRPr="002B283E">
        <w:rPr>
          <w:i/>
        </w:rPr>
        <w:t>S</w:t>
      </w:r>
      <w:r w:rsidR="00A15A8F">
        <w:rPr>
          <w:i/>
        </w:rPr>
        <w:t>ee, e.g.</w:t>
      </w:r>
      <w:r w:rsidR="00A15A8F" w:rsidRPr="00182F3F">
        <w:rPr>
          <w:iCs/>
        </w:rPr>
        <w:t>,</w:t>
      </w:r>
      <w:r w:rsidR="00A15A8F">
        <w:rPr>
          <w:i/>
        </w:rPr>
        <w:t xml:space="preserve"> </w:t>
      </w:r>
      <w:r w:rsidRPr="002B283E">
        <w:rPr>
          <w:i/>
        </w:rPr>
        <w:t>United</w:t>
      </w:r>
      <w:r w:rsidRPr="002B283E">
        <w:rPr>
          <w:i/>
          <w:spacing w:val="-4"/>
        </w:rPr>
        <w:t xml:space="preserve"> </w:t>
      </w:r>
      <w:r w:rsidRPr="002B283E">
        <w:rPr>
          <w:i/>
        </w:rPr>
        <w:t>States</w:t>
      </w:r>
      <w:r w:rsidRPr="002B283E">
        <w:rPr>
          <w:i/>
          <w:spacing w:val="-4"/>
        </w:rPr>
        <w:t xml:space="preserve"> </w:t>
      </w:r>
      <w:r w:rsidRPr="002B283E">
        <w:rPr>
          <w:i/>
        </w:rPr>
        <w:t>v.</w:t>
      </w:r>
      <w:r w:rsidRPr="002B283E">
        <w:rPr>
          <w:i/>
          <w:spacing w:val="-4"/>
        </w:rPr>
        <w:t xml:space="preserve"> </w:t>
      </w:r>
      <w:r w:rsidRPr="002B283E">
        <w:rPr>
          <w:i/>
        </w:rPr>
        <w:t>Pino-Noriega</w:t>
      </w:r>
      <w:r w:rsidRPr="002B283E">
        <w:t>,</w:t>
      </w:r>
      <w:r w:rsidRPr="002B283E">
        <w:rPr>
          <w:spacing w:val="-4"/>
        </w:rPr>
        <w:t xml:space="preserve"> </w:t>
      </w:r>
      <w:r w:rsidRPr="002B283E">
        <w:t>189</w:t>
      </w:r>
      <w:r w:rsidRPr="002B283E">
        <w:rPr>
          <w:spacing w:val="-4"/>
        </w:rPr>
        <w:t xml:space="preserve"> </w:t>
      </w:r>
      <w:r w:rsidRPr="002B283E">
        <w:t>F.3d</w:t>
      </w:r>
      <w:r w:rsidRPr="002B283E">
        <w:rPr>
          <w:spacing w:val="-4"/>
        </w:rPr>
        <w:t xml:space="preserve"> </w:t>
      </w:r>
      <w:r w:rsidRPr="002B283E">
        <w:t>1089,</w:t>
      </w:r>
      <w:r w:rsidRPr="002B283E">
        <w:rPr>
          <w:spacing w:val="-4"/>
        </w:rPr>
        <w:t xml:space="preserve"> </w:t>
      </w:r>
      <w:r w:rsidRPr="002B283E">
        <w:t>1096</w:t>
      </w:r>
      <w:r w:rsidRPr="002B283E">
        <w:rPr>
          <w:spacing w:val="-4"/>
        </w:rPr>
        <w:t xml:space="preserve"> </w:t>
      </w:r>
      <w:r w:rsidRPr="002B283E">
        <w:t>(9th Cir. 1999) (“most judges continually admonish their juries during trials not to discuss the evidence or begin deliberating until told to do so”).</w:t>
      </w:r>
    </w:p>
    <w:p w14:paraId="52213DC0" w14:textId="77777777" w:rsidR="003E1A97" w:rsidRPr="002B283E" w:rsidRDefault="003E1A97" w:rsidP="002B283E">
      <w:pPr>
        <w:pStyle w:val="BodyText"/>
      </w:pPr>
    </w:p>
    <w:p w14:paraId="604AC3B8" w14:textId="77777777" w:rsidR="003E1A97" w:rsidRPr="002B283E" w:rsidRDefault="003E1A97" w:rsidP="002B283E">
      <w:pPr>
        <w:pStyle w:val="BodyText"/>
        <w:ind w:left="100" w:right="106" w:firstLine="720"/>
      </w:pPr>
      <w:r w:rsidRPr="002B283E">
        <w:t>State</w:t>
      </w:r>
      <w:r w:rsidRPr="002B283E">
        <w:rPr>
          <w:spacing w:val="-4"/>
        </w:rPr>
        <w:t xml:space="preserve"> </w:t>
      </w:r>
      <w:r w:rsidRPr="002B283E">
        <w:t>court</w:t>
      </w:r>
      <w:r w:rsidRPr="002B283E">
        <w:rPr>
          <w:spacing w:val="-3"/>
        </w:rPr>
        <w:t xml:space="preserve"> </w:t>
      </w:r>
      <w:r w:rsidRPr="002B283E">
        <w:t>practice</w:t>
      </w:r>
      <w:r w:rsidRPr="002B283E">
        <w:rPr>
          <w:spacing w:val="-4"/>
        </w:rPr>
        <w:t xml:space="preserve"> </w:t>
      </w:r>
      <w:r w:rsidRPr="002B283E">
        <w:t>in</w:t>
      </w:r>
      <w:r w:rsidRPr="002B283E">
        <w:rPr>
          <w:spacing w:val="-3"/>
        </w:rPr>
        <w:t xml:space="preserve"> </w:t>
      </w:r>
      <w:r w:rsidRPr="002B283E">
        <w:t>some</w:t>
      </w:r>
      <w:r w:rsidRPr="002B283E">
        <w:rPr>
          <w:spacing w:val="-4"/>
        </w:rPr>
        <w:t xml:space="preserve"> </w:t>
      </w:r>
      <w:r w:rsidRPr="002B283E">
        <w:t>jurisdictions</w:t>
      </w:r>
      <w:r w:rsidRPr="002B283E">
        <w:rPr>
          <w:spacing w:val="-3"/>
        </w:rPr>
        <w:t xml:space="preserve"> </w:t>
      </w:r>
      <w:r w:rsidRPr="002B283E">
        <w:t>does</w:t>
      </w:r>
      <w:r w:rsidRPr="002B283E">
        <w:rPr>
          <w:spacing w:val="-3"/>
        </w:rPr>
        <w:t xml:space="preserve"> </w:t>
      </w:r>
      <w:r w:rsidRPr="002B283E">
        <w:t>allow</w:t>
      </w:r>
      <w:r w:rsidRPr="002B283E">
        <w:rPr>
          <w:spacing w:val="-4"/>
        </w:rPr>
        <w:t xml:space="preserve"> </w:t>
      </w:r>
      <w:r w:rsidRPr="002B283E">
        <w:t>discussion</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case</w:t>
      </w:r>
      <w:r w:rsidRPr="002B283E">
        <w:rPr>
          <w:spacing w:val="-2"/>
        </w:rPr>
        <w:t xml:space="preserve"> </w:t>
      </w:r>
      <w:r w:rsidRPr="002B283E">
        <w:t>by</w:t>
      </w:r>
      <w:r w:rsidRPr="002B283E">
        <w:rPr>
          <w:spacing w:val="-3"/>
        </w:rPr>
        <w:t xml:space="preserve"> </w:t>
      </w:r>
      <w:r w:rsidRPr="002B283E">
        <w:t>jurors</w:t>
      </w:r>
      <w:r w:rsidRPr="002B283E">
        <w:rPr>
          <w:spacing w:val="-3"/>
        </w:rPr>
        <w:t xml:space="preserve"> </w:t>
      </w:r>
      <w:r w:rsidRPr="002B283E">
        <w:t>prior to the beginning of deliberations.</w:t>
      </w:r>
      <w:r w:rsidRPr="002B283E">
        <w:rPr>
          <w:spacing w:val="40"/>
        </w:rPr>
        <w:t xml:space="preserve"> </w:t>
      </w:r>
      <w:r w:rsidRPr="002B283E">
        <w:t>The Ninth Circuit has not addressed this practice.</w:t>
      </w:r>
    </w:p>
    <w:p w14:paraId="2F4342EF" w14:textId="77777777" w:rsidR="003E1A97" w:rsidRPr="002B283E" w:rsidRDefault="003E1A97" w:rsidP="002B283E">
      <w:pPr>
        <w:pStyle w:val="BodyText"/>
      </w:pPr>
    </w:p>
    <w:p w14:paraId="426BA38A" w14:textId="77777777" w:rsidR="003E1A97" w:rsidRPr="002B283E" w:rsidRDefault="003E1A97" w:rsidP="002B283E">
      <w:pPr>
        <w:pStyle w:val="BodyText"/>
      </w:pPr>
    </w:p>
    <w:p w14:paraId="2D62EE4D" w14:textId="29FE3036" w:rsidR="007B1C2E" w:rsidRPr="002B283E" w:rsidRDefault="003E1A97" w:rsidP="002B283E">
      <w:pPr>
        <w:ind w:right="100"/>
        <w:jc w:val="right"/>
        <w:rPr>
          <w:rFonts w:cs="Times New Roman"/>
          <w:i/>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w:t>
      </w:r>
      <w:r w:rsidRPr="002B283E">
        <w:rPr>
          <w:rFonts w:cs="Times New Roman"/>
          <w:i/>
          <w:spacing w:val="-2"/>
          <w:szCs w:val="24"/>
        </w:rPr>
        <w:t>2025</w:t>
      </w:r>
    </w:p>
    <w:p w14:paraId="475CD52A" w14:textId="1044BE81" w:rsidR="006A4CD7" w:rsidRPr="002B283E" w:rsidRDefault="006A4CD7" w:rsidP="002B283E">
      <w:pPr>
        <w:pStyle w:val="Heading2"/>
      </w:pPr>
      <w:r w:rsidRPr="002B283E">
        <w:br w:type="page"/>
      </w:r>
      <w:bookmarkStart w:id="22" w:name="_Toc221525075"/>
      <w:r w:rsidRPr="002B283E">
        <w:lastRenderedPageBreak/>
        <w:t xml:space="preserve">1.16 </w:t>
      </w:r>
      <w:r w:rsidR="00F421A9" w:rsidRPr="002B283E">
        <w:t>Publicity During Trial</w:t>
      </w:r>
      <w:bookmarkEnd w:id="22"/>
    </w:p>
    <w:p w14:paraId="4F6A9A40" w14:textId="77777777" w:rsidR="006A4CD7" w:rsidRPr="002B283E" w:rsidRDefault="006A4CD7" w:rsidP="002B283E">
      <w:pPr>
        <w:autoSpaceDE w:val="0"/>
        <w:autoSpaceDN w:val="0"/>
        <w:adjustRightInd w:val="0"/>
        <w:rPr>
          <w:rFonts w:cs="Times New Roman"/>
          <w:b/>
          <w:bCs/>
          <w:szCs w:val="24"/>
        </w:rPr>
      </w:pPr>
    </w:p>
    <w:p w14:paraId="47AC7BF7" w14:textId="209B052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there is any news media account or commentary about the case or anything to do with it, you must ignore it. You must not read, </w:t>
      </w:r>
      <w:r w:rsidR="00C23711" w:rsidRPr="002B283E">
        <w:rPr>
          <w:rFonts w:cs="Times New Roman"/>
          <w:szCs w:val="24"/>
        </w:rPr>
        <w:t>watch,</w:t>
      </w:r>
      <w:r w:rsidRPr="002B283E">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w:t>
      </w:r>
      <w:r w:rsidR="00A87F6E">
        <w:rPr>
          <w:rFonts w:cs="Times New Roman"/>
          <w:szCs w:val="24"/>
        </w:rPr>
        <w:t xml:space="preserve">. </w:t>
      </w:r>
      <w:r w:rsidRPr="002B283E">
        <w:rPr>
          <w:rFonts w:cs="Times New Roman"/>
          <w:szCs w:val="24"/>
        </w:rPr>
        <w:t>If any juror is exposed to any outside information, please notify me immediately</w:t>
      </w:r>
      <w:r w:rsidR="00A87F6E">
        <w:rPr>
          <w:rFonts w:cs="Times New Roman"/>
          <w:szCs w:val="24"/>
        </w:rPr>
        <w:t xml:space="preserve">. </w:t>
      </w:r>
    </w:p>
    <w:p w14:paraId="3F1C9017" w14:textId="77777777" w:rsidR="006A4CD7" w:rsidRPr="002B283E" w:rsidRDefault="006A4CD7" w:rsidP="002B283E">
      <w:pPr>
        <w:rPr>
          <w:rFonts w:cs="Times New Roman"/>
          <w:szCs w:val="24"/>
        </w:rPr>
      </w:pPr>
    </w:p>
    <w:p w14:paraId="45D0A8A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E2265D" w14:textId="77777777" w:rsidR="006A4CD7" w:rsidRPr="002B283E" w:rsidRDefault="006A4CD7" w:rsidP="002B283E">
      <w:pPr>
        <w:rPr>
          <w:rFonts w:cs="Times New Roman"/>
          <w:szCs w:val="24"/>
        </w:rPr>
      </w:pPr>
    </w:p>
    <w:p w14:paraId="2EE6C3FC" w14:textId="5392982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may be useful in cases involving significant media coverage and may be given more than once at appropriate times during the trial. </w:t>
      </w:r>
      <w:r w:rsidRPr="002B283E">
        <w:rPr>
          <w:rFonts w:cs="Times New Roman"/>
          <w:i/>
          <w:iCs/>
          <w:szCs w:val="24"/>
        </w:rPr>
        <w:t>See</w:t>
      </w:r>
      <w:r w:rsidRPr="002B283E">
        <w:rPr>
          <w:rFonts w:cs="Times New Roman"/>
          <w:szCs w:val="24"/>
        </w:rPr>
        <w:t xml:space="preserve"> </w:t>
      </w:r>
      <w:r w:rsidRPr="002B283E">
        <w:rPr>
          <w:rFonts w:cs="Times New Roman"/>
          <w:i/>
          <w:iCs/>
          <w:szCs w:val="24"/>
        </w:rPr>
        <w:t>United States v. Waters</w:t>
      </w:r>
      <w:r w:rsidRPr="002B283E">
        <w:rPr>
          <w:rFonts w:cs="Times New Roman"/>
          <w:szCs w:val="24"/>
        </w:rPr>
        <w:t xml:space="preserve">, 627 F.3d 345, 364 (9th Cir. 2010) (reversing </w:t>
      </w:r>
      <w:r w:rsidR="005B264C">
        <w:rPr>
          <w:rFonts w:cs="Times New Roman"/>
          <w:szCs w:val="24"/>
        </w:rPr>
        <w:t xml:space="preserve">a </w:t>
      </w:r>
      <w:r w:rsidRPr="002B283E">
        <w:rPr>
          <w:rFonts w:cs="Times New Roman"/>
          <w:szCs w:val="24"/>
        </w:rPr>
        <w:t xml:space="preserve">criminal conviction due to </w:t>
      </w:r>
      <w:r w:rsidR="005B264C">
        <w:rPr>
          <w:rFonts w:cs="Times New Roman"/>
          <w:szCs w:val="24"/>
        </w:rPr>
        <w:t xml:space="preserve">the </w:t>
      </w:r>
      <w:r w:rsidRPr="002B283E">
        <w:rPr>
          <w:rFonts w:cs="Times New Roman"/>
          <w:szCs w:val="24"/>
        </w:rPr>
        <w:t xml:space="preserve">court’s insufficient questioning of </w:t>
      </w:r>
      <w:r w:rsidR="005B264C">
        <w:rPr>
          <w:rFonts w:cs="Times New Roman"/>
          <w:szCs w:val="24"/>
        </w:rPr>
        <w:t xml:space="preserve">the </w:t>
      </w:r>
      <w:r w:rsidRPr="002B283E">
        <w:rPr>
          <w:rFonts w:cs="Times New Roman"/>
          <w:szCs w:val="24"/>
        </w:rPr>
        <w:t xml:space="preserve">jury regarding negative publicity during jury deliberations); </w:t>
      </w:r>
      <w:r w:rsidRPr="002B283E">
        <w:rPr>
          <w:rFonts w:cs="Times New Roman"/>
          <w:i/>
          <w:iCs/>
          <w:szCs w:val="24"/>
        </w:rPr>
        <w:t>see also</w:t>
      </w:r>
      <w:r w:rsidRPr="00780AD7">
        <w:rPr>
          <w:rFonts w:cs="Times New Roman"/>
          <w:smallCaps/>
          <w:szCs w:val="24"/>
        </w:rPr>
        <w:t xml:space="preserve"> </w:t>
      </w:r>
      <w:bookmarkStart w:id="23" w:name="_Hlk211950494"/>
      <w:r w:rsidR="00780AD7" w:rsidRPr="00780AD7">
        <w:rPr>
          <w:rFonts w:cs="Times New Roman"/>
          <w:smallCaps/>
          <w:szCs w:val="24"/>
        </w:rPr>
        <w:t>Ninth Circuit Judges’ Trial Manual</w:t>
      </w:r>
      <w:r w:rsidR="00B2200B">
        <w:rPr>
          <w:rFonts w:cs="Times New Roman"/>
          <w:smallCaps/>
          <w:szCs w:val="24"/>
        </w:rPr>
        <w:t xml:space="preserve"> </w:t>
      </w:r>
      <w:r w:rsidR="00780AD7" w:rsidRPr="00780AD7">
        <w:rPr>
          <w:rFonts w:cs="Times New Roman"/>
          <w:smallCaps/>
          <w:szCs w:val="24"/>
        </w:rPr>
        <w:t>Chapter 8</w:t>
      </w:r>
      <w:r w:rsidR="00B2200B">
        <w:rPr>
          <w:rFonts w:cs="Times New Roman"/>
          <w:smallCaps/>
          <w:szCs w:val="24"/>
        </w:rPr>
        <w:t>:</w:t>
      </w:r>
      <w:r w:rsidR="0063656B">
        <w:rPr>
          <w:rFonts w:cs="Times New Roman"/>
          <w:smallCaps/>
          <w:szCs w:val="24"/>
        </w:rPr>
        <w:t xml:space="preserve"> </w:t>
      </w:r>
      <w:r w:rsidR="00B2200B">
        <w:rPr>
          <w:rFonts w:cs="Times New Roman"/>
          <w:smallCaps/>
          <w:szCs w:val="24"/>
        </w:rPr>
        <w:t xml:space="preserve">High Profile Cases </w:t>
      </w:r>
      <w:r w:rsidR="00780AD7" w:rsidRPr="00780AD7">
        <w:rPr>
          <w:rFonts w:cs="Times New Roman"/>
          <w:smallCaps/>
          <w:szCs w:val="24"/>
        </w:rPr>
        <w:t>(2025</w:t>
      </w:r>
      <w:r w:rsidR="004876D5">
        <w:rPr>
          <w:rFonts w:cs="Times New Roman"/>
          <w:smallCaps/>
          <w:szCs w:val="24"/>
        </w:rPr>
        <w:t>)</w:t>
      </w:r>
      <w:r w:rsidRPr="002B283E">
        <w:rPr>
          <w:rFonts w:cs="Times New Roman"/>
          <w:szCs w:val="24"/>
        </w:rPr>
        <w:t>.</w:t>
      </w:r>
    </w:p>
    <w:bookmarkEnd w:id="23"/>
    <w:p w14:paraId="65F95A4F" w14:textId="77777777" w:rsidR="00030A67" w:rsidRPr="002B283E" w:rsidRDefault="00030A67" w:rsidP="002B283E">
      <w:pPr>
        <w:rPr>
          <w:rFonts w:cs="Times New Roman"/>
          <w:b/>
          <w:bCs/>
          <w:szCs w:val="24"/>
        </w:rPr>
      </w:pPr>
      <w:r w:rsidRPr="002B283E">
        <w:rPr>
          <w:rFonts w:cs="Times New Roman"/>
          <w:b/>
          <w:bCs/>
          <w:szCs w:val="24"/>
        </w:rPr>
        <w:br w:type="page"/>
      </w:r>
    </w:p>
    <w:p w14:paraId="2A0A78A5" w14:textId="382F86B1" w:rsidR="006A4CD7" w:rsidRPr="002B283E" w:rsidRDefault="006A4CD7" w:rsidP="002B283E">
      <w:pPr>
        <w:pStyle w:val="Heading2"/>
      </w:pPr>
      <w:bookmarkStart w:id="24" w:name="_Toc221525076"/>
      <w:r w:rsidRPr="002B283E">
        <w:lastRenderedPageBreak/>
        <w:t xml:space="preserve">1.17 </w:t>
      </w:r>
      <w:r w:rsidR="00F421A9" w:rsidRPr="002B283E">
        <w:t xml:space="preserve">No Transcript Available </w:t>
      </w:r>
      <w:r w:rsidR="00F8289E" w:rsidRPr="002B283E">
        <w:t>t</w:t>
      </w:r>
      <w:r w:rsidR="00F421A9" w:rsidRPr="002B283E">
        <w:t>o Jury</w:t>
      </w:r>
      <w:bookmarkEnd w:id="24"/>
    </w:p>
    <w:p w14:paraId="6EC313A7" w14:textId="77777777" w:rsidR="006A4CD7" w:rsidRPr="002B283E" w:rsidRDefault="006A4CD7" w:rsidP="002B283E">
      <w:pPr>
        <w:autoSpaceDE w:val="0"/>
        <w:autoSpaceDN w:val="0"/>
        <w:adjustRightInd w:val="0"/>
        <w:rPr>
          <w:rFonts w:cs="Times New Roman"/>
          <w:szCs w:val="24"/>
        </w:rPr>
      </w:pPr>
    </w:p>
    <w:p w14:paraId="4CD5D2F8" w14:textId="546BBB2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2B283E" w:rsidRDefault="006A4CD7" w:rsidP="002B283E">
      <w:pPr>
        <w:autoSpaceDE w:val="0"/>
        <w:autoSpaceDN w:val="0"/>
        <w:adjustRightInd w:val="0"/>
        <w:rPr>
          <w:rFonts w:cs="Times New Roman"/>
          <w:szCs w:val="24"/>
        </w:rPr>
      </w:pPr>
    </w:p>
    <w:p w14:paraId="4A0C753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F9A029" w14:textId="77777777" w:rsidR="006A4CD7" w:rsidRPr="002B283E" w:rsidRDefault="006A4CD7" w:rsidP="002B283E">
      <w:pPr>
        <w:autoSpaceDE w:val="0"/>
        <w:autoSpaceDN w:val="0"/>
        <w:adjustRightInd w:val="0"/>
        <w:rPr>
          <w:rFonts w:cs="Times New Roman"/>
          <w:szCs w:val="24"/>
        </w:rPr>
      </w:pPr>
    </w:p>
    <w:p w14:paraId="3582354A" w14:textId="77777777" w:rsidR="007B1C2E" w:rsidRPr="002B283E" w:rsidRDefault="006A4CD7" w:rsidP="002B283E">
      <w:pPr>
        <w:autoSpaceDE w:val="0"/>
        <w:autoSpaceDN w:val="0"/>
        <w:adjustRightInd w:val="0"/>
        <w:ind w:firstLine="720"/>
        <w:rPr>
          <w:rFonts w:cs="Times New Roman"/>
          <w:szCs w:val="24"/>
        </w:rPr>
      </w:pPr>
      <w:r w:rsidRPr="002B283E">
        <w:rPr>
          <w:rFonts w:cs="Times New Roman"/>
          <w:szCs w:val="24"/>
        </w:rPr>
        <w:t>The court may wish to modify this instruction for use at the end of the trial.</w:t>
      </w:r>
    </w:p>
    <w:p w14:paraId="5F431D0A" w14:textId="77777777" w:rsidR="007B1C2E" w:rsidRPr="002B283E" w:rsidRDefault="007B1C2E" w:rsidP="002B283E">
      <w:pPr>
        <w:rPr>
          <w:rFonts w:cs="Times New Roman"/>
          <w:szCs w:val="24"/>
        </w:rPr>
      </w:pPr>
      <w:r w:rsidRPr="002B283E">
        <w:rPr>
          <w:rFonts w:cs="Times New Roman"/>
          <w:szCs w:val="24"/>
        </w:rPr>
        <w:br w:type="page"/>
      </w:r>
    </w:p>
    <w:p w14:paraId="2CBDFB93" w14:textId="789124C0" w:rsidR="006A4CD7" w:rsidRPr="002B283E" w:rsidRDefault="006A4CD7" w:rsidP="002B283E">
      <w:pPr>
        <w:pStyle w:val="Heading2"/>
      </w:pPr>
      <w:bookmarkStart w:id="25" w:name="_Toc221525077"/>
      <w:r w:rsidRPr="002B283E">
        <w:lastRenderedPageBreak/>
        <w:t xml:space="preserve">1.18 </w:t>
      </w:r>
      <w:r w:rsidR="00F421A9" w:rsidRPr="002B283E">
        <w:t>Taking Notes</w:t>
      </w:r>
      <w:bookmarkEnd w:id="25"/>
    </w:p>
    <w:p w14:paraId="0F69024F" w14:textId="77777777" w:rsidR="006A4CD7" w:rsidRPr="002B283E" w:rsidRDefault="006A4CD7" w:rsidP="002B283E">
      <w:pPr>
        <w:autoSpaceDE w:val="0"/>
        <w:autoSpaceDN w:val="0"/>
        <w:adjustRightInd w:val="0"/>
        <w:rPr>
          <w:rFonts w:cs="Times New Roman"/>
          <w:szCs w:val="24"/>
        </w:rPr>
      </w:pPr>
    </w:p>
    <w:p w14:paraId="4A8A4440" w14:textId="596462C2" w:rsidR="006A4CD7" w:rsidRPr="002B283E" w:rsidRDefault="006A4CD7" w:rsidP="002B283E">
      <w:pPr>
        <w:autoSpaceDE w:val="0"/>
        <w:autoSpaceDN w:val="0"/>
        <w:adjustRightInd w:val="0"/>
        <w:rPr>
          <w:rFonts w:cs="Times New Roman"/>
          <w:szCs w:val="24"/>
        </w:rPr>
      </w:pPr>
      <w:r w:rsidRPr="002B283E">
        <w:rPr>
          <w:rFonts w:cs="Times New Roman"/>
          <w:szCs w:val="24"/>
        </w:rPr>
        <w:tab/>
        <w:t>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w:t>
      </w:r>
      <w:r w:rsidR="00A87F6E">
        <w:rPr>
          <w:rFonts w:cs="Times New Roman"/>
          <w:szCs w:val="24"/>
        </w:rPr>
        <w:t xml:space="preserve">. </w:t>
      </w:r>
    </w:p>
    <w:p w14:paraId="356923E4" w14:textId="77777777" w:rsidR="006A4CD7" w:rsidRPr="002B283E" w:rsidRDefault="006A4CD7" w:rsidP="002B283E">
      <w:pPr>
        <w:autoSpaceDE w:val="0"/>
        <w:autoSpaceDN w:val="0"/>
        <w:adjustRightInd w:val="0"/>
        <w:rPr>
          <w:rFonts w:cs="Times New Roman"/>
          <w:szCs w:val="24"/>
        </w:rPr>
      </w:pPr>
    </w:p>
    <w:p w14:paraId="1D92B719" w14:textId="1220DB94"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you take notes, you should rely on your own memory of the evidence. Notes are only to assist your memory.</w:t>
      </w:r>
      <w:r w:rsidR="00055FF7">
        <w:rPr>
          <w:rFonts w:cs="Times New Roman"/>
          <w:szCs w:val="24"/>
        </w:rPr>
        <w:t xml:space="preserve"> </w:t>
      </w:r>
      <w:r w:rsidRPr="002B283E">
        <w:rPr>
          <w:rFonts w:cs="Times New Roman"/>
          <w:szCs w:val="24"/>
        </w:rPr>
        <w:t>You should not be overly influenced by your notes or those of other jurors.</w:t>
      </w:r>
    </w:p>
    <w:p w14:paraId="208708AF" w14:textId="77777777" w:rsidR="006A4CD7" w:rsidRPr="002B283E" w:rsidRDefault="006A4CD7" w:rsidP="002B283E">
      <w:pPr>
        <w:autoSpaceDE w:val="0"/>
        <w:autoSpaceDN w:val="0"/>
        <w:adjustRightInd w:val="0"/>
        <w:rPr>
          <w:rFonts w:cs="Times New Roman"/>
          <w:szCs w:val="24"/>
        </w:rPr>
      </w:pPr>
    </w:p>
    <w:p w14:paraId="7764E9C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6A6191" w14:textId="77777777" w:rsidR="006A4CD7" w:rsidRPr="002B283E" w:rsidRDefault="006A4CD7" w:rsidP="002B283E">
      <w:pPr>
        <w:autoSpaceDE w:val="0"/>
        <w:autoSpaceDN w:val="0"/>
        <w:adjustRightInd w:val="0"/>
        <w:rPr>
          <w:rFonts w:cs="Times New Roman"/>
          <w:szCs w:val="24"/>
        </w:rPr>
      </w:pPr>
    </w:p>
    <w:p w14:paraId="437D8D66" w14:textId="39E36E27" w:rsidR="004876D5" w:rsidRPr="004876D5" w:rsidRDefault="006A4CD7" w:rsidP="004876D5">
      <w:pPr>
        <w:autoSpaceDE w:val="0"/>
        <w:autoSpaceDN w:val="0"/>
        <w:adjustRightInd w:val="0"/>
        <w:rPr>
          <w:rFonts w:cs="Times New Roman"/>
          <w:smallCaps/>
          <w:szCs w:val="24"/>
        </w:rPr>
      </w:pPr>
      <w:r w:rsidRPr="002B283E">
        <w:rPr>
          <w:rFonts w:cs="Times New Roman"/>
          <w:szCs w:val="24"/>
        </w:rPr>
        <w:tab/>
        <w:t xml:space="preserve">It is well settled in this circuit that the trial judge has discretion to allow jurors to take notes. </w:t>
      </w:r>
      <w:r w:rsidRPr="002B283E">
        <w:rPr>
          <w:rFonts w:cs="Times New Roman"/>
          <w:i/>
          <w:iCs/>
          <w:szCs w:val="24"/>
        </w:rPr>
        <w:t>United States v. Baker</w:t>
      </w:r>
      <w:r w:rsidRPr="002B283E">
        <w:rPr>
          <w:rFonts w:cs="Times New Roman"/>
          <w:szCs w:val="24"/>
        </w:rPr>
        <w:t xml:space="preserve">, 10 F.3d 1374, 1403 (9th Cir. 1993). </w:t>
      </w:r>
      <w:r w:rsidRPr="002B283E">
        <w:rPr>
          <w:rFonts w:cs="Times New Roman"/>
          <w:i/>
          <w:iCs/>
          <w:szCs w:val="24"/>
        </w:rPr>
        <w:t xml:space="preserve">See also </w:t>
      </w:r>
      <w:r w:rsidR="004876D5" w:rsidRPr="004876D5">
        <w:rPr>
          <w:rFonts w:cs="Times New Roman"/>
          <w:smallCaps/>
          <w:szCs w:val="24"/>
        </w:rPr>
        <w:t xml:space="preserve">Ninth Circuit Judges’ Trial Manual </w:t>
      </w:r>
      <w:r w:rsidR="004876D5">
        <w:rPr>
          <w:rFonts w:cs="Times New Roman"/>
          <w:smallCaps/>
          <w:szCs w:val="24"/>
        </w:rPr>
        <w:t>§ 3.8</w:t>
      </w:r>
      <w:r w:rsidR="00B2200B">
        <w:rPr>
          <w:rFonts w:cs="Times New Roman"/>
          <w:smallCaps/>
          <w:szCs w:val="24"/>
        </w:rPr>
        <w:t xml:space="preserve">: </w:t>
      </w:r>
      <w:r w:rsidR="00B2200B" w:rsidRPr="00B2200B">
        <w:rPr>
          <w:rFonts w:cs="Times New Roman"/>
          <w:smallCaps/>
          <w:szCs w:val="24"/>
        </w:rPr>
        <w:t>Juror Notebooks and Notetaking</w:t>
      </w:r>
      <w:r w:rsidR="004876D5" w:rsidRPr="004876D5">
        <w:rPr>
          <w:rFonts w:cs="Times New Roman"/>
          <w:smallCaps/>
          <w:szCs w:val="24"/>
        </w:rPr>
        <w:t xml:space="preserve"> (2025).</w:t>
      </w:r>
      <w:r w:rsidR="00DC112B" w:rsidRPr="00DC112B">
        <w:t xml:space="preserve"> </w:t>
      </w:r>
    </w:p>
    <w:p w14:paraId="38E434F7" w14:textId="42A6657C" w:rsidR="006A4CD7" w:rsidRPr="002B283E" w:rsidRDefault="006A4CD7" w:rsidP="002B283E">
      <w:pPr>
        <w:autoSpaceDE w:val="0"/>
        <w:autoSpaceDN w:val="0"/>
        <w:adjustRightInd w:val="0"/>
        <w:rPr>
          <w:rFonts w:cs="Times New Roman"/>
          <w:szCs w:val="24"/>
        </w:rPr>
      </w:pPr>
    </w:p>
    <w:p w14:paraId="25D0CC49" w14:textId="77777777" w:rsidR="006A4CD7" w:rsidRPr="002B283E" w:rsidRDefault="006A4CD7" w:rsidP="002B283E">
      <w:pPr>
        <w:autoSpaceDE w:val="0"/>
        <w:autoSpaceDN w:val="0"/>
        <w:adjustRightInd w:val="0"/>
        <w:rPr>
          <w:rFonts w:cs="Times New Roman"/>
          <w:szCs w:val="24"/>
        </w:rPr>
      </w:pPr>
    </w:p>
    <w:p w14:paraId="5639DD37" w14:textId="77777777" w:rsidR="007B1C2E" w:rsidRPr="002B283E" w:rsidRDefault="007B1C2E" w:rsidP="002B283E">
      <w:pPr>
        <w:rPr>
          <w:rFonts w:cs="Times New Roman"/>
          <w:b/>
          <w:bCs/>
          <w:szCs w:val="24"/>
        </w:rPr>
      </w:pPr>
      <w:r w:rsidRPr="002B283E">
        <w:rPr>
          <w:rFonts w:cs="Times New Roman"/>
          <w:b/>
          <w:bCs/>
          <w:szCs w:val="24"/>
        </w:rPr>
        <w:br w:type="page"/>
      </w:r>
    </w:p>
    <w:p w14:paraId="04E878E0" w14:textId="20EB9E04" w:rsidR="006A4CD7" w:rsidRPr="002B283E" w:rsidRDefault="006A4CD7" w:rsidP="002B283E">
      <w:pPr>
        <w:pStyle w:val="Heading2"/>
      </w:pPr>
      <w:bookmarkStart w:id="26" w:name="_Toc221525078"/>
      <w:r w:rsidRPr="002B283E">
        <w:lastRenderedPageBreak/>
        <w:t xml:space="preserve">1.19 </w:t>
      </w:r>
      <w:r w:rsidR="00F421A9" w:rsidRPr="002B283E">
        <w:t xml:space="preserve">Questions </w:t>
      </w:r>
      <w:r w:rsidR="00F8289E" w:rsidRPr="002B283E">
        <w:t>t</w:t>
      </w:r>
      <w:r w:rsidR="00F421A9" w:rsidRPr="002B283E">
        <w:t>o Witnesses by Jurors During Trial</w:t>
      </w:r>
      <w:bookmarkEnd w:id="26"/>
    </w:p>
    <w:p w14:paraId="6571E072" w14:textId="77777777" w:rsidR="006A4CD7" w:rsidRPr="002B283E" w:rsidRDefault="006A4CD7" w:rsidP="002B283E">
      <w:pPr>
        <w:autoSpaceDE w:val="0"/>
        <w:autoSpaceDN w:val="0"/>
        <w:adjustRightInd w:val="0"/>
        <w:rPr>
          <w:rFonts w:cs="Times New Roman"/>
          <w:szCs w:val="24"/>
        </w:rPr>
      </w:pPr>
    </w:p>
    <w:p w14:paraId="5CBC62A8"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1</w:t>
      </w:r>
    </w:p>
    <w:p w14:paraId="4221C0CA" w14:textId="77777777" w:rsidR="006A4CD7" w:rsidRPr="002B283E" w:rsidRDefault="006A4CD7" w:rsidP="002B283E">
      <w:pPr>
        <w:autoSpaceDE w:val="0"/>
        <w:autoSpaceDN w:val="0"/>
        <w:adjustRightInd w:val="0"/>
        <w:rPr>
          <w:rFonts w:cs="Times New Roman"/>
          <w:szCs w:val="24"/>
        </w:rPr>
      </w:pPr>
    </w:p>
    <w:p w14:paraId="23EDE598" w14:textId="7437BB2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Only the lawyers and I are allowed to ask questions of witnesses. A juror is not permitted to ask questions of witnesses. </w:t>
      </w:r>
      <w:r w:rsidRPr="008A04C2">
        <w:rPr>
          <w:rFonts w:cs="Times New Roman"/>
          <w:szCs w:val="24"/>
        </w:rPr>
        <w:t>[</w:t>
      </w:r>
      <w:r w:rsidRPr="002B283E">
        <w:rPr>
          <w:rFonts w:cs="Times New Roman"/>
          <w:i/>
          <w:iCs/>
          <w:szCs w:val="24"/>
          <w:u w:val="single"/>
        </w:rPr>
        <w:t>Specific reasons for not allowing jurors to ask questions may be explained.</w:t>
      </w:r>
      <w:r w:rsidRPr="002B283E">
        <w:rPr>
          <w:rFonts w:cs="Times New Roman"/>
          <w:szCs w:val="24"/>
        </w:rPr>
        <w:t>] If, however, you are unable to hear a witness or a lawyer, please raise your hand and I will correct the situation.</w:t>
      </w:r>
    </w:p>
    <w:p w14:paraId="788DB462" w14:textId="77777777" w:rsidR="006A4CD7" w:rsidRPr="002B283E" w:rsidRDefault="006A4CD7" w:rsidP="002B283E">
      <w:pPr>
        <w:autoSpaceDE w:val="0"/>
        <w:autoSpaceDN w:val="0"/>
        <w:adjustRightInd w:val="0"/>
        <w:rPr>
          <w:rFonts w:cs="Times New Roman"/>
          <w:szCs w:val="24"/>
        </w:rPr>
      </w:pPr>
    </w:p>
    <w:p w14:paraId="6F4E0E55"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2</w:t>
      </w:r>
    </w:p>
    <w:p w14:paraId="2088C11A" w14:textId="77777777" w:rsidR="006A4CD7" w:rsidRPr="002B283E" w:rsidRDefault="006A4CD7" w:rsidP="002B283E">
      <w:pPr>
        <w:autoSpaceDE w:val="0"/>
        <w:autoSpaceDN w:val="0"/>
        <w:adjustRightInd w:val="0"/>
        <w:rPr>
          <w:rFonts w:cs="Times New Roman"/>
          <w:szCs w:val="24"/>
        </w:rPr>
      </w:pPr>
    </w:p>
    <w:p w14:paraId="3964BD6A" w14:textId="470415A2" w:rsidR="006A4CD7" w:rsidRPr="002B283E" w:rsidRDefault="006A4CD7" w:rsidP="002B283E">
      <w:pPr>
        <w:autoSpaceDE w:val="0"/>
        <w:autoSpaceDN w:val="0"/>
        <w:adjustRightInd w:val="0"/>
        <w:rPr>
          <w:rFonts w:cs="Times New Roman"/>
          <w:szCs w:val="24"/>
        </w:rPr>
      </w:pPr>
      <w:r w:rsidRPr="002B283E">
        <w:rPr>
          <w:rFonts w:cs="Times New Roman"/>
          <w:szCs w:val="24"/>
        </w:rPr>
        <w:tab/>
        <w:t>When attorneys have finished their examination of a witness, you may ask questions of the witness. [</w:t>
      </w:r>
      <w:r w:rsidRPr="002B283E">
        <w:rPr>
          <w:rFonts w:cs="Times New Roman"/>
          <w:i/>
          <w:iCs/>
          <w:szCs w:val="24"/>
          <w:u w:val="single"/>
        </w:rPr>
        <w:t>Describe procedure to be used</w:t>
      </w:r>
      <w:r w:rsidRPr="002B283E">
        <w:rPr>
          <w:rFonts w:cs="Times New Roman"/>
          <w:szCs w:val="24"/>
        </w:rPr>
        <w:t>.] If the rules of evidence do not permit a particular question, I will advise you. After your questions, if any, the attorneys may ask additional</w:t>
      </w:r>
      <w:r w:rsidR="00055FF7">
        <w:rPr>
          <w:rFonts w:cs="Times New Roman"/>
          <w:szCs w:val="24"/>
        </w:rPr>
        <w:t xml:space="preserve"> </w:t>
      </w:r>
      <w:r w:rsidRPr="002B283E">
        <w:rPr>
          <w:rFonts w:cs="Times New Roman"/>
          <w:szCs w:val="24"/>
        </w:rPr>
        <w:t>questions.</w:t>
      </w:r>
    </w:p>
    <w:p w14:paraId="68C36379" w14:textId="77777777" w:rsidR="006A4CD7" w:rsidRPr="002B283E" w:rsidRDefault="006A4CD7" w:rsidP="002B283E">
      <w:pPr>
        <w:autoSpaceDE w:val="0"/>
        <w:autoSpaceDN w:val="0"/>
        <w:adjustRightInd w:val="0"/>
        <w:rPr>
          <w:rFonts w:cs="Times New Roman"/>
          <w:szCs w:val="24"/>
        </w:rPr>
      </w:pPr>
    </w:p>
    <w:p w14:paraId="2ACBFC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E987D7C" w14:textId="77777777" w:rsidR="006A4CD7" w:rsidRPr="002B283E" w:rsidRDefault="006A4CD7" w:rsidP="002B283E">
      <w:pPr>
        <w:autoSpaceDE w:val="0"/>
        <w:autoSpaceDN w:val="0"/>
        <w:adjustRightInd w:val="0"/>
        <w:rPr>
          <w:rFonts w:cs="Times New Roman"/>
          <w:szCs w:val="24"/>
        </w:rPr>
      </w:pPr>
    </w:p>
    <w:p w14:paraId="6B12E944" w14:textId="1A26F1B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may be occasions when a juror desires to ask a question of a witness, and the court has discretion in permitting or refusing to permit jurors to do so. </w:t>
      </w:r>
      <w:r w:rsidRPr="002B283E">
        <w:rPr>
          <w:rFonts w:cs="Times New Roman"/>
          <w:i/>
          <w:iCs/>
          <w:szCs w:val="24"/>
        </w:rPr>
        <w:t>See</w:t>
      </w:r>
      <w:r w:rsidR="00FF0716">
        <w:rPr>
          <w:rFonts w:cs="Times New Roman"/>
          <w:i/>
          <w:iCs/>
          <w:szCs w:val="24"/>
        </w:rPr>
        <w:t xml:space="preserve"> </w:t>
      </w:r>
      <w:r w:rsidRPr="002B283E">
        <w:rPr>
          <w:rFonts w:cs="Times New Roman"/>
          <w:i/>
          <w:iCs/>
          <w:szCs w:val="24"/>
        </w:rPr>
        <w:t>United States v. Huebner</w:t>
      </w:r>
      <w:r w:rsidRPr="002B283E">
        <w:rPr>
          <w:rFonts w:cs="Times New Roman"/>
          <w:szCs w:val="24"/>
        </w:rPr>
        <w:t>, 48 F.3d 376, 382 (9th Cir. 1994) (“Huebner does not point out prejudice resulting from any of the few questions [jurors] asked</w:t>
      </w:r>
      <w:r w:rsidR="00A87F6E">
        <w:rPr>
          <w:rFonts w:cs="Times New Roman"/>
          <w:szCs w:val="24"/>
        </w:rPr>
        <w:t xml:space="preserve">. </w:t>
      </w:r>
      <w:r w:rsidRPr="002B283E">
        <w:rPr>
          <w:rFonts w:cs="Times New Roman"/>
          <w:szCs w:val="24"/>
        </w:rPr>
        <w:t xml:space="preserve">There was no error or abuse of discretion”); </w:t>
      </w:r>
      <w:r w:rsidRPr="002B283E">
        <w:rPr>
          <w:rFonts w:cs="Times New Roman"/>
          <w:i/>
          <w:iCs/>
          <w:szCs w:val="24"/>
        </w:rPr>
        <w:t>United States v. Gonzales</w:t>
      </w:r>
      <w:r w:rsidRPr="002B283E">
        <w:rPr>
          <w:rFonts w:cs="Times New Roman"/>
          <w:szCs w:val="24"/>
        </w:rPr>
        <w:t>, 424 F.2d 1055, 1056 (9th Cir. 1970) (holding there was no error by trial judge in allowing juror to submit question to court);</w:t>
      </w:r>
      <w:r w:rsidRPr="002B283E">
        <w:rPr>
          <w:rFonts w:cs="Times New Roman"/>
          <w:smallCaps/>
          <w:szCs w:val="24"/>
        </w:rPr>
        <w:t xml:space="preserve"> </w:t>
      </w:r>
      <w:r w:rsidR="00DC112B" w:rsidRPr="00DC112B">
        <w:rPr>
          <w:rFonts w:cs="Times New Roman"/>
          <w:smallCaps/>
          <w:szCs w:val="24"/>
        </w:rPr>
        <w:t>Ninth Circuit Judges’ Trial Manual § 3.9.2</w:t>
      </w:r>
      <w:r w:rsidR="00DC112B">
        <w:rPr>
          <w:rFonts w:cs="Times New Roman"/>
          <w:smallCaps/>
          <w:szCs w:val="24"/>
        </w:rPr>
        <w:t>:</w:t>
      </w:r>
      <w:r w:rsidR="00DC112B" w:rsidRPr="00DC112B">
        <w:rPr>
          <w:rFonts w:cs="Times New Roman"/>
          <w:smallCaps/>
          <w:szCs w:val="24"/>
        </w:rPr>
        <w:t xml:space="preserve"> Juror Questioning of Witnesses </w:t>
      </w:r>
      <w:r w:rsidR="00B2200B" w:rsidRPr="00DC112B">
        <w:rPr>
          <w:rFonts w:cs="Times New Roman"/>
          <w:smallCaps/>
          <w:szCs w:val="24"/>
        </w:rPr>
        <w:t xml:space="preserve">(2025) </w:t>
      </w:r>
      <w:r w:rsidRPr="002B283E">
        <w:rPr>
          <w:rFonts w:cs="Times New Roman"/>
          <w:szCs w:val="24"/>
        </w:rPr>
        <w:t>(providing practical suggestions).</w:t>
      </w:r>
    </w:p>
    <w:p w14:paraId="4F8BD335" w14:textId="77777777" w:rsidR="006A4CD7" w:rsidRPr="002B283E" w:rsidRDefault="006A4CD7" w:rsidP="002B283E">
      <w:pPr>
        <w:autoSpaceDE w:val="0"/>
        <w:autoSpaceDN w:val="0"/>
        <w:adjustRightInd w:val="0"/>
        <w:rPr>
          <w:rFonts w:cs="Times New Roman"/>
          <w:szCs w:val="24"/>
        </w:rPr>
      </w:pPr>
    </w:p>
    <w:p w14:paraId="42327BAF" w14:textId="68FA2D6A" w:rsidR="006A4CD7" w:rsidRPr="002B283E" w:rsidRDefault="006A4CD7" w:rsidP="002B283E">
      <w:pPr>
        <w:autoSpaceDE w:val="0"/>
        <w:autoSpaceDN w:val="0"/>
        <w:adjustRightInd w:val="0"/>
        <w:rPr>
          <w:rFonts w:cs="Times New Roman"/>
          <w:szCs w:val="24"/>
        </w:rPr>
      </w:pPr>
      <w:r w:rsidRPr="002B283E">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2B283E" w:rsidRDefault="006A4CD7" w:rsidP="002B283E">
      <w:pPr>
        <w:autoSpaceDE w:val="0"/>
        <w:autoSpaceDN w:val="0"/>
        <w:adjustRightInd w:val="0"/>
        <w:rPr>
          <w:rFonts w:cs="Times New Roman"/>
          <w:szCs w:val="24"/>
        </w:rPr>
      </w:pPr>
    </w:p>
    <w:p w14:paraId="48C8CBB9" w14:textId="77777777" w:rsidR="006A4CD7" w:rsidRPr="002B283E" w:rsidRDefault="006A4CD7" w:rsidP="002B283E">
      <w:pPr>
        <w:autoSpaceDE w:val="0"/>
        <w:autoSpaceDN w:val="0"/>
        <w:adjustRightInd w:val="0"/>
        <w:rPr>
          <w:rFonts w:cs="Times New Roman"/>
          <w:szCs w:val="24"/>
        </w:rPr>
      </w:pPr>
    </w:p>
    <w:p w14:paraId="5A3C5006"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 xml:space="preserve">Revised Oct. 2019 </w:t>
      </w:r>
    </w:p>
    <w:p w14:paraId="56D6CB86" w14:textId="77777777" w:rsidR="006A4CD7" w:rsidRPr="002B283E" w:rsidRDefault="006A4CD7" w:rsidP="002B283E">
      <w:pPr>
        <w:autoSpaceDE w:val="0"/>
        <w:autoSpaceDN w:val="0"/>
        <w:adjustRightInd w:val="0"/>
        <w:rPr>
          <w:rFonts w:cs="Times New Roman"/>
          <w:szCs w:val="24"/>
        </w:rPr>
      </w:pPr>
    </w:p>
    <w:p w14:paraId="094AA940" w14:textId="0705560D" w:rsidR="006A4CD7" w:rsidRPr="002B283E" w:rsidRDefault="006A4CD7" w:rsidP="002B283E">
      <w:pPr>
        <w:pStyle w:val="Heading2"/>
        <w:tabs>
          <w:tab w:val="left" w:pos="810"/>
        </w:tabs>
      </w:pPr>
      <w:r w:rsidRPr="002B283E">
        <w:br w:type="page"/>
      </w:r>
      <w:bookmarkStart w:id="27" w:name="_Toc221525079"/>
      <w:r w:rsidRPr="002B283E">
        <w:lastRenderedPageBreak/>
        <w:t xml:space="preserve">1.20 </w:t>
      </w:r>
      <w:r w:rsidR="00F421A9" w:rsidRPr="002B283E">
        <w:t>Bench Conferences and Recesses</w:t>
      </w:r>
      <w:bookmarkEnd w:id="27"/>
    </w:p>
    <w:p w14:paraId="104BC05D" w14:textId="77777777" w:rsidR="006A4CD7" w:rsidRPr="002B283E" w:rsidRDefault="006A4CD7" w:rsidP="002B283E">
      <w:pPr>
        <w:autoSpaceDE w:val="0"/>
        <w:autoSpaceDN w:val="0"/>
        <w:adjustRightInd w:val="0"/>
        <w:rPr>
          <w:rFonts w:cs="Times New Roman"/>
          <w:szCs w:val="24"/>
        </w:rPr>
      </w:pPr>
    </w:p>
    <w:p w14:paraId="451F6788" w14:textId="6CC52CBC" w:rsidR="006A4CD7" w:rsidRPr="002B283E" w:rsidRDefault="006A4CD7" w:rsidP="002B283E">
      <w:pPr>
        <w:autoSpaceDE w:val="0"/>
        <w:autoSpaceDN w:val="0"/>
        <w:adjustRightInd w:val="0"/>
        <w:rPr>
          <w:rFonts w:cs="Times New Roman"/>
          <w:szCs w:val="24"/>
        </w:rPr>
      </w:pPr>
      <w:r w:rsidRPr="002B283E">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2B283E" w:rsidRDefault="006A4CD7" w:rsidP="002B283E">
      <w:pPr>
        <w:autoSpaceDE w:val="0"/>
        <w:autoSpaceDN w:val="0"/>
        <w:adjustRightInd w:val="0"/>
        <w:rPr>
          <w:rFonts w:cs="Times New Roman"/>
          <w:szCs w:val="24"/>
        </w:rPr>
      </w:pPr>
    </w:p>
    <w:p w14:paraId="336C8740" w14:textId="6072D90F" w:rsidR="006A4CD7" w:rsidRPr="002B283E" w:rsidRDefault="006A4CD7" w:rsidP="002B283E">
      <w:pPr>
        <w:autoSpaceDE w:val="0"/>
        <w:autoSpaceDN w:val="0"/>
        <w:adjustRightInd w:val="0"/>
        <w:rPr>
          <w:rFonts w:cs="Times New Roman"/>
          <w:szCs w:val="24"/>
        </w:rPr>
      </w:pPr>
      <w:r w:rsidRPr="002B283E">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2B283E" w:rsidRDefault="006A4CD7" w:rsidP="002B283E">
      <w:pPr>
        <w:autoSpaceDE w:val="0"/>
        <w:autoSpaceDN w:val="0"/>
        <w:adjustRightInd w:val="0"/>
        <w:rPr>
          <w:rFonts w:cs="Times New Roman"/>
          <w:szCs w:val="24"/>
        </w:rPr>
      </w:pPr>
    </w:p>
    <w:p w14:paraId="7B94416D" w14:textId="77777777" w:rsidR="006A4CD7" w:rsidRPr="002B283E" w:rsidRDefault="006A4CD7" w:rsidP="002B283E">
      <w:pPr>
        <w:autoSpaceDE w:val="0"/>
        <w:autoSpaceDN w:val="0"/>
        <w:adjustRightInd w:val="0"/>
        <w:rPr>
          <w:rFonts w:cs="Times New Roman"/>
          <w:szCs w:val="24"/>
        </w:rPr>
      </w:pPr>
    </w:p>
    <w:p w14:paraId="019EF3B4" w14:textId="77777777" w:rsidR="00030A67" w:rsidRPr="002B283E" w:rsidRDefault="00030A67" w:rsidP="002B283E">
      <w:pPr>
        <w:rPr>
          <w:rFonts w:cs="Times New Roman"/>
          <w:b/>
          <w:bCs/>
          <w:szCs w:val="24"/>
        </w:rPr>
      </w:pPr>
      <w:r w:rsidRPr="002B283E">
        <w:rPr>
          <w:rFonts w:cs="Times New Roman"/>
          <w:b/>
          <w:bCs/>
          <w:szCs w:val="24"/>
        </w:rPr>
        <w:br w:type="page"/>
      </w:r>
    </w:p>
    <w:p w14:paraId="49F7F2AB" w14:textId="0682F411" w:rsidR="006A4CD7" w:rsidRPr="002B283E" w:rsidRDefault="006A4CD7" w:rsidP="002B283E">
      <w:pPr>
        <w:pStyle w:val="Heading2"/>
      </w:pPr>
      <w:bookmarkStart w:id="28" w:name="_Toc221525080"/>
      <w:r w:rsidRPr="002B283E">
        <w:lastRenderedPageBreak/>
        <w:t xml:space="preserve">1.21 </w:t>
      </w:r>
      <w:r w:rsidR="00F421A9" w:rsidRPr="002B283E">
        <w:t>Outline of Trial</w:t>
      </w:r>
      <w:bookmarkEnd w:id="28"/>
    </w:p>
    <w:p w14:paraId="48255F64" w14:textId="77777777" w:rsidR="006A4CD7" w:rsidRPr="002B283E" w:rsidRDefault="006A4CD7" w:rsidP="002B283E">
      <w:pPr>
        <w:autoSpaceDE w:val="0"/>
        <w:autoSpaceDN w:val="0"/>
        <w:adjustRightInd w:val="0"/>
        <w:rPr>
          <w:rFonts w:cs="Times New Roman"/>
          <w:szCs w:val="24"/>
        </w:rPr>
      </w:pPr>
    </w:p>
    <w:p w14:paraId="5CC95964" w14:textId="6FDC5109" w:rsidR="006A4CD7" w:rsidRPr="002B283E" w:rsidRDefault="006A4CD7" w:rsidP="002B283E">
      <w:pPr>
        <w:autoSpaceDE w:val="0"/>
        <w:autoSpaceDN w:val="0"/>
        <w:adjustRightInd w:val="0"/>
        <w:rPr>
          <w:rFonts w:cs="Times New Roman"/>
          <w:szCs w:val="24"/>
        </w:rPr>
      </w:pPr>
      <w:r w:rsidRPr="002B283E">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2B283E" w:rsidRDefault="006A4CD7" w:rsidP="002B283E">
      <w:pPr>
        <w:autoSpaceDE w:val="0"/>
        <w:autoSpaceDN w:val="0"/>
        <w:adjustRightInd w:val="0"/>
        <w:rPr>
          <w:rFonts w:cs="Times New Roman"/>
          <w:szCs w:val="24"/>
        </w:rPr>
      </w:pPr>
    </w:p>
    <w:p w14:paraId="7FA88C4E" w14:textId="7C5E649E"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will then present evidence, and counsel for the defendant may cross-examine</w:t>
      </w:r>
      <w:r w:rsidR="00A87F6E">
        <w:rPr>
          <w:rFonts w:cs="Times New Roman"/>
          <w:szCs w:val="24"/>
        </w:rPr>
        <w:t xml:space="preserve">. </w:t>
      </w:r>
      <w:r w:rsidRPr="002B283E">
        <w:rPr>
          <w:rFonts w:cs="Times New Roman"/>
          <w:szCs w:val="24"/>
        </w:rPr>
        <w:t>Then the defendant may present evidence, and counsel for the plaintiff may cross-examine.</w:t>
      </w:r>
    </w:p>
    <w:p w14:paraId="001B820D" w14:textId="77777777" w:rsidR="006A4CD7" w:rsidRPr="002B283E" w:rsidRDefault="006A4CD7" w:rsidP="002B283E">
      <w:pPr>
        <w:autoSpaceDE w:val="0"/>
        <w:autoSpaceDN w:val="0"/>
        <w:adjustRightInd w:val="0"/>
        <w:rPr>
          <w:rFonts w:cs="Times New Roman"/>
          <w:szCs w:val="24"/>
        </w:rPr>
      </w:pPr>
    </w:p>
    <w:p w14:paraId="3A58EDF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the evidence has been presented, I will instruct you on the law that applies to the case and the attorneys will make closing arguments.</w:t>
      </w:r>
    </w:p>
    <w:p w14:paraId="00AEBE69" w14:textId="77777777" w:rsidR="006A4CD7" w:rsidRPr="002B283E" w:rsidRDefault="006A4CD7" w:rsidP="002B283E">
      <w:pPr>
        <w:autoSpaceDE w:val="0"/>
        <w:autoSpaceDN w:val="0"/>
        <w:adjustRightInd w:val="0"/>
        <w:rPr>
          <w:rFonts w:cs="Times New Roman"/>
          <w:szCs w:val="24"/>
        </w:rPr>
      </w:pPr>
    </w:p>
    <w:p w14:paraId="4ACB66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that, you will go to the jury room to deliberate on your verdict.</w:t>
      </w:r>
    </w:p>
    <w:p w14:paraId="781C0113" w14:textId="77777777" w:rsidR="006A4CD7" w:rsidRPr="002B283E" w:rsidRDefault="006A4CD7" w:rsidP="002B283E">
      <w:pPr>
        <w:autoSpaceDE w:val="0"/>
        <w:autoSpaceDN w:val="0"/>
        <w:adjustRightInd w:val="0"/>
        <w:rPr>
          <w:rFonts w:cs="Times New Roman"/>
          <w:szCs w:val="24"/>
        </w:rPr>
      </w:pPr>
    </w:p>
    <w:p w14:paraId="65621FB3" w14:textId="77777777" w:rsidR="006A4CD7" w:rsidRPr="002B283E" w:rsidRDefault="006A4CD7" w:rsidP="002B283E">
      <w:pPr>
        <w:autoSpaceDE w:val="0"/>
        <w:autoSpaceDN w:val="0"/>
        <w:adjustRightInd w:val="0"/>
        <w:rPr>
          <w:rFonts w:cs="Times New Roman"/>
          <w:szCs w:val="24"/>
        </w:rPr>
      </w:pPr>
    </w:p>
    <w:p w14:paraId="00670227" w14:textId="03DA99A7" w:rsidR="006A4CD7" w:rsidRPr="002B283E" w:rsidRDefault="006A4CD7" w:rsidP="002B283E">
      <w:pPr>
        <w:pStyle w:val="Heading2"/>
      </w:pPr>
      <w:r w:rsidRPr="002B283E">
        <w:br w:type="page"/>
      </w:r>
      <w:bookmarkStart w:id="29" w:name="_Toc221525081"/>
      <w:r w:rsidRPr="002B283E">
        <w:lastRenderedPageBreak/>
        <w:t xml:space="preserve">1.22 </w:t>
      </w:r>
      <w:r w:rsidR="00F421A9" w:rsidRPr="002B283E">
        <w:t>Self-Represented Party</w:t>
      </w:r>
      <w:bookmarkEnd w:id="29"/>
    </w:p>
    <w:p w14:paraId="0ACA49C5" w14:textId="77777777" w:rsidR="006A4CD7" w:rsidRPr="002B283E" w:rsidRDefault="006A4CD7" w:rsidP="002B283E">
      <w:pPr>
        <w:autoSpaceDE w:val="0"/>
        <w:autoSpaceDN w:val="0"/>
        <w:adjustRightInd w:val="0"/>
        <w:jc w:val="center"/>
        <w:rPr>
          <w:rFonts w:cs="Times New Roman"/>
          <w:szCs w:val="24"/>
        </w:rPr>
      </w:pPr>
    </w:p>
    <w:p w14:paraId="0D7CB581" w14:textId="37453835"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party</w:t>
      </w:r>
      <w:r w:rsidRPr="002B283E">
        <w:rPr>
          <w:rFonts w:cs="Times New Roman"/>
          <w:szCs w:val="24"/>
        </w:rPr>
        <w:t>] is representing [himself] [herself]</w:t>
      </w:r>
      <w:r w:rsidR="002C06A8" w:rsidRP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 this trial. This fact must not affect your consideration of the case. Self-represented parties and parties represented by an attorney are entitled to the same fair consideration.</w:t>
      </w:r>
    </w:p>
    <w:p w14:paraId="044BDACB" w14:textId="77777777" w:rsidR="006A4CD7" w:rsidRPr="002B283E" w:rsidRDefault="006A4CD7" w:rsidP="002B283E">
      <w:pPr>
        <w:autoSpaceDE w:val="0"/>
        <w:autoSpaceDN w:val="0"/>
        <w:adjustRightInd w:val="0"/>
        <w:rPr>
          <w:rFonts w:cs="Times New Roman"/>
          <w:szCs w:val="24"/>
        </w:rPr>
      </w:pPr>
    </w:p>
    <w:p w14:paraId="6431CC74" w14:textId="6CB93AFE" w:rsidR="006A4CD7" w:rsidRPr="002B283E" w:rsidRDefault="006A4CD7" w:rsidP="002B283E">
      <w:pPr>
        <w:autoSpaceDE w:val="0"/>
        <w:autoSpaceDN w:val="0"/>
        <w:adjustRightInd w:val="0"/>
        <w:rPr>
          <w:rFonts w:cs="Times New Roman"/>
          <w:szCs w:val="24"/>
        </w:rPr>
      </w:pPr>
      <w:r w:rsidRPr="002B283E">
        <w:rPr>
          <w:rFonts w:cs="Times New Roman"/>
          <w:szCs w:val="24"/>
        </w:rPr>
        <w:tab/>
        <w:t>Because [</w:t>
      </w:r>
      <w:r w:rsidRPr="002B283E">
        <w:rPr>
          <w:rFonts w:cs="Times New Roman"/>
          <w:i/>
          <w:iCs/>
          <w:szCs w:val="24"/>
          <w:u w:val="single"/>
        </w:rPr>
        <w:t>name of party</w:t>
      </w:r>
      <w:r w:rsidRPr="002B283E">
        <w:rPr>
          <w:rFonts w:cs="Times New Roman"/>
          <w:szCs w:val="24"/>
        </w:rPr>
        <w:t xml:space="preserve">] 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own lawyer, you will hear [him] [her]</w:t>
      </w:r>
      <w:r w:rsid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speak at various times during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may make an opening statement and closing argument and may ask questions of witnesses, make objections, and argue legal issues to the court. I want to remind you that when [</w:t>
      </w:r>
      <w:r w:rsidRPr="008A04C2">
        <w:rPr>
          <w:rFonts w:cs="Times New Roman"/>
          <w:i/>
          <w:iCs/>
          <w:szCs w:val="24"/>
          <w:u w:val="single"/>
        </w:rPr>
        <w:t>name of party</w:t>
      </w:r>
      <w:r w:rsidRPr="002B283E">
        <w:rPr>
          <w:rFonts w:cs="Times New Roman"/>
          <w:szCs w:val="24"/>
        </w:rPr>
        <w:t xml:space="preserve">] speaks in these parts of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own advocate, and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words are not evidence. The only evidence in this case comes from witnesses who testify u</w:t>
      </w:r>
      <w:r w:rsidR="006E79F5">
        <w:rPr>
          <w:rFonts w:cs="Times New Roman"/>
          <w:szCs w:val="24"/>
        </w:rPr>
        <w:t>n</w:t>
      </w:r>
      <w:r w:rsidRPr="002B283E">
        <w:rPr>
          <w:rFonts w:cs="Times New Roman"/>
          <w:szCs w:val="24"/>
        </w:rPr>
        <w:t>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2B283E" w:rsidRDefault="006A4CD7" w:rsidP="002B283E">
      <w:pPr>
        <w:autoSpaceDE w:val="0"/>
        <w:autoSpaceDN w:val="0"/>
        <w:adjustRightInd w:val="0"/>
        <w:rPr>
          <w:rFonts w:cs="Times New Roman"/>
          <w:szCs w:val="24"/>
        </w:rPr>
      </w:pPr>
    </w:p>
    <w:p w14:paraId="1693739D" w14:textId="77777777" w:rsidR="006A4CD7" w:rsidRPr="002B283E" w:rsidRDefault="006A4CD7" w:rsidP="002B283E">
      <w:pPr>
        <w:autoSpaceDE w:val="0"/>
        <w:autoSpaceDN w:val="0"/>
        <w:adjustRightInd w:val="0"/>
        <w:rPr>
          <w:rFonts w:cs="Times New Roman"/>
          <w:szCs w:val="24"/>
        </w:rPr>
      </w:pPr>
    </w:p>
    <w:p w14:paraId="31C71525" w14:textId="77777777" w:rsidR="006A4CD7" w:rsidRPr="002B283E" w:rsidRDefault="006A4CD7" w:rsidP="002B283E">
      <w:pPr>
        <w:autoSpaceDE w:val="0"/>
        <w:autoSpaceDN w:val="0"/>
        <w:adjustRightInd w:val="0"/>
        <w:jc w:val="right"/>
        <w:rPr>
          <w:rFonts w:cs="Times New Roman"/>
          <w:szCs w:val="24"/>
        </w:rPr>
      </w:pPr>
      <w:r w:rsidRPr="002B283E">
        <w:rPr>
          <w:rFonts w:cs="Times New Roman"/>
          <w:i/>
          <w:iCs/>
          <w:szCs w:val="24"/>
        </w:rPr>
        <w:t>Added Dec. 2019</w:t>
      </w:r>
    </w:p>
    <w:p w14:paraId="3D82EE61" w14:textId="59381829" w:rsidR="006A4CD7" w:rsidRPr="002B283E" w:rsidRDefault="006A4CD7" w:rsidP="002B283E">
      <w:pPr>
        <w:pStyle w:val="Heading1"/>
        <w:spacing w:before="0" w:line="240" w:lineRule="auto"/>
      </w:pPr>
      <w:r w:rsidRPr="002B283E">
        <w:br w:type="page"/>
      </w:r>
      <w:bookmarkStart w:id="30" w:name="_Toc221525082"/>
      <w:r w:rsidRPr="002B283E">
        <w:lastRenderedPageBreak/>
        <w:t>2</w:t>
      </w:r>
      <w:r w:rsidR="00A87F6E">
        <w:t xml:space="preserve">. </w:t>
      </w:r>
      <w:r w:rsidRPr="002B283E">
        <w:t>INSTRUCTIONS ON TYPES OF EVIDENCE</w:t>
      </w:r>
      <w:bookmarkEnd w:id="30"/>
    </w:p>
    <w:p w14:paraId="0B51B049" w14:textId="77777777" w:rsidR="006A4CD7" w:rsidRPr="002B283E" w:rsidRDefault="006A4CD7" w:rsidP="002B283E">
      <w:pPr>
        <w:rPr>
          <w:rFonts w:cs="Times New Roman"/>
          <w:szCs w:val="24"/>
        </w:rPr>
      </w:pPr>
    </w:p>
    <w:p w14:paraId="57E4AA53" w14:textId="211D0A5D"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72235990" w14:textId="77777777" w:rsidR="00C64E8D" w:rsidRPr="002B283E" w:rsidRDefault="00C64E8D" w:rsidP="002B283E">
      <w:pPr>
        <w:autoSpaceDE w:val="0"/>
        <w:autoSpaceDN w:val="0"/>
        <w:adjustRightInd w:val="0"/>
        <w:rPr>
          <w:rFonts w:cs="Times New Roman"/>
          <w:szCs w:val="24"/>
        </w:rPr>
      </w:pPr>
    </w:p>
    <w:p w14:paraId="7A6708C4" w14:textId="572EB590" w:rsidR="006A4CD7" w:rsidRPr="002B283E" w:rsidRDefault="00C64E8D" w:rsidP="002B283E">
      <w:pPr>
        <w:tabs>
          <w:tab w:val="left" w:pos="900"/>
        </w:tabs>
        <w:rPr>
          <w:rFonts w:cs="Times New Roman"/>
          <w:szCs w:val="24"/>
        </w:rPr>
      </w:pPr>
      <w:bookmarkStart w:id="31" w:name="_Hlk204080873"/>
      <w:r w:rsidRPr="002B283E">
        <w:rPr>
          <w:rFonts w:cs="Times New Roman"/>
          <w:szCs w:val="24"/>
        </w:rPr>
        <w:t>2.</w:t>
      </w:r>
      <w:r w:rsidR="008F2637">
        <w:rPr>
          <w:rFonts w:cs="Times New Roman"/>
          <w:szCs w:val="24"/>
        </w:rPr>
        <w:t>1</w:t>
      </w:r>
      <w:r w:rsidRPr="002B283E">
        <w:rPr>
          <w:rFonts w:cs="Times New Roman"/>
          <w:szCs w:val="24"/>
        </w:rPr>
        <w:tab/>
        <w:t>Cautionary Testimony</w:t>
      </w:r>
    </w:p>
    <w:p w14:paraId="5DC84681" w14:textId="118B4AE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2</w:t>
      </w:r>
      <w:r w:rsidRPr="002B283E">
        <w:rPr>
          <w:rFonts w:cs="Times New Roman"/>
          <w:szCs w:val="24"/>
        </w:rPr>
        <w:tab/>
        <w:t>Stipulated Testimony</w:t>
      </w:r>
    </w:p>
    <w:p w14:paraId="6745B414" w14:textId="7D1EDCB1" w:rsidR="006A4CD7" w:rsidRPr="002B283E" w:rsidRDefault="006A4CD7" w:rsidP="002B283E">
      <w:pPr>
        <w:tabs>
          <w:tab w:val="left" w:pos="180"/>
        </w:tabs>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3</w:t>
      </w:r>
      <w:r w:rsidRPr="002B283E">
        <w:rPr>
          <w:rFonts w:cs="Times New Roman"/>
          <w:szCs w:val="24"/>
        </w:rPr>
        <w:tab/>
        <w:t>Stipulations of Fact</w:t>
      </w:r>
    </w:p>
    <w:p w14:paraId="781A4EB6" w14:textId="7FDB7279"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2.</w:t>
      </w:r>
      <w:r w:rsidR="008F2637">
        <w:rPr>
          <w:rFonts w:cs="Times New Roman"/>
          <w:szCs w:val="24"/>
        </w:rPr>
        <w:t>4</w:t>
      </w:r>
      <w:r w:rsidRPr="002B283E">
        <w:rPr>
          <w:rFonts w:cs="Times New Roman"/>
          <w:szCs w:val="24"/>
        </w:rPr>
        <w:tab/>
        <w:t>Judicial Notice</w:t>
      </w:r>
    </w:p>
    <w:p w14:paraId="244A8817" w14:textId="06978D3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5</w:t>
      </w:r>
      <w:r w:rsidRPr="002B283E">
        <w:rPr>
          <w:rFonts w:cs="Times New Roman"/>
          <w:szCs w:val="24"/>
        </w:rPr>
        <w:tab/>
        <w:t>Deposition in Lieu of Live Testimony</w:t>
      </w:r>
    </w:p>
    <w:p w14:paraId="5A53AA74" w14:textId="0E293DE2"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6</w:t>
      </w:r>
      <w:r w:rsidRPr="002B283E">
        <w:rPr>
          <w:rFonts w:cs="Times New Roman"/>
          <w:szCs w:val="24"/>
        </w:rPr>
        <w:tab/>
        <w:t xml:space="preserve">Transcript of Recording in English </w:t>
      </w:r>
    </w:p>
    <w:p w14:paraId="56BF04A6" w14:textId="60FED3E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7</w:t>
      </w:r>
      <w:r w:rsidRPr="002B283E">
        <w:rPr>
          <w:rFonts w:cs="Times New Roman"/>
          <w:szCs w:val="24"/>
        </w:rPr>
        <w:tab/>
        <w:t>Transcript of Recording in Foreign Language</w:t>
      </w:r>
    </w:p>
    <w:p w14:paraId="79222C58" w14:textId="67440E7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8</w:t>
      </w:r>
      <w:r w:rsidRPr="002B283E">
        <w:rPr>
          <w:rFonts w:cs="Times New Roman"/>
          <w:szCs w:val="24"/>
        </w:rPr>
        <w:tab/>
        <w:t>Disputed Transcript of Recording in Foreign Language</w:t>
      </w:r>
    </w:p>
    <w:p w14:paraId="2F0C1638" w14:textId="41DB3B6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9</w:t>
      </w:r>
      <w:r w:rsidRPr="002B283E">
        <w:rPr>
          <w:rFonts w:cs="Times New Roman"/>
          <w:szCs w:val="24"/>
        </w:rPr>
        <w:tab/>
        <w:t>Foreign Language Testimony</w:t>
      </w:r>
    </w:p>
    <w:p w14:paraId="7DBD2BB2" w14:textId="41319F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10</w:t>
      </w:r>
      <w:r w:rsidRPr="002B283E">
        <w:rPr>
          <w:rFonts w:cs="Times New Roman"/>
          <w:szCs w:val="24"/>
        </w:rPr>
        <w:tab/>
        <w:t>Impeachment Evidence—Witness</w:t>
      </w:r>
    </w:p>
    <w:p w14:paraId="5D424532" w14:textId="744E532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1</w:t>
      </w:r>
      <w:r w:rsidRPr="002B283E">
        <w:rPr>
          <w:rFonts w:cs="Times New Roman"/>
          <w:szCs w:val="24"/>
        </w:rPr>
        <w:tab/>
        <w:t>Tests and Experiments</w:t>
      </w:r>
    </w:p>
    <w:p w14:paraId="526580FB" w14:textId="2CCF789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2</w:t>
      </w:r>
      <w:r w:rsidRPr="002B283E">
        <w:rPr>
          <w:rFonts w:cs="Times New Roman"/>
          <w:szCs w:val="24"/>
        </w:rPr>
        <w:tab/>
        <w:t>Use of Interrogatories</w:t>
      </w:r>
    </w:p>
    <w:p w14:paraId="1B11F3A7" w14:textId="2A76B4A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3</w:t>
      </w:r>
      <w:r w:rsidRPr="002B283E">
        <w:rPr>
          <w:rFonts w:cs="Times New Roman"/>
          <w:szCs w:val="24"/>
        </w:rPr>
        <w:tab/>
        <w:t xml:space="preserve">Use of Requests for Admission </w:t>
      </w:r>
    </w:p>
    <w:p w14:paraId="1ABD18AC" w14:textId="538670A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4</w:t>
      </w:r>
      <w:r w:rsidRPr="002B283E">
        <w:rPr>
          <w:rFonts w:cs="Times New Roman"/>
          <w:szCs w:val="24"/>
        </w:rPr>
        <w:tab/>
      </w:r>
      <w:r w:rsidR="00CE28ED" w:rsidRPr="002B283E">
        <w:rPr>
          <w:rFonts w:cs="Times New Roman"/>
          <w:szCs w:val="24"/>
        </w:rPr>
        <w:t>[Expert] Opinion Testimony</w:t>
      </w:r>
    </w:p>
    <w:p w14:paraId="63685181" w14:textId="643C72F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5</w:t>
      </w:r>
      <w:r w:rsidRPr="002B283E">
        <w:rPr>
          <w:rFonts w:cs="Times New Roman"/>
          <w:szCs w:val="24"/>
        </w:rPr>
        <w:t xml:space="preserve"> </w:t>
      </w:r>
      <w:r w:rsidRPr="002B283E">
        <w:rPr>
          <w:rFonts w:cs="Times New Roman"/>
          <w:szCs w:val="24"/>
        </w:rPr>
        <w:tab/>
        <w:t>Charts and Summaries Not Received in Evidence</w:t>
      </w:r>
    </w:p>
    <w:p w14:paraId="340BA598" w14:textId="2D5E0A31" w:rsidR="006A4CD7" w:rsidRPr="002B283E" w:rsidRDefault="006A4CD7" w:rsidP="002B283E">
      <w:pPr>
        <w:tabs>
          <w:tab w:val="left" w:pos="990"/>
        </w:tabs>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6</w:t>
      </w:r>
      <w:r w:rsidRPr="002B283E">
        <w:rPr>
          <w:rFonts w:cs="Times New Roman"/>
          <w:szCs w:val="24"/>
        </w:rPr>
        <w:t xml:space="preserve"> </w:t>
      </w:r>
      <w:r w:rsidRPr="002B283E">
        <w:rPr>
          <w:rFonts w:cs="Times New Roman"/>
          <w:szCs w:val="24"/>
        </w:rPr>
        <w:tab/>
        <w:t xml:space="preserve">Charts and Summaries </w:t>
      </w:r>
      <w:r w:rsidR="00545512" w:rsidRPr="002B283E">
        <w:rPr>
          <w:rFonts w:cs="Times New Roman"/>
          <w:szCs w:val="24"/>
        </w:rPr>
        <w:t xml:space="preserve">Received </w:t>
      </w:r>
      <w:r w:rsidRPr="002B283E">
        <w:rPr>
          <w:rFonts w:cs="Times New Roman"/>
          <w:szCs w:val="24"/>
        </w:rPr>
        <w:t>in Evidence</w:t>
      </w:r>
    </w:p>
    <w:p w14:paraId="3DDC88FE" w14:textId="72F90C3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7</w:t>
      </w:r>
      <w:r w:rsidRPr="002B283E">
        <w:rPr>
          <w:rFonts w:cs="Times New Roman"/>
          <w:szCs w:val="24"/>
        </w:rPr>
        <w:t xml:space="preserve"> </w:t>
      </w:r>
      <w:r w:rsidRPr="002B283E">
        <w:rPr>
          <w:rFonts w:cs="Times New Roman"/>
          <w:szCs w:val="24"/>
        </w:rPr>
        <w:tab/>
        <w:t>Evidence in Electronic Format</w:t>
      </w:r>
    </w:p>
    <w:bookmarkEnd w:id="31"/>
    <w:p w14:paraId="50804AC5" w14:textId="77777777" w:rsidR="006A4CD7" w:rsidRPr="002B283E" w:rsidRDefault="006A4CD7" w:rsidP="002B283E">
      <w:pPr>
        <w:autoSpaceDE w:val="0"/>
        <w:autoSpaceDN w:val="0"/>
        <w:adjustRightInd w:val="0"/>
        <w:rPr>
          <w:rFonts w:cs="Times New Roman"/>
          <w:szCs w:val="24"/>
        </w:rPr>
      </w:pPr>
    </w:p>
    <w:p w14:paraId="64C140E1" w14:textId="6483B11F"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64E2E55B" w14:textId="77777777" w:rsidR="006A4CD7" w:rsidRPr="002B283E" w:rsidRDefault="006A4CD7" w:rsidP="002B283E">
      <w:pPr>
        <w:rPr>
          <w:rFonts w:cs="Times New Roman"/>
          <w:szCs w:val="24"/>
        </w:rPr>
      </w:pPr>
    </w:p>
    <w:p w14:paraId="6F85CA4B" w14:textId="77777777" w:rsidR="006A4CD7" w:rsidRPr="002B283E" w:rsidRDefault="006A4CD7" w:rsidP="002B283E">
      <w:pPr>
        <w:rPr>
          <w:rFonts w:cs="Times New Roman"/>
          <w:szCs w:val="24"/>
        </w:rPr>
      </w:pPr>
    </w:p>
    <w:p w14:paraId="7F60BBC5" w14:textId="77777777" w:rsidR="00E23BD4" w:rsidRPr="002B283E" w:rsidRDefault="00E23BD4" w:rsidP="002B283E">
      <w:pPr>
        <w:rPr>
          <w:rFonts w:cs="Times New Roman"/>
          <w:szCs w:val="24"/>
        </w:rPr>
      </w:pPr>
    </w:p>
    <w:p w14:paraId="38A7BA8E" w14:textId="4665C938" w:rsidR="00E23BD4" w:rsidRPr="002B283E" w:rsidRDefault="00E23BD4" w:rsidP="002B283E">
      <w:pPr>
        <w:rPr>
          <w:rFonts w:cs="Times New Roman"/>
          <w:szCs w:val="24"/>
        </w:rPr>
      </w:pPr>
    </w:p>
    <w:p w14:paraId="49E54F19" w14:textId="7D183F2E" w:rsidR="0080594F" w:rsidRPr="002B283E" w:rsidRDefault="0080594F" w:rsidP="002B283E">
      <w:pPr>
        <w:rPr>
          <w:rFonts w:cs="Times New Roman"/>
          <w:szCs w:val="24"/>
        </w:rPr>
      </w:pPr>
    </w:p>
    <w:p w14:paraId="263CC465" w14:textId="044713C3" w:rsidR="0080594F" w:rsidRPr="002B283E" w:rsidRDefault="0080594F" w:rsidP="002B283E">
      <w:pPr>
        <w:rPr>
          <w:rFonts w:cs="Times New Roman"/>
          <w:szCs w:val="24"/>
        </w:rPr>
      </w:pPr>
    </w:p>
    <w:p w14:paraId="35CDD4BD" w14:textId="346739A4" w:rsidR="0080594F" w:rsidRPr="002B283E" w:rsidRDefault="0080594F" w:rsidP="002B283E">
      <w:pPr>
        <w:rPr>
          <w:rFonts w:cs="Times New Roman"/>
          <w:szCs w:val="24"/>
        </w:rPr>
      </w:pPr>
    </w:p>
    <w:p w14:paraId="771B2064" w14:textId="66B69808" w:rsidR="0080594F" w:rsidRPr="002B283E" w:rsidRDefault="0080594F" w:rsidP="002B283E">
      <w:pPr>
        <w:rPr>
          <w:rFonts w:cs="Times New Roman"/>
          <w:szCs w:val="24"/>
        </w:rPr>
      </w:pPr>
    </w:p>
    <w:p w14:paraId="05F366EB" w14:textId="65BFEA16" w:rsidR="0080594F" w:rsidRPr="002B283E" w:rsidRDefault="0080594F" w:rsidP="002B283E">
      <w:pPr>
        <w:rPr>
          <w:rFonts w:cs="Times New Roman"/>
          <w:szCs w:val="24"/>
        </w:rPr>
      </w:pPr>
    </w:p>
    <w:p w14:paraId="0E8427FC" w14:textId="7EFEA7CA" w:rsidR="0080594F" w:rsidRPr="002B283E" w:rsidRDefault="0080594F" w:rsidP="002B283E">
      <w:pPr>
        <w:rPr>
          <w:rFonts w:cs="Times New Roman"/>
          <w:szCs w:val="24"/>
        </w:rPr>
      </w:pPr>
    </w:p>
    <w:p w14:paraId="0A77E7E6" w14:textId="35080B3E" w:rsidR="0080594F" w:rsidRPr="002B283E" w:rsidRDefault="0080594F" w:rsidP="002B283E">
      <w:pPr>
        <w:rPr>
          <w:rFonts w:cs="Times New Roman"/>
          <w:szCs w:val="24"/>
        </w:rPr>
      </w:pPr>
    </w:p>
    <w:p w14:paraId="10A41534" w14:textId="01CE30E7" w:rsidR="0080594F" w:rsidRPr="002B283E" w:rsidRDefault="0080594F" w:rsidP="002B283E">
      <w:pPr>
        <w:rPr>
          <w:rFonts w:cs="Times New Roman"/>
          <w:szCs w:val="24"/>
        </w:rPr>
      </w:pPr>
    </w:p>
    <w:p w14:paraId="5E36CC8E" w14:textId="77525E18" w:rsidR="0080594F" w:rsidRPr="002B283E" w:rsidRDefault="0080594F" w:rsidP="002B283E">
      <w:pPr>
        <w:rPr>
          <w:rFonts w:cs="Times New Roman"/>
          <w:szCs w:val="24"/>
        </w:rPr>
      </w:pPr>
    </w:p>
    <w:p w14:paraId="2DF0AEE3" w14:textId="05721129" w:rsidR="0080594F" w:rsidRPr="002B283E" w:rsidRDefault="0080594F" w:rsidP="002B283E">
      <w:pPr>
        <w:rPr>
          <w:rFonts w:cs="Times New Roman"/>
          <w:szCs w:val="24"/>
        </w:rPr>
      </w:pPr>
    </w:p>
    <w:p w14:paraId="04090B72" w14:textId="6A08B4B5" w:rsidR="0080594F" w:rsidRPr="002B283E" w:rsidRDefault="0080594F" w:rsidP="002B283E">
      <w:pPr>
        <w:rPr>
          <w:rFonts w:cs="Times New Roman"/>
          <w:szCs w:val="24"/>
        </w:rPr>
      </w:pPr>
    </w:p>
    <w:p w14:paraId="6B09689B" w14:textId="62FEEEE1" w:rsidR="0080594F" w:rsidRPr="002B283E" w:rsidRDefault="0080594F" w:rsidP="002B283E">
      <w:pPr>
        <w:rPr>
          <w:rFonts w:cs="Times New Roman"/>
          <w:szCs w:val="24"/>
        </w:rPr>
      </w:pPr>
    </w:p>
    <w:p w14:paraId="691F0F38" w14:textId="6797BD3E" w:rsidR="0080594F" w:rsidRPr="002B283E" w:rsidRDefault="0080594F" w:rsidP="002B283E">
      <w:pPr>
        <w:rPr>
          <w:rFonts w:cs="Times New Roman"/>
          <w:szCs w:val="24"/>
        </w:rPr>
      </w:pPr>
    </w:p>
    <w:p w14:paraId="4343F4ED" w14:textId="2117F62D" w:rsidR="0080594F" w:rsidRPr="002B283E" w:rsidRDefault="0080594F" w:rsidP="002B283E">
      <w:pPr>
        <w:rPr>
          <w:rFonts w:cs="Times New Roman"/>
          <w:szCs w:val="24"/>
        </w:rPr>
      </w:pPr>
    </w:p>
    <w:p w14:paraId="2F4BDA2A" w14:textId="0BFD517B" w:rsidR="0080594F" w:rsidRPr="002B283E" w:rsidRDefault="0080594F" w:rsidP="002B283E">
      <w:pPr>
        <w:rPr>
          <w:rFonts w:cs="Times New Roman"/>
          <w:szCs w:val="24"/>
        </w:rPr>
      </w:pPr>
    </w:p>
    <w:p w14:paraId="102B9575" w14:textId="73115EB3" w:rsidR="0080594F" w:rsidRPr="002B283E" w:rsidRDefault="0080594F" w:rsidP="002B283E">
      <w:pPr>
        <w:rPr>
          <w:rFonts w:cs="Times New Roman"/>
          <w:szCs w:val="24"/>
        </w:rPr>
      </w:pPr>
    </w:p>
    <w:p w14:paraId="36754005" w14:textId="6A8C24AC" w:rsidR="0006064C" w:rsidRPr="002B283E" w:rsidRDefault="0006064C" w:rsidP="002B283E">
      <w:pPr>
        <w:rPr>
          <w:rFonts w:cs="Times New Roman"/>
          <w:szCs w:val="24"/>
        </w:rPr>
      </w:pPr>
    </w:p>
    <w:p w14:paraId="1D67D405" w14:textId="77777777" w:rsidR="0006064C" w:rsidRPr="002B283E" w:rsidRDefault="0006064C" w:rsidP="002B283E">
      <w:pPr>
        <w:rPr>
          <w:rFonts w:cs="Times New Roman"/>
          <w:szCs w:val="24"/>
        </w:rPr>
      </w:pPr>
    </w:p>
    <w:p w14:paraId="044468EB" w14:textId="4F79A3B6" w:rsidR="0006064C" w:rsidRPr="002B283E" w:rsidRDefault="0006064C" w:rsidP="002B283E">
      <w:pPr>
        <w:rPr>
          <w:rFonts w:cs="Times New Roman"/>
          <w:szCs w:val="24"/>
        </w:rPr>
      </w:pPr>
    </w:p>
    <w:p w14:paraId="530E170F" w14:textId="77777777" w:rsidR="008222CD" w:rsidRPr="002B283E" w:rsidRDefault="008222CD" w:rsidP="002B283E">
      <w:pPr>
        <w:rPr>
          <w:rFonts w:cs="Times New Roman"/>
          <w:szCs w:val="24"/>
        </w:rPr>
      </w:pPr>
    </w:p>
    <w:p w14:paraId="3D87E305" w14:textId="77777777" w:rsidR="00C64E8D" w:rsidRPr="002B283E" w:rsidRDefault="00C64E8D" w:rsidP="002B283E">
      <w:pPr>
        <w:rPr>
          <w:rFonts w:cs="Times New Roman"/>
          <w:szCs w:val="24"/>
        </w:rPr>
      </w:pPr>
    </w:p>
    <w:p w14:paraId="72A9A524" w14:textId="6FE81148" w:rsidR="0006064C" w:rsidRPr="002B283E" w:rsidRDefault="0006064C" w:rsidP="002B283E">
      <w:pPr>
        <w:pStyle w:val="Heading2"/>
      </w:pPr>
      <w:r w:rsidRPr="002B283E">
        <w:rPr>
          <w:lang w:val="en-CA"/>
        </w:rPr>
        <w:lastRenderedPageBreak/>
        <w:fldChar w:fldCharType="begin"/>
      </w:r>
      <w:r w:rsidRPr="002B283E">
        <w:rPr>
          <w:lang w:val="en-CA"/>
        </w:rPr>
        <w:instrText xml:space="preserve"> SEQ CHAPTER \h \r 1</w:instrText>
      </w:r>
      <w:r w:rsidRPr="002B283E">
        <w:rPr>
          <w:lang w:val="en-CA"/>
        </w:rPr>
        <w:fldChar w:fldCharType="end"/>
      </w:r>
      <w:bookmarkStart w:id="32" w:name="_Toc221525083"/>
      <w:r w:rsidRPr="002B283E">
        <w:t>2.</w:t>
      </w:r>
      <w:r w:rsidR="00C65A66">
        <w:t>1</w:t>
      </w:r>
      <w:r w:rsidRPr="002B283E">
        <w:t xml:space="preserve"> </w:t>
      </w:r>
      <w:r w:rsidR="00F8289E" w:rsidRPr="002B283E">
        <w:t>Cautionary Instructions</w:t>
      </w:r>
      <w:bookmarkEnd w:id="32"/>
    </w:p>
    <w:p w14:paraId="71315168" w14:textId="77777777" w:rsidR="0006064C" w:rsidRPr="002B283E" w:rsidRDefault="0006064C" w:rsidP="002B283E">
      <w:pPr>
        <w:autoSpaceDE w:val="0"/>
        <w:autoSpaceDN w:val="0"/>
        <w:adjustRightInd w:val="0"/>
        <w:rPr>
          <w:rFonts w:cs="Times New Roman"/>
          <w:b/>
          <w:bCs/>
          <w:szCs w:val="24"/>
        </w:rPr>
      </w:pPr>
    </w:p>
    <w:p w14:paraId="0C0D0263"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End of Each Day of the Case: </w:t>
      </w:r>
    </w:p>
    <w:p w14:paraId="6A215053" w14:textId="77777777" w:rsidR="0006064C" w:rsidRPr="002B283E" w:rsidRDefault="0006064C" w:rsidP="002B283E">
      <w:pPr>
        <w:autoSpaceDE w:val="0"/>
        <w:autoSpaceDN w:val="0"/>
        <w:adjustRightInd w:val="0"/>
        <w:rPr>
          <w:rFonts w:cs="Times New Roman"/>
          <w:szCs w:val="24"/>
        </w:rPr>
      </w:pPr>
    </w:p>
    <w:p w14:paraId="1B13817B" w14:textId="10BCA0AF"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52176D">
        <w:rPr>
          <w:rFonts w:cs="Times New Roman"/>
          <w:szCs w:val="24"/>
        </w:rPr>
        <w:t>I</w:t>
      </w:r>
      <w:r w:rsidRPr="002B283E">
        <w:rPr>
          <w:rFonts w:cs="Times New Roman"/>
          <w:szCs w:val="24"/>
        </w:rPr>
        <w:t xml:space="preserve">nternet or your social media feeds. </w:t>
      </w:r>
    </w:p>
    <w:p w14:paraId="565B12CA" w14:textId="77777777" w:rsidR="0006064C" w:rsidRPr="002B283E" w:rsidRDefault="0006064C" w:rsidP="002B283E">
      <w:pPr>
        <w:autoSpaceDE w:val="0"/>
        <w:autoSpaceDN w:val="0"/>
        <w:adjustRightInd w:val="0"/>
        <w:rPr>
          <w:rFonts w:cs="Times New Roman"/>
          <w:szCs w:val="24"/>
        </w:rPr>
      </w:pPr>
    </w:p>
    <w:p w14:paraId="7EECB7AE"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Beginning of Each Day of the Case: </w:t>
      </w:r>
    </w:p>
    <w:p w14:paraId="5A4F886B" w14:textId="77777777" w:rsidR="0006064C" w:rsidRPr="002B283E" w:rsidRDefault="0006064C" w:rsidP="002B283E">
      <w:pPr>
        <w:autoSpaceDE w:val="0"/>
        <w:autoSpaceDN w:val="0"/>
        <w:adjustRightInd w:val="0"/>
        <w:rPr>
          <w:rFonts w:cs="Times New Roman"/>
          <w:szCs w:val="24"/>
        </w:rPr>
      </w:pPr>
    </w:p>
    <w:p w14:paraId="3831549A" w14:textId="07CDE40D"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2B283E" w:rsidRDefault="0006064C" w:rsidP="002B283E">
      <w:pPr>
        <w:autoSpaceDE w:val="0"/>
        <w:autoSpaceDN w:val="0"/>
        <w:adjustRightInd w:val="0"/>
        <w:rPr>
          <w:rFonts w:cs="Times New Roman"/>
          <w:szCs w:val="24"/>
        </w:rPr>
      </w:pPr>
    </w:p>
    <w:p w14:paraId="00C92D58" w14:textId="59A50C98" w:rsidR="0006064C" w:rsidRPr="002B283E" w:rsidRDefault="0006064C" w:rsidP="002B283E">
      <w:pPr>
        <w:autoSpaceDE w:val="0"/>
        <w:autoSpaceDN w:val="0"/>
        <w:adjustRightInd w:val="0"/>
        <w:rPr>
          <w:rFonts w:cs="Times New Roman"/>
          <w:szCs w:val="24"/>
        </w:rPr>
      </w:pPr>
      <w:r w:rsidRPr="002B283E">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2B283E" w:rsidRDefault="0006064C" w:rsidP="002B283E">
      <w:pPr>
        <w:autoSpaceDE w:val="0"/>
        <w:autoSpaceDN w:val="0"/>
        <w:adjustRightInd w:val="0"/>
        <w:rPr>
          <w:rFonts w:cs="Times New Roman"/>
          <w:szCs w:val="24"/>
        </w:rPr>
      </w:pPr>
    </w:p>
    <w:p w14:paraId="025093FF"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684A529C" w14:textId="77777777" w:rsidR="0006064C" w:rsidRPr="002B283E" w:rsidRDefault="0006064C" w:rsidP="002B283E">
      <w:pPr>
        <w:autoSpaceDE w:val="0"/>
        <w:autoSpaceDN w:val="0"/>
        <w:adjustRightInd w:val="0"/>
        <w:rPr>
          <w:rFonts w:cs="Times New Roman"/>
          <w:szCs w:val="24"/>
        </w:rPr>
      </w:pPr>
    </w:p>
    <w:p w14:paraId="065014A0" w14:textId="77777777" w:rsidR="0006064C" w:rsidRPr="002B283E" w:rsidRDefault="0006064C" w:rsidP="002B283E">
      <w:pPr>
        <w:autoSpaceDE w:val="0"/>
        <w:autoSpaceDN w:val="0"/>
        <w:adjustRightInd w:val="0"/>
        <w:jc w:val="center"/>
        <w:rPr>
          <w:rFonts w:cs="Times New Roman"/>
          <w:szCs w:val="24"/>
        </w:rPr>
      </w:pPr>
      <w:r w:rsidRPr="002B283E">
        <w:rPr>
          <w:rFonts w:cs="Times New Roman"/>
          <w:b/>
          <w:bCs/>
          <w:szCs w:val="24"/>
        </w:rPr>
        <w:t xml:space="preserve">Comment </w:t>
      </w:r>
    </w:p>
    <w:p w14:paraId="49340276" w14:textId="77777777" w:rsidR="0006064C" w:rsidRPr="002B283E" w:rsidRDefault="0006064C" w:rsidP="002B283E">
      <w:pPr>
        <w:autoSpaceDE w:val="0"/>
        <w:autoSpaceDN w:val="0"/>
        <w:adjustRightInd w:val="0"/>
        <w:rPr>
          <w:rFonts w:cs="Times New Roman"/>
          <w:szCs w:val="24"/>
        </w:rPr>
      </w:pPr>
    </w:p>
    <w:p w14:paraId="6B4F3584"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2B283E" w:rsidRDefault="0006064C" w:rsidP="002B283E">
      <w:pPr>
        <w:autoSpaceDE w:val="0"/>
        <w:autoSpaceDN w:val="0"/>
        <w:adjustRightInd w:val="0"/>
        <w:rPr>
          <w:rFonts w:cs="Times New Roman"/>
          <w:szCs w:val="24"/>
        </w:rPr>
      </w:pPr>
    </w:p>
    <w:p w14:paraId="18F1C162" w14:textId="595C4E86"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The practice in federal court of repeatedly instructing jurors not to discuss the case until deliberations is widespread. </w:t>
      </w:r>
      <w:r w:rsidRPr="002B283E">
        <w:rPr>
          <w:rFonts w:cs="Times New Roman"/>
          <w:i/>
          <w:iCs/>
          <w:szCs w:val="24"/>
        </w:rPr>
        <w:t>See</w:t>
      </w:r>
      <w:r w:rsidR="00FF0716">
        <w:rPr>
          <w:rFonts w:cs="Times New Roman"/>
          <w:i/>
          <w:iCs/>
          <w:szCs w:val="24"/>
        </w:rPr>
        <w:t>,</w:t>
      </w:r>
      <w:r w:rsidRPr="002B283E">
        <w:rPr>
          <w:rFonts w:cs="Times New Roman"/>
          <w:i/>
          <w:iCs/>
          <w:szCs w:val="24"/>
        </w:rPr>
        <w:t xml:space="preserve"> e.g</w:t>
      </w:r>
      <w:r w:rsidRPr="00FF0716">
        <w:rPr>
          <w:rFonts w:cs="Times New Roman"/>
          <w:szCs w:val="24"/>
        </w:rPr>
        <w:t>.,</w:t>
      </w:r>
      <w:r w:rsidRPr="002B283E">
        <w:rPr>
          <w:rFonts w:cs="Times New Roman"/>
          <w:i/>
          <w:iCs/>
          <w:szCs w:val="24"/>
        </w:rPr>
        <w:t xml:space="preserve"> United States v. Pino-Noriega</w:t>
      </w:r>
      <w:r w:rsidRPr="002B283E">
        <w:rPr>
          <w:rFonts w:cs="Times New Roman"/>
          <w:szCs w:val="24"/>
        </w:rPr>
        <w:t xml:space="preserve">, 189 F.3d 1089, 1096 (9th Cir. 1999). </w:t>
      </w:r>
    </w:p>
    <w:p w14:paraId="0D948D31" w14:textId="77777777" w:rsidR="0006064C" w:rsidRPr="002B283E" w:rsidRDefault="0006064C" w:rsidP="002B283E">
      <w:pPr>
        <w:autoSpaceDE w:val="0"/>
        <w:autoSpaceDN w:val="0"/>
        <w:adjustRightInd w:val="0"/>
        <w:rPr>
          <w:rFonts w:cs="Times New Roman"/>
          <w:szCs w:val="24"/>
        </w:rPr>
      </w:pPr>
    </w:p>
    <w:p w14:paraId="14FB2E46" w14:textId="77777777" w:rsidR="006561DF" w:rsidRPr="002B283E" w:rsidRDefault="006561DF" w:rsidP="002B283E">
      <w:pPr>
        <w:jc w:val="right"/>
        <w:rPr>
          <w:rFonts w:cs="Times New Roman"/>
          <w:i/>
          <w:iCs/>
          <w:szCs w:val="24"/>
        </w:rPr>
      </w:pPr>
    </w:p>
    <w:p w14:paraId="71EAF8E0" w14:textId="3AACDF31" w:rsidR="0006064C" w:rsidRPr="002B283E" w:rsidRDefault="0006064C" w:rsidP="002B283E">
      <w:pPr>
        <w:jc w:val="right"/>
        <w:rPr>
          <w:rFonts w:cs="Times New Roman"/>
          <w:szCs w:val="24"/>
        </w:rPr>
      </w:pPr>
      <w:r w:rsidRPr="002B283E">
        <w:rPr>
          <w:rFonts w:cs="Times New Roman"/>
          <w:i/>
          <w:iCs/>
          <w:szCs w:val="24"/>
        </w:rPr>
        <w:t>Created Dec. 2020</w:t>
      </w:r>
    </w:p>
    <w:p w14:paraId="582B18DF" w14:textId="0866101C" w:rsidR="0006064C" w:rsidRPr="002B283E" w:rsidRDefault="0006064C" w:rsidP="002B283E">
      <w:pPr>
        <w:rPr>
          <w:rFonts w:cs="Times New Roman"/>
          <w:szCs w:val="24"/>
        </w:rPr>
      </w:pPr>
    </w:p>
    <w:p w14:paraId="380E140A" w14:textId="1E7BF171" w:rsidR="0006064C" w:rsidRPr="002B283E" w:rsidRDefault="0006064C" w:rsidP="002B283E">
      <w:pPr>
        <w:rPr>
          <w:rFonts w:cs="Times New Roman"/>
          <w:szCs w:val="24"/>
        </w:rPr>
      </w:pPr>
    </w:p>
    <w:p w14:paraId="13EA3992" w14:textId="77777777" w:rsidR="0006064C" w:rsidRPr="002B283E" w:rsidRDefault="0006064C" w:rsidP="002B283E">
      <w:pPr>
        <w:rPr>
          <w:rFonts w:cs="Times New Roman"/>
          <w:szCs w:val="24"/>
        </w:rPr>
      </w:pPr>
    </w:p>
    <w:p w14:paraId="63CD4318" w14:textId="5493D758" w:rsidR="0006064C" w:rsidRPr="002B283E" w:rsidRDefault="0006064C" w:rsidP="002B283E">
      <w:pPr>
        <w:rPr>
          <w:rFonts w:cs="Times New Roman"/>
          <w:szCs w:val="24"/>
        </w:rPr>
      </w:pPr>
    </w:p>
    <w:p w14:paraId="71BFBEC9" w14:textId="77777777" w:rsidR="008222CD" w:rsidRPr="002B283E" w:rsidRDefault="008222CD" w:rsidP="002B283E">
      <w:pPr>
        <w:rPr>
          <w:rFonts w:cs="Times New Roman"/>
          <w:szCs w:val="24"/>
        </w:rPr>
      </w:pPr>
    </w:p>
    <w:p w14:paraId="01F22476" w14:textId="77777777" w:rsidR="008222CD" w:rsidRPr="002B283E" w:rsidRDefault="008222CD" w:rsidP="002B283E">
      <w:pPr>
        <w:rPr>
          <w:rFonts w:cs="Times New Roman"/>
          <w:szCs w:val="24"/>
        </w:rPr>
      </w:pPr>
    </w:p>
    <w:p w14:paraId="263E88B4" w14:textId="77777777" w:rsidR="0006064C" w:rsidRPr="002B283E" w:rsidRDefault="0006064C" w:rsidP="002B283E">
      <w:pPr>
        <w:rPr>
          <w:rFonts w:cs="Times New Roman"/>
          <w:szCs w:val="24"/>
        </w:rPr>
      </w:pPr>
    </w:p>
    <w:p w14:paraId="7AAE9135" w14:textId="7B7614C1" w:rsidR="006A4CD7" w:rsidRPr="002B283E" w:rsidRDefault="006A4CD7" w:rsidP="002B283E">
      <w:pPr>
        <w:pStyle w:val="Heading2"/>
      </w:pPr>
      <w:bookmarkStart w:id="33" w:name="_Toc221525084"/>
      <w:r w:rsidRPr="002B283E">
        <w:lastRenderedPageBreak/>
        <w:t>2.</w:t>
      </w:r>
      <w:r w:rsidR="00C65A66">
        <w:t>2</w:t>
      </w:r>
      <w:r w:rsidRPr="002B283E">
        <w:t xml:space="preserve"> </w:t>
      </w:r>
      <w:r w:rsidR="00F8289E" w:rsidRPr="002B283E">
        <w:t>Stipulated Testimony</w:t>
      </w:r>
      <w:bookmarkEnd w:id="33"/>
    </w:p>
    <w:p w14:paraId="1605A919" w14:textId="77777777" w:rsidR="006A4CD7" w:rsidRPr="002B283E" w:rsidRDefault="006A4CD7" w:rsidP="002B283E">
      <w:pPr>
        <w:autoSpaceDE w:val="0"/>
        <w:autoSpaceDN w:val="0"/>
        <w:adjustRightInd w:val="0"/>
        <w:rPr>
          <w:rFonts w:cs="Times New Roman"/>
          <w:szCs w:val="24"/>
        </w:rPr>
      </w:pPr>
    </w:p>
    <w:p w14:paraId="7234EDE2" w14:textId="7507DB2A" w:rsidR="006A4CD7" w:rsidRPr="002B283E" w:rsidRDefault="006A4CD7" w:rsidP="002B283E">
      <w:pPr>
        <w:autoSpaceDE w:val="0"/>
        <w:autoSpaceDN w:val="0"/>
        <w:adjustRightInd w:val="0"/>
        <w:ind w:firstLine="720"/>
        <w:rPr>
          <w:rFonts w:cs="Times New Roman"/>
          <w:szCs w:val="24"/>
        </w:rPr>
      </w:pPr>
      <w:r w:rsidRPr="002B283E">
        <w:rPr>
          <w:rFonts w:cs="Times New Roman"/>
          <w:szCs w:val="24"/>
        </w:rPr>
        <w:t>The parties have agreed what [</w:t>
      </w:r>
      <w:r w:rsidRPr="002B283E">
        <w:rPr>
          <w:rFonts w:cs="Times New Roman"/>
          <w:i/>
          <w:iCs/>
          <w:szCs w:val="24"/>
          <w:u w:val="single"/>
        </w:rPr>
        <w:t>witness</w:t>
      </w:r>
      <w:r w:rsidRPr="002B283E">
        <w:rPr>
          <w:rFonts w:cs="Times New Roman"/>
          <w:szCs w:val="24"/>
        </w:rPr>
        <w:t>]’s testimony would be if called as a witness. You should consider that testimony in the same way as if it had been given here in court.</w:t>
      </w:r>
    </w:p>
    <w:p w14:paraId="7396F414" w14:textId="77777777" w:rsidR="006A4CD7" w:rsidRPr="002B283E" w:rsidRDefault="006A4CD7" w:rsidP="002B283E">
      <w:pPr>
        <w:rPr>
          <w:rFonts w:cs="Times New Roman"/>
          <w:szCs w:val="24"/>
        </w:rPr>
      </w:pPr>
    </w:p>
    <w:p w14:paraId="011EA2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4F85E5" w14:textId="77777777" w:rsidR="006A4CD7" w:rsidRPr="002B283E" w:rsidRDefault="006A4CD7" w:rsidP="002B283E">
      <w:pPr>
        <w:autoSpaceDE w:val="0"/>
        <w:autoSpaceDN w:val="0"/>
        <w:adjustRightInd w:val="0"/>
        <w:rPr>
          <w:rFonts w:cs="Times New Roman"/>
          <w:szCs w:val="24"/>
        </w:rPr>
      </w:pPr>
    </w:p>
    <w:p w14:paraId="78D06746" w14:textId="39562DC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is a difference between stipulating that a witness would give certain testimony and stipulating that the facts to which a witness might testify are true. </w:t>
      </w:r>
      <w:r w:rsidRPr="002B283E">
        <w:rPr>
          <w:rFonts w:cs="Times New Roman"/>
          <w:i/>
          <w:iCs/>
          <w:szCs w:val="24"/>
        </w:rPr>
        <w:t>United States v. Lambert</w:t>
      </w:r>
      <w:r w:rsidRPr="002B283E">
        <w:rPr>
          <w:rFonts w:cs="Times New Roman"/>
          <w:szCs w:val="24"/>
        </w:rPr>
        <w:t xml:space="preserve">, 604 F.2d 594, 595 (8th Cir. 1979); </w:t>
      </w:r>
      <w:r w:rsidRPr="002B283E">
        <w:rPr>
          <w:rFonts w:cs="Times New Roman"/>
          <w:i/>
          <w:iCs/>
          <w:szCs w:val="24"/>
        </w:rPr>
        <w:t>United States v. Hellman</w:t>
      </w:r>
      <w:r w:rsidRPr="002B283E">
        <w:rPr>
          <w:rFonts w:cs="Times New Roman"/>
          <w:szCs w:val="24"/>
        </w:rPr>
        <w:t xml:space="preserve">, 560 F.2d 1235, 1236 (5th Cir. 1977). On the latter, </w:t>
      </w:r>
      <w:r w:rsidRPr="008A04C2">
        <w:rPr>
          <w:rFonts w:cs="Times New Roman"/>
          <w:szCs w:val="24"/>
        </w:rPr>
        <w:t xml:space="preserve">see </w:t>
      </w:r>
      <w:r w:rsidRPr="002B283E">
        <w:rPr>
          <w:rFonts w:cs="Times New Roman"/>
          <w:szCs w:val="24"/>
        </w:rPr>
        <w:t>Instruction 2.</w:t>
      </w:r>
      <w:r w:rsidR="008F7348">
        <w:rPr>
          <w:rFonts w:cs="Times New Roman"/>
          <w:szCs w:val="24"/>
        </w:rPr>
        <w:t>3</w:t>
      </w:r>
      <w:r w:rsidRPr="002B283E">
        <w:rPr>
          <w:rFonts w:cs="Times New Roman"/>
          <w:szCs w:val="24"/>
        </w:rPr>
        <w:t xml:space="preserve"> (Stipulations of Fact).</w:t>
      </w:r>
    </w:p>
    <w:p w14:paraId="6E16DFE6" w14:textId="77777777" w:rsidR="006A4CD7" w:rsidRPr="002B283E" w:rsidRDefault="006A4CD7" w:rsidP="002B283E">
      <w:pPr>
        <w:autoSpaceDE w:val="0"/>
        <w:autoSpaceDN w:val="0"/>
        <w:adjustRightInd w:val="0"/>
        <w:rPr>
          <w:rFonts w:cs="Times New Roman"/>
          <w:szCs w:val="24"/>
        </w:rPr>
      </w:pPr>
    </w:p>
    <w:p w14:paraId="7E987FB3" w14:textId="77777777" w:rsidR="007B1C2E" w:rsidRPr="002B283E" w:rsidRDefault="007B1C2E" w:rsidP="002B283E">
      <w:pPr>
        <w:rPr>
          <w:rFonts w:cs="Times New Roman"/>
          <w:szCs w:val="24"/>
        </w:rPr>
      </w:pPr>
    </w:p>
    <w:p w14:paraId="3B67EDB0" w14:textId="77777777" w:rsidR="00030A67" w:rsidRPr="002B283E" w:rsidRDefault="00030A67" w:rsidP="002B283E">
      <w:pPr>
        <w:rPr>
          <w:rFonts w:cs="Times New Roman"/>
          <w:b/>
          <w:bCs/>
          <w:szCs w:val="24"/>
        </w:rPr>
      </w:pPr>
      <w:r w:rsidRPr="002B283E">
        <w:rPr>
          <w:rFonts w:cs="Times New Roman"/>
          <w:b/>
          <w:bCs/>
          <w:szCs w:val="24"/>
        </w:rPr>
        <w:br w:type="page"/>
      </w:r>
    </w:p>
    <w:p w14:paraId="1D1655ED" w14:textId="394B96F7" w:rsidR="006A4CD7" w:rsidRPr="002B283E" w:rsidRDefault="006A4CD7" w:rsidP="002B283E">
      <w:pPr>
        <w:pStyle w:val="Heading2"/>
      </w:pPr>
      <w:bookmarkStart w:id="34" w:name="_Toc221525085"/>
      <w:r w:rsidRPr="002B283E">
        <w:lastRenderedPageBreak/>
        <w:t>2.</w:t>
      </w:r>
      <w:r w:rsidR="00C65A66">
        <w:t>3</w:t>
      </w:r>
      <w:r w:rsidRPr="002B283E">
        <w:t xml:space="preserve"> </w:t>
      </w:r>
      <w:r w:rsidR="00F8289E" w:rsidRPr="002B283E">
        <w:t>Stipulations of Fact</w:t>
      </w:r>
      <w:bookmarkEnd w:id="34"/>
    </w:p>
    <w:p w14:paraId="7CEB2888" w14:textId="77777777" w:rsidR="00030A67" w:rsidRPr="002B283E" w:rsidRDefault="00030A67" w:rsidP="002B283E">
      <w:pPr>
        <w:autoSpaceDE w:val="0"/>
        <w:autoSpaceDN w:val="0"/>
        <w:adjustRightInd w:val="0"/>
        <w:rPr>
          <w:rFonts w:cs="Times New Roman"/>
          <w:szCs w:val="24"/>
        </w:rPr>
      </w:pPr>
    </w:p>
    <w:p w14:paraId="647ED587" w14:textId="453D5FDE" w:rsidR="006A4CD7" w:rsidRPr="002B283E" w:rsidRDefault="006A4CD7" w:rsidP="002B283E">
      <w:pPr>
        <w:autoSpaceDE w:val="0"/>
        <w:autoSpaceDN w:val="0"/>
        <w:adjustRightInd w:val="0"/>
        <w:rPr>
          <w:rFonts w:cs="Times New Roman"/>
          <w:szCs w:val="24"/>
        </w:rPr>
      </w:pPr>
      <w:r w:rsidRPr="002B283E">
        <w:rPr>
          <w:rFonts w:cs="Times New Roman"/>
          <w:szCs w:val="24"/>
        </w:rPr>
        <w:tab/>
        <w:t>The parties have agreed to certain facts [to be placed in evidence as Exhibit __</w:t>
      </w:r>
      <w:r w:rsidR="00FF0716">
        <w:rPr>
          <w:rFonts w:cs="Times New Roman"/>
          <w:szCs w:val="24"/>
        </w:rPr>
        <w:t xml:space="preserve"> </w:t>
      </w:r>
      <w:r w:rsidRPr="002B283E">
        <w:rPr>
          <w:rFonts w:cs="Times New Roman"/>
          <w:szCs w:val="24"/>
        </w:rPr>
        <w:t>] [that will be read to you]. You must therefore treat these facts as having been proved.</w:t>
      </w:r>
    </w:p>
    <w:p w14:paraId="70D27A13" w14:textId="77777777" w:rsidR="006A4CD7" w:rsidRPr="002B283E" w:rsidRDefault="006A4CD7" w:rsidP="002B283E">
      <w:pPr>
        <w:rPr>
          <w:rFonts w:cs="Times New Roman"/>
          <w:szCs w:val="24"/>
        </w:rPr>
      </w:pPr>
    </w:p>
    <w:p w14:paraId="55A2298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201F59" w14:textId="77777777" w:rsidR="00030A67" w:rsidRPr="002B283E" w:rsidRDefault="00030A67" w:rsidP="002B283E">
      <w:pPr>
        <w:rPr>
          <w:rFonts w:cs="Times New Roman"/>
          <w:szCs w:val="24"/>
        </w:rPr>
      </w:pPr>
    </w:p>
    <w:p w14:paraId="705F641C" w14:textId="1B62847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parties enter into stipulations as to material facts, those facts will be deemed to have been conclusively proved, and the jury may be so instructed. </w:t>
      </w:r>
      <w:r w:rsidRPr="002B283E">
        <w:rPr>
          <w:rFonts w:cs="Times New Roman"/>
          <w:i/>
          <w:iCs/>
          <w:szCs w:val="24"/>
        </w:rPr>
        <w:t>United States v. Mikaelian</w:t>
      </w:r>
      <w:r w:rsidRPr="002B283E">
        <w:rPr>
          <w:rFonts w:cs="Times New Roman"/>
          <w:szCs w:val="24"/>
        </w:rPr>
        <w:t xml:space="preserve">, 168 F.3d 380, 389 (9th Cir. 1999) (citing </w:t>
      </w:r>
      <w:r w:rsidRPr="002B283E">
        <w:rPr>
          <w:rFonts w:cs="Times New Roman"/>
          <w:i/>
          <w:iCs/>
          <w:szCs w:val="24"/>
        </w:rPr>
        <w:t>United States v. Houston</w:t>
      </w:r>
      <w:r w:rsidRPr="002B283E">
        <w:rPr>
          <w:rFonts w:cs="Times New Roman"/>
          <w:szCs w:val="24"/>
        </w:rPr>
        <w:t xml:space="preserve">, 547 F.2d 104, 107 (9th Cir. 1976)), </w:t>
      </w:r>
      <w:r w:rsidRPr="002B283E">
        <w:rPr>
          <w:rFonts w:cs="Times New Roman"/>
          <w:i/>
          <w:iCs/>
          <w:szCs w:val="24"/>
        </w:rPr>
        <w:t xml:space="preserve">amended by </w:t>
      </w:r>
      <w:r w:rsidRPr="002B283E">
        <w:rPr>
          <w:rFonts w:cs="Times New Roman"/>
          <w:szCs w:val="24"/>
        </w:rPr>
        <w:t>180 F.3d 1091 (9th Cir. 1999).</w:t>
      </w:r>
    </w:p>
    <w:p w14:paraId="16906AA7" w14:textId="77777777" w:rsidR="007B1C2E" w:rsidRPr="002B283E" w:rsidRDefault="007B1C2E" w:rsidP="002B283E">
      <w:pPr>
        <w:autoSpaceDE w:val="0"/>
        <w:autoSpaceDN w:val="0"/>
        <w:adjustRightInd w:val="0"/>
        <w:rPr>
          <w:rFonts w:cs="Times New Roman"/>
          <w:szCs w:val="24"/>
        </w:rPr>
      </w:pPr>
    </w:p>
    <w:p w14:paraId="3D585279" w14:textId="178C3D0F" w:rsidR="006A4CD7" w:rsidRPr="002B283E" w:rsidRDefault="006A4CD7" w:rsidP="002B283E">
      <w:pPr>
        <w:pStyle w:val="Heading2"/>
      </w:pPr>
      <w:r w:rsidRPr="002B283E">
        <w:br w:type="page"/>
      </w:r>
      <w:bookmarkStart w:id="35" w:name="_Toc221525086"/>
      <w:r w:rsidRPr="002B283E">
        <w:lastRenderedPageBreak/>
        <w:t>2.</w:t>
      </w:r>
      <w:r w:rsidR="00C65A66">
        <w:t>4</w:t>
      </w:r>
      <w:r w:rsidRPr="002B283E">
        <w:t xml:space="preserve"> </w:t>
      </w:r>
      <w:r w:rsidR="00F8289E" w:rsidRPr="002B283E">
        <w:t>Judicial Notice</w:t>
      </w:r>
      <w:bookmarkEnd w:id="35"/>
    </w:p>
    <w:p w14:paraId="0060C294" w14:textId="77777777" w:rsidR="006A4CD7" w:rsidRPr="002B283E" w:rsidRDefault="006A4CD7" w:rsidP="002B283E">
      <w:pPr>
        <w:autoSpaceDE w:val="0"/>
        <w:autoSpaceDN w:val="0"/>
        <w:adjustRightInd w:val="0"/>
        <w:rPr>
          <w:rFonts w:cs="Times New Roman"/>
          <w:szCs w:val="24"/>
        </w:rPr>
      </w:pPr>
    </w:p>
    <w:p w14:paraId="42719A74" w14:textId="18BAB14A" w:rsidR="008C6FC0" w:rsidRPr="002B283E" w:rsidRDefault="008C6FC0" w:rsidP="002B283E">
      <w:pPr>
        <w:pStyle w:val="BodyText"/>
        <w:ind w:firstLine="720"/>
      </w:pPr>
      <w:r w:rsidRPr="002B283E">
        <w:t>The</w:t>
      </w:r>
      <w:r w:rsidRPr="002B283E">
        <w:rPr>
          <w:spacing w:val="-5"/>
        </w:rPr>
        <w:t xml:space="preserve"> </w:t>
      </w:r>
      <w:r w:rsidRPr="002B283E">
        <w:t>court</w:t>
      </w:r>
      <w:r w:rsidRPr="002B283E">
        <w:rPr>
          <w:spacing w:val="-4"/>
        </w:rPr>
        <w:t xml:space="preserve"> </w:t>
      </w:r>
      <w:r w:rsidRPr="002B283E">
        <w:t>has</w:t>
      </w:r>
      <w:r w:rsidRPr="002B283E">
        <w:rPr>
          <w:spacing w:val="-4"/>
        </w:rPr>
        <w:t xml:space="preserve"> </w:t>
      </w:r>
      <w:r w:rsidRPr="002B283E">
        <w:t>decided</w:t>
      </w:r>
      <w:r w:rsidRPr="002B283E">
        <w:rPr>
          <w:spacing w:val="-4"/>
        </w:rPr>
        <w:t xml:space="preserve"> </w:t>
      </w:r>
      <w:r w:rsidRPr="002B283E">
        <w:t>to</w:t>
      </w:r>
      <w:r w:rsidRPr="002B283E">
        <w:rPr>
          <w:spacing w:val="-2"/>
        </w:rPr>
        <w:t xml:space="preserve"> </w:t>
      </w:r>
      <w:r w:rsidRPr="002B283E">
        <w:t>accept</w:t>
      </w:r>
      <w:r w:rsidRPr="002B283E">
        <w:rPr>
          <w:spacing w:val="-4"/>
        </w:rPr>
        <w:t xml:space="preserve"> </w:t>
      </w:r>
      <w:r w:rsidRPr="002B283E">
        <w:t>as</w:t>
      </w:r>
      <w:r w:rsidRPr="002B283E">
        <w:rPr>
          <w:spacing w:val="-4"/>
        </w:rPr>
        <w:t xml:space="preserve"> </w:t>
      </w:r>
      <w:r w:rsidRPr="002B283E">
        <w:t>proved</w:t>
      </w:r>
      <w:r w:rsidRPr="002B283E">
        <w:rPr>
          <w:spacing w:val="-4"/>
        </w:rPr>
        <w:t xml:space="preserve"> </w:t>
      </w:r>
      <w:r w:rsidRPr="002B283E">
        <w:t>the</w:t>
      </w:r>
      <w:r w:rsidRPr="002B283E">
        <w:rPr>
          <w:spacing w:val="-5"/>
        </w:rPr>
        <w:t xml:space="preserve"> </w:t>
      </w:r>
      <w:r w:rsidRPr="002B283E">
        <w:t>fact</w:t>
      </w:r>
      <w:r w:rsidRPr="002B283E">
        <w:rPr>
          <w:spacing w:val="-4"/>
        </w:rPr>
        <w:t xml:space="preserve"> </w:t>
      </w:r>
      <w:r w:rsidRPr="002B283E">
        <w:t>that</w:t>
      </w:r>
      <w:r w:rsidRPr="002B283E">
        <w:rPr>
          <w:spacing w:val="-4"/>
        </w:rPr>
        <w:t xml:space="preserve"> </w:t>
      </w:r>
      <w:r w:rsidRPr="002B283E">
        <w:t>[</w:t>
      </w:r>
      <w:r w:rsidRPr="002B283E">
        <w:rPr>
          <w:i/>
          <w:u w:val="single"/>
        </w:rPr>
        <w:t>state</w:t>
      </w:r>
      <w:r w:rsidRPr="002B283E">
        <w:rPr>
          <w:i/>
          <w:spacing w:val="-5"/>
          <w:u w:val="single"/>
        </w:rPr>
        <w:t xml:space="preserve"> </w:t>
      </w:r>
      <w:r w:rsidRPr="002B283E">
        <w:rPr>
          <w:i/>
          <w:u w:val="single"/>
        </w:rPr>
        <w:t>fact</w:t>
      </w:r>
      <w:r w:rsidRPr="002B283E">
        <w:t>].You</w:t>
      </w:r>
      <w:r w:rsidRPr="002B283E">
        <w:rPr>
          <w:spacing w:val="-4"/>
        </w:rPr>
        <w:t xml:space="preserve"> </w:t>
      </w:r>
      <w:r w:rsidRPr="002B283E">
        <w:t>must</w:t>
      </w:r>
      <w:r w:rsidRPr="002B283E">
        <w:rPr>
          <w:spacing w:val="-4"/>
        </w:rPr>
        <w:t xml:space="preserve"> </w:t>
      </w:r>
      <w:r w:rsidRPr="002B283E">
        <w:t>accept</w:t>
      </w:r>
      <w:r w:rsidRPr="002B283E">
        <w:rPr>
          <w:spacing w:val="-4"/>
        </w:rPr>
        <w:t xml:space="preserve"> </w:t>
      </w:r>
      <w:r w:rsidRPr="002B283E">
        <w:t>this fact as true.</w:t>
      </w:r>
    </w:p>
    <w:p w14:paraId="1B3F2717" w14:textId="77777777" w:rsidR="008C6FC0" w:rsidRPr="002B283E" w:rsidRDefault="008C6FC0" w:rsidP="002B283E">
      <w:pPr>
        <w:pStyle w:val="BodyText"/>
      </w:pPr>
    </w:p>
    <w:p w14:paraId="60CB53C0" w14:textId="77777777" w:rsidR="008C6FC0" w:rsidRPr="002B283E" w:rsidRDefault="008C6FC0" w:rsidP="002B283E">
      <w:pPr>
        <w:jc w:val="center"/>
        <w:rPr>
          <w:rFonts w:cs="Times New Roman"/>
          <w:b/>
          <w:bCs/>
          <w:szCs w:val="24"/>
        </w:rPr>
      </w:pPr>
      <w:r w:rsidRPr="002B283E">
        <w:rPr>
          <w:rFonts w:cs="Times New Roman"/>
          <w:b/>
          <w:bCs/>
          <w:szCs w:val="24"/>
        </w:rPr>
        <w:t>Comment</w:t>
      </w:r>
    </w:p>
    <w:p w14:paraId="7358E801" w14:textId="77777777" w:rsidR="008C6FC0" w:rsidRPr="002B283E" w:rsidRDefault="008C6FC0" w:rsidP="002B283E">
      <w:pPr>
        <w:pStyle w:val="BodyText"/>
        <w:rPr>
          <w:b/>
        </w:rPr>
      </w:pPr>
    </w:p>
    <w:p w14:paraId="34C966D9" w14:textId="61258464" w:rsidR="008C6FC0" w:rsidRPr="002B283E" w:rsidRDefault="008C6FC0" w:rsidP="002B283E">
      <w:pPr>
        <w:pStyle w:val="BodyText"/>
        <w:ind w:right="56" w:firstLine="720"/>
        <w:rPr>
          <w:i/>
        </w:rPr>
      </w:pPr>
      <w:r w:rsidRPr="002B283E">
        <w:t>An</w:t>
      </w:r>
      <w:r w:rsidRPr="002B283E">
        <w:rPr>
          <w:spacing w:val="-1"/>
        </w:rPr>
        <w:t xml:space="preserve"> </w:t>
      </w:r>
      <w:r w:rsidRPr="002B283E">
        <w:t>instruction</w:t>
      </w:r>
      <w:r w:rsidRPr="002B283E">
        <w:rPr>
          <w:spacing w:val="-1"/>
        </w:rPr>
        <w:t xml:space="preserve"> </w:t>
      </w:r>
      <w:r w:rsidRPr="002B283E">
        <w:t>regarding judicial</w:t>
      </w:r>
      <w:r w:rsidRPr="002B283E">
        <w:rPr>
          <w:spacing w:val="-1"/>
        </w:rPr>
        <w:t xml:space="preserve"> </w:t>
      </w:r>
      <w:r w:rsidRPr="002B283E">
        <w:t>notice</w:t>
      </w:r>
      <w:r w:rsidRPr="002B283E">
        <w:rPr>
          <w:spacing w:val="-2"/>
        </w:rPr>
        <w:t xml:space="preserve"> </w:t>
      </w:r>
      <w:r w:rsidRPr="002B283E">
        <w:t>should</w:t>
      </w:r>
      <w:r w:rsidRPr="002B283E">
        <w:rPr>
          <w:spacing w:val="-1"/>
        </w:rPr>
        <w:t xml:space="preserve"> </w:t>
      </w:r>
      <w:r w:rsidRPr="002B283E">
        <w:t>be</w:t>
      </w:r>
      <w:r w:rsidRPr="002B283E">
        <w:rPr>
          <w:spacing w:val="-2"/>
        </w:rPr>
        <w:t xml:space="preserve"> </w:t>
      </w:r>
      <w:r w:rsidRPr="002B283E">
        <w:t>given</w:t>
      </w:r>
      <w:r w:rsidRPr="002B283E">
        <w:rPr>
          <w:spacing w:val="-1"/>
        </w:rPr>
        <w:t xml:space="preserve"> </w:t>
      </w:r>
      <w:r w:rsidRPr="002B283E">
        <w:t>at</w:t>
      </w:r>
      <w:r w:rsidRPr="002B283E">
        <w:rPr>
          <w:spacing w:val="-1"/>
        </w:rPr>
        <w:t xml:space="preserve"> </w:t>
      </w:r>
      <w:r w:rsidRPr="002B283E">
        <w:t>the</w:t>
      </w:r>
      <w:r w:rsidRPr="002B283E">
        <w:rPr>
          <w:spacing w:val="-2"/>
        </w:rPr>
        <w:t xml:space="preserve"> </w:t>
      </w:r>
      <w:r w:rsidRPr="002B283E">
        <w:t>time</w:t>
      </w:r>
      <w:r w:rsidRPr="002B283E">
        <w:rPr>
          <w:spacing w:val="-2"/>
        </w:rPr>
        <w:t xml:space="preserve"> </w:t>
      </w:r>
      <w:r w:rsidRPr="002B283E">
        <w:t>notice</w:t>
      </w:r>
      <w:r w:rsidRPr="002B283E">
        <w:rPr>
          <w:spacing w:val="-2"/>
        </w:rPr>
        <w:t xml:space="preserve"> </w:t>
      </w:r>
      <w:r w:rsidRPr="002B283E">
        <w:t>is</w:t>
      </w:r>
      <w:r w:rsidRPr="002B283E">
        <w:rPr>
          <w:spacing w:val="-1"/>
        </w:rPr>
        <w:t xml:space="preserve"> </w:t>
      </w:r>
      <w:r w:rsidRPr="002B283E">
        <w:t>taken.</w:t>
      </w:r>
      <w:r w:rsidR="006E79F5">
        <w:rPr>
          <w:spacing w:val="40"/>
        </w:rPr>
        <w:t xml:space="preserve"> </w:t>
      </w:r>
      <w:r w:rsidRPr="002B283E">
        <w:t>In</w:t>
      </w:r>
      <w:r w:rsidRPr="002B283E">
        <w:rPr>
          <w:spacing w:val="-1"/>
        </w:rPr>
        <w:t xml:space="preserve"> </w:t>
      </w:r>
      <w:r w:rsidRPr="002B283E">
        <w:t>a civil</w:t>
      </w:r>
      <w:r w:rsidRPr="002B283E">
        <w:rPr>
          <w:spacing w:val="-3"/>
        </w:rPr>
        <w:t xml:space="preserve"> </w:t>
      </w:r>
      <w:r w:rsidRPr="002B283E">
        <w:t>case,</w:t>
      </w:r>
      <w:r w:rsidRPr="002B283E">
        <w:rPr>
          <w:spacing w:val="-3"/>
        </w:rPr>
        <w:t xml:space="preserve"> </w:t>
      </w:r>
      <w:r w:rsidRPr="002B283E">
        <w:t>the</w:t>
      </w:r>
      <w:r w:rsidRPr="002B283E">
        <w:rPr>
          <w:spacing w:val="-4"/>
        </w:rPr>
        <w:t xml:space="preserve"> </w:t>
      </w:r>
      <w:r w:rsidRPr="002B283E">
        <w:t>Federal</w:t>
      </w:r>
      <w:r w:rsidRPr="002B283E">
        <w:rPr>
          <w:spacing w:val="-3"/>
        </w:rPr>
        <w:t xml:space="preserve"> </w:t>
      </w:r>
      <w:r w:rsidRPr="002B283E">
        <w:t>Rules</w:t>
      </w:r>
      <w:r w:rsidRPr="002B283E">
        <w:rPr>
          <w:spacing w:val="-3"/>
        </w:rPr>
        <w:t xml:space="preserve"> </w:t>
      </w:r>
      <w:r w:rsidRPr="002B283E">
        <w:t>of</w:t>
      </w:r>
      <w:r w:rsidRPr="002B283E">
        <w:rPr>
          <w:spacing w:val="-4"/>
        </w:rPr>
        <w:t xml:space="preserve"> </w:t>
      </w:r>
      <w:r w:rsidRPr="002B283E">
        <w:t>Evidence</w:t>
      </w:r>
      <w:r w:rsidRPr="002B283E">
        <w:rPr>
          <w:spacing w:val="-4"/>
        </w:rPr>
        <w:t xml:space="preserve"> </w:t>
      </w:r>
      <w:r w:rsidRPr="002B283E">
        <w:t>permit</w:t>
      </w:r>
      <w:r w:rsidRPr="002B283E">
        <w:rPr>
          <w:spacing w:val="-3"/>
        </w:rPr>
        <w:t xml:space="preserve"> </w:t>
      </w:r>
      <w:r w:rsidRPr="002B283E">
        <w:t>the</w:t>
      </w:r>
      <w:r w:rsidRPr="002B283E">
        <w:rPr>
          <w:spacing w:val="-4"/>
        </w:rPr>
        <w:t xml:space="preserve"> </w:t>
      </w:r>
      <w:r w:rsidRPr="002B283E">
        <w:t>judge</w:t>
      </w:r>
      <w:r w:rsidRPr="002B283E">
        <w:rPr>
          <w:spacing w:val="-4"/>
        </w:rPr>
        <w:t xml:space="preserve"> </w:t>
      </w:r>
      <w:r w:rsidRPr="002B283E">
        <w:t>to</w:t>
      </w:r>
      <w:r w:rsidRPr="002B283E">
        <w:rPr>
          <w:spacing w:val="-3"/>
        </w:rPr>
        <w:t xml:space="preserve"> </w:t>
      </w:r>
      <w:r w:rsidRPr="002B283E">
        <w:t>determine</w:t>
      </w:r>
      <w:r w:rsidRPr="002B283E">
        <w:rPr>
          <w:spacing w:val="-4"/>
        </w:rPr>
        <w:t xml:space="preserve"> </w:t>
      </w:r>
      <w:r w:rsidRPr="002B283E">
        <w:t>that</w:t>
      </w:r>
      <w:r w:rsidRPr="002B283E">
        <w:rPr>
          <w:spacing w:val="-1"/>
        </w:rPr>
        <w:t xml:space="preserve"> </w:t>
      </w:r>
      <w:r w:rsidRPr="002B283E">
        <w:t>a</w:t>
      </w:r>
      <w:r w:rsidRPr="002B283E">
        <w:rPr>
          <w:spacing w:val="-4"/>
        </w:rPr>
        <w:t xml:space="preserve"> </w:t>
      </w:r>
      <w:r w:rsidRPr="002B283E">
        <w:t>fact</w:t>
      </w:r>
      <w:r w:rsidRPr="002B283E">
        <w:rPr>
          <w:spacing w:val="-3"/>
        </w:rPr>
        <w:t xml:space="preserve"> </w:t>
      </w:r>
      <w:r w:rsidRPr="002B283E">
        <w:t>is</w:t>
      </w:r>
      <w:r w:rsidRPr="002B283E">
        <w:rPr>
          <w:spacing w:val="-3"/>
        </w:rPr>
        <w:t xml:space="preserve"> </w:t>
      </w:r>
      <w:r w:rsidRPr="002B283E">
        <w:t>sufficiently undisputed to be judicially noticed and requires that the jury be instructed that it is required to accept that fact.</w:t>
      </w:r>
      <w:r w:rsidR="006E79F5">
        <w:rPr>
          <w:spacing w:val="40"/>
        </w:rPr>
        <w:t xml:space="preserve"> </w:t>
      </w:r>
      <w:r w:rsidRPr="002B283E">
        <w:t>Fed. R. Evid. 201(f).</w:t>
      </w:r>
      <w:r w:rsidRPr="002B283E">
        <w:rPr>
          <w:spacing w:val="40"/>
        </w:rPr>
        <w:t xml:space="preserve"> </w:t>
      </w:r>
      <w:r w:rsidRPr="002B283E">
        <w:t>In a criminal case, however, the court must instruct the jury that it may or may not accept the noticed fact as conclusive.</w:t>
      </w:r>
      <w:r w:rsidR="00FF0716">
        <w:rPr>
          <w:spacing w:val="40"/>
        </w:rPr>
        <w:t xml:space="preserve"> </w:t>
      </w:r>
      <w:r w:rsidRPr="002B283E">
        <w:rPr>
          <w:i/>
        </w:rPr>
        <w:t>Id</w:t>
      </w:r>
      <w:r w:rsidRPr="002B283E">
        <w:t xml:space="preserve">.; </w:t>
      </w:r>
      <w:r w:rsidRPr="002B283E">
        <w:rPr>
          <w:i/>
        </w:rPr>
        <w:t>see United States v.</w:t>
      </w:r>
    </w:p>
    <w:p w14:paraId="7377CEFB" w14:textId="6E0F7CD8" w:rsidR="008C6FC0" w:rsidRPr="002B283E" w:rsidRDefault="008C6FC0" w:rsidP="003537FB">
      <w:pPr>
        <w:pStyle w:val="BodyText"/>
        <w:rPr>
          <w:spacing w:val="-2"/>
        </w:rPr>
      </w:pPr>
      <w:r w:rsidRPr="002B283E">
        <w:rPr>
          <w:i/>
        </w:rPr>
        <w:t>Chapel</w:t>
      </w:r>
      <w:r w:rsidRPr="002B283E">
        <w:t>,</w:t>
      </w:r>
      <w:r w:rsidRPr="002B283E">
        <w:rPr>
          <w:spacing w:val="-1"/>
        </w:rPr>
        <w:t xml:space="preserve"> </w:t>
      </w:r>
      <w:r w:rsidRPr="002B283E">
        <w:t>41</w:t>
      </w:r>
      <w:r w:rsidRPr="002B283E">
        <w:rPr>
          <w:spacing w:val="-1"/>
        </w:rPr>
        <w:t xml:space="preserve"> </w:t>
      </w:r>
      <w:r w:rsidRPr="002B283E">
        <w:t>F.3d</w:t>
      </w:r>
      <w:r w:rsidRPr="002B283E">
        <w:rPr>
          <w:spacing w:val="-1"/>
        </w:rPr>
        <w:t xml:space="preserve"> </w:t>
      </w:r>
      <w:r w:rsidRPr="002B283E">
        <w:t>1338,</w:t>
      </w:r>
      <w:r w:rsidRPr="002B283E">
        <w:rPr>
          <w:spacing w:val="-1"/>
        </w:rPr>
        <w:t xml:space="preserve"> </w:t>
      </w:r>
      <w:r w:rsidRPr="002B283E">
        <w:t>1342</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1994)</w:t>
      </w:r>
      <w:r w:rsidRPr="002B283E">
        <w:rPr>
          <w:spacing w:val="-2"/>
        </w:rPr>
        <w:t xml:space="preserve"> </w:t>
      </w:r>
      <w:r w:rsidRPr="002B283E">
        <w:t>(in</w:t>
      </w:r>
      <w:r w:rsidRPr="002B283E">
        <w:rPr>
          <w:spacing w:val="-1"/>
        </w:rPr>
        <w:t xml:space="preserve"> </w:t>
      </w:r>
      <w:r w:rsidRPr="002B283E">
        <w:t>a</w:t>
      </w:r>
      <w:r w:rsidRPr="002B283E">
        <w:rPr>
          <w:spacing w:val="-2"/>
        </w:rPr>
        <w:t xml:space="preserve"> </w:t>
      </w:r>
      <w:r w:rsidRPr="002B283E">
        <w:t>criminal</w:t>
      </w:r>
      <w:r w:rsidRPr="002B283E">
        <w:rPr>
          <w:spacing w:val="-1"/>
        </w:rPr>
        <w:t xml:space="preserve"> </w:t>
      </w:r>
      <w:r w:rsidRPr="002B283E">
        <w:t>case,</w:t>
      </w:r>
      <w:r w:rsidRPr="002B283E">
        <w:rPr>
          <w:spacing w:val="-1"/>
        </w:rPr>
        <w:t xml:space="preserve"> </w:t>
      </w:r>
      <w:r w:rsidRPr="002B283E">
        <w:t>“the</w:t>
      </w:r>
      <w:r w:rsidRPr="002B283E">
        <w:rPr>
          <w:spacing w:val="-2"/>
        </w:rPr>
        <w:t xml:space="preserve"> </w:t>
      </w:r>
      <w:r w:rsidRPr="002B283E">
        <w:t>trial</w:t>
      </w:r>
      <w:r w:rsidRPr="002B283E">
        <w:rPr>
          <w:spacing w:val="-1"/>
        </w:rPr>
        <w:t xml:space="preserve"> </w:t>
      </w:r>
      <w:r w:rsidRPr="002B283E">
        <w:t>court</w:t>
      </w:r>
      <w:r w:rsidRPr="002B283E">
        <w:rPr>
          <w:spacing w:val="-1"/>
        </w:rPr>
        <w:t xml:space="preserve"> </w:t>
      </w:r>
      <w:r w:rsidRPr="002B283E">
        <w:t>must</w:t>
      </w:r>
      <w:r w:rsidRPr="002B283E">
        <w:rPr>
          <w:spacing w:val="-1"/>
        </w:rPr>
        <w:t xml:space="preserve"> </w:t>
      </w:r>
      <w:r w:rsidRPr="002B283E">
        <w:t>instruct</w:t>
      </w:r>
      <w:r w:rsidRPr="002B283E">
        <w:rPr>
          <w:spacing w:val="-1"/>
        </w:rPr>
        <w:t xml:space="preserve"> </w:t>
      </w:r>
      <w:r w:rsidRPr="002B283E">
        <w:t>‘the jury that it may, but is not required to, accept as conclusive any fact judicially noticed’” (citing Fed.</w:t>
      </w:r>
      <w:r w:rsidRPr="002B283E">
        <w:rPr>
          <w:spacing w:val="-5"/>
        </w:rPr>
        <w:t xml:space="preserve"> </w:t>
      </w:r>
      <w:r w:rsidRPr="002B283E">
        <w:t>R.</w:t>
      </w:r>
      <w:r w:rsidRPr="002B283E">
        <w:rPr>
          <w:spacing w:val="-5"/>
        </w:rPr>
        <w:t xml:space="preserve"> </w:t>
      </w:r>
      <w:r w:rsidRPr="002B283E">
        <w:t>Evid.</w:t>
      </w:r>
      <w:r w:rsidRPr="002B283E">
        <w:rPr>
          <w:spacing w:val="-5"/>
        </w:rPr>
        <w:t xml:space="preserve"> </w:t>
      </w:r>
      <w:r w:rsidRPr="002B283E">
        <w:t>201(g)))</w:t>
      </w:r>
      <w:r w:rsidR="003537FB">
        <w:t>.</w:t>
      </w:r>
    </w:p>
    <w:p w14:paraId="564C678C" w14:textId="77777777" w:rsidR="008C6FC0" w:rsidRPr="002B283E" w:rsidRDefault="008C6FC0" w:rsidP="002B283E">
      <w:pPr>
        <w:pStyle w:val="BodyText"/>
        <w:rPr>
          <w:spacing w:val="-2"/>
        </w:rPr>
      </w:pPr>
    </w:p>
    <w:p w14:paraId="107F10E6" w14:textId="2D9EA755" w:rsidR="006A4CD7" w:rsidRPr="002B283E" w:rsidRDefault="008C6FC0" w:rsidP="002B283E">
      <w:pPr>
        <w:pStyle w:val="BodyText"/>
        <w:jc w:val="right"/>
        <w:rPr>
          <w:i/>
          <w:iCs/>
        </w:rPr>
      </w:pPr>
      <w:r w:rsidRPr="002B283E">
        <w:rPr>
          <w:i/>
          <w:iCs/>
        </w:rPr>
        <w:t>Revised March 2025</w:t>
      </w:r>
    </w:p>
    <w:p w14:paraId="75B7F974" w14:textId="77777777" w:rsidR="006A4CD7" w:rsidRPr="002B283E" w:rsidRDefault="006A4CD7" w:rsidP="002B283E">
      <w:pPr>
        <w:autoSpaceDE w:val="0"/>
        <w:autoSpaceDN w:val="0"/>
        <w:adjustRightInd w:val="0"/>
        <w:rPr>
          <w:rFonts w:cs="Times New Roman"/>
          <w:szCs w:val="24"/>
        </w:rPr>
      </w:pPr>
    </w:p>
    <w:p w14:paraId="2DE9D64C" w14:textId="77777777" w:rsidR="006A4CD7" w:rsidRPr="002B283E" w:rsidRDefault="006A4CD7" w:rsidP="002B283E">
      <w:pPr>
        <w:autoSpaceDE w:val="0"/>
        <w:autoSpaceDN w:val="0"/>
        <w:adjustRightInd w:val="0"/>
        <w:rPr>
          <w:rFonts w:cs="Times New Roman"/>
          <w:szCs w:val="24"/>
        </w:rPr>
      </w:pPr>
    </w:p>
    <w:p w14:paraId="7ECEDE86" w14:textId="77777777" w:rsidR="006A4CD7" w:rsidRPr="002B283E" w:rsidRDefault="006A4CD7" w:rsidP="002B283E">
      <w:pPr>
        <w:autoSpaceDE w:val="0"/>
        <w:autoSpaceDN w:val="0"/>
        <w:adjustRightInd w:val="0"/>
        <w:rPr>
          <w:rFonts w:cs="Times New Roman"/>
          <w:szCs w:val="24"/>
        </w:rPr>
      </w:pPr>
    </w:p>
    <w:p w14:paraId="613BAE5E" w14:textId="77777777" w:rsidR="00030A67" w:rsidRPr="002B283E" w:rsidRDefault="00030A67" w:rsidP="002B283E">
      <w:pPr>
        <w:rPr>
          <w:rFonts w:cs="Times New Roman"/>
          <w:b/>
          <w:bCs/>
          <w:szCs w:val="24"/>
        </w:rPr>
      </w:pPr>
      <w:r w:rsidRPr="002B283E">
        <w:rPr>
          <w:rFonts w:cs="Times New Roman"/>
          <w:b/>
          <w:bCs/>
          <w:szCs w:val="24"/>
        </w:rPr>
        <w:br w:type="page"/>
      </w:r>
    </w:p>
    <w:p w14:paraId="499D375F" w14:textId="31615CC1" w:rsidR="006A4CD7" w:rsidRPr="002B283E" w:rsidRDefault="006A4CD7" w:rsidP="002B283E">
      <w:pPr>
        <w:pStyle w:val="Heading2"/>
      </w:pPr>
      <w:bookmarkStart w:id="36" w:name="_Toc221525087"/>
      <w:r w:rsidRPr="002B283E">
        <w:lastRenderedPageBreak/>
        <w:t>2.</w:t>
      </w:r>
      <w:r w:rsidR="00C65A66">
        <w:t>5</w:t>
      </w:r>
      <w:r w:rsidRPr="002B283E">
        <w:t xml:space="preserve"> </w:t>
      </w:r>
      <w:r w:rsidR="00F8289E" w:rsidRPr="002B283E">
        <w:t>Deposition in Lieu of Live Testimony</w:t>
      </w:r>
      <w:bookmarkEnd w:id="36"/>
    </w:p>
    <w:p w14:paraId="2F620E94" w14:textId="77777777" w:rsidR="006A4CD7" w:rsidRPr="002B283E" w:rsidRDefault="006A4CD7" w:rsidP="002B283E">
      <w:pPr>
        <w:autoSpaceDE w:val="0"/>
        <w:autoSpaceDN w:val="0"/>
        <w:adjustRightInd w:val="0"/>
        <w:rPr>
          <w:rFonts w:cs="Times New Roman"/>
          <w:szCs w:val="24"/>
        </w:rPr>
      </w:pPr>
    </w:p>
    <w:p w14:paraId="5FD62027" w14:textId="6E1CE26C" w:rsidR="006A4CD7" w:rsidRPr="002B283E" w:rsidRDefault="006A4CD7" w:rsidP="002B283E">
      <w:pPr>
        <w:autoSpaceDE w:val="0"/>
        <w:autoSpaceDN w:val="0"/>
        <w:adjustRightInd w:val="0"/>
        <w:rPr>
          <w:rFonts w:cs="Times New Roman"/>
          <w:strike/>
          <w:szCs w:val="24"/>
        </w:rPr>
      </w:pPr>
      <w:r w:rsidRPr="002B283E">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2B283E">
        <w:rPr>
          <w:rFonts w:cs="Times New Roman"/>
          <w:szCs w:val="24"/>
        </w:rPr>
        <w:br/>
      </w:r>
    </w:p>
    <w:p w14:paraId="349C5096" w14:textId="65274863" w:rsidR="006A4CD7" w:rsidRPr="002B283E" w:rsidRDefault="006A4CD7" w:rsidP="002B283E">
      <w:pPr>
        <w:autoSpaceDE w:val="0"/>
        <w:autoSpaceDN w:val="0"/>
        <w:adjustRightInd w:val="0"/>
        <w:rPr>
          <w:rFonts w:cs="Times New Roman"/>
          <w:szCs w:val="24"/>
        </w:rPr>
      </w:pPr>
      <w:r w:rsidRPr="002B283E">
        <w:rPr>
          <w:rFonts w:cs="Times New Roman"/>
          <w:szCs w:val="24"/>
        </w:rPr>
        <w:tab/>
        <w:t>The deposition of [</w:t>
      </w:r>
      <w:r w:rsidRPr="002B283E">
        <w:rPr>
          <w:rFonts w:cs="Times New Roman"/>
          <w:i/>
          <w:iCs/>
          <w:szCs w:val="24"/>
          <w:u w:val="single"/>
        </w:rPr>
        <w:t>name of witness</w:t>
      </w:r>
      <w:r w:rsidRPr="002B283E">
        <w:rPr>
          <w:rFonts w:cs="Times New Roman"/>
          <w:szCs w:val="24"/>
        </w:rPr>
        <w:t>] was taken on [</w:t>
      </w:r>
      <w:r w:rsidRPr="002B283E">
        <w:rPr>
          <w:rFonts w:cs="Times New Roman"/>
          <w:i/>
          <w:iCs/>
          <w:szCs w:val="24"/>
          <w:u w:val="single"/>
        </w:rPr>
        <w:t>date</w:t>
      </w:r>
      <w:r w:rsidRPr="002B283E">
        <w:rPr>
          <w:rFonts w:cs="Times New Roman"/>
          <w:szCs w:val="24"/>
        </w:rPr>
        <w:t>]. Insofar as possible, you should consider deposition testimony, presented to you in court in lieu of live testimony, in the same way as if the witness had been present to testify.</w:t>
      </w:r>
    </w:p>
    <w:p w14:paraId="6BCC4ADA" w14:textId="77777777" w:rsidR="0058487E" w:rsidRPr="002B283E" w:rsidRDefault="0058487E" w:rsidP="002B283E">
      <w:pPr>
        <w:autoSpaceDE w:val="0"/>
        <w:autoSpaceDN w:val="0"/>
        <w:adjustRightInd w:val="0"/>
        <w:rPr>
          <w:rFonts w:cs="Times New Roman"/>
          <w:szCs w:val="24"/>
        </w:rPr>
      </w:pPr>
    </w:p>
    <w:p w14:paraId="17608E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[Do not place any significance on the behavior or tone of voice of any person reading the questions or answers.]</w:t>
      </w:r>
    </w:p>
    <w:p w14:paraId="6E4871EF" w14:textId="77777777" w:rsidR="006A4CD7" w:rsidRPr="002B283E" w:rsidRDefault="006A4CD7" w:rsidP="002B283E">
      <w:pPr>
        <w:autoSpaceDE w:val="0"/>
        <w:autoSpaceDN w:val="0"/>
        <w:adjustRightInd w:val="0"/>
        <w:jc w:val="center"/>
        <w:rPr>
          <w:rFonts w:cs="Times New Roman"/>
          <w:szCs w:val="24"/>
        </w:rPr>
      </w:pPr>
    </w:p>
    <w:p w14:paraId="6C47D40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A9F3591" w14:textId="77777777" w:rsidR="006A4CD7" w:rsidRPr="002B283E" w:rsidRDefault="006A4CD7" w:rsidP="002B283E">
      <w:pPr>
        <w:autoSpaceDE w:val="0"/>
        <w:autoSpaceDN w:val="0"/>
        <w:adjustRightInd w:val="0"/>
        <w:rPr>
          <w:rFonts w:cs="Times New Roman"/>
          <w:szCs w:val="24"/>
        </w:rPr>
      </w:pPr>
    </w:p>
    <w:p w14:paraId="68D6C7BA" w14:textId="08BB31D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2B283E" w:rsidRDefault="006A4CD7" w:rsidP="002B283E">
      <w:pPr>
        <w:autoSpaceDE w:val="0"/>
        <w:autoSpaceDN w:val="0"/>
        <w:adjustRightInd w:val="0"/>
        <w:rPr>
          <w:rFonts w:cs="Times New Roman"/>
          <w:szCs w:val="24"/>
        </w:rPr>
      </w:pPr>
    </w:p>
    <w:p w14:paraId="610489A1" w14:textId="77777777" w:rsidR="006A4CD7" w:rsidRPr="002B283E" w:rsidRDefault="006A4CD7" w:rsidP="002B283E">
      <w:pPr>
        <w:autoSpaceDE w:val="0"/>
        <w:autoSpaceDN w:val="0"/>
        <w:adjustRightInd w:val="0"/>
        <w:rPr>
          <w:rFonts w:cs="Times New Roman"/>
          <w:szCs w:val="24"/>
        </w:rPr>
      </w:pPr>
    </w:p>
    <w:p w14:paraId="0620E1E0" w14:textId="77777777" w:rsidR="00030A67" w:rsidRPr="002B283E" w:rsidRDefault="00030A67" w:rsidP="002B283E">
      <w:pPr>
        <w:rPr>
          <w:rFonts w:cs="Times New Roman"/>
          <w:b/>
          <w:bCs/>
          <w:szCs w:val="24"/>
        </w:rPr>
      </w:pPr>
      <w:r w:rsidRPr="002B283E">
        <w:rPr>
          <w:rFonts w:cs="Times New Roman"/>
          <w:b/>
          <w:bCs/>
          <w:szCs w:val="24"/>
        </w:rPr>
        <w:br w:type="page"/>
      </w:r>
    </w:p>
    <w:p w14:paraId="3685EF92" w14:textId="731C5BCC" w:rsidR="006A4CD7" w:rsidRPr="002B283E" w:rsidRDefault="006A4CD7" w:rsidP="002B283E">
      <w:pPr>
        <w:pStyle w:val="Heading2"/>
      </w:pPr>
      <w:bookmarkStart w:id="37" w:name="_Toc221525088"/>
      <w:r w:rsidRPr="002B283E">
        <w:lastRenderedPageBreak/>
        <w:t>2.</w:t>
      </w:r>
      <w:r w:rsidR="00C65A66">
        <w:t>6</w:t>
      </w:r>
      <w:r w:rsidRPr="002B283E">
        <w:t xml:space="preserve"> </w:t>
      </w:r>
      <w:r w:rsidR="00F8289E" w:rsidRPr="002B283E">
        <w:t>Transcript of Recording in English</w:t>
      </w:r>
      <w:bookmarkEnd w:id="37"/>
    </w:p>
    <w:p w14:paraId="4B44796C" w14:textId="77777777" w:rsidR="006A4CD7" w:rsidRPr="002B283E" w:rsidRDefault="006A4CD7" w:rsidP="002B283E">
      <w:pPr>
        <w:autoSpaceDE w:val="0"/>
        <w:autoSpaceDN w:val="0"/>
        <w:adjustRightInd w:val="0"/>
        <w:rPr>
          <w:rFonts w:cs="Times New Roman"/>
          <w:szCs w:val="24"/>
        </w:rPr>
      </w:pPr>
    </w:p>
    <w:p w14:paraId="1CF305B8" w14:textId="6CC7F4E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2B283E" w:rsidRDefault="006A4CD7" w:rsidP="002B283E">
      <w:pPr>
        <w:rPr>
          <w:rFonts w:cs="Times New Roman"/>
          <w:szCs w:val="24"/>
        </w:rPr>
      </w:pPr>
    </w:p>
    <w:p w14:paraId="556D41A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7BFEA7" w14:textId="77777777" w:rsidR="006A4CD7" w:rsidRPr="002B283E" w:rsidRDefault="006A4CD7" w:rsidP="002B283E">
      <w:pPr>
        <w:rPr>
          <w:rFonts w:cs="Times New Roman"/>
          <w:szCs w:val="24"/>
        </w:rPr>
      </w:pPr>
    </w:p>
    <w:p w14:paraId="3EE530D9" w14:textId="04DE16EB" w:rsidR="0058487E"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Delgado</w:t>
      </w:r>
      <w:r w:rsidRPr="002B283E">
        <w:rPr>
          <w:rFonts w:cs="Times New Roman"/>
          <w:szCs w:val="24"/>
        </w:rPr>
        <w:t xml:space="preserve">, 357 F.3d 1061, 1070 (9th Cir. 2004), </w:t>
      </w:r>
      <w:r w:rsidRPr="002B283E">
        <w:rPr>
          <w:rFonts w:cs="Times New Roman"/>
          <w:i/>
          <w:iCs/>
          <w:szCs w:val="24"/>
        </w:rPr>
        <w:t>abrogated on other grounds by United States v. Katakis</w:t>
      </w:r>
      <w:r w:rsidRPr="002B283E">
        <w:rPr>
          <w:rFonts w:cs="Times New Roman"/>
          <w:szCs w:val="24"/>
        </w:rPr>
        <w:t>, 800 F.3d 1017, 1028 (9th Cir. 2015) (holding that</w:t>
      </w:r>
      <w:r w:rsidR="00F12DC6">
        <w:rPr>
          <w:rFonts w:cs="Times New Roman"/>
          <w:szCs w:val="24"/>
        </w:rPr>
        <w:t xml:space="preserve"> the</w:t>
      </w:r>
      <w:r w:rsidRPr="002B283E">
        <w:rPr>
          <w:rFonts w:cs="Times New Roman"/>
          <w:szCs w:val="24"/>
        </w:rPr>
        <w:t xml:space="preserve"> district court properly instructed</w:t>
      </w:r>
      <w:r w:rsidR="00F12DC6">
        <w:rPr>
          <w:rFonts w:cs="Times New Roman"/>
          <w:szCs w:val="24"/>
        </w:rPr>
        <w:t xml:space="preserve"> the</w:t>
      </w:r>
      <w:r w:rsidRPr="002B283E">
        <w:rPr>
          <w:rFonts w:cs="Times New Roman"/>
          <w:szCs w:val="24"/>
        </w:rPr>
        <w:t xml:space="preserve"> jury that transcripts were only aids to understanding and that </w:t>
      </w:r>
      <w:r w:rsidR="00F12DC6">
        <w:rPr>
          <w:rFonts w:cs="Times New Roman"/>
          <w:szCs w:val="24"/>
        </w:rPr>
        <w:t xml:space="preserve">the </w:t>
      </w:r>
      <w:r w:rsidRPr="002B283E">
        <w:rPr>
          <w:rFonts w:cs="Times New Roman"/>
          <w:szCs w:val="24"/>
        </w:rPr>
        <w:t xml:space="preserve">recordings themselves were evidence); </w:t>
      </w:r>
      <w:r w:rsidRPr="002B283E">
        <w:rPr>
          <w:rFonts w:cs="Times New Roman"/>
          <w:i/>
          <w:iCs/>
          <w:szCs w:val="24"/>
        </w:rPr>
        <w:t>United States v. Franco</w:t>
      </w:r>
      <w:r w:rsidRPr="002B283E">
        <w:rPr>
          <w:rFonts w:cs="Times New Roman"/>
          <w:szCs w:val="24"/>
        </w:rPr>
        <w:t xml:space="preserve">, 136 F.3d 622, 626 (9th Cir. 1998) (noting that recording itself is evidence to be considered; transcript is merely aid);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also </w:t>
      </w:r>
      <w:r w:rsidRPr="002B283E">
        <w:rPr>
          <w:rFonts w:cs="Times New Roman"/>
          <w:szCs w:val="24"/>
        </w:rPr>
        <w:t>Instructions 2.</w:t>
      </w:r>
      <w:r w:rsidR="00DF7B47">
        <w:rPr>
          <w:rFonts w:cs="Times New Roman"/>
          <w:szCs w:val="24"/>
        </w:rPr>
        <w:t>7</w:t>
      </w:r>
      <w:r w:rsidRPr="002B283E">
        <w:rPr>
          <w:rFonts w:cs="Times New Roman"/>
          <w:szCs w:val="24"/>
        </w:rPr>
        <w:t xml:space="preserve"> (Transcript of Recording in Foreign Language), 2.</w:t>
      </w:r>
      <w:r w:rsidR="00DF7B47">
        <w:rPr>
          <w:rFonts w:cs="Times New Roman"/>
          <w:szCs w:val="24"/>
        </w:rPr>
        <w:t>8</w:t>
      </w:r>
      <w:r w:rsidRPr="002B283E">
        <w:rPr>
          <w:rFonts w:cs="Times New Roman"/>
          <w:szCs w:val="24"/>
        </w:rPr>
        <w:t xml:space="preserve"> (Disputed Transcript of Recording in Foreign Language), and 2.</w:t>
      </w:r>
      <w:r w:rsidR="00DF7B47">
        <w:rPr>
          <w:rFonts w:cs="Times New Roman"/>
          <w:szCs w:val="24"/>
        </w:rPr>
        <w:t>9</w:t>
      </w:r>
      <w:r w:rsidRPr="002B283E">
        <w:rPr>
          <w:rFonts w:cs="Times New Roman"/>
          <w:szCs w:val="24"/>
        </w:rPr>
        <w:t xml:space="preserve"> (Foreign Language Testimony).</w:t>
      </w:r>
    </w:p>
    <w:p w14:paraId="798FC90C" w14:textId="77777777" w:rsidR="0058487E" w:rsidRPr="002B283E" w:rsidRDefault="0058487E" w:rsidP="002B283E">
      <w:pPr>
        <w:autoSpaceDE w:val="0"/>
        <w:autoSpaceDN w:val="0"/>
        <w:adjustRightInd w:val="0"/>
        <w:rPr>
          <w:rFonts w:cs="Times New Roman"/>
          <w:szCs w:val="24"/>
        </w:rPr>
      </w:pPr>
    </w:p>
    <w:p w14:paraId="1C20D7D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Pr="002B283E" w:rsidRDefault="007B1C2E" w:rsidP="002B283E">
      <w:pPr>
        <w:rPr>
          <w:rFonts w:cs="Times New Roman"/>
          <w:szCs w:val="24"/>
        </w:rPr>
      </w:pPr>
    </w:p>
    <w:p w14:paraId="7FDE059E" w14:textId="77777777" w:rsidR="007B1C2E" w:rsidRPr="002B283E" w:rsidRDefault="007B1C2E" w:rsidP="002B283E">
      <w:pPr>
        <w:rPr>
          <w:rFonts w:cs="Times New Roman"/>
          <w:szCs w:val="24"/>
        </w:rPr>
      </w:pPr>
    </w:p>
    <w:p w14:paraId="038A8E57" w14:textId="14F68661" w:rsidR="006A4CD7" w:rsidRPr="002B283E" w:rsidRDefault="006A4CD7" w:rsidP="002B283E">
      <w:pPr>
        <w:pStyle w:val="Heading2"/>
      </w:pPr>
      <w:r w:rsidRPr="002B283E">
        <w:br w:type="page"/>
      </w:r>
      <w:bookmarkStart w:id="38" w:name="_Toc221525089"/>
      <w:r w:rsidRPr="002B283E">
        <w:lastRenderedPageBreak/>
        <w:t>2.</w:t>
      </w:r>
      <w:r w:rsidR="00C65A66">
        <w:t xml:space="preserve">7 </w:t>
      </w:r>
      <w:r w:rsidR="00F8289E" w:rsidRPr="002B283E">
        <w:t>Transcript of Recording in Foreign Language</w:t>
      </w:r>
      <w:bookmarkEnd w:id="38"/>
    </w:p>
    <w:p w14:paraId="75835088" w14:textId="77777777" w:rsidR="006A4CD7" w:rsidRPr="002B283E" w:rsidRDefault="006A4CD7" w:rsidP="002B283E">
      <w:pPr>
        <w:autoSpaceDE w:val="0"/>
        <w:autoSpaceDN w:val="0"/>
        <w:adjustRightInd w:val="0"/>
        <w:rPr>
          <w:rFonts w:cs="Times New Roman"/>
          <w:szCs w:val="24"/>
        </w:rPr>
      </w:pPr>
    </w:p>
    <w:p w14:paraId="49B562B3" w14:textId="3FA18FB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in [</w:t>
      </w:r>
      <w:r w:rsidRPr="002B283E">
        <w:rPr>
          <w:rFonts w:cs="Times New Roman"/>
          <w:i/>
          <w:iCs/>
          <w:szCs w:val="24"/>
          <w:u w:val="single"/>
        </w:rPr>
        <w:t>specify foreign language</w:t>
      </w:r>
      <w:r w:rsidRPr="002B283E">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2B283E" w:rsidRDefault="006A4CD7" w:rsidP="002B283E">
      <w:pPr>
        <w:autoSpaceDE w:val="0"/>
        <w:autoSpaceDN w:val="0"/>
        <w:adjustRightInd w:val="0"/>
        <w:rPr>
          <w:rFonts w:cs="Times New Roman"/>
          <w:szCs w:val="24"/>
        </w:rPr>
      </w:pPr>
    </w:p>
    <w:p w14:paraId="40D29C1E" w14:textId="3C49120E" w:rsidR="006A4CD7" w:rsidRPr="002B283E" w:rsidRDefault="006A4CD7" w:rsidP="002B283E">
      <w:pPr>
        <w:autoSpaceDE w:val="0"/>
        <w:autoSpaceDN w:val="0"/>
        <w:adjustRightInd w:val="0"/>
        <w:rPr>
          <w:rFonts w:cs="Times New Roman"/>
          <w:szCs w:val="24"/>
        </w:rPr>
      </w:pPr>
      <w:r w:rsidRPr="002B283E">
        <w:rPr>
          <w:rFonts w:cs="Times New Roman"/>
          <w:szCs w:val="24"/>
        </w:rPr>
        <w:tab/>
        <w:t>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2B283E" w:rsidRDefault="006A4CD7" w:rsidP="002B283E">
      <w:pPr>
        <w:autoSpaceDE w:val="0"/>
        <w:autoSpaceDN w:val="0"/>
        <w:adjustRightInd w:val="0"/>
        <w:rPr>
          <w:rFonts w:cs="Times New Roman"/>
          <w:szCs w:val="24"/>
        </w:rPr>
      </w:pPr>
    </w:p>
    <w:p w14:paraId="48A468A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4EB00B" w14:textId="77777777" w:rsidR="006A4CD7" w:rsidRPr="002B283E" w:rsidRDefault="006A4CD7" w:rsidP="002B283E">
      <w:pPr>
        <w:autoSpaceDE w:val="0"/>
        <w:autoSpaceDN w:val="0"/>
        <w:adjustRightInd w:val="0"/>
        <w:rPr>
          <w:rFonts w:cs="Times New Roman"/>
          <w:szCs w:val="24"/>
        </w:rPr>
      </w:pPr>
    </w:p>
    <w:p w14:paraId="73C481BD" w14:textId="1BC2C0C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2B283E">
        <w:rPr>
          <w:rFonts w:cs="Times New Roman"/>
          <w:i/>
          <w:iCs/>
          <w:szCs w:val="24"/>
        </w:rPr>
        <w:t xml:space="preserve"> S</w:t>
      </w:r>
      <w:r w:rsidR="00A15A8F">
        <w:rPr>
          <w:rFonts w:cs="Times New Roman"/>
          <w:i/>
          <w:iCs/>
          <w:szCs w:val="24"/>
        </w:rPr>
        <w:t>ee, e.g</w:t>
      </w:r>
      <w:r w:rsidR="00A15A8F" w:rsidRPr="00FF0716">
        <w:rPr>
          <w:rFonts w:cs="Times New Roman"/>
          <w:szCs w:val="24"/>
        </w:rPr>
        <w:t xml:space="preserve">., </w:t>
      </w:r>
      <w:r w:rsidRPr="002B283E">
        <w:rPr>
          <w:rFonts w:cs="Times New Roman"/>
          <w:i/>
          <w:iCs/>
          <w:szCs w:val="24"/>
        </w:rPr>
        <w:t>United States v. Rrapi</w:t>
      </w:r>
      <w:r w:rsidRPr="002B283E">
        <w:rPr>
          <w:rFonts w:cs="Times New Roman"/>
          <w:szCs w:val="24"/>
        </w:rPr>
        <w:t xml:space="preserve">, 175 F.3d 742, 746 (9th Cir. 1999); </w:t>
      </w:r>
      <w:r w:rsidRPr="002B283E">
        <w:rPr>
          <w:rFonts w:cs="Times New Roman"/>
          <w:i/>
          <w:iCs/>
          <w:szCs w:val="24"/>
        </w:rPr>
        <w:t>United States v. Franco</w:t>
      </w:r>
      <w:r w:rsidRPr="002B283E">
        <w:rPr>
          <w:rFonts w:cs="Times New Roman"/>
          <w:szCs w:val="24"/>
        </w:rPr>
        <w:t xml:space="preserve">, 136 F.3d 622, 626 (9th Cir. 1998); </w:t>
      </w:r>
      <w:r w:rsidRPr="002B283E">
        <w:rPr>
          <w:rFonts w:cs="Times New Roman"/>
          <w:i/>
          <w:iCs/>
          <w:szCs w:val="24"/>
        </w:rPr>
        <w:t>United States v. Fuentes</w:t>
      </w:r>
      <w:r w:rsidR="00E16934">
        <w:rPr>
          <w:rFonts w:cs="Times New Roman"/>
          <w:i/>
          <w:iCs/>
          <w:szCs w:val="24"/>
        </w:rPr>
        <w:t>-</w:t>
      </w:r>
      <w:r w:rsidRPr="002B283E">
        <w:rPr>
          <w:rFonts w:cs="Times New Roman"/>
          <w:i/>
          <w:iCs/>
          <w:szCs w:val="24"/>
        </w:rPr>
        <w:t>Montijo</w:t>
      </w:r>
      <w:r w:rsidRPr="002B283E">
        <w:rPr>
          <w:rFonts w:cs="Times New Roman"/>
          <w:szCs w:val="24"/>
        </w:rPr>
        <w:t xml:space="preserve">, 68 F.3d 352, 355-56 (9th Cir. 1995). </w:t>
      </w:r>
    </w:p>
    <w:p w14:paraId="54B23781" w14:textId="77777777" w:rsidR="006A4CD7" w:rsidRPr="002B283E" w:rsidRDefault="006A4CD7" w:rsidP="002B283E">
      <w:pPr>
        <w:autoSpaceDE w:val="0"/>
        <w:autoSpaceDN w:val="0"/>
        <w:adjustRightInd w:val="0"/>
        <w:rPr>
          <w:rFonts w:cs="Times New Roman"/>
          <w:szCs w:val="24"/>
        </w:rPr>
      </w:pPr>
    </w:p>
    <w:p w14:paraId="540835D7" w14:textId="2D613CC2"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Instruction 2.</w:t>
      </w:r>
      <w:r w:rsidR="00DF7B47">
        <w:rPr>
          <w:rFonts w:cs="Times New Roman"/>
          <w:szCs w:val="24"/>
        </w:rPr>
        <w:t>6</w:t>
      </w:r>
      <w:r w:rsidRPr="002B283E">
        <w:rPr>
          <w:rFonts w:cs="Times New Roman"/>
          <w:szCs w:val="24"/>
        </w:rPr>
        <w:t xml:space="preserve"> (Transcript of Recording in English)</w:t>
      </w:r>
      <w:r w:rsidR="00FF0716">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r w:rsidR="00DF7B47">
        <w:rPr>
          <w:rFonts w:cs="Times New Roman"/>
          <w:szCs w:val="24"/>
        </w:rPr>
        <w:t>8</w:t>
      </w:r>
      <w:r w:rsidRPr="002B283E">
        <w:rPr>
          <w:rFonts w:cs="Times New Roman"/>
          <w:szCs w:val="24"/>
        </w:rPr>
        <w:t xml:space="preserve"> (Disputed Transcript of Recording in Foreign Language)</w:t>
      </w:r>
      <w:r w:rsidR="004E2859">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r w:rsidR="00DF7B47">
        <w:rPr>
          <w:rFonts w:cs="Times New Roman"/>
          <w:szCs w:val="24"/>
        </w:rPr>
        <w:t>9</w:t>
      </w:r>
      <w:r w:rsidRPr="002B283E">
        <w:rPr>
          <w:rFonts w:cs="Times New Roman"/>
          <w:szCs w:val="24"/>
        </w:rPr>
        <w:t xml:space="preserve"> (Foreign Language Testimony).</w:t>
      </w:r>
    </w:p>
    <w:p w14:paraId="5A065B1C" w14:textId="77777777" w:rsidR="006A4CD7" w:rsidRPr="002B283E" w:rsidRDefault="006A4CD7" w:rsidP="002B283E">
      <w:pPr>
        <w:rPr>
          <w:rFonts w:cs="Times New Roman"/>
          <w:szCs w:val="24"/>
        </w:rPr>
      </w:pPr>
    </w:p>
    <w:p w14:paraId="40E2317D" w14:textId="70AB920E" w:rsidR="006A4CD7" w:rsidRPr="002B283E" w:rsidRDefault="006A4CD7" w:rsidP="002B283E">
      <w:pPr>
        <w:pStyle w:val="Heading2"/>
      </w:pPr>
      <w:r w:rsidRPr="002B283E">
        <w:br w:type="page"/>
      </w:r>
      <w:bookmarkStart w:id="39" w:name="_Toc221525090"/>
      <w:r w:rsidRPr="002B283E">
        <w:lastRenderedPageBreak/>
        <w:t>2.</w:t>
      </w:r>
      <w:r w:rsidR="00C65A66">
        <w:t>8</w:t>
      </w:r>
      <w:r w:rsidRPr="002B283E">
        <w:t xml:space="preserve"> </w:t>
      </w:r>
      <w:r w:rsidR="00F8289E" w:rsidRPr="002B283E">
        <w:t>Disputed Transcript of Recording in Foreign Language</w:t>
      </w:r>
      <w:bookmarkEnd w:id="39"/>
    </w:p>
    <w:p w14:paraId="40916CF7" w14:textId="77777777" w:rsidR="007B1C2E" w:rsidRPr="002B283E" w:rsidRDefault="007B1C2E" w:rsidP="002B283E">
      <w:pPr>
        <w:autoSpaceDE w:val="0"/>
        <w:autoSpaceDN w:val="0"/>
        <w:adjustRightInd w:val="0"/>
        <w:rPr>
          <w:rFonts w:cs="Times New Roman"/>
          <w:szCs w:val="24"/>
        </w:rPr>
      </w:pPr>
    </w:p>
    <w:p w14:paraId="2CB049DD" w14:textId="4A26ECA0" w:rsidR="00065125" w:rsidRPr="002B283E" w:rsidRDefault="00065125" w:rsidP="002B283E">
      <w:pPr>
        <w:pStyle w:val="BodyText"/>
        <w:ind w:firstLine="720"/>
      </w:pPr>
      <w:r w:rsidRPr="002B283E">
        <w:t>You [are about to [hear] [watch]] [have [heard] [watched]] a recording in the [</w:t>
      </w:r>
      <w:r w:rsidRPr="002B283E">
        <w:rPr>
          <w:i/>
          <w:u w:val="single"/>
        </w:rPr>
        <w:t>specify</w:t>
      </w:r>
      <w:r w:rsidRPr="002B283E">
        <w:rPr>
          <w:i/>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4"/>
        </w:rPr>
        <w:t xml:space="preserve"> </w:t>
      </w:r>
      <w:r w:rsidRPr="002B283E">
        <w:t>language.</w:t>
      </w:r>
      <w:r w:rsidR="004E2859">
        <w:rPr>
          <w:spacing w:val="40"/>
        </w:rPr>
        <w:t xml:space="preserve"> </w:t>
      </w:r>
      <w:r w:rsidRPr="002B283E">
        <w:t>A</w:t>
      </w:r>
      <w:r w:rsidRPr="002B283E">
        <w:rPr>
          <w:spacing w:val="-15"/>
        </w:rPr>
        <w:t xml:space="preserve"> </w:t>
      </w:r>
      <w:r w:rsidRPr="002B283E">
        <w:t>transcript</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recording</w:t>
      </w:r>
      <w:r w:rsidRPr="002B283E">
        <w:rPr>
          <w:spacing w:val="-3"/>
        </w:rPr>
        <w:t xml:space="preserve"> </w:t>
      </w:r>
      <w:r w:rsidRPr="002B283E">
        <w:t>has</w:t>
      </w:r>
      <w:r w:rsidRPr="002B283E">
        <w:rPr>
          <w:spacing w:val="-3"/>
        </w:rPr>
        <w:t xml:space="preserve"> </w:t>
      </w:r>
      <w:r w:rsidRPr="002B283E">
        <w:t>been</w:t>
      </w:r>
      <w:r w:rsidRPr="002B283E">
        <w:rPr>
          <w:spacing w:val="-3"/>
        </w:rPr>
        <w:t xml:space="preserve"> </w:t>
      </w:r>
      <w:r w:rsidRPr="002B283E">
        <w:t>admitted</w:t>
      </w:r>
      <w:r w:rsidRPr="002B283E">
        <w:rPr>
          <w:spacing w:val="-3"/>
        </w:rPr>
        <w:t xml:space="preserve"> </w:t>
      </w:r>
      <w:r w:rsidRPr="002B283E">
        <w:t>into</w:t>
      </w:r>
      <w:r w:rsidRPr="002B283E">
        <w:rPr>
          <w:spacing w:val="-3"/>
        </w:rPr>
        <w:t xml:space="preserve"> </w:t>
      </w:r>
      <w:r w:rsidRPr="002B283E">
        <w:t>evidence.</w:t>
      </w:r>
      <w:r w:rsidR="00E16934">
        <w:rPr>
          <w:spacing w:val="40"/>
        </w:rPr>
        <w:t xml:space="preserve"> </w:t>
      </w:r>
      <w:r w:rsidRPr="002B283E">
        <w:t>The transcript is an English-language translation of the recording.</w:t>
      </w:r>
      <w:r w:rsidR="004E2859">
        <w:rPr>
          <w:spacing w:val="40"/>
        </w:rPr>
        <w:t xml:space="preserve"> </w:t>
      </w:r>
      <w:r w:rsidRPr="002B283E">
        <w:t>The accuracy of the transcript is disputed in this case.</w:t>
      </w:r>
    </w:p>
    <w:p w14:paraId="020E7004" w14:textId="77777777" w:rsidR="00065125" w:rsidRPr="002B283E" w:rsidRDefault="00065125" w:rsidP="002B283E">
      <w:pPr>
        <w:pStyle w:val="BodyText"/>
      </w:pPr>
    </w:p>
    <w:p w14:paraId="7EEBFCED" w14:textId="77777777" w:rsidR="00065125" w:rsidRPr="002B283E" w:rsidRDefault="00065125" w:rsidP="002B283E">
      <w:pPr>
        <w:pStyle w:val="BodyText"/>
        <w:ind w:left="820"/>
      </w:pPr>
      <w:r w:rsidRPr="002B283E">
        <w:t>Whether a</w:t>
      </w:r>
      <w:r w:rsidRPr="002B283E">
        <w:rPr>
          <w:spacing w:val="-2"/>
        </w:rPr>
        <w:t xml:space="preserve"> </w:t>
      </w:r>
      <w:r w:rsidRPr="002B283E">
        <w:t>transcript</w:t>
      </w:r>
      <w:r w:rsidRPr="002B283E">
        <w:rPr>
          <w:spacing w:val="-1"/>
        </w:rPr>
        <w:t xml:space="preserve"> </w:t>
      </w:r>
      <w:r w:rsidRPr="002B283E">
        <w:t>is</w:t>
      </w:r>
      <w:r w:rsidRPr="002B283E">
        <w:rPr>
          <w:spacing w:val="-1"/>
        </w:rPr>
        <w:t xml:space="preserve"> </w:t>
      </w:r>
      <w:r w:rsidRPr="002B283E">
        <w:t>an</w:t>
      </w:r>
      <w:r w:rsidRPr="002B283E">
        <w:rPr>
          <w:spacing w:val="-1"/>
        </w:rPr>
        <w:t xml:space="preserve"> </w:t>
      </w:r>
      <w:r w:rsidRPr="002B283E">
        <w:t>accurate</w:t>
      </w:r>
      <w:r w:rsidRPr="002B283E">
        <w:rPr>
          <w:spacing w:val="-2"/>
        </w:rPr>
        <w:t xml:space="preserve"> </w:t>
      </w:r>
      <w:r w:rsidRPr="002B283E">
        <w:t>translation,</w:t>
      </w:r>
      <w:r w:rsidRPr="002B283E">
        <w:rPr>
          <w:spacing w:val="-1"/>
        </w:rPr>
        <w:t xml:space="preserve"> </w:t>
      </w:r>
      <w:r w:rsidRPr="002B283E">
        <w:t>in</w:t>
      </w:r>
      <w:r w:rsidRPr="002B283E">
        <w:rPr>
          <w:spacing w:val="-1"/>
        </w:rPr>
        <w:t xml:space="preserve"> </w:t>
      </w:r>
      <w:r w:rsidRPr="002B283E">
        <w:t>whole</w:t>
      </w:r>
      <w:r w:rsidRPr="002B283E">
        <w:rPr>
          <w:spacing w:val="-1"/>
        </w:rPr>
        <w:t xml:space="preserve"> </w:t>
      </w:r>
      <w:r w:rsidRPr="002B283E">
        <w:t>or</w:t>
      </w:r>
      <w:r w:rsidRPr="002B283E">
        <w:rPr>
          <w:spacing w:val="-2"/>
        </w:rPr>
        <w:t xml:space="preserve"> </w:t>
      </w:r>
      <w:r w:rsidRPr="002B283E">
        <w:t>in</w:t>
      </w:r>
      <w:r w:rsidRPr="002B283E">
        <w:rPr>
          <w:spacing w:val="-1"/>
        </w:rPr>
        <w:t xml:space="preserve"> </w:t>
      </w:r>
      <w:r w:rsidRPr="002B283E">
        <w:t>part,</w:t>
      </w:r>
      <w:r w:rsidRPr="002B283E">
        <w:rPr>
          <w:spacing w:val="-1"/>
        </w:rPr>
        <w:t xml:space="preserve"> </w:t>
      </w:r>
      <w:r w:rsidRPr="002B283E">
        <w:t>is</w:t>
      </w:r>
      <w:r w:rsidRPr="002B283E">
        <w:rPr>
          <w:spacing w:val="-1"/>
        </w:rPr>
        <w:t xml:space="preserve"> </w:t>
      </w:r>
      <w:r w:rsidRPr="002B283E">
        <w:t>for</w:t>
      </w:r>
      <w:r w:rsidRPr="002B283E">
        <w:rPr>
          <w:spacing w:val="-2"/>
        </w:rPr>
        <w:t xml:space="preserve"> </w:t>
      </w:r>
      <w:r w:rsidRPr="002B283E">
        <w:t>you</w:t>
      </w:r>
      <w:r w:rsidRPr="002B283E">
        <w:rPr>
          <w:spacing w:val="-1"/>
        </w:rPr>
        <w:t xml:space="preserve"> </w:t>
      </w:r>
      <w:r w:rsidRPr="002B283E">
        <w:t xml:space="preserve">to </w:t>
      </w:r>
      <w:r w:rsidRPr="002B283E">
        <w:rPr>
          <w:spacing w:val="-2"/>
        </w:rPr>
        <w:t>decide.</w:t>
      </w:r>
    </w:p>
    <w:p w14:paraId="3E530823" w14:textId="77A728CA" w:rsidR="00065125" w:rsidRPr="002B283E" w:rsidRDefault="00065125" w:rsidP="002B283E">
      <w:pPr>
        <w:pStyle w:val="BodyText"/>
        <w:ind w:right="109"/>
      </w:pPr>
      <w:r w:rsidRPr="002B283E">
        <w:t>In</w:t>
      </w:r>
      <w:r w:rsidRPr="002B283E">
        <w:rPr>
          <w:spacing w:val="-1"/>
        </w:rPr>
        <w:t xml:space="preserve"> </w:t>
      </w:r>
      <w:r w:rsidRPr="002B283E">
        <w:t>considering</w:t>
      </w:r>
      <w:r w:rsidRPr="002B283E">
        <w:rPr>
          <w:spacing w:val="-1"/>
        </w:rPr>
        <w:t xml:space="preserve"> </w:t>
      </w:r>
      <w:r w:rsidRPr="002B283E">
        <w:t>whether</w:t>
      </w:r>
      <w:r w:rsidRPr="002B283E">
        <w:rPr>
          <w:spacing w:val="-2"/>
        </w:rPr>
        <w:t xml:space="preserve"> </w:t>
      </w:r>
      <w:r w:rsidRPr="002B283E">
        <w:t>a transcript</w:t>
      </w:r>
      <w:r w:rsidRPr="002B283E">
        <w:rPr>
          <w:spacing w:val="-1"/>
        </w:rPr>
        <w:t xml:space="preserve"> </w:t>
      </w:r>
      <w:r w:rsidRPr="002B283E">
        <w:t>accurately</w:t>
      </w:r>
      <w:r w:rsidRPr="002B283E">
        <w:rPr>
          <w:spacing w:val="-1"/>
        </w:rPr>
        <w:t xml:space="preserve"> </w:t>
      </w:r>
      <w:r w:rsidRPr="002B283E">
        <w:t>describes</w:t>
      </w:r>
      <w:r w:rsidRPr="002B283E">
        <w:rPr>
          <w:spacing w:val="-1"/>
        </w:rPr>
        <w:t xml:space="preserve"> </w:t>
      </w:r>
      <w:r w:rsidRPr="002B283E">
        <w:t>the</w:t>
      </w:r>
      <w:r w:rsidRPr="002B283E">
        <w:rPr>
          <w:spacing w:val="-2"/>
        </w:rPr>
        <w:t xml:space="preserve"> </w:t>
      </w:r>
      <w:r w:rsidRPr="002B283E">
        <w:t>words</w:t>
      </w:r>
      <w:r w:rsidRPr="002B283E">
        <w:rPr>
          <w:spacing w:val="-1"/>
        </w:rPr>
        <w:t xml:space="preserve"> </w:t>
      </w:r>
      <w:r w:rsidRPr="002B283E">
        <w:t>spoken</w:t>
      </w:r>
      <w:r w:rsidRPr="002B283E">
        <w:rPr>
          <w:spacing w:val="-1"/>
        </w:rPr>
        <w:t xml:space="preserve"> </w:t>
      </w:r>
      <w:r w:rsidRPr="002B283E">
        <w:t>in a</w:t>
      </w:r>
      <w:r w:rsidRPr="002B283E">
        <w:rPr>
          <w:spacing w:val="-2"/>
        </w:rPr>
        <w:t xml:space="preserve"> </w:t>
      </w:r>
      <w:r w:rsidRPr="002B283E">
        <w:t>conversation,</w:t>
      </w:r>
      <w:r w:rsidRPr="002B283E">
        <w:rPr>
          <w:spacing w:val="-1"/>
        </w:rPr>
        <w:t xml:space="preserve"> </w:t>
      </w:r>
      <w:r w:rsidRPr="002B283E">
        <w:t>you should consider the testimony presented to you regarding how, and by whom, the transcript was made.</w:t>
      </w:r>
      <w:r w:rsidR="004E2859">
        <w:rPr>
          <w:spacing w:val="40"/>
        </w:rPr>
        <w:t xml:space="preserve"> </w:t>
      </w:r>
      <w:r w:rsidRPr="002B283E">
        <w:t>You</w:t>
      </w:r>
      <w:r w:rsidRPr="002B283E">
        <w:rPr>
          <w:spacing w:val="-6"/>
        </w:rPr>
        <w:t xml:space="preserve"> </w:t>
      </w:r>
      <w:r w:rsidRPr="002B283E">
        <w:t>may</w:t>
      </w:r>
      <w:r w:rsidRPr="002B283E">
        <w:rPr>
          <w:spacing w:val="-4"/>
        </w:rPr>
        <w:t xml:space="preserve"> </w:t>
      </w:r>
      <w:r w:rsidRPr="002B283E">
        <w:t>consider</w:t>
      </w:r>
      <w:r w:rsidRPr="002B283E">
        <w:rPr>
          <w:spacing w:val="-5"/>
        </w:rPr>
        <w:t xml:space="preserve"> </w:t>
      </w:r>
      <w:r w:rsidRPr="002B283E">
        <w:t>the</w:t>
      </w:r>
      <w:r w:rsidRPr="002B283E">
        <w:rPr>
          <w:spacing w:val="-6"/>
        </w:rPr>
        <w:t xml:space="preserve"> </w:t>
      </w:r>
      <w:r w:rsidRPr="002B283E">
        <w:t>knowledge,</w:t>
      </w:r>
      <w:r w:rsidRPr="002B283E">
        <w:rPr>
          <w:spacing w:val="-6"/>
        </w:rPr>
        <w:t xml:space="preserve"> </w:t>
      </w:r>
      <w:r w:rsidRPr="002B283E">
        <w:t>training,</w:t>
      </w:r>
      <w:r w:rsidRPr="002B283E">
        <w:rPr>
          <w:spacing w:val="-4"/>
        </w:rPr>
        <w:t xml:space="preserve"> </w:t>
      </w:r>
      <w:r w:rsidRPr="002B283E">
        <w:t>and</w:t>
      </w:r>
      <w:r w:rsidRPr="002B283E">
        <w:rPr>
          <w:spacing w:val="-6"/>
        </w:rPr>
        <w:t xml:space="preserve"> </w:t>
      </w:r>
      <w:r w:rsidRPr="002B283E">
        <w:t>experience</w:t>
      </w:r>
      <w:r w:rsidRPr="002B283E">
        <w:rPr>
          <w:spacing w:val="-6"/>
        </w:rPr>
        <w:t xml:space="preserve"> </w:t>
      </w:r>
      <w:r w:rsidRPr="002B283E">
        <w:t>of</w:t>
      </w:r>
      <w:r w:rsidRPr="002B283E">
        <w:rPr>
          <w:spacing w:val="-6"/>
        </w:rPr>
        <w:t xml:space="preserve"> </w:t>
      </w:r>
      <w:r w:rsidRPr="002B283E">
        <w:t>the</w:t>
      </w:r>
      <w:r w:rsidRPr="002B283E">
        <w:rPr>
          <w:spacing w:val="-6"/>
        </w:rPr>
        <w:t xml:space="preserve"> </w:t>
      </w:r>
      <w:r w:rsidRPr="002B283E">
        <w:t>translator,</w:t>
      </w:r>
      <w:r w:rsidRPr="002B283E">
        <w:rPr>
          <w:spacing w:val="-6"/>
        </w:rPr>
        <w:t xml:space="preserve"> </w:t>
      </w:r>
      <w:r w:rsidRPr="002B283E">
        <w:t>the</w:t>
      </w:r>
      <w:r w:rsidRPr="002B283E">
        <w:rPr>
          <w:spacing w:val="-6"/>
        </w:rPr>
        <w:t xml:space="preserve"> </w:t>
      </w:r>
      <w:r w:rsidRPr="002B283E">
        <w:t>audibility of the recording, as well as the nature of the conversation and the reasonableness of the translation in light of all the evidence in the case.</w:t>
      </w:r>
    </w:p>
    <w:p w14:paraId="126BF0D2" w14:textId="77777777" w:rsidR="00065125" w:rsidRPr="002B283E" w:rsidRDefault="00065125" w:rsidP="002B283E">
      <w:pPr>
        <w:pStyle w:val="BodyText"/>
      </w:pPr>
    </w:p>
    <w:p w14:paraId="5202746A" w14:textId="14E912F8" w:rsidR="00065125" w:rsidRPr="002B283E" w:rsidRDefault="00065125" w:rsidP="002B283E">
      <w:pPr>
        <w:pStyle w:val="BodyText"/>
        <w:ind w:firstLine="720"/>
      </w:pPr>
      <w:r w:rsidRPr="002B283E">
        <w:t>Although</w:t>
      </w:r>
      <w:r w:rsidRPr="002B283E">
        <w:rPr>
          <w:spacing w:val="-4"/>
        </w:rPr>
        <w:t xml:space="preserve"> </w:t>
      </w:r>
      <w:r w:rsidRPr="002B283E">
        <w:t>some</w:t>
      </w:r>
      <w:r w:rsidRPr="002B283E">
        <w:rPr>
          <w:spacing w:val="-5"/>
        </w:rPr>
        <w:t xml:space="preserve"> </w:t>
      </w:r>
      <w:r w:rsidRPr="002B283E">
        <w:t>of</w:t>
      </w:r>
      <w:r w:rsidRPr="002B283E">
        <w:rPr>
          <w:spacing w:val="-5"/>
        </w:rPr>
        <w:t xml:space="preserve"> </w:t>
      </w:r>
      <w:r w:rsidRPr="002B283E">
        <w:t>you</w:t>
      </w:r>
      <w:r w:rsidRPr="002B283E">
        <w:rPr>
          <w:spacing w:val="-4"/>
        </w:rPr>
        <w:t xml:space="preserve"> </w:t>
      </w:r>
      <w:r w:rsidRPr="002B283E">
        <w:t>may</w:t>
      </w:r>
      <w:r w:rsidRPr="002B283E">
        <w:rPr>
          <w:spacing w:val="-4"/>
        </w:rPr>
        <w:t xml:space="preserve"> </w:t>
      </w:r>
      <w:r w:rsidRPr="002B283E">
        <w:t>know</w:t>
      </w:r>
      <w:r w:rsidRPr="002B283E">
        <w:rPr>
          <w:spacing w:val="-5"/>
        </w:rPr>
        <w:t xml:space="preserve"> </w:t>
      </w:r>
      <w:r w:rsidRPr="002B283E">
        <w:t>the</w:t>
      </w:r>
      <w:r w:rsidRPr="002B283E">
        <w:rPr>
          <w:spacing w:val="-5"/>
        </w:rPr>
        <w:t xml:space="preserve"> </w:t>
      </w:r>
      <w:r w:rsidRPr="002B283E">
        <w:t>[</w:t>
      </w:r>
      <w:r w:rsidRPr="002B283E">
        <w:rPr>
          <w:i/>
          <w:u w:val="single"/>
        </w:rPr>
        <w:t>specify</w:t>
      </w:r>
      <w:r w:rsidRPr="002B283E">
        <w:rPr>
          <w:i/>
          <w:spacing w:val="-5"/>
          <w:u w:val="single"/>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5"/>
        </w:rPr>
        <w:t xml:space="preserve"> </w:t>
      </w:r>
      <w:r w:rsidRPr="002B283E">
        <w:t>language,</w:t>
      </w:r>
      <w:r w:rsidRPr="002B283E">
        <w:rPr>
          <w:spacing w:val="-4"/>
        </w:rPr>
        <w:t xml:space="preserve"> </w:t>
      </w:r>
      <w:r w:rsidRPr="002B283E">
        <w:t>it</w:t>
      </w:r>
      <w:r w:rsidRPr="002B283E">
        <w:rPr>
          <w:spacing w:val="-4"/>
        </w:rPr>
        <w:t xml:space="preserve"> </w:t>
      </w:r>
      <w:r w:rsidRPr="002B283E">
        <w:t>is</w:t>
      </w:r>
      <w:r w:rsidRPr="002B283E">
        <w:rPr>
          <w:spacing w:val="-4"/>
        </w:rPr>
        <w:t xml:space="preserve"> </w:t>
      </w:r>
      <w:r w:rsidRPr="002B283E">
        <w:t>important that all jurors consider the same evidence.</w:t>
      </w:r>
      <w:r w:rsidR="004E2859">
        <w:rPr>
          <w:spacing w:val="40"/>
        </w:rPr>
        <w:t xml:space="preserve"> </w:t>
      </w:r>
      <w:r w:rsidRPr="002B283E">
        <w:t>Therefore, you must not rely in any way on any knowledge you may have of the language spoken on the recording; your consideration of the transcript must be based on the evidence in the case.</w:t>
      </w:r>
    </w:p>
    <w:p w14:paraId="4338F554" w14:textId="77777777" w:rsidR="00065125" w:rsidRPr="002B283E" w:rsidRDefault="00065125" w:rsidP="002B283E">
      <w:pPr>
        <w:pStyle w:val="BodyText"/>
      </w:pPr>
    </w:p>
    <w:p w14:paraId="7B2863CA" w14:textId="77777777" w:rsidR="00065125" w:rsidRPr="002B283E" w:rsidRDefault="00065125" w:rsidP="002B283E">
      <w:pPr>
        <w:jc w:val="center"/>
        <w:rPr>
          <w:rFonts w:cs="Times New Roman"/>
          <w:b/>
          <w:bCs/>
          <w:szCs w:val="24"/>
        </w:rPr>
      </w:pPr>
      <w:r w:rsidRPr="002B283E">
        <w:rPr>
          <w:rFonts w:cs="Times New Roman"/>
          <w:b/>
          <w:bCs/>
          <w:szCs w:val="24"/>
        </w:rPr>
        <w:t>Comment</w:t>
      </w:r>
    </w:p>
    <w:p w14:paraId="57893923" w14:textId="77777777" w:rsidR="00065125" w:rsidRPr="002B283E" w:rsidRDefault="00065125" w:rsidP="002B283E">
      <w:pPr>
        <w:pStyle w:val="BodyText"/>
        <w:rPr>
          <w:b/>
        </w:rPr>
      </w:pPr>
    </w:p>
    <w:p w14:paraId="4661DE30" w14:textId="4FE6ABBC" w:rsidR="00065125" w:rsidRPr="002B283E" w:rsidRDefault="00065125" w:rsidP="002B283E">
      <w:pPr>
        <w:pStyle w:val="BodyText"/>
        <w:ind w:right="100" w:firstLine="720"/>
      </w:pPr>
      <w:r w:rsidRPr="002B283E">
        <w:t>This instruction is appropriate</w:t>
      </w:r>
      <w:r w:rsidRPr="002B283E">
        <w:rPr>
          <w:spacing w:val="-1"/>
        </w:rPr>
        <w:t xml:space="preserve"> </w:t>
      </w:r>
      <w:r w:rsidRPr="002B283E">
        <w:t>immediately before</w:t>
      </w:r>
      <w:r w:rsidRPr="002B283E">
        <w:rPr>
          <w:spacing w:val="-1"/>
        </w:rPr>
        <w:t xml:space="preserve"> </w:t>
      </w:r>
      <w:r w:rsidRPr="002B283E">
        <w:t>the</w:t>
      </w:r>
      <w:r w:rsidRPr="002B283E">
        <w:rPr>
          <w:spacing w:val="-1"/>
        </w:rPr>
        <w:t xml:space="preserve"> </w:t>
      </w:r>
      <w:r w:rsidRPr="002B283E">
        <w:t>jury hears a</w:t>
      </w:r>
      <w:r w:rsidRPr="002B283E">
        <w:rPr>
          <w:spacing w:val="-1"/>
        </w:rPr>
        <w:t xml:space="preserve"> </w:t>
      </w:r>
      <w:r w:rsidRPr="002B283E">
        <w:t xml:space="preserve">recorded conversation in a foreign language if the parties are unable to produce an official transcript or stipulate to a transcript; it may also be included in the concluding written instructions to the jury. The jury may consider evidence of bias and credibility as it relates to an interpreter and the interpreter’s translation. </w:t>
      </w:r>
      <w:r w:rsidRPr="002B283E">
        <w:rPr>
          <w:i/>
        </w:rPr>
        <w:t>S</w:t>
      </w:r>
      <w:r w:rsidR="00A15A8F">
        <w:rPr>
          <w:i/>
        </w:rPr>
        <w:t>ee, e.g.</w:t>
      </w:r>
      <w:r w:rsidR="00A15A8F" w:rsidRPr="00182F3F">
        <w:rPr>
          <w:iCs/>
        </w:rPr>
        <w:t>,</w:t>
      </w:r>
      <w:r w:rsidR="00A15A8F">
        <w:rPr>
          <w:i/>
        </w:rPr>
        <w:t xml:space="preserve"> </w:t>
      </w:r>
      <w:r w:rsidRPr="002B283E">
        <w:rPr>
          <w:i/>
        </w:rPr>
        <w:t>United States v. Abonce-Barrera</w:t>
      </w:r>
      <w:r w:rsidRPr="002B283E">
        <w:t>, 257 F.3d 959, 965 (9th Cir. 2001) (defense expert impeached the interpreter’s credibility by testifying “that it was inadvisable to have a participant to a conversation transcribe and translate that conversation”). The court should encourage the parties to produce an official or stipulated transcript of the foreign language</w:t>
      </w:r>
      <w:r w:rsidRPr="002B283E">
        <w:rPr>
          <w:spacing w:val="-2"/>
        </w:rPr>
        <w:t xml:space="preserve"> </w:t>
      </w:r>
      <w:r w:rsidRPr="002B283E">
        <w:t>recording</w:t>
      </w:r>
      <w:r w:rsidRPr="002B283E">
        <w:rPr>
          <w:spacing w:val="-1"/>
        </w:rPr>
        <w:t xml:space="preserve"> </w:t>
      </w:r>
      <w:r w:rsidRPr="002B283E">
        <w:t>that</w:t>
      </w:r>
      <w:r w:rsidRPr="002B283E">
        <w:rPr>
          <w:spacing w:val="-1"/>
        </w:rPr>
        <w:t xml:space="preserve"> </w:t>
      </w:r>
      <w:r w:rsidRPr="002B283E">
        <w:t>satisfies</w:t>
      </w:r>
      <w:r w:rsidRPr="002B283E">
        <w:rPr>
          <w:spacing w:val="-1"/>
        </w:rPr>
        <w:t xml:space="preserve"> </w:t>
      </w:r>
      <w:r w:rsidRPr="002B283E">
        <w:t>all</w:t>
      </w:r>
      <w:r w:rsidRPr="002B283E">
        <w:rPr>
          <w:spacing w:val="-1"/>
        </w:rPr>
        <w:t xml:space="preserve"> </w:t>
      </w:r>
      <w:r w:rsidRPr="002B283E">
        <w:t>sides.</w:t>
      </w:r>
      <w:r w:rsidR="00E16934">
        <w:rPr>
          <w:spacing w:val="40"/>
        </w:rPr>
        <w:t xml:space="preserve"> </w:t>
      </w:r>
      <w:r w:rsidRPr="002B283E">
        <w:rPr>
          <w:i/>
        </w:rPr>
        <w:t>United</w:t>
      </w:r>
      <w:r w:rsidRPr="002B283E">
        <w:rPr>
          <w:i/>
          <w:spacing w:val="-1"/>
        </w:rPr>
        <w:t xml:space="preserve"> </w:t>
      </w:r>
      <w:r w:rsidRPr="002B283E">
        <w:rPr>
          <w:i/>
        </w:rPr>
        <w:t>States</w:t>
      </w:r>
      <w:r w:rsidRPr="002B283E">
        <w:rPr>
          <w:i/>
          <w:spacing w:val="-1"/>
        </w:rPr>
        <w:t xml:space="preserve"> </w:t>
      </w:r>
      <w:r w:rsidRPr="002B283E">
        <w:rPr>
          <w:i/>
        </w:rPr>
        <w:t>v.</w:t>
      </w:r>
      <w:r w:rsidRPr="002B283E">
        <w:rPr>
          <w:i/>
          <w:spacing w:val="-1"/>
        </w:rPr>
        <w:t xml:space="preserve"> </w:t>
      </w:r>
      <w:r w:rsidRPr="002B283E">
        <w:rPr>
          <w:i/>
        </w:rPr>
        <w:t>Cruz</w:t>
      </w:r>
      <w:r w:rsidRPr="002B283E">
        <w:t>,</w:t>
      </w:r>
      <w:r w:rsidRPr="002B283E">
        <w:rPr>
          <w:spacing w:val="-1"/>
        </w:rPr>
        <w:t xml:space="preserve"> </w:t>
      </w:r>
      <w:r w:rsidRPr="002B283E">
        <w:t>765</w:t>
      </w:r>
      <w:r w:rsidRPr="002B283E">
        <w:rPr>
          <w:spacing w:val="-1"/>
        </w:rPr>
        <w:t xml:space="preserve"> </w:t>
      </w:r>
      <w:r w:rsidRPr="002B283E">
        <w:t>F.2d</w:t>
      </w:r>
      <w:r w:rsidRPr="002B283E">
        <w:rPr>
          <w:spacing w:val="-1"/>
        </w:rPr>
        <w:t xml:space="preserve"> </w:t>
      </w:r>
      <w:r w:rsidRPr="002B283E">
        <w:t>1020,</w:t>
      </w:r>
      <w:r w:rsidRPr="002B283E">
        <w:rPr>
          <w:spacing w:val="-1"/>
        </w:rPr>
        <w:t xml:space="preserve"> </w:t>
      </w:r>
      <w:r w:rsidRPr="002B283E">
        <w:t>1023</w:t>
      </w:r>
      <w:r w:rsidRPr="002B283E">
        <w:rPr>
          <w:spacing w:val="-1"/>
        </w:rPr>
        <w:t xml:space="preserve"> </w:t>
      </w:r>
      <w:r w:rsidRPr="002B283E">
        <w:t>(11th</w:t>
      </w:r>
      <w:r w:rsidRPr="002B283E">
        <w:rPr>
          <w:spacing w:val="-1"/>
        </w:rPr>
        <w:t xml:space="preserve"> </w:t>
      </w:r>
      <w:r w:rsidRPr="002B283E">
        <w:t>Cir. 1985);</w:t>
      </w:r>
      <w:r w:rsidRPr="002B283E">
        <w:rPr>
          <w:spacing w:val="-6"/>
        </w:rPr>
        <w:t xml:space="preserve"> </w:t>
      </w:r>
      <w:r w:rsidRPr="002B283E">
        <w:rPr>
          <w:i/>
        </w:rPr>
        <w:t>United</w:t>
      </w:r>
      <w:r w:rsidRPr="002B283E">
        <w:rPr>
          <w:i/>
          <w:spacing w:val="-6"/>
        </w:rPr>
        <w:t xml:space="preserve"> </w:t>
      </w:r>
      <w:r w:rsidRPr="002B283E">
        <w:rPr>
          <w:i/>
        </w:rPr>
        <w:t>States</w:t>
      </w:r>
      <w:r w:rsidRPr="002B283E">
        <w:rPr>
          <w:i/>
          <w:spacing w:val="-6"/>
        </w:rPr>
        <w:t xml:space="preserve"> </w:t>
      </w:r>
      <w:r w:rsidRPr="002B283E">
        <w:rPr>
          <w:i/>
        </w:rPr>
        <w:t>v.</w:t>
      </w:r>
      <w:r w:rsidRPr="002B283E">
        <w:rPr>
          <w:i/>
          <w:spacing w:val="-6"/>
        </w:rPr>
        <w:t xml:space="preserve"> </w:t>
      </w:r>
      <w:r w:rsidRPr="002B283E">
        <w:rPr>
          <w:i/>
        </w:rPr>
        <w:t>Wilson</w:t>
      </w:r>
      <w:r w:rsidRPr="002B283E">
        <w:t>,</w:t>
      </w:r>
      <w:r w:rsidRPr="002B283E">
        <w:rPr>
          <w:spacing w:val="-6"/>
        </w:rPr>
        <w:t xml:space="preserve"> </w:t>
      </w:r>
      <w:r w:rsidRPr="002B283E">
        <w:t>578</w:t>
      </w:r>
      <w:r w:rsidRPr="002B283E">
        <w:rPr>
          <w:spacing w:val="-6"/>
        </w:rPr>
        <w:t xml:space="preserve"> </w:t>
      </w:r>
      <w:r w:rsidRPr="002B283E">
        <w:t>F.2d</w:t>
      </w:r>
      <w:r w:rsidRPr="002B283E">
        <w:rPr>
          <w:spacing w:val="-6"/>
        </w:rPr>
        <w:t xml:space="preserve"> </w:t>
      </w:r>
      <w:r w:rsidRPr="002B283E">
        <w:t>67,</w:t>
      </w:r>
      <w:r w:rsidRPr="002B283E">
        <w:rPr>
          <w:spacing w:val="-6"/>
        </w:rPr>
        <w:t xml:space="preserve"> </w:t>
      </w:r>
      <w:r w:rsidRPr="002B283E">
        <w:t>69-70</w:t>
      </w:r>
      <w:r w:rsidRPr="002B283E">
        <w:rPr>
          <w:spacing w:val="-8"/>
        </w:rPr>
        <w:t xml:space="preserve"> </w:t>
      </w:r>
      <w:r w:rsidRPr="002B283E">
        <w:t>(5th</w:t>
      </w:r>
      <w:r w:rsidRPr="002B283E">
        <w:rPr>
          <w:spacing w:val="-6"/>
        </w:rPr>
        <w:t xml:space="preserve"> </w:t>
      </w:r>
      <w:r w:rsidRPr="002B283E">
        <w:t>Cir.</w:t>
      </w:r>
      <w:r w:rsidRPr="002B283E">
        <w:rPr>
          <w:spacing w:val="-6"/>
        </w:rPr>
        <w:t xml:space="preserve"> </w:t>
      </w:r>
      <w:r w:rsidRPr="002B283E">
        <w:t>1978).</w:t>
      </w:r>
      <w:r w:rsidR="00E16934">
        <w:rPr>
          <w:spacing w:val="40"/>
        </w:rPr>
        <w:t xml:space="preserve"> </w:t>
      </w:r>
      <w:r w:rsidRPr="002B283E">
        <w:t>If</w:t>
      </w:r>
      <w:r w:rsidRPr="002B283E">
        <w:rPr>
          <w:spacing w:val="-7"/>
        </w:rPr>
        <w:t xml:space="preserve"> </w:t>
      </w:r>
      <w:r w:rsidRPr="002B283E">
        <w:t>the</w:t>
      </w:r>
      <w:r w:rsidRPr="002B283E">
        <w:rPr>
          <w:spacing w:val="-7"/>
        </w:rPr>
        <w:t xml:space="preserve"> </w:t>
      </w:r>
      <w:r w:rsidRPr="002B283E">
        <w:t>parties</w:t>
      </w:r>
      <w:r w:rsidRPr="002B283E">
        <w:rPr>
          <w:spacing w:val="-6"/>
        </w:rPr>
        <w:t xml:space="preserve"> </w:t>
      </w:r>
      <w:r w:rsidRPr="002B283E">
        <w:t>are</w:t>
      </w:r>
      <w:r w:rsidRPr="002B283E">
        <w:rPr>
          <w:spacing w:val="-7"/>
        </w:rPr>
        <w:t xml:space="preserve"> </w:t>
      </w:r>
      <w:r w:rsidRPr="002B283E">
        <w:t>unable</w:t>
      </w:r>
      <w:r w:rsidRPr="002B283E">
        <w:rPr>
          <w:spacing w:val="-7"/>
        </w:rPr>
        <w:t xml:space="preserve"> </w:t>
      </w:r>
      <w:r w:rsidRPr="002B283E">
        <w:t>to</w:t>
      </w:r>
      <w:r w:rsidRPr="002B283E">
        <w:rPr>
          <w:spacing w:val="-6"/>
        </w:rPr>
        <w:t xml:space="preserve"> </w:t>
      </w:r>
      <w:r w:rsidRPr="002B283E">
        <w:t>do so, then they should submit competing translations of the disputed passages, and each side may submit evidence supporting the accuracy of its version or challenging the accuracy of the other side’s version.</w:t>
      </w:r>
      <w:r w:rsidRPr="002B283E">
        <w:rPr>
          <w:spacing w:val="40"/>
        </w:rPr>
        <w:t xml:space="preserve"> </w:t>
      </w:r>
      <w:r w:rsidRPr="002B283E">
        <w:rPr>
          <w:i/>
        </w:rPr>
        <w:t>United States v. Franco</w:t>
      </w:r>
      <w:r w:rsidRPr="002B283E">
        <w:t xml:space="preserve">, 136 F.3d 622, 626 (9th Cir. 1998); </w:t>
      </w:r>
      <w:r w:rsidRPr="002B283E">
        <w:rPr>
          <w:i/>
        </w:rPr>
        <w:t>Cruz</w:t>
      </w:r>
      <w:r w:rsidRPr="002B283E">
        <w:t xml:space="preserve">, 765 F.2d at 1023; </w:t>
      </w:r>
      <w:r w:rsidRPr="002B283E">
        <w:rPr>
          <w:i/>
        </w:rPr>
        <w:t>Wilson</w:t>
      </w:r>
      <w:r w:rsidRPr="002B283E">
        <w:t>, 578 F.2d at 70.</w:t>
      </w:r>
      <w:r w:rsidR="00E16934">
        <w:rPr>
          <w:spacing w:val="40"/>
        </w:rPr>
        <w:t xml:space="preserve"> </w:t>
      </w:r>
      <w:r w:rsidRPr="002B283E">
        <w:t>Regardless of whether the accuracy of the translated transcript is an issue, a juror cannot rely on any knowledge the juror may have of the foreign language spoken on the recording.</w:t>
      </w:r>
      <w:r w:rsidR="004E2859">
        <w:rPr>
          <w:spacing w:val="40"/>
        </w:rPr>
        <w:t xml:space="preserve"> </w:t>
      </w:r>
      <w:r w:rsidRPr="002B283E">
        <w:rPr>
          <w:i/>
        </w:rPr>
        <w:t>United States v. Fuentes-Montijo</w:t>
      </w:r>
      <w:r w:rsidRPr="002B283E">
        <w:t>, 68 F.3d 353, 355 (9th Cir. 1995).</w:t>
      </w:r>
    </w:p>
    <w:p w14:paraId="3395B58C" w14:textId="77777777" w:rsidR="00065125" w:rsidRPr="002B283E" w:rsidRDefault="00065125" w:rsidP="002B283E">
      <w:pPr>
        <w:pStyle w:val="BodyText"/>
      </w:pPr>
    </w:p>
    <w:p w14:paraId="11629B19" w14:textId="77777777" w:rsidR="00065125" w:rsidRPr="002B283E" w:rsidRDefault="00065125" w:rsidP="002B283E">
      <w:pPr>
        <w:pStyle w:val="BodyText"/>
        <w:tabs>
          <w:tab w:val="left" w:pos="819"/>
        </w:tabs>
        <w:ind w:right="262"/>
      </w:pPr>
      <w:r w:rsidRPr="002B283E">
        <w:tab/>
        <w:t>The</w:t>
      </w:r>
      <w:r w:rsidRPr="002B283E">
        <w:rPr>
          <w:spacing w:val="-5"/>
        </w:rPr>
        <w:t xml:space="preserve"> </w:t>
      </w:r>
      <w:r w:rsidRPr="002B283E">
        <w:t>Ninth</w:t>
      </w:r>
      <w:r w:rsidRPr="002B283E">
        <w:rPr>
          <w:spacing w:val="-4"/>
        </w:rPr>
        <w:t xml:space="preserve"> </w:t>
      </w:r>
      <w:r w:rsidRPr="002B283E">
        <w:t>Circuit</w:t>
      </w:r>
      <w:r w:rsidRPr="002B283E">
        <w:rPr>
          <w:spacing w:val="-4"/>
        </w:rPr>
        <w:t xml:space="preserve"> </w:t>
      </w:r>
      <w:r w:rsidRPr="002B283E">
        <w:t>reviews</w:t>
      </w:r>
      <w:r w:rsidRPr="002B283E">
        <w:rPr>
          <w:spacing w:val="-4"/>
        </w:rPr>
        <w:t xml:space="preserve"> </w:t>
      </w:r>
      <w:r w:rsidRPr="002B283E">
        <w:t>the</w:t>
      </w:r>
      <w:r w:rsidRPr="002B283E">
        <w:rPr>
          <w:spacing w:val="-5"/>
        </w:rPr>
        <w:t xml:space="preserve"> </w:t>
      </w:r>
      <w:r w:rsidRPr="002B283E">
        <w:t>admissibility</w:t>
      </w:r>
      <w:r w:rsidRPr="002B283E">
        <w:rPr>
          <w:spacing w:val="-4"/>
        </w:rPr>
        <w:t xml:space="preserve"> </w:t>
      </w:r>
      <w:r w:rsidRPr="002B283E">
        <w:t>of</w:t>
      </w:r>
      <w:r w:rsidRPr="002B283E">
        <w:rPr>
          <w:spacing w:val="-5"/>
        </w:rPr>
        <w:t xml:space="preserve"> </w:t>
      </w:r>
      <w:r w:rsidRPr="002B283E">
        <w:t>foreign</w:t>
      </w:r>
      <w:r w:rsidRPr="002B283E">
        <w:rPr>
          <w:spacing w:val="-4"/>
        </w:rPr>
        <w:t xml:space="preserve"> </w:t>
      </w:r>
      <w:r w:rsidRPr="002B283E">
        <w:t>language</w:t>
      </w:r>
      <w:r w:rsidRPr="002B283E">
        <w:rPr>
          <w:spacing w:val="-5"/>
        </w:rPr>
        <w:t xml:space="preserve"> </w:t>
      </w:r>
      <w:r w:rsidRPr="002B283E">
        <w:t>transcriptions</w:t>
      </w:r>
      <w:r w:rsidRPr="002B283E">
        <w:rPr>
          <w:spacing w:val="-4"/>
        </w:rPr>
        <w:t xml:space="preserve"> </w:t>
      </w:r>
      <w:r w:rsidRPr="002B283E">
        <w:t>for</w:t>
      </w:r>
      <w:r w:rsidRPr="002B283E">
        <w:rPr>
          <w:spacing w:val="-5"/>
        </w:rPr>
        <w:t xml:space="preserve"> </w:t>
      </w:r>
      <w:r w:rsidRPr="002B283E">
        <w:t>abuse of discretion, based on the following factors: “(1) whether the district court reviewed</w:t>
      </w:r>
    </w:p>
    <w:p w14:paraId="0EE4BC64" w14:textId="77777777" w:rsidR="00065125" w:rsidRPr="002B283E" w:rsidRDefault="00065125" w:rsidP="002B283E">
      <w:pPr>
        <w:pStyle w:val="BodyText"/>
        <w:ind w:right="100"/>
      </w:pPr>
      <w:r w:rsidRPr="002B283E">
        <w:t>the transcriptions and translations for accuracy, (2) whether the defense counsel had the opportunity ‘to highlight alleged inaccuracies and to introduce alternative versions,’</w:t>
      </w:r>
      <w:r w:rsidRPr="002B283E">
        <w:rPr>
          <w:spacing w:val="-9"/>
        </w:rPr>
        <w:t xml:space="preserve"> </w:t>
      </w:r>
      <w:r w:rsidRPr="002B283E">
        <w:t>and (3) whether</w:t>
      </w:r>
      <w:r w:rsidRPr="002B283E">
        <w:rPr>
          <w:spacing w:val="-4"/>
        </w:rPr>
        <w:t xml:space="preserve"> </w:t>
      </w:r>
      <w:r w:rsidRPr="002B283E">
        <w:t>‘the</w:t>
      </w:r>
      <w:r w:rsidRPr="002B283E">
        <w:rPr>
          <w:spacing w:val="-4"/>
        </w:rPr>
        <w:t xml:space="preserve"> </w:t>
      </w:r>
      <w:r w:rsidRPr="002B283E">
        <w:t>jury</w:t>
      </w:r>
      <w:r w:rsidRPr="002B283E">
        <w:rPr>
          <w:spacing w:val="-3"/>
        </w:rPr>
        <w:t xml:space="preserve"> </w:t>
      </w:r>
      <w:r w:rsidRPr="002B283E">
        <w:t>was</w:t>
      </w:r>
      <w:r w:rsidRPr="002B283E">
        <w:rPr>
          <w:spacing w:val="-1"/>
        </w:rPr>
        <w:t xml:space="preserve"> </w:t>
      </w:r>
      <w:r w:rsidRPr="002B283E">
        <w:t>allowed</w:t>
      </w:r>
      <w:r w:rsidRPr="002B283E">
        <w:rPr>
          <w:spacing w:val="-3"/>
        </w:rPr>
        <w:t xml:space="preserve"> </w:t>
      </w:r>
      <w:r w:rsidRPr="002B283E">
        <w:t>to</w:t>
      </w:r>
      <w:r w:rsidRPr="002B283E">
        <w:rPr>
          <w:spacing w:val="-3"/>
        </w:rPr>
        <w:t xml:space="preserve"> </w:t>
      </w:r>
      <w:r w:rsidRPr="002B283E">
        <w:t>compare</w:t>
      </w:r>
      <w:r w:rsidRPr="002B283E">
        <w:rPr>
          <w:spacing w:val="-4"/>
        </w:rPr>
        <w:t xml:space="preserve"> </w:t>
      </w:r>
      <w:r w:rsidRPr="002B283E">
        <w:t>the</w:t>
      </w:r>
      <w:r w:rsidRPr="002B283E">
        <w:rPr>
          <w:spacing w:val="-4"/>
        </w:rPr>
        <w:t xml:space="preserve"> </w:t>
      </w:r>
      <w:r w:rsidRPr="002B283E">
        <w:t>transcript</w:t>
      </w:r>
      <w:r w:rsidRPr="002B283E">
        <w:rPr>
          <w:spacing w:val="-3"/>
        </w:rPr>
        <w:t xml:space="preserve"> </w:t>
      </w:r>
      <w:r w:rsidRPr="002B283E">
        <w:t>to</w:t>
      </w:r>
      <w:r w:rsidRPr="002B283E">
        <w:rPr>
          <w:spacing w:val="-3"/>
        </w:rPr>
        <w:t xml:space="preserve"> </w:t>
      </w:r>
      <w:r w:rsidRPr="002B283E">
        <w:t>the</w:t>
      </w:r>
      <w:r w:rsidRPr="002B283E">
        <w:rPr>
          <w:spacing w:val="-4"/>
        </w:rPr>
        <w:t xml:space="preserve"> </w:t>
      </w:r>
      <w:r w:rsidRPr="002B283E">
        <w:t>tape</w:t>
      </w:r>
      <w:r w:rsidRPr="002B283E">
        <w:rPr>
          <w:spacing w:val="-4"/>
        </w:rPr>
        <w:t xml:space="preserve"> </w:t>
      </w:r>
      <w:r w:rsidRPr="002B283E">
        <w:t>and</w:t>
      </w:r>
      <w:r w:rsidRPr="002B283E">
        <w:rPr>
          <w:spacing w:val="-3"/>
        </w:rPr>
        <w:t xml:space="preserve"> </w:t>
      </w:r>
      <w:r w:rsidRPr="002B283E">
        <w:t>hear</w:t>
      </w:r>
      <w:r w:rsidRPr="002B283E">
        <w:rPr>
          <w:spacing w:val="-4"/>
        </w:rPr>
        <w:t xml:space="preserve"> </w:t>
      </w:r>
      <w:r w:rsidRPr="002B283E">
        <w:t>counsel's</w:t>
      </w:r>
      <w:r w:rsidRPr="002B283E">
        <w:rPr>
          <w:spacing w:val="-3"/>
        </w:rPr>
        <w:t xml:space="preserve"> </w:t>
      </w:r>
      <w:r w:rsidRPr="002B283E">
        <w:t xml:space="preserve">arguments as to the meaning of the conversations.’” </w:t>
      </w:r>
      <w:r w:rsidRPr="002B283E">
        <w:rPr>
          <w:i/>
        </w:rPr>
        <w:t>Abonce-Barrera</w:t>
      </w:r>
      <w:r w:rsidRPr="002B283E">
        <w:t xml:space="preserve">, 257 F.3d at 963 (quoting </w:t>
      </w:r>
      <w:r w:rsidRPr="002B283E">
        <w:rPr>
          <w:i/>
        </w:rPr>
        <w:t>United States v. Rrapi</w:t>
      </w:r>
      <w:r w:rsidRPr="002B283E">
        <w:t>, 175 F.3d 742, 746 (9th Cir. 1999)).</w:t>
      </w:r>
    </w:p>
    <w:p w14:paraId="781C058B" w14:textId="77777777" w:rsidR="00065125" w:rsidRPr="002B283E" w:rsidRDefault="00065125" w:rsidP="002B283E">
      <w:pPr>
        <w:rPr>
          <w:rFonts w:cs="Times New Roman"/>
          <w:szCs w:val="24"/>
        </w:rPr>
        <w:sectPr w:rsidR="00065125" w:rsidRPr="002B283E" w:rsidSect="00065125">
          <w:pgSz w:w="12240" w:h="15840"/>
          <w:pgMar w:top="1360" w:right="1400" w:bottom="280" w:left="1340" w:header="720" w:footer="720" w:gutter="0"/>
          <w:cols w:space="720"/>
        </w:sectPr>
      </w:pPr>
    </w:p>
    <w:p w14:paraId="31281D67" w14:textId="594A45CF" w:rsidR="00065125" w:rsidRPr="002B283E" w:rsidRDefault="00065125" w:rsidP="00CC5A82">
      <w:pPr>
        <w:pStyle w:val="BodyText"/>
        <w:ind w:firstLine="820"/>
      </w:pPr>
      <w:r w:rsidRPr="002B283E">
        <w:rPr>
          <w:i/>
        </w:rPr>
        <w:lastRenderedPageBreak/>
        <w:t>See</w:t>
      </w:r>
      <w:r w:rsidRPr="002B283E">
        <w:rPr>
          <w:i/>
          <w:spacing w:val="-15"/>
        </w:rPr>
        <w:t xml:space="preserve"> </w:t>
      </w:r>
      <w:r w:rsidRPr="002B283E">
        <w:t>Instruction</w:t>
      </w:r>
      <w:r w:rsidRPr="002B283E">
        <w:rPr>
          <w:spacing w:val="-4"/>
        </w:rPr>
        <w:t xml:space="preserve"> </w:t>
      </w:r>
      <w:r w:rsidRPr="002B283E">
        <w:t>2.</w:t>
      </w:r>
      <w:r w:rsidR="00DF7B47">
        <w:t>6</w:t>
      </w:r>
      <w:r w:rsidRPr="002B283E">
        <w:rPr>
          <w:spacing w:val="-4"/>
        </w:rPr>
        <w:t xml:space="preserve"> </w:t>
      </w:r>
      <w:r w:rsidRPr="002B283E">
        <w:t>(Transcript</w:t>
      </w:r>
      <w:r w:rsidRPr="002B283E">
        <w:rPr>
          <w:spacing w:val="-4"/>
        </w:rPr>
        <w:t xml:space="preserve"> </w:t>
      </w:r>
      <w:r w:rsidRPr="002B283E">
        <w:t>of</w:t>
      </w:r>
      <w:r w:rsidRPr="002B283E">
        <w:rPr>
          <w:spacing w:val="-5"/>
        </w:rPr>
        <w:t xml:space="preserve"> </w:t>
      </w:r>
      <w:r w:rsidRPr="002B283E">
        <w:t>Recording</w:t>
      </w:r>
      <w:r w:rsidRPr="002B283E">
        <w:rPr>
          <w:spacing w:val="-4"/>
        </w:rPr>
        <w:t xml:space="preserve"> </w:t>
      </w:r>
      <w:r w:rsidRPr="002B283E">
        <w:t>in</w:t>
      </w:r>
      <w:r w:rsidRPr="002B283E">
        <w:rPr>
          <w:spacing w:val="-4"/>
        </w:rPr>
        <w:t xml:space="preserve"> </w:t>
      </w:r>
      <w:r w:rsidRPr="002B283E">
        <w:t>English)</w:t>
      </w:r>
      <w:r w:rsidR="004E2859">
        <w:t>;</w:t>
      </w:r>
      <w:r w:rsidR="004E2859" w:rsidRPr="004E2859">
        <w:t xml:space="preserve"> </w:t>
      </w:r>
      <w:r w:rsidR="004E2859" w:rsidRPr="002B283E">
        <w:t>Instruction</w:t>
      </w:r>
      <w:r w:rsidRPr="002B283E">
        <w:rPr>
          <w:spacing w:val="-4"/>
        </w:rPr>
        <w:t xml:space="preserve"> </w:t>
      </w:r>
      <w:r w:rsidRPr="002B283E">
        <w:t>2.</w:t>
      </w:r>
      <w:r w:rsidR="00DF7B47">
        <w:t>7</w:t>
      </w:r>
      <w:r w:rsidRPr="002B283E">
        <w:t xml:space="preserve"> (Transcript of Recording in Foreign Language)</w:t>
      </w:r>
      <w:r w:rsidR="004E2859">
        <w:t xml:space="preserve">; </w:t>
      </w:r>
      <w:r w:rsidR="004E2859" w:rsidRPr="002B283E">
        <w:t>Instruction</w:t>
      </w:r>
      <w:r w:rsidR="004E2859" w:rsidRPr="002B283E">
        <w:rPr>
          <w:spacing w:val="-4"/>
        </w:rPr>
        <w:t xml:space="preserve"> </w:t>
      </w:r>
      <w:r w:rsidRPr="002B283E">
        <w:t>2.</w:t>
      </w:r>
      <w:r w:rsidR="00DF7B47">
        <w:t>9</w:t>
      </w:r>
      <w:r w:rsidRPr="002B283E">
        <w:t xml:space="preserve"> (Foreign Language Testimony).</w:t>
      </w:r>
    </w:p>
    <w:p w14:paraId="6AFCD0FB" w14:textId="77777777" w:rsidR="00065125" w:rsidRPr="002B283E" w:rsidRDefault="00065125" w:rsidP="002B283E">
      <w:pPr>
        <w:pStyle w:val="BodyText"/>
      </w:pPr>
    </w:p>
    <w:p w14:paraId="7FEA21D8" w14:textId="77777777" w:rsidR="00065125" w:rsidRPr="002B283E" w:rsidRDefault="00065125" w:rsidP="002B283E">
      <w:pPr>
        <w:pStyle w:val="BodyText"/>
      </w:pPr>
    </w:p>
    <w:p w14:paraId="2B25B2DF" w14:textId="77777777" w:rsidR="00065125" w:rsidRPr="002B283E" w:rsidRDefault="00065125" w:rsidP="002B283E">
      <w:pPr>
        <w:autoSpaceDE w:val="0"/>
        <w:autoSpaceDN w:val="0"/>
        <w:adjustRightInd w:val="0"/>
        <w:jc w:val="right"/>
        <w:rPr>
          <w:rFonts w:cs="Times New Roman"/>
          <w:i/>
          <w:iCs/>
          <w:szCs w:val="24"/>
        </w:rPr>
      </w:pPr>
      <w:r w:rsidRPr="002B283E">
        <w:rPr>
          <w:rFonts w:cs="Times New Roman"/>
          <w:i/>
          <w:iCs/>
          <w:szCs w:val="24"/>
        </w:rPr>
        <w:t>Revised March 2025</w:t>
      </w:r>
    </w:p>
    <w:p w14:paraId="58AD1A2E" w14:textId="77777777" w:rsidR="00065125" w:rsidRPr="002B283E" w:rsidRDefault="00065125" w:rsidP="002B283E">
      <w:pPr>
        <w:rPr>
          <w:rFonts w:cs="Times New Roman"/>
          <w:i/>
          <w:iCs/>
          <w:szCs w:val="24"/>
        </w:rPr>
      </w:pPr>
      <w:r w:rsidRPr="002B283E">
        <w:rPr>
          <w:rFonts w:cs="Times New Roman"/>
          <w:i/>
          <w:iCs/>
          <w:szCs w:val="24"/>
        </w:rPr>
        <w:br w:type="page"/>
      </w:r>
    </w:p>
    <w:p w14:paraId="2662D88F" w14:textId="38A4EF6D" w:rsidR="006A4CD7" w:rsidRPr="002B283E" w:rsidRDefault="00065125" w:rsidP="002B283E">
      <w:pPr>
        <w:pStyle w:val="Heading2"/>
      </w:pPr>
      <w:r w:rsidRPr="002B283E">
        <w:lastRenderedPageBreak/>
        <w:t xml:space="preserve"> </w:t>
      </w:r>
      <w:r w:rsidR="00D40D85" w:rsidRPr="002B283E">
        <w:t xml:space="preserve"> </w:t>
      </w:r>
      <w:bookmarkStart w:id="40" w:name="_Toc221525091"/>
      <w:r w:rsidR="006A4CD7" w:rsidRPr="002B283E">
        <w:t>2.</w:t>
      </w:r>
      <w:r w:rsidR="00C65A66">
        <w:t>9</w:t>
      </w:r>
      <w:r w:rsidR="006A4CD7" w:rsidRPr="002B283E">
        <w:t xml:space="preserve"> </w:t>
      </w:r>
      <w:r w:rsidR="00F8289E" w:rsidRPr="002B283E">
        <w:t>Foreign Language Testimony</w:t>
      </w:r>
      <w:bookmarkEnd w:id="40"/>
    </w:p>
    <w:p w14:paraId="391AA38B" w14:textId="77777777" w:rsidR="00F84FDE" w:rsidRPr="002B283E" w:rsidRDefault="00F84FDE" w:rsidP="002B283E">
      <w:pPr>
        <w:autoSpaceDE w:val="0"/>
        <w:autoSpaceDN w:val="0"/>
        <w:adjustRightInd w:val="0"/>
        <w:rPr>
          <w:rFonts w:cs="Times New Roman"/>
          <w:szCs w:val="24"/>
        </w:rPr>
      </w:pPr>
    </w:p>
    <w:p w14:paraId="4E00CACF" w14:textId="29833FA8" w:rsidR="006A4CD7" w:rsidRPr="002B283E" w:rsidRDefault="006A4CD7" w:rsidP="002B283E">
      <w:pPr>
        <w:autoSpaceDE w:val="0"/>
        <w:autoSpaceDN w:val="0"/>
        <w:adjustRightInd w:val="0"/>
        <w:rPr>
          <w:rFonts w:cs="Times New Roman"/>
          <w:szCs w:val="24"/>
        </w:rPr>
      </w:pPr>
      <w:r w:rsidRPr="002B283E">
        <w:rPr>
          <w:rFonts w:cs="Times New Roman"/>
          <w:szCs w:val="24"/>
        </w:rPr>
        <w:tab/>
        <w:t>You [are about to hear] [have heard] testimony of a witness who [will be testifying] [testified] in the [</w:t>
      </w:r>
      <w:r w:rsidRPr="002B283E">
        <w:rPr>
          <w:rFonts w:cs="Times New Roman"/>
          <w:i/>
          <w:iCs/>
          <w:szCs w:val="24"/>
          <w:u w:val="single"/>
        </w:rPr>
        <w:t>specify foreign language</w:t>
      </w:r>
      <w:r w:rsidRPr="002B283E">
        <w:rPr>
          <w:rFonts w:cs="Times New Roman"/>
          <w:szCs w:val="24"/>
        </w:rPr>
        <w:t>] language. Witnesses who do not speak English or are more proficient in another language testify through an official court interpreter. 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2B283E" w:rsidRDefault="006A4CD7" w:rsidP="002B283E">
      <w:pPr>
        <w:autoSpaceDE w:val="0"/>
        <w:autoSpaceDN w:val="0"/>
        <w:adjustRightInd w:val="0"/>
        <w:rPr>
          <w:rFonts w:cs="Times New Roman"/>
          <w:szCs w:val="24"/>
        </w:rPr>
      </w:pPr>
    </w:p>
    <w:p w14:paraId="09A4AE1B" w14:textId="475C97F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must not make any assumptions about a </w:t>
      </w:r>
      <w:r w:rsidR="008A3CE4" w:rsidRPr="002B283E">
        <w:rPr>
          <w:rFonts w:cs="Times New Roman"/>
          <w:szCs w:val="24"/>
        </w:rPr>
        <w:t>witness,</w:t>
      </w:r>
      <w:r w:rsidRPr="002B283E">
        <w:rPr>
          <w:rFonts w:cs="Times New Roman"/>
          <w:szCs w:val="24"/>
        </w:rPr>
        <w:t xml:space="preserve"> or a party based solely on the use of an interpreter to assist that witness or party.</w:t>
      </w:r>
    </w:p>
    <w:p w14:paraId="0DB7FE81" w14:textId="77777777" w:rsidR="006A4CD7" w:rsidRPr="002B283E" w:rsidRDefault="006A4CD7" w:rsidP="002B283E">
      <w:pPr>
        <w:rPr>
          <w:rFonts w:cs="Times New Roman"/>
          <w:szCs w:val="24"/>
        </w:rPr>
      </w:pPr>
    </w:p>
    <w:p w14:paraId="66AB534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5A6E8BE" w14:textId="77777777" w:rsidR="006A4CD7" w:rsidRPr="002B283E" w:rsidRDefault="006A4CD7" w:rsidP="002B283E">
      <w:pPr>
        <w:autoSpaceDE w:val="0"/>
        <w:autoSpaceDN w:val="0"/>
        <w:adjustRightInd w:val="0"/>
        <w:rPr>
          <w:rFonts w:cs="Times New Roman"/>
          <w:szCs w:val="24"/>
        </w:rPr>
      </w:pPr>
    </w:p>
    <w:p w14:paraId="7F3B96F6" w14:textId="2188FBD7" w:rsidR="006A4CD7" w:rsidRPr="002B283E" w:rsidRDefault="006A4CD7"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rPr>
        <w:t xml:space="preserve">As to the use of interpreters, </w:t>
      </w:r>
      <w:r w:rsidRPr="008A04C2">
        <w:rPr>
          <w:rFonts w:cs="Times New Roman"/>
          <w:szCs w:val="24"/>
        </w:rPr>
        <w:t>see generally</w:t>
      </w:r>
      <w:r w:rsidRPr="002B283E">
        <w:rPr>
          <w:rFonts w:cs="Times New Roman"/>
          <w:szCs w:val="24"/>
        </w:rPr>
        <w:t xml:space="preserve"> 28 U.S.C. § 1827</w:t>
      </w:r>
      <w:r w:rsidR="00A87F6E">
        <w:rPr>
          <w:rFonts w:cs="Times New Roman"/>
          <w:szCs w:val="24"/>
        </w:rPr>
        <w:t xml:space="preserve">. </w:t>
      </w:r>
    </w:p>
    <w:p w14:paraId="2C1B68AF" w14:textId="77777777" w:rsidR="00F84FDE" w:rsidRPr="002B283E" w:rsidRDefault="00F84FDE" w:rsidP="002B283E">
      <w:pPr>
        <w:autoSpaceDE w:val="0"/>
        <w:autoSpaceDN w:val="0"/>
        <w:adjustRightInd w:val="0"/>
        <w:rPr>
          <w:rFonts w:cs="Times New Roman"/>
          <w:szCs w:val="24"/>
        </w:rPr>
      </w:pPr>
    </w:p>
    <w:p w14:paraId="38005F1D" w14:textId="327E796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Franco</w:t>
      </w:r>
      <w:r w:rsidRPr="002B283E">
        <w:rPr>
          <w:rFonts w:cs="Times New Roman"/>
          <w:szCs w:val="24"/>
        </w:rPr>
        <w:t xml:space="preserve">, 136 F.3d 622, 626 (9th Cir. 1998) (holding that district court properly instructed jury that it must accept translation of foreign language tape-recording when accuracy of </w:t>
      </w:r>
      <w:r w:rsidR="00E16934">
        <w:rPr>
          <w:rFonts w:cs="Times New Roman"/>
          <w:szCs w:val="24"/>
        </w:rPr>
        <w:t xml:space="preserve">the </w:t>
      </w:r>
      <w:r w:rsidRPr="002B283E">
        <w:rPr>
          <w:rFonts w:cs="Times New Roman"/>
          <w:szCs w:val="24"/>
        </w:rPr>
        <w:t>translation is not in issue);</w:t>
      </w:r>
      <w:r w:rsidRPr="002B283E">
        <w:rPr>
          <w:rFonts w:cs="Times New Roman"/>
          <w:i/>
          <w:iCs/>
          <w:szCs w:val="24"/>
        </w:rPr>
        <w:t xml:space="preserve"> United States v. Rrapi</w:t>
      </w:r>
      <w:r w:rsidRPr="002B283E">
        <w:rPr>
          <w:rFonts w:cs="Times New Roman"/>
          <w:szCs w:val="24"/>
        </w:rPr>
        <w:t xml:space="preserve">, 175 F.3d 742, 746 (9th Cir. 1999); </w:t>
      </w:r>
      <w:r w:rsidRPr="002B283E">
        <w:rPr>
          <w:rFonts w:cs="Times New Roman"/>
          <w:i/>
          <w:iCs/>
          <w:szCs w:val="24"/>
        </w:rPr>
        <w:t>United States v. Fuentes–Montijo</w:t>
      </w:r>
      <w:r w:rsidRPr="002B283E">
        <w:rPr>
          <w:rFonts w:cs="Times New Roman"/>
          <w:szCs w:val="24"/>
        </w:rPr>
        <w:t>, 68 F.3d 352, 355-56 (9th Cir. 1995)</w:t>
      </w:r>
      <w:r w:rsidR="00CC5A82">
        <w:rPr>
          <w:rFonts w:cs="Times New Roman"/>
          <w:szCs w:val="24"/>
        </w:rPr>
        <w:t xml:space="preserve">. </w:t>
      </w:r>
      <w:r w:rsidRPr="002B283E">
        <w:rPr>
          <w:rFonts w:cs="Times New Roman"/>
          <w:i/>
          <w:iCs/>
          <w:szCs w:val="24"/>
        </w:rPr>
        <w:t xml:space="preserve">See also </w:t>
      </w:r>
      <w:r w:rsidRPr="002B283E">
        <w:rPr>
          <w:rFonts w:cs="Times New Roman"/>
          <w:szCs w:val="24"/>
        </w:rPr>
        <w:t>Instruction</w:t>
      </w:r>
      <w:r w:rsidR="004E2859">
        <w:rPr>
          <w:rFonts w:cs="Times New Roman"/>
          <w:szCs w:val="24"/>
        </w:rPr>
        <w:t xml:space="preserve"> </w:t>
      </w:r>
      <w:r w:rsidRPr="002B283E">
        <w:rPr>
          <w:rFonts w:cs="Times New Roman"/>
          <w:szCs w:val="24"/>
        </w:rPr>
        <w:t>2.</w:t>
      </w:r>
      <w:r w:rsidR="00DF7B47">
        <w:rPr>
          <w:rFonts w:cs="Times New Roman"/>
          <w:szCs w:val="24"/>
        </w:rPr>
        <w:t>6</w:t>
      </w:r>
      <w:r w:rsidRPr="002B283E">
        <w:rPr>
          <w:rFonts w:cs="Times New Roman"/>
          <w:szCs w:val="24"/>
        </w:rPr>
        <w:t xml:space="preserve"> (Transcript of Recording in English)</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r w:rsidR="00DF7B47">
        <w:rPr>
          <w:rFonts w:cs="Times New Roman"/>
          <w:szCs w:val="24"/>
        </w:rPr>
        <w:t>7</w:t>
      </w:r>
      <w:r w:rsidRPr="002B283E">
        <w:rPr>
          <w:rFonts w:cs="Times New Roman"/>
          <w:szCs w:val="24"/>
        </w:rPr>
        <w:t xml:space="preserve"> (Transcript of Recording in Foreign Language)</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r w:rsidR="00DF7B47">
        <w:rPr>
          <w:rFonts w:cs="Times New Roman"/>
          <w:szCs w:val="24"/>
        </w:rPr>
        <w:t>8</w:t>
      </w:r>
      <w:r w:rsidRPr="002B283E">
        <w:rPr>
          <w:rFonts w:cs="Times New Roman"/>
          <w:szCs w:val="24"/>
        </w:rPr>
        <w:t xml:space="preserve"> (Disputed Transcript of Recording in Foreign Language).</w:t>
      </w:r>
    </w:p>
    <w:p w14:paraId="014DBCB9" w14:textId="77777777" w:rsidR="006A4CD7" w:rsidRPr="002B283E" w:rsidRDefault="006A4CD7" w:rsidP="002B283E">
      <w:pPr>
        <w:autoSpaceDE w:val="0"/>
        <w:autoSpaceDN w:val="0"/>
        <w:adjustRightInd w:val="0"/>
        <w:rPr>
          <w:rFonts w:cs="Times New Roman"/>
          <w:szCs w:val="24"/>
        </w:rPr>
      </w:pPr>
    </w:p>
    <w:p w14:paraId="1E4DA8E0" w14:textId="77777777" w:rsidR="0058487E" w:rsidRPr="002B283E" w:rsidRDefault="0058487E" w:rsidP="002B283E">
      <w:pPr>
        <w:autoSpaceDE w:val="0"/>
        <w:autoSpaceDN w:val="0"/>
        <w:adjustRightInd w:val="0"/>
        <w:rPr>
          <w:rFonts w:cs="Times New Roman"/>
          <w:szCs w:val="24"/>
        </w:rPr>
      </w:pPr>
    </w:p>
    <w:p w14:paraId="24545E89" w14:textId="77777777" w:rsidR="00030A67" w:rsidRPr="002B283E" w:rsidRDefault="00030A67" w:rsidP="002B283E">
      <w:pPr>
        <w:rPr>
          <w:rFonts w:cs="Times New Roman"/>
          <w:b/>
          <w:bCs/>
          <w:szCs w:val="24"/>
        </w:rPr>
      </w:pPr>
      <w:r w:rsidRPr="002B283E">
        <w:rPr>
          <w:rFonts w:cs="Times New Roman"/>
          <w:b/>
          <w:bCs/>
          <w:szCs w:val="24"/>
        </w:rPr>
        <w:br w:type="page"/>
      </w:r>
    </w:p>
    <w:p w14:paraId="53BB85D9" w14:textId="0D9CE193" w:rsidR="006A4CD7" w:rsidRPr="002B283E" w:rsidRDefault="006A4CD7" w:rsidP="002B283E">
      <w:pPr>
        <w:pStyle w:val="Heading2"/>
      </w:pPr>
      <w:bookmarkStart w:id="41" w:name="_Toc221525092"/>
      <w:r w:rsidRPr="002B283E">
        <w:lastRenderedPageBreak/>
        <w:t>2.</w:t>
      </w:r>
      <w:r w:rsidR="00C65A66">
        <w:t>10</w:t>
      </w:r>
      <w:r w:rsidRPr="002B283E">
        <w:t xml:space="preserve"> </w:t>
      </w:r>
      <w:r w:rsidR="00F8289E" w:rsidRPr="002B283E">
        <w:t>Impeachment Evidence—Witness</w:t>
      </w:r>
      <w:bookmarkEnd w:id="41"/>
    </w:p>
    <w:p w14:paraId="5C0AB062" w14:textId="77777777" w:rsidR="00F84FDE" w:rsidRPr="002B283E" w:rsidRDefault="00F84FDE" w:rsidP="002B283E">
      <w:pPr>
        <w:autoSpaceDE w:val="0"/>
        <w:autoSpaceDN w:val="0"/>
        <w:adjustRightInd w:val="0"/>
        <w:rPr>
          <w:rFonts w:cs="Times New Roman"/>
          <w:szCs w:val="24"/>
        </w:rPr>
      </w:pPr>
    </w:p>
    <w:p w14:paraId="211D79F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evidence that a witness </w:t>
      </w:r>
      <w:r w:rsidRPr="008A04C2">
        <w:rPr>
          <w:rFonts w:cs="Times New Roman"/>
          <w:szCs w:val="24"/>
        </w:rPr>
        <w:t>[</w:t>
      </w:r>
      <w:r w:rsidRPr="002B283E">
        <w:rPr>
          <w:rFonts w:cs="Times New Roman"/>
          <w:i/>
          <w:iCs/>
          <w:szCs w:val="24"/>
          <w:u w:val="single"/>
        </w:rPr>
        <w:t>e.g., has been convicted of a crime, lied under oath on a prior occasion, etc</w:t>
      </w:r>
      <w:r w:rsidRPr="008A04C2">
        <w:rPr>
          <w:rFonts w:cs="Times New Roman"/>
          <w:szCs w:val="24"/>
          <w:u w:val="single"/>
        </w:rPr>
        <w:t>.</w:t>
      </w:r>
      <w:r w:rsidRPr="002B283E">
        <w:rPr>
          <w:rFonts w:cs="Times New Roman"/>
          <w:szCs w:val="24"/>
        </w:rPr>
        <w:t>] may be considered, along with all other evidence, in deciding whether or not to believe the witness and how much weight to give to the testimony of the witness and for no other purpose.</w:t>
      </w:r>
    </w:p>
    <w:p w14:paraId="02DCD4D2" w14:textId="77777777" w:rsidR="006A4CD7" w:rsidRPr="002B283E" w:rsidRDefault="006A4CD7" w:rsidP="002B283E">
      <w:pPr>
        <w:autoSpaceDE w:val="0"/>
        <w:autoSpaceDN w:val="0"/>
        <w:adjustRightInd w:val="0"/>
        <w:rPr>
          <w:rFonts w:cs="Times New Roman"/>
          <w:szCs w:val="24"/>
        </w:rPr>
      </w:pPr>
    </w:p>
    <w:p w14:paraId="6CDD38D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DDA143A" w14:textId="77777777" w:rsidR="0058487E" w:rsidRPr="002B283E" w:rsidRDefault="0058487E" w:rsidP="002B283E">
      <w:pPr>
        <w:rPr>
          <w:rFonts w:cs="Times New Roman"/>
          <w:szCs w:val="24"/>
        </w:rPr>
      </w:pPr>
    </w:p>
    <w:p w14:paraId="3246E58A" w14:textId="585DEBAF" w:rsidR="00C8117C" w:rsidRPr="002B283E" w:rsidRDefault="006A4CD7" w:rsidP="002B283E">
      <w:pPr>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Fed. R. Evid. 608</w:t>
      </w:r>
      <w:r w:rsidR="00E16934">
        <w:rPr>
          <w:rFonts w:cs="Times New Roman"/>
          <w:szCs w:val="24"/>
        </w:rPr>
        <w:t>-</w:t>
      </w:r>
      <w:r w:rsidRPr="002B283E">
        <w:rPr>
          <w:rFonts w:cs="Times New Roman"/>
          <w:szCs w:val="24"/>
        </w:rPr>
        <w:t xml:space="preserve">09; </w:t>
      </w:r>
      <w:r w:rsidRPr="002B283E">
        <w:rPr>
          <w:rFonts w:cs="Times New Roman"/>
          <w:i/>
          <w:iCs/>
          <w:szCs w:val="24"/>
        </w:rPr>
        <w:t>United States v. Hankey</w:t>
      </w:r>
      <w:r w:rsidRPr="002B283E">
        <w:rPr>
          <w:rFonts w:cs="Times New Roman"/>
          <w:szCs w:val="24"/>
        </w:rPr>
        <w:t>, 203 F.3d 1160, 1173 (9th Cir. 2000) (</w:t>
      </w:r>
      <w:r w:rsidR="00825719">
        <w:rPr>
          <w:rFonts w:cs="Times New Roman"/>
          <w:szCs w:val="24"/>
        </w:rPr>
        <w:t>explaining</w:t>
      </w:r>
      <w:r w:rsidR="00825719" w:rsidRPr="002B283E">
        <w:rPr>
          <w:rFonts w:cs="Times New Roman"/>
          <w:szCs w:val="24"/>
        </w:rPr>
        <w:t xml:space="preserve"> </w:t>
      </w:r>
      <w:r w:rsidRPr="002B283E">
        <w:rPr>
          <w:rFonts w:cs="Times New Roman"/>
          <w:szCs w:val="24"/>
        </w:rPr>
        <w:t xml:space="preserve">that </w:t>
      </w:r>
      <w:r w:rsidR="00CC5A82">
        <w:rPr>
          <w:rFonts w:cs="Times New Roman"/>
          <w:szCs w:val="24"/>
        </w:rPr>
        <w:t xml:space="preserve">the </w:t>
      </w:r>
      <w:r w:rsidRPr="002B283E">
        <w:rPr>
          <w:rFonts w:cs="Times New Roman"/>
          <w:szCs w:val="24"/>
        </w:rPr>
        <w:t xml:space="preserve">district court properly admitted impeachment evidence following </w:t>
      </w:r>
      <w:r w:rsidR="00CC5A82">
        <w:rPr>
          <w:rFonts w:cs="Times New Roman"/>
          <w:szCs w:val="24"/>
        </w:rPr>
        <w:t xml:space="preserve">the </w:t>
      </w:r>
      <w:r w:rsidRPr="002B283E">
        <w:rPr>
          <w:rFonts w:cs="Times New Roman"/>
          <w:szCs w:val="24"/>
        </w:rPr>
        <w:t xml:space="preserve">limiting instruction to jury). If this instruction is given during the trial, the Committee recommends giving the second sentence in numbered paragraph 3 of Instruction 1.10 (What Is Not Evidence) with the concluding instructions. </w:t>
      </w:r>
      <w:r w:rsidRPr="002B283E">
        <w:rPr>
          <w:rFonts w:cs="Times New Roman"/>
          <w:i/>
          <w:iCs/>
          <w:szCs w:val="24"/>
        </w:rPr>
        <w:t>See also</w:t>
      </w:r>
      <w:r w:rsidRPr="002B283E">
        <w:rPr>
          <w:rFonts w:cs="Times New Roman"/>
          <w:szCs w:val="24"/>
        </w:rPr>
        <w:t xml:space="preserve"> Instruction 1.11 (Evidence for Limited Purpose).</w:t>
      </w:r>
    </w:p>
    <w:p w14:paraId="64E0AB55" w14:textId="77777777" w:rsidR="0058487E" w:rsidRPr="002B283E" w:rsidRDefault="0058487E" w:rsidP="002B283E">
      <w:pPr>
        <w:rPr>
          <w:rFonts w:cs="Times New Roman"/>
          <w:szCs w:val="24"/>
        </w:rPr>
      </w:pPr>
    </w:p>
    <w:p w14:paraId="1A19D1AB" w14:textId="77777777" w:rsidR="0058487E" w:rsidRPr="002B283E" w:rsidRDefault="0058487E" w:rsidP="002B283E">
      <w:pPr>
        <w:rPr>
          <w:rFonts w:cs="Times New Roman"/>
          <w:szCs w:val="24"/>
        </w:rPr>
      </w:pPr>
    </w:p>
    <w:p w14:paraId="6B8D5546" w14:textId="77777777" w:rsidR="00C8117C" w:rsidRPr="002B283E" w:rsidRDefault="00C8117C" w:rsidP="002B283E">
      <w:pPr>
        <w:rPr>
          <w:rFonts w:cs="Times New Roman"/>
          <w:szCs w:val="24"/>
        </w:rPr>
      </w:pPr>
      <w:r w:rsidRPr="002B283E">
        <w:rPr>
          <w:rFonts w:cs="Times New Roman"/>
          <w:szCs w:val="24"/>
        </w:rPr>
        <w:br w:type="page"/>
      </w:r>
    </w:p>
    <w:p w14:paraId="280D5B90" w14:textId="00EB1651" w:rsidR="006A4CD7" w:rsidRPr="002B283E" w:rsidRDefault="006A4CD7" w:rsidP="002B283E">
      <w:pPr>
        <w:pStyle w:val="Heading2"/>
      </w:pPr>
      <w:bookmarkStart w:id="42" w:name="_Toc221525093"/>
      <w:r w:rsidRPr="002B283E">
        <w:lastRenderedPageBreak/>
        <w:t>2.1</w:t>
      </w:r>
      <w:r w:rsidR="00C65A66">
        <w:t>1</w:t>
      </w:r>
      <w:r w:rsidRPr="002B283E">
        <w:t xml:space="preserve"> </w:t>
      </w:r>
      <w:r w:rsidR="00F8289E" w:rsidRPr="002B283E">
        <w:t xml:space="preserve">Tests </w:t>
      </w:r>
      <w:r w:rsidR="00A25782" w:rsidRPr="002B283E">
        <w:t>a</w:t>
      </w:r>
      <w:r w:rsidR="00F8289E" w:rsidRPr="002B283E">
        <w:t>nd Experiments</w:t>
      </w:r>
      <w:bookmarkEnd w:id="42"/>
    </w:p>
    <w:p w14:paraId="237E63FA" w14:textId="77777777" w:rsidR="00C8117C" w:rsidRPr="002B283E" w:rsidRDefault="00C8117C" w:rsidP="002B283E">
      <w:pPr>
        <w:autoSpaceDE w:val="0"/>
        <w:autoSpaceDN w:val="0"/>
        <w:adjustRightInd w:val="0"/>
        <w:rPr>
          <w:rFonts w:cs="Times New Roman"/>
          <w:szCs w:val="24"/>
        </w:rPr>
      </w:pPr>
    </w:p>
    <w:p w14:paraId="42CE3E4B" w14:textId="77777777" w:rsidR="0058487E" w:rsidRPr="002B283E" w:rsidRDefault="006A4CD7" w:rsidP="002B283E">
      <w:pPr>
        <w:autoSpaceDE w:val="0"/>
        <w:autoSpaceDN w:val="0"/>
        <w:adjustRightInd w:val="0"/>
        <w:rPr>
          <w:rFonts w:cs="Times New Roman"/>
          <w:szCs w:val="24"/>
        </w:rPr>
      </w:pPr>
      <w:r w:rsidRPr="002B283E">
        <w:rPr>
          <w:rFonts w:cs="Times New Roman"/>
          <w:szCs w:val="24"/>
        </w:rPr>
        <w:tab/>
        <w:t>[Arrangements have been made to conduct a test or experiment.]  [A test or experiment was conducted.]</w:t>
      </w:r>
    </w:p>
    <w:p w14:paraId="7D38A03B" w14:textId="77777777" w:rsidR="0058487E" w:rsidRPr="002B283E" w:rsidRDefault="0058487E" w:rsidP="002B283E">
      <w:pPr>
        <w:autoSpaceDE w:val="0"/>
        <w:autoSpaceDN w:val="0"/>
        <w:adjustRightInd w:val="0"/>
        <w:rPr>
          <w:rFonts w:cs="Times New Roman"/>
          <w:szCs w:val="24"/>
        </w:rPr>
      </w:pPr>
    </w:p>
    <w:p w14:paraId="0067E13D" w14:textId="07CC543C" w:rsidR="007D0D33" w:rsidRPr="002B283E" w:rsidRDefault="006A4CD7" w:rsidP="002B283E">
      <w:pPr>
        <w:autoSpaceDE w:val="0"/>
        <w:autoSpaceDN w:val="0"/>
        <w:adjustRightInd w:val="0"/>
        <w:rPr>
          <w:rFonts w:cs="Times New Roman"/>
          <w:szCs w:val="24"/>
        </w:rPr>
      </w:pPr>
      <w:r w:rsidRPr="002B283E">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Pr="002B283E" w:rsidRDefault="007D0D33" w:rsidP="002B283E">
      <w:pPr>
        <w:autoSpaceDE w:val="0"/>
        <w:autoSpaceDN w:val="0"/>
        <w:adjustRightInd w:val="0"/>
        <w:rPr>
          <w:rFonts w:cs="Times New Roman"/>
          <w:szCs w:val="24"/>
        </w:rPr>
      </w:pPr>
    </w:p>
    <w:p w14:paraId="0EA8A58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decide what weight, if any, you give to the test or experiment.</w:t>
      </w:r>
    </w:p>
    <w:p w14:paraId="76E3CB8A" w14:textId="77777777" w:rsidR="006A4CD7" w:rsidRPr="002B283E" w:rsidRDefault="006A4CD7" w:rsidP="002B283E">
      <w:pPr>
        <w:autoSpaceDE w:val="0"/>
        <w:autoSpaceDN w:val="0"/>
        <w:adjustRightInd w:val="0"/>
        <w:rPr>
          <w:rFonts w:cs="Times New Roman"/>
          <w:szCs w:val="24"/>
        </w:rPr>
      </w:pPr>
    </w:p>
    <w:p w14:paraId="1C046B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A130E3" w14:textId="77777777" w:rsidR="006A4CD7" w:rsidRPr="002B283E" w:rsidRDefault="006A4CD7" w:rsidP="002B283E">
      <w:pPr>
        <w:autoSpaceDE w:val="0"/>
        <w:autoSpaceDN w:val="0"/>
        <w:adjustRightInd w:val="0"/>
        <w:rPr>
          <w:rFonts w:cs="Times New Roman"/>
          <w:szCs w:val="24"/>
        </w:rPr>
      </w:pPr>
    </w:p>
    <w:p w14:paraId="72DD5FE9" w14:textId="77777777" w:rsidR="00C8117C"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d’Hedouville v. Pioneer Hotel Co.</w:t>
      </w:r>
      <w:r w:rsidRPr="002B283E">
        <w:rPr>
          <w:rFonts w:cs="Times New Roman"/>
          <w:szCs w:val="24"/>
        </w:rPr>
        <w:t xml:space="preserve">, 552 F.2d 886, 890 (9th Cir. 1977) (holding that district court properly allowed experiment evidence regarding flammability of carpet sample despite differences between test fire and actual fire); </w:t>
      </w:r>
      <w:r w:rsidRPr="002B283E">
        <w:rPr>
          <w:rFonts w:cs="Times New Roman"/>
          <w:i/>
          <w:iCs/>
          <w:szCs w:val="24"/>
        </w:rPr>
        <w:t>Canada Life Assur. Co. v. Houston</w:t>
      </w:r>
      <w:r w:rsidRPr="002B283E">
        <w:rPr>
          <w:rFonts w:cs="Times New Roman"/>
          <w:szCs w:val="24"/>
        </w:rPr>
        <w:t>, 241 F.2d 523, 537 (9th Cir. 1957) (“[T]he conditions surrounding a test or experiment of this nature need not be identical with those existing at the time of the occurrence in question provided there is a substantial similarity.”) (internal quotations omitted).</w:t>
      </w:r>
    </w:p>
    <w:p w14:paraId="31B559C4" w14:textId="77777777" w:rsidR="002B1D90" w:rsidRPr="002B283E" w:rsidRDefault="002B1D90" w:rsidP="002B283E">
      <w:pPr>
        <w:autoSpaceDE w:val="0"/>
        <w:autoSpaceDN w:val="0"/>
        <w:adjustRightInd w:val="0"/>
        <w:rPr>
          <w:rFonts w:cs="Times New Roman"/>
          <w:szCs w:val="24"/>
        </w:rPr>
      </w:pPr>
    </w:p>
    <w:p w14:paraId="1541923E" w14:textId="77777777" w:rsidR="002B1D90" w:rsidRPr="002B283E" w:rsidRDefault="002B1D90" w:rsidP="002B283E">
      <w:pPr>
        <w:autoSpaceDE w:val="0"/>
        <w:autoSpaceDN w:val="0"/>
        <w:adjustRightInd w:val="0"/>
        <w:rPr>
          <w:rFonts w:cs="Times New Roman"/>
          <w:szCs w:val="24"/>
        </w:rPr>
      </w:pPr>
    </w:p>
    <w:p w14:paraId="0F94066E" w14:textId="77777777" w:rsidR="00C8117C" w:rsidRPr="002B283E" w:rsidRDefault="00C8117C" w:rsidP="002B283E">
      <w:pPr>
        <w:rPr>
          <w:rFonts w:cs="Times New Roman"/>
          <w:szCs w:val="24"/>
        </w:rPr>
      </w:pPr>
      <w:r w:rsidRPr="002B283E">
        <w:rPr>
          <w:rFonts w:cs="Times New Roman"/>
          <w:szCs w:val="24"/>
        </w:rPr>
        <w:br w:type="page"/>
      </w:r>
    </w:p>
    <w:p w14:paraId="3CC75C63" w14:textId="56668119" w:rsidR="006A4CD7" w:rsidRPr="002B283E" w:rsidRDefault="006A4CD7" w:rsidP="002B283E">
      <w:pPr>
        <w:pStyle w:val="Heading2"/>
      </w:pPr>
      <w:bookmarkStart w:id="43" w:name="_Toc221525094"/>
      <w:r w:rsidRPr="002B283E">
        <w:lastRenderedPageBreak/>
        <w:t>2.1</w:t>
      </w:r>
      <w:r w:rsidR="00C65A66">
        <w:t>2</w:t>
      </w:r>
      <w:r w:rsidRPr="002B283E">
        <w:t xml:space="preserve"> </w:t>
      </w:r>
      <w:r w:rsidR="00F8289E" w:rsidRPr="002B283E">
        <w:t>Use of Interrogatories</w:t>
      </w:r>
      <w:bookmarkEnd w:id="43"/>
    </w:p>
    <w:p w14:paraId="4730252B" w14:textId="77777777" w:rsidR="00C8117C" w:rsidRPr="002B283E" w:rsidRDefault="00C8117C" w:rsidP="002B283E">
      <w:pPr>
        <w:autoSpaceDE w:val="0"/>
        <w:autoSpaceDN w:val="0"/>
        <w:adjustRightInd w:val="0"/>
        <w:rPr>
          <w:rFonts w:cs="Times New Roman"/>
          <w:szCs w:val="24"/>
        </w:rPr>
      </w:pPr>
    </w:p>
    <w:p w14:paraId="1D0ECF58" w14:textId="52820FA4"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answers of one of the parties to written interrogatories submitted by the other side</w:t>
      </w:r>
      <w:r w:rsidR="00E16934">
        <w:rPr>
          <w:rFonts w:cs="Times New Roman"/>
          <w:szCs w:val="24"/>
        </w:rPr>
        <w:t xml:space="preserve">. </w:t>
      </w:r>
      <w:r w:rsidRPr="002B283E">
        <w:rPr>
          <w:rFonts w:cs="Times New Roman"/>
          <w:szCs w:val="24"/>
        </w:rPr>
        <w:t>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2B283E" w:rsidRDefault="006A4CD7" w:rsidP="002B283E">
      <w:pPr>
        <w:rPr>
          <w:rFonts w:cs="Times New Roman"/>
          <w:szCs w:val="24"/>
        </w:rPr>
      </w:pPr>
    </w:p>
    <w:p w14:paraId="7EE3DFF7"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7140D01" w14:textId="77777777" w:rsidR="006A4CD7" w:rsidRPr="002B283E" w:rsidRDefault="006A4CD7" w:rsidP="002B283E">
      <w:pPr>
        <w:autoSpaceDE w:val="0"/>
        <w:autoSpaceDN w:val="0"/>
        <w:adjustRightInd w:val="0"/>
        <w:rPr>
          <w:rFonts w:cs="Times New Roman"/>
          <w:szCs w:val="24"/>
        </w:rPr>
      </w:pPr>
    </w:p>
    <w:p w14:paraId="2743A606" w14:textId="480D6861" w:rsidR="006A4CD7" w:rsidRPr="002B283E" w:rsidRDefault="006A4CD7" w:rsidP="002B283E">
      <w:pPr>
        <w:autoSpaceDE w:val="0"/>
        <w:autoSpaceDN w:val="0"/>
        <w:adjustRightInd w:val="0"/>
        <w:rPr>
          <w:rFonts w:cs="Times New Roman"/>
          <w:b/>
          <w:bCs/>
          <w:szCs w:val="24"/>
        </w:rPr>
      </w:pPr>
      <w:r w:rsidRPr="002B283E">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2B283E">
        <w:rPr>
          <w:rFonts w:cs="Times New Roman"/>
          <w:szCs w:val="24"/>
        </w:rPr>
        <w:br/>
      </w:r>
      <w:r w:rsidRPr="002B283E">
        <w:rPr>
          <w:rFonts w:cs="Times New Roman"/>
          <w:szCs w:val="24"/>
        </w:rPr>
        <w:br/>
      </w:r>
      <w:r w:rsidRPr="002B283E">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2B283E">
        <w:rPr>
          <w:rFonts w:cs="Times New Roman"/>
          <w:i/>
          <w:iCs/>
          <w:szCs w:val="24"/>
        </w:rPr>
        <w:t xml:space="preserve">See </w:t>
      </w:r>
      <w:r w:rsidRPr="002B283E">
        <w:rPr>
          <w:rFonts w:cs="Times New Roman"/>
          <w:szCs w:val="24"/>
        </w:rPr>
        <w:t>Instruction 2.1</w:t>
      </w:r>
      <w:r w:rsidR="00DF7B47">
        <w:rPr>
          <w:rFonts w:cs="Times New Roman"/>
          <w:szCs w:val="24"/>
        </w:rPr>
        <w:t>3</w:t>
      </w:r>
      <w:r w:rsidRPr="002B283E">
        <w:rPr>
          <w:rFonts w:cs="Times New Roman"/>
          <w:szCs w:val="24"/>
        </w:rPr>
        <w:t xml:space="preserve"> (Use of Requests for Admission).</w:t>
      </w:r>
    </w:p>
    <w:p w14:paraId="6944F2AB" w14:textId="29127553" w:rsidR="006A4CD7" w:rsidRPr="002B283E" w:rsidRDefault="006A4CD7" w:rsidP="002B283E">
      <w:pPr>
        <w:pStyle w:val="Heading2"/>
      </w:pPr>
      <w:r w:rsidRPr="002B283E">
        <w:br w:type="page"/>
      </w:r>
      <w:bookmarkStart w:id="44" w:name="_Toc221525095"/>
      <w:r w:rsidRPr="002B283E">
        <w:lastRenderedPageBreak/>
        <w:t>2.1</w:t>
      </w:r>
      <w:r w:rsidR="00C65A66">
        <w:t>3</w:t>
      </w:r>
      <w:r w:rsidRPr="002B283E">
        <w:t xml:space="preserve"> </w:t>
      </w:r>
      <w:r w:rsidR="00F8289E" w:rsidRPr="002B283E">
        <w:t>Use of Requests for Admission</w:t>
      </w:r>
      <w:bookmarkEnd w:id="44"/>
    </w:p>
    <w:p w14:paraId="151E76B2" w14:textId="77777777" w:rsidR="00C8117C" w:rsidRPr="002B283E" w:rsidRDefault="00C8117C" w:rsidP="002B283E">
      <w:pPr>
        <w:autoSpaceDE w:val="0"/>
        <w:autoSpaceDN w:val="0"/>
        <w:adjustRightInd w:val="0"/>
        <w:jc w:val="center"/>
        <w:rPr>
          <w:rFonts w:cs="Times New Roman"/>
          <w:szCs w:val="24"/>
        </w:rPr>
      </w:pPr>
    </w:p>
    <w:p w14:paraId="4CBC45B5" w14:textId="382BB1D9"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2B283E" w:rsidRDefault="006A4CD7" w:rsidP="002B283E">
      <w:pPr>
        <w:autoSpaceDE w:val="0"/>
        <w:autoSpaceDN w:val="0"/>
        <w:adjustRightInd w:val="0"/>
        <w:rPr>
          <w:rFonts w:cs="Times New Roman"/>
          <w:szCs w:val="24"/>
        </w:rPr>
      </w:pPr>
    </w:p>
    <w:p w14:paraId="2225B219"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1B2E36EF" w14:textId="77777777" w:rsidR="006A4CD7" w:rsidRPr="002B283E" w:rsidRDefault="006A4CD7" w:rsidP="002B283E">
      <w:pPr>
        <w:autoSpaceDE w:val="0"/>
        <w:autoSpaceDN w:val="0"/>
        <w:adjustRightInd w:val="0"/>
        <w:rPr>
          <w:rFonts w:cs="Times New Roman"/>
          <w:szCs w:val="24"/>
        </w:rPr>
      </w:pPr>
    </w:p>
    <w:p w14:paraId="56FE3E19" w14:textId="6542FD79" w:rsidR="002B1D90"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2B283E">
        <w:rPr>
          <w:rFonts w:cs="Times New Roman"/>
          <w:i/>
          <w:iCs/>
          <w:szCs w:val="24"/>
        </w:rPr>
        <w:t>999 v. C.I.T. Corp.</w:t>
      </w:r>
      <w:r w:rsidRPr="002B283E">
        <w:rPr>
          <w:rFonts w:cs="Times New Roman"/>
          <w:szCs w:val="24"/>
        </w:rPr>
        <w:t>, 776 F.2d 866, 869 (9th Cir. 1985)</w:t>
      </w:r>
      <w:r w:rsidR="00A87F6E">
        <w:rPr>
          <w:rFonts w:cs="Times New Roman"/>
          <w:szCs w:val="24"/>
        </w:rPr>
        <w:t xml:space="preserve">. </w:t>
      </w:r>
    </w:p>
    <w:p w14:paraId="72A125A9" w14:textId="77777777" w:rsidR="006A4CD7" w:rsidRPr="002B283E" w:rsidRDefault="006A4CD7" w:rsidP="002B283E">
      <w:pPr>
        <w:autoSpaceDE w:val="0"/>
        <w:autoSpaceDN w:val="0"/>
        <w:adjustRightInd w:val="0"/>
        <w:rPr>
          <w:rFonts w:cs="Times New Roman"/>
          <w:szCs w:val="24"/>
        </w:rPr>
      </w:pPr>
    </w:p>
    <w:p w14:paraId="2B2EC9C5" w14:textId="4B2C73F5" w:rsidR="006A4CD7" w:rsidRPr="002B283E" w:rsidRDefault="006A4CD7" w:rsidP="002B283E">
      <w:pPr>
        <w:autoSpaceDE w:val="0"/>
        <w:autoSpaceDN w:val="0"/>
        <w:adjustRightInd w:val="0"/>
        <w:rPr>
          <w:rFonts w:cs="Times New Roman"/>
          <w:szCs w:val="24"/>
        </w:rPr>
      </w:pPr>
      <w:r w:rsidRPr="002B283E">
        <w:rPr>
          <w:rFonts w:cs="Times New Roman"/>
          <w:szCs w:val="24"/>
        </w:rPr>
        <w:tab/>
        <w:t>Use this oral instruction before admissions are read to the jury; it may also be included in the concluding written instructions to the jury</w:t>
      </w:r>
      <w:r w:rsidR="00A87F6E">
        <w:rPr>
          <w:rFonts w:cs="Times New Roman"/>
          <w:szCs w:val="24"/>
        </w:rPr>
        <w:t xml:space="preserve">. </w:t>
      </w:r>
      <w:r w:rsidRPr="002B283E">
        <w:rPr>
          <w:rFonts w:cs="Times New Roman"/>
          <w:szCs w:val="24"/>
        </w:rPr>
        <w:t>The attorney should warn the judge ahead of time and give the judge an opportunity to give this oral instruction.</w:t>
      </w:r>
    </w:p>
    <w:p w14:paraId="3CFF4A55" w14:textId="77777777" w:rsidR="006A4CD7" w:rsidRPr="002B283E" w:rsidRDefault="006A4CD7" w:rsidP="002B283E">
      <w:pPr>
        <w:autoSpaceDE w:val="0"/>
        <w:autoSpaceDN w:val="0"/>
        <w:adjustRightInd w:val="0"/>
        <w:rPr>
          <w:rFonts w:cs="Times New Roman"/>
          <w:szCs w:val="24"/>
        </w:rPr>
      </w:pPr>
    </w:p>
    <w:p w14:paraId="28D36876" w14:textId="168A5E5A" w:rsidR="002B1D90" w:rsidRPr="002B283E" w:rsidRDefault="006A4CD7" w:rsidP="002B283E">
      <w:pPr>
        <w:rPr>
          <w:rFonts w:cs="Times New Roman"/>
          <w:szCs w:val="24"/>
        </w:rPr>
      </w:pPr>
      <w:r w:rsidRPr="002B283E">
        <w:rPr>
          <w:rFonts w:cs="Times New Roman"/>
          <w:szCs w:val="24"/>
        </w:rPr>
        <w:tab/>
        <w:t xml:space="preserve">Do not use this instruction for interrogatories. The effect of requests for admission is not the same as the introduction of evidence through interrogatories. </w:t>
      </w:r>
      <w:r w:rsidRPr="002B283E">
        <w:rPr>
          <w:rFonts w:cs="Times New Roman"/>
          <w:i/>
          <w:iCs/>
          <w:szCs w:val="24"/>
        </w:rPr>
        <w:t xml:space="preserve">See </w:t>
      </w:r>
      <w:r w:rsidRPr="002B283E">
        <w:rPr>
          <w:rFonts w:cs="Times New Roman"/>
          <w:szCs w:val="24"/>
        </w:rPr>
        <w:t>Instruction 2.1</w:t>
      </w:r>
      <w:r w:rsidR="00DF7B47">
        <w:rPr>
          <w:rFonts w:cs="Times New Roman"/>
          <w:szCs w:val="24"/>
        </w:rPr>
        <w:t>2</w:t>
      </w:r>
      <w:r w:rsidRPr="002B283E">
        <w:rPr>
          <w:rFonts w:cs="Times New Roman"/>
          <w:szCs w:val="24"/>
        </w:rPr>
        <w:t xml:space="preserve"> (Use of Interrogatories).</w:t>
      </w:r>
    </w:p>
    <w:p w14:paraId="515B3894" w14:textId="77777777" w:rsidR="006A4CD7" w:rsidRPr="002B283E" w:rsidRDefault="006A4CD7" w:rsidP="002B283E">
      <w:pPr>
        <w:rPr>
          <w:rFonts w:cs="Times New Roman"/>
          <w:szCs w:val="24"/>
        </w:rPr>
      </w:pPr>
    </w:p>
    <w:p w14:paraId="33966B12" w14:textId="77777777" w:rsidR="006A4CD7" w:rsidRPr="002B283E" w:rsidRDefault="006A4CD7" w:rsidP="002B283E">
      <w:pPr>
        <w:rPr>
          <w:rFonts w:cs="Times New Roman"/>
          <w:szCs w:val="24"/>
        </w:rPr>
      </w:pPr>
    </w:p>
    <w:p w14:paraId="2C965B32" w14:textId="59BF0181" w:rsidR="006A4CD7" w:rsidRPr="002B283E" w:rsidRDefault="006A4CD7" w:rsidP="002B283E">
      <w:pPr>
        <w:pStyle w:val="Heading2"/>
      </w:pPr>
      <w:r w:rsidRPr="002B283E">
        <w:br w:type="page"/>
      </w:r>
      <w:bookmarkStart w:id="45" w:name="_Toc221525096"/>
      <w:r w:rsidRPr="002B283E">
        <w:lastRenderedPageBreak/>
        <w:t>2.1</w:t>
      </w:r>
      <w:r w:rsidR="00C65A66">
        <w:t>4</w:t>
      </w:r>
      <w:r w:rsidRPr="002B283E">
        <w:t xml:space="preserve"> </w:t>
      </w:r>
      <w:r w:rsidR="00DD7898" w:rsidRPr="002B283E">
        <w:t>[Expert] Opinion Testimony</w:t>
      </w:r>
      <w:bookmarkEnd w:id="45"/>
    </w:p>
    <w:p w14:paraId="1F3555D9" w14:textId="77777777" w:rsidR="006A4CD7" w:rsidRPr="002B283E" w:rsidRDefault="006A4CD7" w:rsidP="002B283E">
      <w:pPr>
        <w:autoSpaceDE w:val="0"/>
        <w:autoSpaceDN w:val="0"/>
        <w:adjustRightInd w:val="0"/>
        <w:rPr>
          <w:rFonts w:cs="Times New Roman"/>
          <w:szCs w:val="24"/>
        </w:rPr>
      </w:pPr>
    </w:p>
    <w:p w14:paraId="5E675D27" w14:textId="473CD6B2" w:rsidR="00904FB0" w:rsidRPr="002B283E" w:rsidRDefault="00904FB0" w:rsidP="002B283E">
      <w:pPr>
        <w:pStyle w:val="BodyText"/>
        <w:ind w:left="100" w:right="265" w:firstLine="720"/>
        <w:jc w:val="both"/>
      </w:pPr>
      <w:r w:rsidRPr="002B283E">
        <w:t>You</w:t>
      </w:r>
      <w:r w:rsidRPr="002B283E">
        <w:rPr>
          <w:spacing w:val="-5"/>
        </w:rPr>
        <w:t xml:space="preserve"> </w:t>
      </w:r>
      <w:r w:rsidRPr="002B283E">
        <w:t>[have</w:t>
      </w:r>
      <w:r w:rsidRPr="002B283E">
        <w:rPr>
          <w:spacing w:val="-6"/>
        </w:rPr>
        <w:t xml:space="preserve"> </w:t>
      </w:r>
      <w:r w:rsidRPr="002B283E">
        <w:t>heard]</w:t>
      </w:r>
      <w:r w:rsidRPr="002B283E">
        <w:rPr>
          <w:spacing w:val="-6"/>
        </w:rPr>
        <w:t xml:space="preserve"> </w:t>
      </w:r>
      <w:r w:rsidRPr="002B283E">
        <w:t>[are</w:t>
      </w:r>
      <w:r w:rsidRPr="002B283E">
        <w:rPr>
          <w:spacing w:val="-6"/>
        </w:rPr>
        <w:t xml:space="preserve"> </w:t>
      </w:r>
      <w:r w:rsidRPr="002B283E">
        <w:t>about</w:t>
      </w:r>
      <w:r w:rsidRPr="002B283E">
        <w:rPr>
          <w:spacing w:val="-5"/>
        </w:rPr>
        <w:t xml:space="preserve"> </w:t>
      </w:r>
      <w:r w:rsidRPr="002B283E">
        <w:t>to</w:t>
      </w:r>
      <w:r w:rsidRPr="002B283E">
        <w:rPr>
          <w:spacing w:val="-5"/>
        </w:rPr>
        <w:t xml:space="preserve"> </w:t>
      </w:r>
      <w:r w:rsidRPr="002B283E">
        <w:t>hear]</w:t>
      </w:r>
      <w:r w:rsidRPr="002B283E">
        <w:rPr>
          <w:spacing w:val="-6"/>
        </w:rPr>
        <w:t xml:space="preserve"> </w:t>
      </w:r>
      <w:r w:rsidRPr="002B283E">
        <w:t>testimony</w:t>
      </w:r>
      <w:r w:rsidRPr="002B283E">
        <w:rPr>
          <w:spacing w:val="-5"/>
        </w:rPr>
        <w:t xml:space="preserve"> </w:t>
      </w:r>
      <w:r w:rsidRPr="002B283E">
        <w:t>from</w:t>
      </w:r>
      <w:r w:rsidRPr="002B283E">
        <w:rPr>
          <w:spacing w:val="-5"/>
        </w:rPr>
        <w:t xml:space="preserve"> </w:t>
      </w:r>
      <w:r w:rsidRPr="002B283E">
        <w:t>[</w:t>
      </w:r>
      <w:r w:rsidRPr="002B283E">
        <w:rPr>
          <w:i/>
          <w:u w:val="single"/>
        </w:rPr>
        <w:t>name</w:t>
      </w:r>
      <w:r w:rsidRPr="002B283E">
        <w:t>]</w:t>
      </w:r>
      <w:r w:rsidRPr="002B283E">
        <w:rPr>
          <w:spacing w:val="-6"/>
        </w:rPr>
        <w:t xml:space="preserve"> </w:t>
      </w:r>
      <w:r w:rsidRPr="002B283E">
        <w:t>who</w:t>
      </w:r>
      <w:r w:rsidRPr="002B283E">
        <w:rPr>
          <w:spacing w:val="-3"/>
        </w:rPr>
        <w:t xml:space="preserve"> </w:t>
      </w:r>
      <w:r w:rsidRPr="002B283E">
        <w:t>[testified]</w:t>
      </w:r>
      <w:r w:rsidRPr="002B283E">
        <w:rPr>
          <w:spacing w:val="-4"/>
        </w:rPr>
        <w:t xml:space="preserve"> </w:t>
      </w:r>
      <w:r w:rsidRPr="002B283E">
        <w:t>[will</w:t>
      </w:r>
      <w:r w:rsidRPr="002B283E">
        <w:rPr>
          <w:spacing w:val="-5"/>
        </w:rPr>
        <w:t xml:space="preserve"> </w:t>
      </w:r>
      <w:r w:rsidRPr="002B283E">
        <w:t>testify] about</w:t>
      </w:r>
      <w:r w:rsidRPr="002B283E">
        <w:rPr>
          <w:spacing w:val="-1"/>
        </w:rPr>
        <w:t xml:space="preserve"> </w:t>
      </w:r>
      <w:r w:rsidRPr="002B283E">
        <w:t>[his]</w:t>
      </w:r>
      <w:r w:rsidRPr="002B283E">
        <w:rPr>
          <w:spacing w:val="-2"/>
        </w:rPr>
        <w:t xml:space="preserve"> </w:t>
      </w:r>
      <w:r w:rsidRPr="002B283E">
        <w:t>[her]</w:t>
      </w:r>
      <w:r w:rsidR="001B5F75">
        <w:t xml:space="preserve"> </w:t>
      </w:r>
      <w:r w:rsidR="007A0652" w:rsidRPr="002B283E">
        <w:t>[</w:t>
      </w:r>
      <w:r w:rsidR="007A0652" w:rsidRPr="002B283E">
        <w:rPr>
          <w:i/>
          <w:iCs/>
          <w:u w:val="single"/>
        </w:rPr>
        <w:t>other</w:t>
      </w:r>
      <w:r w:rsidR="005B44DC">
        <w:rPr>
          <w:i/>
          <w:iCs/>
          <w:u w:val="single"/>
        </w:rPr>
        <w:t xml:space="preserve"> </w:t>
      </w:r>
      <w:r w:rsidR="007A0652" w:rsidRPr="002B283E">
        <w:rPr>
          <w:i/>
          <w:iCs/>
          <w:u w:val="single"/>
        </w:rPr>
        <w:t>pronoun</w:t>
      </w:r>
      <w:r w:rsidR="007A0652" w:rsidRPr="002B283E">
        <w:t>]</w:t>
      </w:r>
      <w:r w:rsidR="007A0652">
        <w:t xml:space="preserve"> </w:t>
      </w:r>
      <w:r w:rsidRPr="002B283E">
        <w:t>opinions</w:t>
      </w:r>
      <w:r w:rsidRPr="002B283E">
        <w:rPr>
          <w:spacing w:val="-1"/>
        </w:rPr>
        <w:t xml:space="preserve"> </w:t>
      </w:r>
      <w:r w:rsidRPr="002B283E">
        <w:t>and</w:t>
      </w:r>
      <w:r w:rsidRPr="002B283E">
        <w:rPr>
          <w:spacing w:val="-1"/>
        </w:rPr>
        <w:t xml:space="preserve"> </w:t>
      </w:r>
      <w:r w:rsidRPr="002B283E">
        <w:t>the</w:t>
      </w:r>
      <w:r w:rsidRPr="002B283E">
        <w:rPr>
          <w:spacing w:val="-2"/>
        </w:rPr>
        <w:t xml:space="preserve"> </w:t>
      </w:r>
      <w:r w:rsidRPr="002B283E">
        <w:t>reasons</w:t>
      </w:r>
      <w:r w:rsidRPr="002B283E">
        <w:rPr>
          <w:spacing w:val="-1"/>
        </w:rPr>
        <w:t xml:space="preserve"> </w:t>
      </w:r>
      <w:r w:rsidRPr="002B283E">
        <w:t>for</w:t>
      </w:r>
      <w:r w:rsidRPr="002B283E">
        <w:rPr>
          <w:spacing w:val="-2"/>
        </w:rPr>
        <w:t xml:space="preserve"> </w:t>
      </w:r>
      <w:r w:rsidRPr="002B283E">
        <w:t>those opinions.</w:t>
      </w:r>
      <w:r w:rsidRPr="002B283E">
        <w:rPr>
          <w:spacing w:val="-6"/>
        </w:rPr>
        <w:t xml:space="preserve"> </w:t>
      </w:r>
      <w:r w:rsidRPr="002B283E">
        <w:t>This</w:t>
      </w:r>
      <w:r w:rsidRPr="002B283E">
        <w:rPr>
          <w:spacing w:val="-1"/>
        </w:rPr>
        <w:t xml:space="preserve"> </w:t>
      </w:r>
      <w:r w:rsidRPr="002B283E">
        <w:t>opinion</w:t>
      </w:r>
      <w:r w:rsidRPr="002B283E">
        <w:rPr>
          <w:spacing w:val="-1"/>
        </w:rPr>
        <w:t xml:space="preserve"> </w:t>
      </w:r>
      <w:r w:rsidRPr="002B283E">
        <w:t>testimony</w:t>
      </w:r>
      <w:r w:rsidRPr="002B283E">
        <w:rPr>
          <w:spacing w:val="-1"/>
        </w:rPr>
        <w:t xml:space="preserve"> </w:t>
      </w:r>
      <w:r w:rsidRPr="002B283E">
        <w:t>is</w:t>
      </w:r>
      <w:r w:rsidRPr="002B283E">
        <w:rPr>
          <w:spacing w:val="-1"/>
        </w:rPr>
        <w:t xml:space="preserve"> </w:t>
      </w:r>
      <w:r w:rsidRPr="002B283E">
        <w:t>allowed, because of the specialized knowledge, skill, experience, training, or education of this witness.</w:t>
      </w:r>
    </w:p>
    <w:p w14:paraId="3E6D868C" w14:textId="77777777" w:rsidR="00904FB0" w:rsidRPr="002B283E" w:rsidRDefault="00904FB0" w:rsidP="002B283E">
      <w:pPr>
        <w:pStyle w:val="BodyText"/>
      </w:pPr>
    </w:p>
    <w:p w14:paraId="0ACF797C" w14:textId="77777777" w:rsidR="00904FB0" w:rsidRPr="002B283E" w:rsidRDefault="00904FB0" w:rsidP="002B283E">
      <w:pPr>
        <w:pStyle w:val="BodyText"/>
        <w:ind w:left="100" w:firstLine="720"/>
      </w:pPr>
      <w:r w:rsidRPr="002B283E">
        <w:t>Such opinion testimony should be judged like any other testimony.</w:t>
      </w:r>
      <w:r w:rsidRPr="002B283E">
        <w:rPr>
          <w:spacing w:val="-5"/>
        </w:rPr>
        <w:t xml:space="preserve"> </w:t>
      </w:r>
      <w:r w:rsidRPr="002B283E">
        <w:t>You may accept it or reject</w:t>
      </w:r>
      <w:r w:rsidRPr="002B283E">
        <w:rPr>
          <w:spacing w:val="-4"/>
        </w:rPr>
        <w:t xml:space="preserve"> </w:t>
      </w:r>
      <w:r w:rsidRPr="002B283E">
        <w:t>it</w:t>
      </w:r>
      <w:r w:rsidRPr="002B283E">
        <w:rPr>
          <w:spacing w:val="-4"/>
        </w:rPr>
        <w:t xml:space="preserve"> </w:t>
      </w:r>
      <w:r w:rsidRPr="002B283E">
        <w:t>and</w:t>
      </w:r>
      <w:r w:rsidRPr="002B283E">
        <w:rPr>
          <w:spacing w:val="-4"/>
        </w:rPr>
        <w:t xml:space="preserve"> </w:t>
      </w:r>
      <w:r w:rsidRPr="002B283E">
        <w:t>give</w:t>
      </w:r>
      <w:r w:rsidRPr="002B283E">
        <w:rPr>
          <w:spacing w:val="-5"/>
        </w:rPr>
        <w:t xml:space="preserve"> </w:t>
      </w:r>
      <w:r w:rsidRPr="002B283E">
        <w:t>it</w:t>
      </w:r>
      <w:r w:rsidRPr="002B283E">
        <w:rPr>
          <w:spacing w:val="-4"/>
        </w:rPr>
        <w:t xml:space="preserve"> </w:t>
      </w:r>
      <w:r w:rsidRPr="002B283E">
        <w:t>as</w:t>
      </w:r>
      <w:r w:rsidRPr="002B283E">
        <w:rPr>
          <w:spacing w:val="-4"/>
        </w:rPr>
        <w:t xml:space="preserve"> </w:t>
      </w:r>
      <w:r w:rsidRPr="002B283E">
        <w:t>much</w:t>
      </w:r>
      <w:r w:rsidRPr="002B283E">
        <w:rPr>
          <w:spacing w:val="-4"/>
        </w:rPr>
        <w:t xml:space="preserve"> </w:t>
      </w:r>
      <w:r w:rsidRPr="002B283E">
        <w:t>weight</w:t>
      </w:r>
      <w:r w:rsidRPr="002B283E">
        <w:rPr>
          <w:spacing w:val="-4"/>
        </w:rPr>
        <w:t xml:space="preserve"> </w:t>
      </w:r>
      <w:r w:rsidRPr="002B283E">
        <w:t>as</w:t>
      </w:r>
      <w:r w:rsidRPr="002B283E">
        <w:rPr>
          <w:spacing w:val="-4"/>
        </w:rPr>
        <w:t xml:space="preserve"> </w:t>
      </w:r>
      <w:r w:rsidRPr="002B283E">
        <w:t>you</w:t>
      </w:r>
      <w:r w:rsidRPr="002B283E">
        <w:rPr>
          <w:spacing w:val="-4"/>
        </w:rPr>
        <w:t xml:space="preserve"> </w:t>
      </w:r>
      <w:r w:rsidRPr="002B283E">
        <w:t>think</w:t>
      </w:r>
      <w:r w:rsidRPr="002B283E">
        <w:rPr>
          <w:spacing w:val="-4"/>
        </w:rPr>
        <w:t xml:space="preserve"> </w:t>
      </w:r>
      <w:r w:rsidRPr="002B283E">
        <w:t>it</w:t>
      </w:r>
      <w:r w:rsidRPr="002B283E">
        <w:rPr>
          <w:spacing w:val="-4"/>
        </w:rPr>
        <w:t xml:space="preserve"> </w:t>
      </w:r>
      <w:r w:rsidRPr="002B283E">
        <w:t>deserves,</w:t>
      </w:r>
      <w:r w:rsidRPr="002B283E">
        <w:rPr>
          <w:spacing w:val="-2"/>
        </w:rPr>
        <w:t xml:space="preserve"> </w:t>
      </w:r>
      <w:r w:rsidRPr="002B283E">
        <w:t>considering</w:t>
      </w:r>
      <w:r w:rsidRPr="002B283E">
        <w:rPr>
          <w:spacing w:val="-4"/>
        </w:rPr>
        <w:t xml:space="preserve"> </w:t>
      </w:r>
      <w:r w:rsidRPr="002B283E">
        <w:t>the</w:t>
      </w:r>
      <w:r w:rsidRPr="002B283E">
        <w:rPr>
          <w:spacing w:val="-3"/>
        </w:rPr>
        <w:t xml:space="preserve"> </w:t>
      </w:r>
      <w:r w:rsidRPr="002B283E">
        <w:t>witness’s</w:t>
      </w:r>
      <w:r w:rsidRPr="002B283E">
        <w:rPr>
          <w:spacing w:val="-4"/>
        </w:rPr>
        <w:t xml:space="preserve"> </w:t>
      </w:r>
      <w:r w:rsidRPr="002B283E">
        <w:t>specialized knowledge,</w:t>
      </w:r>
      <w:r w:rsidRPr="002B283E">
        <w:rPr>
          <w:spacing w:val="-2"/>
        </w:rPr>
        <w:t xml:space="preserve"> </w:t>
      </w:r>
      <w:r w:rsidRPr="002B283E">
        <w:t>skill,</w:t>
      </w:r>
      <w:r w:rsidRPr="002B283E">
        <w:rPr>
          <w:spacing w:val="-2"/>
        </w:rPr>
        <w:t xml:space="preserve"> </w:t>
      </w:r>
      <w:r w:rsidRPr="002B283E">
        <w:t>experience,</w:t>
      </w:r>
      <w:r w:rsidRPr="002B283E">
        <w:rPr>
          <w:spacing w:val="-2"/>
        </w:rPr>
        <w:t xml:space="preserve"> </w:t>
      </w:r>
      <w:r w:rsidRPr="002B283E">
        <w:t>training,</w:t>
      </w:r>
      <w:r w:rsidRPr="002B283E">
        <w:rPr>
          <w:spacing w:val="-2"/>
        </w:rPr>
        <w:t xml:space="preserve"> </w:t>
      </w:r>
      <w:r w:rsidRPr="002B283E">
        <w:t>or</w:t>
      </w:r>
      <w:r w:rsidRPr="002B283E">
        <w:rPr>
          <w:spacing w:val="-1"/>
        </w:rPr>
        <w:t xml:space="preserve"> </w:t>
      </w:r>
      <w:r w:rsidRPr="002B283E">
        <w:t>education,</w:t>
      </w:r>
      <w:r w:rsidRPr="002B283E">
        <w:rPr>
          <w:spacing w:val="-2"/>
        </w:rPr>
        <w:t xml:space="preserve"> </w:t>
      </w:r>
      <w:r w:rsidRPr="002B283E">
        <w:t>the</w:t>
      </w:r>
      <w:r w:rsidRPr="002B283E">
        <w:rPr>
          <w:spacing w:val="-3"/>
        </w:rPr>
        <w:t xml:space="preserve"> </w:t>
      </w:r>
      <w:r w:rsidRPr="002B283E">
        <w:t>reasons</w:t>
      </w:r>
      <w:r w:rsidRPr="002B283E">
        <w:rPr>
          <w:spacing w:val="-2"/>
        </w:rPr>
        <w:t xml:space="preserve"> </w:t>
      </w:r>
      <w:r w:rsidRPr="002B283E">
        <w:t>given for</w:t>
      </w:r>
      <w:r w:rsidRPr="002B283E">
        <w:rPr>
          <w:spacing w:val="-3"/>
        </w:rPr>
        <w:t xml:space="preserve"> </w:t>
      </w:r>
      <w:r w:rsidRPr="002B283E">
        <w:t>the</w:t>
      </w:r>
      <w:r w:rsidRPr="002B283E">
        <w:rPr>
          <w:spacing w:val="-3"/>
        </w:rPr>
        <w:t xml:space="preserve"> </w:t>
      </w:r>
      <w:r w:rsidRPr="002B283E">
        <w:t>opinion,</w:t>
      </w:r>
      <w:r w:rsidRPr="002B283E">
        <w:rPr>
          <w:spacing w:val="-2"/>
        </w:rPr>
        <w:t xml:space="preserve"> </w:t>
      </w:r>
      <w:r w:rsidRPr="002B283E">
        <w:t>and</w:t>
      </w:r>
      <w:r w:rsidRPr="002B283E">
        <w:rPr>
          <w:spacing w:val="-2"/>
        </w:rPr>
        <w:t xml:space="preserve"> </w:t>
      </w:r>
      <w:r w:rsidRPr="002B283E">
        <w:t>all</w:t>
      </w:r>
      <w:r w:rsidRPr="002B283E">
        <w:rPr>
          <w:spacing w:val="-2"/>
        </w:rPr>
        <w:t xml:space="preserve"> </w:t>
      </w:r>
      <w:r w:rsidRPr="002B283E">
        <w:t>the other evidence in the case.</w:t>
      </w:r>
    </w:p>
    <w:p w14:paraId="54744E9B" w14:textId="77777777" w:rsidR="00904FB0" w:rsidRPr="002B283E" w:rsidRDefault="00904FB0" w:rsidP="002B283E">
      <w:pPr>
        <w:pStyle w:val="BodyText"/>
      </w:pPr>
    </w:p>
    <w:p w14:paraId="0CF871DE" w14:textId="77777777" w:rsidR="00904FB0" w:rsidRPr="002B283E" w:rsidRDefault="00904FB0" w:rsidP="002B283E">
      <w:pPr>
        <w:jc w:val="center"/>
        <w:rPr>
          <w:rFonts w:cs="Times New Roman"/>
          <w:b/>
          <w:bCs/>
          <w:szCs w:val="24"/>
        </w:rPr>
      </w:pPr>
      <w:r w:rsidRPr="002B283E">
        <w:rPr>
          <w:rFonts w:cs="Times New Roman"/>
          <w:b/>
          <w:bCs/>
          <w:szCs w:val="24"/>
        </w:rPr>
        <w:t>Comment</w:t>
      </w:r>
    </w:p>
    <w:p w14:paraId="32351828" w14:textId="77777777" w:rsidR="00904FB0" w:rsidRPr="002B283E" w:rsidRDefault="00904FB0" w:rsidP="002B283E">
      <w:pPr>
        <w:pStyle w:val="BodyText"/>
        <w:rPr>
          <w:b/>
        </w:rPr>
      </w:pPr>
    </w:p>
    <w:p w14:paraId="39EC8D73" w14:textId="77777777" w:rsidR="00904FB0" w:rsidRPr="002B283E" w:rsidRDefault="00904FB0" w:rsidP="002B283E">
      <w:pPr>
        <w:pStyle w:val="BodyText"/>
        <w:ind w:left="820"/>
      </w:pPr>
      <w:r w:rsidRPr="002B283E">
        <w:rPr>
          <w:i/>
        </w:rPr>
        <w:t>See</w:t>
      </w:r>
      <w:r w:rsidRPr="002B283E">
        <w:rPr>
          <w:i/>
          <w:spacing w:val="-4"/>
        </w:rPr>
        <w:t xml:space="preserve"> </w:t>
      </w:r>
      <w:r w:rsidRPr="002B283E">
        <w:t>Fed.</w:t>
      </w:r>
      <w:r w:rsidRPr="002B283E">
        <w:rPr>
          <w:spacing w:val="-1"/>
        </w:rPr>
        <w:t xml:space="preserve"> </w:t>
      </w:r>
      <w:r w:rsidRPr="002B283E">
        <w:t>R.</w:t>
      </w:r>
      <w:r w:rsidRPr="002B283E">
        <w:rPr>
          <w:spacing w:val="-1"/>
        </w:rPr>
        <w:t xml:space="preserve"> </w:t>
      </w:r>
      <w:r w:rsidRPr="002B283E">
        <w:t>Evid.</w:t>
      </w:r>
      <w:r w:rsidRPr="002B283E">
        <w:rPr>
          <w:spacing w:val="-1"/>
        </w:rPr>
        <w:t xml:space="preserve"> </w:t>
      </w:r>
      <w:r w:rsidRPr="002B283E">
        <w:t>702-</w:t>
      </w:r>
      <w:r w:rsidRPr="002B283E">
        <w:rPr>
          <w:spacing w:val="-5"/>
        </w:rPr>
        <w:t>05.</w:t>
      </w:r>
    </w:p>
    <w:p w14:paraId="42FB433A" w14:textId="77777777" w:rsidR="00904FB0" w:rsidRPr="002B283E" w:rsidRDefault="00904FB0" w:rsidP="002B283E">
      <w:pPr>
        <w:pStyle w:val="BodyText"/>
      </w:pPr>
    </w:p>
    <w:p w14:paraId="3C4EE8BA" w14:textId="2F07D163" w:rsidR="00904FB0" w:rsidRPr="002B283E" w:rsidRDefault="00904FB0" w:rsidP="002B283E">
      <w:pPr>
        <w:pStyle w:val="BodyText"/>
        <w:ind w:left="100" w:right="162" w:firstLine="720"/>
      </w:pPr>
      <w:r w:rsidRPr="002B283E">
        <w:t>According</w:t>
      </w:r>
      <w:r w:rsidRPr="002B283E">
        <w:rPr>
          <w:spacing w:val="-5"/>
        </w:rPr>
        <w:t xml:space="preserve"> </w:t>
      </w:r>
      <w:r w:rsidRPr="002B283E">
        <w:t>to</w:t>
      </w:r>
      <w:r w:rsidRPr="002B283E">
        <w:rPr>
          <w:spacing w:val="-5"/>
        </w:rPr>
        <w:t xml:space="preserve"> </w:t>
      </w:r>
      <w:r w:rsidRPr="002B283E">
        <w:t>Federal Rule of Evidence 702, “the expert’s scientific, technical, or other specialized knowledge will help the trier of fact to understand the evidence or to determine a fact in issue.” Fed R. Evid. 702(a). An expert’s general qualifications alone do not satisfy Federal Rule of Evidence 702, which</w:t>
      </w:r>
      <w:r w:rsidRPr="002B283E">
        <w:rPr>
          <w:spacing w:val="-3"/>
        </w:rPr>
        <w:t xml:space="preserve"> </w:t>
      </w:r>
      <w:r w:rsidRPr="002B283E">
        <w:t>governs</w:t>
      </w:r>
      <w:r w:rsidRPr="002B283E">
        <w:rPr>
          <w:spacing w:val="-3"/>
        </w:rPr>
        <w:t xml:space="preserve"> </w:t>
      </w:r>
      <w:r w:rsidRPr="002B283E">
        <w:t>the</w:t>
      </w:r>
      <w:r w:rsidRPr="002B283E">
        <w:rPr>
          <w:spacing w:val="-2"/>
        </w:rPr>
        <w:t xml:space="preserve"> </w:t>
      </w:r>
      <w:r w:rsidRPr="002B283E">
        <w:t>admissibility</w:t>
      </w:r>
      <w:r w:rsidRPr="002B283E">
        <w:rPr>
          <w:spacing w:val="-3"/>
        </w:rPr>
        <w:t xml:space="preserve"> </w:t>
      </w:r>
      <w:r w:rsidRPr="002B283E">
        <w:t>of</w:t>
      </w:r>
      <w:r w:rsidRPr="002B283E">
        <w:rPr>
          <w:spacing w:val="-4"/>
        </w:rPr>
        <w:t xml:space="preserve"> </w:t>
      </w:r>
      <w:r w:rsidRPr="002B283E">
        <w:t>expert</w:t>
      </w:r>
      <w:r w:rsidRPr="002B283E">
        <w:rPr>
          <w:spacing w:val="-3"/>
        </w:rPr>
        <w:t xml:space="preserve"> </w:t>
      </w:r>
      <w:r w:rsidRPr="002B283E">
        <w:t>opinion.</w:t>
      </w:r>
      <w:r w:rsidRPr="002B283E">
        <w:rPr>
          <w:spacing w:val="-3"/>
        </w:rPr>
        <w:t xml:space="preserve"> </w:t>
      </w:r>
      <w:r w:rsidRPr="002B283E">
        <w:rPr>
          <w:i/>
        </w:rPr>
        <w:t>S</w:t>
      </w:r>
      <w:r w:rsidR="00A15A8F">
        <w:rPr>
          <w:i/>
        </w:rPr>
        <w:t>ee, e.g.</w:t>
      </w:r>
      <w:r w:rsidR="00A15A8F" w:rsidRPr="00A15A8F">
        <w:rPr>
          <w:iCs/>
        </w:rPr>
        <w:t xml:space="preserve">, </w:t>
      </w:r>
      <w:r w:rsidRPr="002B283E">
        <w:rPr>
          <w:i/>
        </w:rPr>
        <w:t>United</w:t>
      </w:r>
      <w:r w:rsidRPr="002B283E">
        <w:rPr>
          <w:i/>
          <w:spacing w:val="-3"/>
        </w:rPr>
        <w:t xml:space="preserve"> </w:t>
      </w:r>
      <w:r w:rsidRPr="002B283E">
        <w:rPr>
          <w:i/>
        </w:rPr>
        <w:t>States</w:t>
      </w:r>
      <w:r w:rsidRPr="002B283E">
        <w:rPr>
          <w:i/>
          <w:spacing w:val="-1"/>
        </w:rPr>
        <w:t xml:space="preserve"> </w:t>
      </w:r>
      <w:r w:rsidRPr="002B283E">
        <w:rPr>
          <w:i/>
        </w:rPr>
        <w:t>v.</w:t>
      </w:r>
      <w:r w:rsidRPr="002B283E">
        <w:rPr>
          <w:i/>
          <w:spacing w:val="-3"/>
        </w:rPr>
        <w:t xml:space="preserve"> </w:t>
      </w:r>
      <w:r w:rsidRPr="002B283E">
        <w:rPr>
          <w:i/>
        </w:rPr>
        <w:t>Rodriguez</w:t>
      </w:r>
      <w:r w:rsidRPr="002B283E">
        <w:t>,</w:t>
      </w:r>
      <w:r w:rsidRPr="002B283E">
        <w:rPr>
          <w:spacing w:val="-3"/>
        </w:rPr>
        <w:t xml:space="preserve"> </w:t>
      </w:r>
      <w:r w:rsidRPr="002B283E">
        <w:t>971</w:t>
      </w:r>
      <w:r w:rsidRPr="002B283E">
        <w:rPr>
          <w:spacing w:val="-3"/>
        </w:rPr>
        <w:t xml:space="preserve"> </w:t>
      </w:r>
      <w:r w:rsidRPr="002B283E">
        <w:t>F.3d 1005, 1018 (9th Cir. 2020). Instead, district courts must ensure an expert’s methods of forming her</w:t>
      </w:r>
      <w:r w:rsidRPr="002B283E">
        <w:rPr>
          <w:spacing w:val="-4"/>
        </w:rPr>
        <w:t xml:space="preserve"> </w:t>
      </w:r>
      <w:r w:rsidRPr="002B283E">
        <w:t>opinions</w:t>
      </w:r>
      <w:r w:rsidRPr="002B283E">
        <w:rPr>
          <w:spacing w:val="-3"/>
        </w:rPr>
        <w:t xml:space="preserve"> </w:t>
      </w:r>
      <w:r w:rsidRPr="002B283E">
        <w:t>“are</w:t>
      </w:r>
      <w:r w:rsidRPr="002B283E">
        <w:rPr>
          <w:spacing w:val="-4"/>
        </w:rPr>
        <w:t xml:space="preserve"> </w:t>
      </w:r>
      <w:r w:rsidRPr="002B283E">
        <w:t>both</w:t>
      </w:r>
      <w:r w:rsidRPr="002B283E">
        <w:rPr>
          <w:spacing w:val="-3"/>
        </w:rPr>
        <w:t xml:space="preserve"> </w:t>
      </w:r>
      <w:r w:rsidRPr="002B283E">
        <w:t>reliable</w:t>
      </w:r>
      <w:r w:rsidRPr="002B283E">
        <w:rPr>
          <w:spacing w:val="-4"/>
        </w:rPr>
        <w:t xml:space="preserve"> </w:t>
      </w:r>
      <w:r w:rsidRPr="002B283E">
        <w:t>and</w:t>
      </w:r>
      <w:r w:rsidRPr="002B283E">
        <w:rPr>
          <w:spacing w:val="-3"/>
        </w:rPr>
        <w:t xml:space="preserve"> </w:t>
      </w:r>
      <w:r w:rsidRPr="002B283E">
        <w:t>adequately</w:t>
      </w:r>
      <w:r w:rsidRPr="002B283E">
        <w:rPr>
          <w:spacing w:val="-3"/>
        </w:rPr>
        <w:t xml:space="preserve"> </w:t>
      </w:r>
      <w:r w:rsidRPr="002B283E">
        <w:t>explained.”</w:t>
      </w:r>
      <w:r w:rsidRPr="002B283E">
        <w:rPr>
          <w:spacing w:val="-4"/>
        </w:rPr>
        <w:t xml:space="preserve"> </w:t>
      </w:r>
      <w:r w:rsidRPr="002B283E">
        <w:rPr>
          <w:i/>
        </w:rPr>
        <w:t>Id</w:t>
      </w:r>
      <w:r w:rsidRPr="002B283E">
        <w:t>.</w:t>
      </w:r>
      <w:r w:rsidRPr="002B283E">
        <w:rPr>
          <w:spacing w:val="-1"/>
        </w:rPr>
        <w:t xml:space="preserve"> </w:t>
      </w:r>
      <w:r w:rsidRPr="002B283E">
        <w:t>(quoting</w:t>
      </w:r>
      <w:r w:rsidRPr="002B283E">
        <w:rPr>
          <w:spacing w:val="-3"/>
        </w:rPr>
        <w:t xml:space="preserve"> </w:t>
      </w:r>
      <w:r w:rsidRPr="002B283E">
        <w:rPr>
          <w:i/>
        </w:rPr>
        <w:t>United</w:t>
      </w:r>
      <w:r w:rsidRPr="002B283E">
        <w:rPr>
          <w:i/>
          <w:spacing w:val="-3"/>
        </w:rPr>
        <w:t xml:space="preserve"> </w:t>
      </w:r>
      <w:r w:rsidRPr="002B283E">
        <w:rPr>
          <w:i/>
        </w:rPr>
        <w:t>States</w:t>
      </w:r>
      <w:r w:rsidRPr="002B283E">
        <w:rPr>
          <w:i/>
          <w:spacing w:val="-3"/>
        </w:rPr>
        <w:t xml:space="preserve"> </w:t>
      </w:r>
      <w:r w:rsidRPr="002B283E">
        <w:rPr>
          <w:i/>
        </w:rPr>
        <w:t>v.</w:t>
      </w:r>
      <w:r w:rsidRPr="002B283E">
        <w:rPr>
          <w:i/>
          <w:spacing w:val="-3"/>
        </w:rPr>
        <w:t xml:space="preserve"> </w:t>
      </w:r>
      <w:r w:rsidRPr="002B283E">
        <w:rPr>
          <w:i/>
        </w:rPr>
        <w:t>Vera</w:t>
      </w:r>
      <w:r w:rsidRPr="002B283E">
        <w:t>,</w:t>
      </w:r>
      <w:r w:rsidRPr="002B283E">
        <w:rPr>
          <w:spacing w:val="-3"/>
        </w:rPr>
        <w:t xml:space="preserve"> </w:t>
      </w:r>
      <w:r w:rsidRPr="002B283E">
        <w:t>770 F.3d 1232, 1241 (9th Cir. 2014)). Under Federal Rule of Evidence 703, an expert’s opinion must be based on facts or data in the case that the expert has been made aware of or personally observed.</w:t>
      </w:r>
      <w:r w:rsidR="004E2859">
        <w:rPr>
          <w:spacing w:val="40"/>
        </w:rPr>
        <w:t xml:space="preserve"> </w:t>
      </w:r>
      <w:r w:rsidRPr="002B283E">
        <w:t>Fed. R. Evid. 703.</w:t>
      </w:r>
      <w:r w:rsidR="004E2859">
        <w:rPr>
          <w:spacing w:val="40"/>
        </w:rPr>
        <w:t xml:space="preserve"> </w:t>
      </w:r>
      <w:r w:rsidRPr="002B283E">
        <w:t>The facts and data need not be admissible so long as experts in the particular field would reasonably rely on such facts and data.</w:t>
      </w:r>
      <w:r w:rsidRPr="002B283E">
        <w:rPr>
          <w:spacing w:val="40"/>
        </w:rPr>
        <w:t xml:space="preserve"> </w:t>
      </w:r>
      <w:r w:rsidRPr="002B283E">
        <w:rPr>
          <w:i/>
        </w:rPr>
        <w:t>Id</w:t>
      </w:r>
      <w:r w:rsidRPr="002B283E">
        <w:t>.</w:t>
      </w:r>
    </w:p>
    <w:p w14:paraId="3A430D8C" w14:textId="77777777" w:rsidR="00904FB0" w:rsidRPr="002B283E" w:rsidRDefault="00904FB0" w:rsidP="002B283E">
      <w:pPr>
        <w:pStyle w:val="BodyText"/>
      </w:pPr>
    </w:p>
    <w:p w14:paraId="396B95DE" w14:textId="3466C793" w:rsidR="00904FB0" w:rsidRPr="002B283E" w:rsidRDefault="00904FB0" w:rsidP="002B283E">
      <w:pPr>
        <w:ind w:left="100" w:right="162" w:firstLine="720"/>
        <w:rPr>
          <w:rFonts w:cs="Times New Roman"/>
          <w:szCs w:val="24"/>
        </w:rPr>
      </w:pPr>
      <w:r w:rsidRPr="002B283E">
        <w:rPr>
          <w:rFonts w:cs="Times New Roman"/>
          <w:szCs w:val="24"/>
        </w:rPr>
        <w:t xml:space="preserve">This instruction avoids labeling the witness as an “expert.” If the court refrains from designating the witness as an “expert,” this will “ensure[] that trial courts do not inadvertently put their stamp of authority” on a witness’s opinion and will protect against the jury’s being “overwhelmed by the so-called ‘experts.’” </w:t>
      </w:r>
      <w:r w:rsidRPr="002B283E">
        <w:rPr>
          <w:rFonts w:cs="Times New Roman"/>
          <w:i/>
          <w:szCs w:val="24"/>
        </w:rPr>
        <w:t xml:space="preserve">See </w:t>
      </w:r>
      <w:r w:rsidR="004628AB">
        <w:rPr>
          <w:rFonts w:cs="Times New Roman"/>
          <w:iCs/>
          <w:szCs w:val="24"/>
        </w:rPr>
        <w:t xml:space="preserve">Advisory Committee Note, </w:t>
      </w:r>
      <w:r w:rsidRPr="002B283E">
        <w:rPr>
          <w:rFonts w:cs="Times New Roman"/>
          <w:szCs w:val="24"/>
        </w:rPr>
        <w:t>Fed. R. Evid. 702 (2000)</w:t>
      </w:r>
      <w:r w:rsidRPr="002B283E">
        <w:rPr>
          <w:rFonts w:cs="Times New Roman"/>
          <w:spacing w:val="-6"/>
          <w:szCs w:val="24"/>
        </w:rPr>
        <w:t xml:space="preserve"> </w:t>
      </w:r>
      <w:r w:rsidRPr="002B283E">
        <w:rPr>
          <w:rFonts w:cs="Times New Roman"/>
          <w:szCs w:val="24"/>
        </w:rPr>
        <w:t>(quoting</w:t>
      </w:r>
      <w:r w:rsidRPr="002B283E">
        <w:rPr>
          <w:rFonts w:cs="Times New Roman"/>
          <w:spacing w:val="-6"/>
          <w:szCs w:val="24"/>
        </w:rPr>
        <w:t xml:space="preserve"> </w:t>
      </w:r>
      <w:r w:rsidRPr="002B283E">
        <w:rPr>
          <w:rFonts w:cs="Times New Roman"/>
          <w:szCs w:val="24"/>
        </w:rPr>
        <w:t>Hon.</w:t>
      </w:r>
      <w:r w:rsidRPr="002B283E">
        <w:rPr>
          <w:rFonts w:cs="Times New Roman"/>
          <w:spacing w:val="-6"/>
          <w:szCs w:val="24"/>
        </w:rPr>
        <w:t xml:space="preserve"> </w:t>
      </w:r>
      <w:r w:rsidRPr="002B283E">
        <w:rPr>
          <w:rFonts w:cs="Times New Roman"/>
          <w:szCs w:val="24"/>
        </w:rPr>
        <w:t>Charles</w:t>
      </w:r>
      <w:r w:rsidRPr="002B283E">
        <w:rPr>
          <w:rFonts w:cs="Times New Roman"/>
          <w:spacing w:val="-6"/>
          <w:szCs w:val="24"/>
        </w:rPr>
        <w:t xml:space="preserve"> </w:t>
      </w:r>
      <w:r w:rsidRPr="002B283E">
        <w:rPr>
          <w:rFonts w:cs="Times New Roman"/>
          <w:szCs w:val="24"/>
        </w:rPr>
        <w:t>Richey,</w:t>
      </w:r>
      <w:r w:rsidRPr="002B283E">
        <w:rPr>
          <w:rFonts w:cs="Times New Roman"/>
          <w:spacing w:val="-6"/>
          <w:szCs w:val="24"/>
        </w:rPr>
        <w:t xml:space="preserve"> </w:t>
      </w:r>
      <w:r w:rsidRPr="002B283E">
        <w:rPr>
          <w:rFonts w:cs="Times New Roman"/>
          <w:i/>
          <w:szCs w:val="24"/>
        </w:rPr>
        <w:t>Proposals</w:t>
      </w:r>
      <w:r w:rsidRPr="002B283E">
        <w:rPr>
          <w:rFonts w:cs="Times New Roman"/>
          <w:i/>
          <w:spacing w:val="-6"/>
          <w:szCs w:val="24"/>
        </w:rPr>
        <w:t xml:space="preserve"> </w:t>
      </w:r>
      <w:r w:rsidRPr="002B283E">
        <w:rPr>
          <w:rFonts w:cs="Times New Roman"/>
          <w:i/>
          <w:szCs w:val="24"/>
        </w:rPr>
        <w:t>to</w:t>
      </w:r>
      <w:r w:rsidRPr="002B283E">
        <w:rPr>
          <w:rFonts w:cs="Times New Roman"/>
          <w:i/>
          <w:spacing w:val="-6"/>
          <w:szCs w:val="24"/>
        </w:rPr>
        <w:t xml:space="preserve"> </w:t>
      </w:r>
      <w:r w:rsidRPr="002B283E">
        <w:rPr>
          <w:rFonts w:cs="Times New Roman"/>
          <w:i/>
          <w:szCs w:val="24"/>
        </w:rPr>
        <w:t>Eliminate</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Prejudicial</w:t>
      </w:r>
      <w:r w:rsidRPr="002B283E">
        <w:rPr>
          <w:rFonts w:cs="Times New Roman"/>
          <w:i/>
          <w:spacing w:val="-6"/>
          <w:szCs w:val="24"/>
        </w:rPr>
        <w:t xml:space="preserve"> </w:t>
      </w:r>
      <w:r w:rsidRPr="002B283E">
        <w:rPr>
          <w:rFonts w:cs="Times New Roman"/>
          <w:i/>
          <w:szCs w:val="24"/>
        </w:rPr>
        <w:t>Effect</w:t>
      </w:r>
      <w:r w:rsidRPr="002B283E">
        <w:rPr>
          <w:rFonts w:cs="Times New Roman"/>
          <w:i/>
          <w:spacing w:val="-6"/>
          <w:szCs w:val="24"/>
        </w:rPr>
        <w:t xml:space="preserve"> </w:t>
      </w:r>
      <w:r w:rsidRPr="002B283E">
        <w:rPr>
          <w:rFonts w:cs="Times New Roman"/>
          <w:i/>
          <w:szCs w:val="24"/>
        </w:rPr>
        <w:t>of</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Use</w:t>
      </w:r>
      <w:r w:rsidRPr="002B283E">
        <w:rPr>
          <w:rFonts w:cs="Times New Roman"/>
          <w:i/>
          <w:spacing w:val="-6"/>
          <w:szCs w:val="24"/>
        </w:rPr>
        <w:t xml:space="preserve"> </w:t>
      </w:r>
      <w:r w:rsidRPr="002B283E">
        <w:rPr>
          <w:rFonts w:cs="Times New Roman"/>
          <w:i/>
          <w:szCs w:val="24"/>
        </w:rPr>
        <w:t>of the Word “Expert” Under the Federal Rules of Evidence in Criminal and Civil Jury Trials</w:t>
      </w:r>
      <w:r w:rsidRPr="002B283E">
        <w:rPr>
          <w:rFonts w:cs="Times New Roman"/>
          <w:szCs w:val="24"/>
        </w:rPr>
        <w:t>, 154</w:t>
      </w:r>
    </w:p>
    <w:p w14:paraId="6F612F9A" w14:textId="77777777" w:rsidR="00904FB0" w:rsidRPr="002B283E" w:rsidRDefault="00904FB0" w:rsidP="002B283E">
      <w:pPr>
        <w:pStyle w:val="BodyText"/>
        <w:ind w:left="100"/>
      </w:pPr>
      <w:r w:rsidRPr="002B283E">
        <w:t>F.R.D.</w:t>
      </w:r>
      <w:r w:rsidRPr="002B283E">
        <w:rPr>
          <w:spacing w:val="-7"/>
        </w:rPr>
        <w:t xml:space="preserve"> </w:t>
      </w:r>
      <w:r w:rsidRPr="002B283E">
        <w:t>537,</w:t>
      </w:r>
      <w:r w:rsidRPr="002B283E">
        <w:rPr>
          <w:spacing w:val="-7"/>
        </w:rPr>
        <w:t xml:space="preserve"> </w:t>
      </w:r>
      <w:r w:rsidRPr="002B283E">
        <w:t>559</w:t>
      </w:r>
      <w:r w:rsidRPr="002B283E">
        <w:rPr>
          <w:spacing w:val="-7"/>
        </w:rPr>
        <w:t xml:space="preserve"> </w:t>
      </w:r>
      <w:r w:rsidRPr="002B283E">
        <w:rPr>
          <w:spacing w:val="-2"/>
        </w:rPr>
        <w:t>(1994).</w:t>
      </w:r>
    </w:p>
    <w:p w14:paraId="7E6C0B7F" w14:textId="77777777" w:rsidR="00904FB0" w:rsidRPr="002B283E" w:rsidRDefault="00904FB0" w:rsidP="002B283E">
      <w:pPr>
        <w:pStyle w:val="BodyText"/>
      </w:pPr>
    </w:p>
    <w:p w14:paraId="1201FE5A" w14:textId="77777777" w:rsidR="00904FB0" w:rsidRPr="002B283E" w:rsidRDefault="00904FB0" w:rsidP="002B283E">
      <w:pPr>
        <w:pStyle w:val="BodyText"/>
        <w:ind w:left="100" w:right="162" w:firstLine="720"/>
      </w:pPr>
      <w:r w:rsidRPr="002B283E">
        <w:t>In addition, Fed. R. Evid. 703 (as amended in 2000) provides that facts or data that are the</w:t>
      </w:r>
      <w:r w:rsidRPr="002B283E">
        <w:rPr>
          <w:spacing w:val="-5"/>
        </w:rPr>
        <w:t xml:space="preserve"> </w:t>
      </w:r>
      <w:r w:rsidRPr="002B283E">
        <w:t>basis</w:t>
      </w:r>
      <w:r w:rsidRPr="002B283E">
        <w:rPr>
          <w:spacing w:val="-4"/>
        </w:rPr>
        <w:t xml:space="preserve"> </w:t>
      </w:r>
      <w:r w:rsidRPr="002B283E">
        <w:t>for</w:t>
      </w:r>
      <w:r w:rsidRPr="002B283E">
        <w:rPr>
          <w:spacing w:val="-5"/>
        </w:rPr>
        <w:t xml:space="preserve"> </w:t>
      </w:r>
      <w:r w:rsidRPr="002B283E">
        <w:t>an</w:t>
      </w:r>
      <w:r w:rsidRPr="002B283E">
        <w:rPr>
          <w:spacing w:val="-2"/>
        </w:rPr>
        <w:t xml:space="preserve"> </w:t>
      </w:r>
      <w:r w:rsidRPr="002B283E">
        <w:t>expert’s</w:t>
      </w:r>
      <w:r w:rsidRPr="002B283E">
        <w:rPr>
          <w:spacing w:val="-2"/>
        </w:rPr>
        <w:t xml:space="preserve"> </w:t>
      </w:r>
      <w:r w:rsidRPr="002B283E">
        <w:t>opinion</w:t>
      </w:r>
      <w:r w:rsidRPr="002B283E">
        <w:rPr>
          <w:spacing w:val="-4"/>
        </w:rPr>
        <w:t xml:space="preserve"> </w:t>
      </w:r>
      <w:r w:rsidRPr="002B283E">
        <w:t>but</w:t>
      </w:r>
      <w:r w:rsidRPr="002B283E">
        <w:rPr>
          <w:spacing w:val="-4"/>
        </w:rPr>
        <w:t xml:space="preserve"> </w:t>
      </w:r>
      <w:r w:rsidRPr="002B283E">
        <w:t>are</w:t>
      </w:r>
      <w:r w:rsidRPr="002B283E">
        <w:rPr>
          <w:spacing w:val="-5"/>
        </w:rPr>
        <w:t xml:space="preserve"> </w:t>
      </w:r>
      <w:r w:rsidRPr="002B283E">
        <w:t>otherwise</w:t>
      </w:r>
      <w:r w:rsidRPr="002B283E">
        <w:rPr>
          <w:spacing w:val="-3"/>
        </w:rPr>
        <w:t xml:space="preserve"> </w:t>
      </w:r>
      <w:r w:rsidRPr="002B283E">
        <w:t>inadmissible</w:t>
      </w:r>
      <w:r w:rsidRPr="002B283E">
        <w:rPr>
          <w:spacing w:val="-5"/>
        </w:rPr>
        <w:t xml:space="preserve"> </w:t>
      </w:r>
      <w:r w:rsidRPr="002B283E">
        <w:t>may</w:t>
      </w:r>
      <w:r w:rsidRPr="002B283E">
        <w:rPr>
          <w:spacing w:val="-4"/>
        </w:rPr>
        <w:t xml:space="preserve"> </w:t>
      </w:r>
      <w:r w:rsidRPr="002B283E">
        <w:t>nonetheless</w:t>
      </w:r>
      <w:r w:rsidRPr="002B283E">
        <w:rPr>
          <w:spacing w:val="-4"/>
        </w:rPr>
        <w:t xml:space="preserve"> </w:t>
      </w:r>
      <w:r w:rsidRPr="002B283E">
        <w:t>be</w:t>
      </w:r>
      <w:r w:rsidRPr="002B283E">
        <w:rPr>
          <w:spacing w:val="-5"/>
        </w:rPr>
        <w:t xml:space="preserve"> </w:t>
      </w:r>
      <w:r w:rsidRPr="002B283E">
        <w:t>disclosed</w:t>
      </w:r>
      <w:r w:rsidRPr="002B283E">
        <w:rPr>
          <w:spacing w:val="-4"/>
        </w:rPr>
        <w:t xml:space="preserve"> </w:t>
      </w:r>
      <w:r w:rsidRPr="002B283E">
        <w:t>to the jury if the court determines that their probative value in assisting the jury to evaluate the expert’s opinion substantially outweighs their prejudicial effect.</w:t>
      </w:r>
    </w:p>
    <w:p w14:paraId="718775DE" w14:textId="77777777" w:rsidR="00904FB0" w:rsidRPr="002B283E" w:rsidRDefault="00904FB0" w:rsidP="002B283E">
      <w:pPr>
        <w:pStyle w:val="BodyText"/>
      </w:pPr>
    </w:p>
    <w:p w14:paraId="74C1C82C" w14:textId="77777777" w:rsidR="00904FB0" w:rsidRPr="002B283E" w:rsidRDefault="00904FB0" w:rsidP="002B283E">
      <w:pPr>
        <w:pStyle w:val="BodyText"/>
        <w:ind w:left="100" w:right="142" w:firstLine="720"/>
        <w:jc w:val="both"/>
      </w:pPr>
      <w:r w:rsidRPr="002B283E">
        <w:t>This instruction is appropriate for a witness who provides only expert opinion testimony. If</w:t>
      </w:r>
      <w:r w:rsidRPr="002B283E">
        <w:rPr>
          <w:spacing w:val="-5"/>
        </w:rPr>
        <w:t xml:space="preserve"> </w:t>
      </w:r>
      <w:r w:rsidRPr="002B283E">
        <w:t>the</w:t>
      </w:r>
      <w:r w:rsidRPr="002B283E">
        <w:rPr>
          <w:spacing w:val="-5"/>
        </w:rPr>
        <w:t xml:space="preserve"> </w:t>
      </w:r>
      <w:r w:rsidRPr="002B283E">
        <w:t>same</w:t>
      </w:r>
      <w:r w:rsidRPr="002B283E">
        <w:rPr>
          <w:spacing w:val="-5"/>
        </w:rPr>
        <w:t xml:space="preserve"> </w:t>
      </w:r>
      <w:r w:rsidRPr="002B283E">
        <w:t>witness</w:t>
      </w:r>
      <w:r w:rsidRPr="002B283E">
        <w:rPr>
          <w:spacing w:val="-4"/>
        </w:rPr>
        <w:t xml:space="preserve"> </w:t>
      </w:r>
      <w:r w:rsidRPr="002B283E">
        <w:t>provides</w:t>
      </w:r>
      <w:r w:rsidRPr="002B283E">
        <w:rPr>
          <w:spacing w:val="-4"/>
        </w:rPr>
        <w:t xml:space="preserve"> </w:t>
      </w:r>
      <w:r w:rsidRPr="002B283E">
        <w:t>expert</w:t>
      </w:r>
      <w:r w:rsidRPr="002B283E">
        <w:rPr>
          <w:spacing w:val="-4"/>
        </w:rPr>
        <w:t xml:space="preserve"> </w:t>
      </w:r>
      <w:r w:rsidRPr="002B283E">
        <w:t>opinion</w:t>
      </w:r>
      <w:r w:rsidRPr="002B283E">
        <w:rPr>
          <w:spacing w:val="-4"/>
        </w:rPr>
        <w:t xml:space="preserve"> </w:t>
      </w:r>
      <w:r w:rsidRPr="002B283E">
        <w:t>testimony</w:t>
      </w:r>
      <w:r w:rsidRPr="002B283E">
        <w:rPr>
          <w:spacing w:val="-4"/>
        </w:rPr>
        <w:t xml:space="preserve"> </w:t>
      </w:r>
      <w:r w:rsidRPr="002B283E">
        <w:t>and</w:t>
      </w:r>
      <w:r w:rsidRPr="002B283E">
        <w:rPr>
          <w:spacing w:val="-4"/>
        </w:rPr>
        <w:t xml:space="preserve"> </w:t>
      </w:r>
      <w:r w:rsidRPr="002B283E">
        <w:t>percipient</w:t>
      </w:r>
      <w:r w:rsidRPr="002B283E">
        <w:rPr>
          <w:spacing w:val="-4"/>
        </w:rPr>
        <w:t xml:space="preserve"> </w:t>
      </w:r>
      <w:r w:rsidRPr="002B283E">
        <w:t>witness</w:t>
      </w:r>
      <w:r w:rsidRPr="002B283E">
        <w:rPr>
          <w:spacing w:val="-4"/>
        </w:rPr>
        <w:t xml:space="preserve"> </w:t>
      </w:r>
      <w:r w:rsidRPr="002B283E">
        <w:t>testimony</w:t>
      </w:r>
      <w:r w:rsidRPr="002B283E">
        <w:rPr>
          <w:spacing w:val="-4"/>
        </w:rPr>
        <w:t xml:space="preserve"> </w:t>
      </w:r>
      <w:r w:rsidRPr="002B283E">
        <w:t>(whether fact testimony, lay opinion testimony, or both), these different roles should be clarified for the</w:t>
      </w:r>
    </w:p>
    <w:p w14:paraId="49292A02" w14:textId="77777777" w:rsidR="00904FB0" w:rsidRPr="002B283E" w:rsidRDefault="00904FB0" w:rsidP="002B283E">
      <w:pPr>
        <w:jc w:val="both"/>
        <w:rPr>
          <w:rFonts w:cs="Times New Roman"/>
          <w:szCs w:val="24"/>
        </w:rPr>
        <w:sectPr w:rsidR="00904FB0" w:rsidRPr="002B283E" w:rsidSect="00904FB0">
          <w:pgSz w:w="12240" w:h="15840"/>
          <w:pgMar w:top="1360" w:right="1340" w:bottom="280" w:left="1340" w:header="720" w:footer="720" w:gutter="0"/>
          <w:cols w:space="720"/>
        </w:sectPr>
      </w:pPr>
    </w:p>
    <w:p w14:paraId="4B3D6977" w14:textId="77777777" w:rsidR="00904FB0" w:rsidRPr="002B283E" w:rsidRDefault="00904FB0" w:rsidP="00B91A93">
      <w:pPr>
        <w:pStyle w:val="BodyText"/>
      </w:pPr>
      <w:r w:rsidRPr="002B283E">
        <w:lastRenderedPageBreak/>
        <w:t>jury,</w:t>
      </w:r>
      <w:r w:rsidRPr="002B283E">
        <w:rPr>
          <w:spacing w:val="-6"/>
        </w:rPr>
        <w:t xml:space="preserve"> </w:t>
      </w:r>
      <w:r w:rsidRPr="002B283E">
        <w:t>even</w:t>
      </w:r>
      <w:r w:rsidRPr="002B283E">
        <w:rPr>
          <w:spacing w:val="-6"/>
        </w:rPr>
        <w:t xml:space="preserve"> </w:t>
      </w:r>
      <w:r w:rsidRPr="002B283E">
        <w:t>in</w:t>
      </w:r>
      <w:r w:rsidRPr="002B283E">
        <w:rPr>
          <w:spacing w:val="-6"/>
        </w:rPr>
        <w:t xml:space="preserve"> </w:t>
      </w:r>
      <w:r w:rsidRPr="002B283E">
        <w:t>a</w:t>
      </w:r>
      <w:r w:rsidRPr="002B283E">
        <w:rPr>
          <w:spacing w:val="-7"/>
        </w:rPr>
        <w:t xml:space="preserve"> </w:t>
      </w:r>
      <w:r w:rsidRPr="002B283E">
        <w:t>civil</w:t>
      </w:r>
      <w:r w:rsidRPr="002B283E">
        <w:rPr>
          <w:spacing w:val="-6"/>
        </w:rPr>
        <w:t xml:space="preserve"> </w:t>
      </w:r>
      <w:r w:rsidRPr="002B283E">
        <w:t>case.</w:t>
      </w:r>
      <w:r w:rsidRPr="002B283E">
        <w:rPr>
          <w:spacing w:val="-4"/>
        </w:rPr>
        <w:t xml:space="preserve"> </w:t>
      </w:r>
      <w:r w:rsidRPr="002B283E">
        <w:t>Model</w:t>
      </w:r>
      <w:r w:rsidRPr="002B283E">
        <w:rPr>
          <w:spacing w:val="-6"/>
        </w:rPr>
        <w:t xml:space="preserve"> </w:t>
      </w:r>
      <w:r w:rsidRPr="002B283E">
        <w:t>Criminal</w:t>
      </w:r>
      <w:r w:rsidRPr="002B283E">
        <w:rPr>
          <w:spacing w:val="-6"/>
        </w:rPr>
        <w:t xml:space="preserve"> </w:t>
      </w:r>
      <w:r w:rsidRPr="002B283E">
        <w:t>Instruction</w:t>
      </w:r>
      <w:r w:rsidRPr="002B283E">
        <w:rPr>
          <w:spacing w:val="-6"/>
        </w:rPr>
        <w:t xml:space="preserve"> </w:t>
      </w:r>
      <w:r w:rsidRPr="002B283E">
        <w:t>3.15</w:t>
      </w:r>
      <w:r w:rsidRPr="002B283E">
        <w:rPr>
          <w:spacing w:val="-6"/>
        </w:rPr>
        <w:t xml:space="preserve"> </w:t>
      </w:r>
      <w:r w:rsidRPr="002B283E">
        <w:t>(Dual</w:t>
      </w:r>
      <w:r w:rsidRPr="002B283E">
        <w:rPr>
          <w:spacing w:val="-6"/>
        </w:rPr>
        <w:t xml:space="preserve"> </w:t>
      </w:r>
      <w:r w:rsidRPr="002B283E">
        <w:t>Role</w:t>
      </w:r>
      <w:r w:rsidRPr="002B283E">
        <w:rPr>
          <w:spacing w:val="-11"/>
        </w:rPr>
        <w:t xml:space="preserve"> </w:t>
      </w:r>
      <w:r w:rsidRPr="002B283E">
        <w:t>Testimony)</w:t>
      </w:r>
      <w:r w:rsidRPr="002B283E">
        <w:rPr>
          <w:spacing w:val="-7"/>
        </w:rPr>
        <w:t xml:space="preserve"> </w:t>
      </w:r>
      <w:r w:rsidRPr="002B283E">
        <w:t xml:space="preserve">provides </w:t>
      </w:r>
      <w:r w:rsidRPr="002B283E">
        <w:rPr>
          <w:spacing w:val="-2"/>
        </w:rPr>
        <w:t>guidance.</w:t>
      </w:r>
    </w:p>
    <w:p w14:paraId="0E03D2CD" w14:textId="77777777" w:rsidR="00904FB0" w:rsidRPr="002B283E" w:rsidRDefault="00904FB0" w:rsidP="00B91A93">
      <w:pPr>
        <w:pStyle w:val="BodyText"/>
      </w:pPr>
    </w:p>
    <w:p w14:paraId="43BAAA69" w14:textId="77777777" w:rsidR="00904FB0" w:rsidRPr="002B283E" w:rsidRDefault="00904FB0" w:rsidP="00B91A93">
      <w:pPr>
        <w:pStyle w:val="BodyText"/>
        <w:ind w:right="143" w:firstLine="720"/>
      </w:pPr>
      <w:r w:rsidRPr="002B283E">
        <w:t xml:space="preserve">In </w:t>
      </w:r>
      <w:r w:rsidRPr="002B283E">
        <w:rPr>
          <w:i/>
        </w:rPr>
        <w:t>BillFloat Inc. v. Collins Cash Inc</w:t>
      </w:r>
      <w:r w:rsidRPr="002B283E">
        <w:t>., 105 F.4th 1269, 1276-77 (9th Cir. 2024), the plaintiff alleged trademark infringement.</w:t>
      </w:r>
      <w:r w:rsidRPr="002B283E">
        <w:rPr>
          <w:spacing w:val="-7"/>
        </w:rPr>
        <w:t xml:space="preserve"> </w:t>
      </w:r>
      <w:r w:rsidRPr="002B283E">
        <w:t>At trial, the plaintiff did not present survey evidence showing consumer confusion but was not required to do so. The defendant, however, called an expert witness who had conducted a survey that purportedly showed an absence of consumer confusion.</w:t>
      </w:r>
      <w:r w:rsidRPr="002B283E">
        <w:rPr>
          <w:spacing w:val="-5"/>
        </w:rPr>
        <w:t xml:space="preserve"> </w:t>
      </w:r>
      <w:r w:rsidRPr="002B283E">
        <w:t>The</w:t>
      </w:r>
      <w:r w:rsidRPr="002B283E">
        <w:rPr>
          <w:spacing w:val="-1"/>
        </w:rPr>
        <w:t xml:space="preserve"> </w:t>
      </w:r>
      <w:r w:rsidRPr="002B283E">
        <w:t>plaintiff also called an expert witness, who simply challenged the</w:t>
      </w:r>
      <w:r w:rsidRPr="002B283E">
        <w:rPr>
          <w:spacing w:val="-1"/>
        </w:rPr>
        <w:t xml:space="preserve"> </w:t>
      </w:r>
      <w:r w:rsidRPr="002B283E">
        <w:t>opinions of</w:t>
      </w:r>
      <w:r w:rsidRPr="002B283E">
        <w:rPr>
          <w:spacing w:val="-1"/>
        </w:rPr>
        <w:t xml:space="preserve"> </w:t>
      </w:r>
      <w:r w:rsidRPr="002B283E">
        <w:t>the defendant’s expert. The Ninth Circuit held that the district court did not abuse its discretion by declining to instruct the jury that it “should not draw any inference about the existence or absence of consumer confusion from the fact that Plaintiff did not also offer market survey evidence,”</w:t>
      </w:r>
      <w:r w:rsidRPr="002B283E">
        <w:rPr>
          <w:spacing w:val="-4"/>
        </w:rPr>
        <w:t xml:space="preserve"> </w:t>
      </w:r>
      <w:r w:rsidRPr="002B283E">
        <w:t>explaining</w:t>
      </w:r>
      <w:r w:rsidRPr="002B283E">
        <w:rPr>
          <w:spacing w:val="-3"/>
        </w:rPr>
        <w:t xml:space="preserve"> </w:t>
      </w:r>
      <w:r w:rsidRPr="002B283E">
        <w:t>that</w:t>
      </w:r>
      <w:r w:rsidRPr="002B283E">
        <w:rPr>
          <w:spacing w:val="-3"/>
        </w:rPr>
        <w:t xml:space="preserve"> </w:t>
      </w:r>
      <w:r w:rsidRPr="002B283E">
        <w:t>a</w:t>
      </w:r>
      <w:r w:rsidRPr="002B283E">
        <w:rPr>
          <w:spacing w:val="-4"/>
        </w:rPr>
        <w:t xml:space="preserve"> </w:t>
      </w:r>
      <w:r w:rsidRPr="002B283E">
        <w:t>jury</w:t>
      </w:r>
      <w:r w:rsidRPr="002B283E">
        <w:rPr>
          <w:spacing w:val="-3"/>
        </w:rPr>
        <w:t xml:space="preserve"> </w:t>
      </w:r>
      <w:r w:rsidRPr="002B283E">
        <w:t>is</w:t>
      </w:r>
      <w:r w:rsidRPr="002B283E">
        <w:rPr>
          <w:spacing w:val="-3"/>
        </w:rPr>
        <w:t xml:space="preserve"> </w:t>
      </w:r>
      <w:r w:rsidRPr="002B283E">
        <w:t>free</w:t>
      </w:r>
      <w:r w:rsidRPr="002B283E">
        <w:rPr>
          <w:spacing w:val="-4"/>
        </w:rPr>
        <w:t xml:space="preserve"> </w:t>
      </w:r>
      <w:r w:rsidRPr="002B283E">
        <w:t>to</w:t>
      </w:r>
      <w:r w:rsidRPr="002B283E">
        <w:rPr>
          <w:spacing w:val="-1"/>
        </w:rPr>
        <w:t xml:space="preserve"> </w:t>
      </w:r>
      <w:r w:rsidRPr="002B283E">
        <w:t>“use</w:t>
      </w:r>
      <w:r w:rsidRPr="002B283E">
        <w:rPr>
          <w:spacing w:val="-4"/>
        </w:rPr>
        <w:t xml:space="preserve"> </w:t>
      </w:r>
      <w:r w:rsidRPr="002B283E">
        <w:t>its</w:t>
      </w:r>
      <w:r w:rsidRPr="002B283E">
        <w:rPr>
          <w:spacing w:val="-3"/>
        </w:rPr>
        <w:t xml:space="preserve"> </w:t>
      </w:r>
      <w:r w:rsidRPr="002B283E">
        <w:t>common</w:t>
      </w:r>
      <w:r w:rsidRPr="002B283E">
        <w:rPr>
          <w:spacing w:val="-3"/>
        </w:rPr>
        <w:t xml:space="preserve"> </w:t>
      </w:r>
      <w:r w:rsidRPr="002B283E">
        <w:t>sense</w:t>
      </w:r>
      <w:r w:rsidRPr="002B283E">
        <w:rPr>
          <w:spacing w:val="-4"/>
        </w:rPr>
        <w:t xml:space="preserve"> </w:t>
      </w:r>
      <w:r w:rsidRPr="002B283E">
        <w:t>and</w:t>
      </w:r>
      <w:r w:rsidRPr="002B283E">
        <w:rPr>
          <w:spacing w:val="-3"/>
        </w:rPr>
        <w:t xml:space="preserve"> </w:t>
      </w:r>
      <w:r w:rsidRPr="002B283E">
        <w:t>experience</w:t>
      </w:r>
      <w:r w:rsidRPr="002B283E">
        <w:rPr>
          <w:spacing w:val="-4"/>
        </w:rPr>
        <w:t xml:space="preserve"> </w:t>
      </w:r>
      <w:r w:rsidRPr="002B283E">
        <w:t>when</w:t>
      </w:r>
      <w:r w:rsidRPr="002B283E">
        <w:rPr>
          <w:spacing w:val="-3"/>
        </w:rPr>
        <w:t xml:space="preserve"> </w:t>
      </w:r>
      <w:r w:rsidRPr="002B283E">
        <w:t>weighing the evidence offered by the parties, including the absence of a survey.”</w:t>
      </w:r>
    </w:p>
    <w:p w14:paraId="7920AFE8" w14:textId="77777777" w:rsidR="00B91A93" w:rsidRPr="00B91A93" w:rsidRDefault="00B91A93" w:rsidP="00B91A93">
      <w:pPr>
        <w:pStyle w:val="BodyText"/>
      </w:pPr>
    </w:p>
    <w:p w14:paraId="76095E00" w14:textId="77777777" w:rsidR="00B91A93" w:rsidRPr="00B91A93" w:rsidRDefault="00B91A93" w:rsidP="00B91A93">
      <w:pPr>
        <w:pStyle w:val="BodyText"/>
        <w:ind w:firstLine="720"/>
      </w:pPr>
      <w:r w:rsidRPr="00B91A93">
        <w:t xml:space="preserve">In </w:t>
      </w:r>
      <w:r w:rsidRPr="00B91A93">
        <w:rPr>
          <w:i/>
          <w:iCs/>
        </w:rPr>
        <w:t>Yonay v. Paramount Pictures, Inc</w:t>
      </w:r>
      <w:r w:rsidRPr="00B91A93">
        <w:t xml:space="preserve">., 163 F.4th 685, 698-99 (9th Cir. 2026), the Ninth Circuit held that the district court did not abuse its discretion in excluding an expert witness who opined on the issue of substantial similarity in a copyright infringement action because the expert failed to differentiate between protected and unprotected elements under copyright law and instead opined that a factual article described facts as being facts “with the feeling of fiction” and that there were no “naked” facts contained within the article.    </w:t>
      </w:r>
    </w:p>
    <w:p w14:paraId="6068169E" w14:textId="77777777" w:rsidR="00B91A93" w:rsidRPr="00B91A93" w:rsidRDefault="00B91A93" w:rsidP="00B91A93">
      <w:pPr>
        <w:pStyle w:val="BodyText"/>
      </w:pPr>
    </w:p>
    <w:p w14:paraId="1438858A" w14:textId="77777777" w:rsidR="00B91A93" w:rsidRPr="00B91A93" w:rsidRDefault="00B91A93" w:rsidP="00B91A93">
      <w:pPr>
        <w:pStyle w:val="BodyText"/>
        <w:jc w:val="right"/>
        <w:rPr>
          <w:i/>
        </w:rPr>
      </w:pPr>
      <w:r w:rsidRPr="00B91A93">
        <w:rPr>
          <w:i/>
        </w:rPr>
        <w:t>Revised March 2026</w:t>
      </w:r>
    </w:p>
    <w:p w14:paraId="6B2850DD" w14:textId="77777777" w:rsidR="00904FB0" w:rsidRPr="002B283E" w:rsidRDefault="00904FB0" w:rsidP="002B283E">
      <w:pPr>
        <w:pStyle w:val="BodyText"/>
      </w:pPr>
    </w:p>
    <w:p w14:paraId="21239101" w14:textId="77777777" w:rsidR="00120380" w:rsidRPr="002B283E" w:rsidRDefault="00120380" w:rsidP="002B283E">
      <w:pPr>
        <w:autoSpaceDE w:val="0"/>
        <w:autoSpaceDN w:val="0"/>
        <w:adjustRightInd w:val="0"/>
        <w:rPr>
          <w:rFonts w:cs="Times New Roman"/>
          <w:szCs w:val="24"/>
        </w:rPr>
      </w:pPr>
    </w:p>
    <w:p w14:paraId="3BE7B6E7" w14:textId="77777777" w:rsidR="00C8117C" w:rsidRPr="002B283E" w:rsidRDefault="00C8117C" w:rsidP="002B283E">
      <w:pPr>
        <w:rPr>
          <w:rFonts w:cs="Times New Roman"/>
          <w:b/>
          <w:bCs/>
          <w:szCs w:val="24"/>
        </w:rPr>
      </w:pPr>
      <w:r w:rsidRPr="002B283E">
        <w:rPr>
          <w:rFonts w:cs="Times New Roman"/>
          <w:b/>
          <w:bCs/>
          <w:szCs w:val="24"/>
        </w:rPr>
        <w:br w:type="page"/>
      </w:r>
    </w:p>
    <w:p w14:paraId="43607FCE" w14:textId="7713820B" w:rsidR="006A4CD7" w:rsidRPr="002B283E" w:rsidRDefault="006A4CD7" w:rsidP="002B283E">
      <w:pPr>
        <w:pStyle w:val="Heading2"/>
      </w:pPr>
      <w:bookmarkStart w:id="46" w:name="_Toc221525097"/>
      <w:r w:rsidRPr="002B283E">
        <w:lastRenderedPageBreak/>
        <w:t>2.1</w:t>
      </w:r>
      <w:r w:rsidR="00C65A66">
        <w:t>5</w:t>
      </w:r>
      <w:r w:rsidRPr="002B283E">
        <w:t xml:space="preserve"> </w:t>
      </w:r>
      <w:r w:rsidR="00F8289E" w:rsidRPr="002B283E">
        <w:t>Charts and Summaries Not Received in Evidence</w:t>
      </w:r>
      <w:bookmarkEnd w:id="46"/>
    </w:p>
    <w:p w14:paraId="6813CB0A" w14:textId="77777777" w:rsidR="00F84FDE" w:rsidRPr="002B283E" w:rsidRDefault="00F84FDE" w:rsidP="002B283E">
      <w:pPr>
        <w:autoSpaceDE w:val="0"/>
        <w:autoSpaceDN w:val="0"/>
        <w:adjustRightInd w:val="0"/>
        <w:rPr>
          <w:rFonts w:cs="Times New Roman"/>
          <w:szCs w:val="24"/>
        </w:rPr>
      </w:pPr>
    </w:p>
    <w:p w14:paraId="5A612A3B" w14:textId="435DFAF3" w:rsidR="006A4CD7" w:rsidRPr="002B283E" w:rsidRDefault="006A4CD7" w:rsidP="002B283E">
      <w:pPr>
        <w:autoSpaceDE w:val="0"/>
        <w:autoSpaceDN w:val="0"/>
        <w:adjustRightInd w:val="0"/>
        <w:rPr>
          <w:rFonts w:cs="Times New Roman"/>
          <w:szCs w:val="24"/>
        </w:rPr>
      </w:pPr>
      <w:r w:rsidRPr="002B283E">
        <w:rPr>
          <w:rFonts w:cs="Times New Roman"/>
          <w:szCs w:val="24"/>
        </w:rPr>
        <w:tab/>
        <w:t>Certain charts and summaries not admitted into evidence [may be] [have been] shown to you to help explain the contents of books, records, documents, or other evidence in the case</w:t>
      </w:r>
      <w:r w:rsidR="00A87F6E">
        <w:rPr>
          <w:rFonts w:cs="Times New Roman"/>
          <w:szCs w:val="24"/>
        </w:rPr>
        <w:t xml:space="preserve">. </w:t>
      </w:r>
      <w:r w:rsidRPr="002B283E">
        <w:rPr>
          <w:rFonts w:cs="Times New Roman"/>
          <w:szCs w:val="24"/>
        </w:rPr>
        <w:t>Charts and summaries are only as good as the underlying evidence that supports them. You should, therefore, give them only such weight as you think the underlying evidence deserves</w:t>
      </w:r>
      <w:r w:rsidR="00A87F6E">
        <w:rPr>
          <w:rFonts w:cs="Times New Roman"/>
          <w:szCs w:val="24"/>
        </w:rPr>
        <w:t xml:space="preserve">. </w:t>
      </w:r>
    </w:p>
    <w:p w14:paraId="5C9DECFA" w14:textId="77777777" w:rsidR="006A4CD7" w:rsidRPr="002B283E" w:rsidRDefault="006A4CD7" w:rsidP="002B283E">
      <w:pPr>
        <w:rPr>
          <w:rFonts w:cs="Times New Roman"/>
          <w:szCs w:val="24"/>
        </w:rPr>
      </w:pPr>
    </w:p>
    <w:p w14:paraId="319920F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927E05" w14:textId="77777777" w:rsidR="006A4CD7" w:rsidRPr="002B283E" w:rsidRDefault="006A4CD7" w:rsidP="002B283E">
      <w:pPr>
        <w:autoSpaceDE w:val="0"/>
        <w:autoSpaceDN w:val="0"/>
        <w:adjustRightInd w:val="0"/>
        <w:rPr>
          <w:rFonts w:cs="Times New Roman"/>
          <w:szCs w:val="24"/>
        </w:rPr>
      </w:pPr>
    </w:p>
    <w:p w14:paraId="40F95AEF" w14:textId="6B346A23" w:rsidR="00C8117C" w:rsidRPr="002B283E" w:rsidRDefault="006A4CD7" w:rsidP="002B283E">
      <w:pPr>
        <w:rPr>
          <w:rFonts w:cs="Times New Roman"/>
          <w:szCs w:val="24"/>
        </w:rPr>
      </w:pPr>
      <w:r w:rsidRPr="002B283E">
        <w:rPr>
          <w:rFonts w:cs="Times New Roman"/>
          <w:szCs w:val="24"/>
        </w:rPr>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2B283E">
        <w:rPr>
          <w:rFonts w:cs="Times New Roman"/>
          <w:i/>
          <w:iCs/>
          <w:szCs w:val="24"/>
        </w:rPr>
        <w:t>See United States v. Wood</w:t>
      </w:r>
      <w:r w:rsidRPr="002B283E">
        <w:rPr>
          <w:rFonts w:cs="Times New Roman"/>
          <w:szCs w:val="24"/>
        </w:rPr>
        <w:t>, 943 F.2d 1048, 1053-54 (9th Cir. 1991)</w:t>
      </w:r>
      <w:r w:rsidRPr="002B283E">
        <w:rPr>
          <w:rFonts w:cs="Times New Roman"/>
          <w:i/>
          <w:iCs/>
          <w:szCs w:val="24"/>
        </w:rPr>
        <w:t xml:space="preserve"> </w:t>
      </w:r>
      <w:r w:rsidRPr="002B283E">
        <w:rPr>
          <w:rFonts w:cs="Times New Roman"/>
          <w:szCs w:val="24"/>
        </w:rPr>
        <w:t xml:space="preserve">(citing </w:t>
      </w:r>
      <w:r w:rsidRPr="002B283E">
        <w:rPr>
          <w:rFonts w:cs="Times New Roman"/>
          <w:i/>
          <w:iCs/>
          <w:szCs w:val="24"/>
        </w:rPr>
        <w:t>United States v. Soulard</w:t>
      </w:r>
      <w:r w:rsidRPr="002B283E">
        <w:rPr>
          <w:rFonts w:cs="Times New Roman"/>
          <w:szCs w:val="24"/>
        </w:rPr>
        <w:t xml:space="preserve">, 730 F.2d 1292, 1300 (9th Cir. 1984)); </w:t>
      </w:r>
      <w:r w:rsidRPr="002B283E">
        <w:rPr>
          <w:rFonts w:cs="Times New Roman"/>
          <w:i/>
          <w:iCs/>
          <w:szCs w:val="24"/>
        </w:rPr>
        <w:t xml:space="preserve">see also </w:t>
      </w:r>
      <w:bookmarkStart w:id="47" w:name="_Hlk211954269"/>
      <w:r w:rsidR="009A0F63">
        <w:rPr>
          <w:rFonts w:cs="Times New Roman"/>
          <w:smallCaps/>
          <w:szCs w:val="24"/>
        </w:rPr>
        <w:t xml:space="preserve">Ninth Circuit Judges’ Trial </w:t>
      </w:r>
      <w:r w:rsidR="009A0F63" w:rsidRPr="00B2200B">
        <w:rPr>
          <w:rFonts w:cs="Times New Roman"/>
          <w:szCs w:val="24"/>
        </w:rPr>
        <w:t>Manual § 3.20.2</w:t>
      </w:r>
      <w:r w:rsidR="00B2200B" w:rsidRPr="00B2200B">
        <w:rPr>
          <w:rFonts w:cs="Times New Roman"/>
          <w:szCs w:val="24"/>
        </w:rPr>
        <w:t>:</w:t>
      </w:r>
      <w:r w:rsidR="0063656B" w:rsidRPr="00B2200B">
        <w:rPr>
          <w:rFonts w:cs="Times New Roman"/>
          <w:szCs w:val="24"/>
        </w:rPr>
        <w:t xml:space="preserve"> </w:t>
      </w:r>
      <w:r w:rsidR="00B2200B" w:rsidRPr="00B2200B">
        <w:rPr>
          <w:rFonts w:cs="Times New Roman"/>
          <w:smallCaps/>
          <w:szCs w:val="24"/>
        </w:rPr>
        <w:t>Summary Exhibits</w:t>
      </w:r>
      <w:r w:rsidR="00B2200B" w:rsidRPr="00B2200B">
        <w:rPr>
          <w:rFonts w:cs="Times New Roman"/>
          <w:szCs w:val="24"/>
        </w:rPr>
        <w:t xml:space="preserve"> </w:t>
      </w:r>
      <w:r w:rsidR="009A0F63">
        <w:rPr>
          <w:rFonts w:cs="Times New Roman"/>
          <w:szCs w:val="24"/>
        </w:rPr>
        <w:t xml:space="preserve">(2025). </w:t>
      </w:r>
      <w:bookmarkEnd w:id="47"/>
    </w:p>
    <w:p w14:paraId="392269DA" w14:textId="77777777" w:rsidR="002B1D90" w:rsidRPr="002B283E" w:rsidRDefault="002B1D90" w:rsidP="002B283E">
      <w:pPr>
        <w:rPr>
          <w:rFonts w:cs="Times New Roman"/>
          <w:szCs w:val="24"/>
        </w:rPr>
      </w:pPr>
    </w:p>
    <w:p w14:paraId="7843A0AA" w14:textId="77777777" w:rsidR="002B1D90" w:rsidRPr="002B283E" w:rsidRDefault="002B1D90" w:rsidP="002B283E">
      <w:pPr>
        <w:rPr>
          <w:rFonts w:cs="Times New Roman"/>
          <w:szCs w:val="24"/>
        </w:rPr>
      </w:pPr>
    </w:p>
    <w:p w14:paraId="55779D1B" w14:textId="77777777" w:rsidR="00C8117C" w:rsidRPr="002B283E" w:rsidRDefault="00C8117C" w:rsidP="002B283E">
      <w:pPr>
        <w:rPr>
          <w:rFonts w:cs="Times New Roman"/>
          <w:szCs w:val="24"/>
        </w:rPr>
      </w:pPr>
      <w:r w:rsidRPr="002B283E">
        <w:rPr>
          <w:rFonts w:cs="Times New Roman"/>
          <w:szCs w:val="24"/>
        </w:rPr>
        <w:br w:type="page"/>
      </w:r>
    </w:p>
    <w:p w14:paraId="68D2FEAE" w14:textId="7B7902C2" w:rsidR="006A4CD7" w:rsidRPr="002B283E" w:rsidRDefault="006A4CD7" w:rsidP="002B283E">
      <w:pPr>
        <w:pStyle w:val="Heading2"/>
      </w:pPr>
      <w:bookmarkStart w:id="48" w:name="_Toc221525098"/>
      <w:r w:rsidRPr="002B283E">
        <w:lastRenderedPageBreak/>
        <w:t>2.1</w:t>
      </w:r>
      <w:r w:rsidR="00C65A66">
        <w:t>6</w:t>
      </w:r>
      <w:r w:rsidRPr="002B283E">
        <w:t xml:space="preserve"> </w:t>
      </w:r>
      <w:r w:rsidR="00F8289E" w:rsidRPr="002B283E">
        <w:t>Charts and Summaries Received in Evidence</w:t>
      </w:r>
      <w:bookmarkEnd w:id="48"/>
    </w:p>
    <w:p w14:paraId="01814C4E" w14:textId="77777777" w:rsidR="002B1D90" w:rsidRPr="002B283E" w:rsidRDefault="002B1D90" w:rsidP="002B283E">
      <w:pPr>
        <w:autoSpaceDE w:val="0"/>
        <w:autoSpaceDN w:val="0"/>
        <w:adjustRightInd w:val="0"/>
        <w:rPr>
          <w:rFonts w:cs="Times New Roman"/>
          <w:szCs w:val="24"/>
        </w:rPr>
      </w:pPr>
    </w:p>
    <w:p w14:paraId="5858FFCF" w14:textId="549CACFF"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2B283E" w:rsidRDefault="006A4CD7" w:rsidP="002B283E">
      <w:pPr>
        <w:autoSpaceDE w:val="0"/>
        <w:autoSpaceDN w:val="0"/>
        <w:adjustRightInd w:val="0"/>
        <w:rPr>
          <w:rFonts w:cs="Times New Roman"/>
          <w:i/>
          <w:iCs/>
          <w:szCs w:val="24"/>
        </w:rPr>
      </w:pPr>
    </w:p>
    <w:p w14:paraId="54C202A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1EC86E1" w14:textId="77777777" w:rsidR="002B1D90" w:rsidRPr="002B283E" w:rsidRDefault="002B1D90" w:rsidP="002B283E">
      <w:pPr>
        <w:autoSpaceDE w:val="0"/>
        <w:autoSpaceDN w:val="0"/>
        <w:adjustRightInd w:val="0"/>
        <w:jc w:val="center"/>
        <w:rPr>
          <w:rFonts w:cs="Times New Roman"/>
          <w:szCs w:val="24"/>
        </w:rPr>
      </w:pPr>
    </w:p>
    <w:p w14:paraId="59FF20C8" w14:textId="2AF5FE90" w:rsidR="00C8117C" w:rsidRPr="002B283E" w:rsidRDefault="006A4CD7" w:rsidP="002B283E">
      <w:pPr>
        <w:rPr>
          <w:rFonts w:cs="Times New Roman"/>
          <w:szCs w:val="24"/>
        </w:rPr>
      </w:pPr>
      <w:r w:rsidRPr="002B283E">
        <w:rPr>
          <w:rFonts w:cs="Times New Roman"/>
          <w:szCs w:val="24"/>
        </w:rPr>
        <w:tab/>
        <w:t xml:space="preserve">This instruction applies when the charts and summaries are received into evidence. </w:t>
      </w:r>
      <w:r w:rsidRPr="002B283E">
        <w:rPr>
          <w:rFonts w:cs="Times New Roman"/>
          <w:i/>
          <w:iCs/>
          <w:szCs w:val="24"/>
        </w:rPr>
        <w:t>See United States v. Anekwu</w:t>
      </w:r>
      <w:r w:rsidRPr="002B283E">
        <w:rPr>
          <w:rFonts w:cs="Times New Roman"/>
          <w:szCs w:val="24"/>
        </w:rPr>
        <w:t>, 695 F.3d 967, 981 (9th Cir. 2012)</w:t>
      </w:r>
      <w:r w:rsidRPr="002B283E">
        <w:rPr>
          <w:rFonts w:cs="Times New Roman"/>
          <w:i/>
          <w:iCs/>
          <w:szCs w:val="24"/>
        </w:rPr>
        <w:t xml:space="preserve"> </w:t>
      </w:r>
      <w:r w:rsidRPr="002B283E">
        <w:rPr>
          <w:rFonts w:cs="Times New Roman"/>
          <w:szCs w:val="24"/>
        </w:rPr>
        <w:t xml:space="preserve">(“[T]he proponent of a summary must demonstrate the admissibility of the underlying writings or records summarized, as a condition precedent to introduction of the summary into evidence under [Fed. R. Evid. Evid.] 1006.”) (quoting </w:t>
      </w:r>
      <w:r w:rsidRPr="002B283E">
        <w:rPr>
          <w:rFonts w:cs="Times New Roman"/>
          <w:i/>
          <w:iCs/>
          <w:szCs w:val="24"/>
        </w:rPr>
        <w:t>United States v. Johnson</w:t>
      </w:r>
      <w:r w:rsidRPr="002B283E">
        <w:rPr>
          <w:rFonts w:cs="Times New Roman"/>
          <w:szCs w:val="24"/>
        </w:rPr>
        <w:t xml:space="preserve">, 594 F.2d 1253, 1257 (9th Cir. 1979)); </w:t>
      </w:r>
      <w:r w:rsidRPr="002B283E">
        <w:rPr>
          <w:rFonts w:cs="Times New Roman"/>
          <w:i/>
          <w:iCs/>
          <w:szCs w:val="24"/>
        </w:rPr>
        <w:t>United States v. Rizk</w:t>
      </w:r>
      <w:r w:rsidRPr="002B283E">
        <w:rPr>
          <w:rFonts w:cs="Times New Roman"/>
          <w:szCs w:val="24"/>
        </w:rPr>
        <w:t xml:space="preserve">, 660 F.3d 1125, 1130-31 (9th Cir. 2011); </w:t>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w:t>
      </w:r>
      <w:r w:rsidR="002B3F77">
        <w:rPr>
          <w:rFonts w:cs="Times New Roman"/>
          <w:smallCaps/>
          <w:szCs w:val="24"/>
        </w:rPr>
        <w:t>Ninth Circuit Judges’ Trial Manual</w:t>
      </w:r>
      <w:r w:rsidR="002B3F77">
        <w:rPr>
          <w:rFonts w:cs="Times New Roman"/>
          <w:szCs w:val="24"/>
        </w:rPr>
        <w:t xml:space="preserve"> § 3.20.2</w:t>
      </w:r>
      <w:r w:rsidR="00B2200B">
        <w:rPr>
          <w:rFonts w:cs="Times New Roman"/>
          <w:szCs w:val="24"/>
        </w:rPr>
        <w:t>:</w:t>
      </w:r>
      <w:r w:rsidR="00B2200B" w:rsidRPr="00B2200B">
        <w:t xml:space="preserve"> </w:t>
      </w:r>
      <w:r w:rsidR="00B2200B" w:rsidRPr="00B2200B">
        <w:rPr>
          <w:rFonts w:cs="Times New Roman"/>
          <w:smallCaps/>
          <w:szCs w:val="24"/>
        </w:rPr>
        <w:t>Summary Exhibits</w:t>
      </w:r>
      <w:r w:rsidR="0063656B">
        <w:rPr>
          <w:rFonts w:cs="Times New Roman"/>
          <w:szCs w:val="24"/>
        </w:rPr>
        <w:t xml:space="preserve"> </w:t>
      </w:r>
      <w:r w:rsidR="002B3F77">
        <w:rPr>
          <w:rFonts w:cs="Times New Roman"/>
          <w:szCs w:val="24"/>
        </w:rPr>
        <w:t xml:space="preserve">(2025). </w:t>
      </w:r>
      <w:r w:rsidRPr="002B283E">
        <w:rPr>
          <w:rFonts w:cs="Times New Roman"/>
          <w:szCs w:val="24"/>
        </w:rPr>
        <w:t>This instruction may be unnecessary if there is no dispute as to the accuracy of the chart or summary.</w:t>
      </w:r>
    </w:p>
    <w:p w14:paraId="2B997798" w14:textId="77777777" w:rsidR="002B1D90" w:rsidRPr="002B283E" w:rsidRDefault="002B1D90" w:rsidP="002B283E">
      <w:pPr>
        <w:rPr>
          <w:rFonts w:cs="Times New Roman"/>
          <w:szCs w:val="24"/>
        </w:rPr>
      </w:pPr>
    </w:p>
    <w:p w14:paraId="398DBB04" w14:textId="77777777" w:rsidR="002B1D90" w:rsidRPr="002B283E" w:rsidRDefault="002B1D90" w:rsidP="002B283E">
      <w:pPr>
        <w:rPr>
          <w:rFonts w:cs="Times New Roman"/>
          <w:szCs w:val="24"/>
        </w:rPr>
      </w:pPr>
    </w:p>
    <w:p w14:paraId="0D4C5628" w14:textId="77777777" w:rsidR="00C8117C" w:rsidRPr="002B283E" w:rsidRDefault="00C8117C" w:rsidP="002B283E">
      <w:pPr>
        <w:rPr>
          <w:rFonts w:cs="Times New Roman"/>
          <w:szCs w:val="24"/>
        </w:rPr>
      </w:pPr>
      <w:r w:rsidRPr="002B283E">
        <w:rPr>
          <w:rFonts w:cs="Times New Roman"/>
          <w:szCs w:val="24"/>
        </w:rPr>
        <w:br w:type="page"/>
      </w:r>
    </w:p>
    <w:p w14:paraId="4491FDDE" w14:textId="7F4D18E2" w:rsidR="006A4CD7" w:rsidRPr="002B283E" w:rsidRDefault="006A4CD7" w:rsidP="002B283E">
      <w:pPr>
        <w:pStyle w:val="Heading2"/>
      </w:pPr>
      <w:bookmarkStart w:id="49" w:name="_Toc221525099"/>
      <w:r w:rsidRPr="002B283E">
        <w:lastRenderedPageBreak/>
        <w:t>2.1</w:t>
      </w:r>
      <w:r w:rsidR="00C65A66">
        <w:t>7</w:t>
      </w:r>
      <w:r w:rsidRPr="002B283E">
        <w:t xml:space="preserve"> </w:t>
      </w:r>
      <w:r w:rsidR="00F8289E" w:rsidRPr="002B283E">
        <w:t>Evidence in Electronic Format</w:t>
      </w:r>
      <w:bookmarkEnd w:id="49"/>
    </w:p>
    <w:p w14:paraId="2FC51679" w14:textId="77777777" w:rsidR="006A4CD7" w:rsidRPr="002B283E" w:rsidRDefault="006A4CD7" w:rsidP="002B283E">
      <w:pPr>
        <w:autoSpaceDE w:val="0"/>
        <w:autoSpaceDN w:val="0"/>
        <w:adjustRightInd w:val="0"/>
        <w:rPr>
          <w:rFonts w:cs="Times New Roman"/>
          <w:szCs w:val="24"/>
        </w:rPr>
      </w:pPr>
    </w:p>
    <w:p w14:paraId="36FBFE38" w14:textId="4E4FDE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2B283E">
        <w:rPr>
          <w:rFonts w:cs="Times New Roman"/>
          <w:szCs w:val="24"/>
        </w:rPr>
        <w:t>printer,</w:t>
      </w:r>
      <w:r w:rsidRPr="002B283E">
        <w:rPr>
          <w:rFonts w:cs="Times New Roman"/>
          <w:szCs w:val="24"/>
        </w:rPr>
        <w:t xml:space="preserve"> and accessory equipment will be available to you in the jury room.</w:t>
      </w:r>
    </w:p>
    <w:p w14:paraId="7C547126" w14:textId="77777777" w:rsidR="006A4CD7" w:rsidRPr="002B283E" w:rsidRDefault="006A4CD7" w:rsidP="002B283E">
      <w:pPr>
        <w:autoSpaceDE w:val="0"/>
        <w:autoSpaceDN w:val="0"/>
        <w:adjustRightInd w:val="0"/>
        <w:rPr>
          <w:rFonts w:cs="Times New Roman"/>
          <w:szCs w:val="24"/>
        </w:rPr>
      </w:pPr>
    </w:p>
    <w:p w14:paraId="4E85B198" w14:textId="0E75896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2B283E" w:rsidRDefault="006A4CD7" w:rsidP="002B283E">
      <w:pPr>
        <w:autoSpaceDE w:val="0"/>
        <w:autoSpaceDN w:val="0"/>
        <w:adjustRightInd w:val="0"/>
        <w:rPr>
          <w:rFonts w:cs="Times New Roman"/>
          <w:szCs w:val="24"/>
        </w:rPr>
      </w:pPr>
    </w:p>
    <w:p w14:paraId="2C1DF504" w14:textId="7FBA3A64" w:rsidR="006A4CD7" w:rsidRPr="002B283E" w:rsidRDefault="006A4CD7" w:rsidP="002B283E">
      <w:pPr>
        <w:autoSpaceDE w:val="0"/>
        <w:autoSpaceDN w:val="0"/>
        <w:adjustRightInd w:val="0"/>
        <w:rPr>
          <w:rFonts w:cs="Times New Roman"/>
          <w:szCs w:val="24"/>
        </w:rPr>
      </w:pPr>
      <w:r w:rsidRPr="002B283E">
        <w:rPr>
          <w:rFonts w:cs="Times New Roman"/>
          <w:szCs w:val="24"/>
        </w:rPr>
        <w:tab/>
        <w:t>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nonjuror is in the jury room, the jury shall not deliberate. No juror may say anything to the court technician or any nonjuror other than to describe the technical problem or to seek information about operation of the equipment. Do not discuss any exhibit or any aspect of the case.</w:t>
      </w:r>
    </w:p>
    <w:p w14:paraId="144D727F" w14:textId="77777777" w:rsidR="006A4CD7" w:rsidRPr="002B283E" w:rsidRDefault="006A4CD7" w:rsidP="002B283E">
      <w:pPr>
        <w:autoSpaceDE w:val="0"/>
        <w:autoSpaceDN w:val="0"/>
        <w:adjustRightInd w:val="0"/>
        <w:rPr>
          <w:rFonts w:cs="Times New Roman"/>
          <w:szCs w:val="24"/>
        </w:rPr>
      </w:pPr>
    </w:p>
    <w:p w14:paraId="7A2E3605" w14:textId="7CDAD865" w:rsidR="006A4CD7" w:rsidRPr="002B283E" w:rsidRDefault="006A4CD7" w:rsidP="002B283E">
      <w:pPr>
        <w:autoSpaceDE w:val="0"/>
        <w:autoSpaceDN w:val="0"/>
        <w:adjustRightInd w:val="0"/>
        <w:rPr>
          <w:rFonts w:cs="Times New Roman"/>
          <w:szCs w:val="24"/>
        </w:rPr>
      </w:pPr>
      <w:r w:rsidRPr="002B283E">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2B283E" w:rsidRDefault="006A4CD7" w:rsidP="002B283E">
      <w:pPr>
        <w:autoSpaceDE w:val="0"/>
        <w:autoSpaceDN w:val="0"/>
        <w:adjustRightInd w:val="0"/>
        <w:rPr>
          <w:rFonts w:cs="Times New Roman"/>
          <w:szCs w:val="24"/>
        </w:rPr>
      </w:pPr>
    </w:p>
    <w:p w14:paraId="4D3494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291BF1" w14:textId="77777777" w:rsidR="006A4CD7" w:rsidRPr="002B283E" w:rsidRDefault="006A4CD7" w:rsidP="002B283E">
      <w:pPr>
        <w:rPr>
          <w:rFonts w:cs="Times New Roman"/>
          <w:szCs w:val="24"/>
        </w:rPr>
      </w:pPr>
    </w:p>
    <w:p w14:paraId="4521D693" w14:textId="633D8F3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premised on the assumption that either the court has ordered these </w:t>
      </w:r>
      <w:r w:rsidR="008A3CE4" w:rsidRPr="002B283E">
        <w:rPr>
          <w:rFonts w:cs="Times New Roman"/>
          <w:szCs w:val="24"/>
        </w:rPr>
        <w:t>procedures,</w:t>
      </w:r>
      <w:r w:rsidRPr="002B283E">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2B283E" w:rsidRDefault="006A4CD7" w:rsidP="002B283E">
      <w:pPr>
        <w:autoSpaceDE w:val="0"/>
        <w:autoSpaceDN w:val="0"/>
        <w:adjustRightInd w:val="0"/>
        <w:rPr>
          <w:rFonts w:cs="Times New Roman"/>
          <w:szCs w:val="24"/>
        </w:rPr>
      </w:pPr>
    </w:p>
    <w:p w14:paraId="10D95DA6" w14:textId="560AF6B4"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parties agree to an allocation of the costs of providing the necessary equipment, including the computer, hard drive, projector, cable, printer, monitor</w:t>
      </w:r>
      <w:r w:rsidR="007C51B0">
        <w:rPr>
          <w:rFonts w:cs="Times New Roman"/>
          <w:szCs w:val="24"/>
        </w:rPr>
        <w:t>,</w:t>
      </w:r>
      <w:r w:rsidRPr="002B283E">
        <w:rPr>
          <w:rFonts w:cs="Times New Roman"/>
          <w:szCs w:val="24"/>
        </w:rPr>
        <w:t xml:space="preserve"> and other accessories.</w:t>
      </w:r>
    </w:p>
    <w:p w14:paraId="7DEA513D" w14:textId="77777777" w:rsidR="006A4CD7" w:rsidRPr="002B283E" w:rsidRDefault="006A4CD7" w:rsidP="002B283E">
      <w:pPr>
        <w:autoSpaceDE w:val="0"/>
        <w:autoSpaceDN w:val="0"/>
        <w:adjustRightInd w:val="0"/>
        <w:rPr>
          <w:rFonts w:cs="Times New Roman"/>
          <w:szCs w:val="24"/>
        </w:rPr>
      </w:pPr>
    </w:p>
    <w:p w14:paraId="213B8A3F" w14:textId="52B53CC1"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2.</w:t>
      </w:r>
      <w:r w:rsidRPr="002B283E">
        <w:rPr>
          <w:rFonts w:cs="Times New Roman"/>
          <w:szCs w:val="24"/>
        </w:rPr>
        <w:tab/>
        <w:t>The parties jointly arrange to load images of the admitted exhibits onto a hard drive in “PDF” format. (This format is meant to assure maximum security.) They will ensure that the hard drive contains only such items and nothing else.</w:t>
      </w:r>
    </w:p>
    <w:p w14:paraId="04335ABF" w14:textId="77777777" w:rsidR="006A4CD7" w:rsidRPr="002B283E" w:rsidRDefault="006A4CD7" w:rsidP="002B283E">
      <w:pPr>
        <w:autoSpaceDE w:val="0"/>
        <w:autoSpaceDN w:val="0"/>
        <w:adjustRightInd w:val="0"/>
        <w:ind w:left="720" w:right="720"/>
        <w:rPr>
          <w:rFonts w:cs="Times New Roman"/>
          <w:szCs w:val="24"/>
        </w:rPr>
      </w:pPr>
    </w:p>
    <w:p w14:paraId="412D0C48" w14:textId="16BE01D8"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parties jointly compile a document entitled “Admitted Exhibit List” that consists of all trial exhibits actually received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w:t>
      </w:r>
      <w:r w:rsidR="00A87F6E">
        <w:rPr>
          <w:rFonts w:cs="Times New Roman"/>
          <w:szCs w:val="24"/>
        </w:rPr>
        <w:t xml:space="preserve">. </w:t>
      </w:r>
      <w:r w:rsidRPr="002B283E">
        <w:rPr>
          <w:rFonts w:cs="Times New Roman"/>
          <w:szCs w:val="24"/>
        </w:rPr>
        <w:t>That second list would be made available to the jury in “hard copy,” not electronic form.)</w:t>
      </w:r>
    </w:p>
    <w:p w14:paraId="783CF727" w14:textId="77777777" w:rsidR="006A4CD7" w:rsidRPr="002B283E" w:rsidRDefault="006A4CD7" w:rsidP="002B283E">
      <w:pPr>
        <w:autoSpaceDE w:val="0"/>
        <w:autoSpaceDN w:val="0"/>
        <w:adjustRightInd w:val="0"/>
        <w:ind w:left="720" w:right="720"/>
        <w:rPr>
          <w:rFonts w:cs="Times New Roman"/>
          <w:szCs w:val="24"/>
        </w:rPr>
      </w:pPr>
    </w:p>
    <w:p w14:paraId="55E27A91" w14:textId="081959AF"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Before the jury retires to deliberate, the parties will review the notebook computer, the exhibit list interface and the images of the exhibits, to ensure their accuracy. Unless a party objects before the jury retires to deliberate, that party waives all objections to the materials and equipment submitted to the jury.</w:t>
      </w:r>
    </w:p>
    <w:p w14:paraId="6C84FFFD" w14:textId="77777777" w:rsidR="006A4CD7" w:rsidRPr="002B283E" w:rsidRDefault="006A4CD7" w:rsidP="002B283E">
      <w:pPr>
        <w:autoSpaceDE w:val="0"/>
        <w:autoSpaceDN w:val="0"/>
        <w:adjustRightInd w:val="0"/>
        <w:ind w:left="720" w:right="720"/>
        <w:rPr>
          <w:rFonts w:cs="Times New Roman"/>
          <w:szCs w:val="24"/>
        </w:rPr>
      </w:pPr>
    </w:p>
    <w:p w14:paraId="2E5DA17E" w14:textId="7E262682"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2B283E" w:rsidRDefault="006A4CD7" w:rsidP="002B283E">
      <w:pPr>
        <w:autoSpaceDE w:val="0"/>
        <w:autoSpaceDN w:val="0"/>
        <w:adjustRightInd w:val="0"/>
        <w:ind w:left="1440" w:right="720" w:hanging="720"/>
        <w:rPr>
          <w:rFonts w:cs="Times New Roman"/>
          <w:szCs w:val="24"/>
        </w:rPr>
      </w:pPr>
    </w:p>
    <w:p w14:paraId="4E3E79B4" w14:textId="5E746F86" w:rsidR="006A4CD7" w:rsidRPr="002B283E" w:rsidRDefault="006A4CD7" w:rsidP="002B283E">
      <w:pPr>
        <w:autoSpaceDE w:val="0"/>
        <w:autoSpaceDN w:val="0"/>
        <w:adjustRightInd w:val="0"/>
        <w:rPr>
          <w:rFonts w:cs="Times New Roman"/>
          <w:szCs w:val="24"/>
        </w:rPr>
      </w:pPr>
      <w:r w:rsidRPr="002B283E">
        <w:rPr>
          <w:rFonts w:cs="Times New Roman"/>
          <w:szCs w:val="24"/>
        </w:rPr>
        <w:tab/>
        <w:t>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w:t>
      </w:r>
      <w:r w:rsidRPr="006E52B7">
        <w:rPr>
          <w:rFonts w:cs="Times New Roman"/>
          <w:i/>
          <w:iCs/>
          <w:szCs w:val="24"/>
        </w:rPr>
        <w:t>E.g</w:t>
      </w:r>
      <w:r w:rsidRPr="006E52B7">
        <w:rPr>
          <w:rFonts w:cs="Times New Roman"/>
          <w:szCs w:val="24"/>
        </w:rPr>
        <w:t>.</w:t>
      </w:r>
      <w:r w:rsidRPr="002B283E">
        <w:rPr>
          <w:rFonts w:cs="Times New Roman"/>
          <w:szCs w:val="24"/>
        </w:rPr>
        <w:t xml:space="preserve">, such matters could have been placed on a blackboard or in summaries strewn about the jury table.) The Committee suggests that in the event a nonjuror might be required to enter the jury room to deal with a technical problem, the judge should </w:t>
      </w:r>
      <w:r w:rsidRPr="002B283E">
        <w:rPr>
          <w:rFonts w:cs="Times New Roman"/>
          <w:i/>
          <w:iCs/>
          <w:szCs w:val="24"/>
        </w:rPr>
        <w:t>sua sponte</w:t>
      </w:r>
      <w:r w:rsidRPr="002B283E">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2B283E" w:rsidRDefault="006A4CD7" w:rsidP="002B283E">
      <w:pPr>
        <w:autoSpaceDE w:val="0"/>
        <w:autoSpaceDN w:val="0"/>
        <w:adjustRightInd w:val="0"/>
        <w:rPr>
          <w:rFonts w:cs="Times New Roman"/>
          <w:szCs w:val="24"/>
        </w:rPr>
      </w:pPr>
    </w:p>
    <w:p w14:paraId="377DAE64"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(a)</w:t>
      </w:r>
      <w:r w:rsidRPr="002B283E">
        <w:rPr>
          <w:rFonts w:cs="Times New Roman"/>
          <w:szCs w:val="24"/>
        </w:rPr>
        <w:tab/>
        <w:t xml:space="preserve">Can the technical problem be addressed without entry into the room; </w:t>
      </w:r>
      <w:r w:rsidRPr="006E52B7">
        <w:rPr>
          <w:rFonts w:cs="Times New Roman"/>
          <w:i/>
          <w:iCs/>
          <w:szCs w:val="24"/>
        </w:rPr>
        <w:t>e.g</w:t>
      </w:r>
      <w:r w:rsidRPr="002B283E">
        <w:rPr>
          <w:rFonts w:cs="Times New Roman"/>
          <w:szCs w:val="24"/>
        </w:rPr>
        <w:t>., by removing the equipment for examination outside the presence of jurors?</w:t>
      </w:r>
    </w:p>
    <w:p w14:paraId="6B9801E6" w14:textId="77777777" w:rsidR="006A4CD7" w:rsidRPr="002B283E" w:rsidRDefault="006A4CD7" w:rsidP="002B283E">
      <w:pPr>
        <w:rPr>
          <w:rFonts w:cs="Times New Roman"/>
          <w:szCs w:val="24"/>
        </w:rPr>
      </w:pPr>
    </w:p>
    <w:p w14:paraId="418DD103"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(b)</w:t>
      </w:r>
      <w:r w:rsidRPr="002B283E">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2B283E" w:rsidRDefault="006A4CD7" w:rsidP="002B283E">
      <w:pPr>
        <w:rPr>
          <w:rFonts w:cs="Times New Roman"/>
          <w:szCs w:val="24"/>
        </w:rPr>
      </w:pPr>
    </w:p>
    <w:p w14:paraId="01440489"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(c)</w:t>
      </w:r>
      <w:r w:rsidRPr="002B283E">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2B283E" w:rsidRDefault="006A4CD7" w:rsidP="002B283E">
      <w:pPr>
        <w:rPr>
          <w:rFonts w:cs="Times New Roman"/>
          <w:szCs w:val="24"/>
        </w:rPr>
      </w:pPr>
    </w:p>
    <w:p w14:paraId="16DB4ED6" w14:textId="0E01C67C"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(d)</w:t>
      </w:r>
      <w:r w:rsidRPr="002B283E">
        <w:rPr>
          <w:rFonts w:cs="Times New Roman"/>
          <w:szCs w:val="24"/>
        </w:rPr>
        <w:tab/>
        <w:t>Should the technician, bailiff</w:t>
      </w:r>
      <w:r w:rsidR="007C51B0">
        <w:rPr>
          <w:rFonts w:cs="Times New Roman"/>
          <w:szCs w:val="24"/>
        </w:rPr>
        <w:t>,</w:t>
      </w:r>
      <w:r w:rsidRPr="002B283E">
        <w:rPr>
          <w:rFonts w:cs="Times New Roman"/>
          <w:szCs w:val="24"/>
        </w:rPr>
        <w:t xml:space="preserve">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2B283E" w:rsidRDefault="006A4CD7" w:rsidP="002B283E">
      <w:pPr>
        <w:autoSpaceDE w:val="0"/>
        <w:autoSpaceDN w:val="0"/>
        <w:adjustRightInd w:val="0"/>
        <w:rPr>
          <w:rFonts w:cs="Times New Roman"/>
          <w:szCs w:val="24"/>
        </w:rPr>
      </w:pPr>
    </w:p>
    <w:p w14:paraId="306666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2B283E" w:rsidRDefault="006A4CD7" w:rsidP="002B283E">
      <w:pPr>
        <w:autoSpaceDE w:val="0"/>
        <w:autoSpaceDN w:val="0"/>
        <w:adjustRightInd w:val="0"/>
        <w:rPr>
          <w:rFonts w:cs="Times New Roman"/>
          <w:szCs w:val="24"/>
        </w:rPr>
      </w:pPr>
    </w:p>
    <w:p w14:paraId="0C619487" w14:textId="4D641379" w:rsidR="006A4CD7" w:rsidRPr="002B283E" w:rsidRDefault="006A4CD7" w:rsidP="004E2859">
      <w:pPr>
        <w:autoSpaceDE w:val="0"/>
        <w:autoSpaceDN w:val="0"/>
        <w:adjustRightInd w:val="0"/>
        <w:ind w:left="720" w:right="720"/>
        <w:jc w:val="both"/>
        <w:rPr>
          <w:rFonts w:cs="Times New Roman"/>
          <w:szCs w:val="24"/>
        </w:rPr>
      </w:pPr>
      <w:r w:rsidRPr="002B283E">
        <w:rPr>
          <w:rFonts w:cs="Times New Roman"/>
          <w:szCs w:val="24"/>
        </w:rPr>
        <w:t>You have informed me that there is a technical problem that has interfered with your ability to review evidence electronically.</w:t>
      </w:r>
      <w:r w:rsidR="007C51B0">
        <w:rPr>
          <w:rFonts w:cs="Times New Roman"/>
          <w:szCs w:val="24"/>
        </w:rPr>
        <w:t xml:space="preserve"> </w:t>
      </w:r>
      <w:r w:rsidRPr="002B283E">
        <w:rPr>
          <w:rFonts w:cs="Times New Roman"/>
          <w:szCs w:val="24"/>
        </w:rPr>
        <w:t>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2B283E" w:rsidRDefault="006A4CD7" w:rsidP="002B283E">
      <w:pPr>
        <w:autoSpaceDE w:val="0"/>
        <w:autoSpaceDN w:val="0"/>
        <w:adjustRightInd w:val="0"/>
        <w:ind w:right="1440"/>
        <w:rPr>
          <w:rFonts w:cs="Times New Roman"/>
          <w:szCs w:val="24"/>
        </w:rPr>
      </w:pPr>
    </w:p>
    <w:p w14:paraId="08BF64D2" w14:textId="0BF96BFA" w:rsidR="006A4CD7" w:rsidRPr="002B283E" w:rsidRDefault="006A4CD7" w:rsidP="002B283E">
      <w:pPr>
        <w:autoSpaceDE w:val="0"/>
        <w:autoSpaceDN w:val="0"/>
        <w:adjustRightInd w:val="0"/>
        <w:rPr>
          <w:rFonts w:cs="Times New Roman"/>
          <w:szCs w:val="24"/>
        </w:rPr>
      </w:pPr>
      <w:r w:rsidRPr="002B283E">
        <w:rPr>
          <w:rFonts w:cs="Times New Roman"/>
          <w:szCs w:val="24"/>
        </w:rPr>
        <w:tab/>
        <w:t>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w:t>
      </w:r>
      <w:r w:rsidR="00A87F6E">
        <w:rPr>
          <w:rFonts w:cs="Times New Roman"/>
          <w:szCs w:val="24"/>
        </w:rPr>
        <w:t xml:space="preserve">. </w:t>
      </w:r>
      <w:r w:rsidRPr="002B283E">
        <w:rPr>
          <w:rFonts w:cs="Times New Roman"/>
          <w:i/>
          <w:iCs/>
          <w:szCs w:val="24"/>
        </w:rPr>
        <w:t>United States v. Felix-Rodriguez</w:t>
      </w:r>
      <w:r w:rsidRPr="002B283E">
        <w:rPr>
          <w:rFonts w:cs="Times New Roman"/>
          <w:szCs w:val="24"/>
        </w:rPr>
        <w:t>, 22 F.3d 964, 966-67 (9th Cir. 1994)</w:t>
      </w:r>
    </w:p>
    <w:p w14:paraId="318B73ED" w14:textId="502A85B8" w:rsidR="006A4CD7" w:rsidRPr="002B283E" w:rsidRDefault="006A4CD7" w:rsidP="002B283E">
      <w:pPr>
        <w:pStyle w:val="Heading1"/>
        <w:spacing w:before="0" w:line="240" w:lineRule="auto"/>
      </w:pPr>
      <w:r w:rsidRPr="002B283E">
        <w:br w:type="page"/>
      </w:r>
      <w:bookmarkStart w:id="50" w:name="_Toc221525100"/>
      <w:r w:rsidRPr="002B283E">
        <w:lastRenderedPageBreak/>
        <w:t>3</w:t>
      </w:r>
      <w:r w:rsidR="00A87F6E">
        <w:t xml:space="preserve">. </w:t>
      </w:r>
      <w:r w:rsidRPr="002B283E">
        <w:t>INSTRUCTIONS CONCERNING DELIBERATIONS</w:t>
      </w:r>
      <w:bookmarkEnd w:id="50"/>
    </w:p>
    <w:p w14:paraId="4DEB284F" w14:textId="77777777" w:rsidR="006A4CD7" w:rsidRPr="002B283E" w:rsidRDefault="006A4CD7" w:rsidP="002B283E">
      <w:pPr>
        <w:autoSpaceDE w:val="0"/>
        <w:autoSpaceDN w:val="0"/>
        <w:adjustRightInd w:val="0"/>
        <w:rPr>
          <w:rFonts w:cs="Times New Roman"/>
          <w:szCs w:val="24"/>
        </w:rPr>
      </w:pPr>
    </w:p>
    <w:p w14:paraId="5176370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F2A5A64" w14:textId="77777777" w:rsidR="006A4CD7" w:rsidRPr="002B283E" w:rsidRDefault="006A4CD7" w:rsidP="002B283E">
      <w:pPr>
        <w:autoSpaceDE w:val="0"/>
        <w:autoSpaceDN w:val="0"/>
        <w:adjustRightInd w:val="0"/>
        <w:rPr>
          <w:rFonts w:cs="Times New Roman"/>
          <w:szCs w:val="24"/>
        </w:rPr>
      </w:pPr>
    </w:p>
    <w:p w14:paraId="56DA8D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3.1 </w:t>
      </w:r>
      <w:r w:rsidRPr="002B283E">
        <w:rPr>
          <w:rFonts w:cs="Times New Roman"/>
          <w:szCs w:val="24"/>
        </w:rPr>
        <w:tab/>
        <w:t>Duty to Deliberate</w:t>
      </w:r>
    </w:p>
    <w:p w14:paraId="196FE23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3.2</w:t>
      </w:r>
      <w:r w:rsidRPr="002B283E">
        <w:rPr>
          <w:rFonts w:cs="Times New Roman"/>
          <w:szCs w:val="24"/>
        </w:rPr>
        <w:tab/>
        <w:t>Consideration of Evidence—Conduct of the Jury</w:t>
      </w:r>
    </w:p>
    <w:p w14:paraId="744729FB" w14:textId="5844A4E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3.3 </w:t>
      </w:r>
      <w:r w:rsidRPr="002B283E">
        <w:rPr>
          <w:rFonts w:cs="Times New Roman"/>
          <w:szCs w:val="24"/>
        </w:rPr>
        <w:tab/>
        <w:t xml:space="preserve">Communication </w:t>
      </w:r>
      <w:r w:rsidR="009958B1" w:rsidRPr="002B283E">
        <w:rPr>
          <w:rFonts w:cs="Times New Roman"/>
          <w:szCs w:val="24"/>
        </w:rPr>
        <w:t>w</w:t>
      </w:r>
      <w:r w:rsidRPr="002B283E">
        <w:rPr>
          <w:rFonts w:cs="Times New Roman"/>
          <w:szCs w:val="24"/>
        </w:rPr>
        <w:t>ith Court</w:t>
      </w:r>
    </w:p>
    <w:p w14:paraId="69226AA2" w14:textId="7A44BFD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3.4 </w:t>
      </w:r>
      <w:r w:rsidRPr="002B283E">
        <w:rPr>
          <w:rFonts w:cs="Times New Roman"/>
          <w:szCs w:val="24"/>
        </w:rPr>
        <w:tab/>
        <w:t>Readback or Playback</w:t>
      </w:r>
    </w:p>
    <w:p w14:paraId="6861AAC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3.5 </w:t>
      </w:r>
      <w:r w:rsidRPr="002B283E">
        <w:rPr>
          <w:rFonts w:cs="Times New Roman"/>
          <w:szCs w:val="24"/>
        </w:rPr>
        <w:tab/>
        <w:t>Return of Verdict</w:t>
      </w:r>
    </w:p>
    <w:p w14:paraId="05E1A40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3.6 </w:t>
      </w:r>
      <w:r w:rsidRPr="002B283E">
        <w:rPr>
          <w:rFonts w:cs="Times New Roman"/>
          <w:szCs w:val="24"/>
        </w:rPr>
        <w:tab/>
        <w:t>Additional Instructions of Law</w:t>
      </w:r>
    </w:p>
    <w:p w14:paraId="3C5DA3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3.7</w:t>
      </w:r>
      <w:r w:rsidRPr="002B283E">
        <w:rPr>
          <w:rFonts w:cs="Times New Roman"/>
          <w:szCs w:val="24"/>
        </w:rPr>
        <w:tab/>
        <w:t>Deadlocked Jury</w:t>
      </w:r>
    </w:p>
    <w:p w14:paraId="6F4486F4" w14:textId="3C83A55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3.8</w:t>
      </w:r>
      <w:r w:rsidRPr="002B283E">
        <w:rPr>
          <w:rFonts w:cs="Times New Roman"/>
          <w:szCs w:val="24"/>
        </w:rPr>
        <w:tab/>
        <w:t xml:space="preserve">Continuing Deliberations After Juror </w:t>
      </w:r>
      <w:r w:rsidR="009958B1" w:rsidRPr="002B283E">
        <w:rPr>
          <w:rFonts w:cs="Times New Roman"/>
          <w:szCs w:val="24"/>
        </w:rPr>
        <w:t>i</w:t>
      </w:r>
      <w:r w:rsidRPr="002B283E">
        <w:rPr>
          <w:rFonts w:cs="Times New Roman"/>
          <w:szCs w:val="24"/>
        </w:rPr>
        <w:t>s Discharged</w:t>
      </w:r>
    </w:p>
    <w:p w14:paraId="32FA340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3.9</w:t>
      </w:r>
      <w:r w:rsidRPr="002B283E">
        <w:rPr>
          <w:rFonts w:cs="Times New Roman"/>
          <w:szCs w:val="24"/>
        </w:rPr>
        <w:tab/>
        <w:t xml:space="preserve">Post-Discharge Instruction </w:t>
      </w:r>
    </w:p>
    <w:p w14:paraId="43ABC8D7" w14:textId="77777777" w:rsidR="006A4CD7" w:rsidRPr="002B283E" w:rsidRDefault="006A4CD7" w:rsidP="002B283E">
      <w:pPr>
        <w:autoSpaceDE w:val="0"/>
        <w:autoSpaceDN w:val="0"/>
        <w:adjustRightInd w:val="0"/>
        <w:rPr>
          <w:rFonts w:cs="Times New Roman"/>
          <w:szCs w:val="24"/>
        </w:rPr>
      </w:pPr>
    </w:p>
    <w:p w14:paraId="05209FC7"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558A8283" w14:textId="77777777" w:rsidR="00C8117C" w:rsidRPr="002B283E" w:rsidRDefault="00C8117C" w:rsidP="002B283E">
      <w:pPr>
        <w:rPr>
          <w:rFonts w:cs="Times New Roman"/>
          <w:b/>
          <w:bCs/>
          <w:szCs w:val="24"/>
        </w:rPr>
      </w:pPr>
      <w:r w:rsidRPr="002B283E">
        <w:rPr>
          <w:rFonts w:cs="Times New Roman"/>
          <w:b/>
          <w:bCs/>
          <w:szCs w:val="24"/>
        </w:rPr>
        <w:br w:type="page"/>
      </w:r>
    </w:p>
    <w:p w14:paraId="3DBDB01C" w14:textId="3118F9A5" w:rsidR="006A4CD7" w:rsidRPr="002B283E" w:rsidRDefault="006A4CD7" w:rsidP="002B283E">
      <w:pPr>
        <w:pStyle w:val="Heading2"/>
      </w:pPr>
      <w:bookmarkStart w:id="51" w:name="_Toc221525101"/>
      <w:r w:rsidRPr="002B283E">
        <w:lastRenderedPageBreak/>
        <w:t>3.1 D</w:t>
      </w:r>
      <w:r w:rsidR="00A25782" w:rsidRPr="002B283E">
        <w:t>uty</w:t>
      </w:r>
      <w:r w:rsidRPr="002B283E">
        <w:t xml:space="preserve"> </w:t>
      </w:r>
      <w:r w:rsidR="00A25782" w:rsidRPr="002B283E">
        <w:t>to</w:t>
      </w:r>
      <w:r w:rsidRPr="002B283E">
        <w:t xml:space="preserve"> D</w:t>
      </w:r>
      <w:r w:rsidR="00A25782" w:rsidRPr="002B283E">
        <w:t>eliberate</w:t>
      </w:r>
      <w:bookmarkEnd w:id="51"/>
    </w:p>
    <w:p w14:paraId="3119F7D1" w14:textId="77777777" w:rsidR="006A4CD7" w:rsidRPr="002B283E" w:rsidRDefault="006A4CD7" w:rsidP="002B283E">
      <w:pPr>
        <w:autoSpaceDE w:val="0"/>
        <w:autoSpaceDN w:val="0"/>
        <w:adjustRightInd w:val="0"/>
        <w:rPr>
          <w:rFonts w:cs="Times New Roman"/>
          <w:szCs w:val="24"/>
        </w:rPr>
      </w:pPr>
    </w:p>
    <w:p w14:paraId="4C44D801" w14:textId="134BF635" w:rsidR="006A4CD7" w:rsidRPr="002B283E" w:rsidRDefault="006A4CD7" w:rsidP="002B283E">
      <w:pPr>
        <w:autoSpaceDE w:val="0"/>
        <w:autoSpaceDN w:val="0"/>
        <w:adjustRightInd w:val="0"/>
        <w:rPr>
          <w:rFonts w:cs="Times New Roman"/>
          <w:szCs w:val="24"/>
        </w:rPr>
      </w:pPr>
      <w:r w:rsidRPr="002B283E">
        <w:rPr>
          <w:rFonts w:cs="Times New Roman"/>
          <w:szCs w:val="24"/>
        </w:rPr>
        <w:tab/>
        <w:t>Before you begin your deliberations, elect one member of the jury as your presiding juror.</w:t>
      </w:r>
      <w:r w:rsidR="0068795D">
        <w:rPr>
          <w:rFonts w:cs="Times New Roman"/>
          <w:szCs w:val="24"/>
        </w:rPr>
        <w:t xml:space="preserve"> </w:t>
      </w:r>
      <w:r w:rsidRPr="002B283E">
        <w:rPr>
          <w:rFonts w:cs="Times New Roman"/>
          <w:szCs w:val="24"/>
        </w:rPr>
        <w:t>The presiding juror will preside over the deliberations and serve as the spokesperson for the jury in court.</w:t>
      </w:r>
    </w:p>
    <w:p w14:paraId="081F785B" w14:textId="77777777" w:rsidR="006A4CD7" w:rsidRPr="002B283E" w:rsidRDefault="006A4CD7" w:rsidP="002B283E">
      <w:pPr>
        <w:autoSpaceDE w:val="0"/>
        <w:autoSpaceDN w:val="0"/>
        <w:adjustRightInd w:val="0"/>
        <w:rPr>
          <w:rFonts w:cs="Times New Roman"/>
          <w:szCs w:val="24"/>
        </w:rPr>
      </w:pPr>
    </w:p>
    <w:p w14:paraId="3A58F44E" w14:textId="6430FC49" w:rsidR="006A4CD7" w:rsidRPr="002B283E" w:rsidRDefault="006A4CD7" w:rsidP="002B283E">
      <w:pPr>
        <w:autoSpaceDE w:val="0"/>
        <w:autoSpaceDN w:val="0"/>
        <w:adjustRightInd w:val="0"/>
        <w:rPr>
          <w:rFonts w:cs="Times New Roman"/>
          <w:szCs w:val="24"/>
        </w:rPr>
      </w:pPr>
      <w:r w:rsidRPr="002B283E">
        <w:rPr>
          <w:rFonts w:cs="Times New Roman"/>
          <w:szCs w:val="24"/>
        </w:rPr>
        <w:tab/>
        <w:t>You shall diligently strive to reach agreement with all of the other jurors if you can do so.</w:t>
      </w:r>
      <w:r w:rsidR="0068795D">
        <w:rPr>
          <w:rFonts w:cs="Times New Roman"/>
          <w:szCs w:val="24"/>
        </w:rPr>
        <w:t xml:space="preserve"> </w:t>
      </w:r>
      <w:r w:rsidRPr="002B283E">
        <w:rPr>
          <w:rFonts w:cs="Times New Roman"/>
          <w:szCs w:val="24"/>
        </w:rPr>
        <w:t>Your verdict must be unanimous.</w:t>
      </w:r>
    </w:p>
    <w:p w14:paraId="01A1257D" w14:textId="77777777" w:rsidR="006A4CD7" w:rsidRPr="002B283E" w:rsidRDefault="006A4CD7" w:rsidP="002B283E">
      <w:pPr>
        <w:autoSpaceDE w:val="0"/>
        <w:autoSpaceDN w:val="0"/>
        <w:adjustRightInd w:val="0"/>
        <w:rPr>
          <w:rFonts w:cs="Times New Roman"/>
          <w:szCs w:val="24"/>
        </w:rPr>
      </w:pPr>
    </w:p>
    <w:p w14:paraId="1E27D50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must decide the case for yourself, but you should do so only after you have considered all of the evidence, discussed it fully with the other jurors, and listened to their views.</w:t>
      </w:r>
    </w:p>
    <w:p w14:paraId="79240BE3" w14:textId="77777777" w:rsidR="006A4CD7" w:rsidRPr="002B283E" w:rsidRDefault="006A4CD7" w:rsidP="002B283E">
      <w:pPr>
        <w:autoSpaceDE w:val="0"/>
        <w:autoSpaceDN w:val="0"/>
        <w:adjustRightInd w:val="0"/>
        <w:rPr>
          <w:rFonts w:cs="Times New Roman"/>
          <w:szCs w:val="24"/>
        </w:rPr>
      </w:pPr>
    </w:p>
    <w:p w14:paraId="76E8FE75" w14:textId="54312E1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2B283E">
        <w:rPr>
          <w:rFonts w:cs="Times New Roman"/>
          <w:szCs w:val="24"/>
        </w:rPr>
        <w:t>right or</w:t>
      </w:r>
      <w:r w:rsidRPr="002B283E">
        <w:rPr>
          <w:rFonts w:cs="Times New Roman"/>
          <w:szCs w:val="24"/>
        </w:rPr>
        <w:t xml:space="preserve"> change an honest belief about the weight and effect of the evidence simply to reach a verdict.</w:t>
      </w:r>
    </w:p>
    <w:p w14:paraId="6376C1D1" w14:textId="77777777" w:rsidR="006A4CD7" w:rsidRPr="002B283E" w:rsidRDefault="006A4CD7" w:rsidP="002B283E">
      <w:pPr>
        <w:autoSpaceDE w:val="0"/>
        <w:autoSpaceDN w:val="0"/>
        <w:adjustRightInd w:val="0"/>
        <w:rPr>
          <w:rFonts w:cs="Times New Roman"/>
          <w:szCs w:val="24"/>
        </w:rPr>
      </w:pPr>
    </w:p>
    <w:p w14:paraId="5DF65D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4F7734AA" w14:textId="77777777" w:rsidR="006A4CD7" w:rsidRPr="002B283E" w:rsidRDefault="006A4CD7" w:rsidP="002B283E">
      <w:pPr>
        <w:autoSpaceDE w:val="0"/>
        <w:autoSpaceDN w:val="0"/>
        <w:adjustRightInd w:val="0"/>
        <w:rPr>
          <w:rFonts w:cs="Times New Roman"/>
          <w:szCs w:val="24"/>
        </w:rPr>
      </w:pPr>
    </w:p>
    <w:p w14:paraId="2B2C3427" w14:textId="27486CA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jury verdict in a federal civil case must be unanimous, unless the parties stipulate otherwise. </w:t>
      </w:r>
      <w:r w:rsidRPr="002B283E">
        <w:rPr>
          <w:rFonts w:cs="Times New Roman"/>
          <w:i/>
          <w:iCs/>
          <w:szCs w:val="24"/>
        </w:rPr>
        <w:t>Murray v. Laborers Union Local No. 324</w:t>
      </w:r>
      <w:r w:rsidRPr="002B283E">
        <w:rPr>
          <w:rFonts w:cs="Times New Roman"/>
          <w:szCs w:val="24"/>
        </w:rPr>
        <w:t xml:space="preserve">, 55 F.3d 1445, 1451 (9th Cir. 1995) (citing </w:t>
      </w:r>
      <w:r w:rsidRPr="002B283E">
        <w:rPr>
          <w:rFonts w:cs="Times New Roman"/>
          <w:i/>
          <w:iCs/>
          <w:szCs w:val="24"/>
        </w:rPr>
        <w:t>Johnson v. Louisiana</w:t>
      </w:r>
      <w:r w:rsidRPr="002B283E">
        <w:rPr>
          <w:rFonts w:cs="Times New Roman"/>
          <w:szCs w:val="24"/>
        </w:rPr>
        <w:t xml:space="preserve">, 406 U.S. 356, 369-70 n.5 (1972)); </w:t>
      </w:r>
      <w:r w:rsidRPr="002B283E">
        <w:rPr>
          <w:rFonts w:cs="Times New Roman"/>
          <w:i/>
          <w:iCs/>
          <w:szCs w:val="24"/>
        </w:rPr>
        <w:t xml:space="preserve">see also </w:t>
      </w:r>
      <w:r w:rsidRPr="002B283E">
        <w:rPr>
          <w:rFonts w:cs="Times New Roman"/>
          <w:szCs w:val="24"/>
        </w:rPr>
        <w:t>Fed. R. Civ. P. 48(b). A federal civil jury must also unanimously reject any affirmative defenses before it may find a defendant liable and proceed to determine damages.</w:t>
      </w:r>
      <w:r w:rsidRPr="002B283E">
        <w:rPr>
          <w:rFonts w:cs="Times New Roman"/>
          <w:i/>
          <w:iCs/>
          <w:szCs w:val="24"/>
        </w:rPr>
        <w:t xml:space="preserve"> Jazzabi v. Allstate Ins. Co.</w:t>
      </w:r>
      <w:r w:rsidRPr="002B283E">
        <w:rPr>
          <w:rFonts w:cs="Times New Roman"/>
          <w:szCs w:val="24"/>
        </w:rPr>
        <w:t>, 278 F.3d 979, 985 (9th Cir. 2002).</w:t>
      </w:r>
    </w:p>
    <w:p w14:paraId="59D98034" w14:textId="77777777" w:rsidR="006A4CD7" w:rsidRPr="002B283E" w:rsidRDefault="006A4CD7" w:rsidP="002B283E">
      <w:pPr>
        <w:autoSpaceDE w:val="0"/>
        <w:autoSpaceDN w:val="0"/>
        <w:adjustRightInd w:val="0"/>
        <w:rPr>
          <w:rFonts w:cs="Times New Roman"/>
          <w:szCs w:val="24"/>
        </w:rPr>
      </w:pPr>
    </w:p>
    <w:p w14:paraId="08182209" w14:textId="7AF1B5FE" w:rsidR="006A4CD7" w:rsidRPr="002B283E" w:rsidRDefault="006A4CD7" w:rsidP="002B283E">
      <w:pPr>
        <w:pStyle w:val="Heading2"/>
      </w:pPr>
      <w:r w:rsidRPr="002B283E">
        <w:br w:type="page"/>
      </w:r>
      <w:bookmarkStart w:id="52" w:name="_Toc221525102"/>
      <w:r w:rsidRPr="002B283E">
        <w:lastRenderedPageBreak/>
        <w:t>3.2 C</w:t>
      </w:r>
      <w:r w:rsidR="00A25782" w:rsidRPr="002B283E">
        <w:t>onsideration</w:t>
      </w:r>
      <w:r w:rsidRPr="002B283E">
        <w:t xml:space="preserve"> </w:t>
      </w:r>
      <w:r w:rsidR="00A25782" w:rsidRPr="002B283E">
        <w:t>of</w:t>
      </w:r>
      <w:r w:rsidRPr="002B283E">
        <w:t xml:space="preserve"> E</w:t>
      </w:r>
      <w:r w:rsidR="00A25782" w:rsidRPr="002B283E">
        <w:t>vidence</w:t>
      </w:r>
      <w:r w:rsidRPr="002B283E">
        <w:t>—C</w:t>
      </w:r>
      <w:r w:rsidR="00A25782" w:rsidRPr="002B283E">
        <w:t>onduct</w:t>
      </w:r>
      <w:r w:rsidRPr="002B283E">
        <w:t xml:space="preserve"> </w:t>
      </w:r>
      <w:r w:rsidR="00A25782" w:rsidRPr="002B283E">
        <w:t>of</w:t>
      </w:r>
      <w:r w:rsidRPr="002B283E">
        <w:t xml:space="preserve"> </w:t>
      </w:r>
      <w:r w:rsidR="00A25782" w:rsidRPr="002B283E">
        <w:t>the</w:t>
      </w:r>
      <w:r w:rsidRPr="002B283E">
        <w:t xml:space="preserve"> J</w:t>
      </w:r>
      <w:r w:rsidR="00A25782" w:rsidRPr="002B283E">
        <w:t>ury</w:t>
      </w:r>
      <w:bookmarkEnd w:id="52"/>
    </w:p>
    <w:p w14:paraId="20DE7043" w14:textId="77777777" w:rsidR="006A4CD7" w:rsidRPr="002B283E" w:rsidRDefault="006A4CD7" w:rsidP="002B283E">
      <w:pPr>
        <w:autoSpaceDE w:val="0"/>
        <w:autoSpaceDN w:val="0"/>
        <w:adjustRightInd w:val="0"/>
        <w:rPr>
          <w:rFonts w:cs="Times New Roman"/>
          <w:szCs w:val="24"/>
        </w:rPr>
      </w:pPr>
    </w:p>
    <w:p w14:paraId="10858EA3" w14:textId="207C5640" w:rsidR="006A4CD7" w:rsidRPr="002B283E" w:rsidRDefault="006A4CD7" w:rsidP="002B283E">
      <w:pPr>
        <w:autoSpaceDE w:val="0"/>
        <w:autoSpaceDN w:val="0"/>
        <w:adjustRightInd w:val="0"/>
        <w:rPr>
          <w:rFonts w:cs="Times New Roman"/>
          <w:szCs w:val="24"/>
        </w:rPr>
      </w:pPr>
      <w:r w:rsidRPr="002B283E">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2B283E" w:rsidRDefault="006A4CD7" w:rsidP="002B283E">
      <w:pPr>
        <w:autoSpaceDE w:val="0"/>
        <w:autoSpaceDN w:val="0"/>
        <w:adjustRightInd w:val="0"/>
        <w:rPr>
          <w:rFonts w:cs="Times New Roman"/>
          <w:szCs w:val="24"/>
        </w:rPr>
      </w:pPr>
    </w:p>
    <w:p w14:paraId="2650A238" w14:textId="342351CE" w:rsidR="00177034" w:rsidRPr="002B283E" w:rsidRDefault="00177034" w:rsidP="002B283E">
      <w:pPr>
        <w:autoSpaceDE w:val="0"/>
        <w:autoSpaceDN w:val="0"/>
        <w:adjustRightInd w:val="0"/>
        <w:ind w:left="720" w:right="720"/>
        <w:jc w:val="both"/>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w:t>
      </w:r>
      <w:r w:rsidR="00087D1A" w:rsidRPr="00087D1A">
        <w:rPr>
          <w:rFonts w:cs="Times New Roman"/>
          <w:szCs w:val="24"/>
        </w:rPr>
        <w:t>the platform “X” formerly known as Twitter</w:t>
      </w:r>
      <w:r w:rsidRPr="002B283E">
        <w:rPr>
          <w:rFonts w:cs="Times New Roman"/>
          <w:szCs w:val="24"/>
        </w:rPr>
        <w:t xml:space="preserve">,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2B283E" w:rsidRDefault="00177034" w:rsidP="002B283E">
      <w:pPr>
        <w:autoSpaceDE w:val="0"/>
        <w:autoSpaceDN w:val="0"/>
        <w:adjustRightInd w:val="0"/>
        <w:ind w:left="720" w:right="720"/>
        <w:rPr>
          <w:rFonts w:cs="Times New Roman"/>
          <w:szCs w:val="24"/>
        </w:rPr>
      </w:pPr>
    </w:p>
    <w:p w14:paraId="5E4568D1" w14:textId="5EFA4F89" w:rsidR="006A4CD7" w:rsidRPr="002B283E" w:rsidRDefault="00177034" w:rsidP="002B283E">
      <w:pPr>
        <w:autoSpaceDE w:val="0"/>
        <w:autoSpaceDN w:val="0"/>
        <w:adjustRightInd w:val="0"/>
        <w:ind w:left="720" w:right="720"/>
        <w:jc w:val="both"/>
        <w:rPr>
          <w:rFonts w:cs="Times New Roman"/>
          <w:szCs w:val="24"/>
        </w:rPr>
      </w:pPr>
      <w:r w:rsidRPr="002B283E">
        <w:rPr>
          <w:rFonts w:cs="Times New Roman"/>
          <w:szCs w:val="24"/>
        </w:rPr>
        <w:t xml:space="preserve">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2B283E">
        <w:rPr>
          <w:rFonts w:cs="Times New Roman"/>
          <w:szCs w:val="24"/>
        </w:rPr>
        <w:t>witnesses,</w:t>
      </w:r>
      <w:r w:rsidRPr="002B283E">
        <w:rPr>
          <w:rFonts w:cs="Times New Roman"/>
          <w:szCs w:val="24"/>
        </w:rPr>
        <w:t xml:space="preserve"> or the lawyers—until you have been excused as jurors.</w:t>
      </w:r>
      <w:r w:rsidR="0068795D">
        <w:rPr>
          <w:rFonts w:cs="Times New Roman"/>
          <w:szCs w:val="24"/>
        </w:rPr>
        <w:t xml:space="preserve"> </w:t>
      </w:r>
      <w:r w:rsidRPr="002B283E">
        <w:rPr>
          <w:rFonts w:cs="Times New Roman"/>
          <w:szCs w:val="24"/>
        </w:rPr>
        <w:t>If you happen to read or hear anything touching on this case in the media, turn away and report it to me as soon as possible</w:t>
      </w:r>
      <w:r w:rsidR="006A4CD7" w:rsidRPr="002B283E">
        <w:rPr>
          <w:rFonts w:cs="Times New Roman"/>
          <w:szCs w:val="24"/>
        </w:rPr>
        <w:t>.</w:t>
      </w:r>
    </w:p>
    <w:p w14:paraId="27D309DF" w14:textId="77777777" w:rsidR="006A4CD7" w:rsidRPr="002B283E" w:rsidRDefault="006A4CD7" w:rsidP="002B283E">
      <w:pPr>
        <w:autoSpaceDE w:val="0"/>
        <w:autoSpaceDN w:val="0"/>
        <w:adjustRightInd w:val="0"/>
        <w:jc w:val="both"/>
        <w:rPr>
          <w:rFonts w:cs="Times New Roman"/>
          <w:szCs w:val="24"/>
        </w:rPr>
      </w:pPr>
    </w:p>
    <w:p w14:paraId="1ECDAB83" w14:textId="04C70435" w:rsidR="006A4CD7" w:rsidRPr="002B283E" w:rsidRDefault="006A4CD7" w:rsidP="002B283E">
      <w:pPr>
        <w:autoSpaceDE w:val="0"/>
        <w:autoSpaceDN w:val="0"/>
        <w:adjustRightInd w:val="0"/>
        <w:rPr>
          <w:rFonts w:cs="Times New Roman"/>
          <w:szCs w:val="24"/>
        </w:rPr>
      </w:pPr>
      <w:r w:rsidRPr="002B283E">
        <w:rPr>
          <w:rFonts w:cs="Times New Roman"/>
          <w:szCs w:val="24"/>
        </w:rPr>
        <w:tab/>
        <w:t>These rules protect each party’s right to have this case decided only on evidence</w:t>
      </w:r>
      <w:r w:rsidR="0068795D">
        <w:rPr>
          <w:rFonts w:cs="Times New Roman"/>
          <w:szCs w:val="24"/>
        </w:rPr>
        <w:t xml:space="preserve"> </w:t>
      </w:r>
      <w:r w:rsidRPr="002B283E">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2B283E">
        <w:rPr>
          <w:rFonts w:cs="Times New Roman"/>
          <w:szCs w:val="24"/>
        </w:rPr>
        <w:t>incomplete,</w:t>
      </w:r>
      <w:r w:rsidRPr="002B283E">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w:t>
      </w:r>
      <w:r w:rsidR="0068795D">
        <w:rPr>
          <w:rFonts w:cs="Times New Roman"/>
          <w:szCs w:val="24"/>
        </w:rPr>
        <w:t xml:space="preserve"> </w:t>
      </w:r>
      <w:r w:rsidRPr="002B283E">
        <w:rPr>
          <w:rFonts w:cs="Times New Roman"/>
          <w:szCs w:val="24"/>
        </w:rPr>
        <w:t>Remember, you have taken an oath to follow the rules, and it is very</w:t>
      </w:r>
      <w:r w:rsidR="002B1D90" w:rsidRPr="002B283E">
        <w:rPr>
          <w:rFonts w:cs="Times New Roman"/>
          <w:szCs w:val="24"/>
        </w:rPr>
        <w:t xml:space="preserve"> </w:t>
      </w:r>
      <w:r w:rsidRPr="002B283E">
        <w:rPr>
          <w:rFonts w:cs="Times New Roman"/>
          <w:szCs w:val="24"/>
        </w:rPr>
        <w:t>important that you follow these rules.</w:t>
      </w:r>
    </w:p>
    <w:p w14:paraId="53398A3E" w14:textId="77777777" w:rsidR="006A4CD7" w:rsidRPr="002B283E" w:rsidRDefault="006A4CD7" w:rsidP="002B283E">
      <w:pPr>
        <w:autoSpaceDE w:val="0"/>
        <w:autoSpaceDN w:val="0"/>
        <w:adjustRightInd w:val="0"/>
        <w:rPr>
          <w:rFonts w:cs="Times New Roman"/>
          <w:szCs w:val="24"/>
        </w:rPr>
      </w:pPr>
    </w:p>
    <w:p w14:paraId="5B2DD8DC" w14:textId="4D74E86B" w:rsidR="008A3CE4" w:rsidRPr="002B3F77" w:rsidRDefault="006A4CD7" w:rsidP="002B3F77">
      <w:pPr>
        <w:autoSpaceDE w:val="0"/>
        <w:autoSpaceDN w:val="0"/>
        <w:adjustRightInd w:val="0"/>
        <w:rPr>
          <w:rFonts w:cs="Times New Roman"/>
          <w:szCs w:val="24"/>
        </w:rPr>
      </w:pPr>
      <w:r w:rsidRPr="002B283E">
        <w:rPr>
          <w:rFonts w:cs="Times New Roman"/>
          <w:szCs w:val="24"/>
        </w:rPr>
        <w:tab/>
        <w:t xml:space="preserve">A juror who violates these restrictions jeopardizes the fairness of these </w:t>
      </w:r>
      <w:r w:rsidR="008A3CE4" w:rsidRPr="002B283E">
        <w:rPr>
          <w:rFonts w:cs="Times New Roman"/>
          <w:szCs w:val="24"/>
        </w:rPr>
        <w:t>proceedings[</w:t>
      </w:r>
      <w:r w:rsidRPr="002B283E">
        <w:rPr>
          <w:rFonts w:cs="Times New Roman"/>
          <w:szCs w:val="24"/>
        </w:rPr>
        <w:t>, and a mistrial could result that would require the entire trial process to start over]. If any juror is exposed to any outside information, please notify the court immediately.</w:t>
      </w:r>
    </w:p>
    <w:p w14:paraId="2B47E90D" w14:textId="2064C2A3" w:rsidR="009958B1" w:rsidRPr="002B283E" w:rsidRDefault="00177034" w:rsidP="002B283E">
      <w:pPr>
        <w:autoSpaceDE w:val="0"/>
        <w:autoSpaceDN w:val="0"/>
        <w:adjustRightInd w:val="0"/>
        <w:jc w:val="right"/>
        <w:rPr>
          <w:rFonts w:cs="Times New Roman"/>
          <w:i/>
          <w:iCs/>
          <w:szCs w:val="24"/>
        </w:rPr>
      </w:pPr>
      <w:r w:rsidRPr="002B283E">
        <w:rPr>
          <w:rFonts w:cs="Times New Roman"/>
          <w:i/>
          <w:iCs/>
          <w:szCs w:val="24"/>
        </w:rPr>
        <w:t>Revised Dec. 2020</w:t>
      </w:r>
    </w:p>
    <w:p w14:paraId="548BB643" w14:textId="77777777" w:rsidR="00E546CD" w:rsidRPr="002B283E" w:rsidRDefault="00E546CD" w:rsidP="002B283E">
      <w:pPr>
        <w:autoSpaceDE w:val="0"/>
        <w:autoSpaceDN w:val="0"/>
        <w:adjustRightInd w:val="0"/>
        <w:jc w:val="right"/>
        <w:rPr>
          <w:rFonts w:cs="Times New Roman"/>
          <w:i/>
          <w:iCs/>
          <w:szCs w:val="24"/>
        </w:rPr>
      </w:pPr>
    </w:p>
    <w:p w14:paraId="119C5ED9" w14:textId="77777777" w:rsidR="007D2DBF" w:rsidRPr="002B283E" w:rsidRDefault="007D2DBF" w:rsidP="002B283E">
      <w:pPr>
        <w:autoSpaceDE w:val="0"/>
        <w:autoSpaceDN w:val="0"/>
        <w:adjustRightInd w:val="0"/>
        <w:jc w:val="right"/>
        <w:rPr>
          <w:rFonts w:cs="Times New Roman"/>
          <w:i/>
          <w:iCs/>
          <w:szCs w:val="24"/>
        </w:rPr>
      </w:pPr>
    </w:p>
    <w:p w14:paraId="1AC20EB0" w14:textId="77777777" w:rsidR="007D2DBF" w:rsidRPr="002B283E" w:rsidRDefault="007D2DBF" w:rsidP="002B283E">
      <w:pPr>
        <w:autoSpaceDE w:val="0"/>
        <w:autoSpaceDN w:val="0"/>
        <w:adjustRightInd w:val="0"/>
        <w:jc w:val="right"/>
        <w:rPr>
          <w:rFonts w:cs="Times New Roman"/>
          <w:i/>
          <w:iCs/>
          <w:szCs w:val="24"/>
        </w:rPr>
      </w:pPr>
    </w:p>
    <w:p w14:paraId="0594410E" w14:textId="2C157C9E" w:rsidR="006A4CD7" w:rsidRPr="002B283E" w:rsidRDefault="006A4CD7" w:rsidP="002B283E">
      <w:pPr>
        <w:pStyle w:val="Heading2"/>
      </w:pPr>
      <w:bookmarkStart w:id="53" w:name="_Toc221525103"/>
      <w:r w:rsidRPr="002B283E">
        <w:t>3.3 C</w:t>
      </w:r>
      <w:r w:rsidR="00A25782" w:rsidRPr="002B283E">
        <w:t>ommunication</w:t>
      </w:r>
      <w:r w:rsidRPr="002B283E">
        <w:t xml:space="preserve"> </w:t>
      </w:r>
      <w:r w:rsidR="00A25782" w:rsidRPr="002B283E">
        <w:t>with</w:t>
      </w:r>
      <w:r w:rsidRPr="002B283E">
        <w:t xml:space="preserve"> C</w:t>
      </w:r>
      <w:r w:rsidR="00A25782" w:rsidRPr="002B283E">
        <w:t>ourt</w:t>
      </w:r>
      <w:bookmarkEnd w:id="53"/>
    </w:p>
    <w:p w14:paraId="23905BC7" w14:textId="77777777" w:rsidR="006A4CD7" w:rsidRPr="002B283E" w:rsidRDefault="006A4CD7" w:rsidP="002B283E">
      <w:pPr>
        <w:autoSpaceDE w:val="0"/>
        <w:autoSpaceDN w:val="0"/>
        <w:adjustRightInd w:val="0"/>
        <w:rPr>
          <w:rFonts w:cs="Times New Roman"/>
          <w:szCs w:val="24"/>
        </w:rPr>
      </w:pPr>
    </w:p>
    <w:p w14:paraId="741DA2C7" w14:textId="111D9D9F" w:rsidR="006A4CD7" w:rsidRPr="002B283E" w:rsidRDefault="006A4CD7" w:rsidP="002B283E">
      <w:pPr>
        <w:autoSpaceDE w:val="0"/>
        <w:autoSpaceDN w:val="0"/>
        <w:adjustRightInd w:val="0"/>
        <w:rPr>
          <w:rFonts w:cs="Times New Roman"/>
          <w:szCs w:val="24"/>
        </w:rPr>
      </w:pPr>
      <w:r w:rsidRPr="002B283E">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2B283E" w:rsidRDefault="006A4CD7" w:rsidP="002B283E">
      <w:pPr>
        <w:autoSpaceDE w:val="0"/>
        <w:autoSpaceDN w:val="0"/>
        <w:adjustRightInd w:val="0"/>
        <w:rPr>
          <w:rFonts w:cs="Times New Roman"/>
          <w:szCs w:val="24"/>
        </w:rPr>
      </w:pPr>
    </w:p>
    <w:p w14:paraId="3D4E262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A1B813C" w14:textId="77777777" w:rsidR="006A4CD7" w:rsidRPr="002B283E" w:rsidRDefault="006A4CD7" w:rsidP="002B283E">
      <w:pPr>
        <w:rPr>
          <w:rFonts w:cs="Times New Roman"/>
          <w:szCs w:val="24"/>
        </w:rPr>
      </w:pPr>
    </w:p>
    <w:p w14:paraId="0C39C26D" w14:textId="65D6D996" w:rsidR="006A4CD7" w:rsidRPr="002B283E" w:rsidRDefault="006A4CD7" w:rsidP="002B283E">
      <w:pPr>
        <w:autoSpaceDE w:val="0"/>
        <w:autoSpaceDN w:val="0"/>
        <w:adjustRightInd w:val="0"/>
        <w:rPr>
          <w:rFonts w:cs="Times New Roman"/>
          <w:szCs w:val="24"/>
        </w:rPr>
      </w:pPr>
      <w:r w:rsidRPr="002B283E">
        <w:rPr>
          <w:rFonts w:cs="Times New Roman"/>
          <w:szCs w:val="24"/>
        </w:rPr>
        <w:tab/>
        <w:t>For guidance on the general procedures regarding jury questions during deliberations</w:t>
      </w:r>
      <w:r w:rsidRPr="002B283E">
        <w:rPr>
          <w:rFonts w:cs="Times New Roman"/>
          <w:i/>
          <w:iCs/>
          <w:szCs w:val="24"/>
        </w:rPr>
        <w:t xml:space="preserve">, see </w:t>
      </w:r>
      <w:bookmarkStart w:id="54" w:name="_Hlk211954675"/>
      <w:r w:rsidR="002B3F77">
        <w:rPr>
          <w:rFonts w:cs="Times New Roman"/>
          <w:smallCaps/>
          <w:szCs w:val="24"/>
        </w:rPr>
        <w:t>Ninth Circuit Judges’ Trial Manual</w:t>
      </w:r>
      <w:r w:rsidR="0068795D" w:rsidRPr="002B283E">
        <w:rPr>
          <w:rFonts w:cs="Times New Roman"/>
          <w:szCs w:val="24"/>
        </w:rPr>
        <w:t xml:space="preserve"> </w:t>
      </w:r>
      <w:r w:rsidRPr="002B283E">
        <w:rPr>
          <w:rFonts w:cs="Times New Roman"/>
          <w:szCs w:val="24"/>
        </w:rPr>
        <w:t>§ 5</w:t>
      </w:r>
      <w:r w:rsidRPr="00B2200B">
        <w:rPr>
          <w:rFonts w:cs="Times New Roman"/>
          <w:smallCaps/>
          <w:szCs w:val="24"/>
        </w:rPr>
        <w:t>.</w:t>
      </w:r>
      <w:r w:rsidR="002B3F77" w:rsidRPr="00B2200B">
        <w:rPr>
          <w:rFonts w:cs="Times New Roman"/>
          <w:smallCaps/>
          <w:szCs w:val="24"/>
        </w:rPr>
        <w:t>2</w:t>
      </w:r>
      <w:r w:rsidR="00B2200B" w:rsidRPr="00B2200B">
        <w:rPr>
          <w:rFonts w:cs="Times New Roman"/>
          <w:smallCaps/>
          <w:szCs w:val="24"/>
        </w:rPr>
        <w:t>:</w:t>
      </w:r>
      <w:r w:rsidR="00B2200B" w:rsidRPr="00B2200B">
        <w:rPr>
          <w:smallCaps/>
        </w:rPr>
        <w:t xml:space="preserve"> </w:t>
      </w:r>
      <w:r w:rsidR="00B2200B" w:rsidRPr="00B2200B">
        <w:rPr>
          <w:rFonts w:cs="Times New Roman"/>
          <w:smallCaps/>
          <w:szCs w:val="24"/>
        </w:rPr>
        <w:t>Questions from Jury During Deliberations</w:t>
      </w:r>
      <w:r w:rsidRPr="00B2200B">
        <w:rPr>
          <w:rFonts w:cs="Times New Roman"/>
          <w:smallCaps/>
          <w:szCs w:val="24"/>
        </w:rPr>
        <w:t xml:space="preserve"> </w:t>
      </w:r>
      <w:r w:rsidRPr="002B283E">
        <w:rPr>
          <w:rFonts w:cs="Times New Roman"/>
          <w:szCs w:val="24"/>
        </w:rPr>
        <w:t>(20</w:t>
      </w:r>
      <w:r w:rsidR="002B3F77">
        <w:rPr>
          <w:rFonts w:cs="Times New Roman"/>
          <w:szCs w:val="24"/>
        </w:rPr>
        <w:t>25</w:t>
      </w:r>
      <w:r w:rsidRPr="002B283E">
        <w:rPr>
          <w:rFonts w:cs="Times New Roman"/>
          <w:szCs w:val="24"/>
        </w:rPr>
        <w:t>).</w:t>
      </w:r>
    </w:p>
    <w:bookmarkEnd w:id="54"/>
    <w:p w14:paraId="1EE48B2B" w14:textId="77777777" w:rsidR="006A4CD7" w:rsidRPr="002B283E" w:rsidRDefault="006A4CD7" w:rsidP="002B283E">
      <w:pPr>
        <w:autoSpaceDE w:val="0"/>
        <w:autoSpaceDN w:val="0"/>
        <w:adjustRightInd w:val="0"/>
        <w:rPr>
          <w:rFonts w:cs="Times New Roman"/>
          <w:szCs w:val="24"/>
        </w:rPr>
      </w:pPr>
    </w:p>
    <w:p w14:paraId="40BBB39B" w14:textId="77777777" w:rsidR="006A4CD7" w:rsidRPr="002B283E" w:rsidRDefault="006A4CD7" w:rsidP="002B283E">
      <w:pPr>
        <w:autoSpaceDE w:val="0"/>
        <w:autoSpaceDN w:val="0"/>
        <w:adjustRightInd w:val="0"/>
        <w:rPr>
          <w:rFonts w:cs="Times New Roman"/>
          <w:szCs w:val="24"/>
        </w:rPr>
      </w:pPr>
    </w:p>
    <w:p w14:paraId="7BE629FB" w14:textId="03BF4F14" w:rsidR="006A4CD7" w:rsidRPr="002B283E" w:rsidRDefault="006A4CD7" w:rsidP="002B283E">
      <w:pPr>
        <w:pStyle w:val="Heading2"/>
      </w:pPr>
      <w:r w:rsidRPr="002B283E">
        <w:br w:type="page"/>
      </w:r>
      <w:bookmarkStart w:id="55" w:name="_Toc221525104"/>
      <w:r w:rsidRPr="002B283E">
        <w:lastRenderedPageBreak/>
        <w:t>3.4 R</w:t>
      </w:r>
      <w:r w:rsidR="00A25782" w:rsidRPr="002B283E">
        <w:t>eadback</w:t>
      </w:r>
      <w:r w:rsidRPr="002B283E">
        <w:t xml:space="preserve"> </w:t>
      </w:r>
      <w:r w:rsidR="00A25782" w:rsidRPr="002B283E">
        <w:t>or</w:t>
      </w:r>
      <w:r w:rsidRPr="002B283E">
        <w:t xml:space="preserve"> P</w:t>
      </w:r>
      <w:r w:rsidR="00A25782" w:rsidRPr="002B283E">
        <w:t>layback</w:t>
      </w:r>
      <w:bookmarkEnd w:id="55"/>
    </w:p>
    <w:p w14:paraId="47E578DF" w14:textId="77777777" w:rsidR="006A4CD7" w:rsidRPr="002B283E" w:rsidRDefault="006A4CD7" w:rsidP="002B283E">
      <w:pPr>
        <w:autoSpaceDE w:val="0"/>
        <w:autoSpaceDN w:val="0"/>
        <w:adjustRightInd w:val="0"/>
        <w:rPr>
          <w:rFonts w:cs="Times New Roman"/>
          <w:szCs w:val="24"/>
        </w:rPr>
      </w:pPr>
    </w:p>
    <w:p w14:paraId="495AD210"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3C397B7E" w14:textId="77777777" w:rsidR="006A4CD7" w:rsidRPr="002B283E" w:rsidRDefault="006A4CD7" w:rsidP="002B283E">
      <w:pPr>
        <w:autoSpaceDE w:val="0"/>
        <w:autoSpaceDN w:val="0"/>
        <w:adjustRightInd w:val="0"/>
        <w:rPr>
          <w:rFonts w:cs="Times New Roman"/>
          <w:szCs w:val="24"/>
        </w:rPr>
      </w:pPr>
    </w:p>
    <w:p w14:paraId="044355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during jury deliberations a request is made by the jury or by one or more jurors for a readback of a portion or all of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2B283E" w:rsidRDefault="006A4CD7" w:rsidP="002B283E">
      <w:pPr>
        <w:autoSpaceDE w:val="0"/>
        <w:autoSpaceDN w:val="0"/>
        <w:adjustRightInd w:val="0"/>
        <w:ind w:left="720" w:right="720"/>
        <w:rPr>
          <w:rFonts w:cs="Times New Roman"/>
          <w:szCs w:val="24"/>
        </w:rPr>
      </w:pPr>
    </w:p>
    <w:p w14:paraId="50252D8A" w14:textId="6CE33E05" w:rsidR="006A4CD7" w:rsidRPr="002B283E" w:rsidRDefault="006A4CD7" w:rsidP="004E2859">
      <w:pPr>
        <w:tabs>
          <w:tab w:val="left" w:pos="1980"/>
        </w:tabs>
        <w:autoSpaceDE w:val="0"/>
        <w:autoSpaceDN w:val="0"/>
        <w:adjustRightInd w:val="0"/>
        <w:ind w:left="720" w:right="720"/>
        <w:jc w:val="both"/>
        <w:rPr>
          <w:rFonts w:cs="Times New Roman"/>
          <w:szCs w:val="24"/>
        </w:rPr>
      </w:pPr>
      <w:r w:rsidRPr="002B283E">
        <w:rPr>
          <w:rFonts w:cs="Times New Roman"/>
          <w:szCs w:val="24"/>
        </w:rPr>
        <w:t>Because a request has been made for a [readback] [playback] of the testimony of [</w:t>
      </w:r>
      <w:r w:rsidRPr="002B283E">
        <w:rPr>
          <w:rFonts w:cs="Times New Roman"/>
          <w:i/>
          <w:iCs/>
          <w:szCs w:val="24"/>
          <w:u w:val="single"/>
        </w:rPr>
        <w:t>witness’s name</w:t>
      </w:r>
      <w:r w:rsidRPr="002B283E">
        <w:rPr>
          <w:rFonts w:cs="Times New Roman"/>
          <w:szCs w:val="24"/>
        </w:rPr>
        <w:t>]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w:t>
      </w:r>
      <w:r w:rsidR="0068795D">
        <w:rPr>
          <w:rFonts w:cs="Times New Roman"/>
          <w:szCs w:val="24"/>
        </w:rPr>
        <w:t xml:space="preserve"> </w:t>
      </w:r>
      <w:r w:rsidRPr="002B283E">
        <w:rPr>
          <w:rFonts w:cs="Times New Roman"/>
          <w:szCs w:val="24"/>
        </w:rPr>
        <w:t xml:space="preserve">The [readback] [playback] could contain errors. The [readback] [playback] cannot reflect matters of demeanor[, tone of voice,] and other aspects of the live testimony. Your recollection and understanding of the testimony controls. Finally, in your exercise of judgment, the testimony [read] [played] cannot be considered in </w:t>
      </w:r>
      <w:r w:rsidR="008A3CE4" w:rsidRPr="002B283E">
        <w:rPr>
          <w:rFonts w:cs="Times New Roman"/>
          <w:szCs w:val="24"/>
        </w:rPr>
        <w:t>isolation but</w:t>
      </w:r>
      <w:r w:rsidRPr="002B283E">
        <w:rPr>
          <w:rFonts w:cs="Times New Roman"/>
          <w:szCs w:val="24"/>
        </w:rPr>
        <w:t xml:space="preserve"> must be considered in the context of all the evidence presented.</w:t>
      </w:r>
    </w:p>
    <w:p w14:paraId="3D50E04C" w14:textId="77777777" w:rsidR="006A4CD7" w:rsidRPr="002B283E" w:rsidRDefault="006A4CD7" w:rsidP="002B283E">
      <w:pPr>
        <w:autoSpaceDE w:val="0"/>
        <w:autoSpaceDN w:val="0"/>
        <w:adjustRightInd w:val="0"/>
        <w:ind w:left="2880" w:right="720" w:hanging="720"/>
        <w:rPr>
          <w:rFonts w:cs="Times New Roman"/>
          <w:i/>
          <w:iCs/>
          <w:szCs w:val="24"/>
        </w:rPr>
      </w:pPr>
    </w:p>
    <w:p w14:paraId="5EE632E5" w14:textId="4133DAC6" w:rsidR="002B3F77" w:rsidRPr="002B283E" w:rsidRDefault="006A4CD7" w:rsidP="002B3F77">
      <w:pPr>
        <w:autoSpaceDE w:val="0"/>
        <w:autoSpaceDN w:val="0"/>
        <w:adjustRightInd w:val="0"/>
        <w:rPr>
          <w:rFonts w:cs="Times New Roman"/>
          <w:szCs w:val="24"/>
        </w:rPr>
      </w:pPr>
      <w:r w:rsidRPr="002B283E">
        <w:rPr>
          <w:rFonts w:cs="Times New Roman"/>
          <w:szCs w:val="24"/>
        </w:rPr>
        <w:tab/>
        <w:t>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w:t>
      </w:r>
      <w:r w:rsidRPr="002B283E">
        <w:rPr>
          <w:rFonts w:cs="Times New Roman"/>
          <w:i/>
          <w:iCs/>
          <w:szCs w:val="24"/>
        </w:rPr>
        <w:t xml:space="preserve"> See United States v. Newhoff</w:t>
      </w:r>
      <w:r w:rsidRPr="002B283E">
        <w:rPr>
          <w:rFonts w:cs="Times New Roman"/>
          <w:szCs w:val="24"/>
        </w:rPr>
        <w:t xml:space="preserve">, 627 F.3d 1163, 1167 (9th Cir. 2010); </w:t>
      </w:r>
      <w:r w:rsidRPr="002B283E">
        <w:rPr>
          <w:rFonts w:cs="Times New Roman"/>
          <w:i/>
          <w:iCs/>
          <w:szCs w:val="24"/>
        </w:rPr>
        <w:t xml:space="preserve">see also </w:t>
      </w:r>
      <w:bookmarkStart w:id="56" w:name="_Hlk211954792"/>
      <w:r w:rsidR="002B3F77">
        <w:rPr>
          <w:rFonts w:cs="Times New Roman"/>
          <w:smallCaps/>
          <w:szCs w:val="24"/>
        </w:rPr>
        <w:t>Ninth Circuit Judges’ Trial Manual</w:t>
      </w:r>
      <w:r w:rsidR="002B3F77" w:rsidRPr="002B283E">
        <w:rPr>
          <w:rFonts w:cs="Times New Roman"/>
          <w:szCs w:val="24"/>
        </w:rPr>
        <w:t xml:space="preserve"> § 5.</w:t>
      </w:r>
      <w:r w:rsidR="002B3F77">
        <w:rPr>
          <w:rFonts w:cs="Times New Roman"/>
          <w:szCs w:val="24"/>
        </w:rPr>
        <w:t>3</w:t>
      </w:r>
      <w:r w:rsidR="00B2200B">
        <w:rPr>
          <w:rFonts w:cs="Times New Roman"/>
          <w:szCs w:val="24"/>
        </w:rPr>
        <w:t xml:space="preserve">: </w:t>
      </w:r>
      <w:r w:rsidR="00B2200B" w:rsidRPr="00B2200B">
        <w:rPr>
          <w:rFonts w:cs="Times New Roman"/>
          <w:smallCaps/>
          <w:szCs w:val="24"/>
        </w:rPr>
        <w:t>Readback (or Playback) of Testimony</w:t>
      </w:r>
      <w:r w:rsidR="002B3F77" w:rsidRPr="002B3F77">
        <w:rPr>
          <w:rFonts w:cs="Times New Roman"/>
          <w:smallCaps/>
          <w:szCs w:val="24"/>
        </w:rPr>
        <w:t xml:space="preserve"> </w:t>
      </w:r>
      <w:r w:rsidR="002B3F77" w:rsidRPr="002B283E">
        <w:rPr>
          <w:rFonts w:cs="Times New Roman"/>
          <w:szCs w:val="24"/>
        </w:rPr>
        <w:t>(20</w:t>
      </w:r>
      <w:r w:rsidR="002B3F77">
        <w:rPr>
          <w:rFonts w:cs="Times New Roman"/>
          <w:szCs w:val="24"/>
        </w:rPr>
        <w:t>25</w:t>
      </w:r>
      <w:r w:rsidR="002B3F77" w:rsidRPr="002B283E">
        <w:rPr>
          <w:rFonts w:cs="Times New Roman"/>
          <w:szCs w:val="24"/>
        </w:rPr>
        <w:t>).</w:t>
      </w:r>
    </w:p>
    <w:p w14:paraId="06BA4C5E" w14:textId="403B74CD" w:rsidR="006A4CD7" w:rsidRPr="002B283E" w:rsidRDefault="006A4CD7" w:rsidP="002B283E">
      <w:pPr>
        <w:autoSpaceDE w:val="0"/>
        <w:autoSpaceDN w:val="0"/>
        <w:adjustRightInd w:val="0"/>
        <w:rPr>
          <w:rFonts w:cs="Times New Roman"/>
          <w:szCs w:val="24"/>
        </w:rPr>
      </w:pPr>
    </w:p>
    <w:bookmarkEnd w:id="56"/>
    <w:p w14:paraId="341056A4" w14:textId="77777777" w:rsidR="006A4CD7" w:rsidRPr="002B283E" w:rsidRDefault="006A4CD7" w:rsidP="002B283E">
      <w:pPr>
        <w:autoSpaceDE w:val="0"/>
        <w:autoSpaceDN w:val="0"/>
        <w:adjustRightInd w:val="0"/>
        <w:rPr>
          <w:rFonts w:cs="Times New Roman"/>
          <w:szCs w:val="24"/>
        </w:rPr>
      </w:pPr>
    </w:p>
    <w:p w14:paraId="71D896A9" w14:textId="77777777" w:rsidR="00C8117C" w:rsidRPr="002B283E" w:rsidRDefault="00C8117C" w:rsidP="002B283E">
      <w:pPr>
        <w:rPr>
          <w:rFonts w:cs="Times New Roman"/>
          <w:b/>
          <w:bCs/>
          <w:szCs w:val="24"/>
        </w:rPr>
      </w:pPr>
      <w:r w:rsidRPr="002B283E">
        <w:rPr>
          <w:rFonts w:cs="Times New Roman"/>
          <w:b/>
          <w:bCs/>
          <w:szCs w:val="24"/>
        </w:rPr>
        <w:br w:type="page"/>
      </w:r>
    </w:p>
    <w:p w14:paraId="1D18BD5E" w14:textId="77627466" w:rsidR="006A4CD7" w:rsidRPr="002B283E" w:rsidRDefault="006A4CD7" w:rsidP="002B283E">
      <w:pPr>
        <w:pStyle w:val="Heading2"/>
      </w:pPr>
      <w:bookmarkStart w:id="57" w:name="_Toc221525105"/>
      <w:r w:rsidRPr="002B283E">
        <w:lastRenderedPageBreak/>
        <w:t>3.5 R</w:t>
      </w:r>
      <w:r w:rsidR="00A25782" w:rsidRPr="002B283E">
        <w:t>eturn</w:t>
      </w:r>
      <w:r w:rsidRPr="002B283E">
        <w:t xml:space="preserve"> </w:t>
      </w:r>
      <w:r w:rsidR="00A25782" w:rsidRPr="002B283E">
        <w:t>of</w:t>
      </w:r>
      <w:r w:rsidRPr="002B283E">
        <w:t xml:space="preserve"> V</w:t>
      </w:r>
      <w:r w:rsidR="00A25782" w:rsidRPr="002B283E">
        <w:t>erdict</w:t>
      </w:r>
      <w:bookmarkEnd w:id="57"/>
    </w:p>
    <w:p w14:paraId="59258F3F" w14:textId="77777777" w:rsidR="006A4CD7" w:rsidRPr="002B283E" w:rsidRDefault="006A4CD7" w:rsidP="002B283E">
      <w:pPr>
        <w:autoSpaceDE w:val="0"/>
        <w:autoSpaceDN w:val="0"/>
        <w:adjustRightInd w:val="0"/>
        <w:rPr>
          <w:rFonts w:cs="Times New Roman"/>
          <w:szCs w:val="24"/>
        </w:rPr>
      </w:pPr>
    </w:p>
    <w:p w14:paraId="10F54466" w14:textId="241B2F88" w:rsidR="006A4CD7" w:rsidRPr="002B283E" w:rsidRDefault="006A4CD7" w:rsidP="002B283E">
      <w:pPr>
        <w:autoSpaceDE w:val="0"/>
        <w:autoSpaceDN w:val="0"/>
        <w:adjustRightInd w:val="0"/>
        <w:rPr>
          <w:rFonts w:cs="Times New Roman"/>
          <w:szCs w:val="24"/>
        </w:rPr>
      </w:pPr>
      <w:r w:rsidRPr="002B283E">
        <w:rPr>
          <w:rFonts w:cs="Times New Roman"/>
          <w:szCs w:val="24"/>
        </w:rPr>
        <w:tab/>
        <w:t>A verdict form has been prepared for you. [</w:t>
      </w:r>
      <w:r w:rsidRPr="002B283E">
        <w:rPr>
          <w:rFonts w:cs="Times New Roman"/>
          <w:i/>
          <w:iCs/>
          <w:szCs w:val="24"/>
          <w:u w:val="single"/>
        </w:rPr>
        <w:t>Explain verdict form as needed.</w:t>
      </w:r>
      <w:r w:rsidRPr="002B283E">
        <w:rPr>
          <w:rFonts w:cs="Times New Roman"/>
          <w:szCs w:val="24"/>
        </w:rPr>
        <w:t>] After you have reached unanimous agreement on a verdict, your [presiding juror] [foreperson] should complete the verdict form according to your deliberations, sign and date it, and advise the [clerk] [bailiff] that you are ready to return to the courtroom.</w:t>
      </w:r>
    </w:p>
    <w:p w14:paraId="2C4DAEBC" w14:textId="77777777" w:rsidR="006A4CD7" w:rsidRPr="002B283E" w:rsidRDefault="006A4CD7" w:rsidP="002B283E">
      <w:pPr>
        <w:autoSpaceDE w:val="0"/>
        <w:autoSpaceDN w:val="0"/>
        <w:adjustRightInd w:val="0"/>
        <w:rPr>
          <w:rFonts w:cs="Times New Roman"/>
          <w:szCs w:val="24"/>
        </w:rPr>
      </w:pPr>
    </w:p>
    <w:p w14:paraId="3B35262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106A249" w14:textId="77777777" w:rsidR="006A4CD7" w:rsidRPr="002B283E" w:rsidRDefault="006A4CD7" w:rsidP="002B283E">
      <w:pPr>
        <w:autoSpaceDE w:val="0"/>
        <w:autoSpaceDN w:val="0"/>
        <w:adjustRightInd w:val="0"/>
        <w:rPr>
          <w:rFonts w:cs="Times New Roman"/>
          <w:szCs w:val="24"/>
        </w:rPr>
      </w:pPr>
    </w:p>
    <w:p w14:paraId="768C69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judge may also wish to explain to the jury the particular form of verdict being used.</w:t>
      </w:r>
    </w:p>
    <w:p w14:paraId="03B3F4E1" w14:textId="77777777" w:rsidR="006A4CD7" w:rsidRPr="002B283E" w:rsidRDefault="006A4CD7" w:rsidP="002B283E">
      <w:pPr>
        <w:autoSpaceDE w:val="0"/>
        <w:autoSpaceDN w:val="0"/>
        <w:adjustRightInd w:val="0"/>
        <w:rPr>
          <w:rFonts w:cs="Times New Roman"/>
          <w:szCs w:val="24"/>
        </w:rPr>
      </w:pPr>
    </w:p>
    <w:p w14:paraId="29C608C6" w14:textId="77777777" w:rsidR="006A4CD7" w:rsidRPr="002B283E" w:rsidRDefault="006A4CD7" w:rsidP="002B283E">
      <w:pPr>
        <w:autoSpaceDE w:val="0"/>
        <w:autoSpaceDN w:val="0"/>
        <w:adjustRightInd w:val="0"/>
        <w:rPr>
          <w:rFonts w:cs="Times New Roman"/>
          <w:szCs w:val="24"/>
        </w:rPr>
      </w:pPr>
    </w:p>
    <w:p w14:paraId="2D4B4DC7" w14:textId="77777777" w:rsidR="00C8117C" w:rsidRPr="002B283E" w:rsidRDefault="00C8117C" w:rsidP="002B283E">
      <w:pPr>
        <w:rPr>
          <w:rFonts w:cs="Times New Roman"/>
          <w:b/>
          <w:bCs/>
          <w:szCs w:val="24"/>
        </w:rPr>
      </w:pPr>
      <w:r w:rsidRPr="002B283E">
        <w:rPr>
          <w:rFonts w:cs="Times New Roman"/>
          <w:b/>
          <w:bCs/>
          <w:szCs w:val="24"/>
        </w:rPr>
        <w:br w:type="page"/>
      </w:r>
    </w:p>
    <w:p w14:paraId="3CF38776" w14:textId="52F4A591" w:rsidR="006A4CD7" w:rsidRPr="002B283E" w:rsidRDefault="006A4CD7" w:rsidP="002B283E">
      <w:pPr>
        <w:pStyle w:val="Heading2"/>
      </w:pPr>
      <w:bookmarkStart w:id="58" w:name="_Toc221525106"/>
      <w:r w:rsidRPr="002B283E">
        <w:lastRenderedPageBreak/>
        <w:t>3.6 A</w:t>
      </w:r>
      <w:r w:rsidR="00A25782" w:rsidRPr="002B283E">
        <w:t>dditional</w:t>
      </w:r>
      <w:r w:rsidRPr="002B283E">
        <w:t xml:space="preserve"> I</w:t>
      </w:r>
      <w:r w:rsidR="00A25782" w:rsidRPr="002B283E">
        <w:t>nstructions</w:t>
      </w:r>
      <w:r w:rsidRPr="002B283E">
        <w:t xml:space="preserve"> </w:t>
      </w:r>
      <w:r w:rsidR="00A25782" w:rsidRPr="002B283E">
        <w:t>of</w:t>
      </w:r>
      <w:r w:rsidRPr="002B283E">
        <w:t xml:space="preserve"> L</w:t>
      </w:r>
      <w:r w:rsidR="00A25782" w:rsidRPr="002B283E">
        <w:t>aw</w:t>
      </w:r>
      <w:bookmarkEnd w:id="58"/>
    </w:p>
    <w:p w14:paraId="65A08E3C" w14:textId="77777777" w:rsidR="006A4CD7" w:rsidRPr="002B283E" w:rsidRDefault="006A4CD7" w:rsidP="002B283E">
      <w:pPr>
        <w:autoSpaceDE w:val="0"/>
        <w:autoSpaceDN w:val="0"/>
        <w:adjustRightInd w:val="0"/>
        <w:rPr>
          <w:rFonts w:cs="Times New Roman"/>
          <w:szCs w:val="24"/>
        </w:rPr>
      </w:pPr>
    </w:p>
    <w:p w14:paraId="5B7D81DD" w14:textId="41FB28B5" w:rsidR="006A4CD7" w:rsidRPr="002B283E" w:rsidRDefault="006A4CD7" w:rsidP="002B283E">
      <w:pPr>
        <w:autoSpaceDE w:val="0"/>
        <w:autoSpaceDN w:val="0"/>
        <w:adjustRightInd w:val="0"/>
        <w:rPr>
          <w:rFonts w:cs="Times New Roman"/>
          <w:szCs w:val="24"/>
        </w:rPr>
      </w:pPr>
      <w:r w:rsidRPr="002B283E">
        <w:rPr>
          <w:rFonts w:cs="Times New Roman"/>
          <w:szCs w:val="24"/>
        </w:rPr>
        <w:tab/>
        <w:t>At this point I will give you an additional instruction. By giving an additional instruction at this time, I do not mean to emphasize this instruction over any other instruction.</w:t>
      </w:r>
    </w:p>
    <w:p w14:paraId="78EBF4F7" w14:textId="77777777" w:rsidR="006A4CD7" w:rsidRPr="002B283E" w:rsidRDefault="006A4CD7" w:rsidP="002B283E">
      <w:pPr>
        <w:autoSpaceDE w:val="0"/>
        <w:autoSpaceDN w:val="0"/>
        <w:adjustRightInd w:val="0"/>
        <w:rPr>
          <w:rFonts w:cs="Times New Roman"/>
          <w:szCs w:val="24"/>
        </w:rPr>
      </w:pPr>
    </w:p>
    <w:p w14:paraId="0F21A756" w14:textId="5B557959" w:rsidR="006A4CD7" w:rsidRPr="002B283E" w:rsidRDefault="006A4CD7" w:rsidP="002B283E">
      <w:pPr>
        <w:autoSpaceDE w:val="0"/>
        <w:autoSpaceDN w:val="0"/>
        <w:adjustRightInd w:val="0"/>
        <w:rPr>
          <w:rFonts w:cs="Times New Roman"/>
          <w:szCs w:val="24"/>
        </w:rPr>
      </w:pPr>
      <w:r w:rsidRPr="002B283E">
        <w:rPr>
          <w:rFonts w:cs="Times New Roman"/>
          <w:szCs w:val="24"/>
        </w:rPr>
        <w:tab/>
        <w:t>You are not to attach undue importance to the fact that this instruction was read separately to you. You must consider this instruction together with all of the other instructions that were given to you.</w:t>
      </w:r>
    </w:p>
    <w:p w14:paraId="191D4E9C" w14:textId="77777777" w:rsidR="006A4CD7" w:rsidRPr="002B283E" w:rsidRDefault="006A4CD7" w:rsidP="002B283E">
      <w:pPr>
        <w:autoSpaceDE w:val="0"/>
        <w:autoSpaceDN w:val="0"/>
        <w:adjustRightInd w:val="0"/>
        <w:rPr>
          <w:rFonts w:cs="Times New Roman"/>
          <w:szCs w:val="24"/>
        </w:rPr>
      </w:pPr>
    </w:p>
    <w:p w14:paraId="145D6B4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text of new instruction</w:t>
      </w:r>
      <w:r w:rsidRPr="002B283E">
        <w:rPr>
          <w:rFonts w:cs="Times New Roman"/>
          <w:i/>
          <w:iCs/>
          <w:szCs w:val="24"/>
        </w:rPr>
        <w:t>.</w:t>
      </w:r>
      <w:r w:rsidRPr="002B283E">
        <w:rPr>
          <w:rFonts w:cs="Times New Roman"/>
          <w:szCs w:val="24"/>
        </w:rPr>
        <w:t>]</w:t>
      </w:r>
    </w:p>
    <w:p w14:paraId="5EE92389" w14:textId="77777777" w:rsidR="006A4CD7" w:rsidRPr="002B283E" w:rsidRDefault="006A4CD7" w:rsidP="002B283E">
      <w:pPr>
        <w:autoSpaceDE w:val="0"/>
        <w:autoSpaceDN w:val="0"/>
        <w:adjustRightInd w:val="0"/>
        <w:rPr>
          <w:rFonts w:cs="Times New Roman"/>
          <w:szCs w:val="24"/>
        </w:rPr>
      </w:pPr>
    </w:p>
    <w:p w14:paraId="310527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will now retire to the jury room and continue your deliberations.</w:t>
      </w:r>
    </w:p>
    <w:p w14:paraId="2DB8B163" w14:textId="77777777" w:rsidR="006A4CD7" w:rsidRPr="002B283E" w:rsidRDefault="006A4CD7" w:rsidP="002B283E">
      <w:pPr>
        <w:autoSpaceDE w:val="0"/>
        <w:autoSpaceDN w:val="0"/>
        <w:adjustRightInd w:val="0"/>
        <w:rPr>
          <w:rFonts w:cs="Times New Roman"/>
          <w:szCs w:val="24"/>
        </w:rPr>
      </w:pPr>
    </w:p>
    <w:p w14:paraId="2179E04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9D0DC8" w14:textId="77777777" w:rsidR="006A4CD7" w:rsidRPr="002B283E" w:rsidRDefault="006A4CD7" w:rsidP="002B283E">
      <w:pPr>
        <w:autoSpaceDE w:val="0"/>
        <w:autoSpaceDN w:val="0"/>
        <w:adjustRightInd w:val="0"/>
        <w:rPr>
          <w:rFonts w:cs="Times New Roman"/>
          <w:szCs w:val="24"/>
        </w:rPr>
      </w:pPr>
    </w:p>
    <w:p w14:paraId="33268846" w14:textId="71950D56" w:rsidR="006A4CD7" w:rsidRPr="002B283E" w:rsidRDefault="006A4CD7" w:rsidP="002B283E">
      <w:pPr>
        <w:autoSpaceDE w:val="0"/>
        <w:autoSpaceDN w:val="0"/>
        <w:adjustRightInd w:val="0"/>
        <w:rPr>
          <w:rFonts w:cs="Times New Roman"/>
          <w:szCs w:val="24"/>
        </w:rPr>
      </w:pPr>
      <w:r w:rsidRPr="002B283E">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2B283E" w:rsidRDefault="006A4CD7" w:rsidP="002B283E">
      <w:pPr>
        <w:autoSpaceDE w:val="0"/>
        <w:autoSpaceDN w:val="0"/>
        <w:adjustRightInd w:val="0"/>
        <w:rPr>
          <w:rFonts w:cs="Times New Roman"/>
          <w:szCs w:val="24"/>
        </w:rPr>
      </w:pPr>
    </w:p>
    <w:p w14:paraId="13CC32E5" w14:textId="7C634588" w:rsidR="00FC77F4" w:rsidRPr="002B283E" w:rsidRDefault="006A4CD7" w:rsidP="00FC77F4">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bookmarkStart w:id="59" w:name="_Hlk212201388"/>
      <w:r w:rsidR="00FC77F4">
        <w:rPr>
          <w:rFonts w:cs="Times New Roman"/>
          <w:smallCaps/>
          <w:szCs w:val="24"/>
        </w:rPr>
        <w:t>Ninth Circuit Judges’ Trial Manual</w:t>
      </w:r>
      <w:r w:rsidR="00FC77F4" w:rsidRPr="002B283E">
        <w:rPr>
          <w:rFonts w:cs="Times New Roman"/>
          <w:szCs w:val="24"/>
        </w:rPr>
        <w:t xml:space="preserve"> § </w:t>
      </w:r>
      <w:r w:rsidR="00FC77F4" w:rsidRPr="00FC77F4">
        <w:rPr>
          <w:rFonts w:cs="Times New Roman"/>
          <w:szCs w:val="24"/>
        </w:rPr>
        <w:t>5.5</w:t>
      </w:r>
      <w:r w:rsidR="00B2200B">
        <w:rPr>
          <w:rFonts w:cs="Times New Roman"/>
          <w:szCs w:val="24"/>
        </w:rPr>
        <w:t xml:space="preserve">: </w:t>
      </w:r>
      <w:r w:rsidR="00B2200B" w:rsidRPr="00B2200B">
        <w:rPr>
          <w:rFonts w:cs="Times New Roman"/>
          <w:smallCaps/>
          <w:szCs w:val="24"/>
        </w:rPr>
        <w:t>Supplemental Jury Instructions</w:t>
      </w:r>
      <w:r w:rsidR="00FC77F4" w:rsidRPr="00FC77F4">
        <w:rPr>
          <w:rFonts w:cs="Times New Roman"/>
          <w:szCs w:val="24"/>
        </w:rPr>
        <w:t xml:space="preserve"> </w:t>
      </w:r>
      <w:r w:rsidR="00FC77F4" w:rsidRPr="002B283E">
        <w:rPr>
          <w:rFonts w:cs="Times New Roman"/>
          <w:szCs w:val="24"/>
        </w:rPr>
        <w:t>(20</w:t>
      </w:r>
      <w:r w:rsidR="00FC77F4">
        <w:rPr>
          <w:rFonts w:cs="Times New Roman"/>
          <w:szCs w:val="24"/>
        </w:rPr>
        <w:t>25</w:t>
      </w:r>
      <w:r w:rsidR="00FC77F4" w:rsidRPr="002B283E">
        <w:rPr>
          <w:rFonts w:cs="Times New Roman"/>
          <w:szCs w:val="24"/>
        </w:rPr>
        <w:t>).</w:t>
      </w:r>
    </w:p>
    <w:bookmarkEnd w:id="59"/>
    <w:p w14:paraId="52C4B45C" w14:textId="77777777" w:rsidR="006A4CD7" w:rsidRPr="002B283E" w:rsidRDefault="006A4CD7" w:rsidP="002B283E">
      <w:pPr>
        <w:autoSpaceDE w:val="0"/>
        <w:autoSpaceDN w:val="0"/>
        <w:adjustRightInd w:val="0"/>
        <w:rPr>
          <w:rFonts w:cs="Times New Roman"/>
          <w:szCs w:val="24"/>
        </w:rPr>
      </w:pPr>
    </w:p>
    <w:p w14:paraId="5F481D97" w14:textId="77777777" w:rsidR="006A4CD7" w:rsidRPr="002B283E" w:rsidRDefault="006A4CD7" w:rsidP="002B283E">
      <w:pPr>
        <w:autoSpaceDE w:val="0"/>
        <w:autoSpaceDN w:val="0"/>
        <w:adjustRightInd w:val="0"/>
        <w:rPr>
          <w:rFonts w:cs="Times New Roman"/>
          <w:szCs w:val="24"/>
        </w:rPr>
      </w:pPr>
    </w:p>
    <w:p w14:paraId="6CA40078" w14:textId="77777777" w:rsidR="00C8117C" w:rsidRPr="002B283E" w:rsidRDefault="00C8117C" w:rsidP="002B283E">
      <w:pPr>
        <w:rPr>
          <w:rFonts w:cs="Times New Roman"/>
          <w:b/>
          <w:bCs/>
          <w:szCs w:val="24"/>
        </w:rPr>
      </w:pPr>
      <w:r w:rsidRPr="002B283E">
        <w:rPr>
          <w:rFonts w:cs="Times New Roman"/>
          <w:b/>
          <w:bCs/>
          <w:szCs w:val="24"/>
        </w:rPr>
        <w:br w:type="page"/>
      </w:r>
    </w:p>
    <w:p w14:paraId="6AB2FAE5" w14:textId="66E730E5" w:rsidR="006A4CD7" w:rsidRPr="002B283E" w:rsidRDefault="006A4CD7" w:rsidP="002B283E">
      <w:pPr>
        <w:pStyle w:val="Heading2"/>
      </w:pPr>
      <w:bookmarkStart w:id="60" w:name="_Toc221525107"/>
      <w:r w:rsidRPr="002B283E">
        <w:lastRenderedPageBreak/>
        <w:t>3.7 D</w:t>
      </w:r>
      <w:r w:rsidR="00A25782" w:rsidRPr="002B283E">
        <w:t>eadlocked</w:t>
      </w:r>
      <w:r w:rsidRPr="002B283E">
        <w:t xml:space="preserve"> J</w:t>
      </w:r>
      <w:r w:rsidR="00A25782" w:rsidRPr="002B283E">
        <w:t>ury</w:t>
      </w:r>
      <w:bookmarkEnd w:id="60"/>
    </w:p>
    <w:p w14:paraId="6F501468" w14:textId="77777777" w:rsidR="006A4CD7" w:rsidRPr="002B283E" w:rsidRDefault="006A4CD7" w:rsidP="002B283E">
      <w:pPr>
        <w:autoSpaceDE w:val="0"/>
        <w:autoSpaceDN w:val="0"/>
        <w:adjustRightInd w:val="0"/>
        <w:rPr>
          <w:rFonts w:cs="Times New Roman"/>
          <w:szCs w:val="24"/>
        </w:rPr>
      </w:pPr>
    </w:p>
    <w:p w14:paraId="6E2BC53A" w14:textId="7E2D9925"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have advised that you have been unable to agree upon a verdict in this case. I have decided to suggest a few thoughts to you.</w:t>
      </w:r>
    </w:p>
    <w:p w14:paraId="203A2E32" w14:textId="77777777" w:rsidR="006A4CD7" w:rsidRPr="002B283E" w:rsidRDefault="006A4CD7" w:rsidP="002B283E">
      <w:pPr>
        <w:autoSpaceDE w:val="0"/>
        <w:autoSpaceDN w:val="0"/>
        <w:adjustRightInd w:val="0"/>
        <w:rPr>
          <w:rFonts w:cs="Times New Roman"/>
          <w:szCs w:val="24"/>
        </w:rPr>
      </w:pPr>
    </w:p>
    <w:p w14:paraId="730AEBD5" w14:textId="166BDAAB" w:rsidR="006A4CD7" w:rsidRPr="002B283E" w:rsidRDefault="006A4CD7" w:rsidP="002B283E">
      <w:pPr>
        <w:autoSpaceDE w:val="0"/>
        <w:autoSpaceDN w:val="0"/>
        <w:adjustRightInd w:val="0"/>
        <w:rPr>
          <w:rFonts w:cs="Times New Roman"/>
          <w:szCs w:val="24"/>
        </w:rPr>
      </w:pPr>
      <w:r w:rsidRPr="002B283E">
        <w:rPr>
          <w:rFonts w:cs="Times New Roman"/>
          <w:szCs w:val="24"/>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2B283E" w:rsidRDefault="006A4CD7" w:rsidP="002B283E">
      <w:pPr>
        <w:autoSpaceDE w:val="0"/>
        <w:autoSpaceDN w:val="0"/>
        <w:adjustRightInd w:val="0"/>
        <w:rPr>
          <w:rFonts w:cs="Times New Roman"/>
          <w:szCs w:val="24"/>
        </w:rPr>
      </w:pPr>
    </w:p>
    <w:p w14:paraId="5D2BAAAA" w14:textId="0C4F2A3C" w:rsidR="006A4CD7" w:rsidRPr="002B283E" w:rsidRDefault="006A4CD7" w:rsidP="002B283E">
      <w:pPr>
        <w:autoSpaceDE w:val="0"/>
        <w:autoSpaceDN w:val="0"/>
        <w:adjustRightInd w:val="0"/>
        <w:rPr>
          <w:rFonts w:cs="Times New Roman"/>
          <w:szCs w:val="24"/>
        </w:rPr>
      </w:pPr>
      <w:r w:rsidRPr="002B283E">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2B283E" w:rsidRDefault="006A4CD7" w:rsidP="002B283E">
      <w:pPr>
        <w:autoSpaceDE w:val="0"/>
        <w:autoSpaceDN w:val="0"/>
        <w:adjustRightInd w:val="0"/>
        <w:rPr>
          <w:rFonts w:cs="Times New Roman"/>
          <w:szCs w:val="24"/>
        </w:rPr>
      </w:pPr>
    </w:p>
    <w:p w14:paraId="65AA5808" w14:textId="0C894619" w:rsidR="006A4CD7" w:rsidRPr="002B283E" w:rsidRDefault="006A4CD7" w:rsidP="002B283E">
      <w:pPr>
        <w:autoSpaceDE w:val="0"/>
        <w:autoSpaceDN w:val="0"/>
        <w:adjustRightInd w:val="0"/>
        <w:rPr>
          <w:rFonts w:cs="Times New Roman"/>
          <w:szCs w:val="24"/>
        </w:rPr>
      </w:pPr>
      <w:r w:rsidRPr="002B283E">
        <w:rPr>
          <w:rFonts w:cs="Times New Roman"/>
          <w:szCs w:val="24"/>
        </w:rPr>
        <w:tab/>
        <w:t>I remind you that in your deliberations you are to consider the instructions I have given you</w:t>
      </w:r>
      <w:r w:rsidR="004628AB">
        <w:rPr>
          <w:rFonts w:cs="Times New Roman"/>
          <w:szCs w:val="24"/>
        </w:rPr>
        <w:t xml:space="preserve"> </w:t>
      </w:r>
      <w:r w:rsidRPr="002B283E">
        <w:rPr>
          <w:rFonts w:cs="Times New Roman"/>
          <w:szCs w:val="24"/>
        </w:rPr>
        <w:t>as a whole. You should not single out any part of any instruction, including this one, and ignore others. They are all equally important.</w:t>
      </w:r>
    </w:p>
    <w:p w14:paraId="53001B13" w14:textId="77777777" w:rsidR="006A4CD7" w:rsidRPr="002B283E" w:rsidRDefault="006A4CD7" w:rsidP="002B283E">
      <w:pPr>
        <w:autoSpaceDE w:val="0"/>
        <w:autoSpaceDN w:val="0"/>
        <w:adjustRightInd w:val="0"/>
        <w:rPr>
          <w:rFonts w:cs="Times New Roman"/>
          <w:szCs w:val="24"/>
        </w:rPr>
      </w:pPr>
    </w:p>
    <w:p w14:paraId="461B7E8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may now return to the jury room and continue your deliberations.</w:t>
      </w:r>
    </w:p>
    <w:p w14:paraId="27D18D42" w14:textId="77777777" w:rsidR="006A4CD7" w:rsidRPr="002B283E" w:rsidRDefault="006A4CD7" w:rsidP="002B283E">
      <w:pPr>
        <w:autoSpaceDE w:val="0"/>
        <w:autoSpaceDN w:val="0"/>
        <w:adjustRightInd w:val="0"/>
        <w:rPr>
          <w:rFonts w:cs="Times New Roman"/>
          <w:szCs w:val="24"/>
        </w:rPr>
      </w:pPr>
    </w:p>
    <w:p w14:paraId="2D24E7C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DBBB97" w14:textId="77777777" w:rsidR="006A4CD7" w:rsidRPr="002B283E" w:rsidRDefault="006A4CD7" w:rsidP="002B283E">
      <w:pPr>
        <w:autoSpaceDE w:val="0"/>
        <w:autoSpaceDN w:val="0"/>
        <w:adjustRightInd w:val="0"/>
        <w:rPr>
          <w:rFonts w:cs="Times New Roman"/>
          <w:szCs w:val="24"/>
        </w:rPr>
      </w:pPr>
    </w:p>
    <w:p w14:paraId="37B87FF3" w14:textId="406E198A" w:rsidR="006A4CD7" w:rsidRPr="0063656B" w:rsidRDefault="006A4CD7" w:rsidP="0063656B">
      <w:pPr>
        <w:rPr>
          <w:b/>
          <w:bCs/>
          <w:smallCaps/>
        </w:rPr>
      </w:pPr>
      <w:r w:rsidRPr="002B283E">
        <w:rPr>
          <w:rFonts w:cs="Times New Roman"/>
          <w:szCs w:val="24"/>
        </w:rPr>
        <w:tab/>
        <w:t xml:space="preserve">Before giving any supplemental jury instruction to a deadlocked jury, the Committee recommends the court review </w:t>
      </w:r>
      <w:r w:rsidR="0063656B" w:rsidRPr="0063656B">
        <w:rPr>
          <w:rFonts w:cs="Times New Roman"/>
          <w:smallCaps/>
          <w:szCs w:val="24"/>
        </w:rPr>
        <w:t>Ninth Circuit Judges’ Trial Manual § 5.</w:t>
      </w:r>
      <w:r w:rsidR="0063656B">
        <w:rPr>
          <w:rFonts w:cs="Times New Roman"/>
          <w:smallCaps/>
          <w:szCs w:val="24"/>
        </w:rPr>
        <w:t>6</w:t>
      </w:r>
      <w:r w:rsidR="00B2200B">
        <w:rPr>
          <w:rFonts w:cs="Times New Roman"/>
          <w:smallCaps/>
          <w:szCs w:val="24"/>
        </w:rPr>
        <w:t xml:space="preserve">: </w:t>
      </w:r>
      <w:r w:rsidR="00B2200B" w:rsidRPr="00B2200B">
        <w:rPr>
          <w:rFonts w:cs="Times New Roman"/>
          <w:smallCaps/>
          <w:szCs w:val="24"/>
        </w:rPr>
        <w:t>Deadlocked Jury (</w:t>
      </w:r>
      <w:r w:rsidR="00B2200B" w:rsidRPr="00B2200B">
        <w:rPr>
          <w:rFonts w:cs="Times New Roman"/>
          <w:i/>
          <w:iCs/>
          <w:smallCaps/>
          <w:szCs w:val="24"/>
        </w:rPr>
        <w:t xml:space="preserve">Allen </w:t>
      </w:r>
      <w:r w:rsidR="00B2200B" w:rsidRPr="00B2200B">
        <w:rPr>
          <w:rFonts w:cs="Times New Roman"/>
          <w:smallCaps/>
          <w:szCs w:val="24"/>
        </w:rPr>
        <w:t>Charge)</w:t>
      </w:r>
      <w:r w:rsidR="0063656B" w:rsidRPr="0063656B">
        <w:rPr>
          <w:rFonts w:cs="Times New Roman"/>
          <w:smallCaps/>
          <w:szCs w:val="24"/>
        </w:rPr>
        <w:t xml:space="preserve"> (2025)</w:t>
      </w:r>
      <w:r w:rsidRPr="002B283E">
        <w:rPr>
          <w:rFonts w:cs="Times New Roman"/>
          <w:szCs w:val="24"/>
        </w:rPr>
        <w:t xml:space="preserve">; </w:t>
      </w:r>
      <w:r w:rsidRPr="002B283E">
        <w:rPr>
          <w:rFonts w:cs="Times New Roman"/>
          <w:i/>
          <w:iCs/>
          <w:szCs w:val="24"/>
        </w:rPr>
        <w:t>see also Warfield v. Alaniz</w:t>
      </w:r>
      <w:r w:rsidRPr="002B283E">
        <w:rPr>
          <w:rFonts w:cs="Times New Roman"/>
          <w:szCs w:val="24"/>
        </w:rPr>
        <w:t>, 569 F.3d 1015, 1029 (9th Cir. 2009)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 error in standard </w:t>
      </w:r>
      <w:r w:rsidRPr="002B283E">
        <w:rPr>
          <w:rFonts w:cs="Times New Roman"/>
          <w:i/>
          <w:iCs/>
          <w:szCs w:val="24"/>
        </w:rPr>
        <w:t>Allen</w:t>
      </w:r>
      <w:r w:rsidRPr="002B283E">
        <w:rPr>
          <w:rFonts w:cs="Times New Roman"/>
          <w:szCs w:val="24"/>
        </w:rPr>
        <w:t xml:space="preserve"> charge issued to deadlocked jury).</w:t>
      </w:r>
    </w:p>
    <w:p w14:paraId="3C115CED" w14:textId="77777777" w:rsidR="00CD224B" w:rsidRPr="002B283E" w:rsidRDefault="00CD224B" w:rsidP="002B283E">
      <w:pPr>
        <w:autoSpaceDE w:val="0"/>
        <w:autoSpaceDN w:val="0"/>
        <w:adjustRightInd w:val="0"/>
        <w:rPr>
          <w:rFonts w:cs="Times New Roman"/>
          <w:szCs w:val="24"/>
        </w:rPr>
      </w:pPr>
    </w:p>
    <w:p w14:paraId="0126CD2A" w14:textId="77777777" w:rsidR="00CD224B" w:rsidRPr="002B283E" w:rsidRDefault="00CD224B" w:rsidP="002B283E">
      <w:pPr>
        <w:autoSpaceDE w:val="0"/>
        <w:autoSpaceDN w:val="0"/>
        <w:adjustRightInd w:val="0"/>
        <w:rPr>
          <w:rFonts w:cs="Times New Roman"/>
          <w:szCs w:val="24"/>
        </w:rPr>
      </w:pPr>
    </w:p>
    <w:p w14:paraId="4899684C" w14:textId="427E0535" w:rsidR="006A4CD7" w:rsidRPr="002B283E" w:rsidRDefault="006A4CD7" w:rsidP="002B283E">
      <w:pPr>
        <w:pStyle w:val="Heading2"/>
      </w:pPr>
      <w:r w:rsidRPr="002B283E">
        <w:br w:type="page"/>
      </w:r>
      <w:bookmarkStart w:id="61" w:name="_Toc221525108"/>
      <w:r w:rsidRPr="002B283E">
        <w:lastRenderedPageBreak/>
        <w:t>3.8 C</w:t>
      </w:r>
      <w:r w:rsidR="00A25782" w:rsidRPr="002B283E">
        <w:t>ontinuing</w:t>
      </w:r>
      <w:r w:rsidRPr="002B283E">
        <w:t xml:space="preserve"> D</w:t>
      </w:r>
      <w:r w:rsidR="00A25782" w:rsidRPr="002B283E">
        <w:t>eliberations</w:t>
      </w:r>
      <w:r w:rsidRPr="002B283E">
        <w:t xml:space="preserve"> A</w:t>
      </w:r>
      <w:r w:rsidR="00A25782" w:rsidRPr="002B283E">
        <w:t>fter</w:t>
      </w:r>
      <w:r w:rsidRPr="002B283E">
        <w:t xml:space="preserve"> J</w:t>
      </w:r>
      <w:r w:rsidR="00A25782" w:rsidRPr="002B283E">
        <w:t>uror</w:t>
      </w:r>
      <w:r w:rsidRPr="002B283E">
        <w:t xml:space="preserve"> </w:t>
      </w:r>
      <w:r w:rsidR="00A25782" w:rsidRPr="002B283E">
        <w:t>is</w:t>
      </w:r>
      <w:r w:rsidRPr="002B283E">
        <w:t xml:space="preserve"> D</w:t>
      </w:r>
      <w:r w:rsidR="00A25782" w:rsidRPr="002B283E">
        <w:t>ischarged</w:t>
      </w:r>
      <w:bookmarkEnd w:id="61"/>
    </w:p>
    <w:p w14:paraId="4043139C" w14:textId="77777777" w:rsidR="006A4CD7" w:rsidRPr="002B283E" w:rsidRDefault="006A4CD7" w:rsidP="002B283E">
      <w:pPr>
        <w:autoSpaceDE w:val="0"/>
        <w:autoSpaceDN w:val="0"/>
        <w:adjustRightInd w:val="0"/>
        <w:ind w:firstLine="720"/>
        <w:jc w:val="both"/>
        <w:rPr>
          <w:rFonts w:cs="Times New Roman"/>
          <w:szCs w:val="24"/>
        </w:rPr>
      </w:pPr>
    </w:p>
    <w:p w14:paraId="68543178" w14:textId="77777777"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2B283E" w:rsidRDefault="006A4CD7" w:rsidP="002B283E">
      <w:pPr>
        <w:rPr>
          <w:rFonts w:cs="Times New Roman"/>
          <w:szCs w:val="24"/>
        </w:rPr>
      </w:pPr>
    </w:p>
    <w:p w14:paraId="2CF3AE71" w14:textId="4D25F159"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You should continue your deliberations with the remaining jurors.</w:t>
      </w:r>
      <w:r w:rsidR="004628AB">
        <w:rPr>
          <w:rFonts w:cs="Times New Roman"/>
          <w:szCs w:val="24"/>
        </w:rPr>
        <w:t xml:space="preserve"> </w:t>
      </w:r>
      <w:r w:rsidRPr="002B283E">
        <w:rPr>
          <w:rFonts w:cs="Times New Roman"/>
          <w:szCs w:val="24"/>
        </w:rPr>
        <w:t>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2B283E" w:rsidRDefault="006A4CD7" w:rsidP="002B283E">
      <w:pPr>
        <w:rPr>
          <w:rFonts w:cs="Times New Roman"/>
          <w:szCs w:val="24"/>
        </w:rPr>
      </w:pPr>
    </w:p>
    <w:p w14:paraId="64329C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4B41682" w14:textId="77777777" w:rsidR="006A4CD7" w:rsidRPr="002B283E" w:rsidRDefault="006A4CD7" w:rsidP="002B283E">
      <w:pPr>
        <w:rPr>
          <w:rFonts w:cs="Times New Roman"/>
          <w:szCs w:val="24"/>
        </w:rPr>
      </w:pPr>
    </w:p>
    <w:p w14:paraId="0BD01D32" w14:textId="43A8CA35" w:rsidR="006A4CD7" w:rsidRPr="002B283E" w:rsidRDefault="006A4CD7" w:rsidP="002B283E">
      <w:pPr>
        <w:autoSpaceDE w:val="0"/>
        <w:autoSpaceDN w:val="0"/>
        <w:adjustRightInd w:val="0"/>
        <w:jc w:val="both"/>
        <w:rPr>
          <w:rFonts w:cs="Times New Roman"/>
          <w:szCs w:val="24"/>
        </w:rPr>
      </w:pPr>
      <w:r w:rsidRPr="002B283E">
        <w:rPr>
          <w:rFonts w:cs="Times New Roman"/>
          <w:szCs w:val="24"/>
        </w:rPr>
        <w:tab/>
        <w:t xml:space="preserve">A court may not seat a jury of fewer than six nor more than twelve jurors. </w:t>
      </w:r>
      <w:r w:rsidRPr="002B283E">
        <w:rPr>
          <w:rFonts w:cs="Times New Roman"/>
          <w:i/>
          <w:iCs/>
          <w:szCs w:val="24"/>
        </w:rPr>
        <w:t>See</w:t>
      </w:r>
      <w:r w:rsidRPr="002B283E">
        <w:rPr>
          <w:rFonts w:cs="Times New Roman"/>
          <w:szCs w:val="24"/>
        </w:rPr>
        <w:t xml:space="preserve"> Fed. R. Civ. P. 48. The selection of alternate jurors in civil trials has been discontinued.</w:t>
      </w:r>
      <w:r w:rsidR="00734276" w:rsidRPr="002B283E">
        <w:rPr>
          <w:rFonts w:cs="Times New Roman"/>
          <w:szCs w:val="24"/>
        </w:rPr>
        <w:t xml:space="preserve"> </w:t>
      </w:r>
      <w:r w:rsidRPr="002B283E">
        <w:rPr>
          <w:rFonts w:cs="Times New Roman"/>
          <w:i/>
          <w:iCs/>
          <w:szCs w:val="24"/>
        </w:rPr>
        <w:t>See</w:t>
      </w:r>
      <w:r w:rsidR="00734276" w:rsidRPr="002B283E">
        <w:rPr>
          <w:rFonts w:cs="Times New Roman"/>
          <w:szCs w:val="24"/>
        </w:rPr>
        <w:t xml:space="preserve"> </w:t>
      </w:r>
      <w:r w:rsidRPr="002B283E">
        <w:rPr>
          <w:rFonts w:cs="Times New Roman"/>
          <w:szCs w:val="24"/>
        </w:rPr>
        <w:t>Advisory Committee Note, Fed. R. Civ. P. 47(b) (1991).</w:t>
      </w:r>
    </w:p>
    <w:p w14:paraId="49FCC1D5" w14:textId="77777777" w:rsidR="006A4CD7" w:rsidRPr="002B283E" w:rsidRDefault="006A4CD7" w:rsidP="002B283E">
      <w:pPr>
        <w:autoSpaceDE w:val="0"/>
        <w:autoSpaceDN w:val="0"/>
        <w:adjustRightInd w:val="0"/>
        <w:jc w:val="both"/>
        <w:rPr>
          <w:rFonts w:cs="Times New Roman"/>
          <w:szCs w:val="24"/>
        </w:rPr>
      </w:pPr>
    </w:p>
    <w:p w14:paraId="00A4EAD7" w14:textId="77777777" w:rsidR="006A4CD7" w:rsidRPr="002B283E" w:rsidRDefault="006A4CD7" w:rsidP="002B283E">
      <w:pPr>
        <w:autoSpaceDE w:val="0"/>
        <w:autoSpaceDN w:val="0"/>
        <w:adjustRightInd w:val="0"/>
        <w:jc w:val="both"/>
        <w:rPr>
          <w:rFonts w:cs="Times New Roman"/>
          <w:szCs w:val="24"/>
        </w:rPr>
      </w:pPr>
    </w:p>
    <w:p w14:paraId="51D1E124" w14:textId="1590B4F1" w:rsidR="006A4CD7" w:rsidRPr="002B283E" w:rsidRDefault="006A4CD7" w:rsidP="002B283E">
      <w:pPr>
        <w:pStyle w:val="Heading2"/>
      </w:pPr>
      <w:r w:rsidRPr="002B283E">
        <w:br w:type="page"/>
      </w:r>
      <w:bookmarkStart w:id="62" w:name="_Toc221525109"/>
      <w:r w:rsidRPr="002B283E">
        <w:lastRenderedPageBreak/>
        <w:t xml:space="preserve">3.9 </w:t>
      </w:r>
      <w:r w:rsidR="00A25782" w:rsidRPr="002B283E">
        <w:t>Post</w:t>
      </w:r>
      <w:r w:rsidRPr="002B283E">
        <w:t>-D</w:t>
      </w:r>
      <w:r w:rsidR="00A25782" w:rsidRPr="002B283E">
        <w:t>ischarge</w:t>
      </w:r>
      <w:r w:rsidRPr="002B283E">
        <w:t xml:space="preserve"> I</w:t>
      </w:r>
      <w:r w:rsidR="00A25782" w:rsidRPr="002B283E">
        <w:t>nstruction</w:t>
      </w:r>
      <w:bookmarkEnd w:id="62"/>
    </w:p>
    <w:p w14:paraId="7BB71444" w14:textId="77777777" w:rsidR="006A4CD7" w:rsidRPr="002B283E" w:rsidRDefault="006A4CD7" w:rsidP="002B283E">
      <w:pPr>
        <w:autoSpaceDE w:val="0"/>
        <w:autoSpaceDN w:val="0"/>
        <w:adjustRightInd w:val="0"/>
        <w:jc w:val="both"/>
        <w:rPr>
          <w:rFonts w:cs="Times New Roman"/>
          <w:szCs w:val="24"/>
        </w:rPr>
      </w:pPr>
    </w:p>
    <w:p w14:paraId="3991797A" w14:textId="08ED7A33" w:rsidR="006A4CD7" w:rsidRPr="002B283E" w:rsidRDefault="006A4CD7" w:rsidP="002B283E">
      <w:pPr>
        <w:autoSpaceDE w:val="0"/>
        <w:autoSpaceDN w:val="0"/>
        <w:adjustRightInd w:val="0"/>
        <w:rPr>
          <w:rFonts w:cs="Times New Roman"/>
          <w:szCs w:val="24"/>
        </w:rPr>
      </w:pPr>
      <w:r w:rsidRPr="002B283E">
        <w:rPr>
          <w:rFonts w:cs="Times New Roman"/>
          <w:szCs w:val="24"/>
        </w:rPr>
        <w:tab/>
        <w:t>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w:t>
      </w:r>
      <w:r w:rsidR="00A87F6E">
        <w:rPr>
          <w:rFonts w:cs="Times New Roman"/>
          <w:szCs w:val="24"/>
        </w:rPr>
        <w:t xml:space="preserve">. </w:t>
      </w:r>
    </w:p>
    <w:p w14:paraId="1CEE1211" w14:textId="77777777" w:rsidR="006A4CD7" w:rsidRPr="002B283E" w:rsidRDefault="006A4CD7" w:rsidP="002B283E">
      <w:pPr>
        <w:autoSpaceDE w:val="0"/>
        <w:autoSpaceDN w:val="0"/>
        <w:adjustRightInd w:val="0"/>
        <w:rPr>
          <w:rFonts w:cs="Times New Roman"/>
          <w:szCs w:val="24"/>
        </w:rPr>
      </w:pPr>
    </w:p>
    <w:p w14:paraId="7437DA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2B283E" w:rsidRDefault="006A4CD7" w:rsidP="002B283E">
      <w:pPr>
        <w:autoSpaceDE w:val="0"/>
        <w:autoSpaceDN w:val="0"/>
        <w:adjustRightInd w:val="0"/>
        <w:rPr>
          <w:rFonts w:cs="Times New Roman"/>
          <w:szCs w:val="24"/>
        </w:rPr>
      </w:pPr>
    </w:p>
    <w:p w14:paraId="0B7169B1" w14:textId="3565D0BE" w:rsidR="006A4CD7" w:rsidRPr="002B283E" w:rsidRDefault="006A4CD7" w:rsidP="002B283E">
      <w:pPr>
        <w:autoSpaceDE w:val="0"/>
        <w:autoSpaceDN w:val="0"/>
        <w:adjustRightInd w:val="0"/>
        <w:rPr>
          <w:rFonts w:cs="Times New Roman"/>
          <w:szCs w:val="24"/>
        </w:rPr>
      </w:pPr>
      <w:r w:rsidRPr="002B283E">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2B283E" w:rsidRDefault="006A4CD7" w:rsidP="002B283E">
      <w:pPr>
        <w:autoSpaceDE w:val="0"/>
        <w:autoSpaceDN w:val="0"/>
        <w:adjustRightInd w:val="0"/>
        <w:rPr>
          <w:rFonts w:cs="Times New Roman"/>
          <w:szCs w:val="24"/>
        </w:rPr>
      </w:pPr>
    </w:p>
    <w:p w14:paraId="58C42637" w14:textId="3E8BDE0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[Finally, if you would prefer not to discuss the case with anyone, but are feeling undue pressure to do so, please feel free to contact the courtroom deputy, who will notify </w:t>
      </w:r>
      <w:r w:rsidR="00734276" w:rsidRPr="002B283E">
        <w:rPr>
          <w:rFonts w:cs="Times New Roman"/>
          <w:szCs w:val="24"/>
        </w:rPr>
        <w:t>me,</w:t>
      </w:r>
      <w:r w:rsidRPr="002B283E">
        <w:rPr>
          <w:rFonts w:cs="Times New Roman"/>
          <w:szCs w:val="24"/>
        </w:rPr>
        <w:t xml:space="preserve"> and I will assist.]</w:t>
      </w:r>
    </w:p>
    <w:p w14:paraId="77FAE0F2" w14:textId="77777777" w:rsidR="006A4CD7" w:rsidRPr="002B283E" w:rsidRDefault="006A4CD7" w:rsidP="002B283E">
      <w:pPr>
        <w:autoSpaceDE w:val="0"/>
        <w:autoSpaceDN w:val="0"/>
        <w:adjustRightInd w:val="0"/>
        <w:rPr>
          <w:rFonts w:cs="Times New Roman"/>
          <w:szCs w:val="24"/>
        </w:rPr>
      </w:pPr>
    </w:p>
    <w:p w14:paraId="6E94A35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C25F0" w14:textId="77777777" w:rsidR="006A4CD7" w:rsidRPr="002B283E" w:rsidRDefault="006A4CD7" w:rsidP="002B283E">
      <w:pPr>
        <w:autoSpaceDE w:val="0"/>
        <w:autoSpaceDN w:val="0"/>
        <w:adjustRightInd w:val="0"/>
        <w:rPr>
          <w:rFonts w:cs="Times New Roman"/>
          <w:szCs w:val="24"/>
        </w:rPr>
      </w:pPr>
    </w:p>
    <w:p w14:paraId="1F584B78" w14:textId="50339C29"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00736953" w:rsidRPr="00736953">
        <w:rPr>
          <w:rFonts w:cs="Times New Roman"/>
          <w:smallCaps/>
          <w:szCs w:val="24"/>
        </w:rPr>
        <w:t xml:space="preserve">Ninth Circuit Judges’ Trial Manual § </w:t>
      </w:r>
      <w:r w:rsidR="00736953">
        <w:rPr>
          <w:rFonts w:cs="Times New Roman"/>
          <w:smallCaps/>
          <w:szCs w:val="24"/>
        </w:rPr>
        <w:t>6.1</w:t>
      </w:r>
      <w:r w:rsidR="00B2200B">
        <w:rPr>
          <w:rFonts w:cs="Times New Roman"/>
          <w:smallCaps/>
          <w:szCs w:val="24"/>
        </w:rPr>
        <w:t xml:space="preserve">: </w:t>
      </w:r>
      <w:r w:rsidR="00B2200B" w:rsidRPr="00B2200B">
        <w:rPr>
          <w:rFonts w:cs="Times New Roman"/>
          <w:smallCaps/>
          <w:szCs w:val="24"/>
        </w:rPr>
        <w:t>Post-Verdict Interviews of Jurors by Judge (Without Attorneys)</w:t>
      </w:r>
      <w:r w:rsidR="00736953">
        <w:rPr>
          <w:rFonts w:cs="Times New Roman"/>
          <w:smallCaps/>
          <w:szCs w:val="24"/>
        </w:rPr>
        <w:t xml:space="preserve"> </w:t>
      </w:r>
      <w:r w:rsidR="00736953" w:rsidRPr="00736953">
        <w:rPr>
          <w:rFonts w:cs="Times New Roman"/>
          <w:smallCaps/>
          <w:szCs w:val="24"/>
        </w:rPr>
        <w:t>(2025)</w:t>
      </w:r>
      <w:r w:rsidRPr="002B283E">
        <w:rPr>
          <w:rFonts w:cs="Times New Roman"/>
          <w:szCs w:val="24"/>
        </w:rPr>
        <w:t>.</w:t>
      </w:r>
    </w:p>
    <w:p w14:paraId="195407EC" w14:textId="77777777" w:rsidR="006A4CD7" w:rsidRPr="002B283E" w:rsidRDefault="006A4CD7" w:rsidP="002B283E">
      <w:pPr>
        <w:autoSpaceDE w:val="0"/>
        <w:autoSpaceDN w:val="0"/>
        <w:adjustRightInd w:val="0"/>
        <w:rPr>
          <w:rFonts w:cs="Times New Roman"/>
          <w:szCs w:val="24"/>
        </w:rPr>
      </w:pPr>
    </w:p>
    <w:p w14:paraId="47C0AD98" w14:textId="77777777" w:rsidR="006A4CD7" w:rsidRPr="002B283E" w:rsidRDefault="006A4CD7" w:rsidP="002B283E">
      <w:pPr>
        <w:autoSpaceDE w:val="0"/>
        <w:autoSpaceDN w:val="0"/>
        <w:adjustRightInd w:val="0"/>
        <w:rPr>
          <w:rFonts w:cs="Times New Roman"/>
          <w:szCs w:val="24"/>
        </w:rPr>
      </w:pPr>
    </w:p>
    <w:p w14:paraId="45D07749"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Added Dec. 2019</w:t>
      </w:r>
    </w:p>
    <w:p w14:paraId="697D07E7" w14:textId="51A03EB1" w:rsidR="006A4CD7" w:rsidRPr="002B283E" w:rsidRDefault="006A4CD7" w:rsidP="002B283E">
      <w:pPr>
        <w:pStyle w:val="Heading1"/>
        <w:spacing w:before="0" w:line="240" w:lineRule="auto"/>
      </w:pPr>
      <w:r w:rsidRPr="002B283E">
        <w:br w:type="page"/>
      </w:r>
      <w:bookmarkStart w:id="63" w:name="_Toc221525110"/>
      <w:r w:rsidRPr="002B283E">
        <w:lastRenderedPageBreak/>
        <w:t>4</w:t>
      </w:r>
      <w:r w:rsidR="00A87F6E">
        <w:t xml:space="preserve">. </w:t>
      </w:r>
      <w:r w:rsidRPr="002B283E">
        <w:t>AGENCY</w:t>
      </w:r>
      <w:bookmarkEnd w:id="63"/>
    </w:p>
    <w:p w14:paraId="7CA527B1" w14:textId="77777777" w:rsidR="006A4CD7" w:rsidRPr="002B283E" w:rsidRDefault="006A4CD7" w:rsidP="002B283E">
      <w:pPr>
        <w:autoSpaceDE w:val="0"/>
        <w:autoSpaceDN w:val="0"/>
        <w:adjustRightInd w:val="0"/>
        <w:rPr>
          <w:rFonts w:cs="Times New Roman"/>
          <w:szCs w:val="24"/>
        </w:rPr>
      </w:pPr>
    </w:p>
    <w:p w14:paraId="66F0BE64" w14:textId="5544D3B8"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4C7B27C3" w14:textId="77777777" w:rsidR="00A25782" w:rsidRPr="002B283E" w:rsidRDefault="00A25782" w:rsidP="002B283E">
      <w:pPr>
        <w:autoSpaceDE w:val="0"/>
        <w:autoSpaceDN w:val="0"/>
        <w:adjustRightInd w:val="0"/>
        <w:rPr>
          <w:rFonts w:cs="Times New Roman"/>
          <w:szCs w:val="24"/>
        </w:rPr>
      </w:pPr>
    </w:p>
    <w:p w14:paraId="3CC4DD5E" w14:textId="43AF72D4"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676D2D39" w14:textId="77777777" w:rsidR="006A4CD7" w:rsidRPr="002B283E" w:rsidRDefault="006A4CD7" w:rsidP="002B283E">
      <w:pPr>
        <w:autoSpaceDE w:val="0"/>
        <w:autoSpaceDN w:val="0"/>
        <w:adjustRightInd w:val="0"/>
        <w:ind w:left="864" w:hanging="864"/>
        <w:rPr>
          <w:rFonts w:cs="Times New Roman"/>
          <w:szCs w:val="24"/>
        </w:rPr>
      </w:pPr>
      <w:r w:rsidRPr="002B283E">
        <w:rPr>
          <w:rFonts w:cs="Times New Roman"/>
          <w:szCs w:val="24"/>
        </w:rPr>
        <w:t>4.1</w:t>
      </w:r>
      <w:r w:rsidRPr="002B283E">
        <w:rPr>
          <w:rFonts w:cs="Times New Roman"/>
          <w:szCs w:val="24"/>
        </w:rPr>
        <w:tab/>
        <w:t>Corporations and Partnerships—Fair Treatment</w:t>
      </w:r>
    </w:p>
    <w:p w14:paraId="626CC7E2"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4.2</w:t>
      </w:r>
      <w:r w:rsidRPr="002B283E">
        <w:rPr>
          <w:rFonts w:cs="Times New Roman"/>
          <w:szCs w:val="24"/>
        </w:rPr>
        <w:tab/>
        <w:t>Liability of Corporations—Scope of Authority Not in Issue</w:t>
      </w:r>
    </w:p>
    <w:p w14:paraId="023D23B0"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4.3</w:t>
      </w:r>
      <w:r w:rsidRPr="002B283E">
        <w:rPr>
          <w:rFonts w:cs="Times New Roman"/>
          <w:szCs w:val="24"/>
        </w:rPr>
        <w:tab/>
        <w:t>Liability of Partnerships—Scope of Authority Not in Issue</w:t>
      </w:r>
    </w:p>
    <w:p w14:paraId="7E8ED0B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4.4</w:t>
      </w:r>
      <w:r w:rsidRPr="002B283E">
        <w:rPr>
          <w:rFonts w:cs="Times New Roman"/>
          <w:szCs w:val="24"/>
        </w:rPr>
        <w:tab/>
        <w:t>Agent and Principal—Definition</w:t>
      </w:r>
    </w:p>
    <w:p w14:paraId="47E98B5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4.5</w:t>
      </w:r>
      <w:r w:rsidRPr="002B283E">
        <w:rPr>
          <w:rFonts w:cs="Times New Roman"/>
          <w:szCs w:val="24"/>
        </w:rPr>
        <w:tab/>
        <w:t>Agent—Scope of Authority Defined</w:t>
      </w:r>
    </w:p>
    <w:p w14:paraId="659291F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4.6</w:t>
      </w:r>
      <w:r w:rsidRPr="002B283E">
        <w:rPr>
          <w:rFonts w:cs="Times New Roman"/>
          <w:szCs w:val="24"/>
        </w:rPr>
        <w:tab/>
        <w:t>Apparent Agency</w:t>
      </w:r>
    </w:p>
    <w:p w14:paraId="42F7A8D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4.7</w:t>
      </w:r>
      <w:r w:rsidRPr="002B283E">
        <w:rPr>
          <w:rFonts w:cs="Times New Roman"/>
          <w:szCs w:val="24"/>
        </w:rPr>
        <w:tab/>
        <w:t>Ratification</w:t>
      </w:r>
    </w:p>
    <w:p w14:paraId="3216468F" w14:textId="78E82CD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4.8</w:t>
      </w:r>
      <w:r w:rsidRPr="002B283E">
        <w:rPr>
          <w:rFonts w:cs="Times New Roman"/>
          <w:szCs w:val="24"/>
        </w:rPr>
        <w:tab/>
        <w:t xml:space="preserve">Act of Agent </w:t>
      </w:r>
      <w:r w:rsidR="00545512" w:rsidRPr="002B283E">
        <w:rPr>
          <w:rFonts w:cs="Times New Roman"/>
          <w:szCs w:val="24"/>
        </w:rPr>
        <w:t>i</w:t>
      </w:r>
      <w:r w:rsidRPr="002B283E">
        <w:rPr>
          <w:rFonts w:cs="Times New Roman"/>
          <w:szCs w:val="24"/>
        </w:rPr>
        <w:t>s Act of Principal—Scope of Authority Not in Issue</w:t>
      </w:r>
    </w:p>
    <w:p w14:paraId="1B9DA3B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4.9</w:t>
      </w:r>
      <w:r w:rsidRPr="002B283E">
        <w:rPr>
          <w:rFonts w:cs="Times New Roman"/>
          <w:szCs w:val="24"/>
        </w:rPr>
        <w:tab/>
        <w:t>Both Principal and Agent Sued—No Issue as to Agency or Authority</w:t>
      </w:r>
    </w:p>
    <w:p w14:paraId="099F173A"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4.10</w:t>
      </w:r>
      <w:r w:rsidRPr="002B283E">
        <w:rPr>
          <w:rFonts w:cs="Times New Roman"/>
          <w:szCs w:val="24"/>
        </w:rPr>
        <w:tab/>
        <w:t>Principal Sued but Not Agent—No Issue as to Agency or Authority</w:t>
      </w:r>
    </w:p>
    <w:p w14:paraId="374ABA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4.11</w:t>
      </w:r>
      <w:r w:rsidRPr="002B283E">
        <w:rPr>
          <w:rFonts w:cs="Times New Roman"/>
          <w:szCs w:val="24"/>
        </w:rPr>
        <w:tab/>
        <w:t>Both Principal and Agent Sued—Agency or Authority Denied</w:t>
      </w:r>
    </w:p>
    <w:p w14:paraId="48EE17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4.12</w:t>
      </w:r>
      <w:r w:rsidRPr="002B283E">
        <w:rPr>
          <w:rFonts w:cs="Times New Roman"/>
          <w:szCs w:val="24"/>
        </w:rPr>
        <w:tab/>
        <w:t>Principal Sued but Not Agent—Agency or Authority Denied</w:t>
      </w:r>
    </w:p>
    <w:p w14:paraId="710F3E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4.13</w:t>
      </w:r>
      <w:r w:rsidRPr="002B283E">
        <w:rPr>
          <w:rFonts w:cs="Times New Roman"/>
          <w:szCs w:val="24"/>
        </w:rPr>
        <w:tab/>
        <w:t>Adverse Interest Exception</w:t>
      </w:r>
    </w:p>
    <w:p w14:paraId="70E49C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4.14</w:t>
      </w:r>
      <w:r w:rsidRPr="002B283E">
        <w:rPr>
          <w:rFonts w:cs="Times New Roman"/>
          <w:szCs w:val="24"/>
        </w:rPr>
        <w:tab/>
        <w:t>Independent Contractor—Definition</w:t>
      </w:r>
    </w:p>
    <w:p w14:paraId="0D5703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4.15</w:t>
      </w:r>
      <w:r w:rsidRPr="002B283E">
        <w:rPr>
          <w:rFonts w:cs="Times New Roman"/>
          <w:szCs w:val="24"/>
        </w:rPr>
        <w:tab/>
        <w:t>General Partnership—Definition</w:t>
      </w:r>
    </w:p>
    <w:p w14:paraId="5E3A827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4.16</w:t>
      </w:r>
      <w:r w:rsidRPr="002B283E">
        <w:rPr>
          <w:rFonts w:cs="Times New Roman"/>
          <w:szCs w:val="24"/>
        </w:rPr>
        <w:tab/>
        <w:t>General Partnership—Scope of Partnership Business Defined</w:t>
      </w:r>
    </w:p>
    <w:p w14:paraId="05AB7CF4" w14:textId="4C470EF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4.17</w:t>
      </w:r>
      <w:r w:rsidRPr="002B283E">
        <w:rPr>
          <w:rFonts w:cs="Times New Roman"/>
          <w:szCs w:val="24"/>
        </w:rPr>
        <w:tab/>
        <w:t xml:space="preserve">General Partnership—Act of Partner </w:t>
      </w:r>
      <w:r w:rsidR="00A25782" w:rsidRPr="002B283E">
        <w:rPr>
          <w:rFonts w:cs="Times New Roman"/>
          <w:szCs w:val="24"/>
        </w:rPr>
        <w:t>i</w:t>
      </w:r>
      <w:r w:rsidRPr="002B283E">
        <w:rPr>
          <w:rFonts w:cs="Times New Roman"/>
          <w:szCs w:val="24"/>
        </w:rPr>
        <w:t>s Act of All Partners</w:t>
      </w:r>
    </w:p>
    <w:p w14:paraId="1EE543D5" w14:textId="77FE551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4.18</w:t>
      </w:r>
      <w:r w:rsidRPr="002B283E">
        <w:rPr>
          <w:rFonts w:cs="Times New Roman"/>
          <w:szCs w:val="24"/>
        </w:rPr>
        <w:tab/>
        <w:t xml:space="preserve">General Partnership—Liability of Partner—No Issue as to Partnership, Agency, or </w:t>
      </w:r>
      <w:r w:rsidR="00734276" w:rsidRPr="002B283E">
        <w:rPr>
          <w:rFonts w:cs="Times New Roman"/>
          <w:szCs w:val="24"/>
        </w:rPr>
        <w:t xml:space="preserve">Scope </w:t>
      </w:r>
      <w:r w:rsidRPr="002B283E">
        <w:rPr>
          <w:rFonts w:cs="Times New Roman"/>
          <w:szCs w:val="24"/>
        </w:rPr>
        <w:t>of Authority</w:t>
      </w:r>
    </w:p>
    <w:p w14:paraId="5C67F5C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4.19</w:t>
      </w:r>
      <w:r w:rsidRPr="002B283E">
        <w:rPr>
          <w:rFonts w:cs="Times New Roman"/>
          <w:szCs w:val="24"/>
        </w:rPr>
        <w:tab/>
        <w:t>Partnership—Existence Admitted—Scope of Partnership Business in Issue—Effect</w:t>
      </w:r>
    </w:p>
    <w:p w14:paraId="6B15DAEE" w14:textId="59B395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4.20</w:t>
      </w:r>
      <w:r w:rsidRPr="002B283E">
        <w:rPr>
          <w:rFonts w:cs="Times New Roman"/>
          <w:szCs w:val="24"/>
        </w:rPr>
        <w:tab/>
        <w:t>Partnership—Existence of Partnership in Issue—Effect</w:t>
      </w:r>
    </w:p>
    <w:p w14:paraId="407CD0AD" w14:textId="77777777" w:rsidR="006A4CD7" w:rsidRPr="002B283E" w:rsidRDefault="006A4CD7" w:rsidP="002B283E">
      <w:pPr>
        <w:autoSpaceDE w:val="0"/>
        <w:autoSpaceDN w:val="0"/>
        <w:adjustRightInd w:val="0"/>
        <w:rPr>
          <w:rFonts w:cs="Times New Roman"/>
          <w:szCs w:val="24"/>
        </w:rPr>
      </w:pPr>
    </w:p>
    <w:p w14:paraId="4F9E38CF" w14:textId="7F21A1A6"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8435FFB" w14:textId="7787F5D4" w:rsidR="00947EB1" w:rsidRPr="002B283E" w:rsidRDefault="00947EB1" w:rsidP="002B283E">
      <w:pPr>
        <w:autoSpaceDE w:val="0"/>
        <w:autoSpaceDN w:val="0"/>
        <w:adjustRightInd w:val="0"/>
        <w:jc w:val="center"/>
        <w:rPr>
          <w:rFonts w:cs="Times New Roman"/>
          <w:szCs w:val="24"/>
        </w:rPr>
      </w:pPr>
    </w:p>
    <w:p w14:paraId="35EEB702" w14:textId="21EF9E45" w:rsidR="00947EB1" w:rsidRPr="002B283E" w:rsidRDefault="00947EB1" w:rsidP="002B283E">
      <w:pPr>
        <w:autoSpaceDE w:val="0"/>
        <w:autoSpaceDN w:val="0"/>
        <w:adjustRightInd w:val="0"/>
        <w:jc w:val="center"/>
        <w:rPr>
          <w:rFonts w:cs="Times New Roman"/>
          <w:szCs w:val="24"/>
        </w:rPr>
      </w:pPr>
    </w:p>
    <w:p w14:paraId="00978F0B" w14:textId="51574188" w:rsidR="00947EB1" w:rsidRPr="002B283E" w:rsidRDefault="00947EB1" w:rsidP="002B283E">
      <w:pPr>
        <w:autoSpaceDE w:val="0"/>
        <w:autoSpaceDN w:val="0"/>
        <w:adjustRightInd w:val="0"/>
        <w:jc w:val="center"/>
        <w:rPr>
          <w:rFonts w:cs="Times New Roman"/>
          <w:szCs w:val="24"/>
        </w:rPr>
      </w:pPr>
    </w:p>
    <w:p w14:paraId="1B79E284" w14:textId="2DF3944E" w:rsidR="00947EB1" w:rsidRPr="002B283E" w:rsidRDefault="00947EB1" w:rsidP="002B283E">
      <w:pPr>
        <w:autoSpaceDE w:val="0"/>
        <w:autoSpaceDN w:val="0"/>
        <w:adjustRightInd w:val="0"/>
        <w:jc w:val="center"/>
        <w:rPr>
          <w:rFonts w:cs="Times New Roman"/>
          <w:szCs w:val="24"/>
        </w:rPr>
      </w:pPr>
    </w:p>
    <w:p w14:paraId="748D5092" w14:textId="6C58E1E1" w:rsidR="00947EB1" w:rsidRPr="002B283E" w:rsidRDefault="00947EB1" w:rsidP="002B283E">
      <w:pPr>
        <w:autoSpaceDE w:val="0"/>
        <w:autoSpaceDN w:val="0"/>
        <w:adjustRightInd w:val="0"/>
        <w:jc w:val="center"/>
        <w:rPr>
          <w:rFonts w:cs="Times New Roman"/>
          <w:szCs w:val="24"/>
        </w:rPr>
      </w:pPr>
    </w:p>
    <w:p w14:paraId="28DE63DC" w14:textId="76A9B0C8" w:rsidR="00947EB1" w:rsidRPr="002B283E" w:rsidRDefault="00947EB1" w:rsidP="002B283E">
      <w:pPr>
        <w:autoSpaceDE w:val="0"/>
        <w:autoSpaceDN w:val="0"/>
        <w:adjustRightInd w:val="0"/>
        <w:jc w:val="center"/>
        <w:rPr>
          <w:rFonts w:cs="Times New Roman"/>
          <w:szCs w:val="24"/>
        </w:rPr>
      </w:pPr>
    </w:p>
    <w:p w14:paraId="66EFDBE5" w14:textId="1AD3C81F" w:rsidR="00947EB1" w:rsidRPr="002B283E" w:rsidRDefault="00947EB1" w:rsidP="002B283E">
      <w:pPr>
        <w:autoSpaceDE w:val="0"/>
        <w:autoSpaceDN w:val="0"/>
        <w:adjustRightInd w:val="0"/>
        <w:jc w:val="center"/>
        <w:rPr>
          <w:rFonts w:cs="Times New Roman"/>
          <w:szCs w:val="24"/>
        </w:rPr>
      </w:pPr>
    </w:p>
    <w:p w14:paraId="49B0FE44" w14:textId="2617489A" w:rsidR="00947EB1" w:rsidRPr="002B283E" w:rsidRDefault="00947EB1" w:rsidP="002B283E">
      <w:pPr>
        <w:autoSpaceDE w:val="0"/>
        <w:autoSpaceDN w:val="0"/>
        <w:adjustRightInd w:val="0"/>
        <w:jc w:val="center"/>
        <w:rPr>
          <w:rFonts w:cs="Times New Roman"/>
          <w:szCs w:val="24"/>
        </w:rPr>
      </w:pPr>
    </w:p>
    <w:p w14:paraId="664903E0" w14:textId="1A26909A" w:rsidR="00947EB1" w:rsidRPr="002B283E" w:rsidRDefault="00947EB1" w:rsidP="002B283E">
      <w:pPr>
        <w:autoSpaceDE w:val="0"/>
        <w:autoSpaceDN w:val="0"/>
        <w:adjustRightInd w:val="0"/>
        <w:jc w:val="center"/>
        <w:rPr>
          <w:rFonts w:cs="Times New Roman"/>
          <w:szCs w:val="24"/>
        </w:rPr>
      </w:pPr>
    </w:p>
    <w:p w14:paraId="548630D2" w14:textId="3B0BD011" w:rsidR="00947EB1" w:rsidRPr="002B283E" w:rsidRDefault="00947EB1" w:rsidP="002B283E">
      <w:pPr>
        <w:autoSpaceDE w:val="0"/>
        <w:autoSpaceDN w:val="0"/>
        <w:adjustRightInd w:val="0"/>
        <w:jc w:val="center"/>
        <w:rPr>
          <w:rFonts w:cs="Times New Roman"/>
          <w:szCs w:val="24"/>
        </w:rPr>
      </w:pPr>
    </w:p>
    <w:p w14:paraId="4F39E59B" w14:textId="7B2A4572" w:rsidR="00947EB1" w:rsidRPr="002B283E" w:rsidRDefault="00947EB1" w:rsidP="002B283E">
      <w:pPr>
        <w:autoSpaceDE w:val="0"/>
        <w:autoSpaceDN w:val="0"/>
        <w:adjustRightInd w:val="0"/>
        <w:jc w:val="center"/>
        <w:rPr>
          <w:rFonts w:cs="Times New Roman"/>
          <w:szCs w:val="24"/>
        </w:rPr>
      </w:pPr>
    </w:p>
    <w:p w14:paraId="1FB713F6" w14:textId="4D858D6C" w:rsidR="00947EB1" w:rsidRPr="002B283E" w:rsidRDefault="00947EB1" w:rsidP="002B283E">
      <w:pPr>
        <w:autoSpaceDE w:val="0"/>
        <w:autoSpaceDN w:val="0"/>
        <w:adjustRightInd w:val="0"/>
        <w:jc w:val="center"/>
        <w:rPr>
          <w:rFonts w:cs="Times New Roman"/>
          <w:szCs w:val="24"/>
        </w:rPr>
      </w:pPr>
    </w:p>
    <w:p w14:paraId="178F45E6" w14:textId="6E793DFA" w:rsidR="00947EB1" w:rsidRPr="002B283E" w:rsidRDefault="00947EB1" w:rsidP="002B283E">
      <w:pPr>
        <w:autoSpaceDE w:val="0"/>
        <w:autoSpaceDN w:val="0"/>
        <w:adjustRightInd w:val="0"/>
        <w:jc w:val="center"/>
        <w:rPr>
          <w:rFonts w:cs="Times New Roman"/>
          <w:szCs w:val="24"/>
        </w:rPr>
      </w:pPr>
    </w:p>
    <w:p w14:paraId="3C4B8D37" w14:textId="39755850" w:rsidR="00947EB1" w:rsidRPr="002B283E" w:rsidRDefault="00947EB1" w:rsidP="002B283E">
      <w:pPr>
        <w:autoSpaceDE w:val="0"/>
        <w:autoSpaceDN w:val="0"/>
        <w:adjustRightInd w:val="0"/>
        <w:jc w:val="center"/>
        <w:rPr>
          <w:rFonts w:cs="Times New Roman"/>
          <w:szCs w:val="24"/>
        </w:rPr>
      </w:pPr>
    </w:p>
    <w:p w14:paraId="65C9CD07" w14:textId="09CB68D4" w:rsidR="00947EB1" w:rsidRPr="002B283E" w:rsidRDefault="00947EB1" w:rsidP="002B283E">
      <w:pPr>
        <w:autoSpaceDE w:val="0"/>
        <w:autoSpaceDN w:val="0"/>
        <w:adjustRightInd w:val="0"/>
        <w:jc w:val="center"/>
        <w:rPr>
          <w:rFonts w:cs="Times New Roman"/>
          <w:szCs w:val="24"/>
        </w:rPr>
      </w:pPr>
    </w:p>
    <w:p w14:paraId="5B8133FA" w14:textId="06B3E90C" w:rsidR="00947EB1" w:rsidRPr="002B283E" w:rsidRDefault="00947EB1" w:rsidP="002B283E">
      <w:pPr>
        <w:autoSpaceDE w:val="0"/>
        <w:autoSpaceDN w:val="0"/>
        <w:adjustRightInd w:val="0"/>
        <w:jc w:val="center"/>
        <w:rPr>
          <w:rFonts w:cs="Times New Roman"/>
          <w:szCs w:val="24"/>
        </w:rPr>
      </w:pPr>
    </w:p>
    <w:p w14:paraId="3F002210" w14:textId="03279C34" w:rsidR="00947EB1" w:rsidRPr="002B283E" w:rsidRDefault="00947EB1" w:rsidP="002B283E">
      <w:pPr>
        <w:autoSpaceDE w:val="0"/>
        <w:autoSpaceDN w:val="0"/>
        <w:adjustRightInd w:val="0"/>
        <w:jc w:val="center"/>
        <w:rPr>
          <w:rFonts w:cs="Times New Roman"/>
          <w:szCs w:val="24"/>
        </w:rPr>
      </w:pPr>
    </w:p>
    <w:p w14:paraId="21A028F2" w14:textId="77777777" w:rsidR="00947EB1" w:rsidRPr="002B283E" w:rsidRDefault="00947EB1" w:rsidP="002B283E">
      <w:pPr>
        <w:autoSpaceDE w:val="0"/>
        <w:autoSpaceDN w:val="0"/>
        <w:adjustRightInd w:val="0"/>
        <w:jc w:val="center"/>
        <w:rPr>
          <w:rFonts w:cs="Times New Roman"/>
          <w:szCs w:val="24"/>
        </w:rPr>
      </w:pPr>
    </w:p>
    <w:p w14:paraId="2F9E01B7" w14:textId="77777777" w:rsidR="006A4CD7" w:rsidRPr="002B283E" w:rsidRDefault="006A4CD7" w:rsidP="002B283E">
      <w:pPr>
        <w:rPr>
          <w:rFonts w:cs="Times New Roman"/>
          <w:szCs w:val="24"/>
        </w:rPr>
      </w:pPr>
    </w:p>
    <w:p w14:paraId="1A216A7C" w14:textId="77777777" w:rsidR="00D769A2" w:rsidRPr="002B283E" w:rsidRDefault="00D769A2" w:rsidP="002B283E">
      <w:pPr>
        <w:rPr>
          <w:rFonts w:cs="Times New Roman"/>
          <w:szCs w:val="24"/>
        </w:rPr>
      </w:pPr>
    </w:p>
    <w:p w14:paraId="5BB4A45E" w14:textId="6F70AFDA" w:rsidR="006A4CD7" w:rsidRPr="002B283E" w:rsidRDefault="006A4CD7" w:rsidP="002B283E">
      <w:pPr>
        <w:pStyle w:val="Heading2"/>
      </w:pPr>
      <w:bookmarkStart w:id="64" w:name="_Toc221525111"/>
      <w:r w:rsidRPr="002B283E">
        <w:t>Introductory Comment</w:t>
      </w:r>
      <w:bookmarkEnd w:id="64"/>
    </w:p>
    <w:p w14:paraId="3C1290A7" w14:textId="77777777" w:rsidR="006A4CD7" w:rsidRPr="002B283E" w:rsidRDefault="006A4CD7" w:rsidP="002B283E">
      <w:pPr>
        <w:rPr>
          <w:rFonts w:cs="Times New Roman"/>
          <w:szCs w:val="24"/>
        </w:rPr>
      </w:pPr>
    </w:p>
    <w:p w14:paraId="2F441CBA" w14:textId="1E05D5F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chapter contains generic instructions. Modifications may be necessary to conform to state law applicable to any specific case. </w:t>
      </w:r>
    </w:p>
    <w:p w14:paraId="630EDF0A" w14:textId="77777777" w:rsidR="006A4CD7" w:rsidRPr="002B283E" w:rsidRDefault="006A4CD7" w:rsidP="002B283E">
      <w:pPr>
        <w:autoSpaceDE w:val="0"/>
        <w:autoSpaceDN w:val="0"/>
        <w:adjustRightInd w:val="0"/>
        <w:rPr>
          <w:rFonts w:cs="Times New Roman"/>
          <w:szCs w:val="24"/>
        </w:rPr>
      </w:pPr>
    </w:p>
    <w:p w14:paraId="4C8F69CF" w14:textId="77777777" w:rsidR="006A4CD7" w:rsidRPr="002B283E" w:rsidRDefault="006A4CD7" w:rsidP="002B283E">
      <w:pPr>
        <w:autoSpaceDE w:val="0"/>
        <w:autoSpaceDN w:val="0"/>
        <w:adjustRightInd w:val="0"/>
        <w:rPr>
          <w:rFonts w:cs="Times New Roman"/>
          <w:szCs w:val="24"/>
        </w:rPr>
      </w:pPr>
    </w:p>
    <w:p w14:paraId="34DB089C" w14:textId="77777777" w:rsidR="00C8117C" w:rsidRPr="002B283E" w:rsidRDefault="00C8117C" w:rsidP="002B283E">
      <w:pPr>
        <w:rPr>
          <w:rFonts w:cs="Times New Roman"/>
          <w:b/>
          <w:bCs/>
          <w:szCs w:val="24"/>
        </w:rPr>
      </w:pPr>
      <w:r w:rsidRPr="002B283E">
        <w:rPr>
          <w:rFonts w:cs="Times New Roman"/>
          <w:b/>
          <w:bCs/>
          <w:szCs w:val="24"/>
        </w:rPr>
        <w:br w:type="page"/>
      </w:r>
    </w:p>
    <w:p w14:paraId="51E61D6A" w14:textId="61B48DAD" w:rsidR="006A4CD7" w:rsidRPr="002B283E" w:rsidRDefault="006A4CD7" w:rsidP="002B283E">
      <w:pPr>
        <w:pStyle w:val="Heading2"/>
      </w:pPr>
      <w:bookmarkStart w:id="65" w:name="_Toc221525112"/>
      <w:r w:rsidRPr="002B283E">
        <w:lastRenderedPageBreak/>
        <w:t>4.1 C</w:t>
      </w:r>
      <w:r w:rsidR="00A25782" w:rsidRPr="002B283E">
        <w:t>orporations</w:t>
      </w:r>
      <w:r w:rsidRPr="002B283E">
        <w:t xml:space="preserve"> </w:t>
      </w:r>
      <w:r w:rsidR="00A25782" w:rsidRPr="002B283E">
        <w:t>and</w:t>
      </w:r>
      <w:r w:rsidRPr="002B283E">
        <w:t xml:space="preserve"> P</w:t>
      </w:r>
      <w:r w:rsidR="00A25782" w:rsidRPr="002B283E">
        <w:t>artnerships</w:t>
      </w:r>
      <w:r w:rsidRPr="002B283E">
        <w:t>—F</w:t>
      </w:r>
      <w:r w:rsidR="00A25782" w:rsidRPr="002B283E">
        <w:t>air</w:t>
      </w:r>
      <w:r w:rsidRPr="002B283E">
        <w:t xml:space="preserve"> T</w:t>
      </w:r>
      <w:r w:rsidR="00A25782" w:rsidRPr="002B283E">
        <w:t>reatment</w:t>
      </w:r>
      <w:bookmarkEnd w:id="65"/>
    </w:p>
    <w:p w14:paraId="0403560F" w14:textId="77777777" w:rsidR="006A4CD7" w:rsidRPr="002B283E" w:rsidRDefault="006A4CD7" w:rsidP="002B283E">
      <w:pPr>
        <w:autoSpaceDE w:val="0"/>
        <w:autoSpaceDN w:val="0"/>
        <w:adjustRightInd w:val="0"/>
        <w:rPr>
          <w:rFonts w:cs="Times New Roman"/>
          <w:szCs w:val="24"/>
        </w:rPr>
      </w:pPr>
    </w:p>
    <w:p w14:paraId="0F093C2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All parties are equal before the law and a [corporation] [partnership] is entitled to the same fair and conscientious consideration by you as any party.</w:t>
      </w:r>
    </w:p>
    <w:p w14:paraId="7055F25E" w14:textId="77777777" w:rsidR="006A4CD7" w:rsidRPr="002B283E" w:rsidRDefault="006A4CD7" w:rsidP="002B283E">
      <w:pPr>
        <w:autoSpaceDE w:val="0"/>
        <w:autoSpaceDN w:val="0"/>
        <w:adjustRightInd w:val="0"/>
        <w:rPr>
          <w:rFonts w:cs="Times New Roman"/>
          <w:szCs w:val="24"/>
        </w:rPr>
      </w:pPr>
    </w:p>
    <w:p w14:paraId="2C3FFB8F" w14:textId="77777777" w:rsidR="006A4CD7" w:rsidRPr="002B283E" w:rsidRDefault="006A4CD7" w:rsidP="002B283E">
      <w:pPr>
        <w:autoSpaceDE w:val="0"/>
        <w:autoSpaceDN w:val="0"/>
        <w:adjustRightInd w:val="0"/>
        <w:rPr>
          <w:rFonts w:cs="Times New Roman"/>
          <w:szCs w:val="24"/>
        </w:rPr>
      </w:pPr>
    </w:p>
    <w:p w14:paraId="2DA256B8" w14:textId="64C55768" w:rsidR="006A4CD7" w:rsidRPr="002B283E" w:rsidRDefault="006A4CD7" w:rsidP="002B283E">
      <w:pPr>
        <w:pStyle w:val="Heading2"/>
      </w:pPr>
      <w:r w:rsidRPr="002B283E">
        <w:br w:type="page"/>
      </w:r>
      <w:bookmarkStart w:id="66" w:name="_Toc221525113"/>
      <w:r w:rsidRPr="002B283E">
        <w:lastRenderedPageBreak/>
        <w:t>4.2 L</w:t>
      </w:r>
      <w:r w:rsidR="00A25782" w:rsidRPr="002B283E">
        <w:t>iability</w:t>
      </w:r>
      <w:r w:rsidRPr="002B283E">
        <w:t xml:space="preserve"> </w:t>
      </w:r>
      <w:r w:rsidR="00A25782" w:rsidRPr="002B283E">
        <w:t>of</w:t>
      </w:r>
      <w:r w:rsidRPr="002B283E">
        <w:t xml:space="preserve"> C</w:t>
      </w:r>
      <w:r w:rsidR="00A25782" w:rsidRPr="002B283E">
        <w:t>orporations</w:t>
      </w:r>
      <w:r w:rsidRPr="002B283E">
        <w:t>—S</w:t>
      </w:r>
      <w:r w:rsidR="00A25782" w:rsidRPr="002B283E">
        <w:t>cope</w:t>
      </w:r>
      <w:r w:rsidRPr="002B283E">
        <w:t xml:space="preserve"> </w:t>
      </w:r>
      <w:r w:rsidR="00A25782" w:rsidRPr="002B283E">
        <w:t>of</w:t>
      </w:r>
      <w:r w:rsidRPr="002B283E">
        <w:t xml:space="preserve"> </w:t>
      </w:r>
      <w:r w:rsidR="00CD224B" w:rsidRPr="002B283E">
        <w:t>A</w:t>
      </w:r>
      <w:r w:rsidR="00A25782" w:rsidRPr="002B283E">
        <w:t>uthority</w:t>
      </w:r>
      <w:r w:rsidRPr="002B283E">
        <w:t xml:space="preserve"> N</w:t>
      </w:r>
      <w:r w:rsidR="00A25782" w:rsidRPr="002B283E">
        <w:t>ot</w:t>
      </w:r>
      <w:r w:rsidRPr="002B283E">
        <w:t xml:space="preserve"> </w:t>
      </w:r>
      <w:r w:rsidR="00A25782" w:rsidRPr="002B283E">
        <w:t>in</w:t>
      </w:r>
      <w:r w:rsidRPr="002B283E">
        <w:t xml:space="preserve"> I</w:t>
      </w:r>
      <w:r w:rsidR="00A25782" w:rsidRPr="002B283E">
        <w:t>ssue</w:t>
      </w:r>
      <w:bookmarkEnd w:id="66"/>
    </w:p>
    <w:p w14:paraId="47E5AC68" w14:textId="77777777" w:rsidR="006A4CD7" w:rsidRPr="002B283E" w:rsidRDefault="006A4CD7" w:rsidP="002B283E">
      <w:pPr>
        <w:autoSpaceDE w:val="0"/>
        <w:autoSpaceDN w:val="0"/>
        <w:adjustRightInd w:val="0"/>
        <w:rPr>
          <w:rFonts w:cs="Times New Roman"/>
          <w:szCs w:val="24"/>
        </w:rPr>
      </w:pPr>
    </w:p>
    <w:p w14:paraId="5113EA45" w14:textId="3D84B033"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 corporation is considered to be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2B283E" w:rsidRDefault="006A4CD7" w:rsidP="002B283E">
      <w:pPr>
        <w:autoSpaceDE w:val="0"/>
        <w:autoSpaceDN w:val="0"/>
        <w:adjustRightInd w:val="0"/>
        <w:rPr>
          <w:rFonts w:cs="Times New Roman"/>
          <w:szCs w:val="24"/>
        </w:rPr>
      </w:pPr>
    </w:p>
    <w:p w14:paraId="591A7DAE" w14:textId="77777777" w:rsidR="006A4CD7" w:rsidRPr="002B283E" w:rsidRDefault="006A4CD7" w:rsidP="002B283E">
      <w:pPr>
        <w:autoSpaceDE w:val="0"/>
        <w:autoSpaceDN w:val="0"/>
        <w:adjustRightInd w:val="0"/>
        <w:rPr>
          <w:rFonts w:cs="Times New Roman"/>
          <w:szCs w:val="24"/>
        </w:rPr>
      </w:pPr>
    </w:p>
    <w:p w14:paraId="68546A0E" w14:textId="77777777" w:rsidR="00C8117C" w:rsidRPr="002B283E" w:rsidRDefault="00C8117C" w:rsidP="002B283E">
      <w:pPr>
        <w:rPr>
          <w:rFonts w:cs="Times New Roman"/>
          <w:b/>
          <w:bCs/>
          <w:szCs w:val="24"/>
        </w:rPr>
      </w:pPr>
      <w:r w:rsidRPr="002B283E">
        <w:rPr>
          <w:rFonts w:cs="Times New Roman"/>
          <w:b/>
          <w:bCs/>
          <w:szCs w:val="24"/>
        </w:rPr>
        <w:br w:type="page"/>
      </w:r>
    </w:p>
    <w:p w14:paraId="09757FDE" w14:textId="39A1A1C1" w:rsidR="00CD224B" w:rsidRPr="002B283E" w:rsidRDefault="006A4CD7" w:rsidP="002B283E">
      <w:pPr>
        <w:pStyle w:val="Heading2"/>
      </w:pPr>
      <w:bookmarkStart w:id="67" w:name="_Toc221525114"/>
      <w:r w:rsidRPr="002B283E">
        <w:lastRenderedPageBreak/>
        <w:t>4.3 L</w:t>
      </w:r>
      <w:r w:rsidR="002F1CAD" w:rsidRPr="002B283E">
        <w:t>iability</w:t>
      </w:r>
      <w:r w:rsidRPr="002B283E">
        <w:t xml:space="preserve"> </w:t>
      </w:r>
      <w:r w:rsidR="002F1CAD" w:rsidRPr="002B283E">
        <w:t>of</w:t>
      </w:r>
      <w:r w:rsidRPr="002B283E">
        <w:t xml:space="preserve"> P</w:t>
      </w:r>
      <w:r w:rsidR="002F1CAD" w:rsidRPr="002B283E">
        <w:t>artnerships</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00CD224B" w:rsidRPr="002B283E">
        <w:t xml:space="preserve"> </w:t>
      </w:r>
      <w:r w:rsidRPr="002B283E">
        <w:t>N</w:t>
      </w:r>
      <w:r w:rsidR="002F1CAD" w:rsidRPr="002B283E">
        <w:t>ot</w:t>
      </w:r>
      <w:r w:rsidRPr="002B283E">
        <w:t xml:space="preserve"> </w:t>
      </w:r>
      <w:r w:rsidR="002F1CAD" w:rsidRPr="002B283E">
        <w:t>in</w:t>
      </w:r>
      <w:r w:rsidRPr="002B283E">
        <w:t xml:space="preserve"> I</w:t>
      </w:r>
      <w:r w:rsidR="002F1CAD" w:rsidRPr="002B283E">
        <w:t>ssue</w:t>
      </w:r>
      <w:bookmarkEnd w:id="67"/>
    </w:p>
    <w:p w14:paraId="7BB726E2" w14:textId="77777777" w:rsidR="006A4CD7" w:rsidRPr="002B283E" w:rsidRDefault="006A4CD7" w:rsidP="002B283E">
      <w:pPr>
        <w:autoSpaceDE w:val="0"/>
        <w:autoSpaceDN w:val="0"/>
        <w:adjustRightInd w:val="0"/>
        <w:rPr>
          <w:rFonts w:cs="Times New Roman"/>
          <w:szCs w:val="24"/>
        </w:rPr>
      </w:pPr>
    </w:p>
    <w:p w14:paraId="3C5BB7FE" w14:textId="26686F0B"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2B283E" w:rsidRDefault="006A4CD7" w:rsidP="002B283E">
      <w:pPr>
        <w:autoSpaceDE w:val="0"/>
        <w:autoSpaceDN w:val="0"/>
        <w:adjustRightInd w:val="0"/>
        <w:rPr>
          <w:rFonts w:cs="Times New Roman"/>
          <w:szCs w:val="24"/>
        </w:rPr>
      </w:pPr>
    </w:p>
    <w:p w14:paraId="2F21D2EE" w14:textId="77777777" w:rsidR="006A4CD7" w:rsidRPr="002B283E" w:rsidRDefault="006A4CD7" w:rsidP="002B283E">
      <w:pPr>
        <w:autoSpaceDE w:val="0"/>
        <w:autoSpaceDN w:val="0"/>
        <w:adjustRightInd w:val="0"/>
        <w:rPr>
          <w:rFonts w:cs="Times New Roman"/>
          <w:szCs w:val="24"/>
        </w:rPr>
      </w:pPr>
    </w:p>
    <w:p w14:paraId="3FA5D2A5" w14:textId="77777777" w:rsidR="00C8117C" w:rsidRPr="002B283E" w:rsidRDefault="00C8117C" w:rsidP="002B283E">
      <w:pPr>
        <w:rPr>
          <w:rFonts w:cs="Times New Roman"/>
          <w:b/>
          <w:bCs/>
          <w:szCs w:val="24"/>
        </w:rPr>
      </w:pPr>
      <w:r w:rsidRPr="002B283E">
        <w:rPr>
          <w:rFonts w:cs="Times New Roman"/>
          <w:b/>
          <w:bCs/>
          <w:szCs w:val="24"/>
        </w:rPr>
        <w:br w:type="page"/>
      </w:r>
    </w:p>
    <w:p w14:paraId="578EEA24" w14:textId="4C1081E3" w:rsidR="006A4CD7" w:rsidRPr="002B283E" w:rsidRDefault="006A4CD7" w:rsidP="002B283E">
      <w:pPr>
        <w:pStyle w:val="Heading2"/>
      </w:pPr>
      <w:bookmarkStart w:id="68" w:name="_Toc221525115"/>
      <w:r w:rsidRPr="002B283E">
        <w:lastRenderedPageBreak/>
        <w:t>4.4 A</w:t>
      </w:r>
      <w:r w:rsidR="002F1CAD" w:rsidRPr="002B283E">
        <w:t>gent</w:t>
      </w:r>
      <w:r w:rsidRPr="002B283E">
        <w:t xml:space="preserve"> </w:t>
      </w:r>
      <w:r w:rsidR="002F1CAD" w:rsidRPr="002B283E">
        <w:t>and</w:t>
      </w:r>
      <w:r w:rsidRPr="002B283E">
        <w:t xml:space="preserve"> P</w:t>
      </w:r>
      <w:r w:rsidR="002F1CAD" w:rsidRPr="002B283E">
        <w:t>rincipal</w:t>
      </w:r>
      <w:r w:rsidRPr="002B283E">
        <w:t>—D</w:t>
      </w:r>
      <w:r w:rsidR="002F1CAD" w:rsidRPr="002B283E">
        <w:t>efinition</w:t>
      </w:r>
      <w:bookmarkEnd w:id="68"/>
    </w:p>
    <w:p w14:paraId="20B95DFE" w14:textId="77777777" w:rsidR="006A4CD7" w:rsidRPr="002B283E" w:rsidRDefault="006A4CD7" w:rsidP="002B283E">
      <w:pPr>
        <w:autoSpaceDE w:val="0"/>
        <w:autoSpaceDN w:val="0"/>
        <w:adjustRightInd w:val="0"/>
        <w:rPr>
          <w:rFonts w:cs="Times New Roman"/>
          <w:szCs w:val="24"/>
        </w:rPr>
      </w:pPr>
    </w:p>
    <w:p w14:paraId="025796DE" w14:textId="25EA53B2"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2B283E" w:rsidRDefault="006A4CD7" w:rsidP="002B283E">
      <w:pPr>
        <w:autoSpaceDE w:val="0"/>
        <w:autoSpaceDN w:val="0"/>
        <w:adjustRightInd w:val="0"/>
        <w:rPr>
          <w:rFonts w:cs="Times New Roman"/>
          <w:szCs w:val="24"/>
        </w:rPr>
      </w:pPr>
    </w:p>
    <w:p w14:paraId="39DDA6DE" w14:textId="77777777" w:rsidR="006A4CD7" w:rsidRPr="002B283E" w:rsidRDefault="006A4CD7" w:rsidP="002B283E">
      <w:pPr>
        <w:autoSpaceDE w:val="0"/>
        <w:autoSpaceDN w:val="0"/>
        <w:adjustRightInd w:val="0"/>
        <w:rPr>
          <w:rFonts w:cs="Times New Roman"/>
          <w:szCs w:val="24"/>
        </w:rPr>
      </w:pPr>
    </w:p>
    <w:p w14:paraId="07575DCE" w14:textId="77777777" w:rsidR="00C8117C" w:rsidRPr="002B283E" w:rsidRDefault="00C8117C" w:rsidP="002B283E">
      <w:pPr>
        <w:rPr>
          <w:rFonts w:cs="Times New Roman"/>
          <w:b/>
          <w:bCs/>
          <w:szCs w:val="24"/>
        </w:rPr>
      </w:pPr>
      <w:r w:rsidRPr="002B283E">
        <w:rPr>
          <w:rFonts w:cs="Times New Roman"/>
          <w:b/>
          <w:bCs/>
          <w:szCs w:val="24"/>
        </w:rPr>
        <w:br w:type="page"/>
      </w:r>
    </w:p>
    <w:p w14:paraId="3DB6626E" w14:textId="210C5281" w:rsidR="006A4CD7" w:rsidRPr="002B283E" w:rsidRDefault="006A4CD7" w:rsidP="002B283E">
      <w:pPr>
        <w:pStyle w:val="Heading2"/>
      </w:pPr>
      <w:bookmarkStart w:id="69" w:name="_Toc221525116"/>
      <w:r w:rsidRPr="002B283E">
        <w:lastRenderedPageBreak/>
        <w:t>4.5 A</w:t>
      </w:r>
      <w:r w:rsidR="002F1CAD" w:rsidRPr="002B283E">
        <w:t>gent</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D</w:t>
      </w:r>
      <w:r w:rsidR="002F1CAD" w:rsidRPr="002B283E">
        <w:t>efined</w:t>
      </w:r>
      <w:bookmarkEnd w:id="69"/>
    </w:p>
    <w:p w14:paraId="18EAF173" w14:textId="77777777" w:rsidR="006A4CD7" w:rsidRPr="002B283E" w:rsidRDefault="006A4CD7" w:rsidP="002B283E">
      <w:pPr>
        <w:autoSpaceDE w:val="0"/>
        <w:autoSpaceDN w:val="0"/>
        <w:adjustRightInd w:val="0"/>
        <w:rPr>
          <w:rFonts w:cs="Times New Roman"/>
          <w:szCs w:val="24"/>
        </w:rPr>
      </w:pPr>
    </w:p>
    <w:p w14:paraId="083D9A4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2B283E" w:rsidRDefault="006A4CD7" w:rsidP="002B283E">
      <w:pPr>
        <w:autoSpaceDE w:val="0"/>
        <w:autoSpaceDN w:val="0"/>
        <w:adjustRightInd w:val="0"/>
        <w:rPr>
          <w:rFonts w:cs="Times New Roman"/>
          <w:szCs w:val="24"/>
        </w:rPr>
      </w:pPr>
    </w:p>
    <w:p w14:paraId="68A1F710" w14:textId="77777777" w:rsidR="006A4CD7" w:rsidRPr="002B283E" w:rsidRDefault="006A4CD7" w:rsidP="002B283E">
      <w:pPr>
        <w:autoSpaceDE w:val="0"/>
        <w:autoSpaceDN w:val="0"/>
        <w:adjustRightInd w:val="0"/>
        <w:rPr>
          <w:rFonts w:cs="Times New Roman"/>
          <w:szCs w:val="24"/>
        </w:rPr>
      </w:pPr>
    </w:p>
    <w:p w14:paraId="2890122E" w14:textId="7423F53C" w:rsidR="006A4CD7" w:rsidRPr="002B283E" w:rsidRDefault="006A4CD7" w:rsidP="002B283E">
      <w:pPr>
        <w:pStyle w:val="Heading2"/>
      </w:pPr>
      <w:r w:rsidRPr="002B283E">
        <w:br w:type="page"/>
      </w:r>
      <w:bookmarkStart w:id="70" w:name="_Toc221525117"/>
      <w:r w:rsidRPr="002B283E">
        <w:lastRenderedPageBreak/>
        <w:t>4.6 A</w:t>
      </w:r>
      <w:r w:rsidR="002F1CAD" w:rsidRPr="002B283E">
        <w:t>pparent</w:t>
      </w:r>
      <w:r w:rsidRPr="002B283E">
        <w:t xml:space="preserve"> A</w:t>
      </w:r>
      <w:r w:rsidR="002F1CAD" w:rsidRPr="002B283E">
        <w:t>gency</w:t>
      </w:r>
      <w:bookmarkEnd w:id="70"/>
    </w:p>
    <w:p w14:paraId="3A1641BB" w14:textId="77777777" w:rsidR="006A4CD7" w:rsidRPr="002B283E" w:rsidRDefault="006A4CD7" w:rsidP="002B283E">
      <w:pPr>
        <w:rPr>
          <w:rFonts w:cs="Times New Roman"/>
          <w:szCs w:val="24"/>
        </w:rPr>
      </w:pPr>
    </w:p>
    <w:p w14:paraId="097D5730" w14:textId="10644CDE" w:rsidR="00D93DD1" w:rsidRPr="002B283E" w:rsidRDefault="006A4CD7" w:rsidP="002B283E">
      <w:pPr>
        <w:pStyle w:val="BodyText"/>
        <w:ind w:left="100" w:firstLine="720"/>
      </w:pPr>
      <w:r w:rsidRPr="002B283E">
        <w:tab/>
      </w:r>
      <w:r w:rsidR="00D93DD1" w:rsidRPr="002B283E">
        <w:t>If</w:t>
      </w:r>
      <w:r w:rsidR="00D93DD1" w:rsidRPr="002B283E">
        <w:rPr>
          <w:spacing w:val="-5"/>
        </w:rPr>
        <w:t xml:space="preserve"> </w:t>
      </w:r>
      <w:r w:rsidR="00D93DD1" w:rsidRPr="002B283E">
        <w:t>[</w:t>
      </w:r>
      <w:r w:rsidR="00D93DD1" w:rsidRPr="002B283E">
        <w:rPr>
          <w:i/>
          <w:u w:val="single"/>
        </w:rPr>
        <w:t>name</w:t>
      </w:r>
      <w:r w:rsidR="00D93DD1" w:rsidRPr="002B283E">
        <w:rPr>
          <w:i/>
          <w:spacing w:val="-5"/>
          <w:u w:val="single"/>
        </w:rPr>
        <w:t xml:space="preserve"> </w:t>
      </w:r>
      <w:r w:rsidR="00D93DD1" w:rsidRPr="002B283E">
        <w:rPr>
          <w:i/>
          <w:u w:val="single"/>
        </w:rPr>
        <w:t>of</w:t>
      </w:r>
      <w:r w:rsidR="00D93DD1" w:rsidRPr="002B283E">
        <w:rPr>
          <w:i/>
          <w:spacing w:val="-4"/>
          <w:u w:val="single"/>
        </w:rPr>
        <w:t xml:space="preserve"> </w:t>
      </w:r>
      <w:r w:rsidR="00D93DD1" w:rsidRPr="002B283E">
        <w:rPr>
          <w:i/>
          <w:u w:val="single"/>
        </w:rPr>
        <w:t>alleged</w:t>
      </w:r>
      <w:r w:rsidR="00D93DD1" w:rsidRPr="002B283E">
        <w:rPr>
          <w:i/>
          <w:spacing w:val="-4"/>
          <w:u w:val="single"/>
        </w:rPr>
        <w:t xml:space="preserve"> </w:t>
      </w:r>
      <w:r w:rsidR="00D93DD1" w:rsidRPr="002B283E">
        <w:rPr>
          <w:i/>
          <w:u w:val="single"/>
        </w:rPr>
        <w:t>principal</w:t>
      </w:r>
      <w:r w:rsidR="00D93DD1" w:rsidRPr="002B283E">
        <w:t>]</w:t>
      </w:r>
      <w:r w:rsidR="00D93DD1" w:rsidRPr="002B283E">
        <w:rPr>
          <w:spacing w:val="-5"/>
        </w:rPr>
        <w:t xml:space="preserve"> </w:t>
      </w:r>
      <w:r w:rsidR="00D93DD1" w:rsidRPr="002B283E">
        <w:t>has</w:t>
      </w:r>
      <w:r w:rsidR="00D93DD1" w:rsidRPr="002B283E">
        <w:rPr>
          <w:spacing w:val="-4"/>
        </w:rPr>
        <w:t xml:space="preserve"> </w:t>
      </w:r>
      <w:r w:rsidR="00D93DD1" w:rsidRPr="002B283E">
        <w:t>intentionally</w:t>
      </w:r>
      <w:r w:rsidR="00D93DD1" w:rsidRPr="002B283E">
        <w:rPr>
          <w:spacing w:val="-4"/>
        </w:rPr>
        <w:t xml:space="preserve"> </w:t>
      </w:r>
      <w:r w:rsidR="00D93DD1" w:rsidRPr="002B283E">
        <w:t>or</w:t>
      </w:r>
      <w:r w:rsidR="00D93DD1" w:rsidRPr="002B283E">
        <w:rPr>
          <w:spacing w:val="-5"/>
        </w:rPr>
        <w:t xml:space="preserve"> </w:t>
      </w:r>
      <w:r w:rsidR="00D93DD1" w:rsidRPr="002B283E">
        <w:t>unintentionally</w:t>
      </w:r>
      <w:r w:rsidR="00D93DD1" w:rsidRPr="002B283E">
        <w:rPr>
          <w:spacing w:val="-4"/>
        </w:rPr>
        <w:t xml:space="preserve"> </w:t>
      </w:r>
      <w:r w:rsidR="00D93DD1" w:rsidRPr="002B283E">
        <w:t>caused</w:t>
      </w:r>
      <w:r w:rsidR="00D93DD1" w:rsidRPr="002B283E">
        <w:rPr>
          <w:spacing w:val="-4"/>
        </w:rPr>
        <w:t xml:space="preserve"> </w:t>
      </w:r>
      <w:r w:rsidR="00D93DD1" w:rsidRPr="002B283E">
        <w:t>the</w:t>
      </w:r>
      <w:r w:rsidR="00D93DD1" w:rsidRPr="002B283E">
        <w:rPr>
          <w:spacing w:val="-5"/>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 [defendant</w:t>
      </w:r>
      <w:r w:rsidR="004E2859">
        <w:t xml:space="preserve"> </w:t>
      </w:r>
      <w:r w:rsidR="004E2859" w:rsidRPr="004E2859">
        <w:t>[</w:t>
      </w:r>
      <w:r w:rsidR="004E2859" w:rsidRPr="004E2859">
        <w:rPr>
          <w:i/>
          <w:iCs/>
          <w:u w:val="single"/>
        </w:rPr>
        <w:t>name</w:t>
      </w:r>
      <w:r w:rsidR="004E2859" w:rsidRPr="004E2859">
        <w:t>]</w:t>
      </w:r>
      <w:r w:rsidR="00D93DD1" w:rsidRPr="002B283E">
        <w:t>] to believe that [</w:t>
      </w:r>
      <w:r w:rsidR="00D93DD1" w:rsidRPr="002B283E">
        <w:rPr>
          <w:i/>
          <w:u w:val="single"/>
        </w:rPr>
        <w:t>name of alleged agent</w:t>
      </w:r>
      <w:r w:rsidR="00D93DD1" w:rsidRPr="002B283E">
        <w:t>] was the principal’s agent, a relationship known as “apparent agency”</w:t>
      </w:r>
      <w:r w:rsidR="00D93DD1" w:rsidRPr="002B283E">
        <w:rPr>
          <w:spacing w:val="-1"/>
        </w:rPr>
        <w:t xml:space="preserve"> </w:t>
      </w:r>
      <w:r w:rsidR="00D93DD1" w:rsidRPr="002B283E">
        <w:t>may be created, even if</w:t>
      </w:r>
      <w:r w:rsidR="00D93DD1" w:rsidRPr="002B283E">
        <w:rPr>
          <w:spacing w:val="-1"/>
        </w:rPr>
        <w:t xml:space="preserve"> </w:t>
      </w:r>
      <w:r w:rsidR="00D93DD1" w:rsidRPr="002B283E">
        <w:t>no actual authority was ever</w:t>
      </w:r>
      <w:r w:rsidR="00D93DD1" w:rsidRPr="002B283E">
        <w:rPr>
          <w:spacing w:val="-1"/>
        </w:rPr>
        <w:t xml:space="preserve"> </w:t>
      </w:r>
      <w:r w:rsidR="00D93DD1" w:rsidRPr="002B283E">
        <w:t>given to the agent.</w:t>
      </w:r>
      <w:r w:rsidR="00D93DD1" w:rsidRPr="002B283E">
        <w:rPr>
          <w:spacing w:val="-9"/>
        </w:rPr>
        <w:t xml:space="preserve"> </w:t>
      </w:r>
      <w:r w:rsidR="00D93DD1" w:rsidRPr="002B283E">
        <w:t>Apparent agency, however, can never arise solely from the acts of the alleged agent.</w:t>
      </w:r>
    </w:p>
    <w:p w14:paraId="2886799F" w14:textId="77777777" w:rsidR="00D93DD1" w:rsidRPr="002B283E" w:rsidRDefault="00D93DD1" w:rsidP="002B283E">
      <w:pPr>
        <w:pStyle w:val="BodyText"/>
      </w:pPr>
    </w:p>
    <w:p w14:paraId="49F4908B" w14:textId="2C9E9AF0" w:rsidR="00D93DD1" w:rsidRPr="002B283E" w:rsidRDefault="002F1238" w:rsidP="008A04C2">
      <w:pPr>
        <w:pStyle w:val="BodyText"/>
        <w:ind w:left="90" w:firstLine="730"/>
      </w:pPr>
      <w:r>
        <w:t>To</w:t>
      </w:r>
      <w:r w:rsidR="00D93DD1" w:rsidRPr="002B283E">
        <w:rPr>
          <w:spacing w:val="-3"/>
        </w:rPr>
        <w:t xml:space="preserve"> </w:t>
      </w:r>
      <w:r w:rsidR="00D93DD1" w:rsidRPr="002B283E">
        <w:t>establish</w:t>
      </w:r>
      <w:r w:rsidR="00D93DD1" w:rsidRPr="002B283E">
        <w:rPr>
          <w:spacing w:val="-3"/>
        </w:rPr>
        <w:t xml:space="preserve"> </w:t>
      </w:r>
      <w:r w:rsidR="00D93DD1" w:rsidRPr="002B283E">
        <w:t>apparent</w:t>
      </w:r>
      <w:r w:rsidR="00D93DD1" w:rsidRPr="002B283E">
        <w:rPr>
          <w:spacing w:val="-4"/>
        </w:rPr>
        <w:t xml:space="preserve"> </w:t>
      </w:r>
      <w:r w:rsidR="00D93DD1" w:rsidRPr="002B283E">
        <w:t>agency,</w:t>
      </w:r>
      <w:r w:rsidR="00D93DD1" w:rsidRPr="002B283E">
        <w:rPr>
          <w:spacing w:val="-3"/>
        </w:rPr>
        <w:t xml:space="preserve"> </w:t>
      </w:r>
      <w:r w:rsidR="00D93DD1" w:rsidRPr="002B283E">
        <w:t>the</w:t>
      </w:r>
      <w:r w:rsidR="00D93DD1" w:rsidRPr="002B283E">
        <w:rPr>
          <w:spacing w:val="-3"/>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w:t>
      </w:r>
      <w:r w:rsidR="00D93DD1" w:rsidRPr="002B283E">
        <w:rPr>
          <w:spacing w:val="-4"/>
        </w:rPr>
        <w:t xml:space="preserve"> </w:t>
      </w:r>
      <w:r w:rsidR="00D93DD1" w:rsidRPr="002B283E">
        <w:t>[defendant</w:t>
      </w:r>
      <w:r w:rsidR="004E2859">
        <w:t xml:space="preserve"> [</w:t>
      </w:r>
      <w:r w:rsidR="004E2859" w:rsidRPr="009E2B37">
        <w:rPr>
          <w:i/>
          <w:iCs/>
          <w:u w:val="single"/>
        </w:rPr>
        <w:t>name</w:t>
      </w:r>
      <w:r w:rsidR="004E2859">
        <w:t>]</w:t>
      </w:r>
      <w:r w:rsidR="00D93DD1" w:rsidRPr="002B283E">
        <w:t>]</w:t>
      </w:r>
      <w:r w:rsidR="00D93DD1" w:rsidRPr="002B283E">
        <w:rPr>
          <w:spacing w:val="-4"/>
        </w:rPr>
        <w:t xml:space="preserve"> </w:t>
      </w:r>
      <w:r w:rsidR="00D93DD1" w:rsidRPr="002B283E">
        <w:t>must</w:t>
      </w:r>
      <w:r w:rsidR="00D93DD1" w:rsidRPr="002B283E">
        <w:rPr>
          <w:spacing w:val="-3"/>
        </w:rPr>
        <w:t xml:space="preserve"> </w:t>
      </w:r>
      <w:r w:rsidR="00D93DD1" w:rsidRPr="002B283E">
        <w:t>prove</w:t>
      </w:r>
      <w:r w:rsidR="00D93DD1" w:rsidRPr="002B283E">
        <w:rPr>
          <w:spacing w:val="-2"/>
        </w:rPr>
        <w:t xml:space="preserve"> that:</w:t>
      </w:r>
    </w:p>
    <w:p w14:paraId="4659FEC9" w14:textId="77777777" w:rsidR="00D93DD1" w:rsidRPr="002B283E" w:rsidRDefault="00D93DD1" w:rsidP="008A04C2">
      <w:pPr>
        <w:pStyle w:val="BodyText"/>
        <w:ind w:left="90" w:firstLine="730"/>
      </w:pPr>
    </w:p>
    <w:p w14:paraId="05903A24" w14:textId="1CF05E7E" w:rsidR="00D93DD1" w:rsidRPr="002B283E" w:rsidRDefault="00D93DD1" w:rsidP="008A04C2">
      <w:pPr>
        <w:pStyle w:val="BodyText"/>
        <w:tabs>
          <w:tab w:val="left" w:pos="2259"/>
        </w:tabs>
        <w:ind w:left="90" w:right="182" w:firstLine="730"/>
      </w:pPr>
      <w:r w:rsidRPr="002B283E">
        <w:t>First, the</w:t>
      </w:r>
      <w:r w:rsidRPr="002B283E">
        <w:rPr>
          <w:spacing w:val="-6"/>
        </w:rPr>
        <w:t xml:space="preserve"> </w:t>
      </w:r>
      <w:r w:rsidRPr="002B283E">
        <w:t>alleged</w:t>
      </w:r>
      <w:r w:rsidRPr="002B283E">
        <w:rPr>
          <w:spacing w:val="-5"/>
        </w:rPr>
        <w:t xml:space="preserve"> </w:t>
      </w:r>
      <w:r w:rsidRPr="002B283E">
        <w:t>principal</w:t>
      </w:r>
      <w:r w:rsidRPr="002B283E">
        <w:rPr>
          <w:spacing w:val="-5"/>
        </w:rPr>
        <w:t xml:space="preserve"> </w:t>
      </w:r>
      <w:r w:rsidRPr="002B283E">
        <w:t>caused,</w:t>
      </w:r>
      <w:r w:rsidRPr="002B283E">
        <w:rPr>
          <w:spacing w:val="-5"/>
        </w:rPr>
        <w:t xml:space="preserve"> </w:t>
      </w:r>
      <w:r w:rsidRPr="002B283E">
        <w:t>by</w:t>
      </w:r>
      <w:r w:rsidRPr="002B283E">
        <w:rPr>
          <w:spacing w:val="-5"/>
        </w:rPr>
        <w:t xml:space="preserve"> </w:t>
      </w:r>
      <w:r w:rsidRPr="002B283E">
        <w:t>representation</w:t>
      </w:r>
      <w:r w:rsidRPr="002B283E">
        <w:rPr>
          <w:spacing w:val="-5"/>
        </w:rPr>
        <w:t xml:space="preserve"> </w:t>
      </w:r>
      <w:r w:rsidRPr="002B283E">
        <w:t>or</w:t>
      </w:r>
      <w:r w:rsidRPr="002B283E">
        <w:rPr>
          <w:spacing w:val="-4"/>
        </w:rPr>
        <w:t xml:space="preserve"> </w:t>
      </w:r>
      <w:r w:rsidRPr="002B283E">
        <w:t>action,</w:t>
      </w:r>
      <w:r w:rsidRPr="002B283E">
        <w:rPr>
          <w:spacing w:val="-5"/>
        </w:rPr>
        <w:t xml:space="preserve"> </w:t>
      </w:r>
      <w:r w:rsidRPr="002B283E">
        <w:t>the</w:t>
      </w:r>
      <w:r w:rsidRPr="002B283E">
        <w:rPr>
          <w:spacing w:val="-6"/>
        </w:rPr>
        <w:t xml:space="preserve"> </w:t>
      </w:r>
      <w:r w:rsidRPr="002B283E">
        <w:t>[plaintiff</w:t>
      </w:r>
      <w:r w:rsidR="004E2859">
        <w:t xml:space="preserve"> [</w:t>
      </w:r>
      <w:r w:rsidR="004E2859" w:rsidRPr="009E2B37">
        <w:rPr>
          <w:i/>
          <w:iCs/>
          <w:u w:val="single"/>
        </w:rPr>
        <w:t>name</w:t>
      </w:r>
      <w:r w:rsidR="004E2859">
        <w:t>]</w:t>
      </w:r>
      <w:r w:rsidRPr="002B283E">
        <w:t>] [defendant</w:t>
      </w:r>
      <w:r w:rsidR="004E2859">
        <w:t xml:space="preserve"> [</w:t>
      </w:r>
      <w:r w:rsidR="004E2859" w:rsidRPr="009E2B37">
        <w:rPr>
          <w:i/>
          <w:iCs/>
          <w:u w:val="single"/>
        </w:rPr>
        <w:t>name</w:t>
      </w:r>
      <w:r w:rsidR="004E2859">
        <w:t>]</w:t>
      </w:r>
      <w:r w:rsidRPr="002B283E">
        <w:t>]</w:t>
      </w:r>
      <w:r w:rsidR="006E5FAF">
        <w:t xml:space="preserve"> </w:t>
      </w:r>
      <w:r w:rsidRPr="002B283E">
        <w:t>to believe that [</w:t>
      </w:r>
      <w:r w:rsidRPr="002B283E">
        <w:rPr>
          <w:i/>
          <w:u w:val="single"/>
        </w:rPr>
        <w:t>name of alleged agent</w:t>
      </w:r>
      <w:r w:rsidRPr="002B283E">
        <w:t>] was the principal’s agent;</w:t>
      </w:r>
    </w:p>
    <w:p w14:paraId="091337BF" w14:textId="77777777" w:rsidR="00D93DD1" w:rsidRPr="002B283E" w:rsidRDefault="00D93DD1" w:rsidP="008A04C2">
      <w:pPr>
        <w:pStyle w:val="BodyText"/>
        <w:ind w:left="90" w:firstLine="730"/>
      </w:pPr>
    </w:p>
    <w:p w14:paraId="414E447F" w14:textId="6BFE9868" w:rsidR="00D93DD1" w:rsidRPr="002B283E" w:rsidRDefault="00D93DD1" w:rsidP="008A04C2">
      <w:pPr>
        <w:pStyle w:val="BodyText"/>
        <w:tabs>
          <w:tab w:val="left" w:pos="2259"/>
        </w:tabs>
        <w:ind w:left="90" w:right="104" w:firstLine="730"/>
      </w:pPr>
      <w:r w:rsidRPr="002B283E">
        <w:t>Second, the</w:t>
      </w:r>
      <w:r w:rsidRPr="002B283E">
        <w:rPr>
          <w:spacing w:val="-5"/>
        </w:rPr>
        <w:t xml:space="preserve"> </w:t>
      </w:r>
      <w:r w:rsidRPr="002B283E">
        <w:t>[plaintiff</w:t>
      </w:r>
      <w:r w:rsidR="004E2859">
        <w:t xml:space="preserve"> [</w:t>
      </w:r>
      <w:r w:rsidR="004E2859" w:rsidRPr="009E2B37">
        <w:rPr>
          <w:i/>
          <w:iCs/>
          <w:u w:val="single"/>
        </w:rPr>
        <w:t>name</w:t>
      </w:r>
      <w:r w:rsidR="004E2859">
        <w:t>]</w:t>
      </w:r>
      <w:r w:rsidRPr="002B283E">
        <w:t>]</w:t>
      </w:r>
      <w:r w:rsidRPr="002B283E">
        <w:rPr>
          <w:spacing w:val="-3"/>
        </w:rPr>
        <w:t xml:space="preserve"> </w:t>
      </w:r>
      <w:r w:rsidRPr="002B283E">
        <w:t>[defendant</w:t>
      </w:r>
      <w:r w:rsidR="004E2859">
        <w:t xml:space="preserve"> [</w:t>
      </w:r>
      <w:r w:rsidR="004E2859" w:rsidRPr="009E2B37">
        <w:rPr>
          <w:i/>
          <w:iCs/>
          <w:u w:val="single"/>
        </w:rPr>
        <w:t>name</w:t>
      </w:r>
      <w:r w:rsidR="004E2859">
        <w:t>]</w:t>
      </w:r>
      <w:r w:rsidRPr="002B283E">
        <w:t>]</w:t>
      </w:r>
      <w:r w:rsidR="006E5FAF">
        <w:t xml:space="preserve"> </w:t>
      </w:r>
      <w:r w:rsidRPr="002B283E">
        <w:t>relied</w:t>
      </w:r>
      <w:r w:rsidRPr="002B283E">
        <w:rPr>
          <w:spacing w:val="-4"/>
        </w:rPr>
        <w:t xml:space="preserve"> </w:t>
      </w:r>
      <w:r w:rsidRPr="002B283E">
        <w:t>on</w:t>
      </w:r>
      <w:r w:rsidRPr="002B283E">
        <w:rPr>
          <w:spacing w:val="-4"/>
        </w:rPr>
        <w:t xml:space="preserve"> </w:t>
      </w:r>
      <w:r w:rsidRPr="002B283E">
        <w:t>this</w:t>
      </w:r>
      <w:r w:rsidRPr="002B283E">
        <w:rPr>
          <w:spacing w:val="-4"/>
        </w:rPr>
        <w:t xml:space="preserve"> </w:t>
      </w:r>
      <w:r w:rsidRPr="002B283E">
        <w:t>representation</w:t>
      </w:r>
      <w:r w:rsidRPr="002B283E">
        <w:rPr>
          <w:spacing w:val="-4"/>
        </w:rPr>
        <w:t xml:space="preserve"> </w:t>
      </w:r>
      <w:r w:rsidRPr="002B283E">
        <w:t>or</w:t>
      </w:r>
      <w:r w:rsidRPr="002B283E">
        <w:rPr>
          <w:spacing w:val="-5"/>
        </w:rPr>
        <w:t xml:space="preserve"> </w:t>
      </w:r>
      <w:r w:rsidRPr="002B283E">
        <w:t>action</w:t>
      </w:r>
      <w:r w:rsidRPr="002B283E">
        <w:rPr>
          <w:spacing w:val="-4"/>
        </w:rPr>
        <w:t xml:space="preserve"> </w:t>
      </w:r>
      <w:r w:rsidRPr="002B283E">
        <w:t>to</w:t>
      </w:r>
      <w:r w:rsidRPr="002B283E">
        <w:rPr>
          <w:spacing w:val="-4"/>
        </w:rPr>
        <w:t xml:space="preserve"> </w:t>
      </w:r>
      <w:r w:rsidRPr="002B283E">
        <w:t xml:space="preserve">[his] [her] </w:t>
      </w:r>
      <w:r w:rsidR="007A0652" w:rsidRPr="002B283E">
        <w:t>[</w:t>
      </w:r>
      <w:r w:rsidR="007A0652" w:rsidRPr="002B283E">
        <w:rPr>
          <w:i/>
          <w:iCs/>
          <w:u w:val="single"/>
        </w:rPr>
        <w:t>other pronoun</w:t>
      </w:r>
      <w:r w:rsidR="007A0652" w:rsidRPr="002B283E">
        <w:t>]</w:t>
      </w:r>
      <w:r w:rsidR="007A0652">
        <w:t xml:space="preserve"> </w:t>
      </w:r>
      <w:r w:rsidRPr="002B283E">
        <w:t>detriment; and</w:t>
      </w:r>
    </w:p>
    <w:p w14:paraId="72A6991F" w14:textId="77777777" w:rsidR="00D93DD1" w:rsidRPr="002B283E" w:rsidRDefault="00D93DD1" w:rsidP="008A04C2">
      <w:pPr>
        <w:pStyle w:val="BodyText"/>
        <w:ind w:left="90" w:firstLine="730"/>
      </w:pPr>
    </w:p>
    <w:p w14:paraId="7C4D240F" w14:textId="77777777" w:rsidR="00D93DD1" w:rsidRPr="002B283E" w:rsidRDefault="00D93DD1" w:rsidP="008A04C2">
      <w:pPr>
        <w:pStyle w:val="BodyText"/>
        <w:tabs>
          <w:tab w:val="left" w:pos="2259"/>
        </w:tabs>
        <w:ind w:left="90" w:firstLine="730"/>
      </w:pPr>
      <w:r w:rsidRPr="002B283E">
        <w:t>Third,</w:t>
      </w:r>
      <w:r w:rsidRPr="002B283E">
        <w:rPr>
          <w:spacing w:val="-2"/>
        </w:rPr>
        <w:t xml:space="preserve"> </w:t>
      </w:r>
      <w:r w:rsidRPr="002B283E">
        <w:rPr>
          <w:spacing w:val="-5"/>
        </w:rPr>
        <w:t>s</w:t>
      </w:r>
      <w:r w:rsidRPr="002B283E">
        <w:t>uch</w:t>
      </w:r>
      <w:r w:rsidRPr="002B283E">
        <w:rPr>
          <w:spacing w:val="-2"/>
        </w:rPr>
        <w:t xml:space="preserve"> </w:t>
      </w:r>
      <w:r w:rsidRPr="002B283E">
        <w:t>reliance</w:t>
      </w:r>
      <w:r w:rsidRPr="002B283E">
        <w:rPr>
          <w:spacing w:val="-1"/>
        </w:rPr>
        <w:t xml:space="preserve"> </w:t>
      </w:r>
      <w:r w:rsidRPr="002B283E">
        <w:t>was</w:t>
      </w:r>
      <w:r w:rsidRPr="002B283E">
        <w:rPr>
          <w:spacing w:val="-2"/>
        </w:rPr>
        <w:t xml:space="preserve"> </w:t>
      </w:r>
      <w:r w:rsidRPr="002B283E">
        <w:t>reasonably</w:t>
      </w:r>
      <w:r w:rsidRPr="002B283E">
        <w:rPr>
          <w:spacing w:val="-2"/>
        </w:rPr>
        <w:t xml:space="preserve"> justified.</w:t>
      </w:r>
    </w:p>
    <w:p w14:paraId="366D3F92" w14:textId="77777777" w:rsidR="00D93DD1" w:rsidRPr="002B283E" w:rsidRDefault="00D93DD1" w:rsidP="002B283E">
      <w:pPr>
        <w:pStyle w:val="BodyText"/>
      </w:pPr>
    </w:p>
    <w:p w14:paraId="182CA214" w14:textId="77777777" w:rsidR="00D93DD1" w:rsidRPr="002B283E" w:rsidRDefault="00D93DD1" w:rsidP="002B283E">
      <w:pPr>
        <w:pStyle w:val="BodyText"/>
        <w:ind w:left="100" w:firstLine="720"/>
      </w:pPr>
      <w:r w:rsidRPr="002B283E">
        <w:t>If</w:t>
      </w:r>
      <w:r w:rsidRPr="002B283E">
        <w:rPr>
          <w:spacing w:val="-4"/>
        </w:rPr>
        <w:t xml:space="preserve"> </w:t>
      </w:r>
      <w:r w:rsidRPr="002B283E">
        <w:t>an</w:t>
      </w:r>
      <w:r w:rsidRPr="002B283E">
        <w:rPr>
          <w:spacing w:val="-3"/>
        </w:rPr>
        <w:t xml:space="preserve"> </w:t>
      </w:r>
      <w:r w:rsidRPr="002B283E">
        <w:t>apparent</w:t>
      </w:r>
      <w:r w:rsidRPr="002B283E">
        <w:rPr>
          <w:spacing w:val="-1"/>
        </w:rPr>
        <w:t xml:space="preserve"> </w:t>
      </w:r>
      <w:r w:rsidRPr="002B283E">
        <w:t>agency</w:t>
      </w:r>
      <w:r w:rsidRPr="002B283E">
        <w:rPr>
          <w:spacing w:val="-3"/>
        </w:rPr>
        <w:t xml:space="preserve"> </w:t>
      </w:r>
      <w:r w:rsidRPr="002B283E">
        <w:t>has</w:t>
      </w:r>
      <w:r w:rsidRPr="002B283E">
        <w:rPr>
          <w:spacing w:val="-1"/>
        </w:rPr>
        <w:t xml:space="preserve"> </w:t>
      </w:r>
      <w:r w:rsidRPr="002B283E">
        <w:t>been</w:t>
      </w:r>
      <w:r w:rsidRPr="002B283E">
        <w:rPr>
          <w:spacing w:val="-4"/>
        </w:rPr>
        <w:t xml:space="preserve"> </w:t>
      </w:r>
      <w:r w:rsidRPr="002B283E">
        <w:t>established,</w:t>
      </w:r>
      <w:r w:rsidRPr="002B283E">
        <w:rPr>
          <w:spacing w:val="-3"/>
        </w:rPr>
        <w:t xml:space="preserve"> </w:t>
      </w:r>
      <w:r w:rsidRPr="002B283E">
        <w:t>the</w:t>
      </w:r>
      <w:r w:rsidRPr="002B283E">
        <w:rPr>
          <w:spacing w:val="-4"/>
        </w:rPr>
        <w:t xml:space="preserve"> </w:t>
      </w:r>
      <w:r w:rsidRPr="002B283E">
        <w:t>principal</w:t>
      </w:r>
      <w:r w:rsidRPr="002B283E">
        <w:rPr>
          <w:spacing w:val="-3"/>
        </w:rPr>
        <w:t xml:space="preserve"> </w:t>
      </w:r>
      <w:r w:rsidRPr="002B283E">
        <w:t>is</w:t>
      </w:r>
      <w:r w:rsidRPr="002B283E">
        <w:rPr>
          <w:spacing w:val="-3"/>
        </w:rPr>
        <w:t xml:space="preserve"> </w:t>
      </w:r>
      <w:r w:rsidRPr="002B283E">
        <w:t>liable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the apparent agent just as if the principal had authorized the agent from the outset.</w:t>
      </w:r>
    </w:p>
    <w:p w14:paraId="03528B2C" w14:textId="77777777" w:rsidR="00D93DD1" w:rsidRPr="002B283E" w:rsidRDefault="00D93DD1" w:rsidP="002B283E">
      <w:pPr>
        <w:pStyle w:val="BodyText"/>
        <w:ind w:left="100" w:firstLine="720"/>
      </w:pPr>
    </w:p>
    <w:p w14:paraId="48A0AE40" w14:textId="7E832CD5" w:rsidR="006A4CD7" w:rsidRPr="002B283E" w:rsidRDefault="00D93DD1" w:rsidP="002B283E">
      <w:pPr>
        <w:pStyle w:val="BodyText"/>
        <w:ind w:left="100" w:firstLine="720"/>
        <w:jc w:val="right"/>
        <w:rPr>
          <w:i/>
          <w:iCs/>
        </w:rPr>
      </w:pPr>
      <w:r w:rsidRPr="002B283E">
        <w:rPr>
          <w:i/>
          <w:iCs/>
        </w:rPr>
        <w:t>Revised March 2025</w:t>
      </w:r>
      <w:r w:rsidR="006A4CD7" w:rsidRPr="002B283E">
        <w:t xml:space="preserve">     </w:t>
      </w:r>
    </w:p>
    <w:p w14:paraId="5749AFC8" w14:textId="77777777" w:rsidR="006A4CD7" w:rsidRPr="002B283E" w:rsidRDefault="006A4CD7" w:rsidP="002B283E">
      <w:pPr>
        <w:autoSpaceDE w:val="0"/>
        <w:autoSpaceDN w:val="0"/>
        <w:adjustRightInd w:val="0"/>
        <w:rPr>
          <w:rFonts w:cs="Times New Roman"/>
          <w:szCs w:val="24"/>
        </w:rPr>
      </w:pPr>
    </w:p>
    <w:p w14:paraId="40E96007" w14:textId="77777777" w:rsidR="006A4CD7" w:rsidRPr="002B283E" w:rsidRDefault="006A4CD7" w:rsidP="002B283E">
      <w:pPr>
        <w:autoSpaceDE w:val="0"/>
        <w:autoSpaceDN w:val="0"/>
        <w:adjustRightInd w:val="0"/>
        <w:rPr>
          <w:rFonts w:cs="Times New Roman"/>
          <w:szCs w:val="24"/>
        </w:rPr>
      </w:pPr>
    </w:p>
    <w:p w14:paraId="5415B440" w14:textId="5410760C" w:rsidR="006A4CD7" w:rsidRPr="002B283E" w:rsidRDefault="006A4CD7" w:rsidP="002B283E">
      <w:pPr>
        <w:pStyle w:val="Heading2"/>
      </w:pPr>
      <w:r w:rsidRPr="002B283E">
        <w:br w:type="page"/>
      </w:r>
      <w:bookmarkStart w:id="71" w:name="_Toc221525118"/>
      <w:r w:rsidRPr="002B283E">
        <w:lastRenderedPageBreak/>
        <w:t>4.7 R</w:t>
      </w:r>
      <w:r w:rsidR="002F1CAD" w:rsidRPr="002B283E">
        <w:t>atification</w:t>
      </w:r>
      <w:bookmarkEnd w:id="71"/>
    </w:p>
    <w:p w14:paraId="5FB0CE92" w14:textId="77777777" w:rsidR="006A4CD7" w:rsidRPr="002B283E" w:rsidRDefault="006A4CD7" w:rsidP="002B283E">
      <w:pPr>
        <w:rPr>
          <w:rFonts w:cs="Times New Roman"/>
          <w:szCs w:val="24"/>
        </w:rPr>
      </w:pPr>
    </w:p>
    <w:p w14:paraId="78424B9A" w14:textId="58D9EA72" w:rsidR="00EA5154" w:rsidRPr="002B283E" w:rsidRDefault="00EA5154" w:rsidP="002B283E">
      <w:pPr>
        <w:pStyle w:val="BodyText"/>
        <w:ind w:left="120" w:right="334" w:firstLine="720"/>
      </w:pPr>
      <w:r w:rsidRPr="002B283E">
        <w:t>A</w:t>
      </w:r>
      <w:r w:rsidRPr="002B283E">
        <w:rPr>
          <w:spacing w:val="-15"/>
        </w:rPr>
        <w:t xml:space="preserve"> </w:t>
      </w:r>
      <w:r w:rsidRPr="002B283E">
        <w:t>purported</w:t>
      </w:r>
      <w:r w:rsidRPr="002B283E">
        <w:rPr>
          <w:spacing w:val="-3"/>
        </w:rPr>
        <w:t xml:space="preserve"> </w:t>
      </w:r>
      <w:r w:rsidRPr="002B283E">
        <w:t>principal</w:t>
      </w:r>
      <w:r w:rsidRPr="002B283E">
        <w:rPr>
          <w:spacing w:val="-3"/>
        </w:rPr>
        <w:t xml:space="preserve"> </w:t>
      </w:r>
      <w:r w:rsidRPr="002B283E">
        <w:t>who</w:t>
      </w:r>
      <w:r w:rsidRPr="002B283E">
        <w:rPr>
          <w:spacing w:val="-3"/>
        </w:rPr>
        <w:t xml:space="preserve"> </w:t>
      </w:r>
      <w:r w:rsidRPr="002B283E">
        <w:t>ratifies</w:t>
      </w:r>
      <w:r w:rsidRPr="002B283E">
        <w:rPr>
          <w:spacing w:val="-3"/>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someone</w:t>
      </w:r>
      <w:r w:rsidRPr="002B283E">
        <w:rPr>
          <w:spacing w:val="-4"/>
        </w:rPr>
        <w:t xml:space="preserve"> </w:t>
      </w:r>
      <w:r w:rsidRPr="002B283E">
        <w:t>who</w:t>
      </w:r>
      <w:r w:rsidRPr="002B283E">
        <w:rPr>
          <w:spacing w:val="-3"/>
        </w:rPr>
        <w:t xml:space="preserve"> </w:t>
      </w:r>
      <w:r w:rsidRPr="002B283E">
        <w:t>was</w:t>
      </w:r>
      <w:r w:rsidRPr="002B283E">
        <w:rPr>
          <w:spacing w:val="-3"/>
        </w:rPr>
        <w:t xml:space="preserve"> </w:t>
      </w:r>
      <w:r w:rsidRPr="002B283E">
        <w:t>purporting</w:t>
      </w:r>
      <w:r w:rsidRPr="002B283E">
        <w:rPr>
          <w:spacing w:val="-1"/>
        </w:rPr>
        <w:t xml:space="preserve"> </w:t>
      </w:r>
      <w:r w:rsidRPr="002B283E">
        <w:t>to</w:t>
      </w:r>
      <w:r w:rsidRPr="002B283E">
        <w:rPr>
          <w:spacing w:val="-3"/>
        </w:rPr>
        <w:t xml:space="preserve"> </w:t>
      </w:r>
      <w:r w:rsidRPr="002B283E">
        <w:t>act</w:t>
      </w:r>
      <w:r w:rsidRPr="002B283E">
        <w:rPr>
          <w:spacing w:val="-3"/>
        </w:rPr>
        <w:t xml:space="preserve"> </w:t>
      </w:r>
      <w:r w:rsidRPr="002B283E">
        <w:t>as</w:t>
      </w:r>
      <w:r w:rsidRPr="002B283E">
        <w:rPr>
          <w:spacing w:val="-3"/>
        </w:rPr>
        <w:t xml:space="preserve"> </w:t>
      </w:r>
      <w:r w:rsidRPr="002B283E">
        <w:t>the principal’s agent will be liable for the acts of that purported agent, provided that the principal made a conscious and affirmative decision to approve the relevant acts of the purported agent while in possession of full and complete knowledge of all relevant events.</w:t>
      </w:r>
    </w:p>
    <w:p w14:paraId="225B4EE1" w14:textId="77777777" w:rsidR="00EA5154" w:rsidRPr="002B283E" w:rsidRDefault="00EA5154" w:rsidP="002B283E">
      <w:pPr>
        <w:pStyle w:val="BodyText"/>
      </w:pPr>
    </w:p>
    <w:p w14:paraId="23EDD200" w14:textId="77777777" w:rsidR="00EA5154" w:rsidRDefault="00EA5154" w:rsidP="002B283E">
      <w:pPr>
        <w:jc w:val="center"/>
        <w:rPr>
          <w:rFonts w:cs="Times New Roman"/>
          <w:b/>
          <w:bCs/>
          <w:szCs w:val="24"/>
        </w:rPr>
      </w:pPr>
      <w:r w:rsidRPr="002B283E">
        <w:rPr>
          <w:rFonts w:cs="Times New Roman"/>
          <w:b/>
          <w:bCs/>
          <w:szCs w:val="24"/>
        </w:rPr>
        <w:t>Comment</w:t>
      </w:r>
    </w:p>
    <w:p w14:paraId="0E9DC3F6" w14:textId="77777777" w:rsidR="006E5FAF" w:rsidRPr="002B283E" w:rsidRDefault="006E5FAF" w:rsidP="002B283E">
      <w:pPr>
        <w:jc w:val="center"/>
        <w:rPr>
          <w:rFonts w:cs="Times New Roman"/>
          <w:b/>
          <w:bCs/>
          <w:szCs w:val="24"/>
        </w:rPr>
      </w:pPr>
    </w:p>
    <w:p w14:paraId="759E0FAE" w14:textId="77777777" w:rsidR="00EA5154" w:rsidRPr="002B283E" w:rsidRDefault="00EA5154" w:rsidP="002B283E">
      <w:pPr>
        <w:pStyle w:val="BodyText"/>
        <w:ind w:left="120" w:firstLine="720"/>
        <w:rPr>
          <w:i/>
        </w:rPr>
      </w:pPr>
      <w:r w:rsidRPr="002B283E">
        <w:rPr>
          <w:i/>
        </w:rPr>
        <w:t>See</w:t>
      </w:r>
      <w:r w:rsidRPr="002B283E">
        <w:rPr>
          <w:i/>
          <w:spacing w:val="-8"/>
        </w:rPr>
        <w:t xml:space="preserve"> </w:t>
      </w:r>
      <w:r w:rsidRPr="002B283E">
        <w:rPr>
          <w:i/>
        </w:rPr>
        <w:t>United</w:t>
      </w:r>
      <w:r w:rsidRPr="002B283E">
        <w:rPr>
          <w:i/>
          <w:spacing w:val="-7"/>
        </w:rPr>
        <w:t xml:space="preserve"> </w:t>
      </w:r>
      <w:r w:rsidRPr="002B283E">
        <w:rPr>
          <w:i/>
        </w:rPr>
        <w:t>States</w:t>
      </w:r>
      <w:r w:rsidRPr="002B283E">
        <w:rPr>
          <w:i/>
          <w:spacing w:val="-7"/>
        </w:rPr>
        <w:t xml:space="preserve"> </w:t>
      </w:r>
      <w:r w:rsidRPr="002B283E">
        <w:rPr>
          <w:i/>
        </w:rPr>
        <w:t>v.</w:t>
      </w:r>
      <w:r w:rsidRPr="002B283E">
        <w:rPr>
          <w:i/>
          <w:spacing w:val="-11"/>
        </w:rPr>
        <w:t xml:space="preserve"> </w:t>
      </w:r>
      <w:r w:rsidRPr="002B283E">
        <w:rPr>
          <w:i/>
        </w:rPr>
        <w:t>Alaska</w:t>
      </w:r>
      <w:r w:rsidRPr="002B283E">
        <w:rPr>
          <w:i/>
          <w:spacing w:val="-7"/>
        </w:rPr>
        <w:t xml:space="preserve"> </w:t>
      </w:r>
      <w:r w:rsidRPr="002B283E">
        <w:rPr>
          <w:i/>
        </w:rPr>
        <w:t>S.</w:t>
      </w:r>
      <w:r w:rsidRPr="002B283E">
        <w:rPr>
          <w:i/>
          <w:spacing w:val="-7"/>
        </w:rPr>
        <w:t xml:space="preserve"> </w:t>
      </w:r>
      <w:r w:rsidRPr="002B283E">
        <w:rPr>
          <w:i/>
        </w:rPr>
        <w:t>S.</w:t>
      </w:r>
      <w:r w:rsidRPr="002B283E">
        <w:rPr>
          <w:i/>
          <w:spacing w:val="-7"/>
        </w:rPr>
        <w:t xml:space="preserve"> </w:t>
      </w:r>
      <w:r w:rsidRPr="002B283E">
        <w:rPr>
          <w:i/>
        </w:rPr>
        <w:t>Co.</w:t>
      </w:r>
      <w:r w:rsidRPr="002B283E">
        <w:t>,</w:t>
      </w:r>
      <w:r w:rsidRPr="002B283E">
        <w:rPr>
          <w:spacing w:val="-7"/>
        </w:rPr>
        <w:t xml:space="preserve"> </w:t>
      </w:r>
      <w:r w:rsidRPr="002B283E">
        <w:t>491</w:t>
      </w:r>
      <w:r w:rsidRPr="002B283E">
        <w:rPr>
          <w:spacing w:val="-7"/>
        </w:rPr>
        <w:t xml:space="preserve"> </w:t>
      </w:r>
      <w:r w:rsidRPr="002B283E">
        <w:t>F.2d</w:t>
      </w:r>
      <w:r w:rsidRPr="002B283E">
        <w:rPr>
          <w:spacing w:val="-7"/>
        </w:rPr>
        <w:t xml:space="preserve"> </w:t>
      </w:r>
      <w:r w:rsidRPr="002B283E">
        <w:t>1147,</w:t>
      </w:r>
      <w:r w:rsidRPr="002B283E">
        <w:rPr>
          <w:spacing w:val="-7"/>
        </w:rPr>
        <w:t xml:space="preserve"> </w:t>
      </w:r>
      <w:r w:rsidRPr="002B283E">
        <w:t>1155</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1974)</w:t>
      </w:r>
      <w:r w:rsidRPr="002B283E">
        <w:rPr>
          <w:spacing w:val="-8"/>
        </w:rPr>
        <w:t xml:space="preserve"> </w:t>
      </w:r>
      <w:r w:rsidRPr="002B283E">
        <w:t>(“Ratification</w:t>
      </w:r>
      <w:r w:rsidRPr="002B283E">
        <w:rPr>
          <w:spacing w:val="-7"/>
        </w:rPr>
        <w:t xml:space="preserve"> </w:t>
      </w:r>
      <w:r w:rsidRPr="002B283E">
        <w:t>is the affirmance by a person of a prior act which did not bind him but which was done or professedly done on his account, whereby the act, as to some or all persons, is given effect as if originally authorized by him.”) (quoting Restatement (Second) of</w:t>
      </w:r>
      <w:r w:rsidRPr="002B283E">
        <w:rPr>
          <w:spacing w:val="-10"/>
        </w:rPr>
        <w:t xml:space="preserve"> </w:t>
      </w:r>
      <w:r w:rsidRPr="002B283E">
        <w:t xml:space="preserve">Agency § 82 (1958)); </w:t>
      </w:r>
      <w:r w:rsidRPr="002B283E">
        <w:rPr>
          <w:i/>
        </w:rPr>
        <w:t>Witt v.</w:t>
      </w:r>
    </w:p>
    <w:p w14:paraId="4BCC8391" w14:textId="77777777" w:rsidR="00EA5154" w:rsidRPr="002B283E" w:rsidRDefault="00EA5154" w:rsidP="002B283E">
      <w:pPr>
        <w:pStyle w:val="BodyText"/>
        <w:ind w:left="119" w:right="39"/>
      </w:pPr>
      <w:r w:rsidRPr="002B283E">
        <w:rPr>
          <w:i/>
        </w:rPr>
        <w:t>United</w:t>
      </w:r>
      <w:r w:rsidRPr="002B283E">
        <w:rPr>
          <w:i/>
          <w:spacing w:val="-5"/>
        </w:rPr>
        <w:t xml:space="preserve"> </w:t>
      </w:r>
      <w:r w:rsidRPr="002B283E">
        <w:rPr>
          <w:i/>
        </w:rPr>
        <w:t>States</w:t>
      </w:r>
      <w:r w:rsidRPr="002B283E">
        <w:t>,</w:t>
      </w:r>
      <w:r w:rsidRPr="002B283E">
        <w:rPr>
          <w:spacing w:val="-5"/>
        </w:rPr>
        <w:t xml:space="preserve"> </w:t>
      </w:r>
      <w:r w:rsidRPr="002B283E">
        <w:t>319</w:t>
      </w:r>
      <w:r w:rsidRPr="002B283E">
        <w:rPr>
          <w:spacing w:val="-5"/>
        </w:rPr>
        <w:t xml:space="preserve"> </w:t>
      </w:r>
      <w:r w:rsidRPr="002B283E">
        <w:t>F.2d</w:t>
      </w:r>
      <w:r w:rsidRPr="002B283E">
        <w:rPr>
          <w:spacing w:val="-5"/>
        </w:rPr>
        <w:t xml:space="preserve"> </w:t>
      </w:r>
      <w:r w:rsidRPr="002B283E">
        <w:t>704,</w:t>
      </w:r>
      <w:r w:rsidRPr="002B283E">
        <w:rPr>
          <w:spacing w:val="-5"/>
        </w:rPr>
        <w:t xml:space="preserve"> </w:t>
      </w:r>
      <w:r w:rsidRPr="002B283E">
        <w:t>710</w:t>
      </w:r>
      <w:r w:rsidRPr="002B283E">
        <w:rPr>
          <w:spacing w:val="-5"/>
        </w:rPr>
        <w:t xml:space="preserve"> </w:t>
      </w:r>
      <w:r w:rsidRPr="002B283E">
        <w:t>(9th</w:t>
      </w:r>
      <w:r w:rsidRPr="002B283E">
        <w:rPr>
          <w:spacing w:val="-5"/>
        </w:rPr>
        <w:t xml:space="preserve"> </w:t>
      </w:r>
      <w:r w:rsidRPr="002B283E">
        <w:t>Cir.</w:t>
      </w:r>
      <w:r w:rsidRPr="002B283E">
        <w:rPr>
          <w:spacing w:val="-5"/>
        </w:rPr>
        <w:t xml:space="preserve"> </w:t>
      </w:r>
      <w:r w:rsidRPr="002B283E">
        <w:t>1963)</w:t>
      </w:r>
      <w:r w:rsidRPr="002B283E">
        <w:rPr>
          <w:spacing w:val="-6"/>
        </w:rPr>
        <w:t xml:space="preserve"> </w:t>
      </w:r>
      <w:r w:rsidRPr="002B283E">
        <w:t>(“The</w:t>
      </w:r>
      <w:r w:rsidRPr="002B283E">
        <w:rPr>
          <w:spacing w:val="-6"/>
        </w:rPr>
        <w:t xml:space="preserve"> </w:t>
      </w:r>
      <w:r w:rsidRPr="002B283E">
        <w:t>doctrine</w:t>
      </w:r>
      <w:r w:rsidRPr="002B283E">
        <w:rPr>
          <w:spacing w:val="-6"/>
        </w:rPr>
        <w:t xml:space="preserve"> </w:t>
      </w:r>
      <w:r w:rsidRPr="002B283E">
        <w:t>of</w:t>
      </w:r>
      <w:r w:rsidRPr="002B283E">
        <w:rPr>
          <w:spacing w:val="-4"/>
        </w:rPr>
        <w:t xml:space="preserve"> </w:t>
      </w:r>
      <w:r w:rsidRPr="002B283E">
        <w:t>ratification</w:t>
      </w:r>
      <w:r w:rsidRPr="002B283E">
        <w:rPr>
          <w:spacing w:val="-5"/>
        </w:rPr>
        <w:t xml:space="preserve"> </w:t>
      </w:r>
      <w:r w:rsidRPr="002B283E">
        <w:t>has</w:t>
      </w:r>
      <w:r w:rsidRPr="002B283E">
        <w:rPr>
          <w:spacing w:val="-5"/>
        </w:rPr>
        <w:t xml:space="preserve"> </w:t>
      </w:r>
      <w:r w:rsidRPr="002B283E">
        <w:t>as</w:t>
      </w:r>
      <w:r w:rsidRPr="002B283E">
        <w:rPr>
          <w:spacing w:val="-5"/>
        </w:rPr>
        <w:t xml:space="preserve"> </w:t>
      </w:r>
      <w:r w:rsidRPr="002B283E">
        <w:t>its foundation, knowledge of all the facts.”) (citation and quotation marks omitted).</w:t>
      </w:r>
    </w:p>
    <w:p w14:paraId="7FE0272A" w14:textId="77777777" w:rsidR="00EA5154" w:rsidRPr="002B283E" w:rsidRDefault="00EA5154" w:rsidP="002B283E">
      <w:pPr>
        <w:pStyle w:val="BodyText"/>
        <w:ind w:left="119" w:right="39"/>
      </w:pPr>
    </w:p>
    <w:p w14:paraId="62724262" w14:textId="26C90FDA" w:rsidR="006A4CD7" w:rsidRPr="002B283E" w:rsidRDefault="00EA5154" w:rsidP="002B283E">
      <w:pPr>
        <w:pStyle w:val="BodyText"/>
        <w:ind w:left="119" w:right="39"/>
        <w:jc w:val="right"/>
        <w:rPr>
          <w:i/>
          <w:iCs/>
        </w:rPr>
      </w:pPr>
      <w:r w:rsidRPr="002B283E">
        <w:rPr>
          <w:i/>
          <w:iCs/>
        </w:rPr>
        <w:t>Revised March 2025</w:t>
      </w:r>
      <w:r w:rsidR="006A4CD7" w:rsidRPr="002B283E">
        <w:t xml:space="preserve"> </w:t>
      </w:r>
    </w:p>
    <w:p w14:paraId="546983E4" w14:textId="77777777" w:rsidR="006A4CD7" w:rsidRPr="002B283E" w:rsidRDefault="006A4CD7" w:rsidP="002B283E">
      <w:pPr>
        <w:autoSpaceDE w:val="0"/>
        <w:autoSpaceDN w:val="0"/>
        <w:adjustRightInd w:val="0"/>
        <w:rPr>
          <w:rFonts w:cs="Times New Roman"/>
          <w:szCs w:val="24"/>
        </w:rPr>
      </w:pPr>
    </w:p>
    <w:p w14:paraId="6EF596F2" w14:textId="77777777" w:rsidR="00CD224B" w:rsidRPr="002B283E" w:rsidRDefault="00CD224B" w:rsidP="002B283E">
      <w:pPr>
        <w:autoSpaceDE w:val="0"/>
        <w:autoSpaceDN w:val="0"/>
        <w:adjustRightInd w:val="0"/>
        <w:rPr>
          <w:rFonts w:cs="Times New Roman"/>
          <w:szCs w:val="24"/>
        </w:rPr>
      </w:pPr>
    </w:p>
    <w:p w14:paraId="5EACA8F0" w14:textId="144845D6" w:rsidR="00CD224B" w:rsidRPr="002B283E" w:rsidRDefault="006A4CD7" w:rsidP="002B283E">
      <w:pPr>
        <w:pStyle w:val="Heading2"/>
      </w:pPr>
      <w:r w:rsidRPr="002B283E">
        <w:br w:type="page"/>
      </w:r>
      <w:bookmarkStart w:id="72" w:name="_Toc221525119"/>
      <w:r w:rsidRPr="002B283E">
        <w:lastRenderedPageBreak/>
        <w:t>4.8 A</w:t>
      </w:r>
      <w:r w:rsidR="002F1CAD" w:rsidRPr="002B283E">
        <w:t>ct</w:t>
      </w:r>
      <w:r w:rsidRPr="002B283E">
        <w:t xml:space="preserve"> </w:t>
      </w:r>
      <w:r w:rsidR="002F1CAD" w:rsidRPr="002B283E">
        <w:t>of</w:t>
      </w:r>
      <w:r w:rsidRPr="002B283E">
        <w:t xml:space="preserve"> A</w:t>
      </w:r>
      <w:r w:rsidR="002F1CAD" w:rsidRPr="002B283E">
        <w:t>gent</w:t>
      </w:r>
      <w:r w:rsidRPr="002B283E">
        <w:t xml:space="preserve"> </w:t>
      </w:r>
      <w:r w:rsidR="002F1CAD" w:rsidRPr="002B283E">
        <w:t>is</w:t>
      </w:r>
      <w:r w:rsidRPr="002B283E">
        <w:t xml:space="preserve"> A</w:t>
      </w:r>
      <w:r w:rsidR="002F1CAD" w:rsidRPr="002B283E">
        <w:t>ct</w:t>
      </w:r>
      <w:r w:rsidRPr="002B283E">
        <w:t xml:space="preserve"> </w:t>
      </w:r>
      <w:r w:rsidR="002F1CAD" w:rsidRPr="002B283E">
        <w:t>of</w:t>
      </w:r>
      <w:r w:rsidRPr="002B283E">
        <w:t xml:space="preserve"> P</w:t>
      </w:r>
      <w:r w:rsidR="002F1CAD" w:rsidRPr="002B283E">
        <w:t>rincipal</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N</w:t>
      </w:r>
      <w:r w:rsidR="002F1CAD" w:rsidRPr="002B283E">
        <w:t>ot</w:t>
      </w:r>
      <w:r w:rsidRPr="002B283E">
        <w:t xml:space="preserve"> </w:t>
      </w:r>
      <w:r w:rsidR="002F1CAD" w:rsidRPr="002B283E">
        <w:t>in</w:t>
      </w:r>
      <w:r w:rsidRPr="002B283E">
        <w:t xml:space="preserve"> </w:t>
      </w:r>
      <w:r w:rsidR="002F1CAD" w:rsidRPr="002B283E">
        <w:t>Issue</w:t>
      </w:r>
      <w:bookmarkEnd w:id="72"/>
    </w:p>
    <w:p w14:paraId="20D9F61A" w14:textId="77777777" w:rsidR="006A4CD7" w:rsidRPr="002B283E" w:rsidRDefault="006A4CD7" w:rsidP="002B283E">
      <w:pPr>
        <w:rPr>
          <w:rFonts w:cs="Times New Roman"/>
          <w:szCs w:val="24"/>
        </w:rPr>
      </w:pPr>
    </w:p>
    <w:p w14:paraId="64C301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act or omission of an agent within the scope of authority is the act or omission of the principal.</w:t>
      </w:r>
    </w:p>
    <w:p w14:paraId="280B9BF3" w14:textId="77777777" w:rsidR="006A4CD7" w:rsidRPr="002B283E" w:rsidRDefault="006A4CD7" w:rsidP="002B283E">
      <w:pPr>
        <w:autoSpaceDE w:val="0"/>
        <w:autoSpaceDN w:val="0"/>
        <w:adjustRightInd w:val="0"/>
        <w:rPr>
          <w:rFonts w:cs="Times New Roman"/>
          <w:szCs w:val="24"/>
        </w:rPr>
      </w:pPr>
    </w:p>
    <w:p w14:paraId="606A7F69" w14:textId="77777777" w:rsidR="006A4CD7" w:rsidRPr="002B283E" w:rsidRDefault="006A4CD7" w:rsidP="002B283E">
      <w:pPr>
        <w:autoSpaceDE w:val="0"/>
        <w:autoSpaceDN w:val="0"/>
        <w:adjustRightInd w:val="0"/>
        <w:rPr>
          <w:rFonts w:cs="Times New Roman"/>
          <w:szCs w:val="24"/>
        </w:rPr>
      </w:pPr>
    </w:p>
    <w:p w14:paraId="70A6B995" w14:textId="77777777" w:rsidR="00C8117C" w:rsidRPr="002B283E" w:rsidRDefault="00C8117C" w:rsidP="002B283E">
      <w:pPr>
        <w:rPr>
          <w:rFonts w:cs="Times New Roman"/>
          <w:b/>
          <w:bCs/>
          <w:szCs w:val="24"/>
        </w:rPr>
      </w:pPr>
      <w:r w:rsidRPr="002B283E">
        <w:rPr>
          <w:rFonts w:cs="Times New Roman"/>
          <w:b/>
          <w:bCs/>
          <w:szCs w:val="24"/>
        </w:rPr>
        <w:br w:type="page"/>
      </w:r>
    </w:p>
    <w:p w14:paraId="472A6C2F" w14:textId="3055C15E" w:rsidR="006A4CD7" w:rsidRPr="002B283E" w:rsidRDefault="006A4CD7" w:rsidP="002B283E">
      <w:pPr>
        <w:pStyle w:val="Heading2"/>
      </w:pPr>
      <w:bookmarkStart w:id="73" w:name="_Toc221525120"/>
      <w:r w:rsidRPr="002B283E">
        <w:lastRenderedPageBreak/>
        <w:t xml:space="preserve">4.9 </w:t>
      </w:r>
      <w:r w:rsidR="002F1CAD" w:rsidRPr="002B283E">
        <w:t>Both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w:t>
      </w:r>
      <w:r w:rsidR="002F1CAD" w:rsidRPr="002B283E">
        <w:t>No</w:t>
      </w:r>
      <w:r w:rsidRPr="002B283E">
        <w:t xml:space="preserve"> 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r w:rsidR="002F1CAD" w:rsidRPr="002B283E">
        <w:t>uthority</w:t>
      </w:r>
      <w:bookmarkEnd w:id="73"/>
    </w:p>
    <w:p w14:paraId="41852602" w14:textId="77777777" w:rsidR="006A4CD7" w:rsidRPr="002B283E" w:rsidRDefault="006A4CD7" w:rsidP="002B283E">
      <w:pPr>
        <w:autoSpaceDE w:val="0"/>
        <w:autoSpaceDN w:val="0"/>
        <w:adjustRightInd w:val="0"/>
        <w:rPr>
          <w:rFonts w:cs="Times New Roman"/>
          <w:szCs w:val="24"/>
        </w:rPr>
      </w:pPr>
    </w:p>
    <w:p w14:paraId="2C0FF9E3" w14:textId="2FE4A913"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are sued as principal and agent. The defendant [</w:t>
      </w:r>
      <w:r w:rsidRPr="002B283E">
        <w:rPr>
          <w:rFonts w:cs="Times New Roman"/>
          <w:i/>
          <w:iCs/>
          <w:szCs w:val="24"/>
          <w:u w:val="single"/>
        </w:rPr>
        <w:t>name of principal</w:t>
      </w:r>
      <w:r w:rsidRPr="002B283E">
        <w:rPr>
          <w:rFonts w:cs="Times New Roman"/>
          <w:szCs w:val="24"/>
        </w:rPr>
        <w:t>] is the principal and the defendant [</w:t>
      </w:r>
      <w:r w:rsidRPr="002B283E">
        <w:rPr>
          <w:rFonts w:cs="Times New Roman"/>
          <w:i/>
          <w:iCs/>
          <w:szCs w:val="24"/>
          <w:u w:val="single"/>
        </w:rPr>
        <w:t>name of agent</w:t>
      </w:r>
      <w:r w:rsidRPr="002B283E">
        <w:rPr>
          <w:rFonts w:cs="Times New Roman"/>
          <w:szCs w:val="24"/>
        </w:rPr>
        <w:t>] is the agent. If you find against [</w:t>
      </w:r>
      <w:r w:rsidRPr="002B283E">
        <w:rPr>
          <w:rFonts w:cs="Times New Roman"/>
          <w:i/>
          <w:iCs/>
          <w:szCs w:val="24"/>
          <w:u w:val="single"/>
        </w:rPr>
        <w:t>name of agent</w:t>
      </w:r>
      <w:r w:rsidRPr="002B283E">
        <w:rPr>
          <w:rFonts w:cs="Times New Roman"/>
          <w:szCs w:val="24"/>
        </w:rPr>
        <w:t>], then you must also find against [</w:t>
      </w:r>
      <w:r w:rsidRPr="002B283E">
        <w:rPr>
          <w:rFonts w:cs="Times New Roman"/>
          <w:i/>
          <w:iCs/>
          <w:szCs w:val="24"/>
          <w:u w:val="single"/>
        </w:rPr>
        <w:t>name of principal</w:t>
      </w:r>
      <w:r w:rsidRPr="002B283E">
        <w:rPr>
          <w:rFonts w:cs="Times New Roman"/>
          <w:szCs w:val="24"/>
        </w:rPr>
        <w:t>]. However, if you find for [</w:t>
      </w:r>
      <w:r w:rsidRPr="002B283E">
        <w:rPr>
          <w:rFonts w:cs="Times New Roman"/>
          <w:i/>
          <w:iCs/>
          <w:szCs w:val="24"/>
          <w:u w:val="single"/>
        </w:rPr>
        <w:t>name of agent</w:t>
      </w:r>
      <w:r w:rsidRPr="002B283E">
        <w:rPr>
          <w:rFonts w:cs="Times New Roman"/>
          <w:szCs w:val="24"/>
        </w:rPr>
        <w:t>], then you must also find for [</w:t>
      </w:r>
      <w:r w:rsidRPr="002B283E">
        <w:rPr>
          <w:rFonts w:cs="Times New Roman"/>
          <w:i/>
          <w:iCs/>
          <w:szCs w:val="24"/>
          <w:u w:val="single"/>
        </w:rPr>
        <w:t>name of principal</w:t>
      </w:r>
      <w:r w:rsidRPr="002B283E">
        <w:rPr>
          <w:rFonts w:cs="Times New Roman"/>
          <w:szCs w:val="24"/>
        </w:rPr>
        <w:t>].</w:t>
      </w:r>
    </w:p>
    <w:p w14:paraId="7BF2472A" w14:textId="77777777" w:rsidR="006A4CD7" w:rsidRPr="002B283E" w:rsidRDefault="006A4CD7" w:rsidP="002B283E">
      <w:pPr>
        <w:autoSpaceDE w:val="0"/>
        <w:autoSpaceDN w:val="0"/>
        <w:adjustRightInd w:val="0"/>
        <w:rPr>
          <w:rFonts w:cs="Times New Roman"/>
          <w:szCs w:val="24"/>
        </w:rPr>
      </w:pPr>
    </w:p>
    <w:p w14:paraId="18A0FDF6" w14:textId="77777777" w:rsidR="006A4CD7" w:rsidRPr="002B283E" w:rsidRDefault="006A4CD7" w:rsidP="002B283E">
      <w:pPr>
        <w:autoSpaceDE w:val="0"/>
        <w:autoSpaceDN w:val="0"/>
        <w:adjustRightInd w:val="0"/>
        <w:rPr>
          <w:rFonts w:cs="Times New Roman"/>
          <w:szCs w:val="24"/>
        </w:rPr>
      </w:pPr>
    </w:p>
    <w:p w14:paraId="733B88D3" w14:textId="77777777" w:rsidR="00C8117C" w:rsidRPr="002B283E" w:rsidRDefault="00C8117C" w:rsidP="002B283E">
      <w:pPr>
        <w:rPr>
          <w:rFonts w:cs="Times New Roman"/>
          <w:b/>
          <w:bCs/>
          <w:szCs w:val="24"/>
        </w:rPr>
      </w:pPr>
      <w:r w:rsidRPr="002B283E">
        <w:rPr>
          <w:rFonts w:cs="Times New Roman"/>
          <w:b/>
          <w:bCs/>
          <w:szCs w:val="24"/>
        </w:rPr>
        <w:br w:type="page"/>
      </w:r>
    </w:p>
    <w:p w14:paraId="4DFD0B46" w14:textId="3552F58A" w:rsidR="006A4CD7" w:rsidRPr="002B283E" w:rsidRDefault="006A4CD7" w:rsidP="002B283E">
      <w:pPr>
        <w:pStyle w:val="Heading2"/>
      </w:pPr>
      <w:bookmarkStart w:id="74" w:name="_Toc221525121"/>
      <w:r w:rsidRPr="002B283E">
        <w:lastRenderedPageBreak/>
        <w:t>4.10 P</w:t>
      </w:r>
      <w:r w:rsidR="002F1CAD" w:rsidRPr="002B283E">
        <w:t>rincipal</w:t>
      </w:r>
      <w:r w:rsidRPr="002B283E">
        <w:t xml:space="preserve"> S</w:t>
      </w:r>
      <w:r w:rsidR="002F1CAD" w:rsidRPr="002B283E">
        <w:t>ued</w:t>
      </w:r>
      <w:r w:rsidRPr="002B283E">
        <w:t xml:space="preserve"> </w:t>
      </w:r>
      <w:r w:rsidR="002F1CAD" w:rsidRPr="002B283E">
        <w:t xml:space="preserve">but </w:t>
      </w:r>
      <w:r w:rsidRPr="002B283E">
        <w:t>N</w:t>
      </w:r>
      <w:r w:rsidR="002F1CAD" w:rsidRPr="002B283E">
        <w:t>ot</w:t>
      </w:r>
      <w:r w:rsidRPr="002B283E">
        <w:t xml:space="preserve"> A</w:t>
      </w:r>
      <w:r w:rsidR="002F1CAD" w:rsidRPr="002B283E">
        <w:t>gent</w:t>
      </w:r>
      <w:r w:rsidRPr="002B283E">
        <w:t>—N</w:t>
      </w:r>
      <w:r w:rsidR="002F1CAD" w:rsidRPr="002B283E">
        <w:t>o</w:t>
      </w:r>
      <w:r w:rsidR="00CA1450" w:rsidRPr="002B283E">
        <w:t xml:space="preserve"> </w:t>
      </w:r>
      <w:bookmarkStart w:id="75" w:name="_Toc65157254"/>
      <w:r w:rsidRPr="002B283E">
        <w:t>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bookmarkEnd w:id="75"/>
      <w:r w:rsidR="002F1CAD" w:rsidRPr="002B283E">
        <w:t>uthority</w:t>
      </w:r>
      <w:bookmarkEnd w:id="74"/>
    </w:p>
    <w:p w14:paraId="7FA669BF" w14:textId="77777777" w:rsidR="006A4CD7" w:rsidRPr="002B283E" w:rsidRDefault="006A4CD7" w:rsidP="002B283E">
      <w:pPr>
        <w:autoSpaceDE w:val="0"/>
        <w:autoSpaceDN w:val="0"/>
        <w:adjustRightInd w:val="0"/>
        <w:rPr>
          <w:rFonts w:cs="Times New Roman"/>
          <w:szCs w:val="24"/>
        </w:rPr>
      </w:pPr>
    </w:p>
    <w:p w14:paraId="2E33C51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agent</w:t>
      </w:r>
      <w:r w:rsidRPr="002B283E">
        <w:rPr>
          <w:rFonts w:cs="Times New Roman"/>
          <w:szCs w:val="24"/>
        </w:rPr>
        <w:t>] was the agent of the defendant [</w:t>
      </w:r>
      <w:r w:rsidRPr="002B283E">
        <w:rPr>
          <w:rFonts w:cs="Times New Roman"/>
          <w:i/>
          <w:iCs/>
          <w:szCs w:val="24"/>
          <w:u w:val="single"/>
        </w:rPr>
        <w:t>name of principal</w:t>
      </w:r>
      <w:r w:rsidRPr="002B283E">
        <w:rPr>
          <w:rFonts w:cs="Times New Roman"/>
          <w:szCs w:val="24"/>
        </w:rPr>
        <w:t>], and, therefore, any act or omission of [</w:t>
      </w:r>
      <w:r w:rsidRPr="002B283E">
        <w:rPr>
          <w:rFonts w:cs="Times New Roman"/>
          <w:i/>
          <w:iCs/>
          <w:szCs w:val="24"/>
          <w:u w:val="single"/>
        </w:rPr>
        <w:t>name of agent</w:t>
      </w:r>
      <w:r w:rsidRPr="002B283E">
        <w:rPr>
          <w:rFonts w:cs="Times New Roman"/>
          <w:szCs w:val="24"/>
        </w:rPr>
        <w:t>] was the act or omission of [</w:t>
      </w:r>
      <w:r w:rsidRPr="002B283E">
        <w:rPr>
          <w:rFonts w:cs="Times New Roman"/>
          <w:i/>
          <w:iCs/>
          <w:szCs w:val="24"/>
          <w:u w:val="single"/>
        </w:rPr>
        <w:t>name of principal</w:t>
      </w:r>
      <w:r w:rsidRPr="002B283E">
        <w:rPr>
          <w:rFonts w:cs="Times New Roman"/>
          <w:szCs w:val="24"/>
        </w:rPr>
        <w:t>].</w:t>
      </w:r>
    </w:p>
    <w:p w14:paraId="131DC5C6" w14:textId="77777777" w:rsidR="006A4CD7" w:rsidRPr="002B283E" w:rsidRDefault="006A4CD7" w:rsidP="002B283E">
      <w:pPr>
        <w:autoSpaceDE w:val="0"/>
        <w:autoSpaceDN w:val="0"/>
        <w:adjustRightInd w:val="0"/>
        <w:rPr>
          <w:rFonts w:cs="Times New Roman"/>
          <w:szCs w:val="24"/>
        </w:rPr>
      </w:pPr>
    </w:p>
    <w:p w14:paraId="78390768" w14:textId="77777777" w:rsidR="006A4CD7" w:rsidRPr="002B283E" w:rsidRDefault="006A4CD7" w:rsidP="002B283E">
      <w:pPr>
        <w:autoSpaceDE w:val="0"/>
        <w:autoSpaceDN w:val="0"/>
        <w:adjustRightInd w:val="0"/>
        <w:rPr>
          <w:rFonts w:cs="Times New Roman"/>
          <w:szCs w:val="24"/>
        </w:rPr>
      </w:pPr>
    </w:p>
    <w:p w14:paraId="3EDE0FC0" w14:textId="77777777" w:rsidR="00C8117C" w:rsidRPr="002B283E" w:rsidRDefault="00C8117C" w:rsidP="002B283E">
      <w:pPr>
        <w:rPr>
          <w:rFonts w:cs="Times New Roman"/>
          <w:b/>
          <w:bCs/>
          <w:szCs w:val="24"/>
        </w:rPr>
      </w:pPr>
      <w:r w:rsidRPr="002B283E">
        <w:rPr>
          <w:rFonts w:cs="Times New Roman"/>
          <w:b/>
          <w:bCs/>
          <w:szCs w:val="24"/>
        </w:rPr>
        <w:br w:type="page"/>
      </w:r>
    </w:p>
    <w:p w14:paraId="680F1309" w14:textId="0DF354DA" w:rsidR="006A4CD7" w:rsidRPr="002B283E" w:rsidRDefault="006A4CD7" w:rsidP="002B283E">
      <w:pPr>
        <w:pStyle w:val="Heading2"/>
      </w:pPr>
      <w:bookmarkStart w:id="76" w:name="_Toc221525122"/>
      <w:r w:rsidRPr="002B283E">
        <w:lastRenderedPageBreak/>
        <w:t>4.11 B</w:t>
      </w:r>
      <w:r w:rsidR="002F1CAD" w:rsidRPr="002B283E">
        <w:t>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—A</w:t>
      </w:r>
      <w:r w:rsidR="002F1CAD" w:rsidRPr="002B283E">
        <w:t>gency</w:t>
      </w:r>
      <w:r w:rsidRPr="002B283E">
        <w:t xml:space="preserve"> </w:t>
      </w:r>
      <w:r w:rsidR="002F1CAD" w:rsidRPr="002B283E">
        <w:t>or</w:t>
      </w:r>
      <w:r w:rsidRPr="002B283E">
        <w:t xml:space="preserve"> A</w:t>
      </w:r>
      <w:r w:rsidR="002F1CAD" w:rsidRPr="002B283E">
        <w:t>uthority</w:t>
      </w:r>
      <w:r w:rsidRPr="002B283E">
        <w:t xml:space="preserve"> D</w:t>
      </w:r>
      <w:r w:rsidR="002F1CAD" w:rsidRPr="002B283E">
        <w:t>enied</w:t>
      </w:r>
      <w:bookmarkEnd w:id="76"/>
    </w:p>
    <w:p w14:paraId="255A3BC1" w14:textId="77777777" w:rsidR="006A4CD7" w:rsidRPr="002B283E" w:rsidRDefault="006A4CD7" w:rsidP="002B283E">
      <w:pPr>
        <w:autoSpaceDE w:val="0"/>
        <w:autoSpaceDN w:val="0"/>
        <w:adjustRightInd w:val="0"/>
        <w:rPr>
          <w:rFonts w:cs="Times New Roman"/>
          <w:szCs w:val="24"/>
        </w:rPr>
      </w:pPr>
    </w:p>
    <w:p w14:paraId="11B31BC8" w14:textId="41FEFA97" w:rsidR="006A4CD7" w:rsidRPr="002B283E" w:rsidRDefault="006A4CD7" w:rsidP="002B283E">
      <w:pPr>
        <w:autoSpaceDE w:val="0"/>
        <w:autoSpaceDN w:val="0"/>
        <w:adjustRightInd w:val="0"/>
        <w:rPr>
          <w:rFonts w:cs="Times New Roman"/>
          <w:szCs w:val="24"/>
        </w:rPr>
      </w:pPr>
      <w:r w:rsidRPr="002B283E">
        <w:rPr>
          <w:rFonts w:cs="Times New Roman"/>
          <w:szCs w:val="24"/>
        </w:rPr>
        <w:tab/>
        <w:t>[Defendant [</w:t>
      </w:r>
      <w:r w:rsidRPr="002B283E">
        <w:rPr>
          <w:rFonts w:cs="Times New Roman"/>
          <w:i/>
          <w:iCs/>
          <w:szCs w:val="24"/>
          <w:u w:val="single"/>
        </w:rPr>
        <w:t>name of alleged principal</w:t>
      </w:r>
      <w:r w:rsidRPr="002B283E">
        <w:rPr>
          <w:rFonts w:cs="Times New Roman"/>
          <w:szCs w:val="24"/>
        </w:rPr>
        <w:t>] is sued as the principal and the defendant [</w:t>
      </w:r>
      <w:r w:rsidRPr="002B283E">
        <w:rPr>
          <w:rFonts w:cs="Times New Roman"/>
          <w:i/>
          <w:iCs/>
          <w:szCs w:val="24"/>
          <w:u w:val="single"/>
        </w:rPr>
        <w:t>name of alleged agent</w:t>
      </w:r>
      <w:r w:rsidRPr="002B283E">
        <w:rPr>
          <w:rFonts w:cs="Times New Roman"/>
          <w:szCs w:val="24"/>
        </w:rPr>
        <w:t>] as the agent. [It is denied that any agency existed.] [It is [also] denied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w:t>
      </w:r>
    </w:p>
    <w:p w14:paraId="1F3D71C5" w14:textId="77777777" w:rsidR="006A4CD7" w:rsidRPr="002B283E" w:rsidRDefault="006A4CD7" w:rsidP="002B283E">
      <w:pPr>
        <w:autoSpaceDE w:val="0"/>
        <w:autoSpaceDN w:val="0"/>
        <w:adjustRightInd w:val="0"/>
        <w:rPr>
          <w:rFonts w:cs="Times New Roman"/>
          <w:szCs w:val="24"/>
        </w:rPr>
      </w:pPr>
    </w:p>
    <w:p w14:paraId="134249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and if you find against [</w:t>
      </w:r>
      <w:r w:rsidRPr="002B283E">
        <w:rPr>
          <w:rFonts w:cs="Times New Roman"/>
          <w:i/>
          <w:iCs/>
          <w:szCs w:val="24"/>
          <w:u w:val="single"/>
        </w:rPr>
        <w:t>name of alleged agent</w:t>
      </w:r>
      <w:r w:rsidRPr="002B283E">
        <w:rPr>
          <w:rFonts w:cs="Times New Roman"/>
          <w:szCs w:val="24"/>
        </w:rPr>
        <w:t>], then you must also find against [</w:t>
      </w:r>
      <w:r w:rsidRPr="002B283E">
        <w:rPr>
          <w:rFonts w:cs="Times New Roman"/>
          <w:i/>
          <w:iCs/>
          <w:szCs w:val="24"/>
          <w:u w:val="single"/>
        </w:rPr>
        <w:t>name of alleged principal</w:t>
      </w:r>
      <w:r w:rsidRPr="002B283E">
        <w:rPr>
          <w:rFonts w:cs="Times New Roman"/>
          <w:szCs w:val="24"/>
        </w:rPr>
        <w:t>]. If you do not find against [</w:t>
      </w:r>
      <w:r w:rsidRPr="002B283E">
        <w:rPr>
          <w:rFonts w:cs="Times New Roman"/>
          <w:i/>
          <w:iCs/>
          <w:szCs w:val="24"/>
          <w:u w:val="single"/>
        </w:rPr>
        <w:t>name of alleged agent</w:t>
      </w:r>
      <w:r w:rsidRPr="002B283E">
        <w:rPr>
          <w:rFonts w:cs="Times New Roman"/>
          <w:szCs w:val="24"/>
        </w:rPr>
        <w:t>], then you must find for both [</w:t>
      </w:r>
      <w:r w:rsidRPr="002B283E">
        <w:rPr>
          <w:rFonts w:cs="Times New Roman"/>
          <w:i/>
          <w:iCs/>
          <w:szCs w:val="24"/>
          <w:u w:val="single"/>
        </w:rPr>
        <w:t>name of alleged principal</w:t>
      </w:r>
      <w:r w:rsidRPr="002B283E">
        <w:rPr>
          <w:rFonts w:cs="Times New Roman"/>
          <w:szCs w:val="24"/>
        </w:rPr>
        <w:t>] and [</w:t>
      </w:r>
      <w:r w:rsidRPr="002B283E">
        <w:rPr>
          <w:rFonts w:cs="Times New Roman"/>
          <w:i/>
          <w:iCs/>
          <w:szCs w:val="24"/>
          <w:u w:val="single"/>
        </w:rPr>
        <w:t>name of alleged agent</w:t>
      </w:r>
      <w:r w:rsidRPr="002B283E">
        <w:rPr>
          <w:rFonts w:cs="Times New Roman"/>
          <w:szCs w:val="24"/>
        </w:rPr>
        <w:t>].</w:t>
      </w:r>
    </w:p>
    <w:p w14:paraId="70FEA03C" w14:textId="77777777" w:rsidR="006A4CD7" w:rsidRPr="002B283E" w:rsidRDefault="006A4CD7" w:rsidP="002B283E">
      <w:pPr>
        <w:autoSpaceDE w:val="0"/>
        <w:autoSpaceDN w:val="0"/>
        <w:adjustRightInd w:val="0"/>
        <w:rPr>
          <w:rFonts w:cs="Times New Roman"/>
          <w:szCs w:val="24"/>
        </w:rPr>
      </w:pPr>
    </w:p>
    <w:p w14:paraId="735609E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alleged agent</w:t>
      </w:r>
      <w:r w:rsidRPr="002B283E">
        <w:rPr>
          <w:rFonts w:cs="Times New Roman"/>
          <w:szCs w:val="24"/>
        </w:rPr>
        <w:t>], but do not find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 then you must find that [</w:t>
      </w:r>
      <w:r w:rsidRPr="002B283E">
        <w:rPr>
          <w:rFonts w:cs="Times New Roman"/>
          <w:i/>
          <w:iCs/>
          <w:szCs w:val="24"/>
          <w:u w:val="single"/>
        </w:rPr>
        <w:t>name of alleged principal</w:t>
      </w:r>
      <w:r w:rsidRPr="002B283E">
        <w:rPr>
          <w:rFonts w:cs="Times New Roman"/>
          <w:szCs w:val="24"/>
        </w:rPr>
        <w:t>] is not liable.</w:t>
      </w:r>
    </w:p>
    <w:p w14:paraId="46C75A68" w14:textId="77777777" w:rsidR="006A4CD7" w:rsidRPr="002B283E" w:rsidRDefault="006A4CD7" w:rsidP="002B283E">
      <w:pPr>
        <w:autoSpaceDE w:val="0"/>
        <w:autoSpaceDN w:val="0"/>
        <w:adjustRightInd w:val="0"/>
        <w:rPr>
          <w:rFonts w:cs="Times New Roman"/>
          <w:szCs w:val="24"/>
        </w:rPr>
      </w:pPr>
    </w:p>
    <w:p w14:paraId="68E4201F" w14:textId="77777777" w:rsidR="006A4CD7" w:rsidRPr="002B283E" w:rsidRDefault="006A4CD7" w:rsidP="002B283E">
      <w:pPr>
        <w:autoSpaceDE w:val="0"/>
        <w:autoSpaceDN w:val="0"/>
        <w:adjustRightInd w:val="0"/>
        <w:rPr>
          <w:rFonts w:cs="Times New Roman"/>
          <w:szCs w:val="24"/>
        </w:rPr>
      </w:pPr>
    </w:p>
    <w:p w14:paraId="12B12506" w14:textId="77777777" w:rsidR="00C8117C" w:rsidRPr="002B283E" w:rsidRDefault="00C8117C" w:rsidP="002B283E">
      <w:pPr>
        <w:rPr>
          <w:rFonts w:cs="Times New Roman"/>
          <w:b/>
          <w:bCs/>
          <w:szCs w:val="24"/>
        </w:rPr>
      </w:pPr>
      <w:r w:rsidRPr="002B283E">
        <w:rPr>
          <w:rFonts w:cs="Times New Roman"/>
          <w:b/>
          <w:bCs/>
          <w:szCs w:val="24"/>
        </w:rPr>
        <w:br w:type="page"/>
      </w:r>
    </w:p>
    <w:p w14:paraId="30E60FE7" w14:textId="4B09A984" w:rsidR="006A4CD7" w:rsidRPr="002B283E" w:rsidRDefault="006A4CD7" w:rsidP="002B283E">
      <w:pPr>
        <w:pStyle w:val="Heading2"/>
      </w:pPr>
      <w:bookmarkStart w:id="77" w:name="_Toc221525123"/>
      <w:r w:rsidRPr="002B283E">
        <w:lastRenderedPageBreak/>
        <w:t>4.12 P</w:t>
      </w:r>
      <w:r w:rsidR="002F1CAD" w:rsidRPr="002B283E">
        <w:t>rincipal</w:t>
      </w:r>
      <w:r w:rsidRPr="002B283E">
        <w:t xml:space="preserve"> S</w:t>
      </w:r>
      <w:r w:rsidR="002F1CAD" w:rsidRPr="002B283E">
        <w:t>ued</w:t>
      </w:r>
      <w:r w:rsidRPr="002B283E">
        <w:t xml:space="preserve"> </w:t>
      </w:r>
      <w:r w:rsidR="002F1CAD" w:rsidRPr="002B283E">
        <w:t>but</w:t>
      </w:r>
      <w:r w:rsidRPr="002B283E">
        <w:t xml:space="preserve"> N</w:t>
      </w:r>
      <w:r w:rsidR="002F1CAD" w:rsidRPr="002B283E">
        <w:t>ot</w:t>
      </w:r>
      <w:r w:rsidRPr="002B283E">
        <w:t xml:space="preserve"> A</w:t>
      </w:r>
      <w:r w:rsidR="002F1CAD" w:rsidRPr="002B283E">
        <w:t>gent</w:t>
      </w:r>
      <w:r w:rsidRPr="002B283E">
        <w:t>—A</w:t>
      </w:r>
      <w:r w:rsidR="00A34435" w:rsidRPr="002B283E">
        <w:t>gency</w:t>
      </w:r>
      <w:r w:rsidRPr="002B283E">
        <w:t xml:space="preserve"> </w:t>
      </w:r>
      <w:r w:rsidR="00A34435" w:rsidRPr="002B283E">
        <w:t>or</w:t>
      </w:r>
      <w:r w:rsidRPr="002B283E">
        <w:t xml:space="preserve"> A</w:t>
      </w:r>
      <w:r w:rsidR="00A34435" w:rsidRPr="002B283E">
        <w:t>uthority</w:t>
      </w:r>
      <w:r w:rsidRPr="002B283E">
        <w:t xml:space="preserve"> D</w:t>
      </w:r>
      <w:r w:rsidR="00A34435" w:rsidRPr="002B283E">
        <w:t>enied</w:t>
      </w:r>
      <w:bookmarkEnd w:id="77"/>
    </w:p>
    <w:p w14:paraId="04FCD7A7" w14:textId="77777777" w:rsidR="006A4CD7" w:rsidRPr="002B283E" w:rsidRDefault="006A4CD7" w:rsidP="002B283E">
      <w:pPr>
        <w:autoSpaceDE w:val="0"/>
        <w:autoSpaceDN w:val="0"/>
        <w:adjustRightInd w:val="0"/>
        <w:rPr>
          <w:rFonts w:cs="Times New Roman"/>
          <w:szCs w:val="24"/>
        </w:rPr>
      </w:pPr>
    </w:p>
    <w:p w14:paraId="72E9E720" w14:textId="76620E51"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alleged principal</w:t>
      </w:r>
      <w:r w:rsidRPr="002B283E">
        <w:rPr>
          <w:rFonts w:cs="Times New Roman"/>
          <w:szCs w:val="24"/>
        </w:rPr>
        <w:t xml:space="preserve">] is sued as a principal. The plaintiff </w:t>
      </w:r>
      <w:r w:rsidR="006E5FAF">
        <w:t>[</w:t>
      </w:r>
      <w:r w:rsidR="006E5FAF" w:rsidRPr="009E2B37">
        <w:rPr>
          <w:i/>
          <w:iCs/>
          <w:u w:val="single"/>
        </w:rPr>
        <w:t>name</w:t>
      </w:r>
      <w:r w:rsidR="006E5FAF">
        <w:t xml:space="preserve">] </w:t>
      </w:r>
      <w:r w:rsidRPr="002B283E">
        <w:rPr>
          <w:rFonts w:cs="Times New Roman"/>
          <w:szCs w:val="24"/>
        </w:rPr>
        <w:t>claims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w:t>
      </w:r>
      <w:r w:rsidR="00A87F6E">
        <w:rPr>
          <w:rFonts w:cs="Times New Roman"/>
          <w:szCs w:val="24"/>
        </w:rPr>
        <w:t xml:space="preserve">. </w:t>
      </w:r>
      <w:r w:rsidRPr="002B283E">
        <w:rPr>
          <w:rFonts w:cs="Times New Roman"/>
          <w:szCs w:val="24"/>
        </w:rPr>
        <w:t>[</w:t>
      </w:r>
      <w:r w:rsidRPr="002B283E">
        <w:rPr>
          <w:rFonts w:cs="Times New Roman"/>
          <w:i/>
          <w:iCs/>
          <w:szCs w:val="24"/>
          <w:u w:val="single"/>
        </w:rPr>
        <w:t>Name of alleged principal</w:t>
      </w:r>
      <w:r w:rsidRPr="002B283E">
        <w:rPr>
          <w:rFonts w:cs="Times New Roman"/>
          <w:szCs w:val="24"/>
        </w:rPr>
        <w:t>] [denies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[admits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[and] [denies that [</w:t>
      </w:r>
      <w:r w:rsidRPr="002B283E">
        <w:rPr>
          <w:rFonts w:cs="Times New Roman"/>
          <w:i/>
          <w:iCs/>
          <w:szCs w:val="24"/>
          <w:u w:val="single"/>
        </w:rPr>
        <w:t>name of alleged agent</w:t>
      </w:r>
      <w:r w:rsidRPr="002B283E">
        <w:rPr>
          <w:rFonts w:cs="Times New Roman"/>
          <w:szCs w:val="24"/>
        </w:rPr>
        <w:t>] was acting within the scope of authority.]</w:t>
      </w:r>
    </w:p>
    <w:p w14:paraId="12549F14" w14:textId="77777777" w:rsidR="006A4CD7" w:rsidRPr="002B283E" w:rsidRDefault="006A4CD7" w:rsidP="002B283E">
      <w:pPr>
        <w:autoSpaceDE w:val="0"/>
        <w:autoSpaceDN w:val="0"/>
        <w:adjustRightInd w:val="0"/>
        <w:rPr>
          <w:rFonts w:cs="Times New Roman"/>
          <w:szCs w:val="24"/>
        </w:rPr>
      </w:pPr>
    </w:p>
    <w:p w14:paraId="53677D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then any act or omission of [</w:t>
      </w:r>
      <w:r w:rsidRPr="002B283E">
        <w:rPr>
          <w:rFonts w:cs="Times New Roman"/>
          <w:i/>
          <w:iCs/>
          <w:szCs w:val="24"/>
          <w:u w:val="single"/>
        </w:rPr>
        <w:t>name of alleged agent</w:t>
      </w:r>
      <w:r w:rsidRPr="002B283E">
        <w:rPr>
          <w:rFonts w:cs="Times New Roman"/>
          <w:szCs w:val="24"/>
        </w:rPr>
        <w:t>] was the act or omission of [</w:t>
      </w:r>
      <w:r w:rsidRPr="002B283E">
        <w:rPr>
          <w:rFonts w:cs="Times New Roman"/>
          <w:i/>
          <w:iCs/>
          <w:szCs w:val="24"/>
          <w:u w:val="single"/>
        </w:rPr>
        <w:t>name of alleged principal</w:t>
      </w:r>
      <w:r w:rsidRPr="002B283E">
        <w:rPr>
          <w:rFonts w:cs="Times New Roman"/>
          <w:szCs w:val="24"/>
        </w:rPr>
        <w:t>].</w:t>
      </w:r>
    </w:p>
    <w:p w14:paraId="44533DBA" w14:textId="77777777" w:rsidR="006A4CD7" w:rsidRPr="002B283E" w:rsidRDefault="006A4CD7" w:rsidP="002B283E">
      <w:pPr>
        <w:autoSpaceDE w:val="0"/>
        <w:autoSpaceDN w:val="0"/>
        <w:adjustRightInd w:val="0"/>
        <w:rPr>
          <w:rFonts w:cs="Times New Roman"/>
          <w:szCs w:val="24"/>
        </w:rPr>
      </w:pPr>
    </w:p>
    <w:p w14:paraId="4873F13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not acting within the scope of authority as [</w:t>
      </w:r>
      <w:r w:rsidRPr="002B283E">
        <w:rPr>
          <w:rFonts w:cs="Times New Roman"/>
          <w:i/>
          <w:iCs/>
          <w:szCs w:val="24"/>
          <w:u w:val="single"/>
        </w:rPr>
        <w:t>name of alleged principal</w:t>
      </w:r>
      <w:r w:rsidRPr="002B283E">
        <w:rPr>
          <w:rFonts w:cs="Times New Roman"/>
          <w:szCs w:val="24"/>
        </w:rPr>
        <w:t>]’s agent, then you must find for [</w:t>
      </w:r>
      <w:r w:rsidRPr="002B283E">
        <w:rPr>
          <w:rFonts w:cs="Times New Roman"/>
          <w:i/>
          <w:iCs/>
          <w:szCs w:val="24"/>
          <w:u w:val="single"/>
        </w:rPr>
        <w:t>name of alleged principal</w:t>
      </w:r>
      <w:r w:rsidRPr="002B283E">
        <w:rPr>
          <w:rFonts w:cs="Times New Roman"/>
          <w:szCs w:val="24"/>
        </w:rPr>
        <w:t>].</w:t>
      </w:r>
    </w:p>
    <w:p w14:paraId="22FACE36" w14:textId="77777777" w:rsidR="006A4CD7" w:rsidRPr="002B283E" w:rsidRDefault="006A4CD7" w:rsidP="002B283E">
      <w:pPr>
        <w:autoSpaceDE w:val="0"/>
        <w:autoSpaceDN w:val="0"/>
        <w:adjustRightInd w:val="0"/>
        <w:rPr>
          <w:rFonts w:cs="Times New Roman"/>
          <w:szCs w:val="24"/>
        </w:rPr>
      </w:pPr>
    </w:p>
    <w:p w14:paraId="0AC5BCAC" w14:textId="77777777" w:rsidR="006A4CD7" w:rsidRPr="002B283E" w:rsidRDefault="006A4CD7" w:rsidP="002B283E">
      <w:pPr>
        <w:autoSpaceDE w:val="0"/>
        <w:autoSpaceDN w:val="0"/>
        <w:adjustRightInd w:val="0"/>
        <w:rPr>
          <w:rFonts w:cs="Times New Roman"/>
          <w:szCs w:val="24"/>
        </w:rPr>
      </w:pPr>
    </w:p>
    <w:p w14:paraId="5EE3B7CC" w14:textId="03E17E6F" w:rsidR="006A4CD7" w:rsidRPr="002B283E" w:rsidRDefault="006A4CD7" w:rsidP="002B283E">
      <w:pPr>
        <w:pStyle w:val="Heading2"/>
      </w:pPr>
      <w:r w:rsidRPr="002B283E">
        <w:br w:type="page"/>
      </w:r>
      <w:bookmarkStart w:id="78" w:name="_Toc221525124"/>
      <w:r w:rsidRPr="002B283E">
        <w:lastRenderedPageBreak/>
        <w:t>4.13 A</w:t>
      </w:r>
      <w:r w:rsidR="00A34435" w:rsidRPr="002B283E">
        <w:t>dverse</w:t>
      </w:r>
      <w:r w:rsidRPr="002B283E">
        <w:t xml:space="preserve"> I</w:t>
      </w:r>
      <w:r w:rsidR="00A34435" w:rsidRPr="002B283E">
        <w:t>nterest</w:t>
      </w:r>
      <w:r w:rsidRPr="002B283E">
        <w:t xml:space="preserve"> E</w:t>
      </w:r>
      <w:r w:rsidR="00A34435" w:rsidRPr="002B283E">
        <w:t>xception</w:t>
      </w:r>
      <w:bookmarkEnd w:id="78"/>
    </w:p>
    <w:p w14:paraId="610EF87B" w14:textId="77777777" w:rsidR="006A4CD7" w:rsidRPr="002B283E" w:rsidRDefault="006A4CD7" w:rsidP="002B283E">
      <w:pPr>
        <w:autoSpaceDE w:val="0"/>
        <w:autoSpaceDN w:val="0"/>
        <w:adjustRightInd w:val="0"/>
        <w:rPr>
          <w:rFonts w:cs="Times New Roman"/>
          <w:szCs w:val="24"/>
        </w:rPr>
      </w:pPr>
    </w:p>
    <w:p w14:paraId="165F6BB1" w14:textId="507DDF40"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acting solely for [his</w:t>
      </w:r>
      <w:r w:rsidR="006E5FAF">
        <w:rPr>
          <w:rFonts w:cs="Times New Roman"/>
          <w:szCs w:val="24"/>
        </w:rPr>
        <w:t>] [her] [</w:t>
      </w:r>
      <w:r w:rsidR="006E5FAF" w:rsidRPr="008A04C2">
        <w:rPr>
          <w:rFonts w:cs="Times New Roman"/>
          <w:i/>
          <w:iCs/>
          <w:szCs w:val="24"/>
          <w:u w:val="single"/>
        </w:rPr>
        <w:t>other pronoun</w:t>
      </w:r>
      <w:r w:rsidR="006E5FAF">
        <w:rPr>
          <w:rFonts w:cs="Times New Roman"/>
          <w:szCs w:val="24"/>
        </w:rPr>
        <w:t>]</w:t>
      </w:r>
      <w:r w:rsidRPr="002B283E">
        <w:rPr>
          <w:rFonts w:cs="Times New Roman"/>
          <w:szCs w:val="24"/>
        </w:rPr>
        <w:t xml:space="preserve"> own purposes or those of a third party, then [</w:t>
      </w:r>
      <w:r w:rsidRPr="002B283E">
        <w:rPr>
          <w:rFonts w:cs="Times New Roman"/>
          <w:i/>
          <w:iCs/>
          <w:szCs w:val="24"/>
          <w:u w:val="single"/>
        </w:rPr>
        <w:t>name of the alleged agent</w:t>
      </w:r>
      <w:r w:rsidRPr="002B283E">
        <w:rPr>
          <w:rFonts w:cs="Times New Roman"/>
          <w:szCs w:val="24"/>
        </w:rPr>
        <w:t>]’s acts or omissions are not considered the acts or omissions of defendant [</w:t>
      </w:r>
      <w:r w:rsidRPr="002B283E">
        <w:rPr>
          <w:rFonts w:cs="Times New Roman"/>
          <w:i/>
          <w:iCs/>
          <w:szCs w:val="24"/>
          <w:u w:val="single"/>
        </w:rPr>
        <w:t>name of alleged principal</w:t>
      </w:r>
      <w:r w:rsidRPr="002B283E">
        <w:rPr>
          <w:rFonts w:cs="Times New Roman"/>
          <w:szCs w:val="24"/>
        </w:rPr>
        <w:t>].</w:t>
      </w:r>
    </w:p>
    <w:p w14:paraId="65B31314" w14:textId="77777777" w:rsidR="006A4CD7" w:rsidRPr="002B283E" w:rsidRDefault="006A4CD7" w:rsidP="002B283E">
      <w:pPr>
        <w:autoSpaceDE w:val="0"/>
        <w:autoSpaceDN w:val="0"/>
        <w:adjustRightInd w:val="0"/>
        <w:rPr>
          <w:rFonts w:cs="Times New Roman"/>
          <w:szCs w:val="24"/>
        </w:rPr>
      </w:pPr>
    </w:p>
    <w:p w14:paraId="21EFE5CC" w14:textId="07EA76CA"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plaintiff dealt with [</w:t>
      </w:r>
      <w:r w:rsidRPr="002B283E">
        <w:rPr>
          <w:rFonts w:cs="Times New Roman"/>
          <w:i/>
          <w:iCs/>
          <w:szCs w:val="24"/>
          <w:u w:val="single"/>
        </w:rPr>
        <w:t>name of agent</w:t>
      </w:r>
      <w:r w:rsidRPr="002B283E">
        <w:rPr>
          <w:rFonts w:cs="Times New Roman"/>
          <w:szCs w:val="24"/>
        </w:rPr>
        <w:t>] in good faith and did not know, or have reason to know, that [</w:t>
      </w:r>
      <w:r w:rsidRPr="002B283E">
        <w:rPr>
          <w:rFonts w:cs="Times New Roman"/>
          <w:i/>
          <w:iCs/>
          <w:szCs w:val="24"/>
          <w:u w:val="single"/>
        </w:rPr>
        <w:t>name of agent</w:t>
      </w:r>
      <w:r w:rsidRPr="002B283E">
        <w:rPr>
          <w:rFonts w:cs="Times New Roman"/>
          <w:szCs w:val="24"/>
        </w:rPr>
        <w:t>] was acting against the interests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B4F7C6F" w14:textId="77777777" w:rsidR="006A4CD7" w:rsidRPr="002B283E" w:rsidRDefault="006A4CD7" w:rsidP="002B283E">
      <w:pPr>
        <w:autoSpaceDE w:val="0"/>
        <w:autoSpaceDN w:val="0"/>
        <w:adjustRightInd w:val="0"/>
        <w:rPr>
          <w:rFonts w:cs="Times New Roman"/>
          <w:szCs w:val="24"/>
        </w:rPr>
      </w:pPr>
    </w:p>
    <w:p w14:paraId="03656015" w14:textId="48DBE35F"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defendant [</w:t>
      </w:r>
      <w:r w:rsidRPr="002B283E">
        <w:rPr>
          <w:rFonts w:cs="Times New Roman"/>
          <w:i/>
          <w:iCs/>
          <w:szCs w:val="24"/>
          <w:u w:val="single"/>
        </w:rPr>
        <w:t>name of alleged principal</w:t>
      </w:r>
      <w:r w:rsidRPr="002B283E">
        <w:rPr>
          <w:rFonts w:cs="Times New Roman"/>
          <w:szCs w:val="24"/>
        </w:rPr>
        <w:t>] ratified or knowingly received a benefit from the acts or omissions of [</w:t>
      </w:r>
      <w:r w:rsidRPr="002B283E">
        <w:rPr>
          <w:rFonts w:cs="Times New Roman"/>
          <w:i/>
          <w:iCs/>
          <w:szCs w:val="24"/>
          <w:u w:val="single"/>
        </w:rPr>
        <w:t>name of agent</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6323AA1E" w14:textId="77777777" w:rsidR="006A4CD7" w:rsidRPr="002B283E" w:rsidRDefault="006A4CD7" w:rsidP="002B283E">
      <w:pPr>
        <w:autoSpaceDE w:val="0"/>
        <w:autoSpaceDN w:val="0"/>
        <w:adjustRightInd w:val="0"/>
        <w:rPr>
          <w:rFonts w:cs="Times New Roman"/>
          <w:szCs w:val="24"/>
        </w:rPr>
      </w:pPr>
    </w:p>
    <w:p w14:paraId="6A422C58" w14:textId="6223BF59"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w:t>
      </w:r>
      <w:r w:rsidRPr="002B283E">
        <w:rPr>
          <w:rFonts w:cs="Times New Roman"/>
          <w:i/>
          <w:iCs/>
          <w:szCs w:val="24"/>
          <w:u w:val="single"/>
        </w:rPr>
        <w:t>name of agent</w:t>
      </w:r>
      <w:r w:rsidRPr="002B283E">
        <w:rPr>
          <w:rFonts w:cs="Times New Roman"/>
          <w:szCs w:val="24"/>
        </w:rPr>
        <w:t>] was the sole [representative of</w:t>
      </w:r>
      <w:r w:rsidR="006E5FAF">
        <w:rPr>
          <w:rFonts w:cs="Times New Roman"/>
          <w:szCs w:val="24"/>
        </w:rPr>
        <w:t>] [</w:t>
      </w:r>
      <w:r w:rsidRPr="002B283E">
        <w:rPr>
          <w:rFonts w:cs="Times New Roman"/>
          <w:szCs w:val="24"/>
        </w:rPr>
        <w:t>officer in charge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7AC17F2" w14:textId="77777777" w:rsidR="006A4CD7" w:rsidRPr="002B283E" w:rsidRDefault="006A4CD7" w:rsidP="002B283E">
      <w:pPr>
        <w:autoSpaceDE w:val="0"/>
        <w:autoSpaceDN w:val="0"/>
        <w:adjustRightInd w:val="0"/>
        <w:rPr>
          <w:rFonts w:cs="Times New Roman"/>
          <w:szCs w:val="24"/>
        </w:rPr>
      </w:pPr>
    </w:p>
    <w:p w14:paraId="701F489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3008F0" w14:textId="77777777" w:rsidR="006A4CD7" w:rsidRPr="002B283E" w:rsidRDefault="006A4CD7" w:rsidP="002B283E">
      <w:pPr>
        <w:autoSpaceDE w:val="0"/>
        <w:autoSpaceDN w:val="0"/>
        <w:adjustRightInd w:val="0"/>
        <w:rPr>
          <w:rFonts w:cs="Times New Roman"/>
          <w:szCs w:val="24"/>
        </w:rPr>
      </w:pPr>
    </w:p>
    <w:p w14:paraId="7CD3E1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adverse interest exception is narrow and generally requires “an agent to completely abandon the principal’s interests and act entirely for his own purposes.” </w:t>
      </w:r>
      <w:r w:rsidRPr="002B283E">
        <w:rPr>
          <w:rFonts w:cs="Times New Roman"/>
          <w:i/>
          <w:iCs/>
          <w:szCs w:val="24"/>
        </w:rPr>
        <w:t>Cement &amp; Concrete Workers Dist. Council Pension Fund v. Hewlett Packard Co.</w:t>
      </w:r>
      <w:r w:rsidRPr="002B283E">
        <w:rPr>
          <w:rFonts w:cs="Times New Roman"/>
          <w:szCs w:val="24"/>
        </w:rPr>
        <w:t xml:space="preserve">, 964 F. Supp. 2d 1128, 1144-45 (N.D. Cal. 2013) (quoting </w:t>
      </w:r>
      <w:r w:rsidRPr="002B283E">
        <w:rPr>
          <w:rFonts w:cs="Times New Roman"/>
          <w:i/>
          <w:iCs/>
          <w:szCs w:val="24"/>
        </w:rPr>
        <w:t>USACM Liquidating Trust v. Deloitte &amp; Touche LLP</w:t>
      </w:r>
      <w:r w:rsidRPr="002B283E">
        <w:rPr>
          <w:rFonts w:cs="Times New Roman"/>
          <w:szCs w:val="24"/>
        </w:rPr>
        <w:t>, 764 F. Supp. 2d 1210, 1218 (D. Nev. 2011)).</w:t>
      </w:r>
    </w:p>
    <w:p w14:paraId="6789CCEF" w14:textId="77777777" w:rsidR="006A4CD7" w:rsidRPr="002B283E" w:rsidRDefault="006A4CD7" w:rsidP="002B283E">
      <w:pPr>
        <w:autoSpaceDE w:val="0"/>
        <w:autoSpaceDN w:val="0"/>
        <w:adjustRightInd w:val="0"/>
        <w:rPr>
          <w:rFonts w:cs="Times New Roman"/>
          <w:szCs w:val="24"/>
        </w:rPr>
      </w:pPr>
    </w:p>
    <w:p w14:paraId="2C87E2D6" w14:textId="77777777" w:rsidR="006A4CD7" w:rsidRPr="002B283E" w:rsidRDefault="006A4CD7" w:rsidP="002B283E">
      <w:pPr>
        <w:autoSpaceDE w:val="0"/>
        <w:autoSpaceDN w:val="0"/>
        <w:adjustRightInd w:val="0"/>
        <w:rPr>
          <w:rFonts w:cs="Times New Roman"/>
          <w:szCs w:val="24"/>
        </w:rPr>
      </w:pPr>
    </w:p>
    <w:p w14:paraId="741608CD" w14:textId="0FE7E2C6" w:rsidR="006A4CD7" w:rsidRPr="002B283E" w:rsidRDefault="006A4CD7" w:rsidP="002B283E">
      <w:pPr>
        <w:pStyle w:val="Heading2"/>
      </w:pPr>
      <w:r w:rsidRPr="002B283E">
        <w:br w:type="page"/>
      </w:r>
      <w:bookmarkStart w:id="79" w:name="_Toc221525125"/>
      <w:r w:rsidRPr="002B283E">
        <w:lastRenderedPageBreak/>
        <w:t>4.14 I</w:t>
      </w:r>
      <w:r w:rsidR="00A34435" w:rsidRPr="002B283E">
        <w:t>ndependent</w:t>
      </w:r>
      <w:r w:rsidRPr="002B283E">
        <w:t xml:space="preserve"> C</w:t>
      </w:r>
      <w:r w:rsidR="00A34435" w:rsidRPr="002B283E">
        <w:t>ontractor</w:t>
      </w:r>
      <w:r w:rsidRPr="002B283E">
        <w:t>—D</w:t>
      </w:r>
      <w:r w:rsidR="00A34435" w:rsidRPr="002B283E">
        <w:t>efinition</w:t>
      </w:r>
      <w:bookmarkEnd w:id="79"/>
    </w:p>
    <w:p w14:paraId="0C5C913E" w14:textId="77777777" w:rsidR="006A4CD7" w:rsidRPr="002B283E" w:rsidRDefault="006A4CD7" w:rsidP="002B283E">
      <w:pPr>
        <w:autoSpaceDE w:val="0"/>
        <w:autoSpaceDN w:val="0"/>
        <w:adjustRightInd w:val="0"/>
        <w:rPr>
          <w:rFonts w:cs="Times New Roman"/>
          <w:szCs w:val="24"/>
        </w:rPr>
      </w:pPr>
    </w:p>
    <w:p w14:paraId="563CB93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2B283E" w:rsidRDefault="006A4CD7" w:rsidP="002B283E">
      <w:pPr>
        <w:autoSpaceDE w:val="0"/>
        <w:autoSpaceDN w:val="0"/>
        <w:adjustRightInd w:val="0"/>
        <w:rPr>
          <w:rFonts w:cs="Times New Roman"/>
          <w:szCs w:val="24"/>
        </w:rPr>
      </w:pPr>
    </w:p>
    <w:p w14:paraId="42F8671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One who engages an independent contractor is not liable to others for the acts or omissions of the independent contractor.</w:t>
      </w:r>
    </w:p>
    <w:p w14:paraId="4E981933" w14:textId="77777777" w:rsidR="006A4CD7" w:rsidRPr="002B283E" w:rsidRDefault="006A4CD7" w:rsidP="002B283E">
      <w:pPr>
        <w:autoSpaceDE w:val="0"/>
        <w:autoSpaceDN w:val="0"/>
        <w:adjustRightInd w:val="0"/>
        <w:rPr>
          <w:rFonts w:cs="Times New Roman"/>
          <w:szCs w:val="24"/>
        </w:rPr>
      </w:pPr>
    </w:p>
    <w:p w14:paraId="3C0BA1A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546561F" w14:textId="77777777" w:rsidR="006A4CD7" w:rsidRPr="002B283E" w:rsidRDefault="006A4CD7" w:rsidP="002B283E">
      <w:pPr>
        <w:autoSpaceDE w:val="0"/>
        <w:autoSpaceDN w:val="0"/>
        <w:adjustRightInd w:val="0"/>
        <w:rPr>
          <w:rFonts w:cs="Times New Roman"/>
          <w:szCs w:val="24"/>
        </w:rPr>
      </w:pPr>
    </w:p>
    <w:p w14:paraId="1662A8CC" w14:textId="10709FC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second paragraph of this instruction does not apply to nondelegable duties. </w:t>
      </w:r>
      <w:r w:rsidRPr="002B283E">
        <w:rPr>
          <w:rFonts w:cs="Times New Roman"/>
          <w:i/>
          <w:iCs/>
          <w:szCs w:val="24"/>
        </w:rPr>
        <w:t>See</w:t>
      </w:r>
      <w:r w:rsidRPr="002B283E">
        <w:rPr>
          <w:rFonts w:cs="Times New Roman"/>
          <w:szCs w:val="24"/>
        </w:rPr>
        <w:t xml:space="preserve"> </w:t>
      </w:r>
      <w:r w:rsidRPr="002B283E">
        <w:rPr>
          <w:rFonts w:cs="Times New Roman"/>
          <w:i/>
          <w:iCs/>
          <w:szCs w:val="24"/>
        </w:rPr>
        <w:t>M.J. ex rel. Beebe v. United States</w:t>
      </w:r>
      <w:r w:rsidRPr="002B283E">
        <w:rPr>
          <w:rFonts w:cs="Times New Roman"/>
          <w:szCs w:val="24"/>
        </w:rPr>
        <w:t xml:space="preserve">, 721 F.3d 1079, 1085 (9th Cir. 2013) (discussing nondelegable duties under Alaska law); </w:t>
      </w:r>
      <w:r w:rsidRPr="002B283E">
        <w:rPr>
          <w:rFonts w:cs="Times New Roman"/>
          <w:i/>
          <w:iCs/>
          <w:szCs w:val="24"/>
        </w:rPr>
        <w:t>Cmty. for Creative Non-Violence v. Reid</w:t>
      </w:r>
      <w:r w:rsidRPr="002B283E">
        <w:rPr>
          <w:rFonts w:cs="Times New Roman"/>
          <w:szCs w:val="24"/>
        </w:rPr>
        <w:t>, 490 U.S. 730, 751-52 (1989) (defining independent contractor).</w:t>
      </w:r>
    </w:p>
    <w:p w14:paraId="61F2632A" w14:textId="77777777" w:rsidR="006A4CD7" w:rsidRPr="002B283E" w:rsidRDefault="006A4CD7" w:rsidP="002B283E">
      <w:pPr>
        <w:autoSpaceDE w:val="0"/>
        <w:autoSpaceDN w:val="0"/>
        <w:adjustRightInd w:val="0"/>
        <w:rPr>
          <w:rFonts w:cs="Times New Roman"/>
          <w:szCs w:val="24"/>
        </w:rPr>
      </w:pPr>
    </w:p>
    <w:p w14:paraId="2AD31FEB" w14:textId="77777777" w:rsidR="006A4CD7" w:rsidRPr="002B283E" w:rsidRDefault="006A4CD7" w:rsidP="002B283E">
      <w:pPr>
        <w:autoSpaceDE w:val="0"/>
        <w:autoSpaceDN w:val="0"/>
        <w:adjustRightInd w:val="0"/>
        <w:rPr>
          <w:rFonts w:cs="Times New Roman"/>
          <w:szCs w:val="24"/>
        </w:rPr>
      </w:pPr>
    </w:p>
    <w:p w14:paraId="007C562A" w14:textId="77777777" w:rsidR="00C8117C" w:rsidRPr="002B283E" w:rsidRDefault="00C8117C" w:rsidP="002B283E">
      <w:pPr>
        <w:rPr>
          <w:rFonts w:cs="Times New Roman"/>
          <w:szCs w:val="24"/>
        </w:rPr>
      </w:pPr>
      <w:r w:rsidRPr="002B283E">
        <w:rPr>
          <w:rFonts w:cs="Times New Roman"/>
          <w:szCs w:val="24"/>
        </w:rPr>
        <w:br w:type="page"/>
      </w:r>
    </w:p>
    <w:p w14:paraId="3D0229ED" w14:textId="3B0D6CDE" w:rsidR="006A4CD7" w:rsidRPr="002B283E" w:rsidRDefault="006A4CD7" w:rsidP="002B283E">
      <w:pPr>
        <w:pStyle w:val="Heading2"/>
      </w:pPr>
      <w:bookmarkStart w:id="80" w:name="_Toc221525126"/>
      <w:r w:rsidRPr="002B283E">
        <w:lastRenderedPageBreak/>
        <w:t>4.15 G</w:t>
      </w:r>
      <w:r w:rsidR="00A34435" w:rsidRPr="002B283E">
        <w:t>eneral</w:t>
      </w:r>
      <w:r w:rsidRPr="002B283E">
        <w:t xml:space="preserve"> P</w:t>
      </w:r>
      <w:r w:rsidR="00A34435" w:rsidRPr="002B283E">
        <w:t>artnership</w:t>
      </w:r>
      <w:r w:rsidRPr="002B283E">
        <w:t>—D</w:t>
      </w:r>
      <w:r w:rsidR="00A34435" w:rsidRPr="002B283E">
        <w:t>efinition</w:t>
      </w:r>
      <w:bookmarkEnd w:id="80"/>
    </w:p>
    <w:p w14:paraId="170F4A6F" w14:textId="77777777" w:rsidR="006A4CD7" w:rsidRPr="002B283E" w:rsidRDefault="006A4CD7" w:rsidP="002B283E">
      <w:pPr>
        <w:autoSpaceDE w:val="0"/>
        <w:autoSpaceDN w:val="0"/>
        <w:adjustRightInd w:val="0"/>
        <w:rPr>
          <w:rFonts w:cs="Times New Roman"/>
          <w:szCs w:val="24"/>
        </w:rPr>
      </w:pPr>
    </w:p>
    <w:p w14:paraId="40A74164" w14:textId="4BADBAEE"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is an association of two or more persons to carry on a business as co-owners.</w:t>
      </w:r>
      <w:r w:rsidR="006E5FAF">
        <w:rPr>
          <w:rFonts w:cs="Times New Roman"/>
          <w:szCs w:val="24"/>
        </w:rPr>
        <w:t xml:space="preserve"> </w:t>
      </w:r>
      <w:r w:rsidRPr="002B283E">
        <w:rPr>
          <w:rFonts w:cs="Times New Roman"/>
          <w:szCs w:val="24"/>
        </w:rPr>
        <w:t>The members of a partnership are called partners.</w:t>
      </w:r>
    </w:p>
    <w:p w14:paraId="6B847497" w14:textId="77777777" w:rsidR="006A4CD7" w:rsidRPr="002B283E" w:rsidRDefault="006A4CD7" w:rsidP="002B283E">
      <w:pPr>
        <w:autoSpaceDE w:val="0"/>
        <w:autoSpaceDN w:val="0"/>
        <w:adjustRightInd w:val="0"/>
        <w:rPr>
          <w:rFonts w:cs="Times New Roman"/>
          <w:szCs w:val="24"/>
        </w:rPr>
      </w:pPr>
    </w:p>
    <w:p w14:paraId="5379A7D6" w14:textId="77777777" w:rsidR="00CD224B" w:rsidRPr="002B283E" w:rsidRDefault="00CD224B" w:rsidP="002B283E">
      <w:pPr>
        <w:autoSpaceDE w:val="0"/>
        <w:autoSpaceDN w:val="0"/>
        <w:adjustRightInd w:val="0"/>
        <w:rPr>
          <w:rFonts w:cs="Times New Roman"/>
          <w:szCs w:val="24"/>
        </w:rPr>
      </w:pPr>
    </w:p>
    <w:p w14:paraId="7D2894A1" w14:textId="77777777" w:rsidR="00C8117C" w:rsidRPr="002B283E" w:rsidRDefault="00C8117C" w:rsidP="002B283E">
      <w:pPr>
        <w:rPr>
          <w:rFonts w:cs="Times New Roman"/>
          <w:b/>
          <w:bCs/>
          <w:szCs w:val="24"/>
        </w:rPr>
      </w:pPr>
      <w:r w:rsidRPr="002B283E">
        <w:rPr>
          <w:rFonts w:cs="Times New Roman"/>
          <w:b/>
          <w:bCs/>
          <w:szCs w:val="24"/>
        </w:rPr>
        <w:br w:type="page"/>
      </w:r>
    </w:p>
    <w:p w14:paraId="18DAE72A" w14:textId="53352597" w:rsidR="006A4CD7" w:rsidRPr="002B283E" w:rsidRDefault="006A4CD7" w:rsidP="002B283E">
      <w:pPr>
        <w:pStyle w:val="Heading2"/>
      </w:pPr>
      <w:bookmarkStart w:id="81" w:name="_Toc221525127"/>
      <w:r w:rsidRPr="002B283E">
        <w:lastRenderedPageBreak/>
        <w:t>4.16 G</w:t>
      </w:r>
      <w:r w:rsidR="00A34435" w:rsidRPr="002B283E">
        <w:t>eneral</w:t>
      </w:r>
      <w:r w:rsidRPr="002B283E">
        <w:t xml:space="preserve"> P</w:t>
      </w:r>
      <w:r w:rsidR="00A34435" w:rsidRPr="002B283E">
        <w:t>artnership</w:t>
      </w:r>
      <w:r w:rsidRPr="002B283E">
        <w:t>—S</w:t>
      </w:r>
      <w:r w:rsidR="00A34435" w:rsidRPr="002B283E">
        <w:t>cope</w:t>
      </w:r>
      <w:r w:rsidRPr="002B283E">
        <w:t xml:space="preserve"> </w:t>
      </w:r>
      <w:r w:rsidR="00A34435" w:rsidRPr="002B283E">
        <w:t>of</w:t>
      </w:r>
      <w:r w:rsidR="00DC3111" w:rsidRPr="002B283E">
        <w:t xml:space="preserve"> </w:t>
      </w:r>
      <w:r w:rsidRPr="002B283E">
        <w:t>P</w:t>
      </w:r>
      <w:r w:rsidR="00A34435" w:rsidRPr="002B283E">
        <w:t>artnership</w:t>
      </w:r>
      <w:r w:rsidRPr="002B283E">
        <w:t xml:space="preserve"> B</w:t>
      </w:r>
      <w:r w:rsidR="00A34435" w:rsidRPr="002B283E">
        <w:t>usiness</w:t>
      </w:r>
      <w:r w:rsidRPr="002B283E">
        <w:t xml:space="preserve"> D</w:t>
      </w:r>
      <w:r w:rsidR="00A34435" w:rsidRPr="002B283E">
        <w:t>efined</w:t>
      </w:r>
      <w:bookmarkEnd w:id="81"/>
    </w:p>
    <w:p w14:paraId="20E307B5" w14:textId="77777777" w:rsidR="006A4CD7" w:rsidRPr="002B283E" w:rsidRDefault="006A4CD7" w:rsidP="002B283E">
      <w:pPr>
        <w:autoSpaceDE w:val="0"/>
        <w:autoSpaceDN w:val="0"/>
        <w:adjustRightInd w:val="0"/>
        <w:rPr>
          <w:rFonts w:cs="Times New Roman"/>
          <w:szCs w:val="24"/>
        </w:rPr>
      </w:pPr>
    </w:p>
    <w:p w14:paraId="40AB6F3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2B283E" w:rsidRDefault="006A4CD7" w:rsidP="002B283E">
      <w:pPr>
        <w:autoSpaceDE w:val="0"/>
        <w:autoSpaceDN w:val="0"/>
        <w:adjustRightInd w:val="0"/>
        <w:rPr>
          <w:rFonts w:cs="Times New Roman"/>
          <w:szCs w:val="24"/>
        </w:rPr>
      </w:pPr>
    </w:p>
    <w:p w14:paraId="5E67FD61" w14:textId="77777777" w:rsidR="00CD224B" w:rsidRPr="002B283E" w:rsidRDefault="00CD224B" w:rsidP="002B283E">
      <w:pPr>
        <w:rPr>
          <w:rFonts w:cs="Times New Roman"/>
          <w:szCs w:val="24"/>
        </w:rPr>
      </w:pPr>
    </w:p>
    <w:p w14:paraId="567048C8" w14:textId="77777777" w:rsidR="00C8117C" w:rsidRPr="002B283E" w:rsidRDefault="00C8117C" w:rsidP="002B283E">
      <w:pPr>
        <w:rPr>
          <w:rFonts w:cs="Times New Roman"/>
          <w:b/>
          <w:bCs/>
          <w:szCs w:val="24"/>
        </w:rPr>
      </w:pPr>
      <w:r w:rsidRPr="002B283E">
        <w:rPr>
          <w:rFonts w:cs="Times New Roman"/>
          <w:b/>
          <w:bCs/>
          <w:szCs w:val="24"/>
        </w:rPr>
        <w:br w:type="page"/>
      </w:r>
    </w:p>
    <w:p w14:paraId="2CA4F2A1" w14:textId="679FB4A8" w:rsidR="006A4CD7" w:rsidRPr="002B283E" w:rsidRDefault="006A4CD7" w:rsidP="002B283E">
      <w:pPr>
        <w:pStyle w:val="Heading2"/>
      </w:pPr>
      <w:bookmarkStart w:id="82" w:name="_Toc221525128"/>
      <w:r w:rsidRPr="002B283E">
        <w:lastRenderedPageBreak/>
        <w:t>4.17 G</w:t>
      </w:r>
      <w:r w:rsidR="00A34435" w:rsidRPr="002B283E">
        <w:t>eneral</w:t>
      </w:r>
      <w:r w:rsidRPr="002B283E">
        <w:t xml:space="preserve"> P</w:t>
      </w:r>
      <w:r w:rsidR="00A34435" w:rsidRPr="002B283E">
        <w:t>artnership</w:t>
      </w:r>
      <w:r w:rsidRPr="002B283E">
        <w:t>—A</w:t>
      </w:r>
      <w:r w:rsidR="00A34435" w:rsidRPr="002B283E">
        <w:t>ct</w:t>
      </w:r>
      <w:r w:rsidRPr="002B283E">
        <w:t xml:space="preserve"> </w:t>
      </w:r>
      <w:r w:rsidR="00A34435" w:rsidRPr="002B283E">
        <w:t>o</w:t>
      </w:r>
      <w:r w:rsidR="00DC3111" w:rsidRPr="002B283E">
        <w:t xml:space="preserve">f </w:t>
      </w:r>
      <w:r w:rsidRPr="002B283E">
        <w:t>P</w:t>
      </w:r>
      <w:r w:rsidR="00A34435" w:rsidRPr="002B283E">
        <w:t>artner</w:t>
      </w:r>
      <w:r w:rsidRPr="002B283E">
        <w:t xml:space="preserve"> </w:t>
      </w:r>
      <w:r w:rsidR="00A34435" w:rsidRPr="002B283E">
        <w:t xml:space="preserve">is </w:t>
      </w:r>
      <w:r w:rsidRPr="002B283E">
        <w:t>A</w:t>
      </w:r>
      <w:r w:rsidR="00A34435" w:rsidRPr="002B283E">
        <w:t>ct</w:t>
      </w:r>
      <w:r w:rsidRPr="002B283E">
        <w:t xml:space="preserve"> </w:t>
      </w:r>
      <w:r w:rsidR="00A34435" w:rsidRPr="002B283E">
        <w:t>of</w:t>
      </w:r>
      <w:r w:rsidRPr="002B283E">
        <w:t xml:space="preserve"> A</w:t>
      </w:r>
      <w:r w:rsidR="00A34435" w:rsidRPr="002B283E">
        <w:t>ll</w:t>
      </w:r>
      <w:r w:rsidRPr="002B283E">
        <w:t xml:space="preserve"> P</w:t>
      </w:r>
      <w:r w:rsidR="00A34435" w:rsidRPr="002B283E">
        <w:t>artners</w:t>
      </w:r>
      <w:bookmarkEnd w:id="82"/>
    </w:p>
    <w:p w14:paraId="4EFCD963" w14:textId="77777777" w:rsidR="006A4CD7" w:rsidRPr="002B283E" w:rsidRDefault="006A4CD7" w:rsidP="002B283E">
      <w:pPr>
        <w:autoSpaceDE w:val="0"/>
        <w:autoSpaceDN w:val="0"/>
        <w:adjustRightInd w:val="0"/>
        <w:rPr>
          <w:rFonts w:cs="Times New Roman"/>
          <w:szCs w:val="24"/>
        </w:rPr>
      </w:pPr>
    </w:p>
    <w:p w14:paraId="552C8F1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act or omission of a partner within the scope of the partnership business is the act or omission of all partners.</w:t>
      </w:r>
    </w:p>
    <w:p w14:paraId="297972CB" w14:textId="77777777" w:rsidR="006A4CD7" w:rsidRPr="002B283E" w:rsidRDefault="006A4CD7" w:rsidP="002B283E">
      <w:pPr>
        <w:autoSpaceDE w:val="0"/>
        <w:autoSpaceDN w:val="0"/>
        <w:adjustRightInd w:val="0"/>
        <w:rPr>
          <w:rFonts w:cs="Times New Roman"/>
          <w:szCs w:val="24"/>
        </w:rPr>
      </w:pPr>
    </w:p>
    <w:p w14:paraId="333593A3" w14:textId="77777777" w:rsidR="006A4CD7" w:rsidRPr="002B283E" w:rsidRDefault="006A4CD7" w:rsidP="002B283E">
      <w:pPr>
        <w:autoSpaceDE w:val="0"/>
        <w:autoSpaceDN w:val="0"/>
        <w:adjustRightInd w:val="0"/>
        <w:rPr>
          <w:rFonts w:cs="Times New Roman"/>
          <w:szCs w:val="24"/>
        </w:rPr>
      </w:pPr>
    </w:p>
    <w:p w14:paraId="296DAF67" w14:textId="77777777" w:rsidR="00C8117C" w:rsidRPr="002B283E" w:rsidRDefault="00C8117C" w:rsidP="002B283E">
      <w:pPr>
        <w:rPr>
          <w:rFonts w:cs="Times New Roman"/>
          <w:b/>
          <w:bCs/>
          <w:szCs w:val="24"/>
        </w:rPr>
      </w:pPr>
      <w:r w:rsidRPr="002B283E">
        <w:rPr>
          <w:rFonts w:cs="Times New Roman"/>
          <w:b/>
          <w:bCs/>
          <w:szCs w:val="24"/>
        </w:rPr>
        <w:br w:type="page"/>
      </w:r>
    </w:p>
    <w:p w14:paraId="6FEEDE6D" w14:textId="603906BF" w:rsidR="006A4CD7" w:rsidRPr="002B283E" w:rsidRDefault="006A4CD7" w:rsidP="002B283E">
      <w:pPr>
        <w:pStyle w:val="Heading2"/>
      </w:pPr>
      <w:bookmarkStart w:id="83" w:name="_Toc221525129"/>
      <w:r w:rsidRPr="002B283E">
        <w:lastRenderedPageBreak/>
        <w:t>4.18 G</w:t>
      </w:r>
      <w:r w:rsidR="00A34435" w:rsidRPr="002B283E">
        <w:t>eneral</w:t>
      </w:r>
      <w:r w:rsidRPr="002B283E">
        <w:t xml:space="preserve"> P</w:t>
      </w:r>
      <w:r w:rsidR="00A34435" w:rsidRPr="002B283E">
        <w:t>artnership</w:t>
      </w:r>
      <w:r w:rsidRPr="002B283E">
        <w:t>—L</w:t>
      </w:r>
      <w:r w:rsidR="00496196" w:rsidRPr="002B283E">
        <w:t>iability</w:t>
      </w:r>
      <w:r w:rsidRPr="002B283E">
        <w:t xml:space="preserve"> </w:t>
      </w:r>
      <w:r w:rsidR="00496196" w:rsidRPr="002B283E">
        <w:t>of</w:t>
      </w:r>
      <w:r w:rsidRPr="002B283E">
        <w:t xml:space="preserve"> P</w:t>
      </w:r>
      <w:r w:rsidR="00496196" w:rsidRPr="002B283E">
        <w:t>artner</w:t>
      </w:r>
      <w:r w:rsidRPr="002B283E">
        <w:t>—N</w:t>
      </w:r>
      <w:r w:rsidR="00496196" w:rsidRPr="002B283E">
        <w:t>o</w:t>
      </w:r>
      <w:r w:rsidRPr="002B283E">
        <w:t xml:space="preserve"> I</w:t>
      </w:r>
      <w:r w:rsidR="00496196" w:rsidRPr="002B283E">
        <w:t>ssue</w:t>
      </w:r>
      <w:r w:rsidRPr="002B283E">
        <w:t xml:space="preserve"> </w:t>
      </w:r>
      <w:r w:rsidR="00496196" w:rsidRPr="002B283E">
        <w:t>as</w:t>
      </w:r>
      <w:r w:rsidRPr="002B283E">
        <w:t xml:space="preserve"> </w:t>
      </w:r>
      <w:r w:rsidR="00496196" w:rsidRPr="002B283E">
        <w:t>to</w:t>
      </w:r>
      <w:r w:rsidRPr="002B283E">
        <w:t xml:space="preserve"> P</w:t>
      </w:r>
      <w:r w:rsidR="00496196" w:rsidRPr="002B283E">
        <w:t>artnership</w:t>
      </w:r>
      <w:r w:rsidRPr="002B283E">
        <w:t>, A</w:t>
      </w:r>
      <w:r w:rsidR="00496196" w:rsidRPr="002B283E">
        <w:t>gency</w:t>
      </w:r>
      <w:r w:rsidRPr="002B283E">
        <w:t xml:space="preserve">, </w:t>
      </w:r>
      <w:r w:rsidR="00496196" w:rsidRPr="002B283E">
        <w:t>or</w:t>
      </w:r>
      <w:r w:rsidRPr="002B283E">
        <w:t xml:space="preserve"> S</w:t>
      </w:r>
      <w:r w:rsidR="00496196" w:rsidRPr="002B283E">
        <w:t>cope</w:t>
      </w:r>
      <w:r w:rsidRPr="002B283E">
        <w:t xml:space="preserve"> </w:t>
      </w:r>
      <w:r w:rsidR="00496196" w:rsidRPr="002B283E">
        <w:t>of</w:t>
      </w:r>
      <w:r w:rsidRPr="002B283E">
        <w:t xml:space="preserve"> A</w:t>
      </w:r>
      <w:r w:rsidR="00496196" w:rsidRPr="002B283E">
        <w:t>uthority</w:t>
      </w:r>
      <w:bookmarkEnd w:id="83"/>
    </w:p>
    <w:p w14:paraId="39D7FDE6" w14:textId="77777777" w:rsidR="006A4CD7" w:rsidRPr="002B283E" w:rsidRDefault="006A4CD7" w:rsidP="002B283E">
      <w:pPr>
        <w:autoSpaceDE w:val="0"/>
        <w:autoSpaceDN w:val="0"/>
        <w:adjustRightInd w:val="0"/>
        <w:rPr>
          <w:rFonts w:cs="Times New Roman"/>
          <w:szCs w:val="24"/>
        </w:rPr>
      </w:pPr>
    </w:p>
    <w:p w14:paraId="2E34359A" w14:textId="22B31D8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w:t>
      </w:r>
      <w:r w:rsidRPr="002B283E">
        <w:rPr>
          <w:rFonts w:cs="Times New Roman"/>
          <w:i/>
          <w:iCs/>
          <w:szCs w:val="24"/>
          <w:u w:val="single"/>
        </w:rPr>
        <w:t>names of partners</w:t>
      </w:r>
      <w:r w:rsidRPr="002B283E">
        <w:rPr>
          <w:rFonts w:cs="Times New Roman"/>
          <w:szCs w:val="24"/>
        </w:rPr>
        <w:t>] are partners. [</w:t>
      </w:r>
      <w:r w:rsidRPr="002B283E">
        <w:rPr>
          <w:rFonts w:cs="Times New Roman"/>
          <w:i/>
          <w:iCs/>
          <w:szCs w:val="24"/>
          <w:u w:val="single"/>
        </w:rPr>
        <w:t>Name of partner</w:t>
      </w:r>
      <w:r w:rsidRPr="002B283E">
        <w:rPr>
          <w:rFonts w:cs="Times New Roman"/>
          <w:szCs w:val="24"/>
        </w:rPr>
        <w:t>] was acting on behalf of the partnership and within the scope of authority. Therefore, if you decide for the plaintiff, your verdict must be against all of the partners.</w:t>
      </w:r>
    </w:p>
    <w:p w14:paraId="23F90EA4" w14:textId="77777777" w:rsidR="006A4CD7" w:rsidRPr="002B283E" w:rsidRDefault="006A4CD7" w:rsidP="002B283E">
      <w:pPr>
        <w:autoSpaceDE w:val="0"/>
        <w:autoSpaceDN w:val="0"/>
        <w:adjustRightInd w:val="0"/>
        <w:rPr>
          <w:rFonts w:cs="Times New Roman"/>
          <w:szCs w:val="24"/>
        </w:rPr>
      </w:pPr>
    </w:p>
    <w:p w14:paraId="24B37E2D" w14:textId="77777777" w:rsidR="006A4CD7" w:rsidRPr="002B283E" w:rsidRDefault="006A4CD7" w:rsidP="002B283E">
      <w:pPr>
        <w:autoSpaceDE w:val="0"/>
        <w:autoSpaceDN w:val="0"/>
        <w:adjustRightInd w:val="0"/>
        <w:rPr>
          <w:rFonts w:cs="Times New Roman"/>
          <w:szCs w:val="24"/>
        </w:rPr>
      </w:pPr>
    </w:p>
    <w:p w14:paraId="14FC3A99" w14:textId="77777777" w:rsidR="00C8117C" w:rsidRPr="002B283E" w:rsidRDefault="00C8117C" w:rsidP="002B283E">
      <w:pPr>
        <w:rPr>
          <w:rFonts w:cs="Times New Roman"/>
          <w:b/>
          <w:bCs/>
          <w:szCs w:val="24"/>
        </w:rPr>
      </w:pPr>
      <w:r w:rsidRPr="002B283E">
        <w:rPr>
          <w:rFonts w:cs="Times New Roman"/>
          <w:b/>
          <w:bCs/>
          <w:szCs w:val="24"/>
        </w:rPr>
        <w:br w:type="page"/>
      </w:r>
    </w:p>
    <w:p w14:paraId="2B60C68A" w14:textId="18AFADC8" w:rsidR="006A4CD7" w:rsidRPr="002B283E" w:rsidRDefault="006A4CD7" w:rsidP="002B283E">
      <w:pPr>
        <w:pStyle w:val="Heading2"/>
      </w:pPr>
      <w:bookmarkStart w:id="84" w:name="_Toc221525130"/>
      <w:r w:rsidRPr="002B283E">
        <w:lastRenderedPageBreak/>
        <w:t>4.19 P</w:t>
      </w:r>
      <w:r w:rsidR="00496196" w:rsidRPr="002B283E">
        <w:t>artnership</w:t>
      </w:r>
      <w:r w:rsidRPr="002B283E">
        <w:t>—E</w:t>
      </w:r>
      <w:r w:rsidR="00496196" w:rsidRPr="002B283E">
        <w:t>xistence</w:t>
      </w:r>
      <w:r w:rsidRPr="002B283E">
        <w:t xml:space="preserve"> A</w:t>
      </w:r>
      <w:r w:rsidR="00496196" w:rsidRPr="002B283E">
        <w:t>dmitted</w:t>
      </w:r>
      <w:r w:rsidRPr="002B283E">
        <w:t>—</w:t>
      </w:r>
      <w:r w:rsidR="00496196" w:rsidRPr="002B283E">
        <w:t>Scope of</w:t>
      </w:r>
      <w:r w:rsidR="00DC3111" w:rsidRPr="002B283E">
        <w:t xml:space="preserve"> </w:t>
      </w:r>
      <w:r w:rsidRPr="002B283E">
        <w:t>P</w:t>
      </w:r>
      <w:r w:rsidR="00496196" w:rsidRPr="002B283E">
        <w:t>artnership</w:t>
      </w:r>
      <w:r w:rsidRPr="002B283E">
        <w:t xml:space="preserve"> B</w:t>
      </w:r>
      <w:r w:rsidR="00496196" w:rsidRPr="002B283E">
        <w:t>usiness</w:t>
      </w:r>
      <w:r w:rsidRPr="002B283E">
        <w:t xml:space="preserve"> </w:t>
      </w:r>
      <w:r w:rsidR="00496196" w:rsidRPr="002B283E">
        <w:t xml:space="preserve">in </w:t>
      </w:r>
      <w:r w:rsidRPr="002B283E">
        <w:t>I</w:t>
      </w:r>
      <w:r w:rsidR="00496196" w:rsidRPr="002B283E">
        <w:t>ssue</w:t>
      </w:r>
      <w:r w:rsidRPr="002B283E">
        <w:t>—E</w:t>
      </w:r>
      <w:r w:rsidR="00496196" w:rsidRPr="002B283E">
        <w:t>ffect</w:t>
      </w:r>
      <w:bookmarkEnd w:id="84"/>
    </w:p>
    <w:p w14:paraId="3AAD767F" w14:textId="77777777" w:rsidR="006A4CD7" w:rsidRPr="002B283E" w:rsidRDefault="006A4CD7" w:rsidP="002B283E">
      <w:pPr>
        <w:autoSpaceDE w:val="0"/>
        <w:autoSpaceDN w:val="0"/>
        <w:adjustRightInd w:val="0"/>
        <w:rPr>
          <w:rFonts w:cs="Times New Roman"/>
          <w:szCs w:val="24"/>
        </w:rPr>
      </w:pPr>
    </w:p>
    <w:p w14:paraId="2BA7C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 [</w:t>
      </w:r>
      <w:r w:rsidRPr="002B283E">
        <w:rPr>
          <w:rFonts w:cs="Times New Roman"/>
          <w:i/>
          <w:iCs/>
          <w:szCs w:val="24"/>
          <w:u w:val="single"/>
        </w:rPr>
        <w:t>name of nonacting partner</w:t>
      </w:r>
      <w:r w:rsidRPr="002B283E">
        <w:rPr>
          <w:rFonts w:cs="Times New Roman"/>
          <w:szCs w:val="24"/>
        </w:rPr>
        <w:t>] are partners.</w:t>
      </w:r>
    </w:p>
    <w:p w14:paraId="5DD2E79C" w14:textId="77777777" w:rsidR="006A4CD7" w:rsidRPr="002B283E" w:rsidRDefault="006A4CD7" w:rsidP="002B283E">
      <w:pPr>
        <w:autoSpaceDE w:val="0"/>
        <w:autoSpaceDN w:val="0"/>
        <w:adjustRightInd w:val="0"/>
        <w:rPr>
          <w:rFonts w:cs="Times New Roman"/>
          <w:szCs w:val="24"/>
        </w:rPr>
      </w:pPr>
    </w:p>
    <w:p w14:paraId="7F0C42E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w:t>
      </w:r>
      <w:r w:rsidRPr="002B283E">
        <w:rPr>
          <w:rFonts w:cs="Times New Roman"/>
          <w:i/>
          <w:iCs/>
          <w:szCs w:val="24"/>
          <w:u w:val="single"/>
        </w:rPr>
        <w:t>name of acting partner</w:t>
      </w:r>
      <w:r w:rsidRPr="002B283E">
        <w:rPr>
          <w:rFonts w:cs="Times New Roman"/>
          <w:szCs w:val="24"/>
        </w:rPr>
        <w:t>] was acting within the scope of the partnership business.</w:t>
      </w:r>
    </w:p>
    <w:p w14:paraId="146EB192" w14:textId="77777777" w:rsidR="006A4CD7" w:rsidRPr="002B283E" w:rsidRDefault="006A4CD7" w:rsidP="002B283E">
      <w:pPr>
        <w:autoSpaceDE w:val="0"/>
        <w:autoSpaceDN w:val="0"/>
        <w:adjustRightInd w:val="0"/>
        <w:rPr>
          <w:rFonts w:cs="Times New Roman"/>
          <w:szCs w:val="24"/>
        </w:rPr>
      </w:pPr>
    </w:p>
    <w:p w14:paraId="759EDD0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the defendant [</w:t>
      </w:r>
      <w:r w:rsidRPr="002B283E">
        <w:rPr>
          <w:rFonts w:cs="Times New Roman"/>
          <w:i/>
          <w:iCs/>
          <w:szCs w:val="24"/>
          <w:u w:val="single"/>
        </w:rPr>
        <w:t>name of acting partner</w:t>
      </w:r>
      <w:r w:rsidRPr="002B283E">
        <w:rPr>
          <w:rFonts w:cs="Times New Roman"/>
          <w:szCs w:val="24"/>
        </w:rPr>
        <w:t>] was acting within the scope of the partnership business, and if you find against [</w:t>
      </w:r>
      <w:r w:rsidRPr="002B283E">
        <w:rPr>
          <w:rFonts w:cs="Times New Roman"/>
          <w:i/>
          <w:iCs/>
          <w:szCs w:val="24"/>
          <w:u w:val="single"/>
        </w:rPr>
        <w:t>name of acting partner</w:t>
      </w:r>
      <w:r w:rsidRPr="002B283E">
        <w:rPr>
          <w:rFonts w:cs="Times New Roman"/>
          <w:szCs w:val="24"/>
        </w:rPr>
        <w:t>], then you must find against [both] [all] defendants.</w:t>
      </w:r>
    </w:p>
    <w:p w14:paraId="6A91DE62" w14:textId="77777777" w:rsidR="006A4CD7" w:rsidRPr="002B283E" w:rsidRDefault="006A4CD7" w:rsidP="002B283E">
      <w:pPr>
        <w:autoSpaceDE w:val="0"/>
        <w:autoSpaceDN w:val="0"/>
        <w:adjustRightInd w:val="0"/>
        <w:rPr>
          <w:rFonts w:cs="Times New Roman"/>
          <w:szCs w:val="24"/>
        </w:rPr>
      </w:pPr>
    </w:p>
    <w:p w14:paraId="790D40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name of acting partner</w:t>
      </w:r>
      <w:r w:rsidRPr="002B283E">
        <w:rPr>
          <w:rFonts w:cs="Times New Roman"/>
          <w:szCs w:val="24"/>
        </w:rPr>
        <w:t>], then you must find for [all] [both] defendants.</w:t>
      </w:r>
    </w:p>
    <w:p w14:paraId="0C65B6C2" w14:textId="77777777" w:rsidR="006A4CD7" w:rsidRPr="002B283E" w:rsidRDefault="006A4CD7" w:rsidP="002B283E">
      <w:pPr>
        <w:autoSpaceDE w:val="0"/>
        <w:autoSpaceDN w:val="0"/>
        <w:adjustRightInd w:val="0"/>
        <w:rPr>
          <w:rFonts w:cs="Times New Roman"/>
          <w:szCs w:val="24"/>
        </w:rPr>
      </w:pPr>
    </w:p>
    <w:p w14:paraId="3520E1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do not find that [</w:t>
      </w:r>
      <w:r w:rsidRPr="002B283E">
        <w:rPr>
          <w:rFonts w:cs="Times New Roman"/>
          <w:i/>
          <w:iCs/>
          <w:szCs w:val="24"/>
          <w:u w:val="single"/>
        </w:rPr>
        <w:t>name of acting partner</w:t>
      </w:r>
      <w:r w:rsidRPr="002B283E">
        <w:rPr>
          <w:rFonts w:cs="Times New Roman"/>
          <w:szCs w:val="24"/>
        </w:rPr>
        <w:t>] was acting within the scope of the partnership business, then you must find for the defendant [</w:t>
      </w:r>
      <w:r w:rsidRPr="002B283E">
        <w:rPr>
          <w:rFonts w:cs="Times New Roman"/>
          <w:i/>
          <w:iCs/>
          <w:szCs w:val="24"/>
          <w:u w:val="single"/>
        </w:rPr>
        <w:t>name of nonacting partner</w:t>
      </w:r>
      <w:r w:rsidRPr="002B283E">
        <w:rPr>
          <w:rFonts w:cs="Times New Roman"/>
          <w:szCs w:val="24"/>
        </w:rPr>
        <w:t>].</w:t>
      </w:r>
    </w:p>
    <w:p w14:paraId="496E5DF8" w14:textId="77777777" w:rsidR="006A4CD7" w:rsidRPr="002B283E" w:rsidRDefault="006A4CD7" w:rsidP="002B283E">
      <w:pPr>
        <w:autoSpaceDE w:val="0"/>
        <w:autoSpaceDN w:val="0"/>
        <w:adjustRightInd w:val="0"/>
        <w:rPr>
          <w:rFonts w:cs="Times New Roman"/>
          <w:szCs w:val="24"/>
        </w:rPr>
      </w:pPr>
    </w:p>
    <w:p w14:paraId="2A17C764" w14:textId="77777777" w:rsidR="006A4CD7" w:rsidRPr="002B283E" w:rsidRDefault="006A4CD7" w:rsidP="002B283E">
      <w:pPr>
        <w:autoSpaceDE w:val="0"/>
        <w:autoSpaceDN w:val="0"/>
        <w:adjustRightInd w:val="0"/>
        <w:rPr>
          <w:rFonts w:cs="Times New Roman"/>
          <w:szCs w:val="24"/>
        </w:rPr>
      </w:pPr>
    </w:p>
    <w:p w14:paraId="6D490810" w14:textId="77777777" w:rsidR="00C8117C" w:rsidRPr="002B283E" w:rsidRDefault="00C8117C" w:rsidP="002B283E">
      <w:pPr>
        <w:rPr>
          <w:rFonts w:cs="Times New Roman"/>
          <w:b/>
          <w:bCs/>
          <w:szCs w:val="24"/>
        </w:rPr>
      </w:pPr>
      <w:r w:rsidRPr="002B283E">
        <w:rPr>
          <w:rFonts w:cs="Times New Roman"/>
          <w:b/>
          <w:bCs/>
          <w:szCs w:val="24"/>
        </w:rPr>
        <w:br w:type="page"/>
      </w:r>
    </w:p>
    <w:p w14:paraId="69ACC556" w14:textId="37697DB6" w:rsidR="006A4CD7" w:rsidRPr="002B283E" w:rsidRDefault="006A4CD7" w:rsidP="002B283E">
      <w:pPr>
        <w:pStyle w:val="Heading2"/>
      </w:pPr>
      <w:bookmarkStart w:id="85" w:name="_Toc221525131"/>
      <w:r w:rsidRPr="002B283E">
        <w:lastRenderedPageBreak/>
        <w:t>4.20 P</w:t>
      </w:r>
      <w:r w:rsidR="00496196" w:rsidRPr="002B283E">
        <w:t>artnership</w:t>
      </w:r>
      <w:r w:rsidRPr="002B283E">
        <w:t>—E</w:t>
      </w:r>
      <w:r w:rsidR="00496196" w:rsidRPr="002B283E">
        <w:t>xistence</w:t>
      </w:r>
      <w:r w:rsidRPr="002B283E">
        <w:t xml:space="preserve"> </w:t>
      </w:r>
      <w:r w:rsidR="00496196" w:rsidRPr="002B283E">
        <w:t>of Partnership in Issue—Effect</w:t>
      </w:r>
      <w:bookmarkEnd w:id="85"/>
      <w:r w:rsidRPr="002B283E">
        <w:cr/>
        <w:t xml:space="preserve"> </w:t>
      </w:r>
    </w:p>
    <w:p w14:paraId="241B65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defendants [</w:t>
      </w:r>
      <w:r w:rsidRPr="002B283E">
        <w:rPr>
          <w:rFonts w:cs="Times New Roman"/>
          <w:i/>
          <w:iCs/>
          <w:szCs w:val="24"/>
          <w:u w:val="single"/>
        </w:rPr>
        <w:t>names of nonacting partners</w:t>
      </w:r>
      <w:r w:rsidRPr="002B283E">
        <w:rPr>
          <w:rFonts w:cs="Times New Roman"/>
          <w:szCs w:val="24"/>
        </w:rPr>
        <w:t>] are sued as partners.</w:t>
      </w:r>
    </w:p>
    <w:p w14:paraId="4A0D4515" w14:textId="77777777" w:rsidR="006A4CD7" w:rsidRPr="002B283E" w:rsidRDefault="006A4CD7" w:rsidP="002B283E">
      <w:pPr>
        <w:autoSpaceDE w:val="0"/>
        <w:autoSpaceDN w:val="0"/>
        <w:adjustRightInd w:val="0"/>
        <w:rPr>
          <w:rFonts w:cs="Times New Roman"/>
          <w:szCs w:val="24"/>
        </w:rPr>
      </w:pPr>
    </w:p>
    <w:p w14:paraId="7A20005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any partnership existed.</w:t>
      </w:r>
    </w:p>
    <w:p w14:paraId="38BA9912" w14:textId="77777777" w:rsidR="006A4CD7" w:rsidRPr="002B283E" w:rsidRDefault="006A4CD7" w:rsidP="002B283E">
      <w:pPr>
        <w:autoSpaceDE w:val="0"/>
        <w:autoSpaceDN w:val="0"/>
        <w:adjustRightInd w:val="0"/>
        <w:rPr>
          <w:rFonts w:cs="Times New Roman"/>
          <w:szCs w:val="24"/>
        </w:rPr>
      </w:pPr>
    </w:p>
    <w:p w14:paraId="698F24A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acting partner</w:t>
      </w:r>
      <w:r w:rsidRPr="002B283E">
        <w:rPr>
          <w:rFonts w:cs="Times New Roman"/>
          <w:szCs w:val="24"/>
        </w:rPr>
        <w:t>] and [</w:t>
      </w:r>
      <w:r w:rsidRPr="002B283E">
        <w:rPr>
          <w:rFonts w:cs="Times New Roman"/>
          <w:i/>
          <w:iCs/>
          <w:szCs w:val="24"/>
          <w:u w:val="single"/>
        </w:rPr>
        <w:t>names of nonacting partners</w:t>
      </w:r>
      <w:r w:rsidRPr="002B283E">
        <w:rPr>
          <w:rFonts w:cs="Times New Roman"/>
          <w:szCs w:val="24"/>
        </w:rPr>
        <w:t>] were partners and that [</w:t>
      </w:r>
      <w:r w:rsidRPr="002B283E">
        <w:rPr>
          <w:rFonts w:cs="Times New Roman"/>
          <w:i/>
          <w:iCs/>
          <w:szCs w:val="24"/>
          <w:u w:val="single"/>
        </w:rPr>
        <w:t>acting partner</w:t>
      </w:r>
      <w:r w:rsidRPr="002B283E">
        <w:rPr>
          <w:rFonts w:cs="Times New Roman"/>
          <w:szCs w:val="24"/>
        </w:rPr>
        <w:t>] was acting within the scope of the partnership business, and if you find against [</w:t>
      </w:r>
      <w:r w:rsidRPr="002B283E">
        <w:rPr>
          <w:rFonts w:cs="Times New Roman"/>
          <w:i/>
          <w:iCs/>
          <w:szCs w:val="24"/>
          <w:u w:val="single"/>
        </w:rPr>
        <w:t>acting partner</w:t>
      </w:r>
      <w:r w:rsidRPr="002B283E">
        <w:rPr>
          <w:rFonts w:cs="Times New Roman"/>
          <w:szCs w:val="24"/>
        </w:rPr>
        <w:t>], then you must find against [both] [all] defendants.</w:t>
      </w:r>
    </w:p>
    <w:p w14:paraId="337ED239" w14:textId="77777777" w:rsidR="006A4CD7" w:rsidRPr="002B283E" w:rsidRDefault="006A4CD7" w:rsidP="002B283E">
      <w:pPr>
        <w:autoSpaceDE w:val="0"/>
        <w:autoSpaceDN w:val="0"/>
        <w:adjustRightInd w:val="0"/>
        <w:rPr>
          <w:rFonts w:cs="Times New Roman"/>
          <w:szCs w:val="24"/>
        </w:rPr>
      </w:pPr>
    </w:p>
    <w:p w14:paraId="23539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either find there was no partnership or that [</w:t>
      </w:r>
      <w:r w:rsidRPr="002B283E">
        <w:rPr>
          <w:rFonts w:cs="Times New Roman"/>
          <w:i/>
          <w:iCs/>
          <w:szCs w:val="24"/>
          <w:u w:val="single"/>
        </w:rPr>
        <w:t>name of acting partner</w:t>
      </w:r>
      <w:r w:rsidRPr="002B283E">
        <w:rPr>
          <w:rFonts w:cs="Times New Roman"/>
          <w:szCs w:val="24"/>
        </w:rPr>
        <w:t>] was not acting within the scope of the partnership business, then, in either case, you must find for the defendants [</w:t>
      </w:r>
      <w:r w:rsidRPr="002B283E">
        <w:rPr>
          <w:rFonts w:cs="Times New Roman"/>
          <w:i/>
          <w:iCs/>
          <w:szCs w:val="24"/>
          <w:u w:val="single"/>
        </w:rPr>
        <w:t>names of nonacting partners</w:t>
      </w:r>
      <w:r w:rsidRPr="002B283E">
        <w:rPr>
          <w:rFonts w:cs="Times New Roman"/>
          <w:szCs w:val="24"/>
        </w:rPr>
        <w:t>].</w:t>
      </w:r>
    </w:p>
    <w:p w14:paraId="581D736A" w14:textId="77777777" w:rsidR="006A4CD7" w:rsidRPr="002B283E" w:rsidRDefault="006A4CD7" w:rsidP="002B283E">
      <w:pPr>
        <w:autoSpaceDE w:val="0"/>
        <w:autoSpaceDN w:val="0"/>
        <w:adjustRightInd w:val="0"/>
        <w:rPr>
          <w:rFonts w:cs="Times New Roman"/>
          <w:szCs w:val="24"/>
        </w:rPr>
      </w:pPr>
    </w:p>
    <w:p w14:paraId="7CE19A1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acting partner</w:t>
      </w:r>
      <w:r w:rsidRPr="002B283E">
        <w:rPr>
          <w:rFonts w:cs="Times New Roman"/>
          <w:szCs w:val="24"/>
        </w:rPr>
        <w:t>], then you must find for [both] [all] of the defendants.</w:t>
      </w:r>
    </w:p>
    <w:p w14:paraId="75E297B0" w14:textId="77777777" w:rsidR="00CD224B" w:rsidRPr="002B283E" w:rsidRDefault="00CD224B" w:rsidP="002B283E">
      <w:pPr>
        <w:rPr>
          <w:rFonts w:cs="Times New Roman"/>
          <w:szCs w:val="24"/>
        </w:rPr>
      </w:pPr>
    </w:p>
    <w:p w14:paraId="10E221AB" w14:textId="77777777" w:rsidR="00CD224B" w:rsidRPr="002B283E" w:rsidRDefault="00CD224B" w:rsidP="002B283E">
      <w:pPr>
        <w:rPr>
          <w:rFonts w:cs="Times New Roman"/>
          <w:szCs w:val="24"/>
        </w:rPr>
      </w:pPr>
    </w:p>
    <w:p w14:paraId="4E3251CC" w14:textId="776FAB5F" w:rsidR="006A4CD7" w:rsidRPr="002B283E" w:rsidRDefault="006A4CD7" w:rsidP="002B283E">
      <w:pPr>
        <w:pStyle w:val="Heading1"/>
        <w:spacing w:before="0" w:line="240" w:lineRule="auto"/>
      </w:pPr>
      <w:r w:rsidRPr="002B283E">
        <w:br w:type="page"/>
      </w:r>
      <w:bookmarkStart w:id="86" w:name="_Toc221525132"/>
      <w:r w:rsidRPr="002B283E">
        <w:lastRenderedPageBreak/>
        <w:t>5</w:t>
      </w:r>
      <w:r w:rsidR="00A87F6E">
        <w:t xml:space="preserve">. </w:t>
      </w:r>
      <w:r w:rsidRPr="002B283E">
        <w:t>DAMAGES</w:t>
      </w:r>
      <w:bookmarkEnd w:id="86"/>
    </w:p>
    <w:p w14:paraId="7B78CD2E" w14:textId="77777777" w:rsidR="006A4CD7" w:rsidRPr="002B283E" w:rsidRDefault="006A4CD7" w:rsidP="002B283E">
      <w:pPr>
        <w:autoSpaceDE w:val="0"/>
        <w:autoSpaceDN w:val="0"/>
        <w:adjustRightInd w:val="0"/>
        <w:rPr>
          <w:rFonts w:cs="Times New Roman"/>
          <w:szCs w:val="24"/>
        </w:rPr>
      </w:pPr>
    </w:p>
    <w:p w14:paraId="64646840"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7B0059E8" w14:textId="77777777" w:rsidR="006A4CD7" w:rsidRPr="002B283E" w:rsidRDefault="006A4CD7" w:rsidP="002B283E">
      <w:pPr>
        <w:autoSpaceDE w:val="0"/>
        <w:autoSpaceDN w:val="0"/>
        <w:adjustRightInd w:val="0"/>
        <w:rPr>
          <w:rFonts w:cs="Times New Roman"/>
          <w:szCs w:val="24"/>
        </w:rPr>
      </w:pPr>
    </w:p>
    <w:p w14:paraId="5786006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5.1</w:t>
      </w:r>
      <w:r w:rsidRPr="002B283E">
        <w:rPr>
          <w:rFonts w:cs="Times New Roman"/>
          <w:szCs w:val="24"/>
        </w:rPr>
        <w:tab/>
        <w:t>Damages—Proof</w:t>
      </w:r>
    </w:p>
    <w:p w14:paraId="4AC9870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5.2</w:t>
      </w:r>
      <w:r w:rsidRPr="002B283E">
        <w:rPr>
          <w:rFonts w:cs="Times New Roman"/>
          <w:szCs w:val="24"/>
        </w:rPr>
        <w:tab/>
        <w:t>Measures of Types of Damages</w:t>
      </w:r>
    </w:p>
    <w:p w14:paraId="304E89D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5.3</w:t>
      </w:r>
      <w:r w:rsidRPr="002B283E">
        <w:rPr>
          <w:rFonts w:cs="Times New Roman"/>
          <w:szCs w:val="24"/>
        </w:rPr>
        <w:tab/>
        <w:t>Damages—Mitigation</w:t>
      </w:r>
    </w:p>
    <w:p w14:paraId="500BA7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5.4</w:t>
      </w:r>
      <w:r w:rsidRPr="002B283E">
        <w:rPr>
          <w:rFonts w:cs="Times New Roman"/>
          <w:szCs w:val="24"/>
        </w:rPr>
        <w:tab/>
        <w:t>Damages Arising in the Future—Discount to Present Cash Value</w:t>
      </w:r>
    </w:p>
    <w:p w14:paraId="6A162C5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5.5</w:t>
      </w:r>
      <w:r w:rsidRPr="002B283E">
        <w:rPr>
          <w:rFonts w:cs="Times New Roman"/>
          <w:szCs w:val="24"/>
        </w:rPr>
        <w:tab/>
        <w:t>Punitive Damages</w:t>
      </w:r>
    </w:p>
    <w:p w14:paraId="6FAF0F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5.6</w:t>
      </w:r>
      <w:r w:rsidRPr="002B283E">
        <w:rPr>
          <w:rFonts w:cs="Times New Roman"/>
          <w:szCs w:val="24"/>
        </w:rPr>
        <w:tab/>
        <w:t>Nominal Damages</w:t>
      </w:r>
    </w:p>
    <w:p w14:paraId="29E4D19D" w14:textId="77777777" w:rsidR="006A4CD7" w:rsidRPr="002B283E" w:rsidRDefault="006A4CD7" w:rsidP="002B283E">
      <w:pPr>
        <w:autoSpaceDE w:val="0"/>
        <w:autoSpaceDN w:val="0"/>
        <w:adjustRightInd w:val="0"/>
        <w:rPr>
          <w:rFonts w:cs="Times New Roman"/>
          <w:szCs w:val="24"/>
        </w:rPr>
      </w:pPr>
    </w:p>
    <w:p w14:paraId="03F63ACA"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AFAA6BE" w14:textId="77777777" w:rsidR="006A4CD7" w:rsidRPr="002B283E" w:rsidRDefault="006A4CD7" w:rsidP="002B283E">
      <w:pPr>
        <w:autoSpaceDE w:val="0"/>
        <w:autoSpaceDN w:val="0"/>
        <w:adjustRightInd w:val="0"/>
        <w:rPr>
          <w:rFonts w:cs="Times New Roman"/>
          <w:szCs w:val="24"/>
        </w:rPr>
      </w:pPr>
    </w:p>
    <w:p w14:paraId="0CDB9A0C" w14:textId="77777777" w:rsidR="006A4CD7" w:rsidRPr="002B283E" w:rsidRDefault="006A4CD7" w:rsidP="002B283E">
      <w:pPr>
        <w:autoSpaceDE w:val="0"/>
        <w:autoSpaceDN w:val="0"/>
        <w:adjustRightInd w:val="0"/>
        <w:rPr>
          <w:rFonts w:cs="Times New Roman"/>
          <w:szCs w:val="24"/>
        </w:rPr>
      </w:pPr>
    </w:p>
    <w:p w14:paraId="5FB17BB9" w14:textId="27987B78" w:rsidR="006A4CD7" w:rsidRPr="002B283E" w:rsidRDefault="006A4CD7" w:rsidP="002B283E">
      <w:pPr>
        <w:pStyle w:val="Heading2"/>
      </w:pPr>
      <w:r w:rsidRPr="002B283E">
        <w:br w:type="page"/>
      </w:r>
      <w:bookmarkStart w:id="87" w:name="_Toc221525133"/>
      <w:r w:rsidRPr="002B283E">
        <w:lastRenderedPageBreak/>
        <w:t>5.1 D</w:t>
      </w:r>
      <w:r w:rsidR="00496196" w:rsidRPr="002B283E">
        <w:t>amages</w:t>
      </w:r>
      <w:r w:rsidRPr="002B283E">
        <w:t>—P</w:t>
      </w:r>
      <w:r w:rsidR="00496196" w:rsidRPr="002B283E">
        <w:t>roof</w:t>
      </w:r>
      <w:bookmarkEnd w:id="87"/>
    </w:p>
    <w:p w14:paraId="36E45F58" w14:textId="77777777" w:rsidR="006A4CD7" w:rsidRPr="002B283E" w:rsidRDefault="006A4CD7" w:rsidP="002B283E">
      <w:pPr>
        <w:autoSpaceDE w:val="0"/>
        <w:autoSpaceDN w:val="0"/>
        <w:adjustRightInd w:val="0"/>
        <w:rPr>
          <w:rFonts w:cs="Times New Roman"/>
          <w:szCs w:val="24"/>
        </w:rPr>
      </w:pPr>
    </w:p>
    <w:p w14:paraId="722A8576" w14:textId="4C807F9C" w:rsidR="006A4CD7" w:rsidRPr="002B283E" w:rsidRDefault="006A4CD7" w:rsidP="002B283E">
      <w:pPr>
        <w:autoSpaceDE w:val="0"/>
        <w:autoSpaceDN w:val="0"/>
        <w:adjustRightInd w:val="0"/>
        <w:rPr>
          <w:rFonts w:cs="Times New Roman"/>
          <w:szCs w:val="24"/>
        </w:rPr>
      </w:pPr>
      <w:r w:rsidRPr="002B283E">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2B283E" w:rsidRDefault="006A4CD7" w:rsidP="002B283E">
      <w:pPr>
        <w:autoSpaceDE w:val="0"/>
        <w:autoSpaceDN w:val="0"/>
        <w:adjustRightInd w:val="0"/>
        <w:rPr>
          <w:rFonts w:cs="Times New Roman"/>
          <w:szCs w:val="24"/>
        </w:rPr>
      </w:pPr>
    </w:p>
    <w:p w14:paraId="45AE651E" w14:textId="5992D933"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[on the plaintiff’s [</w:t>
      </w:r>
      <w:r w:rsidRPr="002B283E">
        <w:rPr>
          <w:rFonts w:cs="Times New Roman"/>
          <w:i/>
          <w:iCs/>
          <w:szCs w:val="24"/>
          <w:u w:val="single"/>
        </w:rPr>
        <w:t>specify type of claim</w:t>
      </w:r>
      <w:r w:rsidRPr="002B283E">
        <w:rPr>
          <w:rFonts w:cs="Times New Roman"/>
          <w:szCs w:val="24"/>
        </w:rPr>
        <w:t xml:space="preserve">] claim], you must determine the plaintiff’s damages. The plaintiff </w:t>
      </w:r>
      <w:bookmarkStart w:id="88" w:name="_Hlk204085407"/>
      <w:r w:rsidR="00342D99">
        <w:rPr>
          <w:rFonts w:cs="Times New Roman"/>
          <w:szCs w:val="24"/>
        </w:rPr>
        <w:t>[</w:t>
      </w:r>
      <w:r w:rsidR="00342D99" w:rsidRPr="008A04C2">
        <w:rPr>
          <w:rFonts w:cs="Times New Roman"/>
          <w:i/>
          <w:iCs/>
          <w:szCs w:val="24"/>
          <w:u w:val="single"/>
        </w:rPr>
        <w:t>name</w:t>
      </w:r>
      <w:r w:rsidR="00342D99">
        <w:rPr>
          <w:rFonts w:cs="Times New Roman"/>
          <w:szCs w:val="24"/>
        </w:rPr>
        <w:t xml:space="preserve">] </w:t>
      </w:r>
      <w:bookmarkEnd w:id="88"/>
      <w:r w:rsidRPr="002B283E">
        <w:rPr>
          <w:rFonts w:cs="Times New Roman"/>
          <w:szCs w:val="24"/>
        </w:rPr>
        <w:t>has the burden of proving damages by a preponderance of the evidence</w:t>
      </w:r>
      <w:r w:rsidR="00A87F6E">
        <w:rPr>
          <w:rFonts w:cs="Times New Roman"/>
          <w:szCs w:val="24"/>
        </w:rPr>
        <w:t xml:space="preserve">. </w:t>
      </w:r>
      <w:r w:rsidRPr="002B283E">
        <w:rPr>
          <w:rFonts w:cs="Times New Roman"/>
          <w:szCs w:val="24"/>
        </w:rPr>
        <w:t xml:space="preserve">Damages means the amount of money that will reasonably and fairly compensate the plaintiff </w:t>
      </w:r>
      <w:r w:rsidR="00342D99">
        <w:rPr>
          <w:rFonts w:cs="Times New Roman"/>
          <w:szCs w:val="24"/>
        </w:rPr>
        <w:t>[</w:t>
      </w:r>
      <w:r w:rsidR="00342D99" w:rsidRPr="009E2B37">
        <w:rPr>
          <w:rFonts w:cs="Times New Roman"/>
          <w:i/>
          <w:iCs/>
          <w:szCs w:val="24"/>
          <w:u w:val="single"/>
        </w:rPr>
        <w:t>name</w:t>
      </w:r>
      <w:r w:rsidR="00342D99">
        <w:rPr>
          <w:rFonts w:cs="Times New Roman"/>
          <w:szCs w:val="24"/>
        </w:rPr>
        <w:t xml:space="preserve">] </w:t>
      </w:r>
      <w:r w:rsidRPr="002B283E">
        <w:rPr>
          <w:rFonts w:cs="Times New Roman"/>
          <w:szCs w:val="24"/>
        </w:rPr>
        <w:t>for any injury you find was caused by the defendant</w:t>
      </w:r>
      <w:r w:rsidR="00342D99">
        <w:rPr>
          <w:rFonts w:cs="Times New Roman"/>
          <w:szCs w:val="24"/>
        </w:rPr>
        <w:t xml:space="preserve"> [</w:t>
      </w:r>
      <w:r w:rsidR="00342D99" w:rsidRPr="009E2B37">
        <w:rPr>
          <w:rFonts w:cs="Times New Roman"/>
          <w:i/>
          <w:iCs/>
          <w:szCs w:val="24"/>
          <w:u w:val="single"/>
        </w:rPr>
        <w:t>name</w:t>
      </w:r>
      <w:r w:rsidR="00342D99">
        <w:rPr>
          <w:rFonts w:cs="Times New Roman"/>
          <w:szCs w:val="24"/>
        </w:rPr>
        <w:t>]</w:t>
      </w:r>
      <w:r w:rsidR="00A87F6E">
        <w:rPr>
          <w:rFonts w:cs="Times New Roman"/>
          <w:szCs w:val="24"/>
        </w:rPr>
        <w:t xml:space="preserve">. </w:t>
      </w:r>
      <w:r w:rsidRPr="002B283E">
        <w:rPr>
          <w:rFonts w:cs="Times New Roman"/>
          <w:szCs w:val="24"/>
        </w:rPr>
        <w:t>You should consider the following:</w:t>
      </w:r>
    </w:p>
    <w:p w14:paraId="4E69FFC5" w14:textId="77777777" w:rsidR="006A4CD7" w:rsidRPr="002B283E" w:rsidRDefault="006A4CD7" w:rsidP="002B283E">
      <w:pPr>
        <w:autoSpaceDE w:val="0"/>
        <w:autoSpaceDN w:val="0"/>
        <w:adjustRightInd w:val="0"/>
        <w:rPr>
          <w:rFonts w:cs="Times New Roman"/>
          <w:szCs w:val="24"/>
        </w:rPr>
      </w:pPr>
    </w:p>
    <w:p w14:paraId="53861A88" w14:textId="09A1251F"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types of damages. See Instruction 5.2 (Measures of Types of Damages)</w:t>
      </w:r>
      <w:r w:rsidRPr="002B283E">
        <w:rPr>
          <w:rFonts w:cs="Times New Roman"/>
          <w:szCs w:val="24"/>
        </w:rPr>
        <w:t>]</w:t>
      </w:r>
    </w:p>
    <w:p w14:paraId="5AB4B7CF" w14:textId="77777777" w:rsidR="006A4CD7" w:rsidRPr="002B283E" w:rsidRDefault="006A4CD7" w:rsidP="002B283E">
      <w:pPr>
        <w:autoSpaceDE w:val="0"/>
        <w:autoSpaceDN w:val="0"/>
        <w:adjustRightInd w:val="0"/>
        <w:rPr>
          <w:rFonts w:cs="Times New Roman"/>
          <w:szCs w:val="24"/>
        </w:rPr>
      </w:pPr>
    </w:p>
    <w:p w14:paraId="61FC69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determine what damages, if any, have been proved.</w:t>
      </w:r>
    </w:p>
    <w:p w14:paraId="2B6168EC" w14:textId="77777777" w:rsidR="006A4CD7" w:rsidRPr="002B283E" w:rsidRDefault="006A4CD7" w:rsidP="002B283E">
      <w:pPr>
        <w:autoSpaceDE w:val="0"/>
        <w:autoSpaceDN w:val="0"/>
        <w:adjustRightInd w:val="0"/>
        <w:rPr>
          <w:rFonts w:cs="Times New Roman"/>
          <w:szCs w:val="24"/>
        </w:rPr>
      </w:pPr>
    </w:p>
    <w:p w14:paraId="5303026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Your award must be based upon evidence and not upon speculation, guesswork or conjecture.</w:t>
      </w:r>
    </w:p>
    <w:p w14:paraId="3580B729" w14:textId="77777777" w:rsidR="006A4CD7" w:rsidRPr="002B283E" w:rsidRDefault="006A4CD7" w:rsidP="002B283E">
      <w:pPr>
        <w:autoSpaceDE w:val="0"/>
        <w:autoSpaceDN w:val="0"/>
        <w:adjustRightInd w:val="0"/>
        <w:rPr>
          <w:rFonts w:cs="Times New Roman"/>
          <w:szCs w:val="24"/>
        </w:rPr>
      </w:pPr>
    </w:p>
    <w:p w14:paraId="25FF762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63F92D" w14:textId="77777777" w:rsidR="006A4CD7" w:rsidRPr="002B283E" w:rsidRDefault="006A4CD7" w:rsidP="002B283E">
      <w:pPr>
        <w:autoSpaceDE w:val="0"/>
        <w:autoSpaceDN w:val="0"/>
        <w:adjustRightInd w:val="0"/>
        <w:rPr>
          <w:rFonts w:cs="Times New Roman"/>
          <w:szCs w:val="24"/>
        </w:rPr>
      </w:pPr>
    </w:p>
    <w:p w14:paraId="1A5B12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liability is not disputed, this instruction should be modified accordingly.</w:t>
      </w:r>
    </w:p>
    <w:p w14:paraId="32EA728A" w14:textId="77777777" w:rsidR="006A4CD7" w:rsidRPr="002B283E" w:rsidRDefault="006A4CD7" w:rsidP="002B283E">
      <w:pPr>
        <w:autoSpaceDE w:val="0"/>
        <w:autoSpaceDN w:val="0"/>
        <w:adjustRightInd w:val="0"/>
        <w:rPr>
          <w:rFonts w:cs="Times New Roman"/>
          <w:szCs w:val="24"/>
        </w:rPr>
      </w:pPr>
    </w:p>
    <w:p w14:paraId="6738F378" w14:textId="77777777" w:rsidR="006A4CD7" w:rsidRPr="002B283E" w:rsidRDefault="006A4CD7" w:rsidP="002B283E">
      <w:pPr>
        <w:autoSpaceDE w:val="0"/>
        <w:autoSpaceDN w:val="0"/>
        <w:adjustRightInd w:val="0"/>
        <w:rPr>
          <w:rFonts w:cs="Times New Roman"/>
          <w:szCs w:val="24"/>
        </w:rPr>
      </w:pPr>
    </w:p>
    <w:p w14:paraId="0EE12C8C" w14:textId="77777777" w:rsidR="00C8117C" w:rsidRPr="002B283E" w:rsidRDefault="00C8117C" w:rsidP="002B283E">
      <w:pPr>
        <w:rPr>
          <w:rFonts w:cs="Times New Roman"/>
          <w:b/>
          <w:bCs/>
          <w:szCs w:val="24"/>
        </w:rPr>
      </w:pPr>
      <w:r w:rsidRPr="002B283E">
        <w:rPr>
          <w:rFonts w:cs="Times New Roman"/>
          <w:b/>
          <w:bCs/>
          <w:szCs w:val="24"/>
        </w:rPr>
        <w:br w:type="page"/>
      </w:r>
    </w:p>
    <w:p w14:paraId="6F76A430" w14:textId="62493F39" w:rsidR="006A4CD7" w:rsidRPr="002B283E" w:rsidRDefault="006A4CD7" w:rsidP="002B283E">
      <w:pPr>
        <w:pStyle w:val="Heading2"/>
      </w:pPr>
      <w:bookmarkStart w:id="89" w:name="_Toc221525134"/>
      <w:r w:rsidRPr="002B283E">
        <w:lastRenderedPageBreak/>
        <w:t>5.2 M</w:t>
      </w:r>
      <w:r w:rsidR="00496196" w:rsidRPr="002B283E">
        <w:t>easures</w:t>
      </w:r>
      <w:r w:rsidRPr="002B283E">
        <w:t xml:space="preserve"> </w:t>
      </w:r>
      <w:r w:rsidR="00496196" w:rsidRPr="002B283E">
        <w:t>of</w:t>
      </w:r>
      <w:r w:rsidRPr="002B283E">
        <w:t xml:space="preserve"> T</w:t>
      </w:r>
      <w:r w:rsidR="00496196" w:rsidRPr="002B283E">
        <w:t>ypes</w:t>
      </w:r>
      <w:r w:rsidRPr="002B283E">
        <w:t xml:space="preserve"> </w:t>
      </w:r>
      <w:r w:rsidR="00496196" w:rsidRPr="002B283E">
        <w:t>of</w:t>
      </w:r>
      <w:r w:rsidRPr="002B283E">
        <w:t xml:space="preserve"> D</w:t>
      </w:r>
      <w:r w:rsidR="00496196" w:rsidRPr="002B283E">
        <w:t>amages</w:t>
      </w:r>
      <w:bookmarkEnd w:id="89"/>
    </w:p>
    <w:p w14:paraId="3585C185" w14:textId="77777777" w:rsidR="006A4CD7" w:rsidRPr="002B283E" w:rsidRDefault="006A4CD7" w:rsidP="002B283E">
      <w:pPr>
        <w:autoSpaceDE w:val="0"/>
        <w:autoSpaceDN w:val="0"/>
        <w:adjustRightInd w:val="0"/>
        <w:rPr>
          <w:rFonts w:cs="Times New Roman"/>
          <w:szCs w:val="24"/>
        </w:rPr>
      </w:pPr>
    </w:p>
    <w:p w14:paraId="675DDD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determining the measure of damages, you should consider:</w:t>
      </w:r>
    </w:p>
    <w:p w14:paraId="17020EA8" w14:textId="77777777" w:rsidR="006A4CD7" w:rsidRPr="002B283E" w:rsidRDefault="006A4CD7" w:rsidP="002B283E">
      <w:pPr>
        <w:autoSpaceDE w:val="0"/>
        <w:autoSpaceDN w:val="0"/>
        <w:adjustRightInd w:val="0"/>
        <w:rPr>
          <w:rFonts w:cs="Times New Roman"/>
          <w:szCs w:val="24"/>
        </w:rPr>
      </w:pPr>
    </w:p>
    <w:p w14:paraId="44F8FCA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nature and extent of the injuries;]</w:t>
      </w:r>
    </w:p>
    <w:p w14:paraId="1F01604C" w14:textId="77777777" w:rsidR="006A4CD7" w:rsidRPr="002B283E" w:rsidRDefault="006A4CD7" w:rsidP="002B283E">
      <w:pPr>
        <w:autoSpaceDE w:val="0"/>
        <w:autoSpaceDN w:val="0"/>
        <w:adjustRightInd w:val="0"/>
        <w:rPr>
          <w:rFonts w:cs="Times New Roman"/>
          <w:szCs w:val="24"/>
        </w:rPr>
      </w:pPr>
    </w:p>
    <w:p w14:paraId="12D7FD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[disability] [disfigurement] [loss of enjoyment of life] experienced [and that with reasonable probability will be experienced in the future];]</w:t>
      </w:r>
    </w:p>
    <w:p w14:paraId="03374CC5" w14:textId="77777777" w:rsidR="006A4CD7" w:rsidRPr="002B283E" w:rsidRDefault="006A4CD7" w:rsidP="002B283E">
      <w:pPr>
        <w:autoSpaceDE w:val="0"/>
        <w:autoSpaceDN w:val="0"/>
        <w:adjustRightInd w:val="0"/>
        <w:rPr>
          <w:rFonts w:cs="Times New Roman"/>
          <w:szCs w:val="24"/>
        </w:rPr>
      </w:pPr>
    </w:p>
    <w:p w14:paraId="7B88D916" w14:textId="6B644F0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[mental,] [physical,] </w:t>
      </w:r>
      <w:r w:rsidR="00342D99">
        <w:rPr>
          <w:rFonts w:cs="Times New Roman"/>
          <w:szCs w:val="24"/>
        </w:rPr>
        <w:t xml:space="preserve">[and] </w:t>
      </w:r>
      <w:r w:rsidRPr="002B283E">
        <w:rPr>
          <w:rFonts w:cs="Times New Roman"/>
          <w:szCs w:val="24"/>
        </w:rPr>
        <w:t>[emotional] pain and suffering experienced [and that with reasonable probability will be experienced in the future];]</w:t>
      </w:r>
    </w:p>
    <w:p w14:paraId="4BFD11B0" w14:textId="77777777" w:rsidR="006A4CD7" w:rsidRPr="002B283E" w:rsidRDefault="006A4CD7" w:rsidP="002B283E">
      <w:pPr>
        <w:autoSpaceDE w:val="0"/>
        <w:autoSpaceDN w:val="0"/>
        <w:adjustRightInd w:val="0"/>
        <w:rPr>
          <w:rFonts w:cs="Times New Roman"/>
          <w:szCs w:val="24"/>
        </w:rPr>
      </w:pPr>
    </w:p>
    <w:p w14:paraId="469C5EA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received to the present time;]</w:t>
      </w:r>
    </w:p>
    <w:p w14:paraId="77E93FEE" w14:textId="77777777" w:rsidR="006A4CD7" w:rsidRPr="002B283E" w:rsidRDefault="006A4CD7" w:rsidP="002B283E">
      <w:pPr>
        <w:autoSpaceDE w:val="0"/>
        <w:autoSpaceDN w:val="0"/>
        <w:adjustRightInd w:val="0"/>
        <w:rPr>
          <w:rFonts w:cs="Times New Roman"/>
          <w:szCs w:val="24"/>
        </w:rPr>
      </w:pPr>
    </w:p>
    <w:p w14:paraId="4A467D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that with reasonable probability will be required in the future;]</w:t>
      </w:r>
    </w:p>
    <w:p w14:paraId="0D59DFAB" w14:textId="77777777" w:rsidR="006A4CD7" w:rsidRPr="002B283E" w:rsidRDefault="006A4CD7" w:rsidP="002B283E">
      <w:pPr>
        <w:autoSpaceDE w:val="0"/>
        <w:autoSpaceDN w:val="0"/>
        <w:adjustRightInd w:val="0"/>
        <w:rPr>
          <w:rFonts w:cs="Times New Roman"/>
          <w:szCs w:val="24"/>
        </w:rPr>
      </w:pPr>
    </w:p>
    <w:p w14:paraId="4BE64C2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2B283E" w:rsidRDefault="006A4CD7" w:rsidP="002B283E">
      <w:pPr>
        <w:autoSpaceDE w:val="0"/>
        <w:autoSpaceDN w:val="0"/>
        <w:adjustRightInd w:val="0"/>
        <w:rPr>
          <w:rFonts w:cs="Times New Roman"/>
          <w:szCs w:val="24"/>
        </w:rPr>
      </w:pPr>
    </w:p>
    <w:p w14:paraId="3489013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2B283E" w:rsidRDefault="006A4CD7" w:rsidP="002B283E">
      <w:pPr>
        <w:autoSpaceDE w:val="0"/>
        <w:autoSpaceDN w:val="0"/>
        <w:adjustRightInd w:val="0"/>
        <w:rPr>
          <w:rFonts w:cs="Times New Roman"/>
          <w:szCs w:val="24"/>
        </w:rPr>
      </w:pPr>
    </w:p>
    <w:p w14:paraId="2283A0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required up to the present time;]</w:t>
      </w:r>
    </w:p>
    <w:p w14:paraId="2EAA28A8" w14:textId="77777777" w:rsidR="006A4CD7" w:rsidRPr="002B283E" w:rsidRDefault="006A4CD7" w:rsidP="002B283E">
      <w:pPr>
        <w:autoSpaceDE w:val="0"/>
        <w:autoSpaceDN w:val="0"/>
        <w:adjustRightInd w:val="0"/>
        <w:rPr>
          <w:rFonts w:cs="Times New Roman"/>
          <w:szCs w:val="24"/>
        </w:rPr>
      </w:pPr>
    </w:p>
    <w:p w14:paraId="50E677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2B283E" w:rsidRDefault="006A4CD7" w:rsidP="002B283E">
      <w:pPr>
        <w:autoSpaceDE w:val="0"/>
        <w:autoSpaceDN w:val="0"/>
        <w:adjustRightInd w:val="0"/>
        <w:rPr>
          <w:rFonts w:cs="Times New Roman"/>
          <w:szCs w:val="24"/>
        </w:rPr>
      </w:pPr>
    </w:p>
    <w:p w14:paraId="6AB88CB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w:t>
      </w:r>
    </w:p>
    <w:p w14:paraId="44FC6F4D" w14:textId="77777777" w:rsidR="006A4CD7" w:rsidRPr="002B283E" w:rsidRDefault="006A4CD7" w:rsidP="002B283E">
      <w:pPr>
        <w:autoSpaceDE w:val="0"/>
        <w:autoSpaceDN w:val="0"/>
        <w:adjustRightInd w:val="0"/>
        <w:rPr>
          <w:rFonts w:cs="Times New Roman"/>
          <w:szCs w:val="24"/>
        </w:rPr>
      </w:pPr>
    </w:p>
    <w:p w14:paraId="2346B6B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2B283E" w:rsidRDefault="006A4CD7" w:rsidP="002B283E">
      <w:pPr>
        <w:autoSpaceDE w:val="0"/>
        <w:autoSpaceDN w:val="0"/>
        <w:adjustRightInd w:val="0"/>
        <w:rPr>
          <w:rFonts w:cs="Times New Roman"/>
          <w:szCs w:val="24"/>
        </w:rPr>
      </w:pPr>
    </w:p>
    <w:p w14:paraId="443B3C4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2B283E" w:rsidRDefault="006A4CD7" w:rsidP="002B283E">
      <w:pPr>
        <w:autoSpaceDE w:val="0"/>
        <w:autoSpaceDN w:val="0"/>
        <w:adjustRightInd w:val="0"/>
        <w:rPr>
          <w:rFonts w:cs="Times New Roman"/>
          <w:szCs w:val="24"/>
        </w:rPr>
      </w:pPr>
    </w:p>
    <w:p w14:paraId="1BFC672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lesser of the following:</w:t>
      </w:r>
    </w:p>
    <w:p w14:paraId="3D0DB0A9" w14:textId="77777777" w:rsidR="006A4CD7" w:rsidRPr="002B283E" w:rsidRDefault="006A4CD7" w:rsidP="002B283E">
      <w:pPr>
        <w:autoSpaceDE w:val="0"/>
        <w:autoSpaceDN w:val="0"/>
        <w:adjustRightInd w:val="0"/>
        <w:rPr>
          <w:rFonts w:cs="Times New Roman"/>
          <w:szCs w:val="24"/>
        </w:rPr>
      </w:pPr>
    </w:p>
    <w:p w14:paraId="513F2267"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 xml:space="preserve">1. </w:t>
      </w:r>
      <w:r w:rsidRPr="002B283E">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2B283E" w:rsidRDefault="006A4CD7" w:rsidP="002B283E">
      <w:pPr>
        <w:autoSpaceDE w:val="0"/>
        <w:autoSpaceDN w:val="0"/>
        <w:adjustRightInd w:val="0"/>
        <w:ind w:left="720"/>
        <w:rPr>
          <w:rFonts w:cs="Times New Roman"/>
          <w:szCs w:val="24"/>
        </w:rPr>
      </w:pPr>
    </w:p>
    <w:p w14:paraId="6DB6577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2B283E" w:rsidRDefault="006A4CD7" w:rsidP="002B283E">
      <w:pPr>
        <w:autoSpaceDE w:val="0"/>
        <w:autoSpaceDN w:val="0"/>
        <w:adjustRightInd w:val="0"/>
        <w:rPr>
          <w:rFonts w:cs="Times New Roman"/>
          <w:szCs w:val="24"/>
        </w:rPr>
      </w:pPr>
    </w:p>
    <w:p w14:paraId="087E1CF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[Such sum as will reasonably compensate for any loss of use of any damaged property during the time reasonably required for its [repair] [replacement].]</w:t>
      </w:r>
    </w:p>
    <w:p w14:paraId="6929D1BF" w14:textId="77777777" w:rsidR="006A4CD7" w:rsidRPr="002B283E" w:rsidRDefault="006A4CD7" w:rsidP="002B283E">
      <w:pPr>
        <w:autoSpaceDE w:val="0"/>
        <w:autoSpaceDN w:val="0"/>
        <w:adjustRightInd w:val="0"/>
        <w:rPr>
          <w:rFonts w:cs="Times New Roman"/>
          <w:szCs w:val="24"/>
        </w:rPr>
      </w:pPr>
    </w:p>
    <w:p w14:paraId="0460781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3EAB1F7" w14:textId="77777777" w:rsidR="006A4CD7" w:rsidRPr="002B283E" w:rsidRDefault="006A4CD7" w:rsidP="002B283E">
      <w:pPr>
        <w:autoSpaceDE w:val="0"/>
        <w:autoSpaceDN w:val="0"/>
        <w:adjustRightInd w:val="0"/>
        <w:rPr>
          <w:rFonts w:cs="Times New Roman"/>
          <w:szCs w:val="24"/>
        </w:rPr>
      </w:pPr>
    </w:p>
    <w:p w14:paraId="5DBA1464" w14:textId="474B37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Insert only the appropriate bracketed items from this instruction into Instruction 5.1 (Damages—Proof). Additional paragraphs may have to be drafted to fit other types of damages. Particular claims may have special rules on damages. </w:t>
      </w:r>
      <w:r w:rsidRPr="002B283E">
        <w:rPr>
          <w:rFonts w:cs="Times New Roman"/>
          <w:i/>
          <w:iCs/>
          <w:szCs w:val="24"/>
        </w:rPr>
        <w:t>S</w:t>
      </w:r>
      <w:r w:rsidR="00A15A8F">
        <w:rPr>
          <w:rFonts w:cs="Times New Roman"/>
          <w:i/>
          <w:iCs/>
          <w:szCs w:val="24"/>
        </w:rPr>
        <w:t>ee, e.g.</w:t>
      </w:r>
      <w:r w:rsidR="00A15A8F" w:rsidRPr="00A15A8F">
        <w:rPr>
          <w:rFonts w:cs="Times New Roman"/>
          <w:szCs w:val="24"/>
        </w:rPr>
        <w:t>,</w:t>
      </w:r>
      <w:r w:rsidR="00A15A8F">
        <w:rPr>
          <w:rFonts w:cs="Times New Roman"/>
          <w:i/>
          <w:iCs/>
          <w:szCs w:val="24"/>
        </w:rPr>
        <w:t xml:space="preserve"> </w:t>
      </w:r>
      <w:r w:rsidRPr="002B283E">
        <w:rPr>
          <w:rFonts w:cs="Times New Roman"/>
          <w:szCs w:val="24"/>
        </w:rPr>
        <w:t>Instructions 7.11 (Maintenance and Cure—Elements and Burden of Proof), 11.13 (Age Discrimination—Damages—Back Pay—Mitigation), and 11.14 (Age Discrimination—Damages—Willful Discrimination—Liquidated Damages).</w:t>
      </w:r>
    </w:p>
    <w:p w14:paraId="46AD1AFE" w14:textId="77777777" w:rsidR="006A4CD7" w:rsidRPr="002B283E" w:rsidRDefault="006A4CD7" w:rsidP="002B283E">
      <w:pPr>
        <w:autoSpaceDE w:val="0"/>
        <w:autoSpaceDN w:val="0"/>
        <w:adjustRightInd w:val="0"/>
        <w:rPr>
          <w:rFonts w:cs="Times New Roman"/>
          <w:szCs w:val="24"/>
        </w:rPr>
      </w:pPr>
    </w:p>
    <w:p w14:paraId="79F153DE" w14:textId="11DDDCD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Punitive and compensatory damages are subject to caps in Title VII cases. </w:t>
      </w:r>
      <w:r w:rsidRPr="002B283E">
        <w:rPr>
          <w:rFonts w:cs="Times New Roman"/>
          <w:i/>
          <w:iCs/>
          <w:szCs w:val="24"/>
        </w:rPr>
        <w:t>See</w:t>
      </w:r>
      <w:r w:rsidRPr="002B283E">
        <w:rPr>
          <w:rFonts w:cs="Times New Roman"/>
          <w:szCs w:val="24"/>
        </w:rPr>
        <w:t xml:space="preserve"> 42 U.S.C. 1981a(b)(3). Regarding the amount of damages available under Title VII, </w:t>
      </w:r>
      <w:r w:rsidRPr="008A04C2">
        <w:rPr>
          <w:rFonts w:cs="Times New Roman"/>
          <w:szCs w:val="24"/>
        </w:rPr>
        <w:t>see</w:t>
      </w:r>
      <w:r w:rsidRPr="002B283E">
        <w:rPr>
          <w:rFonts w:cs="Times New Roman"/>
          <w:szCs w:val="24"/>
        </w:rPr>
        <w:t xml:space="preserve"> </w:t>
      </w:r>
      <w:r w:rsidRPr="002B283E">
        <w:rPr>
          <w:rFonts w:cs="Times New Roman"/>
          <w:i/>
          <w:iCs/>
          <w:szCs w:val="24"/>
        </w:rPr>
        <w:t>Gotthardt v. Nat’l R.R. Passenger Corp.</w:t>
      </w:r>
      <w:r w:rsidRPr="002B283E">
        <w:rPr>
          <w:rFonts w:cs="Times New Roman"/>
          <w:szCs w:val="24"/>
        </w:rPr>
        <w:t xml:space="preserve">, 191 F.3d 1148 (9th Cir. 1999). The cap does not apply to front pay and back pay. </w:t>
      </w:r>
      <w:r w:rsidRPr="002B283E">
        <w:rPr>
          <w:rFonts w:cs="Times New Roman"/>
          <w:i/>
          <w:iCs/>
          <w:szCs w:val="24"/>
        </w:rPr>
        <w:t>See Pollard v. E.I. du Pont de Nemours &amp; Co.</w:t>
      </w:r>
      <w:r w:rsidRPr="002B283E">
        <w:rPr>
          <w:rFonts w:cs="Times New Roman"/>
          <w:szCs w:val="24"/>
        </w:rPr>
        <w:t>, 532 U.S. 843, 848 (2001).</w:t>
      </w:r>
      <w:r w:rsidRPr="002B283E">
        <w:rPr>
          <w:rFonts w:cs="Times New Roman"/>
          <w:i/>
          <w:iCs/>
          <w:szCs w:val="24"/>
        </w:rPr>
        <w:t xml:space="preserve"> See also Caudle v. Bristow Optical Co.</w:t>
      </w:r>
      <w:r w:rsidRPr="002B283E">
        <w:rPr>
          <w:rFonts w:cs="Times New Roman"/>
          <w:szCs w:val="24"/>
        </w:rPr>
        <w:t>, 224 F.3d 1014, 1020 (9th Cir. 2000) (defining front pay and back pay); Introductory Comment to Chapter 10.</w:t>
      </w:r>
    </w:p>
    <w:p w14:paraId="3A2B646F" w14:textId="77777777" w:rsidR="006A4CD7" w:rsidRPr="002B283E" w:rsidRDefault="006A4CD7" w:rsidP="002B283E">
      <w:pPr>
        <w:autoSpaceDE w:val="0"/>
        <w:autoSpaceDN w:val="0"/>
        <w:adjustRightInd w:val="0"/>
        <w:rPr>
          <w:rFonts w:cs="Times New Roman"/>
          <w:szCs w:val="24"/>
        </w:rPr>
      </w:pPr>
    </w:p>
    <w:p w14:paraId="2DB8C8AC" w14:textId="09C7BDA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Title VII and ADA cases, the court, not the jury, determines the amount of back pay. </w:t>
      </w:r>
      <w:r w:rsidRPr="002B283E">
        <w:rPr>
          <w:rFonts w:cs="Times New Roman"/>
          <w:i/>
          <w:iCs/>
          <w:szCs w:val="24"/>
        </w:rPr>
        <w:t>Lutz v. Glendale Union High School</w:t>
      </w:r>
      <w:r w:rsidRPr="002B283E">
        <w:rPr>
          <w:rFonts w:cs="Times New Roman"/>
          <w:szCs w:val="24"/>
        </w:rPr>
        <w:t xml:space="preserve">, 403 F.3d 1061, 1069 (9th Cir. 2005); </w:t>
      </w:r>
      <w:r w:rsidRPr="002B283E">
        <w:rPr>
          <w:rFonts w:cs="Times New Roman"/>
          <w:i/>
          <w:iCs/>
          <w:szCs w:val="24"/>
        </w:rPr>
        <w:t>see also</w:t>
      </w:r>
      <w:r w:rsidRPr="002B283E">
        <w:rPr>
          <w:rFonts w:cs="Times New Roman"/>
          <w:szCs w:val="24"/>
        </w:rPr>
        <w:t xml:space="preserve"> </w:t>
      </w:r>
      <w:r w:rsidRPr="002B283E">
        <w:rPr>
          <w:rFonts w:cs="Times New Roman"/>
          <w:i/>
          <w:iCs/>
          <w:szCs w:val="24"/>
        </w:rPr>
        <w:t>Albemarle Paper Co. v. Moody</w:t>
      </w:r>
      <w:r w:rsidRPr="002B283E">
        <w:rPr>
          <w:rFonts w:cs="Times New Roman"/>
          <w:szCs w:val="24"/>
        </w:rPr>
        <w:t xml:space="preserve">, 422 U.S. 405, 415-16 (1975). Under the Family Medical Leave Act, the court, not the jury, determines the amount of front pay. </w:t>
      </w:r>
      <w:r w:rsidRPr="002B283E">
        <w:rPr>
          <w:rFonts w:cs="Times New Roman"/>
          <w:i/>
          <w:iCs/>
          <w:szCs w:val="24"/>
        </w:rPr>
        <w:t>Traxler v. Multnomah C</w:t>
      </w:r>
      <w:r w:rsidR="00035BB5">
        <w:rPr>
          <w:rFonts w:cs="Times New Roman"/>
          <w:i/>
          <w:iCs/>
          <w:szCs w:val="24"/>
        </w:rPr>
        <w:t>ounty</w:t>
      </w:r>
      <w:r w:rsidRPr="002B283E">
        <w:rPr>
          <w:rFonts w:cs="Times New Roman"/>
          <w:szCs w:val="24"/>
        </w:rPr>
        <w:t>, 596 F.3d 1007, 1011-14 (9th Cir. 2010).</w:t>
      </w:r>
    </w:p>
    <w:p w14:paraId="24F739DD" w14:textId="77777777" w:rsidR="00432687" w:rsidRPr="002B283E" w:rsidRDefault="00432687" w:rsidP="002B283E">
      <w:pPr>
        <w:autoSpaceDE w:val="0"/>
        <w:autoSpaceDN w:val="0"/>
        <w:adjustRightInd w:val="0"/>
        <w:rPr>
          <w:rFonts w:cs="Times New Roman"/>
          <w:szCs w:val="24"/>
        </w:rPr>
      </w:pPr>
    </w:p>
    <w:p w14:paraId="3B73A2C9" w14:textId="77777777" w:rsidR="00C8117C" w:rsidRPr="002B283E" w:rsidRDefault="00C8117C" w:rsidP="002B283E">
      <w:pPr>
        <w:rPr>
          <w:rFonts w:cs="Times New Roman"/>
          <w:b/>
          <w:bCs/>
          <w:szCs w:val="24"/>
        </w:rPr>
      </w:pPr>
      <w:r w:rsidRPr="002B283E">
        <w:rPr>
          <w:rFonts w:cs="Times New Roman"/>
          <w:b/>
          <w:bCs/>
          <w:szCs w:val="24"/>
        </w:rPr>
        <w:br w:type="page"/>
      </w:r>
    </w:p>
    <w:p w14:paraId="5E38C824" w14:textId="079A8F2F" w:rsidR="006A4CD7" w:rsidRPr="002B283E" w:rsidRDefault="006A4CD7" w:rsidP="002B283E">
      <w:pPr>
        <w:pStyle w:val="Heading2"/>
      </w:pPr>
      <w:bookmarkStart w:id="90" w:name="_Toc221525135"/>
      <w:r w:rsidRPr="002B283E">
        <w:lastRenderedPageBreak/>
        <w:t>5.3 D</w:t>
      </w:r>
      <w:r w:rsidR="00496196" w:rsidRPr="002B283E">
        <w:t>amages</w:t>
      </w:r>
      <w:r w:rsidRPr="002B283E">
        <w:t>—M</w:t>
      </w:r>
      <w:r w:rsidR="00496196" w:rsidRPr="002B283E">
        <w:t>itigation</w:t>
      </w:r>
      <w:bookmarkEnd w:id="90"/>
    </w:p>
    <w:p w14:paraId="43630616" w14:textId="77777777" w:rsidR="006A4CD7" w:rsidRPr="002B283E" w:rsidRDefault="006A4CD7" w:rsidP="002B283E">
      <w:pPr>
        <w:autoSpaceDE w:val="0"/>
        <w:autoSpaceDN w:val="0"/>
        <w:adjustRightInd w:val="0"/>
        <w:rPr>
          <w:rFonts w:cs="Times New Roman"/>
          <w:szCs w:val="24"/>
        </w:rPr>
      </w:pPr>
    </w:p>
    <w:p w14:paraId="48ED613E" w14:textId="28039DF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a duty to use reasonable efforts to mitigate damages. To mitigate means to avoid or reduce damages.</w:t>
      </w:r>
    </w:p>
    <w:p w14:paraId="55B86CE7" w14:textId="77777777" w:rsidR="006A4CD7" w:rsidRPr="002B283E" w:rsidRDefault="006A4CD7" w:rsidP="002B283E">
      <w:pPr>
        <w:autoSpaceDE w:val="0"/>
        <w:autoSpaceDN w:val="0"/>
        <w:adjustRightInd w:val="0"/>
        <w:rPr>
          <w:rFonts w:cs="Times New Roman"/>
          <w:szCs w:val="24"/>
        </w:rPr>
      </w:pPr>
    </w:p>
    <w:p w14:paraId="1F36AA8B" w14:textId="493E5554"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the burden of proving by a preponderance of the evidence:</w:t>
      </w:r>
    </w:p>
    <w:p w14:paraId="0F395B0F" w14:textId="77777777" w:rsidR="006A4CD7" w:rsidRPr="002B283E" w:rsidRDefault="006A4CD7" w:rsidP="002B283E">
      <w:pPr>
        <w:autoSpaceDE w:val="0"/>
        <w:autoSpaceDN w:val="0"/>
        <w:adjustRightInd w:val="0"/>
        <w:rPr>
          <w:rFonts w:cs="Times New Roman"/>
          <w:szCs w:val="24"/>
        </w:rPr>
      </w:pPr>
    </w:p>
    <w:p w14:paraId="266709A5" w14:textId="2D1CB10D"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First, </w:t>
      </w:r>
      <w:r w:rsidR="006A4CD7" w:rsidRPr="002B283E">
        <w:rPr>
          <w:rFonts w:cs="Times New Roman"/>
          <w:szCs w:val="24"/>
        </w:rPr>
        <w:t>that the plaintiff</w:t>
      </w:r>
      <w:r w:rsidR="00F22B65">
        <w:rPr>
          <w:rFonts w:cs="Times New Roman"/>
          <w:szCs w:val="24"/>
        </w:rPr>
        <w:t xml:space="preserve"> </w:t>
      </w:r>
      <w:r w:rsidR="00F22B65">
        <w:t>[</w:t>
      </w:r>
      <w:r w:rsidR="00F22B65" w:rsidRPr="009E2B37">
        <w:rPr>
          <w:i/>
          <w:iCs/>
          <w:u w:val="single"/>
        </w:rPr>
        <w:t>name</w:t>
      </w:r>
      <w:r w:rsidR="00F22B65">
        <w:t>]</w:t>
      </w:r>
      <w:r w:rsidR="006A4CD7" w:rsidRPr="002B283E">
        <w:rPr>
          <w:rFonts w:cs="Times New Roman"/>
          <w:szCs w:val="24"/>
        </w:rPr>
        <w:t xml:space="preserve"> failed to use reasonable efforts to mitigate damages; and</w:t>
      </w:r>
    </w:p>
    <w:p w14:paraId="59E9C573" w14:textId="77777777" w:rsidR="006A4CD7" w:rsidRPr="002B283E" w:rsidRDefault="006A4CD7" w:rsidP="002B283E">
      <w:pPr>
        <w:autoSpaceDE w:val="0"/>
        <w:autoSpaceDN w:val="0"/>
        <w:adjustRightInd w:val="0"/>
        <w:rPr>
          <w:rFonts w:cs="Times New Roman"/>
          <w:szCs w:val="24"/>
        </w:rPr>
      </w:pPr>
    </w:p>
    <w:p w14:paraId="7848A3B1" w14:textId="33AF15AF"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Second, </w:t>
      </w:r>
      <w:r w:rsidR="006A4CD7" w:rsidRPr="002B283E">
        <w:rPr>
          <w:rFonts w:cs="Times New Roman"/>
          <w:szCs w:val="24"/>
        </w:rPr>
        <w:t>the amount by which damages would have been mitigated.</w:t>
      </w:r>
    </w:p>
    <w:p w14:paraId="15BCB21E" w14:textId="77777777" w:rsidR="006A4CD7" w:rsidRPr="002B283E" w:rsidRDefault="006A4CD7" w:rsidP="002B283E">
      <w:pPr>
        <w:autoSpaceDE w:val="0"/>
        <w:autoSpaceDN w:val="0"/>
        <w:adjustRightInd w:val="0"/>
        <w:rPr>
          <w:rFonts w:cs="Times New Roman"/>
          <w:szCs w:val="24"/>
        </w:rPr>
      </w:pPr>
    </w:p>
    <w:p w14:paraId="0309E3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D6094A6" w14:textId="77777777" w:rsidR="006A4CD7" w:rsidRPr="002B283E" w:rsidRDefault="006A4CD7" w:rsidP="002B283E">
      <w:pPr>
        <w:autoSpaceDE w:val="0"/>
        <w:autoSpaceDN w:val="0"/>
        <w:adjustRightInd w:val="0"/>
        <w:rPr>
          <w:rFonts w:cs="Times New Roman"/>
          <w:szCs w:val="24"/>
        </w:rPr>
      </w:pPr>
    </w:p>
    <w:p w14:paraId="6D3382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As to mitigation of damages in an action under the Age Discrimination in Employment Act, </w:t>
      </w:r>
      <w:r w:rsidRPr="008A04C2">
        <w:rPr>
          <w:rFonts w:cs="Times New Roman"/>
          <w:szCs w:val="24"/>
        </w:rPr>
        <w:t>see</w:t>
      </w:r>
      <w:r w:rsidRPr="00342D99">
        <w:rPr>
          <w:rFonts w:cs="Times New Roman"/>
          <w:szCs w:val="24"/>
        </w:rPr>
        <w:t xml:space="preserve"> </w:t>
      </w:r>
      <w:r w:rsidRPr="002B283E">
        <w:rPr>
          <w:rFonts w:cs="Times New Roman"/>
          <w:szCs w:val="24"/>
        </w:rPr>
        <w:t>Instruction 11.13 (Age Discrimination—Damages—Back Pay—Mitigation).</w:t>
      </w:r>
    </w:p>
    <w:p w14:paraId="6C167321" w14:textId="77777777" w:rsidR="006A4CD7" w:rsidRPr="002B283E" w:rsidRDefault="006A4CD7" w:rsidP="002B283E">
      <w:pPr>
        <w:autoSpaceDE w:val="0"/>
        <w:autoSpaceDN w:val="0"/>
        <w:adjustRightInd w:val="0"/>
        <w:rPr>
          <w:rFonts w:cs="Times New Roman"/>
          <w:szCs w:val="24"/>
        </w:rPr>
      </w:pPr>
    </w:p>
    <w:p w14:paraId="344BB765" w14:textId="77777777" w:rsidR="006A4CD7" w:rsidRPr="002B283E" w:rsidRDefault="006A4CD7" w:rsidP="002B283E">
      <w:pPr>
        <w:autoSpaceDE w:val="0"/>
        <w:autoSpaceDN w:val="0"/>
        <w:adjustRightInd w:val="0"/>
        <w:rPr>
          <w:rFonts w:cs="Times New Roman"/>
          <w:szCs w:val="24"/>
        </w:rPr>
      </w:pPr>
    </w:p>
    <w:p w14:paraId="57C761A6" w14:textId="77777777" w:rsidR="00C8117C" w:rsidRPr="002B283E" w:rsidRDefault="00C8117C" w:rsidP="002B283E">
      <w:pPr>
        <w:rPr>
          <w:rFonts w:cs="Times New Roman"/>
          <w:b/>
          <w:bCs/>
          <w:szCs w:val="24"/>
        </w:rPr>
      </w:pPr>
      <w:r w:rsidRPr="002B283E">
        <w:rPr>
          <w:rFonts w:cs="Times New Roman"/>
          <w:b/>
          <w:bCs/>
          <w:szCs w:val="24"/>
        </w:rPr>
        <w:br w:type="page"/>
      </w:r>
    </w:p>
    <w:p w14:paraId="12D80696" w14:textId="509E4570" w:rsidR="006A4CD7" w:rsidRPr="002B283E" w:rsidRDefault="006A4CD7" w:rsidP="002B283E">
      <w:pPr>
        <w:pStyle w:val="Heading2"/>
      </w:pPr>
      <w:bookmarkStart w:id="91" w:name="_Toc221525136"/>
      <w:r w:rsidRPr="002B283E">
        <w:lastRenderedPageBreak/>
        <w:t>5.4 D</w:t>
      </w:r>
      <w:r w:rsidR="00496196" w:rsidRPr="002B283E">
        <w:t>amages</w:t>
      </w:r>
      <w:r w:rsidRPr="002B283E">
        <w:t xml:space="preserve"> A</w:t>
      </w:r>
      <w:r w:rsidR="00496196" w:rsidRPr="002B283E">
        <w:t>rising</w:t>
      </w:r>
      <w:r w:rsidRPr="002B283E">
        <w:t xml:space="preserve"> </w:t>
      </w:r>
      <w:r w:rsidR="00496196" w:rsidRPr="002B283E">
        <w:t>in the</w:t>
      </w:r>
      <w:r w:rsidRPr="002B283E">
        <w:t xml:space="preserve"> F</w:t>
      </w:r>
      <w:r w:rsidR="00496196" w:rsidRPr="002B283E">
        <w:t>uture</w:t>
      </w:r>
      <w:r w:rsidRPr="002B283E">
        <w:t>—D</w:t>
      </w:r>
      <w:r w:rsidR="00496196" w:rsidRPr="002B283E">
        <w:t xml:space="preserve">iscount to </w:t>
      </w:r>
      <w:r w:rsidRPr="002B283E">
        <w:t>P</w:t>
      </w:r>
      <w:r w:rsidR="00496196" w:rsidRPr="002B283E">
        <w:t>resent</w:t>
      </w:r>
      <w:r w:rsidRPr="002B283E">
        <w:t xml:space="preserve"> C</w:t>
      </w:r>
      <w:r w:rsidR="00496196" w:rsidRPr="002B283E">
        <w:t>ash</w:t>
      </w:r>
      <w:r w:rsidRPr="002B283E">
        <w:t xml:space="preserve"> V</w:t>
      </w:r>
      <w:r w:rsidR="00496196" w:rsidRPr="002B283E">
        <w:t>alue</w:t>
      </w:r>
      <w:bookmarkEnd w:id="91"/>
    </w:p>
    <w:p w14:paraId="0481560D" w14:textId="77777777" w:rsidR="006A4CD7" w:rsidRPr="002B283E" w:rsidRDefault="006A4CD7" w:rsidP="002B283E">
      <w:pPr>
        <w:autoSpaceDE w:val="0"/>
        <w:autoSpaceDN w:val="0"/>
        <w:adjustRightInd w:val="0"/>
        <w:rPr>
          <w:rFonts w:cs="Times New Roman"/>
          <w:szCs w:val="24"/>
        </w:rPr>
      </w:pPr>
    </w:p>
    <w:p w14:paraId="70CEF4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award for future economic damages must be for the present cash value of those damages.]</w:t>
      </w:r>
    </w:p>
    <w:p w14:paraId="4E992D3B" w14:textId="77777777" w:rsidR="006A4CD7" w:rsidRPr="002B283E" w:rsidRDefault="006A4CD7" w:rsidP="002B283E">
      <w:pPr>
        <w:autoSpaceDE w:val="0"/>
        <w:autoSpaceDN w:val="0"/>
        <w:adjustRightInd w:val="0"/>
        <w:rPr>
          <w:rFonts w:cs="Times New Roman"/>
          <w:szCs w:val="24"/>
        </w:rPr>
      </w:pPr>
    </w:p>
    <w:p w14:paraId="6569079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[Noneconomic damages [such as [pain and suffering] [disability] [disfigurement] [and] [</w:t>
      </w:r>
      <w:r w:rsidRPr="002B283E">
        <w:rPr>
          <w:rFonts w:cs="Times New Roman"/>
          <w:i/>
          <w:iCs/>
          <w:szCs w:val="24"/>
          <w:u w:val="single"/>
        </w:rPr>
        <w:t>specify other noneconomic damages</w:t>
      </w:r>
      <w:r w:rsidRPr="008A04C2">
        <w:rPr>
          <w:rFonts w:cs="Times New Roman"/>
          <w:szCs w:val="24"/>
        </w:rPr>
        <w:t>]</w:t>
      </w:r>
      <w:r w:rsidRPr="00342D99">
        <w:rPr>
          <w:rFonts w:cs="Times New Roman"/>
          <w:szCs w:val="24"/>
        </w:rPr>
        <w:t>]</w:t>
      </w:r>
      <w:r w:rsidRPr="002B283E">
        <w:rPr>
          <w:rFonts w:cs="Times New Roman"/>
          <w:szCs w:val="24"/>
        </w:rPr>
        <w:t xml:space="preserve"> are not reduced to present cash value.]</w:t>
      </w:r>
    </w:p>
    <w:p w14:paraId="095475C3" w14:textId="77777777" w:rsidR="006A4CD7" w:rsidRPr="002B283E" w:rsidRDefault="006A4CD7" w:rsidP="002B283E">
      <w:pPr>
        <w:autoSpaceDE w:val="0"/>
        <w:autoSpaceDN w:val="0"/>
        <w:adjustRightInd w:val="0"/>
        <w:rPr>
          <w:rFonts w:cs="Times New Roman"/>
          <w:szCs w:val="24"/>
        </w:rPr>
      </w:pPr>
    </w:p>
    <w:p w14:paraId="083667C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2B283E" w:rsidRDefault="006A4CD7" w:rsidP="002B283E">
      <w:pPr>
        <w:autoSpaceDE w:val="0"/>
        <w:autoSpaceDN w:val="0"/>
        <w:adjustRightInd w:val="0"/>
        <w:rPr>
          <w:rFonts w:cs="Times New Roman"/>
          <w:szCs w:val="24"/>
        </w:rPr>
      </w:pPr>
    </w:p>
    <w:p w14:paraId="3B599290" w14:textId="5EDF9923" w:rsidR="006A4CD7" w:rsidRPr="002B283E" w:rsidRDefault="006A4CD7" w:rsidP="002B283E">
      <w:pPr>
        <w:autoSpaceDE w:val="0"/>
        <w:autoSpaceDN w:val="0"/>
        <w:adjustRightInd w:val="0"/>
        <w:rPr>
          <w:rFonts w:cs="Times New Roman"/>
          <w:szCs w:val="24"/>
        </w:rPr>
      </w:pP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2B283E" w:rsidRDefault="006A4CD7" w:rsidP="002B283E">
      <w:pPr>
        <w:autoSpaceDE w:val="0"/>
        <w:autoSpaceDN w:val="0"/>
        <w:adjustRightInd w:val="0"/>
        <w:rPr>
          <w:rFonts w:cs="Times New Roman"/>
          <w:szCs w:val="24"/>
        </w:rPr>
      </w:pPr>
    </w:p>
    <w:p w14:paraId="3AE0E3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0854DFD" w14:textId="77777777" w:rsidR="006A4CD7" w:rsidRPr="002B283E" w:rsidRDefault="006A4CD7" w:rsidP="002B283E">
      <w:pPr>
        <w:autoSpaceDE w:val="0"/>
        <w:autoSpaceDN w:val="0"/>
        <w:adjustRightInd w:val="0"/>
        <w:rPr>
          <w:rFonts w:cs="Times New Roman"/>
          <w:szCs w:val="24"/>
        </w:rPr>
      </w:pPr>
    </w:p>
    <w:p w14:paraId="750DD998" w14:textId="4302C7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must be evidence to support this instruction. </w:t>
      </w:r>
      <w:r w:rsidRPr="002B283E">
        <w:rPr>
          <w:rFonts w:cs="Times New Roman"/>
          <w:i/>
          <w:iCs/>
          <w:szCs w:val="24"/>
        </w:rPr>
        <w:t>See Monessen Sw. Ry. Co. v. Morgan</w:t>
      </w:r>
      <w:r w:rsidRPr="002B283E">
        <w:rPr>
          <w:rFonts w:cs="Times New Roman"/>
          <w:szCs w:val="24"/>
        </w:rPr>
        <w:t xml:space="preserve">, 486 U.S. 330, 339-42 (1988); </w:t>
      </w:r>
      <w:r w:rsidRPr="002B283E">
        <w:rPr>
          <w:rFonts w:cs="Times New Roman"/>
          <w:i/>
          <w:iCs/>
          <w:szCs w:val="24"/>
        </w:rPr>
        <w:t>see also Passantino v. Johnson &amp; Johnson Consumer Prods., Inc.</w:t>
      </w:r>
      <w:r w:rsidRPr="008A04C2">
        <w:rPr>
          <w:rFonts w:cs="Times New Roman"/>
          <w:szCs w:val="24"/>
        </w:rPr>
        <w:t>,</w:t>
      </w:r>
      <w:r w:rsidRPr="002B283E">
        <w:rPr>
          <w:rFonts w:cs="Times New Roman"/>
          <w:szCs w:val="24"/>
        </w:rPr>
        <w:t xml:space="preserve"> 212 F.3d 493, 508-09 (9th Cir. 2000).</w:t>
      </w:r>
    </w:p>
    <w:p w14:paraId="2F6191A2" w14:textId="77777777" w:rsidR="006A4CD7" w:rsidRPr="002B283E" w:rsidRDefault="006A4CD7" w:rsidP="002B283E">
      <w:pPr>
        <w:autoSpaceDE w:val="0"/>
        <w:autoSpaceDN w:val="0"/>
        <w:adjustRightInd w:val="0"/>
        <w:rPr>
          <w:rFonts w:cs="Times New Roman"/>
          <w:szCs w:val="24"/>
        </w:rPr>
      </w:pPr>
    </w:p>
    <w:p w14:paraId="4D1CBF9B" w14:textId="77777777" w:rsidR="006A4CD7" w:rsidRPr="002B283E" w:rsidRDefault="006A4CD7" w:rsidP="002B283E">
      <w:pPr>
        <w:autoSpaceDE w:val="0"/>
        <w:autoSpaceDN w:val="0"/>
        <w:adjustRightInd w:val="0"/>
        <w:rPr>
          <w:rFonts w:cs="Times New Roman"/>
          <w:szCs w:val="24"/>
        </w:rPr>
      </w:pPr>
    </w:p>
    <w:p w14:paraId="62EF6949" w14:textId="77777777" w:rsidR="00C8117C" w:rsidRPr="002B283E" w:rsidRDefault="00C8117C" w:rsidP="002B283E">
      <w:pPr>
        <w:rPr>
          <w:rFonts w:cs="Times New Roman"/>
          <w:b/>
          <w:bCs/>
          <w:szCs w:val="24"/>
        </w:rPr>
      </w:pPr>
      <w:r w:rsidRPr="002B283E">
        <w:rPr>
          <w:rFonts w:cs="Times New Roman"/>
          <w:b/>
          <w:bCs/>
          <w:szCs w:val="24"/>
        </w:rPr>
        <w:br w:type="page"/>
      </w:r>
    </w:p>
    <w:p w14:paraId="15A6F668" w14:textId="1944F081" w:rsidR="006A4CD7" w:rsidRPr="002B283E" w:rsidRDefault="006A4CD7" w:rsidP="002B283E">
      <w:pPr>
        <w:pStyle w:val="Heading2"/>
      </w:pPr>
      <w:bookmarkStart w:id="92" w:name="_Toc221525137"/>
      <w:r w:rsidRPr="002B283E">
        <w:lastRenderedPageBreak/>
        <w:t>5.5 P</w:t>
      </w:r>
      <w:r w:rsidR="00496196" w:rsidRPr="002B283E">
        <w:t>unitive</w:t>
      </w:r>
      <w:r w:rsidRPr="002B283E">
        <w:t xml:space="preserve"> D</w:t>
      </w:r>
      <w:r w:rsidR="00496196" w:rsidRPr="002B283E">
        <w:t>amages</w:t>
      </w:r>
      <w:bookmarkEnd w:id="92"/>
    </w:p>
    <w:p w14:paraId="4147A1F0" w14:textId="77777777" w:rsidR="006A4CD7" w:rsidRPr="002B283E" w:rsidRDefault="006A4CD7" w:rsidP="00342D99">
      <w:pPr>
        <w:autoSpaceDE w:val="0"/>
        <w:autoSpaceDN w:val="0"/>
        <w:adjustRightInd w:val="0"/>
        <w:jc w:val="center"/>
        <w:rPr>
          <w:rFonts w:cs="Times New Roman"/>
          <w:szCs w:val="24"/>
        </w:rPr>
      </w:pPr>
    </w:p>
    <w:p w14:paraId="75212899" w14:textId="5C1B04EC" w:rsidR="008E0438" w:rsidRPr="002B283E" w:rsidRDefault="006A4CD7" w:rsidP="008A04C2">
      <w:pPr>
        <w:pStyle w:val="BodyText"/>
      </w:pPr>
      <w:r w:rsidRPr="002B283E">
        <w:tab/>
      </w:r>
      <w:r w:rsidR="008E0438" w:rsidRPr="002B283E">
        <w:t>If</w:t>
      </w:r>
      <w:r w:rsidR="008E0438" w:rsidRPr="002B283E">
        <w:rPr>
          <w:spacing w:val="-6"/>
        </w:rPr>
        <w:t xml:space="preserve"> </w:t>
      </w:r>
      <w:r w:rsidR="008E0438" w:rsidRPr="002B283E">
        <w:t>you</w:t>
      </w:r>
      <w:r w:rsidR="008E0438" w:rsidRPr="002B283E">
        <w:rPr>
          <w:spacing w:val="-2"/>
        </w:rPr>
        <w:t xml:space="preserve"> </w:t>
      </w:r>
      <w:r w:rsidR="008E0438" w:rsidRPr="002B283E">
        <w:t>find</w:t>
      </w:r>
      <w:r w:rsidR="008E0438" w:rsidRPr="002B283E">
        <w:rPr>
          <w:spacing w:val="-2"/>
        </w:rPr>
        <w:t xml:space="preserve"> </w:t>
      </w:r>
      <w:r w:rsidR="008E0438" w:rsidRPr="002B283E">
        <w:t>for</w:t>
      </w:r>
      <w:r w:rsidR="008E0438" w:rsidRPr="002B283E">
        <w:rPr>
          <w:spacing w:val="-3"/>
        </w:rPr>
        <w:t xml:space="preserve"> </w:t>
      </w:r>
      <w:r w:rsidR="008E0438" w:rsidRPr="002B283E">
        <w:t>the</w:t>
      </w:r>
      <w:r w:rsidR="008E0438" w:rsidRPr="002B283E">
        <w:rPr>
          <w:spacing w:val="-3"/>
        </w:rPr>
        <w:t xml:space="preserve"> </w:t>
      </w:r>
      <w:r w:rsidR="008E0438" w:rsidRPr="002B283E">
        <w:t>plaintiff</w:t>
      </w:r>
      <w:r w:rsidR="00342D99">
        <w:t xml:space="preserve"> </w:t>
      </w:r>
      <w:r w:rsidR="00342D99" w:rsidRPr="00342D99">
        <w:t>[</w:t>
      </w:r>
      <w:r w:rsidR="00342D99" w:rsidRPr="008A04C2">
        <w:rPr>
          <w:i/>
          <w:iCs/>
          <w:u w:val="single"/>
        </w:rPr>
        <w:t>name</w:t>
      </w:r>
      <w:r w:rsidR="00342D99" w:rsidRPr="00342D99">
        <w:t>]</w:t>
      </w:r>
      <w:r w:rsidR="008E0438" w:rsidRPr="002B283E">
        <w:t>,</w:t>
      </w:r>
      <w:r w:rsidR="008E0438" w:rsidRPr="002B283E">
        <w:rPr>
          <w:spacing w:val="-2"/>
        </w:rPr>
        <w:t xml:space="preserve"> </w:t>
      </w:r>
      <w:r w:rsidR="008E0438" w:rsidRPr="002B283E">
        <w:t>you</w:t>
      </w:r>
      <w:r w:rsidR="008E0438" w:rsidRPr="002B283E">
        <w:rPr>
          <w:spacing w:val="-2"/>
        </w:rPr>
        <w:t xml:space="preserve"> </w:t>
      </w:r>
      <w:r w:rsidR="008E0438" w:rsidRPr="002B283E">
        <w:t>may,</w:t>
      </w:r>
      <w:r w:rsidR="008E0438" w:rsidRPr="002B283E">
        <w:rPr>
          <w:spacing w:val="-2"/>
        </w:rPr>
        <w:t xml:space="preserve"> </w:t>
      </w:r>
      <w:r w:rsidR="008E0438" w:rsidRPr="002B283E">
        <w:t>but</w:t>
      </w:r>
      <w:r w:rsidR="008E0438" w:rsidRPr="002B283E">
        <w:rPr>
          <w:spacing w:val="-2"/>
        </w:rPr>
        <w:t xml:space="preserve"> </w:t>
      </w:r>
      <w:r w:rsidR="008E0438" w:rsidRPr="002B283E">
        <w:t>are</w:t>
      </w:r>
      <w:r w:rsidR="008E0438" w:rsidRPr="002B283E">
        <w:rPr>
          <w:spacing w:val="-3"/>
        </w:rPr>
        <w:t xml:space="preserve"> </w:t>
      </w:r>
      <w:r w:rsidR="008E0438" w:rsidRPr="002B283E">
        <w:t>not</w:t>
      </w:r>
      <w:r w:rsidR="008E0438" w:rsidRPr="002B283E">
        <w:rPr>
          <w:spacing w:val="-2"/>
        </w:rPr>
        <w:t xml:space="preserve"> </w:t>
      </w:r>
      <w:r w:rsidR="008E0438" w:rsidRPr="002B283E">
        <w:t>required</w:t>
      </w:r>
      <w:r w:rsidR="008E0438" w:rsidRPr="002B283E">
        <w:rPr>
          <w:spacing w:val="-2"/>
        </w:rPr>
        <w:t xml:space="preserve"> </w:t>
      </w:r>
      <w:r w:rsidR="008E0438" w:rsidRPr="002B283E">
        <w:t>to,</w:t>
      </w:r>
      <w:r w:rsidR="008E0438" w:rsidRPr="002B283E">
        <w:rPr>
          <w:spacing w:val="-2"/>
        </w:rPr>
        <w:t xml:space="preserve"> </w:t>
      </w:r>
      <w:r w:rsidR="008E0438" w:rsidRPr="002B283E">
        <w:t>award</w:t>
      </w:r>
      <w:r w:rsidR="008E0438" w:rsidRPr="002B283E">
        <w:rPr>
          <w:spacing w:val="-2"/>
        </w:rPr>
        <w:t xml:space="preserve"> </w:t>
      </w:r>
      <w:r w:rsidR="008E0438" w:rsidRPr="002B283E">
        <w:t>punitive</w:t>
      </w:r>
      <w:r w:rsidR="00342D99">
        <w:rPr>
          <w:spacing w:val="-3"/>
        </w:rPr>
        <w:t xml:space="preserve"> </w:t>
      </w:r>
      <w:r w:rsidR="008E0438" w:rsidRPr="002B283E">
        <w:rPr>
          <w:spacing w:val="-2"/>
        </w:rPr>
        <w:t>damages.</w:t>
      </w:r>
      <w:r w:rsidR="00342D99">
        <w:t xml:space="preserve"> </w:t>
      </w:r>
      <w:r w:rsidR="008E0438" w:rsidRPr="002B283E">
        <w:t>The</w:t>
      </w:r>
      <w:r w:rsidR="008E0438" w:rsidRPr="002B283E">
        <w:rPr>
          <w:spacing w:val="-4"/>
        </w:rPr>
        <w:t xml:space="preserve"> </w:t>
      </w:r>
      <w:r w:rsidR="008E0438" w:rsidRPr="002B283E">
        <w:t>purposes</w:t>
      </w:r>
      <w:r w:rsidR="008E0438" w:rsidRPr="002B283E">
        <w:rPr>
          <w:spacing w:val="-3"/>
        </w:rPr>
        <w:t xml:space="preserve"> </w:t>
      </w:r>
      <w:r w:rsidR="008E0438" w:rsidRPr="002B283E">
        <w:t>of</w:t>
      </w:r>
      <w:r w:rsidR="008E0438" w:rsidRPr="002B283E">
        <w:rPr>
          <w:spacing w:val="-4"/>
        </w:rPr>
        <w:t xml:space="preserve"> </w:t>
      </w:r>
      <w:r w:rsidR="008E0438" w:rsidRPr="002B283E">
        <w:t>punitive</w:t>
      </w:r>
      <w:r w:rsidR="008E0438" w:rsidRPr="002B283E">
        <w:rPr>
          <w:spacing w:val="-2"/>
        </w:rPr>
        <w:t xml:space="preserve"> </w:t>
      </w:r>
      <w:r w:rsidR="008E0438" w:rsidRPr="002B283E">
        <w:t>damages</w:t>
      </w:r>
      <w:r w:rsidR="008E0438" w:rsidRPr="002B283E">
        <w:rPr>
          <w:spacing w:val="-3"/>
        </w:rPr>
        <w:t xml:space="preserve"> </w:t>
      </w:r>
      <w:r w:rsidR="008E0438" w:rsidRPr="002B283E">
        <w:t>are</w:t>
      </w:r>
      <w:r w:rsidR="008E0438" w:rsidRPr="002B283E">
        <w:rPr>
          <w:spacing w:val="-4"/>
        </w:rPr>
        <w:t xml:space="preserve"> </w:t>
      </w:r>
      <w:r w:rsidR="008E0438" w:rsidRPr="002B283E">
        <w:t>to</w:t>
      </w:r>
      <w:r w:rsidR="008E0438" w:rsidRPr="002B283E">
        <w:rPr>
          <w:spacing w:val="-3"/>
        </w:rPr>
        <w:t xml:space="preserve"> </w:t>
      </w:r>
      <w:r w:rsidR="008E0438" w:rsidRPr="002B283E">
        <w:t>punish</w:t>
      </w:r>
      <w:r w:rsidR="008E0438" w:rsidRPr="002B283E">
        <w:rPr>
          <w:spacing w:val="-3"/>
        </w:rPr>
        <w:t xml:space="preserve"> </w:t>
      </w:r>
      <w:r w:rsidR="008E0438" w:rsidRPr="002B283E">
        <w:t>a</w:t>
      </w:r>
      <w:r w:rsidR="008E0438" w:rsidRPr="002B283E">
        <w:rPr>
          <w:spacing w:val="-2"/>
        </w:rPr>
        <w:t xml:space="preserve"> </w:t>
      </w:r>
      <w:r w:rsidR="008E0438" w:rsidRPr="002B283E">
        <w:t>defendant</w:t>
      </w:r>
      <w:r w:rsidR="008E0438" w:rsidRPr="002B283E">
        <w:rPr>
          <w:spacing w:val="-1"/>
        </w:rPr>
        <w:t xml:space="preserve"> </w:t>
      </w:r>
      <w:r w:rsidR="008E0438" w:rsidRPr="002B283E">
        <w:t>and</w:t>
      </w:r>
      <w:r w:rsidR="008E0438" w:rsidRPr="002B283E">
        <w:rPr>
          <w:spacing w:val="-3"/>
        </w:rPr>
        <w:t xml:space="preserve"> </w:t>
      </w:r>
      <w:r w:rsidR="008E0438" w:rsidRPr="002B283E">
        <w:t>to</w:t>
      </w:r>
      <w:r w:rsidR="008E0438" w:rsidRPr="002B283E">
        <w:rPr>
          <w:spacing w:val="-3"/>
        </w:rPr>
        <w:t xml:space="preserve"> </w:t>
      </w:r>
      <w:r w:rsidR="008E0438" w:rsidRPr="002B283E">
        <w:t>deter</w:t>
      </w:r>
      <w:r w:rsidR="008E0438" w:rsidRPr="002B283E">
        <w:rPr>
          <w:spacing w:val="-4"/>
        </w:rPr>
        <w:t xml:space="preserve"> </w:t>
      </w:r>
      <w:r w:rsidR="008E0438" w:rsidRPr="002B283E">
        <w:t>similar</w:t>
      </w:r>
      <w:r w:rsidR="008E0438" w:rsidRPr="002B283E">
        <w:rPr>
          <w:spacing w:val="-4"/>
        </w:rPr>
        <w:t xml:space="preserve"> </w:t>
      </w:r>
      <w:r w:rsidR="008E0438" w:rsidRPr="002B283E">
        <w:t>acts</w:t>
      </w:r>
      <w:r w:rsidR="008E0438" w:rsidRPr="002B283E">
        <w:rPr>
          <w:spacing w:val="-3"/>
        </w:rPr>
        <w:t xml:space="preserve"> </w:t>
      </w:r>
      <w:r w:rsidR="008E0438" w:rsidRPr="002B283E">
        <w:t>in</w:t>
      </w:r>
      <w:r w:rsidR="008E0438" w:rsidRPr="002B283E">
        <w:rPr>
          <w:spacing w:val="-3"/>
        </w:rPr>
        <w:t xml:space="preserve"> </w:t>
      </w:r>
      <w:r w:rsidR="008E0438" w:rsidRPr="002B283E">
        <w:t>the future.</w:t>
      </w:r>
      <w:r w:rsidR="00342D99">
        <w:rPr>
          <w:spacing w:val="40"/>
        </w:rPr>
        <w:t xml:space="preserve"> </w:t>
      </w:r>
      <w:r w:rsidR="008E0438" w:rsidRPr="002B283E">
        <w:t>Punitive damages may not be awarded to compensate a plaintiff.</w:t>
      </w:r>
    </w:p>
    <w:p w14:paraId="141F5AD0" w14:textId="77777777" w:rsidR="008E0438" w:rsidRPr="002B283E" w:rsidRDefault="008E0438" w:rsidP="002B283E">
      <w:pPr>
        <w:pStyle w:val="BodyText"/>
      </w:pPr>
    </w:p>
    <w:p w14:paraId="11EBA054" w14:textId="1B8AAE8F" w:rsidR="008E0438" w:rsidRPr="002B283E" w:rsidRDefault="008E0438" w:rsidP="002B283E">
      <w:pPr>
        <w:pStyle w:val="BodyText"/>
        <w:ind w:right="203" w:firstLine="720"/>
      </w:pPr>
      <w:r w:rsidRPr="002B283E">
        <w:t>The</w:t>
      </w:r>
      <w:r w:rsidRPr="002B283E">
        <w:rPr>
          <w:spacing w:val="-4"/>
        </w:rPr>
        <w:t xml:space="preserve"> </w:t>
      </w:r>
      <w:r w:rsidRPr="002B283E">
        <w:t>plaintiff</w:t>
      </w:r>
      <w:r w:rsidRPr="002B283E">
        <w:rPr>
          <w:spacing w:val="-4"/>
        </w:rPr>
        <w:t xml:space="preserve"> </w:t>
      </w:r>
      <w:r w:rsidR="00342D99" w:rsidRPr="00342D99">
        <w:t>[</w:t>
      </w:r>
      <w:r w:rsidR="00342D99" w:rsidRPr="009E2B37">
        <w:rPr>
          <w:i/>
          <w:iCs/>
          <w:u w:val="single"/>
        </w:rPr>
        <w:t>name</w:t>
      </w:r>
      <w:r w:rsidR="00342D99" w:rsidRPr="00342D99">
        <w:t>]</w:t>
      </w:r>
      <w:r w:rsidR="00342D99">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by</w:t>
      </w:r>
      <w:r w:rsidRPr="002B283E">
        <w:rPr>
          <w:spacing w:val="-3"/>
        </w:rPr>
        <w:t xml:space="preserve"> </w:t>
      </w:r>
      <w:r w:rsidRPr="002B283E">
        <w:t>[a</w:t>
      </w:r>
      <w:r w:rsidRPr="002B283E">
        <w:rPr>
          <w:spacing w:val="-4"/>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2"/>
        </w:rPr>
        <w:t xml:space="preserve"> </w:t>
      </w:r>
      <w:r w:rsidRPr="002B283E">
        <w:t>evidence]</w:t>
      </w:r>
      <w:r w:rsidRPr="002B283E">
        <w:rPr>
          <w:spacing w:val="-4"/>
        </w:rPr>
        <w:t xml:space="preserve"> </w:t>
      </w:r>
      <w:r w:rsidRPr="002B283E">
        <w:t>[clear</w:t>
      </w:r>
      <w:r w:rsidRPr="002B283E">
        <w:rPr>
          <w:spacing w:val="-4"/>
        </w:rPr>
        <w:t xml:space="preserve"> </w:t>
      </w:r>
      <w:r w:rsidRPr="002B283E">
        <w:t>and convincing evidence] that punitive damages should be awarded and, if so, the amount of any such damages.</w:t>
      </w:r>
    </w:p>
    <w:p w14:paraId="177263ED" w14:textId="77777777" w:rsidR="008E0438" w:rsidRPr="002B283E" w:rsidRDefault="008E0438" w:rsidP="002B283E">
      <w:pPr>
        <w:pStyle w:val="BodyText"/>
      </w:pPr>
    </w:p>
    <w:p w14:paraId="1A70316C" w14:textId="3063D6C3" w:rsidR="008E0438" w:rsidRPr="002B283E" w:rsidRDefault="008E0438" w:rsidP="002B283E">
      <w:pPr>
        <w:pStyle w:val="BodyText"/>
        <w:ind w:right="116" w:firstLine="720"/>
      </w:pPr>
      <w:r w:rsidRPr="002B283E">
        <w:t>You may award punitive damages only if you find that the defendant</w:t>
      </w:r>
      <w:r w:rsidR="00342D99">
        <w:t xml:space="preserve"> </w:t>
      </w:r>
      <w:r w:rsidR="00342D99" w:rsidRPr="00342D99">
        <w:t>[</w:t>
      </w:r>
      <w:r w:rsidR="00342D99" w:rsidRPr="009E2B37">
        <w:rPr>
          <w:i/>
          <w:iCs/>
          <w:u w:val="single"/>
        </w:rPr>
        <w:t>name</w:t>
      </w:r>
      <w:r w:rsidR="00342D99" w:rsidRPr="00342D99">
        <w:t>]</w:t>
      </w:r>
      <w:r w:rsidR="00342D99">
        <w:t>’s</w:t>
      </w:r>
      <w:r w:rsidRPr="002B283E">
        <w:t xml:space="preserve"> conduct that harmed the plaintiff </w:t>
      </w:r>
      <w:r w:rsidR="00342D99" w:rsidRPr="00342D99">
        <w:t>[</w:t>
      </w:r>
      <w:r w:rsidR="00342D99" w:rsidRPr="009E2B37">
        <w:rPr>
          <w:i/>
          <w:iCs/>
          <w:u w:val="single"/>
        </w:rPr>
        <w:t>name</w:t>
      </w:r>
      <w:r w:rsidR="00342D99" w:rsidRPr="00342D99">
        <w:t>]</w:t>
      </w:r>
      <w:r w:rsidR="003A638F">
        <w:t xml:space="preserve"> </w:t>
      </w:r>
      <w:r w:rsidRPr="002B283E">
        <w:t>was malicious, oppressive or in reckless disregard of the plaintiff’s rights. Conduct</w:t>
      </w:r>
      <w:r w:rsidRPr="002B283E">
        <w:rPr>
          <w:spacing w:val="-2"/>
        </w:rPr>
        <w:t xml:space="preserve"> </w:t>
      </w:r>
      <w:r w:rsidRPr="002B283E">
        <w:t>is</w:t>
      </w:r>
      <w:r w:rsidRPr="002B283E">
        <w:rPr>
          <w:spacing w:val="-2"/>
        </w:rPr>
        <w:t xml:space="preserve"> </w:t>
      </w:r>
      <w:r w:rsidRPr="002B283E">
        <w:t>malicious</w:t>
      </w:r>
      <w:r w:rsidRPr="002B283E">
        <w:rPr>
          <w:spacing w:val="-2"/>
        </w:rPr>
        <w:t xml:space="preserve"> </w:t>
      </w:r>
      <w:r w:rsidRPr="002B283E">
        <w:t>if</w:t>
      </w:r>
      <w:r w:rsidRPr="002B283E">
        <w:rPr>
          <w:spacing w:val="-3"/>
        </w:rPr>
        <w:t xml:space="preserve"> </w:t>
      </w:r>
      <w:r w:rsidRPr="002B283E">
        <w:t>it</w:t>
      </w:r>
      <w:r w:rsidRPr="002B283E">
        <w:rPr>
          <w:spacing w:val="-4"/>
        </w:rPr>
        <w:t xml:space="preserve"> </w:t>
      </w:r>
      <w:r w:rsidRPr="002B283E">
        <w:t>is</w:t>
      </w:r>
      <w:r w:rsidRPr="002B283E">
        <w:rPr>
          <w:spacing w:val="-2"/>
        </w:rPr>
        <w:t xml:space="preserve"> </w:t>
      </w:r>
      <w:r w:rsidRPr="002B283E">
        <w:t>accompanied</w:t>
      </w:r>
      <w:r w:rsidRPr="002B283E">
        <w:rPr>
          <w:spacing w:val="-2"/>
        </w:rPr>
        <w:t xml:space="preserve"> </w:t>
      </w:r>
      <w:r w:rsidRPr="002B283E">
        <w:t>by</w:t>
      </w:r>
      <w:r w:rsidRPr="002B283E">
        <w:rPr>
          <w:spacing w:val="-2"/>
        </w:rPr>
        <w:t xml:space="preserve"> </w:t>
      </w:r>
      <w:r w:rsidRPr="002B283E">
        <w:t>ill</w:t>
      </w:r>
      <w:r w:rsidRPr="002B283E">
        <w:rPr>
          <w:spacing w:val="-2"/>
        </w:rPr>
        <w:t xml:space="preserve"> </w:t>
      </w:r>
      <w:r w:rsidRPr="002B283E">
        <w:t>will,</w:t>
      </w:r>
      <w:r w:rsidRPr="002B283E">
        <w:rPr>
          <w:spacing w:val="-2"/>
        </w:rPr>
        <w:t xml:space="preserve"> </w:t>
      </w:r>
      <w:r w:rsidRPr="002B283E">
        <w:t>or</w:t>
      </w:r>
      <w:r w:rsidRPr="002B283E">
        <w:rPr>
          <w:spacing w:val="-3"/>
        </w:rPr>
        <w:t xml:space="preserve"> </w:t>
      </w:r>
      <w:r w:rsidRPr="002B283E">
        <w:t>spite,</w:t>
      </w:r>
      <w:r w:rsidRPr="002B283E">
        <w:rPr>
          <w:spacing w:val="-2"/>
        </w:rPr>
        <w:t xml:space="preserve"> </w:t>
      </w:r>
      <w:r w:rsidRPr="002B283E">
        <w:t>or</w:t>
      </w:r>
      <w:r w:rsidRPr="002B283E">
        <w:rPr>
          <w:spacing w:val="-3"/>
        </w:rPr>
        <w:t xml:space="preserve"> </w:t>
      </w:r>
      <w:r w:rsidRPr="002B283E">
        <w:t>if</w:t>
      </w:r>
      <w:r w:rsidRPr="002B283E">
        <w:rPr>
          <w:spacing w:val="-3"/>
        </w:rPr>
        <w:t xml:space="preserve"> </w:t>
      </w:r>
      <w:r w:rsidRPr="002B283E">
        <w:t>it</w:t>
      </w:r>
      <w:r w:rsidRPr="002B283E">
        <w:rPr>
          <w:spacing w:val="-2"/>
        </w:rPr>
        <w:t xml:space="preserve"> </w:t>
      </w:r>
      <w:r w:rsidRPr="002B283E">
        <w:t>is</w:t>
      </w:r>
      <w:r w:rsidRPr="002B283E">
        <w:rPr>
          <w:spacing w:val="-2"/>
        </w:rPr>
        <w:t xml:space="preserve"> </w:t>
      </w:r>
      <w:r w:rsidRPr="002B283E">
        <w:t>for</w:t>
      </w:r>
      <w:r w:rsidRPr="002B283E">
        <w:rPr>
          <w:spacing w:val="-3"/>
        </w:rPr>
        <w:t xml:space="preserve"> </w:t>
      </w:r>
      <w:r w:rsidRPr="002B283E">
        <w:t>the</w:t>
      </w:r>
      <w:r w:rsidRPr="002B283E">
        <w:rPr>
          <w:spacing w:val="-3"/>
        </w:rPr>
        <w:t xml:space="preserve"> </w:t>
      </w:r>
      <w:r w:rsidRPr="002B283E">
        <w:t>purpose</w:t>
      </w:r>
      <w:r w:rsidRPr="002B283E">
        <w:rPr>
          <w:spacing w:val="-3"/>
        </w:rPr>
        <w:t xml:space="preserve"> </w:t>
      </w:r>
      <w:r w:rsidRPr="002B283E">
        <w:t>of</w:t>
      </w:r>
      <w:r w:rsidRPr="002B283E">
        <w:rPr>
          <w:spacing w:val="-3"/>
        </w:rPr>
        <w:t xml:space="preserve"> </w:t>
      </w:r>
      <w:r w:rsidRPr="002B283E">
        <w:t>injuring the</w:t>
      </w:r>
      <w:r w:rsidRPr="002B283E">
        <w:rPr>
          <w:spacing w:val="-2"/>
        </w:rPr>
        <w:t xml:space="preserve"> </w:t>
      </w:r>
      <w:r w:rsidRPr="002B283E">
        <w:t>plaintiff</w:t>
      </w:r>
      <w:r w:rsidR="00342D99">
        <w:t xml:space="preserve"> </w:t>
      </w:r>
      <w:r w:rsidR="00342D99" w:rsidRPr="00342D99">
        <w:t>[</w:t>
      </w:r>
      <w:r w:rsidR="00342D99" w:rsidRPr="009E2B37">
        <w:rPr>
          <w:i/>
          <w:iCs/>
          <w:u w:val="single"/>
        </w:rPr>
        <w:t>name</w:t>
      </w:r>
      <w:r w:rsidR="00342D99" w:rsidRPr="00342D99">
        <w:t>]</w:t>
      </w:r>
      <w:r w:rsidRPr="002B283E">
        <w:t>.</w:t>
      </w:r>
      <w:r w:rsidRPr="002B283E">
        <w:rPr>
          <w:spacing w:val="40"/>
        </w:rPr>
        <w:t xml:space="preserve"> </w:t>
      </w:r>
      <w:r w:rsidRPr="002B283E">
        <w:t>Conduct</w:t>
      </w:r>
      <w:r w:rsidRPr="002B283E">
        <w:rPr>
          <w:spacing w:val="-1"/>
        </w:rPr>
        <w:t xml:space="preserve"> </w:t>
      </w:r>
      <w:r w:rsidRPr="002B283E">
        <w:t>is</w:t>
      </w:r>
      <w:r w:rsidRPr="002B283E">
        <w:rPr>
          <w:spacing w:val="-1"/>
        </w:rPr>
        <w:t xml:space="preserve"> </w:t>
      </w:r>
      <w:r w:rsidRPr="002B283E">
        <w:t>in</w:t>
      </w:r>
      <w:r w:rsidRPr="002B283E">
        <w:rPr>
          <w:spacing w:val="-1"/>
        </w:rPr>
        <w:t xml:space="preserve"> </w:t>
      </w:r>
      <w:r w:rsidRPr="002B283E">
        <w:t>reckless</w:t>
      </w:r>
      <w:r w:rsidRPr="002B283E">
        <w:rPr>
          <w:spacing w:val="-1"/>
        </w:rPr>
        <w:t xml:space="preserve"> </w:t>
      </w:r>
      <w:r w:rsidRPr="002B283E">
        <w:t>disregard</w:t>
      </w:r>
      <w:r w:rsidRPr="002B283E">
        <w:rPr>
          <w:spacing w:val="-1"/>
        </w:rPr>
        <w:t xml:space="preserve"> </w:t>
      </w:r>
      <w:r w:rsidRPr="002B283E">
        <w:t>of</w:t>
      </w:r>
      <w:r w:rsidRPr="002B283E">
        <w:rPr>
          <w:spacing w:val="-2"/>
        </w:rPr>
        <w:t xml:space="preserve"> </w:t>
      </w:r>
      <w:r w:rsidRPr="002B283E">
        <w:t>the</w:t>
      </w:r>
      <w:r w:rsidRPr="002B283E">
        <w:rPr>
          <w:spacing w:val="-2"/>
        </w:rPr>
        <w:t xml:space="preserve"> </w:t>
      </w:r>
      <w:r w:rsidRPr="002B283E">
        <w:t>plaintiff’s</w:t>
      </w:r>
      <w:r w:rsidRPr="002B283E">
        <w:rPr>
          <w:spacing w:val="-1"/>
        </w:rPr>
        <w:t xml:space="preserve"> </w:t>
      </w:r>
      <w:r w:rsidRPr="002B283E">
        <w:t>rights</w:t>
      </w:r>
      <w:r w:rsidRPr="002B283E">
        <w:rPr>
          <w:spacing w:val="-1"/>
        </w:rPr>
        <w:t xml:space="preserve"> </w:t>
      </w:r>
      <w:r w:rsidRPr="002B283E">
        <w:t>if,</w:t>
      </w:r>
      <w:r w:rsidRPr="002B283E">
        <w:rPr>
          <w:spacing w:val="-1"/>
        </w:rPr>
        <w:t xml:space="preserve"> </w:t>
      </w:r>
      <w:r w:rsidRPr="002B283E">
        <w:t>under</w:t>
      </w:r>
      <w:r w:rsidRPr="002B283E">
        <w:rPr>
          <w:spacing w:val="-2"/>
        </w:rPr>
        <w:t xml:space="preserve"> </w:t>
      </w:r>
      <w:r w:rsidRPr="002B283E">
        <w:t>the</w:t>
      </w:r>
      <w:r w:rsidRPr="002B283E">
        <w:rPr>
          <w:spacing w:val="-2"/>
        </w:rPr>
        <w:t xml:space="preserve"> </w:t>
      </w:r>
      <w:r w:rsidRPr="002B283E">
        <w:t>circumstances, it reflects complete indifference to the plaintiff’s safety or rights, or if the defendant acts in the face</w:t>
      </w:r>
      <w:r w:rsidRPr="002B283E">
        <w:rPr>
          <w:spacing w:val="-4"/>
        </w:rPr>
        <w:t xml:space="preserve"> </w:t>
      </w:r>
      <w:r w:rsidRPr="002B283E">
        <w:t>of</w:t>
      </w:r>
      <w:r w:rsidRPr="002B283E">
        <w:rPr>
          <w:spacing w:val="-4"/>
        </w:rPr>
        <w:t xml:space="preserve"> </w:t>
      </w:r>
      <w:r w:rsidRPr="002B283E">
        <w:t>a</w:t>
      </w:r>
      <w:r w:rsidRPr="002B283E">
        <w:rPr>
          <w:spacing w:val="-4"/>
        </w:rPr>
        <w:t xml:space="preserve"> </w:t>
      </w:r>
      <w:r w:rsidRPr="002B283E">
        <w:t>perceived</w:t>
      </w:r>
      <w:r w:rsidRPr="002B283E">
        <w:rPr>
          <w:spacing w:val="-3"/>
        </w:rPr>
        <w:t xml:space="preserve"> </w:t>
      </w:r>
      <w:r w:rsidRPr="002B283E">
        <w:t>risk</w:t>
      </w:r>
      <w:r w:rsidRPr="002B283E">
        <w:rPr>
          <w:spacing w:val="-3"/>
        </w:rPr>
        <w:t xml:space="preserve"> </w:t>
      </w:r>
      <w:r w:rsidRPr="002B283E">
        <w:t>that</w:t>
      </w:r>
      <w:r w:rsidRPr="002B283E">
        <w:rPr>
          <w:spacing w:val="-3"/>
        </w:rPr>
        <w:t xml:space="preserve"> </w:t>
      </w:r>
      <w:r w:rsidRPr="002B283E">
        <w:t>its</w:t>
      </w:r>
      <w:r w:rsidRPr="002B283E">
        <w:rPr>
          <w:spacing w:val="-3"/>
        </w:rPr>
        <w:t xml:space="preserve"> </w:t>
      </w:r>
      <w:r w:rsidRPr="002B283E">
        <w:t>actions</w:t>
      </w:r>
      <w:r w:rsidRPr="002B283E">
        <w:rPr>
          <w:spacing w:val="-3"/>
        </w:rPr>
        <w:t xml:space="preserve"> </w:t>
      </w:r>
      <w:r w:rsidRPr="002B283E">
        <w:t>will</w:t>
      </w:r>
      <w:r w:rsidRPr="002B283E">
        <w:rPr>
          <w:spacing w:val="-3"/>
        </w:rPr>
        <w:t xml:space="preserve"> </w:t>
      </w:r>
      <w:r w:rsidRPr="002B283E">
        <w:t>violate</w:t>
      </w:r>
      <w:r w:rsidRPr="002B283E">
        <w:rPr>
          <w:spacing w:val="-4"/>
        </w:rPr>
        <w:t xml:space="preserve"> </w:t>
      </w:r>
      <w:r w:rsidRPr="002B283E">
        <w:t>the</w:t>
      </w:r>
      <w:r w:rsidRPr="002B283E">
        <w:rPr>
          <w:spacing w:val="-4"/>
        </w:rPr>
        <w:t xml:space="preserve"> </w:t>
      </w:r>
      <w:r w:rsidRPr="002B283E">
        <w:t>plaintiff’s</w:t>
      </w:r>
      <w:r w:rsidRPr="002B283E">
        <w:rPr>
          <w:spacing w:val="-3"/>
        </w:rPr>
        <w:t xml:space="preserve"> </w:t>
      </w:r>
      <w:r w:rsidRPr="002B283E">
        <w:t>rights</w:t>
      </w:r>
      <w:r w:rsidRPr="002B283E">
        <w:rPr>
          <w:spacing w:val="-3"/>
        </w:rPr>
        <w:t xml:space="preserve"> </w:t>
      </w:r>
      <w:r w:rsidRPr="002B283E">
        <w:t>under</w:t>
      </w:r>
      <w:r w:rsidRPr="002B283E">
        <w:rPr>
          <w:spacing w:val="-4"/>
        </w:rPr>
        <w:t xml:space="preserve"> </w:t>
      </w:r>
      <w:r w:rsidRPr="002B283E">
        <w:t>federal</w:t>
      </w:r>
      <w:r w:rsidRPr="002B283E">
        <w:rPr>
          <w:spacing w:val="-3"/>
        </w:rPr>
        <w:t xml:space="preserve"> </w:t>
      </w:r>
      <w:r w:rsidRPr="002B283E">
        <w:t>law.</w:t>
      </w:r>
      <w:r w:rsidR="00342D99">
        <w:rPr>
          <w:spacing w:val="40"/>
        </w:rPr>
        <w:t xml:space="preserve"> </w:t>
      </w:r>
      <w:r w:rsidRPr="002B283E">
        <w:t>An</w:t>
      </w:r>
      <w:r w:rsidRPr="002B283E">
        <w:rPr>
          <w:spacing w:val="-3"/>
        </w:rPr>
        <w:t xml:space="preserve"> </w:t>
      </w:r>
      <w:r w:rsidRPr="002B283E">
        <w:t>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p>
    <w:p w14:paraId="5D24CA29" w14:textId="77777777" w:rsidR="008E0438" w:rsidRPr="002B283E" w:rsidRDefault="008E0438" w:rsidP="002B283E">
      <w:pPr>
        <w:pStyle w:val="BodyText"/>
      </w:pPr>
    </w:p>
    <w:p w14:paraId="386771BB" w14:textId="40C0F84B" w:rsidR="008E0438" w:rsidRDefault="008E0438" w:rsidP="008A04C2">
      <w:pPr>
        <w:pStyle w:val="BodyText"/>
        <w:ind w:right="203" w:firstLine="720"/>
      </w:pPr>
      <w:r w:rsidRPr="002B283E">
        <w:t>If you find that punitive damages are appropriate, you must use reason in setting the amount.</w:t>
      </w:r>
      <w:r w:rsidR="00342D99">
        <w:rPr>
          <w:spacing w:val="40"/>
        </w:rPr>
        <w:t xml:space="preserve"> </w:t>
      </w:r>
      <w:r w:rsidRPr="002B283E">
        <w:t>Punitive</w:t>
      </w:r>
      <w:r w:rsidRPr="002B283E">
        <w:rPr>
          <w:spacing w:val="-2"/>
        </w:rPr>
        <w:t xml:space="preserve"> </w:t>
      </w:r>
      <w:r w:rsidRPr="002B283E">
        <w:t>damages,</w:t>
      </w:r>
      <w:r w:rsidRPr="002B283E">
        <w:rPr>
          <w:spacing w:val="-1"/>
        </w:rPr>
        <w:t xml:space="preserve"> </w:t>
      </w:r>
      <w:r w:rsidRPr="002B283E">
        <w:t>if</w:t>
      </w:r>
      <w:r w:rsidRPr="002B283E">
        <w:rPr>
          <w:spacing w:val="-2"/>
        </w:rPr>
        <w:t xml:space="preserve"> </w:t>
      </w:r>
      <w:r w:rsidRPr="002B283E">
        <w:t>any,</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in</w:t>
      </w:r>
      <w:r w:rsidRPr="002B283E">
        <w:rPr>
          <w:spacing w:val="-1"/>
        </w:rPr>
        <w:t xml:space="preserve"> </w:t>
      </w:r>
      <w:r w:rsidRPr="002B283E">
        <w:t>an amount</w:t>
      </w:r>
      <w:r w:rsidRPr="002B283E">
        <w:rPr>
          <w:spacing w:val="-1"/>
        </w:rPr>
        <w:t xml:space="preserve"> </w:t>
      </w:r>
      <w:r w:rsidRPr="002B283E">
        <w:t>sufficient</w:t>
      </w:r>
      <w:r w:rsidRPr="002B283E">
        <w:rPr>
          <w:spacing w:val="-1"/>
        </w:rPr>
        <w:t xml:space="preserve"> </w:t>
      </w:r>
      <w:r w:rsidRPr="002B283E">
        <w:t>to</w:t>
      </w:r>
      <w:r w:rsidRPr="002B283E">
        <w:rPr>
          <w:spacing w:val="-1"/>
        </w:rPr>
        <w:t xml:space="preserve"> </w:t>
      </w:r>
      <w:r w:rsidRPr="002B283E">
        <w:t>fulfill</w:t>
      </w:r>
      <w:r w:rsidRPr="002B283E">
        <w:rPr>
          <w:spacing w:val="-1"/>
        </w:rPr>
        <w:t xml:space="preserve"> </w:t>
      </w:r>
      <w:r w:rsidRPr="002B283E">
        <w:t>their</w:t>
      </w:r>
      <w:r w:rsidRPr="002B283E">
        <w:rPr>
          <w:spacing w:val="-2"/>
        </w:rPr>
        <w:t xml:space="preserve"> </w:t>
      </w:r>
      <w:r w:rsidRPr="002B283E">
        <w:t>purposes</w:t>
      </w:r>
      <w:r w:rsidRPr="002B283E">
        <w:rPr>
          <w:spacing w:val="-1"/>
        </w:rPr>
        <w:t xml:space="preserve"> </w:t>
      </w:r>
      <w:r w:rsidRPr="002B283E">
        <w:t>but should not reflect bias, prejudice, or sympathy toward any party.</w:t>
      </w:r>
      <w:r w:rsidR="00342D99">
        <w:rPr>
          <w:spacing w:val="40"/>
        </w:rPr>
        <w:t xml:space="preserve"> </w:t>
      </w:r>
      <w:r w:rsidRPr="002B283E">
        <w:t>In considering the amount of any punitive damages, consider the degree of reprehensibility of the defendant</w:t>
      </w:r>
      <w:r w:rsidR="00342D99">
        <w:t xml:space="preserve"> </w:t>
      </w:r>
      <w:r w:rsidR="00342D99" w:rsidRPr="00342D99">
        <w:t>[</w:t>
      </w:r>
      <w:r w:rsidR="00342D99" w:rsidRPr="009E2B37">
        <w:rPr>
          <w:i/>
          <w:iCs/>
          <w:u w:val="single"/>
        </w:rPr>
        <w:t>name</w:t>
      </w:r>
      <w:r w:rsidR="00342D99" w:rsidRPr="00342D99">
        <w:t>]</w:t>
      </w:r>
      <w:r w:rsidRPr="002B283E">
        <w:t xml:space="preserve"> conduct[, including</w:t>
      </w:r>
      <w:r w:rsidRPr="002B283E">
        <w:rPr>
          <w:spacing w:val="-4"/>
        </w:rPr>
        <w:t xml:space="preserve"> </w:t>
      </w:r>
      <w:r w:rsidRPr="002B283E">
        <w:t>whether</w:t>
      </w:r>
      <w:r w:rsidRPr="002B283E">
        <w:rPr>
          <w:spacing w:val="-5"/>
        </w:rPr>
        <w:t xml:space="preserve"> </w:t>
      </w:r>
      <w:r w:rsidRPr="002B283E">
        <w:t>the</w:t>
      </w:r>
      <w:r w:rsidRPr="002B283E">
        <w:rPr>
          <w:spacing w:val="-5"/>
        </w:rPr>
        <w:t xml:space="preserve"> </w:t>
      </w:r>
      <w:r w:rsidRPr="002B283E">
        <w:t>conduct</w:t>
      </w:r>
      <w:r w:rsidRPr="002B283E">
        <w:rPr>
          <w:spacing w:val="-4"/>
        </w:rPr>
        <w:t xml:space="preserve"> </w:t>
      </w:r>
      <w:r w:rsidRPr="002B283E">
        <w:t>that</w:t>
      </w:r>
      <w:r w:rsidRPr="002B283E">
        <w:rPr>
          <w:spacing w:val="-4"/>
        </w:rPr>
        <w:t xml:space="preserve"> </w:t>
      </w:r>
      <w:r w:rsidRPr="002B283E">
        <w:t>harmed</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342D99" w:rsidRPr="00342D99">
        <w:t>[</w:t>
      </w:r>
      <w:r w:rsidR="00342D99" w:rsidRPr="009E2B37">
        <w:rPr>
          <w:i/>
          <w:iCs/>
          <w:u w:val="single"/>
        </w:rPr>
        <w:t>name</w:t>
      </w:r>
      <w:r w:rsidR="00342D99" w:rsidRPr="00342D99">
        <w:t>]</w:t>
      </w:r>
      <w:r w:rsidR="00342D99">
        <w:t xml:space="preserve"> </w:t>
      </w:r>
      <w:r w:rsidRPr="002B283E">
        <w:t>was</w:t>
      </w:r>
      <w:r w:rsidRPr="002B283E">
        <w:rPr>
          <w:spacing w:val="-4"/>
        </w:rPr>
        <w:t xml:space="preserve"> </w:t>
      </w:r>
      <w:r w:rsidRPr="002B283E">
        <w:t>particularly</w:t>
      </w:r>
      <w:r w:rsidRPr="002B283E">
        <w:rPr>
          <w:spacing w:val="-4"/>
        </w:rPr>
        <w:t xml:space="preserve"> </w:t>
      </w:r>
      <w:r w:rsidRPr="002B283E">
        <w:t>reprehensible</w:t>
      </w:r>
      <w:r w:rsidRPr="002B283E">
        <w:rPr>
          <w:spacing w:val="-5"/>
        </w:rPr>
        <w:t xml:space="preserve"> </w:t>
      </w:r>
      <w:r w:rsidRPr="002B283E">
        <w:t>because</w:t>
      </w:r>
      <w:r w:rsidRPr="002B283E">
        <w:rPr>
          <w:spacing w:val="-5"/>
        </w:rPr>
        <w:t xml:space="preserve"> </w:t>
      </w:r>
      <w:r w:rsidRPr="002B283E">
        <w:t>it also caused actual harm or posed a substantial risk of harm to people who are not parties to this case.</w:t>
      </w:r>
      <w:r w:rsidR="00342D99">
        <w:t xml:space="preserve"> </w:t>
      </w:r>
      <w:r w:rsidRPr="002B283E">
        <w:t xml:space="preserve">You may not, however, set the amount of any punitive damages to punish the defendant </w:t>
      </w:r>
      <w:r w:rsidR="00342D99" w:rsidRPr="00342D99">
        <w:t>[</w:t>
      </w:r>
      <w:r w:rsidR="00342D99" w:rsidRPr="009E2B37">
        <w:rPr>
          <w:i/>
          <w:iCs/>
          <w:u w:val="single"/>
        </w:rPr>
        <w:t>name</w:t>
      </w:r>
      <w:r w:rsidR="00342D99" w:rsidRPr="00342D99">
        <w:t>]</w:t>
      </w:r>
      <w:r w:rsidR="00F22B65">
        <w:t xml:space="preserve"> </w:t>
      </w:r>
      <w:r w:rsidRPr="002B283E">
        <w:t xml:space="preserve">for harm to anyone other than the plaintiff </w:t>
      </w:r>
      <w:r w:rsidR="00342D99" w:rsidRPr="00342D99">
        <w:t>[</w:t>
      </w:r>
      <w:r w:rsidR="00342D99" w:rsidRPr="009E2B37">
        <w:rPr>
          <w:i/>
          <w:iCs/>
          <w:u w:val="single"/>
        </w:rPr>
        <w:t>name</w:t>
      </w:r>
      <w:r w:rsidR="00342D99" w:rsidRPr="00342D99">
        <w:t>]</w:t>
      </w:r>
      <w:r w:rsidR="00342D99">
        <w:t xml:space="preserve"> </w:t>
      </w:r>
      <w:r w:rsidRPr="002B283E">
        <w:t>in this case].</w:t>
      </w:r>
      <w:r w:rsidR="00567281">
        <w:t xml:space="preserve"> </w:t>
      </w:r>
      <w:r w:rsidRPr="002B283E">
        <w:t>[In</w:t>
      </w:r>
      <w:r w:rsidRPr="002B283E">
        <w:rPr>
          <w:spacing w:val="-3"/>
        </w:rPr>
        <w:t xml:space="preserve"> </w:t>
      </w:r>
      <w:r w:rsidRPr="002B283E">
        <w:t>addition,</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4"/>
        </w:rPr>
        <w:t xml:space="preserve"> </w:t>
      </w:r>
      <w:r w:rsidRPr="002B283E">
        <w:t>relationship</w:t>
      </w:r>
      <w:r w:rsidRPr="002B283E">
        <w:rPr>
          <w:spacing w:val="-3"/>
        </w:rPr>
        <w:t xml:space="preserve"> </w:t>
      </w:r>
      <w:r w:rsidRPr="002B283E">
        <w:t>of</w:t>
      </w:r>
      <w:r w:rsidRPr="002B283E">
        <w:rPr>
          <w:spacing w:val="-2"/>
        </w:rPr>
        <w:t xml:space="preserve"> </w:t>
      </w:r>
      <w:r w:rsidRPr="002B283E">
        <w:t>any</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punitive</w:t>
      </w:r>
      <w:r w:rsidRPr="002B283E">
        <w:rPr>
          <w:spacing w:val="-4"/>
        </w:rPr>
        <w:t xml:space="preserve"> </w:t>
      </w:r>
      <w:r w:rsidRPr="002B283E">
        <w:t>damages</w:t>
      </w:r>
      <w:r w:rsidRPr="002B283E">
        <w:rPr>
          <w:spacing w:val="-3"/>
        </w:rPr>
        <w:t xml:space="preserve"> </w:t>
      </w:r>
      <w:r w:rsidRPr="002B283E">
        <w:t>to</w:t>
      </w:r>
      <w:r w:rsidRPr="002B283E">
        <w:rPr>
          <w:spacing w:val="-3"/>
        </w:rPr>
        <w:t xml:space="preserve"> </w:t>
      </w:r>
      <w:r w:rsidRPr="002B283E">
        <w:t>any actual harm inflicted on the plaintiff</w:t>
      </w:r>
      <w:r w:rsidR="00342D99">
        <w:t xml:space="preserve"> </w:t>
      </w:r>
      <w:r w:rsidR="00342D99" w:rsidRPr="00342D99">
        <w:t>[</w:t>
      </w:r>
      <w:r w:rsidR="00342D99" w:rsidRPr="009E2B37">
        <w:rPr>
          <w:i/>
          <w:iCs/>
          <w:u w:val="single"/>
        </w:rPr>
        <w:t>name</w:t>
      </w:r>
      <w:r w:rsidR="00342D99" w:rsidRPr="00342D99">
        <w:t>]</w:t>
      </w:r>
      <w:r w:rsidRPr="002B283E">
        <w:t>.]</w:t>
      </w:r>
    </w:p>
    <w:p w14:paraId="2727D902" w14:textId="77777777" w:rsidR="00342D99" w:rsidRPr="002B283E" w:rsidRDefault="00342D99" w:rsidP="002B283E">
      <w:pPr>
        <w:pStyle w:val="BodyText"/>
        <w:ind w:firstLine="720"/>
      </w:pPr>
    </w:p>
    <w:p w14:paraId="7382F589" w14:textId="77777777" w:rsidR="008E0438" w:rsidRPr="002B283E" w:rsidRDefault="008E0438" w:rsidP="002B283E">
      <w:pPr>
        <w:pStyle w:val="BodyText"/>
        <w:ind w:right="116" w:firstLine="720"/>
      </w:pPr>
      <w:r w:rsidRPr="002B283E">
        <w:t>[Punitive damages may not be awarded against [</w:t>
      </w:r>
      <w:r w:rsidRPr="002B283E">
        <w:rPr>
          <w:i/>
          <w:u w:val="single"/>
        </w:rPr>
        <w:t>specify defendant</w:t>
      </w:r>
      <w:r w:rsidRPr="002B283E">
        <w:t>.]</w:t>
      </w:r>
      <w:r w:rsidRPr="002B283E">
        <w:rPr>
          <w:spacing w:val="40"/>
        </w:rPr>
        <w:t xml:space="preserve"> </w:t>
      </w:r>
      <w:r w:rsidRPr="002B283E">
        <w:t>[You may impose punitive</w:t>
      </w:r>
      <w:r w:rsidRPr="002B283E">
        <w:rPr>
          <w:spacing w:val="-4"/>
        </w:rPr>
        <w:t xml:space="preserve"> </w:t>
      </w:r>
      <w:r w:rsidRPr="002B283E">
        <w:t>damages</w:t>
      </w:r>
      <w:r w:rsidRPr="002B283E">
        <w:rPr>
          <w:spacing w:val="-3"/>
        </w:rPr>
        <w:t xml:space="preserve"> </w:t>
      </w:r>
      <w:r w:rsidRPr="002B283E">
        <w:t>against</w:t>
      </w:r>
      <w:r w:rsidRPr="002B283E">
        <w:rPr>
          <w:spacing w:val="-1"/>
        </w:rPr>
        <w:t xml:space="preserve"> </w:t>
      </w:r>
      <w:r w:rsidRPr="002B283E">
        <w:t>one</w:t>
      </w:r>
      <w:r w:rsidRPr="002B283E">
        <w:rPr>
          <w:spacing w:val="-4"/>
        </w:rPr>
        <w:t xml:space="preserve"> </w:t>
      </w:r>
      <w:r w:rsidRPr="002B283E">
        <w:t>or</w:t>
      </w:r>
      <w:r w:rsidRPr="002B283E">
        <w:rPr>
          <w:spacing w:val="-4"/>
        </w:rPr>
        <w:t xml:space="preserve"> </w:t>
      </w:r>
      <w:r w:rsidRPr="002B283E">
        <w:t>more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defendants</w:t>
      </w:r>
      <w:r w:rsidRPr="002B283E">
        <w:rPr>
          <w:spacing w:val="-3"/>
        </w:rPr>
        <w:t xml:space="preserve"> </w:t>
      </w:r>
      <w:r w:rsidRPr="002B283E">
        <w:t>and</w:t>
      </w:r>
      <w:r w:rsidRPr="002B283E">
        <w:rPr>
          <w:spacing w:val="-3"/>
        </w:rPr>
        <w:t xml:space="preserve"> </w:t>
      </w:r>
      <w:r w:rsidRPr="002B283E">
        <w:t>not</w:t>
      </w:r>
      <w:r w:rsidRPr="002B283E">
        <w:rPr>
          <w:spacing w:val="-3"/>
        </w:rPr>
        <w:t xml:space="preserve"> </w:t>
      </w:r>
      <w:r w:rsidRPr="002B283E">
        <w:t>others</w:t>
      </w:r>
      <w:r w:rsidRPr="002B283E">
        <w:rPr>
          <w:spacing w:val="-3"/>
        </w:rPr>
        <w:t xml:space="preserve"> </w:t>
      </w:r>
      <w:r w:rsidRPr="002B283E">
        <w:t>and</w:t>
      </w:r>
      <w:r w:rsidRPr="002B283E">
        <w:rPr>
          <w:spacing w:val="-1"/>
        </w:rPr>
        <w:t xml:space="preserve"> </w:t>
      </w:r>
      <w:r w:rsidRPr="002B283E">
        <w:t>may</w:t>
      </w:r>
      <w:r w:rsidRPr="002B283E">
        <w:rPr>
          <w:spacing w:val="-3"/>
        </w:rPr>
        <w:t xml:space="preserve"> </w:t>
      </w:r>
      <w:r w:rsidRPr="002B283E">
        <w:t>award</w:t>
      </w:r>
      <w:r w:rsidRPr="002B283E">
        <w:rPr>
          <w:spacing w:val="-3"/>
        </w:rPr>
        <w:t xml:space="preserve"> </w:t>
      </w:r>
      <w:r w:rsidRPr="002B283E">
        <w:t>different amounts against different defendants.]</w:t>
      </w:r>
      <w:r w:rsidRPr="002B283E">
        <w:rPr>
          <w:spacing w:val="40"/>
        </w:rPr>
        <w:t xml:space="preserve"> </w:t>
      </w:r>
      <w:r w:rsidRPr="002B283E">
        <w:t>[Punitive damages may be awarded even if you award plaintiff only nominal, and not compensatory, damages.]</w:t>
      </w:r>
      <w:r w:rsidRPr="002B283E">
        <w:br/>
      </w:r>
    </w:p>
    <w:p w14:paraId="02128A79" w14:textId="77777777" w:rsidR="008E0438" w:rsidRPr="002B283E" w:rsidRDefault="008E0438" w:rsidP="002B283E">
      <w:pPr>
        <w:jc w:val="center"/>
        <w:rPr>
          <w:rFonts w:cs="Times New Roman"/>
          <w:b/>
          <w:bCs/>
          <w:szCs w:val="24"/>
        </w:rPr>
      </w:pPr>
      <w:r w:rsidRPr="002B283E">
        <w:rPr>
          <w:rFonts w:cs="Times New Roman"/>
          <w:b/>
          <w:bCs/>
          <w:szCs w:val="24"/>
        </w:rPr>
        <w:t>Comment</w:t>
      </w:r>
    </w:p>
    <w:p w14:paraId="1C57079F" w14:textId="77777777" w:rsidR="008E0438" w:rsidRPr="002B283E" w:rsidRDefault="008E0438" w:rsidP="002B283E">
      <w:pPr>
        <w:pStyle w:val="BodyText"/>
        <w:rPr>
          <w:b/>
        </w:rPr>
      </w:pPr>
    </w:p>
    <w:p w14:paraId="04CECFC6" w14:textId="0132D135" w:rsidR="00000ABB" w:rsidRPr="00F20688" w:rsidRDefault="008E0438" w:rsidP="00000ABB">
      <w:pPr>
        <w:ind w:firstLine="720"/>
        <w:rPr>
          <w:rFonts w:eastAsia="Calibri"/>
          <w:szCs w:val="24"/>
        </w:rPr>
      </w:pPr>
      <w:r w:rsidRPr="002B283E">
        <w:rPr>
          <w:rFonts w:cs="Times New Roman"/>
          <w:noProof/>
          <w:szCs w:val="24"/>
        </w:rPr>
        <mc:AlternateContent>
          <mc:Choice Requires="wps">
            <w:drawing>
              <wp:anchor distT="0" distB="0" distL="0" distR="0" simplePos="0" relativeHeight="251665408" behindDoc="0" locked="0" layoutInCell="1" allowOverlap="1" wp14:anchorId="035F599E" wp14:editId="7BFDAFCD">
                <wp:simplePos x="0" y="0"/>
                <wp:positionH relativeFrom="page">
                  <wp:posOffset>3419855</wp:posOffset>
                </wp:positionH>
                <wp:positionV relativeFrom="paragraph">
                  <wp:posOffset>334306</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5C2D91"/>
                        </a:solidFill>
                      </wps:spPr>
                      <wps:bodyPr wrap="square" lIns="0" tIns="0" rIns="0" bIns="0" rtlCol="0">
                        <a:prstTxWarp prst="textNoShape">
                          <a:avLst/>
                        </a:prstTxWarp>
                        <a:noAutofit/>
                      </wps:bodyPr>
                    </wps:wsp>
                  </a:graphicData>
                </a:graphic>
              </wp:anchor>
            </w:drawing>
          </mc:Choice>
          <mc:Fallback>
            <w:pict>
              <v:shape w14:anchorId="3348CFE2" id="Graphic 2" o:spid="_x0000_s1026" style="position:absolute;margin-left:269.3pt;margin-top:26.3pt;width:3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uGHgIAALMEAAAOAAAAZHJzL2Uyb0RvYy54bWysVMFu2zAMvQ/YPwi6L04yLG2NOMWQoMOA&#10;oivQFDsrshwbk0WNUmL370fJlhNspw27SJT5RD4+il7f961mZ4WuAVPwxWzOmTISysYcC/66f/hw&#10;y5nzwpRCg1EFf1OO32/ev1t3NldLqEGXChkFMS7vbMFr722eZU7WqhVuBlYZclaArfB0xGNWougo&#10;equz5Xy+yjrA0iJI5Rx93Q1Ovonxq0pJ/62qnPJMF5y4+bhiXA9hzTZrkR9R2LqRIw3xDyxa0RhK&#10;OoXaCS/YCZs/QrWNRHBQ+ZmENoOqaqSKNVA1i/lv1bzUwqpYC4nj7CST+39h5dP5xT5joO7sI8gf&#10;jhTJOuvyyRMObsT0FbYBS8RZH1V8m1RUvWeSPn68XcxJakmem9UySpyJPN2UJ+e/KIhRxPnR+aED&#10;ZbJEnSzZm2Qi9TF0UMcOes6og8gZdfAwdNAKH+4FasFk3USjHlkEVwtntYcI8oH+yDSVQCwvCG2u&#10;kVTPFSr50m5jtAFzs1rcBU4ULLnTPsAuSf8CmlRMoaQGp4Ysod6YbtKAUl+r7EA35UOjdSjc4fGw&#10;1cjOguT8tF3u7hYj2ytY7P/Q8tD8A5Rvz8g6mpKCu58ngYoz/dXQMwwjlQxMxiEZ6PUW4uBFzdH5&#10;ff9doGWWzIJ7ejFPkB65yNNzIP4BMGDDTQOfTx6qJryVyG1gNB5oMmL94xSH0bs+R9TlX7P5BQAA&#10;//8DAFBLAwQUAAYACAAAACEA+HscL94AAAAJAQAADwAAAGRycy9kb3ducmV2LnhtbEyPzU7DMBCE&#10;70i8g7VIXBB1KOkPIU5VoSIuVII03N14SSLidRQ7Tfr2LFzgtLOa0ey36WayrThh7xtHCu5mEQik&#10;0pmGKgXF4fl2DcIHTUa3jlDBGT1sssuLVCfGjfSOpzxUgkvIJ1pBHUKXSOnLGq32M9chsffpeqsD&#10;r30lTa9HLretnEfRUlrdEF+odYdPNZZf+WAVrHY35/hD7opp+5KPxdvw8Nrv90pdX03bRxABp/AX&#10;hh98RoeMmY5uIONFq2Bxv15ylMWcJwcWcczi+OuAzFL5/4PsGwAA//8DAFBLAQItABQABgAIAAAA&#10;IQC2gziS/gAAAOEBAAATAAAAAAAAAAAAAAAAAAAAAABbQ29udGVudF9UeXBlc10ueG1sUEsBAi0A&#10;FAAGAAgAAAAhADj9If/WAAAAlAEAAAsAAAAAAAAAAAAAAAAALwEAAF9yZWxzLy5yZWxzUEsBAi0A&#10;FAAGAAgAAAAhAHTvO4YeAgAAswQAAA4AAAAAAAAAAAAAAAAALgIAAGRycy9lMm9Eb2MueG1sUEsB&#10;Ai0AFAAGAAgAAAAhAPh7HC/eAAAACQEAAA8AAAAAAAAAAAAAAAAAeAQAAGRycy9kb3ducmV2Lnht&#10;bFBLBQYAAAAABAAEAPMAAACDBQAAAAA=&#10;" path="m38100,l,,,7619r38100,l38100,xe" fillcolor="#5c2d91" stroked="f">
                <v:path arrowok="t"/>
                <w10:wrap anchorx="page"/>
              </v:shape>
            </w:pict>
          </mc:Fallback>
        </mc:AlternateContent>
      </w:r>
      <w:bookmarkStart w:id="93" w:name="_Hlk204085839"/>
      <w:r w:rsidRPr="002B283E">
        <w:rPr>
          <w:rFonts w:cs="Times New Roman"/>
          <w:szCs w:val="24"/>
        </w:rPr>
        <w:t>Punitive</w:t>
      </w:r>
      <w:r w:rsidRPr="002B283E">
        <w:rPr>
          <w:rFonts w:cs="Times New Roman"/>
          <w:spacing w:val="-3"/>
          <w:szCs w:val="24"/>
        </w:rPr>
        <w:t xml:space="preserve"> </w:t>
      </w:r>
      <w:bookmarkStart w:id="94" w:name="_Hlk204085874"/>
      <w:bookmarkStart w:id="95" w:name="_Hlk204085936"/>
      <w:bookmarkEnd w:id="93"/>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w:t>
      </w:r>
      <w:r w:rsidR="00000ABB" w:rsidRPr="00F20688">
        <w:rPr>
          <w:rFonts w:cs="Times New Roman"/>
          <w:spacing w:val="-3"/>
          <w:szCs w:val="24"/>
        </w:rPr>
        <w:t xml:space="preserve"> </w:t>
      </w:r>
      <w:r w:rsidR="00000ABB" w:rsidRPr="00F20688">
        <w:rPr>
          <w:rFonts w:cs="Times New Roman"/>
          <w:szCs w:val="24"/>
        </w:rPr>
        <w:t>in</w:t>
      </w:r>
      <w:r w:rsidR="00000ABB" w:rsidRPr="00F20688">
        <w:rPr>
          <w:rFonts w:cs="Times New Roman"/>
          <w:spacing w:val="-2"/>
          <w:szCs w:val="24"/>
        </w:rPr>
        <w:t xml:space="preserve"> </w:t>
      </w:r>
      <w:r w:rsidR="00000ABB" w:rsidRPr="00F20688">
        <w:rPr>
          <w:rFonts w:cs="Times New Roman"/>
          <w:szCs w:val="24"/>
        </w:rPr>
        <w:t>every</w:t>
      </w:r>
      <w:r w:rsidR="00000ABB" w:rsidRPr="00F20688">
        <w:rPr>
          <w:rFonts w:cs="Times New Roman"/>
          <w:spacing w:val="-2"/>
          <w:szCs w:val="24"/>
        </w:rPr>
        <w:t xml:space="preserve"> </w:t>
      </w:r>
      <w:r w:rsidR="00000ABB" w:rsidRPr="00F20688">
        <w:rPr>
          <w:rFonts w:cs="Times New Roman"/>
          <w:szCs w:val="24"/>
        </w:rPr>
        <w:t>case.</w:t>
      </w:r>
      <w:r w:rsidR="00000ABB" w:rsidRPr="00F20688">
        <w:rPr>
          <w:rFonts w:cs="Times New Roman"/>
          <w:spacing w:val="40"/>
          <w:szCs w:val="24"/>
        </w:rPr>
        <w:t xml:space="preserve"> </w:t>
      </w:r>
      <w:r w:rsidR="00000ABB" w:rsidRPr="00F20688">
        <w:rPr>
          <w:rFonts w:cs="Times New Roman"/>
          <w:szCs w:val="24"/>
        </w:rPr>
        <w:t>For</w:t>
      </w:r>
      <w:r w:rsidR="00000ABB" w:rsidRPr="00F20688">
        <w:rPr>
          <w:rFonts w:cs="Times New Roman"/>
          <w:spacing w:val="-3"/>
          <w:szCs w:val="24"/>
        </w:rPr>
        <w:t xml:space="preserve"> </w:t>
      </w:r>
      <w:r w:rsidR="00000ABB" w:rsidRPr="00F20688">
        <w:rPr>
          <w:rFonts w:cs="Times New Roman"/>
          <w:szCs w:val="24"/>
        </w:rPr>
        <w:t>example,</w:t>
      </w:r>
      <w:r w:rsidR="00000ABB" w:rsidRPr="00F20688">
        <w:rPr>
          <w:rFonts w:cs="Times New Roman"/>
          <w:spacing w:val="-2"/>
          <w:szCs w:val="24"/>
        </w:rPr>
        <w:t xml:space="preserve"> </w:t>
      </w:r>
      <w:r w:rsidR="00000ABB" w:rsidRPr="00F20688">
        <w:rPr>
          <w:rFonts w:cs="Times New Roman"/>
          <w:szCs w:val="24"/>
        </w:rPr>
        <w:t>punitive</w:t>
      </w:r>
      <w:r w:rsidR="00000ABB" w:rsidRPr="00F20688">
        <w:rPr>
          <w:rFonts w:cs="Times New Roman"/>
          <w:spacing w:val="-3"/>
          <w:szCs w:val="24"/>
        </w:rPr>
        <w:t xml:space="preserve"> </w:t>
      </w:r>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 against municipalities,</w:t>
      </w:r>
      <w:r w:rsidR="00000ABB" w:rsidRPr="00F20688">
        <w:rPr>
          <w:szCs w:val="24"/>
        </w:rPr>
        <w:t xml:space="preserve"> counties, or </w:t>
      </w:r>
      <w:r w:rsidR="00000ABB" w:rsidRPr="00F20688">
        <w:rPr>
          <w:rFonts w:eastAsia="Calibri"/>
          <w:szCs w:val="24"/>
        </w:rPr>
        <w:t>governmental entities unless expressly authorized by statute.</w:t>
      </w:r>
      <w:r w:rsidR="00384267">
        <w:rPr>
          <w:rFonts w:eastAsia="Calibri"/>
          <w:spacing w:val="40"/>
          <w:szCs w:val="24"/>
        </w:rPr>
        <w:t xml:space="preserve"> </w:t>
      </w:r>
      <w:r w:rsidR="00000ABB" w:rsidRPr="00F20688">
        <w:rPr>
          <w:rFonts w:eastAsia="Calibri"/>
          <w:i/>
          <w:szCs w:val="24"/>
        </w:rPr>
        <w:t>City of Newport v. Fact Concerts, Inc.</w:t>
      </w:r>
      <w:r w:rsidR="00000ABB" w:rsidRPr="00F20688">
        <w:rPr>
          <w:rFonts w:eastAsia="Calibri"/>
          <w:szCs w:val="24"/>
        </w:rPr>
        <w:t>, 453 U.S. 247, 259-71</w:t>
      </w:r>
      <w:r w:rsidR="00384267">
        <w:rPr>
          <w:rFonts w:eastAsia="Calibri"/>
          <w:szCs w:val="24"/>
        </w:rPr>
        <w:t xml:space="preserve"> </w:t>
      </w:r>
      <w:r w:rsidR="00000ABB" w:rsidRPr="00F20688">
        <w:rPr>
          <w:rFonts w:eastAsia="Calibri"/>
          <w:szCs w:val="24"/>
        </w:rPr>
        <w:t xml:space="preserve">(1981); </w:t>
      </w:r>
      <w:r w:rsidR="00000ABB" w:rsidRPr="00F20688">
        <w:rPr>
          <w:rFonts w:eastAsia="Calibri"/>
          <w:i/>
          <w:szCs w:val="24"/>
        </w:rPr>
        <w:t>see also Daniel v. Nat’l Park Serv.</w:t>
      </w:r>
      <w:r w:rsidR="00000ABB" w:rsidRPr="00F20688">
        <w:rPr>
          <w:rFonts w:eastAsia="Calibri"/>
          <w:szCs w:val="24"/>
        </w:rPr>
        <w:t xml:space="preserve">, 891 F.3d 762, 771 (9th Cir. 2018) (“There is a ‘presumption against the imposition of punitive damages on governmental entities.’”) (quoting </w:t>
      </w:r>
      <w:r w:rsidR="00000ABB" w:rsidRPr="00F20688">
        <w:rPr>
          <w:rFonts w:eastAsia="Calibri"/>
          <w:i/>
          <w:szCs w:val="24"/>
        </w:rPr>
        <w:t>Vt. Agency of Nat.</w:t>
      </w:r>
      <w:r w:rsidR="00000ABB" w:rsidRPr="00F20688">
        <w:rPr>
          <w:rFonts w:eastAsia="Calibri"/>
          <w:i/>
          <w:spacing w:val="-3"/>
          <w:szCs w:val="24"/>
        </w:rPr>
        <w:t xml:space="preserve"> </w:t>
      </w:r>
      <w:r w:rsidR="00000ABB" w:rsidRPr="00F20688">
        <w:rPr>
          <w:rFonts w:eastAsia="Calibri"/>
          <w:i/>
          <w:szCs w:val="24"/>
        </w:rPr>
        <w:t>Res.</w:t>
      </w:r>
      <w:r w:rsidR="00000ABB" w:rsidRPr="00F20688">
        <w:rPr>
          <w:rFonts w:eastAsia="Calibri"/>
          <w:i/>
          <w:spacing w:val="-4"/>
          <w:szCs w:val="24"/>
        </w:rPr>
        <w:t xml:space="preserve"> </w:t>
      </w:r>
      <w:r w:rsidR="00000ABB" w:rsidRPr="00F20688">
        <w:rPr>
          <w:rFonts w:eastAsia="Calibri"/>
          <w:i/>
          <w:szCs w:val="24"/>
        </w:rPr>
        <w:t>v.</w:t>
      </w:r>
      <w:r w:rsidR="00000ABB" w:rsidRPr="00F20688">
        <w:rPr>
          <w:rFonts w:eastAsia="Calibri"/>
          <w:i/>
          <w:spacing w:val="-3"/>
          <w:szCs w:val="24"/>
        </w:rPr>
        <w:t xml:space="preserve"> </w:t>
      </w:r>
      <w:r w:rsidR="00000ABB" w:rsidRPr="00F20688">
        <w:rPr>
          <w:rFonts w:eastAsia="Calibri"/>
          <w:i/>
          <w:szCs w:val="24"/>
        </w:rPr>
        <w:t>U.S.</w:t>
      </w:r>
      <w:r w:rsidR="00000ABB" w:rsidRPr="00F20688">
        <w:rPr>
          <w:rFonts w:eastAsia="Calibri"/>
          <w:i/>
          <w:spacing w:val="-3"/>
          <w:szCs w:val="24"/>
        </w:rPr>
        <w:t xml:space="preserve"> </w:t>
      </w:r>
      <w:r w:rsidR="00000ABB" w:rsidRPr="00F20688">
        <w:rPr>
          <w:rFonts w:eastAsia="Calibri"/>
          <w:i/>
          <w:szCs w:val="24"/>
        </w:rPr>
        <w:t>ex</w:t>
      </w:r>
      <w:r w:rsidR="00000ABB" w:rsidRPr="00F20688">
        <w:rPr>
          <w:rFonts w:eastAsia="Calibri"/>
          <w:i/>
          <w:spacing w:val="-4"/>
          <w:szCs w:val="24"/>
        </w:rPr>
        <w:t xml:space="preserve"> </w:t>
      </w:r>
      <w:r w:rsidR="00000ABB" w:rsidRPr="00F20688">
        <w:rPr>
          <w:rFonts w:eastAsia="Calibri"/>
          <w:i/>
          <w:szCs w:val="24"/>
        </w:rPr>
        <w:t>rel.</w:t>
      </w:r>
      <w:r w:rsidR="00000ABB" w:rsidRPr="00F20688">
        <w:rPr>
          <w:rFonts w:eastAsia="Calibri"/>
          <w:i/>
          <w:spacing w:val="-3"/>
          <w:szCs w:val="24"/>
        </w:rPr>
        <w:t xml:space="preserve"> </w:t>
      </w:r>
      <w:r w:rsidR="00000ABB" w:rsidRPr="00F20688">
        <w:rPr>
          <w:rFonts w:eastAsia="Calibri"/>
          <w:i/>
          <w:szCs w:val="24"/>
        </w:rPr>
        <w:t>Stevens</w:t>
      </w:r>
      <w:r w:rsidR="00000ABB" w:rsidRPr="00F20688">
        <w:rPr>
          <w:rFonts w:eastAsia="Calibri"/>
          <w:szCs w:val="24"/>
        </w:rPr>
        <w:t>,</w:t>
      </w:r>
      <w:r w:rsidR="00000ABB" w:rsidRPr="00F20688">
        <w:rPr>
          <w:rFonts w:eastAsia="Calibri"/>
          <w:spacing w:val="-3"/>
          <w:szCs w:val="24"/>
        </w:rPr>
        <w:t xml:space="preserve"> </w:t>
      </w:r>
      <w:r w:rsidR="00000ABB" w:rsidRPr="00F20688">
        <w:rPr>
          <w:rFonts w:eastAsia="Calibri"/>
          <w:szCs w:val="24"/>
        </w:rPr>
        <w:t>529</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765,</w:t>
      </w:r>
      <w:r w:rsidR="00000ABB" w:rsidRPr="00F20688">
        <w:rPr>
          <w:rFonts w:eastAsia="Calibri"/>
          <w:spacing w:val="-3"/>
          <w:szCs w:val="24"/>
        </w:rPr>
        <w:t xml:space="preserve"> </w:t>
      </w:r>
      <w:r w:rsidR="00000ABB" w:rsidRPr="00F20688">
        <w:rPr>
          <w:rFonts w:eastAsia="Calibri"/>
          <w:szCs w:val="24"/>
        </w:rPr>
        <w:t>785</w:t>
      </w:r>
      <w:r w:rsidR="00000ABB" w:rsidRPr="00F20688">
        <w:rPr>
          <w:rFonts w:eastAsia="Calibri"/>
          <w:spacing w:val="-3"/>
          <w:szCs w:val="24"/>
        </w:rPr>
        <w:t xml:space="preserve"> </w:t>
      </w:r>
      <w:r w:rsidR="00000ABB" w:rsidRPr="00F20688">
        <w:rPr>
          <w:rFonts w:eastAsia="Calibri"/>
          <w:szCs w:val="24"/>
        </w:rPr>
        <w:t>(2000)).</w:t>
      </w:r>
      <w:r w:rsidR="00384267">
        <w:rPr>
          <w:rFonts w:eastAsia="Calibri"/>
          <w:spacing w:val="40"/>
          <w:szCs w:val="24"/>
        </w:rPr>
        <w:t xml:space="preserve"> </w:t>
      </w:r>
      <w:r w:rsidR="00000ABB" w:rsidRPr="00F20688">
        <w:rPr>
          <w:rFonts w:eastAsia="Calibri"/>
          <w:szCs w:val="24"/>
        </w:rPr>
        <w:t>Punitive</w:t>
      </w:r>
      <w:r w:rsidR="00000ABB" w:rsidRPr="00F20688">
        <w:rPr>
          <w:rFonts w:eastAsia="Calibri"/>
          <w:spacing w:val="-4"/>
          <w:szCs w:val="24"/>
        </w:rPr>
        <w:t xml:space="preserve"> </w:t>
      </w:r>
      <w:r w:rsidR="00000ABB" w:rsidRPr="00F20688">
        <w:rPr>
          <w:rFonts w:eastAsia="Calibri"/>
          <w:szCs w:val="24"/>
        </w:rPr>
        <w:t>damages</w:t>
      </w:r>
      <w:r w:rsidR="00000ABB" w:rsidRPr="00F20688">
        <w:rPr>
          <w:rFonts w:eastAsia="Calibri"/>
          <w:spacing w:val="-3"/>
          <w:szCs w:val="24"/>
        </w:rPr>
        <w:t xml:space="preserve"> </w:t>
      </w:r>
      <w:r w:rsidR="00000ABB" w:rsidRPr="00F20688">
        <w:rPr>
          <w:rFonts w:eastAsia="Calibri"/>
          <w:szCs w:val="24"/>
        </w:rPr>
        <w:t>may,</w:t>
      </w:r>
      <w:r w:rsidR="00000ABB" w:rsidRPr="00F20688">
        <w:rPr>
          <w:rFonts w:eastAsia="Calibri"/>
          <w:spacing w:val="-3"/>
          <w:szCs w:val="24"/>
        </w:rPr>
        <w:t xml:space="preserve"> </w:t>
      </w:r>
      <w:r w:rsidR="00000ABB" w:rsidRPr="00F20688">
        <w:rPr>
          <w:rFonts w:eastAsia="Calibri"/>
          <w:szCs w:val="24"/>
        </w:rPr>
        <w:t>however,</w:t>
      </w:r>
      <w:r w:rsidR="00000ABB" w:rsidRPr="00F20688">
        <w:rPr>
          <w:rFonts w:eastAsia="Calibri"/>
          <w:spacing w:val="-3"/>
          <w:szCs w:val="24"/>
        </w:rPr>
        <w:t xml:space="preserve"> </w:t>
      </w:r>
      <w:r w:rsidR="00000ABB" w:rsidRPr="00F20688">
        <w:rPr>
          <w:rFonts w:eastAsia="Calibri"/>
          <w:szCs w:val="24"/>
        </w:rPr>
        <w:t xml:space="preserve">be available </w:t>
      </w:r>
      <w:r w:rsidR="00000ABB" w:rsidRPr="00F20688">
        <w:rPr>
          <w:rFonts w:eastAsia="Calibri"/>
          <w:szCs w:val="24"/>
        </w:rPr>
        <w:lastRenderedPageBreak/>
        <w:t>against governmental employees acting in their individual capacities.</w:t>
      </w:r>
      <w:r w:rsidR="00000ABB" w:rsidRPr="00F20688">
        <w:rPr>
          <w:rFonts w:eastAsia="Calibri"/>
          <w:spacing w:val="40"/>
          <w:szCs w:val="24"/>
        </w:rPr>
        <w:t xml:space="preserve"> </w:t>
      </w:r>
      <w:r w:rsidR="00000ABB" w:rsidRPr="00F20688">
        <w:rPr>
          <w:rFonts w:eastAsia="Calibri"/>
          <w:i/>
          <w:szCs w:val="24"/>
        </w:rPr>
        <w:t xml:space="preserve">See </w:t>
      </w:r>
      <w:r w:rsidR="00384267" w:rsidRPr="00F20688">
        <w:rPr>
          <w:rFonts w:eastAsia="Calibri"/>
          <w:i/>
          <w:szCs w:val="24"/>
        </w:rPr>
        <w:t>City</w:t>
      </w:r>
      <w:r w:rsidR="00384267" w:rsidRPr="00F20688">
        <w:rPr>
          <w:rFonts w:eastAsia="Calibri"/>
          <w:i/>
          <w:spacing w:val="-3"/>
          <w:szCs w:val="24"/>
        </w:rPr>
        <w:t xml:space="preserve"> </w:t>
      </w:r>
      <w:r w:rsidR="00384267" w:rsidRPr="00F20688">
        <w:rPr>
          <w:rFonts w:eastAsia="Calibri"/>
          <w:i/>
          <w:szCs w:val="24"/>
        </w:rPr>
        <w:t>of</w:t>
      </w:r>
      <w:r w:rsidR="00384267" w:rsidRPr="00F20688">
        <w:rPr>
          <w:rFonts w:eastAsia="Calibri"/>
          <w:i/>
          <w:spacing w:val="-3"/>
          <w:szCs w:val="24"/>
        </w:rPr>
        <w:t xml:space="preserve"> </w:t>
      </w:r>
      <w:r w:rsidR="00384267" w:rsidRPr="00F20688">
        <w:rPr>
          <w:rFonts w:eastAsia="Calibri"/>
          <w:i/>
          <w:szCs w:val="24"/>
        </w:rPr>
        <w:t>Newport,</w:t>
      </w:r>
      <w:r w:rsidR="00384267" w:rsidRPr="00F20688">
        <w:rPr>
          <w:rFonts w:eastAsia="Calibri"/>
          <w:i/>
          <w:spacing w:val="-3"/>
          <w:szCs w:val="24"/>
        </w:rPr>
        <w:t xml:space="preserve"> </w:t>
      </w:r>
      <w:r w:rsidR="00384267" w:rsidRPr="00F20688">
        <w:rPr>
          <w:rFonts w:eastAsia="Calibri"/>
          <w:szCs w:val="24"/>
        </w:rPr>
        <w:t>453</w:t>
      </w:r>
      <w:r w:rsidR="00384267" w:rsidRPr="00F20688">
        <w:rPr>
          <w:rFonts w:eastAsia="Calibri"/>
          <w:spacing w:val="-3"/>
          <w:szCs w:val="24"/>
        </w:rPr>
        <w:t xml:space="preserve"> </w:t>
      </w:r>
      <w:r w:rsidR="00384267" w:rsidRPr="00F20688">
        <w:rPr>
          <w:rFonts w:eastAsia="Calibri"/>
          <w:szCs w:val="24"/>
        </w:rPr>
        <w:t>U.S.</w:t>
      </w:r>
      <w:r w:rsidR="00384267" w:rsidRPr="00F20688">
        <w:rPr>
          <w:rFonts w:eastAsia="Calibri"/>
          <w:spacing w:val="-3"/>
          <w:szCs w:val="24"/>
        </w:rPr>
        <w:t xml:space="preserve"> </w:t>
      </w:r>
      <w:r w:rsidR="00384267" w:rsidRPr="00F20688">
        <w:rPr>
          <w:rFonts w:eastAsia="Calibri"/>
          <w:szCs w:val="24"/>
        </w:rPr>
        <w:t>at</w:t>
      </w:r>
      <w:r w:rsidR="00384267" w:rsidRPr="00F20688">
        <w:rPr>
          <w:rFonts w:eastAsia="Calibri"/>
          <w:spacing w:val="-3"/>
          <w:szCs w:val="24"/>
        </w:rPr>
        <w:t xml:space="preserve"> </w:t>
      </w:r>
      <w:r w:rsidR="00384267" w:rsidRPr="00F20688">
        <w:rPr>
          <w:rFonts w:eastAsia="Calibri"/>
          <w:szCs w:val="24"/>
        </w:rPr>
        <w:t>254</w:t>
      </w:r>
      <w:r w:rsidR="00384267">
        <w:rPr>
          <w:rFonts w:eastAsia="Calibri"/>
          <w:i/>
          <w:szCs w:val="24"/>
        </w:rPr>
        <w:t>; M</w:t>
      </w:r>
      <w:r w:rsidR="00000ABB" w:rsidRPr="00F20688">
        <w:rPr>
          <w:rFonts w:eastAsia="Calibri"/>
          <w:i/>
          <w:szCs w:val="24"/>
        </w:rPr>
        <w:t>onell v. New York</w:t>
      </w:r>
      <w:r w:rsidR="00000ABB" w:rsidRPr="00F20688">
        <w:rPr>
          <w:rFonts w:eastAsia="Calibri"/>
          <w:i/>
          <w:spacing w:val="-3"/>
          <w:szCs w:val="24"/>
        </w:rPr>
        <w:t xml:space="preserve"> </w:t>
      </w:r>
      <w:r w:rsidR="00000ABB" w:rsidRPr="00F20688">
        <w:rPr>
          <w:rFonts w:eastAsia="Calibri"/>
          <w:i/>
          <w:szCs w:val="24"/>
        </w:rPr>
        <w:t>City</w:t>
      </w:r>
      <w:r w:rsidR="00000ABB" w:rsidRPr="00F20688">
        <w:rPr>
          <w:rFonts w:eastAsia="Calibri"/>
          <w:i/>
          <w:spacing w:val="-3"/>
          <w:szCs w:val="24"/>
        </w:rPr>
        <w:t xml:space="preserve"> </w:t>
      </w:r>
      <w:r w:rsidR="00000ABB" w:rsidRPr="00F20688">
        <w:rPr>
          <w:rFonts w:eastAsia="Calibri"/>
          <w:i/>
          <w:szCs w:val="24"/>
        </w:rPr>
        <w:t>Dept.</w:t>
      </w:r>
      <w:r w:rsidR="00000ABB" w:rsidRPr="00F20688">
        <w:rPr>
          <w:rFonts w:eastAsia="Calibri"/>
          <w:i/>
          <w:spacing w:val="-3"/>
          <w:szCs w:val="24"/>
        </w:rPr>
        <w:t xml:space="preserve"> </w:t>
      </w:r>
      <w:r w:rsidR="00000ABB" w:rsidRPr="00F20688">
        <w:rPr>
          <w:rFonts w:eastAsia="Calibri"/>
          <w:i/>
          <w:szCs w:val="24"/>
        </w:rPr>
        <w:t>of</w:t>
      </w:r>
      <w:r w:rsidR="00000ABB" w:rsidRPr="00F20688">
        <w:rPr>
          <w:rFonts w:eastAsia="Calibri"/>
          <w:i/>
          <w:spacing w:val="-3"/>
          <w:szCs w:val="24"/>
        </w:rPr>
        <w:t xml:space="preserve"> </w:t>
      </w:r>
      <w:r w:rsidR="00000ABB" w:rsidRPr="00F20688">
        <w:rPr>
          <w:rFonts w:eastAsia="Calibri"/>
          <w:i/>
          <w:szCs w:val="24"/>
        </w:rPr>
        <w:t>Soc.</w:t>
      </w:r>
      <w:r w:rsidR="00000ABB" w:rsidRPr="00F20688">
        <w:rPr>
          <w:rFonts w:eastAsia="Calibri"/>
          <w:i/>
          <w:spacing w:val="-3"/>
          <w:szCs w:val="24"/>
        </w:rPr>
        <w:t xml:space="preserve"> </w:t>
      </w:r>
      <w:r w:rsidR="00000ABB" w:rsidRPr="00F20688">
        <w:rPr>
          <w:rFonts w:eastAsia="Calibri"/>
          <w:i/>
          <w:szCs w:val="24"/>
        </w:rPr>
        <w:t>Services,</w:t>
      </w:r>
      <w:r w:rsidR="00000ABB" w:rsidRPr="00F20688">
        <w:rPr>
          <w:rFonts w:eastAsia="Calibri"/>
          <w:i/>
          <w:spacing w:val="-3"/>
          <w:szCs w:val="24"/>
        </w:rPr>
        <w:t xml:space="preserve"> </w:t>
      </w:r>
      <w:r w:rsidR="00000ABB" w:rsidRPr="00F20688">
        <w:rPr>
          <w:rFonts w:eastAsia="Calibri"/>
          <w:szCs w:val="24"/>
        </w:rPr>
        <w:t>436</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658</w:t>
      </w:r>
      <w:r w:rsidR="00000ABB" w:rsidRPr="00F20688">
        <w:rPr>
          <w:rFonts w:eastAsia="Calibri"/>
          <w:spacing w:val="-3"/>
          <w:szCs w:val="24"/>
        </w:rPr>
        <w:t xml:space="preserve"> </w:t>
      </w:r>
      <w:r w:rsidR="00000ABB" w:rsidRPr="00F20688">
        <w:rPr>
          <w:rFonts w:eastAsia="Calibri"/>
          <w:szCs w:val="24"/>
        </w:rPr>
        <w:t>(1978)</w:t>
      </w:r>
      <w:r w:rsidR="00384267">
        <w:rPr>
          <w:rFonts w:eastAsia="Calibri"/>
          <w:i/>
          <w:szCs w:val="24"/>
        </w:rPr>
        <w:t>.</w:t>
      </w:r>
      <w:r w:rsidR="00384267">
        <w:rPr>
          <w:rFonts w:eastAsia="Calibri"/>
          <w:i/>
          <w:spacing w:val="40"/>
          <w:szCs w:val="24"/>
        </w:rPr>
        <w:t xml:space="preserve"> </w:t>
      </w:r>
      <w:r w:rsidR="00000ABB" w:rsidRPr="00F20688">
        <w:rPr>
          <w:rFonts w:eastAsia="Calibri"/>
          <w:szCs w:val="24"/>
        </w:rPr>
        <w:t>In diversity cases, look to state law for an appropriate instruction.</w:t>
      </w:r>
    </w:p>
    <w:p w14:paraId="0D05A272" w14:textId="77777777" w:rsidR="00000ABB" w:rsidRPr="00F20688" w:rsidRDefault="00000ABB" w:rsidP="00000ABB">
      <w:pPr>
        <w:ind w:firstLine="720"/>
        <w:rPr>
          <w:szCs w:val="24"/>
        </w:rPr>
      </w:pPr>
    </w:p>
    <w:p w14:paraId="2C3595C7" w14:textId="77777777" w:rsidR="00000ABB" w:rsidRPr="00F20688" w:rsidRDefault="00000ABB" w:rsidP="00000ABB">
      <w:pPr>
        <w:ind w:right="732" w:firstLine="720"/>
        <w:jc w:val="both"/>
        <w:rPr>
          <w:szCs w:val="24"/>
        </w:rPr>
      </w:pPr>
      <w:r w:rsidRPr="00F20688">
        <w:rPr>
          <w:szCs w:val="24"/>
        </w:rPr>
        <w:t>Whether</w:t>
      </w:r>
      <w:r w:rsidRPr="00F20688">
        <w:rPr>
          <w:spacing w:val="-3"/>
          <w:szCs w:val="24"/>
        </w:rPr>
        <w:t xml:space="preserve"> </w:t>
      </w:r>
      <w:r w:rsidRPr="00F20688">
        <w:rPr>
          <w:szCs w:val="24"/>
        </w:rPr>
        <w:t>and</w:t>
      </w:r>
      <w:r w:rsidRPr="00F20688">
        <w:rPr>
          <w:spacing w:val="-4"/>
          <w:szCs w:val="24"/>
        </w:rPr>
        <w:t xml:space="preserve"> </w:t>
      </w:r>
      <w:r w:rsidRPr="00F20688">
        <w:rPr>
          <w:szCs w:val="24"/>
        </w:rPr>
        <w:t>under</w:t>
      </w:r>
      <w:r w:rsidRPr="00F20688">
        <w:rPr>
          <w:spacing w:val="-3"/>
          <w:szCs w:val="24"/>
        </w:rPr>
        <w:t xml:space="preserve"> </w:t>
      </w:r>
      <w:r w:rsidRPr="00F20688">
        <w:rPr>
          <w:szCs w:val="24"/>
        </w:rPr>
        <w:t>what</w:t>
      </w:r>
      <w:r w:rsidRPr="00F20688">
        <w:rPr>
          <w:spacing w:val="-2"/>
          <w:szCs w:val="24"/>
        </w:rPr>
        <w:t xml:space="preserve"> </w:t>
      </w:r>
      <w:r w:rsidRPr="00F20688">
        <w:rPr>
          <w:szCs w:val="24"/>
        </w:rPr>
        <w:t>criterion</w:t>
      </w:r>
      <w:r w:rsidRPr="00F20688">
        <w:rPr>
          <w:spacing w:val="-4"/>
          <w:szCs w:val="24"/>
        </w:rPr>
        <w:t xml:space="preserve"> </w:t>
      </w:r>
      <w:r w:rsidRPr="00F20688">
        <w:rPr>
          <w:szCs w:val="24"/>
        </w:rPr>
        <w:t>punitive</w:t>
      </w:r>
      <w:r w:rsidRPr="00F20688">
        <w:rPr>
          <w:spacing w:val="-5"/>
          <w:szCs w:val="24"/>
        </w:rPr>
        <w:t xml:space="preserve"> </w:t>
      </w:r>
      <w:r w:rsidRPr="00F20688">
        <w:rPr>
          <w:szCs w:val="24"/>
        </w:rPr>
        <w:t>damages</w:t>
      </w:r>
      <w:r w:rsidRPr="00F20688">
        <w:rPr>
          <w:spacing w:val="-4"/>
          <w:szCs w:val="24"/>
        </w:rPr>
        <w:t xml:space="preserve"> </w:t>
      </w:r>
      <w:r w:rsidRPr="00F20688">
        <w:rPr>
          <w:szCs w:val="24"/>
        </w:rPr>
        <w:t>are</w:t>
      </w:r>
      <w:r w:rsidRPr="00F20688">
        <w:rPr>
          <w:spacing w:val="-3"/>
          <w:szCs w:val="24"/>
        </w:rPr>
        <w:t xml:space="preserve"> </w:t>
      </w:r>
      <w:r w:rsidRPr="00F20688">
        <w:rPr>
          <w:szCs w:val="24"/>
        </w:rPr>
        <w:t>available</w:t>
      </w:r>
      <w:r w:rsidRPr="00F20688">
        <w:rPr>
          <w:spacing w:val="-5"/>
          <w:szCs w:val="24"/>
        </w:rPr>
        <w:t xml:space="preserve"> </w:t>
      </w:r>
      <w:r w:rsidRPr="00F20688">
        <w:rPr>
          <w:szCs w:val="24"/>
        </w:rPr>
        <w:t>depends</w:t>
      </w:r>
      <w:r w:rsidRPr="00F20688">
        <w:rPr>
          <w:spacing w:val="-2"/>
          <w:szCs w:val="24"/>
        </w:rPr>
        <w:t xml:space="preserve"> </w:t>
      </w:r>
      <w:r w:rsidRPr="00F20688">
        <w:rPr>
          <w:szCs w:val="24"/>
        </w:rPr>
        <w:t>upon</w:t>
      </w:r>
      <w:r w:rsidRPr="00F20688">
        <w:rPr>
          <w:spacing w:val="-4"/>
          <w:szCs w:val="24"/>
        </w:rPr>
        <w:t xml:space="preserve"> </w:t>
      </w:r>
      <w:r w:rsidRPr="00F20688">
        <w:rPr>
          <w:szCs w:val="24"/>
        </w:rPr>
        <w:t>the substantive standards applicable to the underlying claim for relief, and, therefore, the third paragraph of this instruction should be modified accordingly.</w:t>
      </w:r>
    </w:p>
    <w:p w14:paraId="1EBFCD22" w14:textId="77777777" w:rsidR="00000ABB" w:rsidRPr="00F20688" w:rsidRDefault="00000ABB" w:rsidP="00000ABB">
      <w:pPr>
        <w:ind w:firstLine="720"/>
        <w:rPr>
          <w:szCs w:val="24"/>
        </w:rPr>
      </w:pPr>
    </w:p>
    <w:p w14:paraId="7334CD43" w14:textId="11148B4C" w:rsidR="00000ABB" w:rsidRPr="00F20688" w:rsidRDefault="00000ABB" w:rsidP="00384267">
      <w:pPr>
        <w:ind w:right="116" w:firstLine="720"/>
        <w:rPr>
          <w:szCs w:val="24"/>
        </w:rPr>
      </w:pPr>
      <w:r w:rsidRPr="00F20688">
        <w:rPr>
          <w:rFonts w:eastAsia="Calibri"/>
          <w:szCs w:val="24"/>
        </w:rPr>
        <w:t>As to Title VII claims, an employer may be liable for punitive damages when the employer</w:t>
      </w:r>
      <w:r w:rsidRPr="00F20688">
        <w:rPr>
          <w:rFonts w:eastAsia="Calibri"/>
          <w:spacing w:val="-3"/>
          <w:szCs w:val="24"/>
        </w:rPr>
        <w:t xml:space="preserve"> </w:t>
      </w:r>
      <w:r w:rsidRPr="00F20688">
        <w:rPr>
          <w:rFonts w:eastAsia="Calibri"/>
          <w:szCs w:val="24"/>
        </w:rPr>
        <w:t>“discriminate[s]</w:t>
      </w:r>
      <w:r w:rsidRPr="00F20688">
        <w:rPr>
          <w:rFonts w:eastAsia="Calibri"/>
          <w:spacing w:val="-3"/>
          <w:szCs w:val="24"/>
        </w:rPr>
        <w:t xml:space="preserve"> </w:t>
      </w:r>
      <w:r w:rsidRPr="00F20688">
        <w:rPr>
          <w:rFonts w:eastAsia="Calibri"/>
          <w:szCs w:val="24"/>
        </w:rPr>
        <w:t>in</w:t>
      </w:r>
      <w:r w:rsidRPr="00F20688">
        <w:rPr>
          <w:rFonts w:eastAsia="Calibri"/>
          <w:spacing w:val="-3"/>
          <w:szCs w:val="24"/>
        </w:rPr>
        <w:t xml:space="preserve"> </w:t>
      </w:r>
      <w:r w:rsidRPr="00F20688">
        <w:rPr>
          <w:rFonts w:eastAsia="Calibri"/>
          <w:szCs w:val="24"/>
        </w:rPr>
        <w:t>the</w:t>
      </w:r>
      <w:r w:rsidRPr="00F20688">
        <w:rPr>
          <w:rFonts w:eastAsia="Calibri"/>
          <w:spacing w:val="-3"/>
          <w:szCs w:val="24"/>
        </w:rPr>
        <w:t xml:space="preserve"> </w:t>
      </w:r>
      <w:r w:rsidRPr="00F20688">
        <w:rPr>
          <w:rFonts w:eastAsia="Calibri"/>
          <w:szCs w:val="24"/>
        </w:rPr>
        <w:t>face</w:t>
      </w:r>
      <w:r w:rsidRPr="00F20688">
        <w:rPr>
          <w:rFonts w:eastAsia="Calibri"/>
          <w:spacing w:val="-3"/>
          <w:szCs w:val="24"/>
        </w:rPr>
        <w:t xml:space="preserve"> </w:t>
      </w:r>
      <w:r w:rsidRPr="00F20688">
        <w:rPr>
          <w:rFonts w:eastAsia="Calibri"/>
          <w:szCs w:val="24"/>
        </w:rPr>
        <w:t>of</w:t>
      </w:r>
      <w:r w:rsidRPr="00F20688">
        <w:rPr>
          <w:rFonts w:eastAsia="Calibri"/>
          <w:spacing w:val="-3"/>
          <w:szCs w:val="24"/>
        </w:rPr>
        <w:t xml:space="preserve"> </w:t>
      </w:r>
      <w:r w:rsidRPr="00F20688">
        <w:rPr>
          <w:rFonts w:eastAsia="Calibri"/>
          <w:szCs w:val="24"/>
        </w:rPr>
        <w:t>a</w:t>
      </w:r>
      <w:r w:rsidRPr="00F20688">
        <w:rPr>
          <w:rFonts w:eastAsia="Calibri"/>
          <w:spacing w:val="-3"/>
          <w:szCs w:val="24"/>
        </w:rPr>
        <w:t xml:space="preserve"> </w:t>
      </w:r>
      <w:r w:rsidRPr="00F20688">
        <w:rPr>
          <w:rFonts w:eastAsia="Calibri"/>
          <w:szCs w:val="24"/>
        </w:rPr>
        <w:t>perceived</w:t>
      </w:r>
      <w:r w:rsidRPr="00F20688">
        <w:rPr>
          <w:rFonts w:eastAsia="Calibri"/>
          <w:spacing w:val="-3"/>
          <w:szCs w:val="24"/>
        </w:rPr>
        <w:t xml:space="preserve"> </w:t>
      </w:r>
      <w:r w:rsidRPr="00F20688">
        <w:rPr>
          <w:rFonts w:eastAsia="Calibri"/>
          <w:szCs w:val="24"/>
        </w:rPr>
        <w:t>risk</w:t>
      </w:r>
      <w:r w:rsidRPr="00F20688">
        <w:rPr>
          <w:rFonts w:eastAsia="Calibri"/>
          <w:spacing w:val="-3"/>
          <w:szCs w:val="24"/>
        </w:rPr>
        <w:t xml:space="preserve"> </w:t>
      </w:r>
      <w:r w:rsidRPr="00F20688">
        <w:rPr>
          <w:rFonts w:eastAsia="Calibri"/>
          <w:szCs w:val="24"/>
        </w:rPr>
        <w:t>that</w:t>
      </w:r>
      <w:r w:rsidRPr="00F20688">
        <w:rPr>
          <w:rFonts w:eastAsia="Calibri"/>
          <w:spacing w:val="-3"/>
          <w:szCs w:val="24"/>
        </w:rPr>
        <w:t xml:space="preserve"> </w:t>
      </w:r>
      <w:r w:rsidRPr="00F20688">
        <w:rPr>
          <w:rFonts w:eastAsia="Calibri"/>
          <w:szCs w:val="24"/>
        </w:rPr>
        <w:t>its</w:t>
      </w:r>
      <w:r w:rsidRPr="00F20688">
        <w:rPr>
          <w:rFonts w:eastAsia="Calibri"/>
          <w:spacing w:val="-3"/>
          <w:szCs w:val="24"/>
        </w:rPr>
        <w:t xml:space="preserve"> </w:t>
      </w:r>
      <w:r w:rsidRPr="00F20688">
        <w:rPr>
          <w:rFonts w:eastAsia="Calibri"/>
          <w:szCs w:val="24"/>
        </w:rPr>
        <w:t>actions</w:t>
      </w:r>
      <w:r w:rsidRPr="00F20688">
        <w:rPr>
          <w:rFonts w:eastAsia="Calibri"/>
          <w:spacing w:val="-3"/>
          <w:szCs w:val="24"/>
        </w:rPr>
        <w:t xml:space="preserve"> </w:t>
      </w:r>
      <w:r w:rsidRPr="00F20688">
        <w:rPr>
          <w:rFonts w:eastAsia="Calibri"/>
          <w:szCs w:val="24"/>
        </w:rPr>
        <w:t>will</w:t>
      </w:r>
      <w:r w:rsidRPr="00F20688">
        <w:rPr>
          <w:rFonts w:eastAsia="Calibri"/>
          <w:spacing w:val="-4"/>
          <w:szCs w:val="24"/>
        </w:rPr>
        <w:t xml:space="preserve"> </w:t>
      </w:r>
      <w:r w:rsidRPr="00F20688">
        <w:rPr>
          <w:rFonts w:eastAsia="Calibri"/>
          <w:szCs w:val="24"/>
        </w:rPr>
        <w:t>violate</w:t>
      </w:r>
      <w:r w:rsidRPr="00F20688">
        <w:rPr>
          <w:rFonts w:eastAsia="Calibri"/>
          <w:spacing w:val="-3"/>
          <w:szCs w:val="24"/>
        </w:rPr>
        <w:t xml:space="preserve"> </w:t>
      </w:r>
      <w:r w:rsidRPr="00F20688">
        <w:rPr>
          <w:rFonts w:eastAsia="Calibri"/>
          <w:szCs w:val="24"/>
        </w:rPr>
        <w:t>federal</w:t>
      </w:r>
      <w:r w:rsidRPr="00F20688">
        <w:rPr>
          <w:rFonts w:eastAsia="Calibri"/>
          <w:spacing w:val="-3"/>
          <w:szCs w:val="24"/>
        </w:rPr>
        <w:t xml:space="preserve"> </w:t>
      </w:r>
      <w:r w:rsidRPr="00F20688">
        <w:rPr>
          <w:rFonts w:eastAsia="Calibri"/>
          <w:szCs w:val="24"/>
        </w:rPr>
        <w:t xml:space="preserve">law.” </w:t>
      </w:r>
      <w:r w:rsidRPr="00F20688">
        <w:rPr>
          <w:rFonts w:eastAsia="Calibri"/>
          <w:i/>
          <w:szCs w:val="24"/>
        </w:rPr>
        <w:t>Passantino v. Johnson &amp; Johnson Consumer Products, Inc.</w:t>
      </w:r>
      <w:r w:rsidRPr="00F20688">
        <w:rPr>
          <w:rFonts w:eastAsia="Calibri"/>
          <w:szCs w:val="24"/>
        </w:rPr>
        <w:t>, 212 F.3d 493, 515 (9th Cir.</w:t>
      </w:r>
      <w:r w:rsidR="00384267">
        <w:rPr>
          <w:rFonts w:eastAsia="Calibri"/>
          <w:szCs w:val="24"/>
        </w:rPr>
        <w:t xml:space="preserve"> </w:t>
      </w:r>
      <w:r w:rsidRPr="00F20688">
        <w:rPr>
          <w:rFonts w:eastAsia="Calibri"/>
          <w:szCs w:val="24"/>
        </w:rPr>
        <w:t>2000)</w:t>
      </w:r>
      <w:r w:rsidRPr="00F20688">
        <w:rPr>
          <w:rFonts w:eastAsia="Calibri"/>
          <w:spacing w:val="-2"/>
          <w:szCs w:val="24"/>
        </w:rPr>
        <w:t xml:space="preserve"> </w:t>
      </w:r>
      <w:r w:rsidRPr="00F20688">
        <w:rPr>
          <w:rFonts w:eastAsia="Calibri"/>
          <w:szCs w:val="24"/>
        </w:rPr>
        <w:t>(citing</w:t>
      </w:r>
      <w:r w:rsidRPr="00F20688">
        <w:rPr>
          <w:rFonts w:eastAsia="Calibri"/>
          <w:spacing w:val="-1"/>
          <w:szCs w:val="24"/>
        </w:rPr>
        <w:t xml:space="preserve"> </w:t>
      </w:r>
      <w:r w:rsidRPr="00F20688">
        <w:rPr>
          <w:rFonts w:eastAsia="Calibri"/>
          <w:i/>
          <w:szCs w:val="24"/>
        </w:rPr>
        <w:t>Kolstad</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Am</w:t>
      </w:r>
      <w:r w:rsidR="00163288">
        <w:rPr>
          <w:rFonts w:eastAsia="Calibri"/>
          <w:i/>
          <w:szCs w:val="24"/>
        </w:rPr>
        <w:t>.</w:t>
      </w:r>
      <w:r w:rsidRPr="00F20688">
        <w:rPr>
          <w:rFonts w:eastAsia="Calibri"/>
          <w:i/>
          <w:spacing w:val="-1"/>
          <w:szCs w:val="24"/>
        </w:rPr>
        <w:t xml:space="preserve"> </w:t>
      </w:r>
      <w:r w:rsidRPr="00F20688">
        <w:rPr>
          <w:rFonts w:eastAsia="Calibri"/>
          <w:i/>
          <w:szCs w:val="24"/>
        </w:rPr>
        <w:t>Dental</w:t>
      </w:r>
      <w:r w:rsidRPr="00F20688">
        <w:rPr>
          <w:rFonts w:eastAsia="Calibri"/>
          <w:i/>
          <w:spacing w:val="-1"/>
          <w:szCs w:val="24"/>
        </w:rPr>
        <w:t xml:space="preserve"> </w:t>
      </w:r>
      <w:r w:rsidRPr="00F20688">
        <w:rPr>
          <w:rFonts w:eastAsia="Calibri"/>
          <w:i/>
          <w:szCs w:val="24"/>
        </w:rPr>
        <w:t>Ass’n</w:t>
      </w:r>
      <w:r w:rsidRPr="00F20688">
        <w:rPr>
          <w:rFonts w:eastAsia="Calibri"/>
          <w:szCs w:val="24"/>
        </w:rPr>
        <w:t>.,</w:t>
      </w:r>
      <w:r w:rsidRPr="00F20688">
        <w:rPr>
          <w:rFonts w:eastAsia="Calibri"/>
          <w:spacing w:val="1"/>
          <w:szCs w:val="24"/>
        </w:rPr>
        <w:t xml:space="preserve"> </w:t>
      </w:r>
      <w:r w:rsidRPr="00F20688">
        <w:rPr>
          <w:rFonts w:eastAsia="Calibri"/>
          <w:szCs w:val="24"/>
        </w:rPr>
        <w:t>527</w:t>
      </w:r>
      <w:r w:rsidRPr="00F20688">
        <w:rPr>
          <w:rFonts w:eastAsia="Calibri"/>
          <w:spacing w:val="-1"/>
          <w:szCs w:val="24"/>
        </w:rPr>
        <w:t xml:space="preserve"> </w:t>
      </w:r>
      <w:r w:rsidRPr="00F20688">
        <w:rPr>
          <w:rFonts w:eastAsia="Calibri"/>
          <w:szCs w:val="24"/>
        </w:rPr>
        <w:t>U.S. 526,</w:t>
      </w:r>
      <w:r w:rsidRPr="00F20688">
        <w:rPr>
          <w:rFonts w:eastAsia="Calibri"/>
          <w:spacing w:val="-1"/>
          <w:szCs w:val="24"/>
        </w:rPr>
        <w:t xml:space="preserve"> </w:t>
      </w:r>
      <w:r w:rsidRPr="00F20688">
        <w:rPr>
          <w:rFonts w:eastAsia="Calibri"/>
          <w:szCs w:val="24"/>
        </w:rPr>
        <w:t>536</w:t>
      </w:r>
      <w:r w:rsidRPr="00F20688">
        <w:rPr>
          <w:rFonts w:eastAsia="Calibri"/>
          <w:spacing w:val="-1"/>
          <w:szCs w:val="24"/>
        </w:rPr>
        <w:t xml:space="preserve"> </w:t>
      </w:r>
      <w:r w:rsidRPr="00F20688">
        <w:rPr>
          <w:rFonts w:eastAsia="Calibri"/>
          <w:szCs w:val="24"/>
        </w:rPr>
        <w:t>(1999)</w:t>
      </w:r>
      <w:r w:rsidR="00F22B65">
        <w:rPr>
          <w:rFonts w:eastAsia="Calibri"/>
          <w:szCs w:val="24"/>
        </w:rPr>
        <w:t>)</w:t>
      </w:r>
      <w:r w:rsidRPr="00F20688">
        <w:rPr>
          <w:rFonts w:eastAsia="Calibri"/>
          <w:szCs w:val="24"/>
        </w:rPr>
        <w:t>.</w:t>
      </w:r>
      <w:r w:rsidR="00384267">
        <w:rPr>
          <w:rFonts w:eastAsia="Calibri"/>
          <w:szCs w:val="24"/>
        </w:rPr>
        <w:t xml:space="preserve"> </w:t>
      </w:r>
      <w:r w:rsidRPr="00F20688">
        <w:rPr>
          <w:rFonts w:eastAsia="Calibri"/>
          <w:i/>
          <w:szCs w:val="24"/>
        </w:rPr>
        <w:t>See</w:t>
      </w:r>
      <w:r w:rsidRPr="00F20688">
        <w:rPr>
          <w:rFonts w:eastAsia="Calibri"/>
          <w:i/>
          <w:spacing w:val="-2"/>
          <w:szCs w:val="24"/>
        </w:rPr>
        <w:t xml:space="preserve"> </w:t>
      </w:r>
      <w:r w:rsidRPr="00F20688">
        <w:rPr>
          <w:rFonts w:eastAsia="Calibri"/>
          <w:i/>
          <w:szCs w:val="24"/>
        </w:rPr>
        <w:t>also</w:t>
      </w:r>
      <w:r w:rsidRPr="00F20688">
        <w:rPr>
          <w:rFonts w:eastAsia="Calibri"/>
          <w:i/>
          <w:spacing w:val="-1"/>
          <w:szCs w:val="24"/>
        </w:rPr>
        <w:t xml:space="preserve"> </w:t>
      </w:r>
      <w:r w:rsidRPr="00F20688">
        <w:rPr>
          <w:rFonts w:eastAsia="Calibri"/>
          <w:i/>
          <w:szCs w:val="24"/>
        </w:rPr>
        <w:t>Caudle</w:t>
      </w:r>
      <w:r w:rsidRPr="00F20688">
        <w:rPr>
          <w:rFonts w:eastAsia="Calibri"/>
          <w:i/>
          <w:spacing w:val="-1"/>
          <w:szCs w:val="24"/>
        </w:rPr>
        <w:t xml:space="preserve"> </w:t>
      </w:r>
      <w:r w:rsidRPr="00F20688">
        <w:rPr>
          <w:rFonts w:eastAsia="Calibri"/>
          <w:i/>
          <w:spacing w:val="-5"/>
          <w:szCs w:val="24"/>
        </w:rPr>
        <w:t>v.</w:t>
      </w:r>
      <w:r w:rsidR="00384267">
        <w:rPr>
          <w:i/>
          <w:szCs w:val="24"/>
        </w:rPr>
        <w:t xml:space="preserve"> </w:t>
      </w:r>
      <w:r w:rsidRPr="00F20688">
        <w:rPr>
          <w:i/>
          <w:szCs w:val="24"/>
        </w:rPr>
        <w:t>Bristol Optical Co</w:t>
      </w:r>
      <w:r w:rsidRPr="00F20688">
        <w:rPr>
          <w:szCs w:val="24"/>
        </w:rPr>
        <w:t>., 224 F.3d 1014, 1026-27 (9th Cir. 2000).</w:t>
      </w:r>
      <w:r w:rsidR="00384267">
        <w:rPr>
          <w:spacing w:val="40"/>
          <w:szCs w:val="24"/>
        </w:rPr>
        <w:t xml:space="preserve"> </w:t>
      </w:r>
      <w:r w:rsidRPr="00F20688">
        <w:rPr>
          <w:szCs w:val="24"/>
        </w:rPr>
        <w:t>Punitive and compensatory damages</w:t>
      </w:r>
      <w:r w:rsidRPr="00F20688">
        <w:rPr>
          <w:spacing w:val="-3"/>
          <w:szCs w:val="24"/>
        </w:rPr>
        <w:t xml:space="preserve"> </w:t>
      </w:r>
      <w:r w:rsidRPr="00F20688">
        <w:rPr>
          <w:szCs w:val="24"/>
        </w:rPr>
        <w:t>are</w:t>
      </w:r>
      <w:r w:rsidRPr="00F20688">
        <w:rPr>
          <w:spacing w:val="-4"/>
          <w:szCs w:val="24"/>
        </w:rPr>
        <w:t xml:space="preserve"> </w:t>
      </w:r>
      <w:r w:rsidRPr="00F20688">
        <w:rPr>
          <w:szCs w:val="24"/>
        </w:rPr>
        <w:t>subject</w:t>
      </w:r>
      <w:r w:rsidRPr="00F20688">
        <w:rPr>
          <w:spacing w:val="-3"/>
          <w:szCs w:val="24"/>
        </w:rPr>
        <w:t xml:space="preserve"> </w:t>
      </w:r>
      <w:r w:rsidRPr="00F20688">
        <w:rPr>
          <w:szCs w:val="24"/>
        </w:rPr>
        <w:t>to</w:t>
      </w:r>
      <w:r w:rsidRPr="00F20688">
        <w:rPr>
          <w:spacing w:val="-3"/>
          <w:szCs w:val="24"/>
        </w:rPr>
        <w:t xml:space="preserve"> </w:t>
      </w:r>
      <w:r w:rsidRPr="00F20688">
        <w:rPr>
          <w:szCs w:val="24"/>
        </w:rPr>
        <w:t>caps</w:t>
      </w:r>
      <w:r w:rsidRPr="00F20688">
        <w:rPr>
          <w:spacing w:val="-3"/>
          <w:szCs w:val="24"/>
        </w:rPr>
        <w:t xml:space="preserve"> </w:t>
      </w:r>
      <w:r w:rsidRPr="00F20688">
        <w:rPr>
          <w:szCs w:val="24"/>
        </w:rPr>
        <w:t>in</w:t>
      </w:r>
      <w:r w:rsidRPr="00F20688">
        <w:rPr>
          <w:spacing w:val="-3"/>
          <w:szCs w:val="24"/>
        </w:rPr>
        <w:t xml:space="preserve"> </w:t>
      </w:r>
      <w:r w:rsidRPr="00F20688">
        <w:rPr>
          <w:szCs w:val="24"/>
        </w:rPr>
        <w:t>Title</w:t>
      </w:r>
      <w:r w:rsidRPr="00F20688">
        <w:rPr>
          <w:spacing w:val="-4"/>
          <w:szCs w:val="24"/>
        </w:rPr>
        <w:t xml:space="preserve"> </w:t>
      </w:r>
      <w:r w:rsidRPr="00F20688">
        <w:rPr>
          <w:szCs w:val="24"/>
        </w:rPr>
        <w:t>VII</w:t>
      </w:r>
      <w:r w:rsidRPr="00F20688">
        <w:rPr>
          <w:spacing w:val="-4"/>
          <w:szCs w:val="24"/>
        </w:rPr>
        <w:t xml:space="preserve"> </w:t>
      </w:r>
      <w:r w:rsidRPr="00F20688">
        <w:rPr>
          <w:szCs w:val="24"/>
        </w:rPr>
        <w:t>cases.</w:t>
      </w:r>
      <w:r w:rsidR="00384267">
        <w:rPr>
          <w:spacing w:val="40"/>
          <w:szCs w:val="24"/>
        </w:rPr>
        <w:t xml:space="preserve"> </w:t>
      </w:r>
      <w:r w:rsidRPr="00F20688">
        <w:rPr>
          <w:i/>
          <w:szCs w:val="24"/>
        </w:rPr>
        <w:t>See</w:t>
      </w:r>
      <w:r w:rsidRPr="00F20688">
        <w:rPr>
          <w:i/>
          <w:spacing w:val="-2"/>
          <w:szCs w:val="24"/>
        </w:rPr>
        <w:t xml:space="preserve"> </w:t>
      </w:r>
      <w:r w:rsidRPr="00F20688">
        <w:rPr>
          <w:szCs w:val="24"/>
        </w:rPr>
        <w:t>42</w:t>
      </w:r>
      <w:r w:rsidRPr="00F20688">
        <w:rPr>
          <w:spacing w:val="-3"/>
          <w:szCs w:val="24"/>
        </w:rPr>
        <w:t xml:space="preserve"> </w:t>
      </w:r>
      <w:r w:rsidRPr="00F20688">
        <w:rPr>
          <w:szCs w:val="24"/>
        </w:rPr>
        <w:t>U.S.C.</w:t>
      </w:r>
      <w:r w:rsidRPr="00F20688">
        <w:rPr>
          <w:spacing w:val="-3"/>
          <w:szCs w:val="24"/>
        </w:rPr>
        <w:t xml:space="preserve"> </w:t>
      </w:r>
      <w:r w:rsidRPr="00F20688">
        <w:rPr>
          <w:szCs w:val="24"/>
        </w:rPr>
        <w:t>§</w:t>
      </w:r>
      <w:r w:rsidRPr="00F20688">
        <w:rPr>
          <w:spacing w:val="-3"/>
          <w:szCs w:val="24"/>
        </w:rPr>
        <w:t xml:space="preserve"> </w:t>
      </w:r>
      <w:r w:rsidRPr="00F20688">
        <w:rPr>
          <w:szCs w:val="24"/>
        </w:rPr>
        <w:t>1981a(b)(3);</w:t>
      </w:r>
      <w:r w:rsidRPr="00F20688">
        <w:rPr>
          <w:spacing w:val="-3"/>
          <w:szCs w:val="24"/>
        </w:rPr>
        <w:t xml:space="preserve"> </w:t>
      </w:r>
      <w:r w:rsidRPr="00F20688">
        <w:rPr>
          <w:i/>
          <w:szCs w:val="24"/>
        </w:rPr>
        <w:t>Arizona</w:t>
      </w:r>
      <w:r w:rsidRPr="00F20688">
        <w:rPr>
          <w:i/>
          <w:spacing w:val="-3"/>
          <w:szCs w:val="24"/>
        </w:rPr>
        <w:t xml:space="preserve"> </w:t>
      </w:r>
      <w:r w:rsidRPr="00F20688">
        <w:rPr>
          <w:i/>
          <w:szCs w:val="24"/>
        </w:rPr>
        <w:t>v.</w:t>
      </w:r>
      <w:r w:rsidRPr="00F20688">
        <w:rPr>
          <w:i/>
          <w:spacing w:val="-3"/>
          <w:szCs w:val="24"/>
        </w:rPr>
        <w:t xml:space="preserve"> </w:t>
      </w:r>
      <w:r w:rsidRPr="00F20688">
        <w:rPr>
          <w:i/>
          <w:szCs w:val="24"/>
        </w:rPr>
        <w:t>ASARCO LLC</w:t>
      </w:r>
      <w:r w:rsidRPr="00F20688">
        <w:rPr>
          <w:szCs w:val="24"/>
        </w:rPr>
        <w:t>, 773 F.3d 1050 (9th Cir. 2014) (en banc) (analyzing constitutionality of punitive damages under § 1981(b) when only nominal damages are awarded).</w:t>
      </w:r>
    </w:p>
    <w:p w14:paraId="4BB37575" w14:textId="77777777" w:rsidR="00000ABB" w:rsidRPr="00F20688" w:rsidRDefault="00000ABB" w:rsidP="00000ABB">
      <w:pPr>
        <w:ind w:firstLine="720"/>
        <w:rPr>
          <w:szCs w:val="24"/>
        </w:rPr>
      </w:pPr>
    </w:p>
    <w:p w14:paraId="013FE917" w14:textId="017F8D8E" w:rsidR="00000ABB" w:rsidRPr="00F20688" w:rsidRDefault="00000ABB" w:rsidP="00384267">
      <w:pPr>
        <w:ind w:firstLine="720"/>
        <w:rPr>
          <w:szCs w:val="24"/>
        </w:rPr>
      </w:pPr>
      <w:r w:rsidRPr="00F20688">
        <w:rPr>
          <w:szCs w:val="24"/>
        </w:rPr>
        <w:t>As</w:t>
      </w:r>
      <w:r w:rsidRPr="00F20688">
        <w:rPr>
          <w:spacing w:val="-3"/>
          <w:szCs w:val="24"/>
        </w:rPr>
        <w:t xml:space="preserve"> </w:t>
      </w:r>
      <w:r w:rsidRPr="00F20688">
        <w:rPr>
          <w:szCs w:val="24"/>
        </w:rPr>
        <w:t>to</w:t>
      </w:r>
      <w:r w:rsidRPr="00F20688">
        <w:rPr>
          <w:spacing w:val="-3"/>
          <w:szCs w:val="24"/>
        </w:rPr>
        <w:t xml:space="preserve"> </w:t>
      </w:r>
      <w:r w:rsidRPr="00F20688">
        <w:rPr>
          <w:szCs w:val="24"/>
        </w:rPr>
        <w:t>§</w:t>
      </w:r>
      <w:r w:rsidRPr="00F20688">
        <w:rPr>
          <w:spacing w:val="-3"/>
          <w:szCs w:val="24"/>
        </w:rPr>
        <w:t xml:space="preserve"> </w:t>
      </w:r>
      <w:r w:rsidRPr="00F20688">
        <w:rPr>
          <w:szCs w:val="24"/>
        </w:rPr>
        <w:t>1983</w:t>
      </w:r>
      <w:r w:rsidRPr="00F20688">
        <w:rPr>
          <w:spacing w:val="-3"/>
          <w:szCs w:val="24"/>
        </w:rPr>
        <w:t xml:space="preserve"> </w:t>
      </w:r>
      <w:r w:rsidRPr="00F20688">
        <w:rPr>
          <w:szCs w:val="24"/>
        </w:rPr>
        <w:t>claims,</w:t>
      </w:r>
      <w:r w:rsidRPr="00F20688">
        <w:rPr>
          <w:spacing w:val="-3"/>
          <w:szCs w:val="24"/>
        </w:rPr>
        <w:t xml:space="preserve"> </w:t>
      </w:r>
      <w:r w:rsidRPr="00F20688">
        <w:rPr>
          <w:szCs w:val="24"/>
        </w:rPr>
        <w:t>“[i]t</w:t>
      </w:r>
      <w:r w:rsidRPr="00F20688">
        <w:rPr>
          <w:spacing w:val="-1"/>
          <w:szCs w:val="24"/>
        </w:rPr>
        <w:t xml:space="preserve"> </w:t>
      </w:r>
      <w:r w:rsidRPr="00F20688">
        <w:rPr>
          <w:szCs w:val="24"/>
        </w:rPr>
        <w:t>is</w:t>
      </w:r>
      <w:r w:rsidRPr="00F20688">
        <w:rPr>
          <w:spacing w:val="-3"/>
          <w:szCs w:val="24"/>
        </w:rPr>
        <w:t xml:space="preserve"> </w:t>
      </w:r>
      <w:r w:rsidRPr="00F20688">
        <w:rPr>
          <w:szCs w:val="24"/>
        </w:rPr>
        <w:t>well-established</w:t>
      </w:r>
      <w:r w:rsidRPr="00F20688">
        <w:rPr>
          <w:spacing w:val="-3"/>
          <w:szCs w:val="24"/>
        </w:rPr>
        <w:t xml:space="preserve"> </w:t>
      </w:r>
      <w:r w:rsidRPr="00F20688">
        <w:rPr>
          <w:szCs w:val="24"/>
        </w:rPr>
        <w:t>that</w:t>
      </w:r>
      <w:r w:rsidRPr="00F20688">
        <w:rPr>
          <w:spacing w:val="-3"/>
          <w:szCs w:val="24"/>
        </w:rPr>
        <w:t xml:space="preserve"> </w:t>
      </w:r>
      <w:r w:rsidRPr="00F20688">
        <w:rPr>
          <w:szCs w:val="24"/>
        </w:rPr>
        <w:t>a</w:t>
      </w:r>
      <w:r w:rsidRPr="00F20688">
        <w:rPr>
          <w:spacing w:val="-2"/>
          <w:szCs w:val="24"/>
        </w:rPr>
        <w:t xml:space="preserve"> </w:t>
      </w:r>
      <w:r w:rsidRPr="00F20688">
        <w:rPr>
          <w:szCs w:val="24"/>
        </w:rPr>
        <w:t>‘jury</w:t>
      </w:r>
      <w:r w:rsidRPr="00F20688">
        <w:rPr>
          <w:spacing w:val="-3"/>
          <w:szCs w:val="24"/>
        </w:rPr>
        <w:t xml:space="preserve"> </w:t>
      </w:r>
      <w:r w:rsidRPr="00F20688">
        <w:rPr>
          <w:szCs w:val="24"/>
        </w:rPr>
        <w:t>may</w:t>
      </w:r>
      <w:r w:rsidRPr="00F20688">
        <w:rPr>
          <w:spacing w:val="-3"/>
          <w:szCs w:val="24"/>
        </w:rPr>
        <w:t xml:space="preserve"> </w:t>
      </w:r>
      <w:r w:rsidRPr="00F20688">
        <w:rPr>
          <w:szCs w:val="24"/>
        </w:rPr>
        <w:t>award</w:t>
      </w:r>
      <w:r w:rsidRPr="00F20688">
        <w:rPr>
          <w:spacing w:val="-3"/>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w:t>
      </w:r>
      <w:r w:rsidRPr="00F20688">
        <w:rPr>
          <w:spacing w:val="-3"/>
          <w:szCs w:val="24"/>
        </w:rPr>
        <w:t xml:space="preserve"> </w:t>
      </w:r>
      <w:r w:rsidRPr="00F20688">
        <w:rPr>
          <w:szCs w:val="24"/>
        </w:rPr>
        <w:t>.</w:t>
      </w:r>
      <w:r w:rsidRPr="00F20688">
        <w:rPr>
          <w:spacing w:val="-3"/>
          <w:szCs w:val="24"/>
        </w:rPr>
        <w:t xml:space="preserve"> </w:t>
      </w:r>
      <w:r w:rsidRPr="00F20688">
        <w:rPr>
          <w:szCs w:val="24"/>
        </w:rPr>
        <w:t>. either when a defendant’s conduct was driven by evil motive or intent, or when it involved a reckless</w:t>
      </w:r>
      <w:r w:rsidRPr="00F20688">
        <w:rPr>
          <w:spacing w:val="-1"/>
          <w:szCs w:val="24"/>
        </w:rPr>
        <w:t xml:space="preserve"> </w:t>
      </w:r>
      <w:r w:rsidRPr="00F20688">
        <w:rPr>
          <w:szCs w:val="24"/>
        </w:rPr>
        <w:t>or callous</w:t>
      </w:r>
      <w:r w:rsidRPr="00F20688">
        <w:rPr>
          <w:spacing w:val="-1"/>
          <w:szCs w:val="24"/>
        </w:rPr>
        <w:t xml:space="preserve"> </w:t>
      </w:r>
      <w:r w:rsidRPr="00F20688">
        <w:rPr>
          <w:szCs w:val="24"/>
        </w:rPr>
        <w:t>indifference</w:t>
      </w:r>
      <w:r w:rsidRPr="00F20688">
        <w:rPr>
          <w:spacing w:val="-2"/>
          <w:szCs w:val="24"/>
        </w:rPr>
        <w:t xml:space="preserve"> </w:t>
      </w:r>
      <w:r w:rsidRPr="00F20688">
        <w:rPr>
          <w:szCs w:val="24"/>
        </w:rPr>
        <w:t>to</w:t>
      </w:r>
      <w:r w:rsidRPr="00F20688">
        <w:rPr>
          <w:spacing w:val="-1"/>
          <w:szCs w:val="24"/>
        </w:rPr>
        <w:t xml:space="preserve"> </w:t>
      </w:r>
      <w:r w:rsidRPr="00F20688">
        <w:rPr>
          <w:szCs w:val="24"/>
        </w:rPr>
        <w:t>the</w:t>
      </w:r>
      <w:r w:rsidRPr="00F20688">
        <w:rPr>
          <w:spacing w:val="-2"/>
          <w:szCs w:val="24"/>
        </w:rPr>
        <w:t xml:space="preserve"> </w:t>
      </w:r>
      <w:r w:rsidRPr="00F20688">
        <w:rPr>
          <w:szCs w:val="24"/>
        </w:rPr>
        <w:t>constitutional</w:t>
      </w:r>
      <w:r w:rsidRPr="00F20688">
        <w:rPr>
          <w:spacing w:val="-1"/>
          <w:szCs w:val="24"/>
        </w:rPr>
        <w:t xml:space="preserve"> </w:t>
      </w:r>
      <w:r w:rsidRPr="00F20688">
        <w:rPr>
          <w:szCs w:val="24"/>
        </w:rPr>
        <w:t>rights</w:t>
      </w:r>
      <w:r w:rsidRPr="00F20688">
        <w:rPr>
          <w:spacing w:val="-1"/>
          <w:szCs w:val="24"/>
        </w:rPr>
        <w:t xml:space="preserve"> </w:t>
      </w:r>
      <w:r w:rsidRPr="00F20688">
        <w:rPr>
          <w:szCs w:val="24"/>
        </w:rPr>
        <w:t>of</w:t>
      </w:r>
      <w:r w:rsidRPr="00F20688">
        <w:rPr>
          <w:spacing w:val="-2"/>
          <w:szCs w:val="24"/>
        </w:rPr>
        <w:t xml:space="preserve"> </w:t>
      </w:r>
      <w:r w:rsidRPr="00F20688">
        <w:rPr>
          <w:szCs w:val="24"/>
        </w:rPr>
        <w:t>others.’”</w:t>
      </w:r>
      <w:r w:rsidR="00384267">
        <w:rPr>
          <w:spacing w:val="40"/>
          <w:szCs w:val="24"/>
        </w:rPr>
        <w:t xml:space="preserve"> </w:t>
      </w:r>
      <w:r w:rsidRPr="00F20688">
        <w:rPr>
          <w:i/>
          <w:szCs w:val="24"/>
        </w:rPr>
        <w:t>Morgan</w:t>
      </w:r>
      <w:r w:rsidRPr="00F20688">
        <w:rPr>
          <w:i/>
          <w:spacing w:val="-1"/>
          <w:szCs w:val="24"/>
        </w:rPr>
        <w:t xml:space="preserve"> </w:t>
      </w:r>
      <w:r w:rsidRPr="00F20688">
        <w:rPr>
          <w:i/>
          <w:szCs w:val="24"/>
        </w:rPr>
        <w:t>v.</w:t>
      </w:r>
      <w:r w:rsidRPr="00F20688">
        <w:rPr>
          <w:i/>
          <w:spacing w:val="-1"/>
          <w:szCs w:val="24"/>
        </w:rPr>
        <w:t xml:space="preserve"> </w:t>
      </w:r>
      <w:r w:rsidRPr="00F20688">
        <w:rPr>
          <w:i/>
          <w:szCs w:val="24"/>
        </w:rPr>
        <w:t>Woessner,</w:t>
      </w:r>
      <w:r w:rsidRPr="00F20688">
        <w:rPr>
          <w:i/>
          <w:spacing w:val="-1"/>
          <w:szCs w:val="24"/>
        </w:rPr>
        <w:t xml:space="preserve"> </w:t>
      </w:r>
      <w:r w:rsidRPr="00F20688">
        <w:rPr>
          <w:szCs w:val="24"/>
        </w:rPr>
        <w:t>997 F.2d 1244, 1255 (9th Cir. 1993).</w:t>
      </w:r>
      <w:r w:rsidR="00384267">
        <w:rPr>
          <w:spacing w:val="40"/>
          <w:szCs w:val="24"/>
        </w:rPr>
        <w:t xml:space="preserve"> </w:t>
      </w:r>
      <w:r w:rsidRPr="00F20688">
        <w:rPr>
          <w:szCs w:val="24"/>
        </w:rPr>
        <w:t xml:space="preserve">In </w:t>
      </w:r>
      <w:r w:rsidRPr="00F20688">
        <w:rPr>
          <w:i/>
          <w:szCs w:val="24"/>
        </w:rPr>
        <w:t xml:space="preserve">Dang v. Cross, </w:t>
      </w:r>
      <w:r w:rsidRPr="00F20688">
        <w:rPr>
          <w:szCs w:val="24"/>
        </w:rPr>
        <w:t>the Ninth Circuit held this “statement of the law of punitive damages is incomplete, however.</w:t>
      </w:r>
      <w:r w:rsidRPr="00F20688">
        <w:rPr>
          <w:spacing w:val="40"/>
          <w:szCs w:val="24"/>
        </w:rPr>
        <w:t xml:space="preserve"> </w:t>
      </w:r>
      <w:r w:rsidRPr="00F20688">
        <w:rPr>
          <w:szCs w:val="24"/>
        </w:rPr>
        <w:t>The standard for punitive damages under</w:t>
      </w:r>
      <w:r w:rsidR="00384267">
        <w:rPr>
          <w:szCs w:val="24"/>
        </w:rPr>
        <w:t xml:space="preserve"> </w:t>
      </w:r>
      <w:r w:rsidRPr="00F20688">
        <w:rPr>
          <w:szCs w:val="24"/>
        </w:rPr>
        <w:t>§ 1983 mirrors the standard for punitive damages under common law tort case</w:t>
      </w:r>
      <w:r w:rsidR="00F22B65">
        <w:rPr>
          <w:szCs w:val="24"/>
        </w:rPr>
        <w:t>s. . . .</w:t>
      </w:r>
      <w:r w:rsidRPr="00F20688">
        <w:rPr>
          <w:szCs w:val="24"/>
        </w:rPr>
        <w:t xml:space="preserve"> [M]alicious,</w:t>
      </w:r>
      <w:r w:rsidRPr="00F20688">
        <w:rPr>
          <w:spacing w:val="-3"/>
          <w:szCs w:val="24"/>
        </w:rPr>
        <w:t xml:space="preserve"> </w:t>
      </w:r>
      <w:r w:rsidRPr="00F20688">
        <w:rPr>
          <w:szCs w:val="24"/>
        </w:rPr>
        <w:t>wanton,</w:t>
      </w:r>
      <w:r w:rsidRPr="00F20688">
        <w:rPr>
          <w:spacing w:val="-3"/>
          <w:szCs w:val="24"/>
        </w:rPr>
        <w:t xml:space="preserve"> </w:t>
      </w:r>
      <w:r w:rsidRPr="00F20688">
        <w:rPr>
          <w:szCs w:val="24"/>
        </w:rPr>
        <w:t>or</w:t>
      </w:r>
      <w:r w:rsidRPr="00F20688">
        <w:rPr>
          <w:spacing w:val="-4"/>
          <w:szCs w:val="24"/>
        </w:rPr>
        <w:t xml:space="preserve"> </w:t>
      </w:r>
      <w:r w:rsidRPr="00F20688">
        <w:rPr>
          <w:szCs w:val="24"/>
        </w:rPr>
        <w:t>oppressive</w:t>
      </w:r>
      <w:r w:rsidRPr="00F20688">
        <w:rPr>
          <w:spacing w:val="-4"/>
          <w:szCs w:val="24"/>
        </w:rPr>
        <w:t xml:space="preserve"> </w:t>
      </w:r>
      <w:r w:rsidRPr="00F20688">
        <w:rPr>
          <w:szCs w:val="24"/>
        </w:rPr>
        <w:t>acts</w:t>
      </w:r>
      <w:r w:rsidRPr="00F20688">
        <w:rPr>
          <w:spacing w:val="-3"/>
          <w:szCs w:val="24"/>
        </w:rPr>
        <w:t xml:space="preserve"> </w:t>
      </w:r>
      <w:r w:rsidRPr="00F20688">
        <w:rPr>
          <w:szCs w:val="24"/>
        </w:rPr>
        <w:t>or</w:t>
      </w:r>
      <w:r w:rsidRPr="00F20688">
        <w:rPr>
          <w:spacing w:val="-4"/>
          <w:szCs w:val="24"/>
        </w:rPr>
        <w:t xml:space="preserve"> </w:t>
      </w:r>
      <w:r w:rsidRPr="00F20688">
        <w:rPr>
          <w:szCs w:val="24"/>
        </w:rPr>
        <w:t>omissions</w:t>
      </w:r>
      <w:r w:rsidRPr="00F20688">
        <w:rPr>
          <w:spacing w:val="-3"/>
          <w:szCs w:val="24"/>
        </w:rPr>
        <w:t xml:space="preserve"> </w:t>
      </w:r>
      <w:r w:rsidRPr="00F20688">
        <w:rPr>
          <w:szCs w:val="24"/>
        </w:rPr>
        <w:t>are</w:t>
      </w:r>
      <w:r w:rsidRPr="00F20688">
        <w:rPr>
          <w:spacing w:val="-4"/>
          <w:szCs w:val="24"/>
        </w:rPr>
        <w:t xml:space="preserve"> </w:t>
      </w:r>
      <w:r w:rsidRPr="00F20688">
        <w:rPr>
          <w:szCs w:val="24"/>
        </w:rPr>
        <w:t>within</w:t>
      </w:r>
      <w:r w:rsidRPr="00F20688">
        <w:rPr>
          <w:spacing w:val="-3"/>
          <w:szCs w:val="24"/>
        </w:rPr>
        <w:t xml:space="preserve"> </w:t>
      </w:r>
      <w:r w:rsidRPr="00F20688">
        <w:rPr>
          <w:szCs w:val="24"/>
        </w:rPr>
        <w:t>the</w:t>
      </w:r>
      <w:r w:rsidRPr="00F20688">
        <w:rPr>
          <w:spacing w:val="-4"/>
          <w:szCs w:val="24"/>
        </w:rPr>
        <w:t xml:space="preserve"> </w:t>
      </w:r>
      <w:r w:rsidRPr="00F20688">
        <w:rPr>
          <w:szCs w:val="24"/>
        </w:rPr>
        <w:t>boundaries</w:t>
      </w:r>
      <w:r w:rsidRPr="00F20688">
        <w:rPr>
          <w:spacing w:val="-3"/>
          <w:szCs w:val="24"/>
        </w:rPr>
        <w:t xml:space="preserve"> </w:t>
      </w:r>
      <w:r w:rsidRPr="00F20688">
        <w:rPr>
          <w:szCs w:val="24"/>
        </w:rPr>
        <w:t>of</w:t>
      </w:r>
      <w:r w:rsidRPr="00F20688">
        <w:rPr>
          <w:spacing w:val="-4"/>
          <w:szCs w:val="24"/>
        </w:rPr>
        <w:t xml:space="preserve"> </w:t>
      </w:r>
      <w:r w:rsidRPr="00F20688">
        <w:rPr>
          <w:szCs w:val="24"/>
        </w:rPr>
        <w:t>traditional</w:t>
      </w:r>
      <w:r w:rsidRPr="00F20688">
        <w:rPr>
          <w:spacing w:val="-3"/>
          <w:szCs w:val="24"/>
        </w:rPr>
        <w:t xml:space="preserve"> </w:t>
      </w:r>
      <w:r w:rsidRPr="00F20688">
        <w:rPr>
          <w:szCs w:val="24"/>
        </w:rPr>
        <w:t>tort standards for assessing punitive</w:t>
      </w:r>
      <w:r w:rsidRPr="00F20688">
        <w:rPr>
          <w:spacing w:val="-1"/>
          <w:szCs w:val="24"/>
        </w:rPr>
        <w:t xml:space="preserve"> </w:t>
      </w:r>
      <w:r w:rsidRPr="00F20688">
        <w:rPr>
          <w:szCs w:val="24"/>
        </w:rPr>
        <w:t>damages and foster</w:t>
      </w:r>
      <w:r w:rsidRPr="00F20688">
        <w:rPr>
          <w:spacing w:val="-1"/>
          <w:szCs w:val="24"/>
        </w:rPr>
        <w:t xml:space="preserve"> </w:t>
      </w:r>
      <w:r w:rsidRPr="00F20688">
        <w:rPr>
          <w:szCs w:val="24"/>
        </w:rPr>
        <w:t>‘deterrence and punishment over</w:t>
      </w:r>
      <w:r w:rsidRPr="00F20688">
        <w:rPr>
          <w:spacing w:val="-1"/>
          <w:szCs w:val="24"/>
        </w:rPr>
        <w:t xml:space="preserve"> </w:t>
      </w:r>
      <w:r w:rsidRPr="00F20688">
        <w:rPr>
          <w:szCs w:val="24"/>
        </w:rPr>
        <w:t>and above that provided by compensatory awards.’</w:t>
      </w:r>
      <w:r w:rsidRPr="00F20688">
        <w:rPr>
          <w:spacing w:val="40"/>
          <w:szCs w:val="24"/>
        </w:rPr>
        <w:t xml:space="preserve"> </w:t>
      </w:r>
      <w:r w:rsidRPr="00F20688">
        <w:rPr>
          <w:szCs w:val="24"/>
        </w:rPr>
        <w:t>. . .</w:t>
      </w:r>
      <w:r w:rsidRPr="00F20688">
        <w:rPr>
          <w:spacing w:val="40"/>
          <w:szCs w:val="24"/>
        </w:rPr>
        <w:t xml:space="preserve"> </w:t>
      </w:r>
      <w:r w:rsidRPr="00F20688">
        <w:rPr>
          <w:szCs w:val="24"/>
        </w:rPr>
        <w:t>Such acts are therefore all proper predicates for punitive damages under § 1983.”</w:t>
      </w:r>
      <w:r w:rsidRPr="00F20688">
        <w:rPr>
          <w:spacing w:val="40"/>
          <w:szCs w:val="24"/>
        </w:rPr>
        <w:t xml:space="preserve"> </w:t>
      </w:r>
      <w:r w:rsidRPr="00F20688">
        <w:rPr>
          <w:szCs w:val="24"/>
        </w:rPr>
        <w:t xml:space="preserve">422 F.3d 800, 807 (9th Cir. 2005) (citing </w:t>
      </w:r>
      <w:r w:rsidRPr="00F20688">
        <w:rPr>
          <w:i/>
          <w:szCs w:val="24"/>
        </w:rPr>
        <w:t xml:space="preserve">Smith v. Wade, </w:t>
      </w:r>
      <w:r w:rsidRPr="00F20688">
        <w:rPr>
          <w:szCs w:val="24"/>
        </w:rPr>
        <w:t>416</w:t>
      </w:r>
      <w:r w:rsidR="00384267">
        <w:rPr>
          <w:szCs w:val="24"/>
        </w:rPr>
        <w:t xml:space="preserve"> </w:t>
      </w:r>
      <w:r w:rsidRPr="00F20688">
        <w:rPr>
          <w:szCs w:val="24"/>
        </w:rPr>
        <w:t>U.S.</w:t>
      </w:r>
      <w:r w:rsidRPr="00F20688">
        <w:rPr>
          <w:spacing w:val="-3"/>
          <w:szCs w:val="24"/>
        </w:rPr>
        <w:t xml:space="preserve"> </w:t>
      </w:r>
      <w:r w:rsidRPr="00F20688">
        <w:rPr>
          <w:szCs w:val="24"/>
        </w:rPr>
        <w:t>30,</w:t>
      </w:r>
      <w:r w:rsidRPr="00F20688">
        <w:rPr>
          <w:spacing w:val="-3"/>
          <w:szCs w:val="24"/>
        </w:rPr>
        <w:t xml:space="preserve"> </w:t>
      </w:r>
      <w:r w:rsidRPr="00F20688">
        <w:rPr>
          <w:szCs w:val="24"/>
        </w:rPr>
        <w:t>49</w:t>
      </w:r>
      <w:r w:rsidRPr="00F20688">
        <w:rPr>
          <w:spacing w:val="-3"/>
          <w:szCs w:val="24"/>
        </w:rPr>
        <w:t xml:space="preserve"> </w:t>
      </w:r>
      <w:r w:rsidRPr="00F20688">
        <w:rPr>
          <w:szCs w:val="24"/>
        </w:rPr>
        <w:t>(1983)).</w:t>
      </w:r>
      <w:r w:rsidR="00384267">
        <w:rPr>
          <w:spacing w:val="40"/>
          <w:szCs w:val="24"/>
        </w:rPr>
        <w:t xml:space="preserve"> </w:t>
      </w:r>
      <w:r w:rsidRPr="00F20688">
        <w:rPr>
          <w:szCs w:val="24"/>
        </w:rPr>
        <w:t>The</w:t>
      </w:r>
      <w:r w:rsidRPr="00F20688">
        <w:rPr>
          <w:spacing w:val="-2"/>
          <w:szCs w:val="24"/>
        </w:rPr>
        <w:t xml:space="preserve"> </w:t>
      </w:r>
      <w:r w:rsidRPr="00F20688">
        <w:rPr>
          <w:i/>
          <w:szCs w:val="24"/>
        </w:rPr>
        <w:t>Dang</w:t>
      </w:r>
      <w:r w:rsidRPr="00F20688">
        <w:rPr>
          <w:i/>
          <w:spacing w:val="-3"/>
          <w:szCs w:val="24"/>
        </w:rPr>
        <w:t xml:space="preserve"> </w:t>
      </w:r>
      <w:r w:rsidRPr="00F20688">
        <w:rPr>
          <w:szCs w:val="24"/>
        </w:rPr>
        <w:t>court</w:t>
      </w:r>
      <w:r w:rsidRPr="00F20688">
        <w:rPr>
          <w:spacing w:val="-3"/>
          <w:szCs w:val="24"/>
        </w:rPr>
        <w:t xml:space="preserve"> </w:t>
      </w:r>
      <w:r w:rsidRPr="00F20688">
        <w:rPr>
          <w:szCs w:val="24"/>
        </w:rPr>
        <w:t>held</w:t>
      </w:r>
      <w:r w:rsidRPr="00F20688">
        <w:rPr>
          <w:spacing w:val="-3"/>
          <w:szCs w:val="24"/>
        </w:rPr>
        <w:t xml:space="preserve"> </w:t>
      </w:r>
      <w:r w:rsidRPr="00F20688">
        <w:rPr>
          <w:szCs w:val="24"/>
        </w:rPr>
        <w:t>it</w:t>
      </w:r>
      <w:r w:rsidRPr="00F20688">
        <w:rPr>
          <w:spacing w:val="-3"/>
          <w:szCs w:val="24"/>
        </w:rPr>
        <w:t xml:space="preserve"> </w:t>
      </w:r>
      <w:r w:rsidRPr="00F20688">
        <w:rPr>
          <w:szCs w:val="24"/>
        </w:rPr>
        <w:t>was</w:t>
      </w:r>
      <w:r w:rsidRPr="00F20688">
        <w:rPr>
          <w:spacing w:val="-3"/>
          <w:szCs w:val="24"/>
        </w:rPr>
        <w:t xml:space="preserve"> </w:t>
      </w:r>
      <w:r w:rsidRPr="00F20688">
        <w:rPr>
          <w:szCs w:val="24"/>
        </w:rPr>
        <w:t>reversible</w:t>
      </w:r>
      <w:r w:rsidRPr="00F20688">
        <w:rPr>
          <w:spacing w:val="-4"/>
          <w:szCs w:val="24"/>
        </w:rPr>
        <w:t xml:space="preserve"> </w:t>
      </w:r>
      <w:r w:rsidRPr="00F20688">
        <w:rPr>
          <w:szCs w:val="24"/>
        </w:rPr>
        <w:t>error</w:t>
      </w:r>
      <w:r w:rsidRPr="00F20688">
        <w:rPr>
          <w:spacing w:val="-4"/>
          <w:szCs w:val="24"/>
        </w:rPr>
        <w:t xml:space="preserve"> </w:t>
      </w:r>
      <w:r w:rsidRPr="00F20688">
        <w:rPr>
          <w:szCs w:val="24"/>
        </w:rPr>
        <w:t>to</w:t>
      </w:r>
      <w:r w:rsidRPr="00F20688">
        <w:rPr>
          <w:spacing w:val="-3"/>
          <w:szCs w:val="24"/>
        </w:rPr>
        <w:t xml:space="preserve"> </w:t>
      </w:r>
      <w:r w:rsidRPr="00F20688">
        <w:rPr>
          <w:szCs w:val="24"/>
        </w:rPr>
        <w:t>decline</w:t>
      </w:r>
      <w:r w:rsidRPr="00F20688">
        <w:rPr>
          <w:spacing w:val="-2"/>
          <w:szCs w:val="24"/>
        </w:rPr>
        <w:t xml:space="preserve"> </w:t>
      </w:r>
      <w:r w:rsidRPr="00F20688">
        <w:rPr>
          <w:szCs w:val="24"/>
        </w:rPr>
        <w:t>to</w:t>
      </w:r>
      <w:r w:rsidRPr="00F20688">
        <w:rPr>
          <w:spacing w:val="-3"/>
          <w:szCs w:val="24"/>
        </w:rPr>
        <w:t xml:space="preserve"> </w:t>
      </w:r>
      <w:r w:rsidRPr="00F20688">
        <w:rPr>
          <w:szCs w:val="24"/>
        </w:rPr>
        <w:t>instruct</w:t>
      </w:r>
      <w:r w:rsidRPr="00F20688">
        <w:rPr>
          <w:spacing w:val="-3"/>
          <w:szCs w:val="24"/>
        </w:rPr>
        <w:t xml:space="preserve"> </w:t>
      </w:r>
      <w:r w:rsidRPr="00F20688">
        <w:rPr>
          <w:szCs w:val="24"/>
        </w:rPr>
        <w:t>that “oppressive acts” were an alternative basis for punitive damages in a § 1983 case.</w:t>
      </w:r>
    </w:p>
    <w:p w14:paraId="0BDDC703" w14:textId="77777777" w:rsidR="00000ABB" w:rsidRPr="00F20688" w:rsidRDefault="00000ABB" w:rsidP="00000ABB">
      <w:pPr>
        <w:ind w:firstLine="720"/>
        <w:rPr>
          <w:szCs w:val="24"/>
        </w:rPr>
      </w:pPr>
    </w:p>
    <w:p w14:paraId="562885A6" w14:textId="159093FB" w:rsidR="00000ABB" w:rsidRDefault="00000ABB" w:rsidP="00000ABB">
      <w:pPr>
        <w:ind w:right="203" w:firstLine="720"/>
        <w:rPr>
          <w:szCs w:val="24"/>
        </w:rPr>
      </w:pPr>
      <w:r w:rsidRPr="00F20688">
        <w:rPr>
          <w:szCs w:val="24"/>
        </w:rPr>
        <w:t>Similarly, punitive damages claim</w:t>
      </w:r>
      <w:r w:rsidR="003A638F">
        <w:rPr>
          <w:szCs w:val="24"/>
        </w:rPr>
        <w:t>s</w:t>
      </w:r>
      <w:r w:rsidRPr="00F20688">
        <w:rPr>
          <w:szCs w:val="24"/>
        </w:rPr>
        <w:t xml:space="preserve"> arising under state law are subject to state law standards</w:t>
      </w:r>
      <w:r w:rsidRPr="00F20688">
        <w:rPr>
          <w:spacing w:val="-3"/>
          <w:szCs w:val="24"/>
        </w:rPr>
        <w:t xml:space="preserve"> </w:t>
      </w:r>
      <w:r w:rsidRPr="00F20688">
        <w:rPr>
          <w:szCs w:val="24"/>
        </w:rPr>
        <w:t>for</w:t>
      </w:r>
      <w:r w:rsidRPr="00F20688">
        <w:rPr>
          <w:spacing w:val="-2"/>
          <w:szCs w:val="24"/>
        </w:rPr>
        <w:t xml:space="preserve"> </w:t>
      </w:r>
      <w:r w:rsidRPr="00F20688">
        <w:rPr>
          <w:szCs w:val="24"/>
        </w:rPr>
        <w:t>recovery</w:t>
      </w:r>
      <w:r w:rsidRPr="00F20688">
        <w:rPr>
          <w:spacing w:val="-3"/>
          <w:szCs w:val="24"/>
        </w:rPr>
        <w:t xml:space="preserve"> </w:t>
      </w:r>
      <w:r w:rsidRPr="00F20688">
        <w:rPr>
          <w:szCs w:val="24"/>
        </w:rPr>
        <w:t>which</w:t>
      </w:r>
      <w:r w:rsidRPr="00F20688">
        <w:rPr>
          <w:spacing w:val="-3"/>
          <w:szCs w:val="24"/>
        </w:rPr>
        <w:t xml:space="preserve"> </w:t>
      </w:r>
      <w:r w:rsidRPr="00F20688">
        <w:rPr>
          <w:szCs w:val="24"/>
        </w:rPr>
        <w:t>should</w:t>
      </w:r>
      <w:r w:rsidRPr="00F20688">
        <w:rPr>
          <w:spacing w:val="-3"/>
          <w:szCs w:val="24"/>
        </w:rPr>
        <w:t xml:space="preserve"> </w:t>
      </w:r>
      <w:r w:rsidRPr="00F20688">
        <w:rPr>
          <w:szCs w:val="24"/>
        </w:rPr>
        <w:t>be</w:t>
      </w:r>
      <w:r w:rsidRPr="00F20688">
        <w:rPr>
          <w:spacing w:val="-4"/>
          <w:szCs w:val="24"/>
        </w:rPr>
        <w:t xml:space="preserve"> </w:t>
      </w:r>
      <w:r w:rsidRPr="00F20688">
        <w:rPr>
          <w:szCs w:val="24"/>
        </w:rPr>
        <w:t>reflected</w:t>
      </w:r>
      <w:r w:rsidRPr="00F20688">
        <w:rPr>
          <w:spacing w:val="-3"/>
          <w:szCs w:val="24"/>
        </w:rPr>
        <w:t xml:space="preserve"> </w:t>
      </w:r>
      <w:r w:rsidRPr="00F20688">
        <w:rPr>
          <w:szCs w:val="24"/>
        </w:rPr>
        <w:t>in</w:t>
      </w:r>
      <w:r w:rsidRPr="00F20688">
        <w:rPr>
          <w:spacing w:val="-3"/>
          <w:szCs w:val="24"/>
        </w:rPr>
        <w:t xml:space="preserve"> </w:t>
      </w:r>
      <w:r w:rsidRPr="00F20688">
        <w:rPr>
          <w:szCs w:val="24"/>
        </w:rPr>
        <w:t>a</w:t>
      </w:r>
      <w:r w:rsidRPr="00F20688">
        <w:rPr>
          <w:spacing w:val="-4"/>
          <w:szCs w:val="24"/>
        </w:rPr>
        <w:t xml:space="preserve"> </w:t>
      </w:r>
      <w:r w:rsidRPr="00F20688">
        <w:rPr>
          <w:szCs w:val="24"/>
        </w:rPr>
        <w:t>modified</w:t>
      </w:r>
      <w:r w:rsidRPr="00F20688">
        <w:rPr>
          <w:spacing w:val="-3"/>
          <w:szCs w:val="24"/>
        </w:rPr>
        <w:t xml:space="preserve"> </w:t>
      </w:r>
      <w:r w:rsidRPr="00F20688">
        <w:rPr>
          <w:szCs w:val="24"/>
        </w:rPr>
        <w:t>jury</w:t>
      </w:r>
      <w:r w:rsidRPr="00F20688">
        <w:rPr>
          <w:spacing w:val="-3"/>
          <w:szCs w:val="24"/>
        </w:rPr>
        <w:t xml:space="preserve"> </w:t>
      </w:r>
      <w:r w:rsidRPr="00F20688">
        <w:rPr>
          <w:szCs w:val="24"/>
        </w:rPr>
        <w:t>instruction.</w:t>
      </w:r>
      <w:r w:rsidR="00384267">
        <w:rPr>
          <w:spacing w:val="40"/>
          <w:szCs w:val="24"/>
        </w:rPr>
        <w:t xml:space="preserve"> </w:t>
      </w:r>
      <w:r w:rsidRPr="00F20688">
        <w:rPr>
          <w:i/>
          <w:szCs w:val="24"/>
        </w:rPr>
        <w:t>See</w:t>
      </w:r>
      <w:r w:rsidRPr="00A15A8F">
        <w:rPr>
          <w:i/>
          <w:szCs w:val="24"/>
        </w:rPr>
        <w:t>,</w:t>
      </w:r>
      <w:r w:rsidRPr="00F20688">
        <w:rPr>
          <w:i/>
          <w:spacing w:val="-3"/>
          <w:szCs w:val="24"/>
        </w:rPr>
        <w:t xml:space="preserve"> </w:t>
      </w:r>
      <w:r w:rsidRPr="00F20688">
        <w:rPr>
          <w:i/>
          <w:szCs w:val="24"/>
        </w:rPr>
        <w:t>e.g.</w:t>
      </w:r>
      <w:r w:rsidRPr="00F20688">
        <w:rPr>
          <w:szCs w:val="24"/>
        </w:rPr>
        <w:t xml:space="preserve">, </w:t>
      </w:r>
      <w:r w:rsidRPr="00F20688">
        <w:rPr>
          <w:i/>
          <w:szCs w:val="24"/>
        </w:rPr>
        <w:t xml:space="preserve">Coughlin v. Tailhook Ass’n, </w:t>
      </w:r>
      <w:r w:rsidRPr="00F20688">
        <w:rPr>
          <w:szCs w:val="24"/>
        </w:rPr>
        <w:t>112 F.3d 1052, 1056 (9th Cir. 1997).</w:t>
      </w:r>
    </w:p>
    <w:p w14:paraId="621C023B" w14:textId="77777777" w:rsidR="00384267" w:rsidRPr="00F20688" w:rsidRDefault="00384267" w:rsidP="00000ABB">
      <w:pPr>
        <w:ind w:right="203" w:firstLine="720"/>
        <w:rPr>
          <w:szCs w:val="24"/>
        </w:rPr>
      </w:pPr>
    </w:p>
    <w:p w14:paraId="6B9C0230" w14:textId="191451E3" w:rsidR="00000ABB" w:rsidRPr="00F20688" w:rsidRDefault="00000ABB" w:rsidP="00000ABB">
      <w:pPr>
        <w:ind w:right="203" w:firstLine="720"/>
        <w:rPr>
          <w:rFonts w:eastAsia="Calibri"/>
          <w:szCs w:val="24"/>
        </w:rPr>
      </w:pPr>
      <w:r w:rsidRPr="00F20688">
        <w:rPr>
          <w:rFonts w:eastAsia="Calibri"/>
          <w:szCs w:val="24"/>
        </w:rPr>
        <w:t>Further, punitive damages are not an available remedy on an unseaworthiness or Jones Act claims.</w:t>
      </w:r>
      <w:r w:rsidR="00384267">
        <w:rPr>
          <w:rFonts w:eastAsia="Calibri"/>
          <w:spacing w:val="40"/>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 Batteron</w:t>
      </w:r>
      <w:r w:rsidRPr="00F20688">
        <w:rPr>
          <w:rFonts w:eastAsia="Calibri"/>
          <w:szCs w:val="24"/>
        </w:rPr>
        <w:t>,</w:t>
      </w:r>
      <w:r w:rsidRPr="00F20688">
        <w:rPr>
          <w:rFonts w:eastAsia="Calibri"/>
          <w:spacing w:val="-1"/>
          <w:szCs w:val="24"/>
        </w:rPr>
        <w:t xml:space="preserve"> </w:t>
      </w:r>
      <w:r w:rsidRPr="00F20688">
        <w:rPr>
          <w:rFonts w:eastAsia="Calibri"/>
          <w:szCs w:val="24"/>
        </w:rPr>
        <w:t>588</w:t>
      </w:r>
      <w:r w:rsidRPr="00F20688">
        <w:rPr>
          <w:rFonts w:eastAsia="Calibri"/>
          <w:spacing w:val="-1"/>
          <w:szCs w:val="24"/>
        </w:rPr>
        <w:t xml:space="preserve"> </w:t>
      </w:r>
      <w:r w:rsidRPr="00F20688">
        <w:rPr>
          <w:rFonts w:eastAsia="Calibri"/>
          <w:szCs w:val="24"/>
        </w:rPr>
        <w:t>U.S.</w:t>
      </w:r>
      <w:r w:rsidRPr="00F20688">
        <w:rPr>
          <w:rFonts w:eastAsia="Calibri"/>
          <w:spacing w:val="-1"/>
          <w:szCs w:val="24"/>
        </w:rPr>
        <w:t xml:space="preserve"> </w:t>
      </w:r>
      <w:r w:rsidRPr="00F20688">
        <w:rPr>
          <w:rFonts w:eastAsia="Calibri"/>
          <w:szCs w:val="24"/>
        </w:rPr>
        <w:t>358</w:t>
      </w:r>
      <w:r w:rsidRPr="00F20688">
        <w:rPr>
          <w:rFonts w:eastAsia="Calibri"/>
          <w:spacing w:val="-1"/>
          <w:szCs w:val="24"/>
        </w:rPr>
        <w:t xml:space="preserve"> </w:t>
      </w:r>
      <w:r w:rsidRPr="00F20688">
        <w:rPr>
          <w:rFonts w:eastAsia="Calibri"/>
          <w:szCs w:val="24"/>
        </w:rPr>
        <w:t>(2019)</w:t>
      </w:r>
      <w:r w:rsidRPr="00F20688">
        <w:rPr>
          <w:rFonts w:eastAsia="Calibri"/>
          <w:spacing w:val="-1"/>
          <w:szCs w:val="24"/>
        </w:rPr>
        <w:t xml:space="preserve"> </w:t>
      </w:r>
      <w:r w:rsidRPr="00F20688">
        <w:rPr>
          <w:rFonts w:eastAsia="Calibri"/>
          <w:i/>
          <w:szCs w:val="24"/>
        </w:rPr>
        <w:t>rev’g</w:t>
      </w:r>
      <w:r w:rsidRPr="00F20688">
        <w:rPr>
          <w:rFonts w:eastAsia="Calibri"/>
          <w:i/>
          <w:spacing w:val="-1"/>
          <w:szCs w:val="24"/>
        </w:rPr>
        <w:t xml:space="preserve"> </w:t>
      </w:r>
      <w:r w:rsidRPr="00F20688">
        <w:rPr>
          <w:rFonts w:eastAsia="Calibri"/>
          <w:i/>
          <w:spacing w:val="-2"/>
          <w:szCs w:val="24"/>
        </w:rPr>
        <w:t xml:space="preserve">Batteron </w:t>
      </w:r>
      <w:r w:rsidRPr="00F20688">
        <w:rPr>
          <w:rFonts w:eastAsia="Calibri"/>
          <w:i/>
          <w:szCs w:val="24"/>
        </w:rPr>
        <w:t>v.</w:t>
      </w:r>
      <w:r w:rsidRPr="00F20688">
        <w:rPr>
          <w:rFonts w:eastAsia="Calibri"/>
          <w:i/>
          <w:spacing w:val="-4"/>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szCs w:val="24"/>
        </w:rPr>
        <w:t>,</w:t>
      </w:r>
      <w:r w:rsidRPr="00F20688">
        <w:rPr>
          <w:rFonts w:eastAsia="Calibri"/>
          <w:spacing w:val="-1"/>
          <w:szCs w:val="24"/>
        </w:rPr>
        <w:t xml:space="preserve"> </w:t>
      </w:r>
      <w:r w:rsidRPr="00F20688">
        <w:rPr>
          <w:rFonts w:eastAsia="Calibri"/>
          <w:szCs w:val="24"/>
        </w:rPr>
        <w:t>880</w:t>
      </w:r>
      <w:r w:rsidRPr="00F20688">
        <w:rPr>
          <w:rFonts w:eastAsia="Calibri"/>
          <w:spacing w:val="-1"/>
          <w:szCs w:val="24"/>
        </w:rPr>
        <w:t xml:space="preserve"> </w:t>
      </w:r>
      <w:r w:rsidRPr="00F20688">
        <w:rPr>
          <w:rFonts w:eastAsia="Calibri"/>
          <w:szCs w:val="24"/>
        </w:rPr>
        <w:t>F.3d 1089</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w:t>
      </w:r>
      <w:r w:rsidRPr="00F20688">
        <w:rPr>
          <w:rFonts w:eastAsia="Calibri"/>
          <w:spacing w:val="-1"/>
          <w:szCs w:val="24"/>
        </w:rPr>
        <w:t xml:space="preserve"> </w:t>
      </w:r>
      <w:r w:rsidRPr="00F20688">
        <w:rPr>
          <w:rFonts w:eastAsia="Calibri"/>
          <w:szCs w:val="24"/>
        </w:rPr>
        <w:t>2018)</w:t>
      </w:r>
      <w:r w:rsidRPr="00F20688">
        <w:rPr>
          <w:rFonts w:eastAsia="Calibri"/>
          <w:spacing w:val="-2"/>
          <w:szCs w:val="24"/>
        </w:rPr>
        <w:t xml:space="preserve"> </w:t>
      </w:r>
      <w:r w:rsidRPr="00F20688">
        <w:rPr>
          <w:rFonts w:eastAsia="Calibri"/>
          <w:szCs w:val="24"/>
        </w:rPr>
        <w:t>(no punitive</w:t>
      </w:r>
      <w:r w:rsidRPr="00F20688">
        <w:rPr>
          <w:rFonts w:eastAsia="Calibri"/>
          <w:spacing w:val="-2"/>
          <w:szCs w:val="24"/>
        </w:rPr>
        <w:t xml:space="preserve"> </w:t>
      </w:r>
      <w:r w:rsidRPr="00F20688">
        <w:rPr>
          <w:rFonts w:eastAsia="Calibri"/>
          <w:szCs w:val="24"/>
        </w:rPr>
        <w:t>damages</w:t>
      </w:r>
      <w:r w:rsidRPr="00F20688">
        <w:rPr>
          <w:rFonts w:eastAsia="Calibri"/>
          <w:spacing w:val="-1"/>
          <w:szCs w:val="24"/>
        </w:rPr>
        <w:t xml:space="preserve"> </w:t>
      </w:r>
      <w:r w:rsidRPr="00F20688">
        <w:rPr>
          <w:rFonts w:eastAsia="Calibri"/>
          <w:szCs w:val="24"/>
        </w:rPr>
        <w:t>on</w:t>
      </w:r>
      <w:r w:rsidRPr="00F20688">
        <w:rPr>
          <w:rFonts w:eastAsia="Calibri"/>
          <w:spacing w:val="-1"/>
          <w:szCs w:val="24"/>
        </w:rPr>
        <w:t xml:space="preserve"> </w:t>
      </w:r>
      <w:r w:rsidRPr="00F20688">
        <w:rPr>
          <w:rFonts w:eastAsia="Calibri"/>
          <w:szCs w:val="24"/>
        </w:rPr>
        <w:t>unseaworthiness</w:t>
      </w:r>
      <w:r w:rsidRPr="00F20688">
        <w:rPr>
          <w:rFonts w:eastAsia="Calibri"/>
          <w:spacing w:val="1"/>
          <w:szCs w:val="24"/>
        </w:rPr>
        <w:t xml:space="preserve"> </w:t>
      </w:r>
      <w:r w:rsidRPr="00F20688">
        <w:rPr>
          <w:rFonts w:eastAsia="Calibri"/>
          <w:spacing w:val="-2"/>
          <w:szCs w:val="24"/>
        </w:rPr>
        <w:t xml:space="preserve">claims); </w:t>
      </w:r>
      <w:r w:rsidRPr="00F20688">
        <w:rPr>
          <w:rFonts w:eastAsia="Calibri"/>
          <w:i/>
          <w:szCs w:val="24"/>
        </w:rPr>
        <w:t>Evich</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Morris</w:t>
      </w:r>
      <w:r w:rsidRPr="00F20688">
        <w:rPr>
          <w:rFonts w:eastAsia="Calibri"/>
          <w:szCs w:val="24"/>
        </w:rPr>
        <w:t>,</w:t>
      </w:r>
      <w:r w:rsidRPr="00F20688">
        <w:rPr>
          <w:rFonts w:eastAsia="Calibri"/>
          <w:spacing w:val="-1"/>
          <w:szCs w:val="24"/>
        </w:rPr>
        <w:t xml:space="preserve"> </w:t>
      </w:r>
      <w:r w:rsidRPr="00F20688">
        <w:rPr>
          <w:rFonts w:eastAsia="Calibri"/>
          <w:szCs w:val="24"/>
        </w:rPr>
        <w:t>819</w:t>
      </w:r>
      <w:r w:rsidRPr="00F20688">
        <w:rPr>
          <w:rFonts w:eastAsia="Calibri"/>
          <w:spacing w:val="1"/>
          <w:szCs w:val="24"/>
        </w:rPr>
        <w:t xml:space="preserve"> </w:t>
      </w:r>
      <w:r w:rsidRPr="00F20688">
        <w:rPr>
          <w:rFonts w:eastAsia="Calibri"/>
          <w:szCs w:val="24"/>
        </w:rPr>
        <w:t>F.2d</w:t>
      </w:r>
      <w:r w:rsidRPr="00F20688">
        <w:rPr>
          <w:rFonts w:eastAsia="Calibri"/>
          <w:spacing w:val="-1"/>
          <w:szCs w:val="24"/>
        </w:rPr>
        <w:t xml:space="preserve"> </w:t>
      </w:r>
      <w:r w:rsidRPr="00F20688">
        <w:rPr>
          <w:rFonts w:eastAsia="Calibri"/>
          <w:szCs w:val="24"/>
        </w:rPr>
        <w:t>256,</w:t>
      </w:r>
      <w:r w:rsidRPr="00F20688">
        <w:rPr>
          <w:rFonts w:eastAsia="Calibri"/>
          <w:spacing w:val="-1"/>
          <w:szCs w:val="24"/>
        </w:rPr>
        <w:t xml:space="preserve"> </w:t>
      </w:r>
      <w:r w:rsidRPr="00F20688">
        <w:rPr>
          <w:rFonts w:eastAsia="Calibri"/>
          <w:szCs w:val="24"/>
        </w:rPr>
        <w:t>258</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 1987),</w:t>
      </w:r>
      <w:r w:rsidRPr="00F20688">
        <w:rPr>
          <w:rFonts w:eastAsia="Calibri"/>
          <w:spacing w:val="-1"/>
          <w:szCs w:val="24"/>
        </w:rPr>
        <w:t xml:space="preserve"> </w:t>
      </w:r>
      <w:r w:rsidRPr="00F20688">
        <w:rPr>
          <w:rFonts w:eastAsia="Calibri"/>
          <w:i/>
          <w:szCs w:val="24"/>
        </w:rPr>
        <w:t>abrogated</w:t>
      </w:r>
      <w:r w:rsidRPr="00F20688">
        <w:rPr>
          <w:rFonts w:eastAsia="Calibri"/>
          <w:i/>
          <w:spacing w:val="-1"/>
          <w:szCs w:val="24"/>
        </w:rPr>
        <w:t xml:space="preserve"> </w:t>
      </w:r>
      <w:r w:rsidRPr="00F20688">
        <w:rPr>
          <w:rFonts w:eastAsia="Calibri"/>
          <w:i/>
          <w:szCs w:val="24"/>
        </w:rPr>
        <w:t>by</w:t>
      </w:r>
      <w:r w:rsidRPr="00F20688">
        <w:rPr>
          <w:rFonts w:eastAsia="Calibri"/>
          <w:i/>
          <w:spacing w:val="-2"/>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Batterton</w:t>
      </w:r>
      <w:r w:rsidRPr="00F20688">
        <w:rPr>
          <w:rFonts w:eastAsia="Calibri"/>
          <w:szCs w:val="24"/>
        </w:rPr>
        <w:t xml:space="preserve">, </w:t>
      </w:r>
      <w:r w:rsidRPr="00F20688">
        <w:rPr>
          <w:rFonts w:eastAsia="Calibri"/>
          <w:spacing w:val="-5"/>
          <w:szCs w:val="24"/>
        </w:rPr>
        <w:t xml:space="preserve">588 </w:t>
      </w:r>
      <w:r w:rsidRPr="00F20688">
        <w:rPr>
          <w:rFonts w:eastAsia="Calibri"/>
          <w:szCs w:val="24"/>
        </w:rPr>
        <w:t>U.S.</w:t>
      </w:r>
      <w:r w:rsidRPr="00F20688">
        <w:rPr>
          <w:rFonts w:eastAsia="Calibri"/>
          <w:spacing w:val="-3"/>
          <w:szCs w:val="24"/>
        </w:rPr>
        <w:t xml:space="preserve"> </w:t>
      </w:r>
      <w:r w:rsidRPr="00F20688">
        <w:rPr>
          <w:rFonts w:eastAsia="Calibri"/>
          <w:szCs w:val="24"/>
        </w:rPr>
        <w:t>358</w:t>
      </w:r>
      <w:r w:rsidRPr="00F20688">
        <w:rPr>
          <w:rFonts w:eastAsia="Calibri"/>
          <w:spacing w:val="-3"/>
          <w:szCs w:val="24"/>
        </w:rPr>
        <w:t xml:space="preserve"> </w:t>
      </w:r>
      <w:r w:rsidRPr="00F20688">
        <w:rPr>
          <w:rFonts w:eastAsia="Calibri"/>
          <w:szCs w:val="24"/>
        </w:rPr>
        <w:t>(2019)</w:t>
      </w:r>
      <w:r w:rsidRPr="00F20688">
        <w:rPr>
          <w:rFonts w:eastAsia="Calibri"/>
          <w:spacing w:val="-4"/>
          <w:szCs w:val="24"/>
        </w:rPr>
        <w:t xml:space="preserve"> </w:t>
      </w:r>
      <w:r w:rsidRPr="00F20688">
        <w:rPr>
          <w:rFonts w:eastAsia="Calibri"/>
          <w:szCs w:val="24"/>
        </w:rPr>
        <w:t>(citing</w:t>
      </w:r>
      <w:r w:rsidRPr="00F20688">
        <w:rPr>
          <w:rFonts w:eastAsia="Calibri"/>
          <w:spacing w:val="-3"/>
          <w:szCs w:val="24"/>
        </w:rPr>
        <w:t xml:space="preserve"> </w:t>
      </w:r>
      <w:r w:rsidRPr="00F20688">
        <w:rPr>
          <w:rFonts w:eastAsia="Calibri"/>
          <w:i/>
          <w:szCs w:val="24"/>
        </w:rPr>
        <w:t>Kopczynski</w:t>
      </w:r>
      <w:r w:rsidRPr="00F20688">
        <w:rPr>
          <w:rFonts w:eastAsia="Calibri"/>
          <w:i/>
          <w:spacing w:val="-3"/>
          <w:szCs w:val="24"/>
        </w:rPr>
        <w:t xml:space="preserve"> </w:t>
      </w:r>
      <w:r w:rsidRPr="00F20688">
        <w:rPr>
          <w:rFonts w:eastAsia="Calibri"/>
          <w:i/>
          <w:szCs w:val="24"/>
        </w:rPr>
        <w:t>v.</w:t>
      </w:r>
      <w:r w:rsidRPr="00F20688">
        <w:rPr>
          <w:rFonts w:eastAsia="Calibri"/>
          <w:i/>
          <w:spacing w:val="-3"/>
          <w:szCs w:val="24"/>
        </w:rPr>
        <w:t xml:space="preserve"> </w:t>
      </w:r>
      <w:r w:rsidRPr="00F20688">
        <w:rPr>
          <w:rFonts w:eastAsia="Calibri"/>
          <w:i/>
          <w:szCs w:val="24"/>
        </w:rPr>
        <w:t>The</w:t>
      </w:r>
      <w:r w:rsidRPr="00F20688">
        <w:rPr>
          <w:rFonts w:eastAsia="Calibri"/>
          <w:i/>
          <w:spacing w:val="-2"/>
          <w:szCs w:val="24"/>
        </w:rPr>
        <w:t xml:space="preserve"> </w:t>
      </w:r>
      <w:r w:rsidRPr="00F20688">
        <w:rPr>
          <w:rFonts w:eastAsia="Calibri"/>
          <w:i/>
          <w:szCs w:val="24"/>
        </w:rPr>
        <w:t>Jacqueline</w:t>
      </w:r>
      <w:r w:rsidRPr="00F20688">
        <w:rPr>
          <w:rFonts w:eastAsia="Calibri"/>
          <w:szCs w:val="24"/>
        </w:rPr>
        <w:t>,</w:t>
      </w:r>
      <w:r w:rsidRPr="00F20688">
        <w:rPr>
          <w:rFonts w:eastAsia="Calibri"/>
          <w:spacing w:val="-3"/>
          <w:szCs w:val="24"/>
        </w:rPr>
        <w:t xml:space="preserve"> </w:t>
      </w:r>
      <w:r w:rsidRPr="00F20688">
        <w:rPr>
          <w:rFonts w:eastAsia="Calibri"/>
          <w:szCs w:val="24"/>
        </w:rPr>
        <w:t>753</w:t>
      </w:r>
      <w:r w:rsidRPr="00F20688">
        <w:rPr>
          <w:rFonts w:eastAsia="Calibri"/>
          <w:spacing w:val="-3"/>
          <w:szCs w:val="24"/>
        </w:rPr>
        <w:t xml:space="preserve"> </w:t>
      </w:r>
      <w:r w:rsidRPr="00F20688">
        <w:rPr>
          <w:rFonts w:eastAsia="Calibri"/>
          <w:szCs w:val="24"/>
        </w:rPr>
        <w:t>F.2d</w:t>
      </w:r>
      <w:r w:rsidRPr="00F20688">
        <w:rPr>
          <w:rFonts w:eastAsia="Calibri"/>
          <w:spacing w:val="-3"/>
          <w:szCs w:val="24"/>
        </w:rPr>
        <w:t xml:space="preserve"> </w:t>
      </w:r>
      <w:r w:rsidRPr="00F20688">
        <w:rPr>
          <w:rFonts w:eastAsia="Calibri"/>
          <w:szCs w:val="24"/>
        </w:rPr>
        <w:t>555,</w:t>
      </w:r>
      <w:r w:rsidRPr="00F20688">
        <w:rPr>
          <w:rFonts w:eastAsia="Calibri"/>
          <w:spacing w:val="-3"/>
          <w:szCs w:val="24"/>
        </w:rPr>
        <w:t xml:space="preserve"> </w:t>
      </w:r>
      <w:r w:rsidRPr="00F20688">
        <w:rPr>
          <w:rFonts w:eastAsia="Calibri"/>
          <w:szCs w:val="24"/>
        </w:rPr>
        <w:t>560-61</w:t>
      </w:r>
      <w:r w:rsidRPr="00F20688">
        <w:rPr>
          <w:rFonts w:eastAsia="Calibri"/>
          <w:spacing w:val="-2"/>
          <w:szCs w:val="24"/>
        </w:rPr>
        <w:t xml:space="preserve"> </w:t>
      </w:r>
      <w:r w:rsidRPr="00F20688">
        <w:rPr>
          <w:rFonts w:eastAsia="Calibri"/>
          <w:szCs w:val="24"/>
        </w:rPr>
        <w:t>(9th</w:t>
      </w:r>
      <w:r w:rsidRPr="00F20688">
        <w:rPr>
          <w:rFonts w:eastAsia="Calibri"/>
          <w:spacing w:val="-3"/>
          <w:szCs w:val="24"/>
        </w:rPr>
        <w:t xml:space="preserve"> </w:t>
      </w:r>
      <w:r w:rsidRPr="00F20688">
        <w:rPr>
          <w:rFonts w:eastAsia="Calibri"/>
          <w:szCs w:val="24"/>
        </w:rPr>
        <w:t>Cir.</w:t>
      </w:r>
      <w:r w:rsidRPr="00F20688">
        <w:rPr>
          <w:rFonts w:eastAsia="Calibri"/>
          <w:spacing w:val="-3"/>
          <w:szCs w:val="24"/>
        </w:rPr>
        <w:t xml:space="preserve"> </w:t>
      </w:r>
      <w:r w:rsidRPr="00F20688">
        <w:rPr>
          <w:rFonts w:eastAsia="Calibri"/>
          <w:szCs w:val="24"/>
        </w:rPr>
        <w:t>1984))</w:t>
      </w:r>
      <w:r w:rsidRPr="00F20688">
        <w:rPr>
          <w:rFonts w:eastAsia="Calibri"/>
          <w:spacing w:val="-3"/>
          <w:szCs w:val="24"/>
        </w:rPr>
        <w:t xml:space="preserve"> </w:t>
      </w:r>
      <w:r w:rsidRPr="00F20688">
        <w:rPr>
          <w:rFonts w:eastAsia="Calibri"/>
          <w:szCs w:val="24"/>
        </w:rPr>
        <w:t>(no punitive damages on Jones Act claims).</w:t>
      </w:r>
    </w:p>
    <w:p w14:paraId="5B0CDB87" w14:textId="77777777" w:rsidR="00000ABB" w:rsidRPr="00F20688" w:rsidRDefault="00000ABB" w:rsidP="00000ABB">
      <w:pPr>
        <w:ind w:firstLine="720"/>
        <w:rPr>
          <w:szCs w:val="24"/>
        </w:rPr>
      </w:pPr>
    </w:p>
    <w:p w14:paraId="62F0730B" w14:textId="4FF41979" w:rsidR="00384267" w:rsidRPr="00384267" w:rsidRDefault="00000ABB" w:rsidP="00384267">
      <w:pPr>
        <w:ind w:right="116" w:firstLine="720"/>
        <w:rPr>
          <w:szCs w:val="24"/>
        </w:rPr>
      </w:pPr>
      <w:r w:rsidRPr="00F20688">
        <w:rPr>
          <w:szCs w:val="24"/>
        </w:rPr>
        <w:t>Whether</w:t>
      </w:r>
      <w:r w:rsidRPr="00F20688">
        <w:rPr>
          <w:spacing w:val="-4"/>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need</w:t>
      </w:r>
      <w:r w:rsidRPr="00F20688">
        <w:rPr>
          <w:spacing w:val="-3"/>
          <w:szCs w:val="24"/>
        </w:rPr>
        <w:t xml:space="preserve"> </w:t>
      </w:r>
      <w:r w:rsidRPr="00F20688">
        <w:rPr>
          <w:szCs w:val="24"/>
        </w:rPr>
        <w:t>to</w:t>
      </w:r>
      <w:r w:rsidRPr="00F20688">
        <w:rPr>
          <w:spacing w:val="-3"/>
          <w:szCs w:val="24"/>
        </w:rPr>
        <w:t xml:space="preserve"> </w:t>
      </w:r>
      <w:r w:rsidRPr="00F20688">
        <w:rPr>
          <w:szCs w:val="24"/>
        </w:rPr>
        <w:t>be</w:t>
      </w:r>
      <w:r w:rsidRPr="00F20688">
        <w:rPr>
          <w:spacing w:val="-4"/>
          <w:szCs w:val="24"/>
        </w:rPr>
        <w:t xml:space="preserve"> </w:t>
      </w:r>
      <w:r w:rsidRPr="00F20688">
        <w:rPr>
          <w:szCs w:val="24"/>
        </w:rPr>
        <w:t>proved</w:t>
      </w:r>
      <w:r w:rsidRPr="00F20688">
        <w:rPr>
          <w:spacing w:val="-3"/>
          <w:szCs w:val="24"/>
        </w:rPr>
        <w:t xml:space="preserve"> </w:t>
      </w:r>
      <w:r w:rsidRPr="00F20688">
        <w:rPr>
          <w:szCs w:val="24"/>
        </w:rPr>
        <w:t>by</w:t>
      </w:r>
      <w:r w:rsidRPr="00F20688">
        <w:rPr>
          <w:spacing w:val="-3"/>
          <w:szCs w:val="24"/>
        </w:rPr>
        <w:t xml:space="preserve"> </w:t>
      </w:r>
      <w:r w:rsidRPr="00F20688">
        <w:rPr>
          <w:szCs w:val="24"/>
        </w:rPr>
        <w:t>a</w:t>
      </w:r>
      <w:r w:rsidRPr="00F20688">
        <w:rPr>
          <w:spacing w:val="-2"/>
          <w:szCs w:val="24"/>
        </w:rPr>
        <w:t xml:space="preserve"> </w:t>
      </w:r>
      <w:r w:rsidRPr="00F20688">
        <w:rPr>
          <w:szCs w:val="24"/>
        </w:rPr>
        <w:t>preponderance</w:t>
      </w:r>
      <w:r w:rsidRPr="00F20688">
        <w:rPr>
          <w:spacing w:val="-4"/>
          <w:szCs w:val="24"/>
        </w:rPr>
        <w:t xml:space="preserve"> </w:t>
      </w:r>
      <w:r w:rsidRPr="00F20688">
        <w:rPr>
          <w:szCs w:val="24"/>
        </w:rPr>
        <w:t>of</w:t>
      </w:r>
      <w:r w:rsidRPr="00F20688">
        <w:rPr>
          <w:spacing w:val="-4"/>
          <w:szCs w:val="24"/>
        </w:rPr>
        <w:t xml:space="preserve"> </w:t>
      </w:r>
      <w:r w:rsidRPr="00F20688">
        <w:rPr>
          <w:szCs w:val="24"/>
        </w:rPr>
        <w:t>the</w:t>
      </w:r>
      <w:r w:rsidRPr="00F20688">
        <w:rPr>
          <w:spacing w:val="-4"/>
          <w:szCs w:val="24"/>
        </w:rPr>
        <w:t xml:space="preserve"> </w:t>
      </w:r>
      <w:r w:rsidRPr="00F20688">
        <w:rPr>
          <w:szCs w:val="24"/>
        </w:rPr>
        <w:t>evidence</w:t>
      </w:r>
      <w:r w:rsidRPr="00F20688">
        <w:rPr>
          <w:spacing w:val="-4"/>
          <w:szCs w:val="24"/>
        </w:rPr>
        <w:t xml:space="preserve"> </w:t>
      </w:r>
      <w:r w:rsidRPr="00F20688">
        <w:rPr>
          <w:szCs w:val="24"/>
        </w:rPr>
        <w:t>or</w:t>
      </w:r>
      <w:r w:rsidRPr="00F20688">
        <w:rPr>
          <w:spacing w:val="-2"/>
          <w:szCs w:val="24"/>
        </w:rPr>
        <w:t xml:space="preserve"> </w:t>
      </w:r>
      <w:r w:rsidRPr="00F20688">
        <w:rPr>
          <w:szCs w:val="24"/>
        </w:rPr>
        <w:t>clear and convincing evidence also depends on the standards applicable to the underlying claim for relief.</w:t>
      </w:r>
      <w:r w:rsidRPr="00F20688">
        <w:rPr>
          <w:spacing w:val="40"/>
          <w:szCs w:val="24"/>
        </w:rPr>
        <w:t xml:space="preserve"> </w:t>
      </w:r>
      <w:r w:rsidRPr="00F20688">
        <w:rPr>
          <w:szCs w:val="24"/>
        </w:rPr>
        <w:t>For example, several states in the Ninth Circuit require proof by clear and convincing evidence before punitive damages are awarded on a state law claim.</w:t>
      </w:r>
      <w:r w:rsidRPr="00F20688">
        <w:rPr>
          <w:i/>
          <w:szCs w:val="24"/>
        </w:rPr>
        <w:t xml:space="preserve"> See</w:t>
      </w:r>
      <w:r w:rsidRPr="00A15A8F">
        <w:rPr>
          <w:i/>
          <w:szCs w:val="24"/>
        </w:rPr>
        <w:t>,</w:t>
      </w:r>
      <w:r w:rsidRPr="00F20688">
        <w:rPr>
          <w:i/>
          <w:szCs w:val="24"/>
        </w:rPr>
        <w:t xml:space="preserve"> e.g.</w:t>
      </w:r>
      <w:r w:rsidRPr="008A04C2">
        <w:rPr>
          <w:iCs/>
          <w:szCs w:val="24"/>
        </w:rPr>
        <w:t xml:space="preserve">, </w:t>
      </w:r>
      <w:r w:rsidRPr="00F20688">
        <w:rPr>
          <w:i/>
          <w:szCs w:val="24"/>
        </w:rPr>
        <w:t xml:space="preserve">White v. Ford </w:t>
      </w:r>
      <w:r w:rsidRPr="00F20688">
        <w:rPr>
          <w:i/>
          <w:szCs w:val="24"/>
        </w:rPr>
        <w:lastRenderedPageBreak/>
        <w:t>Motor Co</w:t>
      </w:r>
      <w:r w:rsidRPr="00F20688">
        <w:rPr>
          <w:szCs w:val="24"/>
        </w:rPr>
        <w:t>., 312 F.3d 998, 1011 (9th Cir. 2002) (applying Nevada’s clear and convincin</w:t>
      </w:r>
      <w:r w:rsidR="00384267">
        <w:rPr>
          <w:szCs w:val="24"/>
        </w:rPr>
        <w:t>g standard). On the other hand,</w:t>
      </w:r>
      <w:r w:rsidR="00384267" w:rsidRPr="00384267">
        <w:rPr>
          <w:szCs w:val="24"/>
        </w:rPr>
        <w:t xml:space="preserve"> preponderance of the evidence standard has been upheld for punitive damages in certain federal claims. </w:t>
      </w:r>
      <w:r w:rsidR="00384267" w:rsidRPr="00384267">
        <w:rPr>
          <w:i/>
          <w:szCs w:val="24"/>
        </w:rPr>
        <w:t>See</w:t>
      </w:r>
      <w:r w:rsidR="00384267" w:rsidRPr="00A15A8F">
        <w:rPr>
          <w:i/>
          <w:szCs w:val="24"/>
        </w:rPr>
        <w:t>,</w:t>
      </w:r>
      <w:r w:rsidR="00384267" w:rsidRPr="00384267">
        <w:rPr>
          <w:i/>
          <w:szCs w:val="24"/>
        </w:rPr>
        <w:t xml:space="preserve"> e.g.</w:t>
      </w:r>
      <w:r w:rsidR="00384267" w:rsidRPr="008A04C2">
        <w:rPr>
          <w:iCs/>
          <w:szCs w:val="24"/>
        </w:rPr>
        <w:t>,</w:t>
      </w:r>
      <w:r w:rsidR="00384267" w:rsidRPr="00384267">
        <w:rPr>
          <w:i/>
          <w:szCs w:val="24"/>
        </w:rPr>
        <w:t xml:space="preserve"> In re Exxon Valdez, </w:t>
      </w:r>
      <w:r w:rsidR="00384267" w:rsidRPr="00384267">
        <w:rPr>
          <w:szCs w:val="24"/>
        </w:rPr>
        <w:t>270 F.3d 1215, 1232 (9th Cir. 2001) (holding that preponderance standard applied to punitive damages claim in maritime case</w:t>
      </w:r>
      <w:r w:rsidR="00384267">
        <w:rPr>
          <w:szCs w:val="24"/>
        </w:rPr>
        <w:t xml:space="preserve"> (</w:t>
      </w:r>
      <w:r w:rsidR="00384267" w:rsidRPr="00384267">
        <w:rPr>
          <w:szCs w:val="24"/>
        </w:rPr>
        <w:t xml:space="preserve">citing </w:t>
      </w:r>
      <w:r w:rsidR="00384267" w:rsidRPr="00384267">
        <w:rPr>
          <w:i/>
          <w:szCs w:val="24"/>
        </w:rPr>
        <w:t>Pac. Mut. Life Ins. Co. v. Haslip</w:t>
      </w:r>
      <w:r w:rsidR="00384267" w:rsidRPr="00384267">
        <w:rPr>
          <w:szCs w:val="24"/>
        </w:rPr>
        <w:t>, 499 U.S. 1, 23 n.11 (1991)</w:t>
      </w:r>
      <w:r w:rsidR="00384267">
        <w:rPr>
          <w:szCs w:val="24"/>
        </w:rPr>
        <w:t>)</w:t>
      </w:r>
      <w:r w:rsidR="00384267" w:rsidRPr="00384267">
        <w:rPr>
          <w:szCs w:val="24"/>
        </w:rPr>
        <w:t>).</w:t>
      </w:r>
    </w:p>
    <w:p w14:paraId="3D7A55E5" w14:textId="77777777" w:rsidR="00384267" w:rsidRPr="00384267" w:rsidRDefault="00384267" w:rsidP="00384267">
      <w:pPr>
        <w:ind w:right="116" w:firstLine="720"/>
        <w:rPr>
          <w:szCs w:val="24"/>
        </w:rPr>
      </w:pPr>
    </w:p>
    <w:p w14:paraId="7E154CEB" w14:textId="38C36272" w:rsidR="00384267" w:rsidRPr="00384267" w:rsidRDefault="00384267" w:rsidP="00384267">
      <w:pPr>
        <w:ind w:right="116" w:firstLine="720"/>
        <w:rPr>
          <w:szCs w:val="24"/>
        </w:rPr>
      </w:pPr>
      <w:r w:rsidRPr="00384267">
        <w:rPr>
          <w:szCs w:val="24"/>
        </w:rPr>
        <w:t xml:space="preserve">If punitive damages are available and evidence of the defendant’s financial condition is offered in support of such damages, a limiting instruction may be appropriate. </w:t>
      </w:r>
      <w:r w:rsidRPr="00384267">
        <w:rPr>
          <w:i/>
          <w:szCs w:val="24"/>
        </w:rPr>
        <w:t xml:space="preserve">See </w:t>
      </w:r>
      <w:r w:rsidRPr="00384267">
        <w:rPr>
          <w:szCs w:val="24"/>
        </w:rPr>
        <w:t>Instruction</w:t>
      </w:r>
      <w:r>
        <w:rPr>
          <w:szCs w:val="24"/>
        </w:rPr>
        <w:t xml:space="preserve"> </w:t>
      </w:r>
      <w:r w:rsidRPr="00384267">
        <w:rPr>
          <w:szCs w:val="24"/>
        </w:rPr>
        <w:t>1.11 (Evidence for Limited Purpose) and numbered paragraph (3) in Instruction 1.10 (What Is Not Evidence).</w:t>
      </w:r>
    </w:p>
    <w:p w14:paraId="1234C68A" w14:textId="77777777" w:rsidR="00384267" w:rsidRPr="00384267" w:rsidRDefault="00384267" w:rsidP="00384267">
      <w:pPr>
        <w:ind w:right="116" w:firstLine="720"/>
        <w:rPr>
          <w:szCs w:val="24"/>
        </w:rPr>
      </w:pPr>
    </w:p>
    <w:p w14:paraId="6756192F" w14:textId="29DF5865" w:rsidR="00384267" w:rsidRPr="00384267" w:rsidRDefault="00384267" w:rsidP="00384267">
      <w:pPr>
        <w:ind w:right="116" w:firstLine="720"/>
        <w:rPr>
          <w:szCs w:val="24"/>
        </w:rPr>
      </w:pPr>
      <w:r w:rsidRPr="00384267">
        <w:rPr>
          <w:szCs w:val="24"/>
        </w:rPr>
        <w:t xml:space="preserve">Regarding degree of reprehensibility and punitive damages generally, </w:t>
      </w:r>
      <w:r w:rsidRPr="00F22B65">
        <w:rPr>
          <w:iCs/>
          <w:szCs w:val="24"/>
        </w:rPr>
        <w:t>see</w:t>
      </w:r>
      <w:r w:rsidRPr="00384267">
        <w:rPr>
          <w:i/>
          <w:szCs w:val="24"/>
        </w:rPr>
        <w:t xml:space="preserve"> Philip Morris USA v. Williams</w:t>
      </w:r>
      <w:r w:rsidRPr="00384267">
        <w:rPr>
          <w:szCs w:val="24"/>
        </w:rPr>
        <w:t xml:space="preserve">, 549 U.S. 346, 353-54 (2007), </w:t>
      </w:r>
      <w:r w:rsidRPr="00384267">
        <w:rPr>
          <w:i/>
          <w:szCs w:val="24"/>
        </w:rPr>
        <w:t>BMW of N. Am., Inc. v. Gore</w:t>
      </w:r>
      <w:r w:rsidRPr="00384267">
        <w:rPr>
          <w:szCs w:val="24"/>
        </w:rPr>
        <w:t>, 517 U.S. 559</w:t>
      </w:r>
      <w:r>
        <w:rPr>
          <w:szCs w:val="24"/>
        </w:rPr>
        <w:t xml:space="preserve"> </w:t>
      </w:r>
      <w:r w:rsidRPr="00384267">
        <w:rPr>
          <w:szCs w:val="24"/>
        </w:rPr>
        <w:t xml:space="preserve">(1996), </w:t>
      </w:r>
      <w:r w:rsidRPr="00384267">
        <w:rPr>
          <w:i/>
          <w:szCs w:val="24"/>
        </w:rPr>
        <w:t>Pac. Mut. Life Ins. Co. v. Haslip</w:t>
      </w:r>
      <w:r w:rsidRPr="00384267">
        <w:rPr>
          <w:szCs w:val="24"/>
        </w:rPr>
        <w:t>, 499 U.S. 1 (1991)</w:t>
      </w:r>
      <w:r w:rsidR="00F22B65">
        <w:rPr>
          <w:szCs w:val="24"/>
        </w:rPr>
        <w:t>.</w:t>
      </w:r>
      <w:r w:rsidRPr="00384267">
        <w:rPr>
          <w:szCs w:val="24"/>
        </w:rPr>
        <w:t xml:space="preserve"> </w:t>
      </w:r>
      <w:r w:rsidR="00F22B65">
        <w:rPr>
          <w:i/>
          <w:szCs w:val="24"/>
        </w:rPr>
        <w:t>See</w:t>
      </w:r>
      <w:r w:rsidRPr="00384267">
        <w:rPr>
          <w:i/>
          <w:szCs w:val="24"/>
        </w:rPr>
        <w:t xml:space="preserve"> Morgan v. Woessner</w:t>
      </w:r>
      <w:r w:rsidRPr="00384267">
        <w:rPr>
          <w:szCs w:val="24"/>
        </w:rPr>
        <w:t>, 997 F.2d 1244, 1256 (9th Cir. 1993) (“</w:t>
      </w:r>
      <w:r w:rsidRPr="00384267">
        <w:rPr>
          <w:i/>
          <w:szCs w:val="24"/>
        </w:rPr>
        <w:t xml:space="preserve">Haslip </w:t>
      </w:r>
      <w:r w:rsidRPr="00384267">
        <w:rPr>
          <w:szCs w:val="24"/>
        </w:rPr>
        <w:t>said that instructions should be fashioned to describe the proper purposes of punitive damages so that the jury understands that punitive damages are not to compensate the plaintiff, but to punish the defendant and to deter the defendant and others from such conduct in the future.”)</w:t>
      </w:r>
      <w:r>
        <w:rPr>
          <w:szCs w:val="24"/>
        </w:rPr>
        <w:t xml:space="preserve">; </w:t>
      </w:r>
      <w:r w:rsidRPr="00384267">
        <w:rPr>
          <w:i/>
          <w:szCs w:val="24"/>
        </w:rPr>
        <w:t>White v. Ford Motor Co.</w:t>
      </w:r>
      <w:r w:rsidRPr="00384267">
        <w:rPr>
          <w:szCs w:val="24"/>
        </w:rPr>
        <w:t xml:space="preserve">, 500 F.3d 963, 972 (9th Cir. 2007) (holding that trial court’s failure to give a “harm to nonparties” instruction violated due process and was reversible error after </w:t>
      </w:r>
      <w:r w:rsidRPr="00384267">
        <w:rPr>
          <w:i/>
          <w:szCs w:val="24"/>
        </w:rPr>
        <w:t>Williams</w:t>
      </w:r>
      <w:r w:rsidRPr="00384267">
        <w:rPr>
          <w:szCs w:val="24"/>
        </w:rPr>
        <w:t>). Bracketed language in the fourth paragraph of the instruction addresses this requirement when evidence concerning harm to nonparties is admitted on the issue of degree of reprehensibility.</w:t>
      </w:r>
    </w:p>
    <w:p w14:paraId="6D111C14" w14:textId="77777777" w:rsidR="00384267" w:rsidRPr="00384267" w:rsidRDefault="00384267" w:rsidP="00384267">
      <w:pPr>
        <w:ind w:right="116" w:firstLine="720"/>
        <w:rPr>
          <w:szCs w:val="24"/>
        </w:rPr>
      </w:pPr>
    </w:p>
    <w:p w14:paraId="75AD25E4" w14:textId="1AE74EA3" w:rsidR="00384267" w:rsidRDefault="00384267" w:rsidP="00567281">
      <w:pPr>
        <w:ind w:right="116" w:firstLine="720"/>
        <w:rPr>
          <w:i/>
          <w:szCs w:val="24"/>
        </w:rPr>
      </w:pPr>
      <w:r w:rsidRPr="00384267">
        <w:rPr>
          <w:szCs w:val="24"/>
        </w:rPr>
        <w:t xml:space="preserve">Regarding whether to instruct the jury concerning the relationship of any award of punitive damages to compensatory damages, the Ninth Circuit noted in </w:t>
      </w:r>
      <w:r w:rsidRPr="00384267">
        <w:rPr>
          <w:i/>
          <w:szCs w:val="24"/>
        </w:rPr>
        <w:t xml:space="preserve">White v. Ford Motor Co. </w:t>
      </w:r>
      <w:r w:rsidRPr="00384267">
        <w:rPr>
          <w:szCs w:val="24"/>
        </w:rPr>
        <w:t xml:space="preserve">that this inquiry “is markedly different from the jury’s determination of a specific amount of punitive damages; its purpose is to aid in ascertaining the constitutional </w:t>
      </w:r>
      <w:r w:rsidRPr="00384267">
        <w:rPr>
          <w:i/>
          <w:szCs w:val="24"/>
        </w:rPr>
        <w:t xml:space="preserve">ceiling. </w:t>
      </w:r>
      <w:r w:rsidRPr="00384267">
        <w:rPr>
          <w:szCs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sidRPr="00384267">
        <w:rPr>
          <w:i/>
          <w:szCs w:val="24"/>
        </w:rPr>
        <w:t>Id.</w:t>
      </w:r>
      <w:r w:rsidR="00567281">
        <w:rPr>
          <w:i/>
          <w:szCs w:val="24"/>
        </w:rPr>
        <w:t xml:space="preserve"> </w:t>
      </w:r>
      <w:r w:rsidRPr="00384267">
        <w:rPr>
          <w:szCs w:val="24"/>
        </w:rPr>
        <w:t xml:space="preserve">Because Nevada chose the latter course, it was not error in </w:t>
      </w:r>
      <w:r w:rsidRPr="00384267">
        <w:rPr>
          <w:i/>
          <w:szCs w:val="24"/>
        </w:rPr>
        <w:t xml:space="preserve">White </w:t>
      </w:r>
      <w:r w:rsidRPr="00384267">
        <w:rPr>
          <w:szCs w:val="24"/>
        </w:rPr>
        <w:t xml:space="preserve">for the district court to decline a “relationship inquiry” instruction. </w:t>
      </w:r>
      <w:r w:rsidRPr="00384267">
        <w:rPr>
          <w:i/>
          <w:szCs w:val="24"/>
        </w:rPr>
        <w:t>Id.</w:t>
      </w:r>
    </w:p>
    <w:p w14:paraId="7150A8D4" w14:textId="77777777" w:rsidR="00567281" w:rsidRPr="00384267" w:rsidRDefault="00567281" w:rsidP="00567281">
      <w:pPr>
        <w:ind w:right="116" w:firstLine="720"/>
        <w:rPr>
          <w:i/>
          <w:szCs w:val="24"/>
        </w:rPr>
      </w:pPr>
    </w:p>
    <w:p w14:paraId="343D498E" w14:textId="0A75BED4" w:rsidR="00625593" w:rsidRDefault="00384267" w:rsidP="00625593">
      <w:pPr>
        <w:ind w:right="116" w:firstLine="720"/>
        <w:rPr>
          <w:szCs w:val="24"/>
        </w:rPr>
      </w:pPr>
      <w:r w:rsidRPr="00384267">
        <w:rPr>
          <w:szCs w:val="24"/>
        </w:rPr>
        <w:t xml:space="preserve">Regarding the constitutional due process issues involved in the “relationship inquiry,” </w:t>
      </w:r>
      <w:r w:rsidRPr="00F22B65">
        <w:rPr>
          <w:iCs/>
          <w:szCs w:val="24"/>
        </w:rPr>
        <w:t>see</w:t>
      </w:r>
      <w:r w:rsidRPr="00384267">
        <w:rPr>
          <w:i/>
          <w:szCs w:val="24"/>
        </w:rPr>
        <w:t xml:space="preserve"> State Farm Mut. Auto. Ins. Co. v. Campbell</w:t>
      </w:r>
      <w:r w:rsidRPr="00384267">
        <w:rPr>
          <w:szCs w:val="24"/>
        </w:rPr>
        <w:t xml:space="preserve">, 538 U.S. 408, 425 (2003), referring to </w:t>
      </w:r>
      <w:r w:rsidRPr="00384267">
        <w:rPr>
          <w:i/>
          <w:szCs w:val="24"/>
        </w:rPr>
        <w:t xml:space="preserve">Gore </w:t>
      </w:r>
      <w:r w:rsidRPr="00384267">
        <w:rPr>
          <w:szCs w:val="24"/>
        </w:rPr>
        <w:t xml:space="preserve">and </w:t>
      </w:r>
      <w:r w:rsidRPr="00384267">
        <w:rPr>
          <w:i/>
          <w:szCs w:val="24"/>
        </w:rPr>
        <w:t xml:space="preserve">Haslip </w:t>
      </w:r>
      <w:r w:rsidRPr="00384267">
        <w:rPr>
          <w:szCs w:val="24"/>
        </w:rPr>
        <w:t xml:space="preserve">and stating that “[s]ingle-digit multipliers are more likely to comport with due process, while still achieving the State’s goals of deterrence and retribution, than awards with ratios in range of 500 to 1, or, in this case, of 145 to 1.” In </w:t>
      </w:r>
      <w:r w:rsidRPr="00384267">
        <w:rPr>
          <w:i/>
          <w:szCs w:val="24"/>
        </w:rPr>
        <w:t>State Farm</w:t>
      </w:r>
      <w:r w:rsidRPr="00384267">
        <w:rPr>
          <w:szCs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amount of economic damages.’” </w:t>
      </w:r>
      <w:r w:rsidRPr="00384267">
        <w:rPr>
          <w:i/>
          <w:szCs w:val="24"/>
        </w:rPr>
        <w:t>Id</w:t>
      </w:r>
      <w:r w:rsidRPr="00384267">
        <w:rPr>
          <w:szCs w:val="24"/>
        </w:rPr>
        <w:t xml:space="preserve">. (quoting </w:t>
      </w:r>
      <w:r w:rsidRPr="00384267">
        <w:rPr>
          <w:i/>
          <w:szCs w:val="24"/>
        </w:rPr>
        <w:t>Gore</w:t>
      </w:r>
      <w:r w:rsidRPr="00384267">
        <w:rPr>
          <w:szCs w:val="24"/>
        </w:rPr>
        <w:t>, 517 U.S. at 582)</w:t>
      </w:r>
      <w:r w:rsidR="00625593">
        <w:rPr>
          <w:szCs w:val="24"/>
        </w:rPr>
        <w:t>.</w:t>
      </w:r>
      <w:r w:rsidRPr="00384267">
        <w:rPr>
          <w:szCs w:val="24"/>
        </w:rPr>
        <w:t xml:space="preserve"> For an application of the </w:t>
      </w:r>
      <w:r w:rsidRPr="00384267">
        <w:rPr>
          <w:i/>
          <w:szCs w:val="24"/>
        </w:rPr>
        <w:t xml:space="preserve">State Farm </w:t>
      </w:r>
      <w:r w:rsidRPr="00384267">
        <w:rPr>
          <w:szCs w:val="24"/>
        </w:rPr>
        <w:t xml:space="preserve">ratio principles in the context of a 42 U.S.C. § 1981 case, </w:t>
      </w:r>
      <w:r w:rsidRPr="00384267">
        <w:rPr>
          <w:i/>
          <w:szCs w:val="24"/>
        </w:rPr>
        <w:t>see Bains LLC v. Arco Prods. Co.</w:t>
      </w:r>
      <w:r w:rsidRPr="00384267">
        <w:rPr>
          <w:szCs w:val="24"/>
        </w:rPr>
        <w:t xml:space="preserve">, 405 F.3d 764, 774-77 </w:t>
      </w:r>
      <w:r w:rsidRPr="00384267">
        <w:rPr>
          <w:szCs w:val="24"/>
        </w:rPr>
        <w:lastRenderedPageBreak/>
        <w:t xml:space="preserve">(9th Cir. 2005). </w:t>
      </w:r>
      <w:r w:rsidRPr="00384267">
        <w:rPr>
          <w:i/>
          <w:szCs w:val="24"/>
        </w:rPr>
        <w:t>But see Exxon Shipping Co. v. Baker</w:t>
      </w:r>
      <w:r w:rsidRPr="00384267">
        <w:rPr>
          <w:szCs w:val="24"/>
        </w:rPr>
        <w:t>, 554 U.S. 471, 513 (2008) (applying federal</w:t>
      </w:r>
      <w:r w:rsidR="00625593">
        <w:rPr>
          <w:szCs w:val="24"/>
        </w:rPr>
        <w:t xml:space="preserve"> maritime common law to conclude </w:t>
      </w:r>
      <w:r w:rsidR="00625593" w:rsidRPr="00625593">
        <w:rPr>
          <w:szCs w:val="24"/>
        </w:rPr>
        <w:t>punitive damages could not exceed 1:1 ratio in maritime cases</w:t>
      </w:r>
      <w:r w:rsidR="00625593">
        <w:rPr>
          <w:szCs w:val="24"/>
        </w:rPr>
        <w:t xml:space="preserve">). </w:t>
      </w:r>
    </w:p>
    <w:p w14:paraId="676FD627" w14:textId="77777777" w:rsidR="00625593" w:rsidRDefault="00625593" w:rsidP="00625593">
      <w:pPr>
        <w:ind w:right="116" w:firstLine="720"/>
        <w:rPr>
          <w:szCs w:val="24"/>
        </w:rPr>
      </w:pPr>
    </w:p>
    <w:p w14:paraId="536F69B1" w14:textId="693E3447" w:rsidR="00625593" w:rsidRPr="008A04C2" w:rsidRDefault="00625593" w:rsidP="008A04C2">
      <w:pPr>
        <w:ind w:right="116" w:firstLine="720"/>
        <w:jc w:val="right"/>
        <w:rPr>
          <w:i/>
          <w:iCs/>
          <w:szCs w:val="24"/>
        </w:rPr>
      </w:pPr>
      <w:r w:rsidRPr="008A04C2">
        <w:rPr>
          <w:i/>
          <w:iCs/>
          <w:szCs w:val="24"/>
        </w:rPr>
        <w:t>Revised March 2025</w:t>
      </w:r>
    </w:p>
    <w:p w14:paraId="0E6BDFB9" w14:textId="735EF23A" w:rsidR="00000ABB" w:rsidRPr="00F20688" w:rsidRDefault="00000ABB" w:rsidP="008A04C2">
      <w:pPr>
        <w:ind w:right="116" w:firstLine="720"/>
        <w:rPr>
          <w:rFonts w:eastAsia="Calibri"/>
          <w:i/>
          <w:szCs w:val="24"/>
        </w:rPr>
      </w:pPr>
    </w:p>
    <w:p w14:paraId="5B727381" w14:textId="77777777" w:rsidR="00000ABB" w:rsidRPr="00F20688" w:rsidRDefault="00000ABB" w:rsidP="00000ABB">
      <w:pPr>
        <w:ind w:right="116" w:firstLine="720"/>
        <w:rPr>
          <w:szCs w:val="24"/>
        </w:rPr>
      </w:pPr>
    </w:p>
    <w:p w14:paraId="50C5F7A6" w14:textId="77777777" w:rsidR="00000ABB" w:rsidRPr="00F20688" w:rsidRDefault="00000ABB" w:rsidP="00000ABB">
      <w:pPr>
        <w:ind w:firstLine="720"/>
        <w:rPr>
          <w:szCs w:val="24"/>
        </w:rPr>
      </w:pPr>
    </w:p>
    <w:bookmarkEnd w:id="94"/>
    <w:p w14:paraId="2A85AE38" w14:textId="3DA20AFF" w:rsidR="006A4CD7" w:rsidRPr="002B283E" w:rsidRDefault="006A4CD7" w:rsidP="00000ABB">
      <w:pPr>
        <w:ind w:left="120" w:right="116" w:firstLine="720"/>
        <w:rPr>
          <w:rFonts w:cs="Times New Roman"/>
          <w:i/>
          <w:szCs w:val="24"/>
        </w:rPr>
      </w:pPr>
    </w:p>
    <w:bookmarkEnd w:id="95"/>
    <w:p w14:paraId="657951CA" w14:textId="77777777" w:rsidR="00C8117C" w:rsidRPr="002B283E" w:rsidRDefault="00C8117C" w:rsidP="002B283E">
      <w:pPr>
        <w:rPr>
          <w:rFonts w:cs="Times New Roman"/>
          <w:b/>
          <w:bCs/>
          <w:szCs w:val="24"/>
        </w:rPr>
      </w:pPr>
      <w:r w:rsidRPr="002B283E">
        <w:rPr>
          <w:rFonts w:cs="Times New Roman"/>
          <w:b/>
          <w:bCs/>
          <w:szCs w:val="24"/>
        </w:rPr>
        <w:br w:type="page"/>
      </w:r>
    </w:p>
    <w:p w14:paraId="7A439C1A" w14:textId="2FBAAC24" w:rsidR="006A4CD7" w:rsidRPr="002B283E" w:rsidRDefault="006A4CD7" w:rsidP="002B283E">
      <w:pPr>
        <w:pStyle w:val="Heading2"/>
      </w:pPr>
      <w:bookmarkStart w:id="96" w:name="_Toc221525138"/>
      <w:r w:rsidRPr="002B283E">
        <w:lastRenderedPageBreak/>
        <w:t>5.6 N</w:t>
      </w:r>
      <w:r w:rsidR="00496196" w:rsidRPr="002B283E">
        <w:t>ominal</w:t>
      </w:r>
      <w:r w:rsidRPr="002B283E">
        <w:t xml:space="preserve"> D</w:t>
      </w:r>
      <w:r w:rsidR="00496196" w:rsidRPr="002B283E">
        <w:t>amages</w:t>
      </w:r>
      <w:bookmarkEnd w:id="96"/>
    </w:p>
    <w:p w14:paraId="0EC89CF7" w14:textId="77777777" w:rsidR="006A4CD7" w:rsidRPr="002B283E" w:rsidRDefault="006A4CD7" w:rsidP="002B283E">
      <w:pPr>
        <w:autoSpaceDE w:val="0"/>
        <w:autoSpaceDN w:val="0"/>
        <w:adjustRightInd w:val="0"/>
        <w:rPr>
          <w:rFonts w:cs="Times New Roman"/>
          <w:szCs w:val="24"/>
        </w:rPr>
      </w:pPr>
    </w:p>
    <w:p w14:paraId="413A6B99" w14:textId="374E1AE5" w:rsidR="006A4CD7" w:rsidRPr="002B283E" w:rsidRDefault="006A4CD7" w:rsidP="002B283E">
      <w:pPr>
        <w:autoSpaceDE w:val="0"/>
        <w:autoSpaceDN w:val="0"/>
        <w:adjustRightInd w:val="0"/>
        <w:rPr>
          <w:rFonts w:cs="Times New Roman"/>
          <w:szCs w:val="24"/>
        </w:rPr>
      </w:pPr>
      <w:r w:rsidRPr="002B283E">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2B283E" w:rsidRDefault="006A4CD7" w:rsidP="002B283E">
      <w:pPr>
        <w:autoSpaceDE w:val="0"/>
        <w:autoSpaceDN w:val="0"/>
        <w:adjustRightInd w:val="0"/>
        <w:rPr>
          <w:rFonts w:cs="Times New Roman"/>
          <w:szCs w:val="24"/>
        </w:rPr>
      </w:pPr>
    </w:p>
    <w:p w14:paraId="7443E6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BE4AA6B" w14:textId="77777777" w:rsidR="006A4CD7" w:rsidRPr="002B283E" w:rsidRDefault="006A4CD7" w:rsidP="002B283E">
      <w:pPr>
        <w:autoSpaceDE w:val="0"/>
        <w:autoSpaceDN w:val="0"/>
        <w:adjustRightInd w:val="0"/>
        <w:rPr>
          <w:rFonts w:cs="Times New Roman"/>
          <w:szCs w:val="24"/>
        </w:rPr>
      </w:pPr>
    </w:p>
    <w:p w14:paraId="3E6AB93E" w14:textId="765C35F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Nominal damages are not available in every case. The court must determine whether nominal damages are permitted. </w:t>
      </w:r>
      <w:r w:rsidRPr="002B283E">
        <w:rPr>
          <w:rFonts w:cs="Times New Roman"/>
          <w:i/>
          <w:iCs/>
          <w:szCs w:val="24"/>
        </w:rPr>
        <w:t>See</w:t>
      </w:r>
      <w:r w:rsidRPr="00A15A8F">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Chew v. Gates,</w:t>
      </w:r>
      <w:r w:rsidRPr="002B283E">
        <w:rPr>
          <w:rFonts w:cs="Times New Roman"/>
          <w:szCs w:val="24"/>
        </w:rPr>
        <w:t xml:space="preserve"> 27 F.3d 1432, 1437 (9th Cir. 1994) (Section 1983 action); </w:t>
      </w:r>
      <w:r w:rsidRPr="002B283E">
        <w:rPr>
          <w:rFonts w:cs="Times New Roman"/>
          <w:i/>
          <w:iCs/>
          <w:szCs w:val="24"/>
        </w:rPr>
        <w:t>Parton v. GTE North, Inc.</w:t>
      </w:r>
      <w:r w:rsidRPr="002B283E">
        <w:rPr>
          <w:rFonts w:cs="Times New Roman"/>
          <w:szCs w:val="24"/>
        </w:rPr>
        <w:t>, 971 F.2d 150, 154 (8th Cir. 1992) (Title VII action).</w:t>
      </w:r>
    </w:p>
    <w:p w14:paraId="1F51486E" w14:textId="77777777" w:rsidR="006A4CD7" w:rsidRPr="002B283E" w:rsidRDefault="006A4CD7" w:rsidP="002B283E">
      <w:pPr>
        <w:autoSpaceDE w:val="0"/>
        <w:autoSpaceDN w:val="0"/>
        <w:adjustRightInd w:val="0"/>
        <w:rPr>
          <w:rFonts w:cs="Times New Roman"/>
          <w:szCs w:val="24"/>
        </w:rPr>
      </w:pPr>
    </w:p>
    <w:p w14:paraId="0C5473B0" w14:textId="7CB60B3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a plaintiff has indisputably suffered an actual injury, an award of compensatory damages is mandatory. </w:t>
      </w:r>
      <w:r w:rsidRPr="002B283E">
        <w:rPr>
          <w:rFonts w:cs="Times New Roman"/>
          <w:i/>
          <w:iCs/>
          <w:szCs w:val="24"/>
        </w:rPr>
        <w:t>Hazle v. Crofoot</w:t>
      </w:r>
      <w:r w:rsidRPr="002B283E">
        <w:rPr>
          <w:rFonts w:cs="Times New Roman"/>
          <w:szCs w:val="24"/>
        </w:rPr>
        <w:t>,</w:t>
      </w:r>
      <w:r w:rsidRPr="002B283E">
        <w:rPr>
          <w:rFonts w:cs="Times New Roman"/>
          <w:b/>
          <w:bCs/>
          <w:szCs w:val="24"/>
        </w:rPr>
        <w:t xml:space="preserve"> </w:t>
      </w:r>
      <w:r w:rsidRPr="002B283E">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2B283E">
        <w:rPr>
          <w:rFonts w:cs="Times New Roman"/>
          <w:i/>
          <w:iCs/>
          <w:szCs w:val="24"/>
        </w:rPr>
        <w:t>Id</w:t>
      </w:r>
      <w:r w:rsidRPr="002B283E">
        <w:rPr>
          <w:rFonts w:cs="Times New Roman"/>
          <w:szCs w:val="24"/>
        </w:rPr>
        <w:t>. at n.6.</w:t>
      </w:r>
    </w:p>
    <w:p w14:paraId="1EE6E49B" w14:textId="77777777" w:rsidR="006A4CD7" w:rsidRPr="002B283E" w:rsidRDefault="006A4CD7" w:rsidP="002B283E">
      <w:pPr>
        <w:autoSpaceDE w:val="0"/>
        <w:autoSpaceDN w:val="0"/>
        <w:adjustRightInd w:val="0"/>
        <w:rPr>
          <w:rFonts w:cs="Times New Roman"/>
          <w:szCs w:val="24"/>
        </w:rPr>
      </w:pPr>
    </w:p>
    <w:p w14:paraId="1ADCD4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Regarding cases brought under 42 U.S.C. § 1983, </w:t>
      </w:r>
      <w:r w:rsidRPr="008A04C2">
        <w:rPr>
          <w:rFonts w:cs="Times New Roman"/>
          <w:szCs w:val="24"/>
        </w:rPr>
        <w:t xml:space="preserve">see </w:t>
      </w:r>
      <w:r w:rsidRPr="002B283E">
        <w:rPr>
          <w:rFonts w:cs="Times New Roman"/>
          <w:i/>
          <w:iCs/>
          <w:szCs w:val="24"/>
        </w:rPr>
        <w:t>Carey v. Piphus</w:t>
      </w:r>
      <w:r w:rsidRPr="002B283E">
        <w:rPr>
          <w:rFonts w:cs="Times New Roman"/>
          <w:szCs w:val="24"/>
        </w:rPr>
        <w:t xml:space="preserve">, 435 U.S. 247, 266-67 (1978) (involving violation of procedural due process); </w:t>
      </w:r>
      <w:r w:rsidRPr="002B283E">
        <w:rPr>
          <w:rFonts w:cs="Times New Roman"/>
          <w:i/>
          <w:iCs/>
          <w:szCs w:val="24"/>
        </w:rPr>
        <w:t>Hazle</w:t>
      </w:r>
      <w:r w:rsidRPr="002B283E">
        <w:rPr>
          <w:rFonts w:cs="Times New Roman"/>
          <w:szCs w:val="24"/>
        </w:rPr>
        <w:t xml:space="preserve">, 727 F.3d at 991 n.6 (involving violation of substantive constitutional rights); </w:t>
      </w:r>
      <w:r w:rsidRPr="002B283E">
        <w:rPr>
          <w:rFonts w:cs="Times New Roman"/>
          <w:i/>
          <w:iCs/>
          <w:szCs w:val="24"/>
        </w:rPr>
        <w:t>Floyd v. Laws</w:t>
      </w:r>
      <w:r w:rsidRPr="002B283E">
        <w:rPr>
          <w:rFonts w:cs="Times New Roman"/>
          <w:szCs w:val="24"/>
        </w:rPr>
        <w:t>, 929 F.2d 1390, 1401 n.9 (9th Cir. 1991) (providing suggested language).</w:t>
      </w:r>
    </w:p>
    <w:p w14:paraId="24D48D3C" w14:textId="77777777" w:rsidR="00432687" w:rsidRPr="002B283E" w:rsidRDefault="00432687" w:rsidP="002B283E">
      <w:pPr>
        <w:autoSpaceDE w:val="0"/>
        <w:autoSpaceDN w:val="0"/>
        <w:adjustRightInd w:val="0"/>
        <w:rPr>
          <w:rFonts w:cs="Times New Roman"/>
          <w:szCs w:val="24"/>
        </w:rPr>
      </w:pPr>
    </w:p>
    <w:p w14:paraId="093AEB40" w14:textId="77777777" w:rsidR="00432687" w:rsidRPr="002B283E" w:rsidRDefault="00432687" w:rsidP="002B283E">
      <w:pPr>
        <w:autoSpaceDE w:val="0"/>
        <w:autoSpaceDN w:val="0"/>
        <w:adjustRightInd w:val="0"/>
        <w:rPr>
          <w:rFonts w:cs="Times New Roman"/>
          <w:szCs w:val="24"/>
        </w:rPr>
      </w:pPr>
    </w:p>
    <w:p w14:paraId="345FAF6C" w14:textId="225A67F8" w:rsidR="006A4CD7" w:rsidRPr="002B283E" w:rsidRDefault="006A4CD7" w:rsidP="002B283E">
      <w:pPr>
        <w:pStyle w:val="Heading1"/>
        <w:spacing w:before="0" w:line="240" w:lineRule="auto"/>
      </w:pPr>
      <w:r w:rsidRPr="002B283E">
        <w:br w:type="page"/>
      </w:r>
      <w:bookmarkStart w:id="97" w:name="_Toc221525139"/>
      <w:r w:rsidRPr="002B283E">
        <w:lastRenderedPageBreak/>
        <w:t>6</w:t>
      </w:r>
      <w:r w:rsidR="00A87F6E">
        <w:t xml:space="preserve">. </w:t>
      </w:r>
      <w:r w:rsidRPr="002B283E">
        <w:t>FEDERAL EMPLOYERS’ LIABILITY ACT</w:t>
      </w:r>
      <w:bookmarkEnd w:id="97"/>
    </w:p>
    <w:p w14:paraId="55D98C6A" w14:textId="77777777" w:rsidR="006A4CD7" w:rsidRPr="002B283E" w:rsidRDefault="006A4CD7" w:rsidP="002B283E">
      <w:pPr>
        <w:autoSpaceDE w:val="0"/>
        <w:autoSpaceDN w:val="0"/>
        <w:adjustRightInd w:val="0"/>
        <w:rPr>
          <w:rFonts w:cs="Times New Roman"/>
          <w:szCs w:val="24"/>
        </w:rPr>
      </w:pPr>
    </w:p>
    <w:p w14:paraId="15EC919B"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F9AABA5" w14:textId="77777777" w:rsidR="006A4CD7" w:rsidRPr="002B283E" w:rsidRDefault="006A4CD7" w:rsidP="002B283E">
      <w:pPr>
        <w:autoSpaceDE w:val="0"/>
        <w:autoSpaceDN w:val="0"/>
        <w:adjustRightInd w:val="0"/>
        <w:rPr>
          <w:rFonts w:cs="Times New Roman"/>
          <w:szCs w:val="24"/>
        </w:rPr>
      </w:pPr>
    </w:p>
    <w:p w14:paraId="670DBCC2" w14:textId="77777777" w:rsidR="00496196" w:rsidRPr="002B283E" w:rsidRDefault="006A4CD7" w:rsidP="002B283E">
      <w:pPr>
        <w:autoSpaceDE w:val="0"/>
        <w:autoSpaceDN w:val="0"/>
        <w:adjustRightInd w:val="0"/>
        <w:ind w:left="900" w:hanging="900"/>
        <w:rPr>
          <w:rFonts w:cs="Times New Roman"/>
          <w:szCs w:val="24"/>
        </w:rPr>
      </w:pPr>
      <w:r w:rsidRPr="002B283E">
        <w:rPr>
          <w:rFonts w:cs="Times New Roman"/>
          <w:szCs w:val="24"/>
        </w:rPr>
        <w:t>6.1</w:t>
      </w:r>
      <w:r w:rsidRPr="002B283E">
        <w:rPr>
          <w:rFonts w:cs="Times New Roman"/>
          <w:szCs w:val="24"/>
        </w:rPr>
        <w:tab/>
        <w:t xml:space="preserve">Preliminary Jury Instruction—Federal Employers’ Liability Act </w:t>
      </w:r>
    </w:p>
    <w:p w14:paraId="5BB7A597" w14:textId="2FA6B157" w:rsidR="006A4CD7" w:rsidRPr="002B283E" w:rsidRDefault="006A4CD7" w:rsidP="002B283E">
      <w:pPr>
        <w:autoSpaceDE w:val="0"/>
        <w:autoSpaceDN w:val="0"/>
        <w:adjustRightInd w:val="0"/>
        <w:ind w:left="900"/>
        <w:rPr>
          <w:rFonts w:cs="Times New Roman"/>
          <w:szCs w:val="24"/>
        </w:rPr>
      </w:pPr>
      <w:r w:rsidRPr="002B283E">
        <w:rPr>
          <w:rFonts w:cs="Times New Roman"/>
          <w:szCs w:val="24"/>
        </w:rPr>
        <w:t>(45 U.S.C. §§ 51 and 53)</w:t>
      </w:r>
    </w:p>
    <w:p w14:paraId="2F588B1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6.2</w:t>
      </w:r>
      <w:r w:rsidRPr="002B283E">
        <w:rPr>
          <w:rFonts w:cs="Times New Roman"/>
          <w:szCs w:val="24"/>
        </w:rPr>
        <w:tab/>
        <w:t>FELA—Elements and Burden of Proof</w:t>
      </w:r>
    </w:p>
    <w:p w14:paraId="72DCC72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6.3</w:t>
      </w:r>
      <w:r w:rsidRPr="002B283E">
        <w:rPr>
          <w:rFonts w:cs="Times New Roman"/>
          <w:szCs w:val="24"/>
        </w:rPr>
        <w:tab/>
        <w:t>FELA—Negligence Defined</w:t>
      </w:r>
    </w:p>
    <w:p w14:paraId="1AD0D5D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6.4</w:t>
      </w:r>
      <w:r w:rsidRPr="002B283E">
        <w:rPr>
          <w:rFonts w:cs="Times New Roman"/>
          <w:szCs w:val="24"/>
        </w:rPr>
        <w:tab/>
        <w:t>FELA—Causation</w:t>
      </w:r>
    </w:p>
    <w:p w14:paraId="58A7AB09" w14:textId="0003576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6.5</w:t>
      </w:r>
      <w:r w:rsidRPr="002B283E">
        <w:rPr>
          <w:rFonts w:cs="Times New Roman"/>
          <w:szCs w:val="24"/>
        </w:rPr>
        <w:tab/>
        <w:t xml:space="preserve">FELA—Plaintiff’s Compliance </w:t>
      </w:r>
      <w:r w:rsidR="00496196" w:rsidRPr="002B283E">
        <w:rPr>
          <w:rFonts w:cs="Times New Roman"/>
          <w:szCs w:val="24"/>
        </w:rPr>
        <w:t>w</w:t>
      </w:r>
      <w:r w:rsidRPr="002B283E">
        <w:rPr>
          <w:rFonts w:cs="Times New Roman"/>
          <w:szCs w:val="24"/>
        </w:rPr>
        <w:t>ith Defendant’s Request or Directions</w:t>
      </w:r>
    </w:p>
    <w:p w14:paraId="335958A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6.6 </w:t>
      </w:r>
      <w:r w:rsidRPr="002B283E">
        <w:rPr>
          <w:rFonts w:cs="Times New Roman"/>
          <w:szCs w:val="24"/>
        </w:rPr>
        <w:tab/>
        <w:t>FELA—Damages (Comment only)</w:t>
      </w:r>
    </w:p>
    <w:p w14:paraId="05A9E29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6.7</w:t>
      </w:r>
      <w:r w:rsidRPr="002B283E">
        <w:rPr>
          <w:rFonts w:cs="Times New Roman"/>
          <w:szCs w:val="24"/>
        </w:rPr>
        <w:tab/>
        <w:t>FELA—Plaintiff’s Negligence—Reduction of Damages (45 U.S.C. § 53)</w:t>
      </w:r>
    </w:p>
    <w:p w14:paraId="6166AD58" w14:textId="77777777" w:rsidR="006A4CD7" w:rsidRPr="002B283E" w:rsidRDefault="006A4CD7" w:rsidP="002B283E">
      <w:pPr>
        <w:autoSpaceDE w:val="0"/>
        <w:autoSpaceDN w:val="0"/>
        <w:adjustRightInd w:val="0"/>
        <w:rPr>
          <w:rFonts w:cs="Times New Roman"/>
          <w:szCs w:val="24"/>
        </w:rPr>
      </w:pPr>
    </w:p>
    <w:p w14:paraId="5BF1A309"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52245CA" w14:textId="77777777" w:rsidR="006A4CD7" w:rsidRPr="002B283E" w:rsidRDefault="006A4CD7" w:rsidP="002B283E">
      <w:pPr>
        <w:autoSpaceDE w:val="0"/>
        <w:autoSpaceDN w:val="0"/>
        <w:adjustRightInd w:val="0"/>
        <w:rPr>
          <w:rFonts w:cs="Times New Roman"/>
          <w:szCs w:val="24"/>
        </w:rPr>
      </w:pPr>
    </w:p>
    <w:p w14:paraId="0EDC1A6C" w14:textId="772CCF85" w:rsidR="006A4CD7" w:rsidRPr="002B283E" w:rsidRDefault="006A4CD7" w:rsidP="00826E77">
      <w:pPr>
        <w:pStyle w:val="Heading2"/>
      </w:pPr>
      <w:r w:rsidRPr="002B283E">
        <w:br w:type="page"/>
      </w:r>
      <w:bookmarkStart w:id="98" w:name="_Toc221525140"/>
      <w:r w:rsidRPr="002B283E">
        <w:lastRenderedPageBreak/>
        <w:t>6.1 P</w:t>
      </w:r>
      <w:r w:rsidR="00496196" w:rsidRPr="002B283E">
        <w:t>reliminary</w:t>
      </w:r>
      <w:r w:rsidRPr="002B283E">
        <w:t xml:space="preserve"> J</w:t>
      </w:r>
      <w:r w:rsidR="00496196" w:rsidRPr="002B283E">
        <w:t xml:space="preserve">ury </w:t>
      </w:r>
      <w:r w:rsidRPr="002B283E">
        <w:t>I</w:t>
      </w:r>
      <w:r w:rsidR="00496196" w:rsidRPr="002B283E">
        <w:t>nstruction</w:t>
      </w:r>
      <w:r w:rsidRPr="002B283E">
        <w:t>—F</w:t>
      </w:r>
      <w:r w:rsidR="00496196" w:rsidRPr="002B283E">
        <w:t>ederal</w:t>
      </w:r>
      <w:r w:rsidRPr="002B283E">
        <w:t xml:space="preserve"> E</w:t>
      </w:r>
      <w:r w:rsidR="00496196" w:rsidRPr="002B283E">
        <w:t>mployers</w:t>
      </w:r>
      <w:r w:rsidRPr="002B283E">
        <w:t>’ L</w:t>
      </w:r>
      <w:r w:rsidR="00496196" w:rsidRPr="002B283E">
        <w:t>iability</w:t>
      </w:r>
      <w:r w:rsidRPr="002B283E">
        <w:t xml:space="preserve"> A</w:t>
      </w:r>
      <w:r w:rsidR="00496196" w:rsidRPr="002B283E">
        <w:t>ct</w:t>
      </w:r>
      <w:r w:rsidR="00432687" w:rsidRPr="002B283E">
        <w:t xml:space="preserve"> </w:t>
      </w:r>
      <w:r w:rsidRPr="002B283E">
        <w:t xml:space="preserve">(45 U.S.C. §§ 51 </w:t>
      </w:r>
      <w:r w:rsidR="00496196" w:rsidRPr="002B283E">
        <w:t>and</w:t>
      </w:r>
      <w:r w:rsidRPr="002B283E">
        <w:t xml:space="preserve"> 53)</w:t>
      </w:r>
      <w:bookmarkEnd w:id="98"/>
    </w:p>
    <w:p w14:paraId="2CEE5204" w14:textId="77777777" w:rsidR="006A4CD7" w:rsidRPr="002B283E" w:rsidRDefault="006A4CD7" w:rsidP="002B283E">
      <w:pPr>
        <w:autoSpaceDE w:val="0"/>
        <w:autoSpaceDN w:val="0"/>
        <w:adjustRightInd w:val="0"/>
        <w:rPr>
          <w:rFonts w:cs="Times New Roman"/>
          <w:szCs w:val="24"/>
        </w:rPr>
      </w:pPr>
    </w:p>
    <w:p w14:paraId="4DCD2072" w14:textId="53D8143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t>
      </w:r>
      <w:r w:rsidRPr="002B283E">
        <w:rPr>
          <w:rFonts w:cs="Times New Roman"/>
          <w:i/>
          <w:iCs/>
          <w:szCs w:val="24"/>
          <w:u w:val="single"/>
        </w:rPr>
        <w:t>name</w:t>
      </w:r>
      <w:r w:rsidRPr="002B283E">
        <w:rPr>
          <w:rFonts w:cs="Times New Roman"/>
          <w:szCs w:val="24"/>
        </w:rPr>
        <w:t xml:space="preserve">] claims that while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employed by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a railroad,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an injury caused by the negligence of the defendant</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 The defendant denies the plaintiff</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’s claim. To help you understand the evidence while it is being presented, I will now explain some of the legal terms you will hear during this trial.</w:t>
      </w:r>
    </w:p>
    <w:p w14:paraId="516289B5" w14:textId="77777777" w:rsidR="006A4CD7" w:rsidRPr="002B283E" w:rsidRDefault="006A4CD7" w:rsidP="002B283E">
      <w:pPr>
        <w:autoSpaceDE w:val="0"/>
        <w:autoSpaceDN w:val="0"/>
        <w:adjustRightInd w:val="0"/>
        <w:rPr>
          <w:rFonts w:cs="Times New Roman"/>
          <w:szCs w:val="24"/>
        </w:rPr>
      </w:pPr>
    </w:p>
    <w:p w14:paraId="4C49CBDB" w14:textId="12B242CF"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2B283E" w:rsidRDefault="006A4CD7" w:rsidP="002B283E">
      <w:pPr>
        <w:autoSpaceDE w:val="0"/>
        <w:autoSpaceDN w:val="0"/>
        <w:adjustRightInd w:val="0"/>
        <w:rPr>
          <w:rFonts w:cs="Times New Roman"/>
          <w:szCs w:val="24"/>
        </w:rPr>
      </w:pPr>
    </w:p>
    <w:p w14:paraId="1788A0DE" w14:textId="5BB9B988" w:rsidR="006A4CD7" w:rsidRPr="002B283E" w:rsidRDefault="006A4CD7" w:rsidP="002B283E">
      <w:pPr>
        <w:autoSpaceDE w:val="0"/>
        <w:autoSpaceDN w:val="0"/>
        <w:adjustRightInd w:val="0"/>
        <w:rPr>
          <w:rFonts w:cs="Times New Roman"/>
          <w:szCs w:val="24"/>
        </w:rPr>
      </w:pPr>
      <w:r w:rsidRPr="002B283E">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2B283E" w:rsidRDefault="006A4CD7" w:rsidP="002B283E">
      <w:pPr>
        <w:autoSpaceDE w:val="0"/>
        <w:autoSpaceDN w:val="0"/>
        <w:adjustRightInd w:val="0"/>
        <w:rPr>
          <w:rFonts w:cs="Times New Roman"/>
          <w:szCs w:val="24"/>
        </w:rPr>
      </w:pPr>
    </w:p>
    <w:p w14:paraId="086CF91C" w14:textId="238DA6C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claims that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should be required to pay damages because its negligence was a cause of an injury suffered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A87F6E">
        <w:rPr>
          <w:rFonts w:cs="Times New Roman"/>
          <w:szCs w:val="24"/>
        </w:rPr>
        <w:t xml:space="preserve">. </w:t>
      </w:r>
      <w:r w:rsidRPr="002B283E">
        <w:rPr>
          <w:rFonts w:cs="Times New Roman"/>
          <w:szCs w:val="24"/>
        </w:rPr>
        <w:t>It is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’s </w:t>
      </w:r>
      <w:r w:rsidRPr="002B283E">
        <w:rPr>
          <w:rFonts w:cs="Times New Roman"/>
          <w:szCs w:val="24"/>
        </w:rPr>
        <w:t>burden to prove that by a preponderance of the evidence</w:t>
      </w:r>
      <w:r w:rsidR="00A87F6E">
        <w:rPr>
          <w:rFonts w:cs="Times New Roman"/>
          <w:szCs w:val="24"/>
        </w:rPr>
        <w:t xml:space="preserve">. </w:t>
      </w:r>
      <w:r w:rsidRPr="002B283E">
        <w:rPr>
          <w:rFonts w:cs="Times New Roman"/>
          <w:szCs w:val="24"/>
        </w:rPr>
        <w:t>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on the other hand, claims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F22B65">
        <w:rPr>
          <w:rFonts w:cs="Times New Roman"/>
          <w:szCs w:val="24"/>
        </w:rPr>
        <w:t xml:space="preserve"> </w:t>
      </w:r>
      <w:r w:rsidRPr="002B283E">
        <w:rPr>
          <w:rFonts w:cs="Times New Roman"/>
          <w:szCs w:val="24"/>
        </w:rPr>
        <w:t>was negligent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’s</w:t>
      </w:r>
      <w:r w:rsidRPr="002B283E">
        <w:rPr>
          <w:rFonts w:cs="Times New Roman"/>
          <w:szCs w:val="24"/>
        </w:rPr>
        <w:t xml:space="preserve"> own negligence was a cause of the claimed injury</w:t>
      </w:r>
      <w:r w:rsidR="00A87F6E">
        <w:rPr>
          <w:rFonts w:cs="Times New Roman"/>
          <w:szCs w:val="24"/>
        </w:rPr>
        <w:t xml:space="preserve">. </w:t>
      </w:r>
      <w:r w:rsidRPr="002B283E">
        <w:rPr>
          <w:rFonts w:cs="Times New Roman"/>
          <w:szCs w:val="24"/>
        </w:rPr>
        <w:t xml:space="preserve">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has the burden of proving that by a preponderance of the evidence.</w:t>
      </w:r>
    </w:p>
    <w:p w14:paraId="579D4A2A" w14:textId="77777777" w:rsidR="006A4CD7" w:rsidRPr="002B283E" w:rsidRDefault="006A4CD7" w:rsidP="002B283E">
      <w:pPr>
        <w:autoSpaceDE w:val="0"/>
        <w:autoSpaceDN w:val="0"/>
        <w:adjustRightInd w:val="0"/>
        <w:rPr>
          <w:rFonts w:cs="Times New Roman"/>
          <w:szCs w:val="24"/>
        </w:rPr>
      </w:pPr>
    </w:p>
    <w:p w14:paraId="4833006E" w14:textId="2A3BBBB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Should you determine that negligence of both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and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were causes of an injury, then you will determine the percentage of fault attributable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67A44743" w14:textId="77777777" w:rsidR="006A4CD7" w:rsidRPr="002B283E" w:rsidRDefault="006A4CD7" w:rsidP="002B283E">
      <w:pPr>
        <w:autoSpaceDE w:val="0"/>
        <w:autoSpaceDN w:val="0"/>
        <w:adjustRightInd w:val="0"/>
        <w:rPr>
          <w:rFonts w:cs="Times New Roman"/>
          <w:szCs w:val="24"/>
        </w:rPr>
      </w:pPr>
    </w:p>
    <w:p w14:paraId="244EC43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CB050A" w14:textId="77777777" w:rsidR="006A4CD7" w:rsidRPr="002B283E" w:rsidRDefault="006A4CD7" w:rsidP="002B283E">
      <w:pPr>
        <w:autoSpaceDE w:val="0"/>
        <w:autoSpaceDN w:val="0"/>
        <w:adjustRightInd w:val="0"/>
        <w:rPr>
          <w:rFonts w:cs="Times New Roman"/>
          <w:szCs w:val="24"/>
        </w:rPr>
      </w:pPr>
    </w:p>
    <w:p w14:paraId="138D4945" w14:textId="454C8E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2B283E">
        <w:rPr>
          <w:rFonts w:cs="Times New Roman"/>
          <w:i/>
          <w:iCs/>
          <w:szCs w:val="24"/>
        </w:rPr>
        <w:t>See</w:t>
      </w:r>
      <w:r w:rsidRPr="002B283E">
        <w:rPr>
          <w:rFonts w:cs="Times New Roman"/>
          <w:szCs w:val="24"/>
        </w:rPr>
        <w:t xml:space="preserve"> Instruction 6.7 (Plaintiff’s Negligence—Reduction of Damages (45 U.S.C. § 53)).</w:t>
      </w:r>
    </w:p>
    <w:p w14:paraId="2E40A0A1" w14:textId="77777777" w:rsidR="006A4CD7" w:rsidRPr="002B283E" w:rsidRDefault="006A4CD7" w:rsidP="002B283E">
      <w:pPr>
        <w:autoSpaceDE w:val="0"/>
        <w:autoSpaceDN w:val="0"/>
        <w:adjustRightInd w:val="0"/>
        <w:rPr>
          <w:rFonts w:cs="Times New Roman"/>
          <w:szCs w:val="24"/>
        </w:rPr>
      </w:pPr>
    </w:p>
    <w:p w14:paraId="005EFBB0" w14:textId="2D28DDE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right to sue under FELA is limited to employees of a railroad common carrier engaged in interstate commerce. </w:t>
      </w:r>
      <w:r w:rsidRPr="002B283E">
        <w:rPr>
          <w:rFonts w:cs="Times New Roman"/>
          <w:i/>
          <w:iCs/>
          <w:szCs w:val="24"/>
        </w:rPr>
        <w:t>Forrester v. Am. Dieselectric</w:t>
      </w:r>
      <w:r w:rsidRPr="002B283E">
        <w:rPr>
          <w:rFonts w:cs="Times New Roman"/>
          <w:szCs w:val="24"/>
        </w:rPr>
        <w:t>,</w:t>
      </w:r>
      <w:r w:rsidRPr="002B283E">
        <w:rPr>
          <w:rFonts w:cs="Times New Roman"/>
          <w:i/>
          <w:iCs/>
          <w:szCs w:val="24"/>
        </w:rPr>
        <w:t xml:space="preserve"> Inc.,</w:t>
      </w:r>
      <w:r w:rsidRPr="002B283E">
        <w:rPr>
          <w:rFonts w:cs="Times New Roman"/>
          <w:szCs w:val="24"/>
        </w:rPr>
        <w:t xml:space="preserve"> 255 F.3d 1205, 1210 n.2 (9th Cir. 2001). No claim for relief is available under FELA against individuals. </w:t>
      </w:r>
      <w:r w:rsidRPr="002B283E">
        <w:rPr>
          <w:rFonts w:cs="Times New Roman"/>
          <w:i/>
          <w:iCs/>
          <w:szCs w:val="24"/>
        </w:rPr>
        <w:t>Rivera v. Nat’l R.R. Passenger Corp.</w:t>
      </w:r>
      <w:r w:rsidRPr="002B283E">
        <w:rPr>
          <w:rFonts w:cs="Times New Roman"/>
          <w:szCs w:val="24"/>
        </w:rPr>
        <w:t xml:space="preserve">, 331 F.3d 1074, 1081 (9th Cir. 2003). </w:t>
      </w:r>
    </w:p>
    <w:p w14:paraId="56EA2F15" w14:textId="77777777" w:rsidR="006A4CD7" w:rsidRPr="002B283E" w:rsidRDefault="006A4CD7" w:rsidP="002B283E">
      <w:pPr>
        <w:autoSpaceDE w:val="0"/>
        <w:autoSpaceDN w:val="0"/>
        <w:adjustRightInd w:val="0"/>
        <w:rPr>
          <w:rFonts w:cs="Times New Roman"/>
          <w:szCs w:val="24"/>
        </w:rPr>
      </w:pPr>
    </w:p>
    <w:p w14:paraId="711D0F8B" w14:textId="77777777" w:rsidR="00432687" w:rsidRPr="002B283E" w:rsidRDefault="00432687" w:rsidP="002B283E">
      <w:pPr>
        <w:autoSpaceDE w:val="0"/>
        <w:autoSpaceDN w:val="0"/>
        <w:adjustRightInd w:val="0"/>
        <w:rPr>
          <w:rFonts w:cs="Times New Roman"/>
          <w:szCs w:val="24"/>
        </w:rPr>
      </w:pPr>
    </w:p>
    <w:p w14:paraId="02EA4AB3" w14:textId="41E7465B" w:rsidR="006A4CD7" w:rsidRPr="002B283E" w:rsidRDefault="006A4CD7" w:rsidP="002B283E">
      <w:pPr>
        <w:pStyle w:val="Heading2"/>
      </w:pPr>
      <w:r w:rsidRPr="002B283E">
        <w:br w:type="page"/>
      </w:r>
      <w:bookmarkStart w:id="99" w:name="_Toc221525141"/>
      <w:r w:rsidRPr="002B283E">
        <w:lastRenderedPageBreak/>
        <w:t>6.2 FELA—E</w:t>
      </w:r>
      <w:r w:rsidR="00496196" w:rsidRPr="002B283E">
        <w:t>lements and</w:t>
      </w:r>
      <w:r w:rsidRPr="002B283E">
        <w:t xml:space="preserve"> B</w:t>
      </w:r>
      <w:r w:rsidR="00496196" w:rsidRPr="002B283E">
        <w:t>urden</w:t>
      </w:r>
      <w:r w:rsidRPr="002B283E">
        <w:t xml:space="preserve"> </w:t>
      </w:r>
      <w:r w:rsidR="00496196" w:rsidRPr="002B283E">
        <w:t>of</w:t>
      </w:r>
      <w:r w:rsidRPr="002B283E">
        <w:t xml:space="preserve"> P</w:t>
      </w:r>
      <w:r w:rsidR="00496196" w:rsidRPr="002B283E">
        <w:t>roof</w:t>
      </w:r>
      <w:bookmarkEnd w:id="99"/>
    </w:p>
    <w:p w14:paraId="71406A99" w14:textId="77777777" w:rsidR="006A4CD7" w:rsidRPr="002B283E" w:rsidRDefault="006A4CD7" w:rsidP="002B283E">
      <w:pPr>
        <w:autoSpaceDE w:val="0"/>
        <w:autoSpaceDN w:val="0"/>
        <w:adjustRightInd w:val="0"/>
        <w:rPr>
          <w:rFonts w:cs="Times New Roman"/>
          <w:szCs w:val="24"/>
        </w:rPr>
      </w:pPr>
    </w:p>
    <w:p w14:paraId="27DF7035" w14:textId="13D5DA16" w:rsidR="00DA7A2B" w:rsidRPr="002B283E" w:rsidRDefault="00DA7A2B" w:rsidP="002B283E">
      <w:pPr>
        <w:pStyle w:val="BodyText"/>
        <w:ind w:left="100" w:firstLine="720"/>
      </w:pPr>
      <w:r w:rsidRPr="002B283E">
        <w:t>[On</w:t>
      </w:r>
      <w:r w:rsidRPr="002B283E">
        <w:rPr>
          <w:spacing w:val="-3"/>
        </w:rPr>
        <w:t xml:space="preserve"> </w:t>
      </w:r>
      <w:r w:rsidRPr="002B283E">
        <w:t>the</w:t>
      </w:r>
      <w:r w:rsidRPr="002B283E">
        <w:rPr>
          <w:spacing w:val="-4"/>
        </w:rPr>
        <w:t xml:space="preserve"> </w:t>
      </w:r>
      <w:r w:rsidRPr="002B283E">
        <w:t>plaintiff’s</w:t>
      </w:r>
      <w:r w:rsidRPr="002B283E">
        <w:rPr>
          <w:spacing w:val="-3"/>
        </w:rPr>
        <w:t xml:space="preserve"> </w:t>
      </w:r>
      <w:r w:rsidRPr="002B283E">
        <w:t>[</w:t>
      </w:r>
      <w:r w:rsidRPr="002B283E">
        <w:rPr>
          <w:i/>
          <w:u w:val="single"/>
        </w:rPr>
        <w:t>specify</w:t>
      </w:r>
      <w:r w:rsidRPr="002B283E">
        <w:rPr>
          <w:i/>
          <w:spacing w:val="-4"/>
          <w:u w:val="single"/>
        </w:rPr>
        <w:t xml:space="preserve"> </w:t>
      </w:r>
      <w:r w:rsidRPr="002B283E">
        <w:rPr>
          <w:i/>
          <w:u w:val="single"/>
        </w:rPr>
        <w:t>type</w:t>
      </w:r>
      <w:r w:rsidRPr="002B283E">
        <w:rPr>
          <w:i/>
          <w:spacing w:val="-4"/>
          <w:u w:val="single"/>
        </w:rPr>
        <w:t xml:space="preserve"> </w:t>
      </w:r>
      <w:r w:rsidRPr="002B283E">
        <w:rPr>
          <w:i/>
          <w:u w:val="single"/>
        </w:rPr>
        <w:t>of</w:t>
      </w:r>
      <w:r w:rsidRPr="002B283E">
        <w:rPr>
          <w:i/>
          <w:spacing w:val="-3"/>
          <w:u w:val="single"/>
        </w:rPr>
        <w:t xml:space="preserve"> </w:t>
      </w:r>
      <w:r w:rsidRPr="002B283E">
        <w:rPr>
          <w:i/>
          <w:u w:val="single"/>
        </w:rPr>
        <w:t>claim</w:t>
      </w:r>
      <w:r w:rsidRPr="002B283E">
        <w:t>]</w:t>
      </w:r>
      <w:r w:rsidRPr="002B283E">
        <w:rPr>
          <w:spacing w:val="-2"/>
        </w:rPr>
        <w:t xml:space="preserve"> </w:t>
      </w:r>
      <w:r w:rsidRPr="002B283E">
        <w:t>claim,]</w:t>
      </w:r>
      <w:r w:rsidRPr="002B283E">
        <w:rPr>
          <w:spacing w:val="-4"/>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 both of the following elements by a preponderance of the evidence:</w:t>
      </w:r>
    </w:p>
    <w:p w14:paraId="41E079D2" w14:textId="77777777" w:rsidR="00DA7A2B" w:rsidRPr="002B283E" w:rsidRDefault="00DA7A2B" w:rsidP="002B283E">
      <w:pPr>
        <w:pStyle w:val="BodyText"/>
      </w:pPr>
    </w:p>
    <w:p w14:paraId="5BAE3B96" w14:textId="3CC5AF25"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Pr="002B283E">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 negligent;</w:t>
      </w:r>
      <w:r w:rsidRPr="002B283E">
        <w:rPr>
          <w:rFonts w:cs="Times New Roman"/>
          <w:spacing w:val="-1"/>
          <w:szCs w:val="24"/>
        </w:rPr>
        <w:t xml:space="preserve"> </w:t>
      </w:r>
      <w:r w:rsidRPr="002B283E">
        <w:rPr>
          <w:rFonts w:cs="Times New Roman"/>
          <w:spacing w:val="-5"/>
          <w:szCs w:val="24"/>
        </w:rPr>
        <w:t>and</w:t>
      </w:r>
    </w:p>
    <w:p w14:paraId="4630E294" w14:textId="77777777" w:rsidR="00DA7A2B" w:rsidRPr="002B283E" w:rsidRDefault="00DA7A2B" w:rsidP="002B283E">
      <w:pPr>
        <w:pStyle w:val="BodyText"/>
      </w:pPr>
    </w:p>
    <w:p w14:paraId="5C710F9F" w14:textId="3E74DBB1" w:rsidR="00DA7A2B" w:rsidRPr="002B283E" w:rsidRDefault="00DA7A2B" w:rsidP="002B283E">
      <w:pPr>
        <w:tabs>
          <w:tab w:val="left" w:pos="1539"/>
        </w:tabs>
        <w:rPr>
          <w:rFonts w:cs="Times New Roman"/>
          <w:szCs w:val="24"/>
        </w:rPr>
      </w:pPr>
      <w:r w:rsidRPr="002B283E">
        <w:rPr>
          <w:rFonts w:cs="Times New Roman"/>
          <w:szCs w:val="24"/>
        </w:rPr>
        <w:t xml:space="preserve">              Second,</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w:t>
      </w:r>
      <w:r w:rsidRPr="002B283E">
        <w:rPr>
          <w:rFonts w:cs="Times New Roman"/>
          <w:spacing w:val="-3"/>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cause</w:t>
      </w:r>
      <w:r w:rsidRPr="002B283E">
        <w:rPr>
          <w:rFonts w:cs="Times New Roman"/>
          <w:spacing w:val="-3"/>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an</w:t>
      </w:r>
      <w:r w:rsidRPr="002B283E">
        <w:rPr>
          <w:rFonts w:cs="Times New Roman"/>
          <w:spacing w:val="-2"/>
          <w:szCs w:val="24"/>
        </w:rPr>
        <w:t xml:space="preserve"> </w:t>
      </w:r>
      <w:r w:rsidRPr="002B283E">
        <w:rPr>
          <w:rFonts w:cs="Times New Roman"/>
          <w:szCs w:val="24"/>
        </w:rPr>
        <w:t>injury</w:t>
      </w:r>
      <w:r w:rsidRPr="002B283E">
        <w:rPr>
          <w:rFonts w:cs="Times New Roman"/>
          <w:spacing w:val="-2"/>
          <w:szCs w:val="24"/>
        </w:rPr>
        <w:t xml:space="preserve"> </w:t>
      </w:r>
      <w:r w:rsidRPr="002B283E">
        <w:rPr>
          <w:rFonts w:cs="Times New Roman"/>
          <w:szCs w:val="24"/>
        </w:rPr>
        <w:t>to</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plaintiff</w:t>
      </w:r>
      <w:r w:rsidR="00625593">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pacing w:val="-2"/>
          <w:szCs w:val="24"/>
        </w:rPr>
        <w:t>.</w:t>
      </w:r>
    </w:p>
    <w:p w14:paraId="78712804" w14:textId="77777777" w:rsidR="00DA7A2B" w:rsidRPr="002B283E" w:rsidRDefault="00DA7A2B" w:rsidP="002B283E">
      <w:pPr>
        <w:pStyle w:val="BodyText"/>
      </w:pPr>
    </w:p>
    <w:p w14:paraId="281918D1" w14:textId="0FC94260" w:rsidR="00DA7A2B" w:rsidRPr="002B283E" w:rsidRDefault="00DA7A2B" w:rsidP="002B283E">
      <w:pPr>
        <w:pStyle w:val="BodyText"/>
        <w:ind w:left="100" w:right="115"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your</w:t>
      </w:r>
      <w:r w:rsidRPr="002B283E">
        <w:rPr>
          <w:spacing w:val="-4"/>
        </w:rPr>
        <w:t xml:space="preserve"> </w:t>
      </w:r>
      <w:r w:rsidRPr="002B283E">
        <w:t>verdict</w:t>
      </w:r>
      <w:r w:rsidRPr="002B283E">
        <w:rPr>
          <w:spacing w:val="-1"/>
        </w:rPr>
        <w:t xml:space="preserve"> </w:t>
      </w:r>
      <w:r w:rsidRPr="002B283E">
        <w:t>should</w:t>
      </w:r>
      <w:r w:rsidRPr="002B283E">
        <w:rPr>
          <w:spacing w:val="-3"/>
        </w:rPr>
        <w:t xml:space="preserve"> </w:t>
      </w:r>
      <w:r w:rsidRPr="002B283E">
        <w:t>be</w:t>
      </w:r>
      <w:r w:rsidRPr="002B283E">
        <w:rPr>
          <w:spacing w:val="-4"/>
        </w:rPr>
        <w:t xml:space="preserve"> </w:t>
      </w:r>
      <w:r w:rsidRPr="002B283E">
        <w:t>for 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w:t>
      </w:r>
      <w:r w:rsidRPr="002B283E">
        <w:rPr>
          <w:spacing w:val="40"/>
        </w:rPr>
        <w:t xml:space="preserve"> </w:t>
      </w:r>
      <w:r w:rsidRPr="002B283E">
        <w:t>If, on the</w:t>
      </w:r>
      <w:r w:rsidRPr="002B283E">
        <w:rPr>
          <w:spacing w:val="-1"/>
        </w:rPr>
        <w:t xml:space="preserve"> </w:t>
      </w:r>
      <w:r w:rsidRPr="002B283E">
        <w:t>other</w:t>
      </w:r>
      <w:r w:rsidRPr="002B283E">
        <w:rPr>
          <w:spacing w:val="-1"/>
        </w:rPr>
        <w:t xml:space="preserve"> </w:t>
      </w:r>
      <w:r w:rsidRPr="002B283E">
        <w:t>hand, the</w:t>
      </w:r>
      <w:r w:rsidRPr="002B283E">
        <w:rPr>
          <w:spacing w:val="-1"/>
        </w:rPr>
        <w:t xml:space="preserve"> </w:t>
      </w:r>
      <w:r w:rsidRPr="002B283E">
        <w:t>plaintiff</w:t>
      </w:r>
      <w:r w:rsidRPr="002B283E">
        <w:rPr>
          <w:spacing w:val="-1"/>
        </w:rPr>
        <w:t xml:space="preserve"> </w:t>
      </w:r>
      <w:r w:rsidR="00625593" w:rsidRPr="002B283E">
        <w:t>[</w:t>
      </w:r>
      <w:r w:rsidR="00625593" w:rsidRPr="002B283E">
        <w:rPr>
          <w:i/>
          <w:iCs/>
          <w:u w:val="single"/>
        </w:rPr>
        <w:t>name</w:t>
      </w:r>
      <w:r w:rsidR="00625593" w:rsidRPr="002B283E">
        <w:t>]</w:t>
      </w:r>
      <w:r w:rsidR="00625593">
        <w:t xml:space="preserve"> </w:t>
      </w:r>
      <w:r w:rsidRPr="002B283E">
        <w:t>has failed to prove either</w:t>
      </w:r>
      <w:r w:rsidRPr="002B283E">
        <w:rPr>
          <w:spacing w:val="-1"/>
        </w:rPr>
        <w:t xml:space="preserve"> </w:t>
      </w:r>
      <w:r w:rsidRPr="002B283E">
        <w:t>of</w:t>
      </w:r>
      <w:r w:rsidRPr="002B283E">
        <w:rPr>
          <w:spacing w:val="-1"/>
        </w:rPr>
        <w:t xml:space="preserve"> </w:t>
      </w:r>
      <w:r w:rsidRPr="002B283E">
        <w:t>these</w:t>
      </w:r>
      <w:r w:rsidRPr="002B283E">
        <w:rPr>
          <w:spacing w:val="-1"/>
        </w:rPr>
        <w:t xml:space="preserve"> </w:t>
      </w:r>
      <w:r w:rsidRPr="002B283E">
        <w:t>elements, your verdict should be for the defendant</w:t>
      </w:r>
      <w:r w:rsidR="00625593">
        <w:t xml:space="preserve"> </w:t>
      </w:r>
      <w:r w:rsidR="00625593" w:rsidRPr="002B283E">
        <w:t>[</w:t>
      </w:r>
      <w:r w:rsidR="00625593" w:rsidRPr="002B283E">
        <w:rPr>
          <w:i/>
          <w:iCs/>
          <w:u w:val="single"/>
        </w:rPr>
        <w:t>name</w:t>
      </w:r>
      <w:r w:rsidR="00625593" w:rsidRPr="002B283E">
        <w:t>]</w:t>
      </w:r>
      <w:r w:rsidRPr="002B283E">
        <w:t>.</w:t>
      </w:r>
    </w:p>
    <w:p w14:paraId="65D9CB09" w14:textId="77777777" w:rsidR="00DA7A2B" w:rsidRPr="002B283E" w:rsidRDefault="00DA7A2B" w:rsidP="002B283E">
      <w:pPr>
        <w:pStyle w:val="BodyText"/>
      </w:pPr>
    </w:p>
    <w:p w14:paraId="6F4F128D" w14:textId="577F107E" w:rsidR="00DA7A2B" w:rsidRPr="002B283E" w:rsidRDefault="00DA7A2B" w:rsidP="002B283E">
      <w:pPr>
        <w:pStyle w:val="BodyText"/>
        <w:ind w:left="100" w:firstLine="720"/>
      </w:pP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following</w:t>
      </w:r>
      <w:r w:rsidRPr="002B283E">
        <w:rPr>
          <w:spacing w:val="-3"/>
        </w:rPr>
        <w:t xml:space="preserve"> </w:t>
      </w:r>
      <w:r w:rsidRPr="002B283E">
        <w:t>elements</w:t>
      </w:r>
      <w:r w:rsidRPr="002B283E">
        <w:rPr>
          <w:spacing w:val="-3"/>
        </w:rPr>
        <w:t xml:space="preserve"> </w:t>
      </w:r>
      <w:r w:rsidRPr="002B283E">
        <w:t>by</w:t>
      </w:r>
      <w:r w:rsidRPr="002B283E">
        <w:rPr>
          <w:spacing w:val="-1"/>
        </w:rPr>
        <w:t xml:space="preserve"> </w:t>
      </w:r>
      <w:r w:rsidRPr="002B283E">
        <w:t>a preponderance of the evidence:</w:t>
      </w:r>
    </w:p>
    <w:p w14:paraId="478795D8" w14:textId="77777777" w:rsidR="00DA7A2B" w:rsidRPr="002B283E" w:rsidRDefault="00DA7A2B" w:rsidP="002B283E">
      <w:pPr>
        <w:pStyle w:val="BodyText"/>
      </w:pPr>
    </w:p>
    <w:p w14:paraId="378C6B97" w14:textId="5036868E"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5"/>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negligent;</w:t>
      </w:r>
      <w:r w:rsidRPr="002B283E">
        <w:rPr>
          <w:rFonts w:cs="Times New Roman"/>
          <w:spacing w:val="-2"/>
          <w:szCs w:val="24"/>
        </w:rPr>
        <w:t xml:space="preserve"> </w:t>
      </w:r>
      <w:r w:rsidRPr="002B283E">
        <w:rPr>
          <w:rFonts w:cs="Times New Roman"/>
          <w:spacing w:val="-5"/>
          <w:szCs w:val="24"/>
        </w:rPr>
        <w:t>and</w:t>
      </w:r>
    </w:p>
    <w:p w14:paraId="21085DD1" w14:textId="77777777" w:rsidR="00DA7A2B" w:rsidRPr="002B283E" w:rsidRDefault="00DA7A2B" w:rsidP="002B283E">
      <w:pPr>
        <w:pStyle w:val="BodyText"/>
      </w:pPr>
    </w:p>
    <w:p w14:paraId="5903EC39" w14:textId="7E081970" w:rsidR="00DA7A2B" w:rsidRPr="002B283E" w:rsidRDefault="00DA7A2B" w:rsidP="00F22B65">
      <w:pPr>
        <w:pStyle w:val="BodyText"/>
        <w:tabs>
          <w:tab w:val="left" w:pos="2259"/>
        </w:tabs>
        <w:ind w:left="90" w:firstLine="730"/>
      </w:pPr>
      <w:r w:rsidRPr="002B283E">
        <w:t>Second, the</w:t>
      </w:r>
      <w:r w:rsidRPr="002B283E">
        <w:rPr>
          <w:spacing w:val="-6"/>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negligence</w:t>
      </w:r>
      <w:r w:rsidRPr="002B283E">
        <w:rPr>
          <w:spacing w:val="-1"/>
        </w:rPr>
        <w:t xml:space="preserve"> </w:t>
      </w:r>
      <w:r w:rsidRPr="002B283E">
        <w:t>was</w:t>
      </w:r>
      <w:r w:rsidRPr="002B283E">
        <w:rPr>
          <w:spacing w:val="-2"/>
        </w:rPr>
        <w:t xml:space="preserve"> </w:t>
      </w:r>
      <w:r w:rsidRPr="002B283E">
        <w:t>a</w:t>
      </w:r>
      <w:r w:rsidRPr="002B283E">
        <w:rPr>
          <w:spacing w:val="-3"/>
        </w:rPr>
        <w:t xml:space="preserve"> </w:t>
      </w:r>
      <w:r w:rsidRPr="002B283E">
        <w:t>cause</w:t>
      </w:r>
      <w:r w:rsidRPr="002B283E">
        <w:rPr>
          <w:spacing w:val="-4"/>
        </w:rPr>
        <w:t xml:space="preserve"> </w:t>
      </w:r>
      <w:r w:rsidRPr="002B283E">
        <w:t>of</w:t>
      </w:r>
      <w:r w:rsidRPr="002B283E">
        <w:rPr>
          <w:spacing w:val="-3"/>
        </w:rPr>
        <w:t xml:space="preserve"> </w:t>
      </w:r>
      <w:r w:rsidRPr="002B283E">
        <w:t>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own</w:t>
      </w:r>
      <w:r w:rsidRPr="002B283E">
        <w:rPr>
          <w:spacing w:val="-2"/>
        </w:rPr>
        <w:t xml:space="preserve"> injury.</w:t>
      </w:r>
    </w:p>
    <w:p w14:paraId="068A239F" w14:textId="77777777" w:rsidR="00DA7A2B" w:rsidRPr="002B283E" w:rsidRDefault="00DA7A2B" w:rsidP="002B283E">
      <w:pPr>
        <w:pStyle w:val="BodyText"/>
      </w:pPr>
    </w:p>
    <w:p w14:paraId="7C85473A" w14:textId="3E3B5996" w:rsidR="00DA7A2B" w:rsidRPr="002B283E" w:rsidRDefault="00DA7A2B" w:rsidP="002B283E">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w:t>
      </w:r>
      <w:r w:rsidRPr="002B283E">
        <w:rPr>
          <w:spacing w:val="-3"/>
        </w:rPr>
        <w:t xml:space="preserve"> </w:t>
      </w:r>
      <w:r w:rsidRPr="002B283E">
        <w:t>must</w:t>
      </w:r>
      <w:r w:rsidRPr="002B283E">
        <w:rPr>
          <w:spacing w:val="-1"/>
        </w:rPr>
        <w:t xml:space="preserve"> </w:t>
      </w:r>
      <w:r w:rsidRPr="002B283E">
        <w:t>reduce</w:t>
      </w:r>
      <w:r w:rsidRPr="002B283E">
        <w:rPr>
          <w:spacing w:val="-4"/>
        </w:rPr>
        <w:t xml:space="preserve"> </w:t>
      </w:r>
      <w:r w:rsidRPr="002B283E">
        <w:t>the percentage of fault attributable to the defendant</w:t>
      </w:r>
      <w:r w:rsidR="00625593">
        <w:t xml:space="preserve"> </w:t>
      </w:r>
      <w:r w:rsidR="00625593" w:rsidRPr="002B283E">
        <w:t>[</w:t>
      </w:r>
      <w:r w:rsidR="00625593" w:rsidRPr="002B283E">
        <w:rPr>
          <w:i/>
          <w:iCs/>
          <w:u w:val="single"/>
        </w:rPr>
        <w:t>name</w:t>
      </w:r>
      <w:r w:rsidR="00625593" w:rsidRPr="002B283E">
        <w:t>]</w:t>
      </w:r>
      <w:r w:rsidRPr="002B283E">
        <w:t>.</w:t>
      </w:r>
    </w:p>
    <w:p w14:paraId="200A6C51" w14:textId="77777777" w:rsidR="00DA7A2B" w:rsidRPr="002B283E" w:rsidRDefault="00DA7A2B" w:rsidP="002B283E">
      <w:pPr>
        <w:pStyle w:val="BodyText"/>
      </w:pPr>
    </w:p>
    <w:p w14:paraId="4AEA16CC" w14:textId="77777777" w:rsidR="00DA7A2B" w:rsidRPr="002B283E" w:rsidRDefault="00DA7A2B" w:rsidP="002B283E">
      <w:pPr>
        <w:jc w:val="center"/>
        <w:rPr>
          <w:rFonts w:cs="Times New Roman"/>
          <w:b/>
          <w:bCs/>
          <w:szCs w:val="24"/>
        </w:rPr>
      </w:pPr>
      <w:r w:rsidRPr="002B283E">
        <w:rPr>
          <w:rFonts w:cs="Times New Roman"/>
          <w:b/>
          <w:bCs/>
          <w:szCs w:val="24"/>
        </w:rPr>
        <w:t>Comment</w:t>
      </w:r>
    </w:p>
    <w:p w14:paraId="117972DE" w14:textId="77777777" w:rsidR="00DA7A2B" w:rsidRPr="002B283E" w:rsidRDefault="00DA7A2B" w:rsidP="002B283E">
      <w:pPr>
        <w:pStyle w:val="BodyText"/>
        <w:rPr>
          <w:b/>
        </w:rPr>
      </w:pPr>
    </w:p>
    <w:p w14:paraId="7B38718E" w14:textId="77777777" w:rsidR="00DA7A2B" w:rsidRPr="002B283E" w:rsidRDefault="00DA7A2B" w:rsidP="002B283E">
      <w:pPr>
        <w:pStyle w:val="BodyText"/>
        <w:ind w:left="100" w:right="115" w:firstLine="720"/>
      </w:pPr>
      <w:r w:rsidRPr="002B283E">
        <w:t>This</w:t>
      </w:r>
      <w:r w:rsidRPr="002B283E">
        <w:rPr>
          <w:spacing w:val="-4"/>
        </w:rPr>
        <w:t xml:space="preserve"> </w:t>
      </w:r>
      <w:r w:rsidRPr="002B283E">
        <w:t>instruction</w:t>
      </w:r>
      <w:r w:rsidRPr="002B283E">
        <w:rPr>
          <w:spacing w:val="-4"/>
        </w:rPr>
        <w:t xml:space="preserve"> </w:t>
      </w:r>
      <w:r w:rsidRPr="002B283E">
        <w:t>assumes</w:t>
      </w:r>
      <w:r w:rsidRPr="002B283E">
        <w:rPr>
          <w:spacing w:val="-4"/>
        </w:rPr>
        <w:t xml:space="preserve"> </w:t>
      </w:r>
      <w:r w:rsidRPr="002B283E">
        <w:t>the</w:t>
      </w:r>
      <w:r w:rsidRPr="002B283E">
        <w:rPr>
          <w:spacing w:val="-4"/>
        </w:rPr>
        <w:t xml:space="preserve"> </w:t>
      </w:r>
      <w:r w:rsidRPr="002B283E">
        <w:t>usual</w:t>
      </w:r>
      <w:r w:rsidRPr="002B283E">
        <w:rPr>
          <w:spacing w:val="-4"/>
        </w:rPr>
        <w:t xml:space="preserve"> </w:t>
      </w:r>
      <w:r w:rsidRPr="002B283E">
        <w:t>situation</w:t>
      </w:r>
      <w:r w:rsidRPr="002B283E">
        <w:rPr>
          <w:spacing w:val="-4"/>
        </w:rPr>
        <w:t xml:space="preserve"> </w:t>
      </w:r>
      <w:r w:rsidRPr="002B283E">
        <w:t>where</w:t>
      </w:r>
      <w:r w:rsidRPr="002B283E">
        <w:rPr>
          <w:spacing w:val="-3"/>
        </w:rPr>
        <w:t xml:space="preserve"> </w:t>
      </w:r>
      <w:r w:rsidRPr="002B283E">
        <w:t>the</w:t>
      </w:r>
      <w:r w:rsidRPr="002B283E">
        <w:rPr>
          <w:spacing w:val="-4"/>
        </w:rPr>
        <w:t xml:space="preserve"> </w:t>
      </w:r>
      <w:r w:rsidRPr="002B283E">
        <w:t>parties</w:t>
      </w:r>
      <w:r w:rsidRPr="002B283E">
        <w:rPr>
          <w:spacing w:val="-4"/>
        </w:rPr>
        <w:t xml:space="preserve"> </w:t>
      </w:r>
      <w:r w:rsidRPr="002B283E">
        <w:t>have</w:t>
      </w:r>
      <w:r w:rsidRPr="002B283E">
        <w:rPr>
          <w:spacing w:val="-4"/>
        </w:rPr>
        <w:t xml:space="preserve"> </w:t>
      </w:r>
      <w:r w:rsidRPr="002B283E">
        <w:t>stipulated</w:t>
      </w:r>
      <w:r w:rsidRPr="002B283E">
        <w:rPr>
          <w:spacing w:val="-4"/>
        </w:rPr>
        <w:t xml:space="preserve"> </w:t>
      </w:r>
      <w:r w:rsidRPr="002B283E">
        <w:t>that</w:t>
      </w:r>
      <w:r w:rsidRPr="002B283E">
        <w:rPr>
          <w:spacing w:val="-4"/>
        </w:rPr>
        <w:t xml:space="preserve"> </w:t>
      </w:r>
      <w:r w:rsidRPr="002B283E">
        <w:t>the defendant is a common carrier covered by the</w:t>
      </w:r>
      <w:r w:rsidRPr="002B283E">
        <w:rPr>
          <w:spacing w:val="-1"/>
        </w:rPr>
        <w:t xml:space="preserve"> </w:t>
      </w:r>
      <w:r w:rsidRPr="002B283E">
        <w:t>FELA</w:t>
      </w:r>
      <w:r w:rsidRPr="002B283E">
        <w:rPr>
          <w:spacing w:val="-13"/>
        </w:rPr>
        <w:t xml:space="preserve"> </w:t>
      </w:r>
      <w:r w:rsidRPr="002B283E">
        <w:t>and that the</w:t>
      </w:r>
      <w:r w:rsidRPr="002B283E">
        <w:rPr>
          <w:spacing w:val="-1"/>
        </w:rPr>
        <w:t xml:space="preserve"> </w:t>
      </w:r>
      <w:r w:rsidRPr="002B283E">
        <w:t>plaintiff was injured in the scope and course of employment with the defendant.</w:t>
      </w:r>
      <w:r w:rsidRPr="002B283E">
        <w:rPr>
          <w:spacing w:val="40"/>
        </w:rPr>
        <w:t xml:space="preserve"> </w:t>
      </w:r>
      <w:r w:rsidRPr="002B283E">
        <w:t>If these issues are in dispute, the instruction must be modified accordingly.</w:t>
      </w:r>
    </w:p>
    <w:p w14:paraId="3F695CA8" w14:textId="77777777" w:rsidR="00DA7A2B" w:rsidRPr="002B283E" w:rsidRDefault="00DA7A2B" w:rsidP="002B283E">
      <w:pPr>
        <w:pStyle w:val="BodyText"/>
      </w:pPr>
    </w:p>
    <w:p w14:paraId="48146D7A" w14:textId="0E1C3871" w:rsidR="00DA7A2B" w:rsidRPr="002B283E" w:rsidRDefault="00DA7A2B" w:rsidP="002B283E">
      <w:pPr>
        <w:pStyle w:val="BodyText"/>
        <w:ind w:left="100" w:firstLine="720"/>
      </w:pPr>
      <w:r w:rsidRPr="002B283E">
        <w:t>Use</w:t>
      </w:r>
      <w:r w:rsidRPr="002B283E">
        <w:rPr>
          <w:spacing w:val="-4"/>
        </w:rPr>
        <w:t xml:space="preserve"> </w:t>
      </w:r>
      <w:r w:rsidRPr="002B283E">
        <w:t>the</w:t>
      </w:r>
      <w:r w:rsidRPr="002B283E">
        <w:rPr>
          <w:spacing w:val="-4"/>
        </w:rPr>
        <w:t xml:space="preserve"> </w:t>
      </w:r>
      <w:r w:rsidRPr="002B283E">
        <w:t>second</w:t>
      </w:r>
      <w:r w:rsidRPr="002B283E">
        <w:rPr>
          <w:spacing w:val="-3"/>
        </w:rPr>
        <w:t xml:space="preserve"> </w:t>
      </w:r>
      <w:r w:rsidRPr="002B283E">
        <w:t>half</w:t>
      </w:r>
      <w:r w:rsidRPr="002B283E">
        <w:rPr>
          <w:spacing w:val="-4"/>
        </w:rPr>
        <w:t xml:space="preserve"> </w:t>
      </w:r>
      <w:r w:rsidRPr="002B283E">
        <w:t>of</w:t>
      </w:r>
      <w:r w:rsidRPr="002B283E">
        <w:rPr>
          <w:spacing w:val="-4"/>
        </w:rPr>
        <w:t xml:space="preserve"> </w:t>
      </w:r>
      <w:r w:rsidRPr="002B283E">
        <w:t>this</w:t>
      </w:r>
      <w:r w:rsidRPr="002B283E">
        <w:rPr>
          <w:spacing w:val="-3"/>
        </w:rPr>
        <w:t xml:space="preserve"> </w:t>
      </w:r>
      <w:r w:rsidRPr="002B283E">
        <w:t>instruction</w:t>
      </w:r>
      <w:r w:rsidRPr="002B283E">
        <w:rPr>
          <w:spacing w:val="-3"/>
        </w:rPr>
        <w:t xml:space="preserve"> </w:t>
      </w:r>
      <w:r w:rsidRPr="002B283E">
        <w:t>in</w:t>
      </w:r>
      <w:r w:rsidRPr="002B283E">
        <w:rPr>
          <w:spacing w:val="-3"/>
        </w:rPr>
        <w:t xml:space="preserve"> </w:t>
      </w:r>
      <w:r w:rsidRPr="002B283E">
        <w:t>conjunction</w:t>
      </w:r>
      <w:r w:rsidRPr="002B283E">
        <w:rPr>
          <w:spacing w:val="-3"/>
        </w:rPr>
        <w:t xml:space="preserve"> </w:t>
      </w:r>
      <w:r w:rsidRPr="002B283E">
        <w:t>with</w:t>
      </w:r>
      <w:r w:rsidRPr="002B283E">
        <w:rPr>
          <w:spacing w:val="-3"/>
        </w:rPr>
        <w:t xml:space="preserve"> </w:t>
      </w:r>
      <w:r w:rsidRPr="002B283E">
        <w:t>Instruction</w:t>
      </w:r>
      <w:r w:rsidRPr="002B283E">
        <w:rPr>
          <w:spacing w:val="-3"/>
        </w:rPr>
        <w:t xml:space="preserve"> </w:t>
      </w:r>
      <w:r w:rsidRPr="002B283E">
        <w:t>6.7</w:t>
      </w:r>
      <w:r w:rsidRPr="002B283E">
        <w:rPr>
          <w:spacing w:val="-3"/>
        </w:rPr>
        <w:t xml:space="preserve"> </w:t>
      </w:r>
      <w:r w:rsidRPr="002B283E">
        <w:t>(FELA—Plaintiff’s Negligence—Reduction of Damages).</w:t>
      </w:r>
    </w:p>
    <w:p w14:paraId="52B8AFFF" w14:textId="77777777" w:rsidR="00DA7A2B" w:rsidRPr="002B283E" w:rsidRDefault="00DA7A2B" w:rsidP="002B283E">
      <w:pPr>
        <w:pStyle w:val="BodyText"/>
        <w:ind w:left="100" w:firstLine="720"/>
      </w:pPr>
    </w:p>
    <w:p w14:paraId="124498D7" w14:textId="77777777" w:rsidR="00DA7A2B" w:rsidRPr="002B283E" w:rsidRDefault="00DA7A2B" w:rsidP="002B283E">
      <w:pPr>
        <w:pStyle w:val="BodyText"/>
        <w:ind w:left="100" w:firstLine="720"/>
      </w:pPr>
    </w:p>
    <w:p w14:paraId="5F924ADB" w14:textId="6CA8235B" w:rsidR="006A4CD7" w:rsidRPr="002B283E" w:rsidRDefault="00DA7A2B" w:rsidP="002B283E">
      <w:pPr>
        <w:autoSpaceDE w:val="0"/>
        <w:autoSpaceDN w:val="0"/>
        <w:adjustRightInd w:val="0"/>
        <w:jc w:val="right"/>
        <w:rPr>
          <w:rFonts w:cs="Times New Roman"/>
          <w:szCs w:val="24"/>
        </w:rPr>
      </w:pPr>
      <w:r w:rsidRPr="002B283E">
        <w:rPr>
          <w:rFonts w:cs="Times New Roman"/>
          <w:i/>
          <w:iCs/>
          <w:szCs w:val="24"/>
        </w:rPr>
        <w:t>Revised March 2025</w:t>
      </w:r>
    </w:p>
    <w:p w14:paraId="0A4E91AC" w14:textId="77777777" w:rsidR="006A4CD7" w:rsidRPr="002B283E" w:rsidRDefault="006A4CD7" w:rsidP="002B283E">
      <w:pPr>
        <w:autoSpaceDE w:val="0"/>
        <w:autoSpaceDN w:val="0"/>
        <w:adjustRightInd w:val="0"/>
        <w:rPr>
          <w:rFonts w:cs="Times New Roman"/>
          <w:szCs w:val="24"/>
        </w:rPr>
      </w:pPr>
    </w:p>
    <w:p w14:paraId="03372C5C" w14:textId="77777777" w:rsidR="00432687" w:rsidRPr="002B283E" w:rsidRDefault="00432687" w:rsidP="002B283E">
      <w:pPr>
        <w:autoSpaceDE w:val="0"/>
        <w:autoSpaceDN w:val="0"/>
        <w:adjustRightInd w:val="0"/>
        <w:rPr>
          <w:rFonts w:cs="Times New Roman"/>
          <w:szCs w:val="24"/>
        </w:rPr>
      </w:pPr>
    </w:p>
    <w:p w14:paraId="76AD73B9" w14:textId="77777777" w:rsidR="00C8117C" w:rsidRPr="002B283E" w:rsidRDefault="00C8117C" w:rsidP="002B283E">
      <w:pPr>
        <w:rPr>
          <w:rFonts w:cs="Times New Roman"/>
          <w:b/>
          <w:bCs/>
          <w:szCs w:val="24"/>
        </w:rPr>
      </w:pPr>
      <w:r w:rsidRPr="002B283E">
        <w:rPr>
          <w:rFonts w:cs="Times New Roman"/>
          <w:b/>
          <w:bCs/>
          <w:szCs w:val="24"/>
        </w:rPr>
        <w:br w:type="page"/>
      </w:r>
    </w:p>
    <w:p w14:paraId="773D8A26" w14:textId="1C830D73" w:rsidR="006A4CD7" w:rsidRPr="002B283E" w:rsidRDefault="006A4CD7" w:rsidP="002B283E">
      <w:pPr>
        <w:pStyle w:val="Heading2"/>
      </w:pPr>
      <w:bookmarkStart w:id="100" w:name="_Toc221525142"/>
      <w:r w:rsidRPr="002B283E">
        <w:lastRenderedPageBreak/>
        <w:t>6.3 FELA—N</w:t>
      </w:r>
      <w:r w:rsidR="00496196" w:rsidRPr="002B283E">
        <w:t>egligence</w:t>
      </w:r>
      <w:r w:rsidRPr="002B283E">
        <w:t xml:space="preserve"> D</w:t>
      </w:r>
      <w:r w:rsidR="00496196" w:rsidRPr="002B283E">
        <w:t>efined</w:t>
      </w:r>
      <w:bookmarkEnd w:id="100"/>
    </w:p>
    <w:p w14:paraId="0EE9D403" w14:textId="77777777" w:rsidR="006A4CD7" w:rsidRPr="002B283E" w:rsidRDefault="006A4CD7" w:rsidP="002B283E">
      <w:pPr>
        <w:autoSpaceDE w:val="0"/>
        <w:autoSpaceDN w:val="0"/>
        <w:adjustRightInd w:val="0"/>
        <w:rPr>
          <w:rFonts w:cs="Times New Roman"/>
          <w:szCs w:val="24"/>
        </w:rPr>
      </w:pPr>
    </w:p>
    <w:p w14:paraId="3B772279" w14:textId="0A9973EE"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2B283E" w:rsidRDefault="006A4CD7" w:rsidP="002B283E">
      <w:pPr>
        <w:autoSpaceDE w:val="0"/>
        <w:autoSpaceDN w:val="0"/>
        <w:adjustRightInd w:val="0"/>
        <w:rPr>
          <w:rFonts w:cs="Times New Roman"/>
          <w:szCs w:val="24"/>
        </w:rPr>
      </w:pPr>
    </w:p>
    <w:p w14:paraId="124C5988" w14:textId="77777777" w:rsidR="006A4CD7" w:rsidRPr="002B283E" w:rsidRDefault="006A4CD7" w:rsidP="002B283E">
      <w:pPr>
        <w:autoSpaceDE w:val="0"/>
        <w:autoSpaceDN w:val="0"/>
        <w:adjustRightInd w:val="0"/>
        <w:rPr>
          <w:rFonts w:cs="Times New Roman"/>
          <w:szCs w:val="24"/>
        </w:rPr>
      </w:pPr>
    </w:p>
    <w:p w14:paraId="16138289" w14:textId="77777777" w:rsidR="00C8117C" w:rsidRPr="002B283E" w:rsidRDefault="00C8117C" w:rsidP="002B283E">
      <w:pPr>
        <w:rPr>
          <w:rFonts w:cs="Times New Roman"/>
          <w:b/>
          <w:bCs/>
          <w:szCs w:val="24"/>
        </w:rPr>
      </w:pPr>
      <w:r w:rsidRPr="002B283E">
        <w:rPr>
          <w:rFonts w:cs="Times New Roman"/>
          <w:b/>
          <w:bCs/>
          <w:szCs w:val="24"/>
        </w:rPr>
        <w:br w:type="page"/>
      </w:r>
    </w:p>
    <w:p w14:paraId="05838A3B" w14:textId="5F983FF7" w:rsidR="006A4CD7" w:rsidRPr="002B283E" w:rsidRDefault="006A4CD7" w:rsidP="002B283E">
      <w:pPr>
        <w:pStyle w:val="Heading2"/>
      </w:pPr>
      <w:bookmarkStart w:id="101" w:name="_Toc221525143"/>
      <w:r w:rsidRPr="002B283E">
        <w:lastRenderedPageBreak/>
        <w:t>6.4 FELA—C</w:t>
      </w:r>
      <w:r w:rsidR="00496196" w:rsidRPr="002B283E">
        <w:t>ausation</w:t>
      </w:r>
      <w:bookmarkEnd w:id="101"/>
    </w:p>
    <w:p w14:paraId="225A9F59" w14:textId="77777777" w:rsidR="006A4CD7" w:rsidRPr="002B283E" w:rsidRDefault="006A4CD7" w:rsidP="002B283E">
      <w:pPr>
        <w:autoSpaceDE w:val="0"/>
        <w:autoSpaceDN w:val="0"/>
        <w:adjustRightInd w:val="0"/>
        <w:rPr>
          <w:rFonts w:cs="Times New Roman"/>
          <w:szCs w:val="24"/>
        </w:rPr>
      </w:pPr>
    </w:p>
    <w:p w14:paraId="099FEFB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2B283E" w:rsidRDefault="006A4CD7" w:rsidP="002B283E">
      <w:pPr>
        <w:autoSpaceDE w:val="0"/>
        <w:autoSpaceDN w:val="0"/>
        <w:adjustRightInd w:val="0"/>
        <w:rPr>
          <w:rFonts w:cs="Times New Roman"/>
          <w:szCs w:val="24"/>
        </w:rPr>
      </w:pPr>
    </w:p>
    <w:p w14:paraId="741EEF7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1D4F221" w14:textId="77777777" w:rsidR="006A4CD7" w:rsidRPr="002B283E" w:rsidRDefault="006A4CD7" w:rsidP="002B283E">
      <w:pPr>
        <w:autoSpaceDE w:val="0"/>
        <w:autoSpaceDN w:val="0"/>
        <w:adjustRightInd w:val="0"/>
        <w:rPr>
          <w:rFonts w:cs="Times New Roman"/>
          <w:szCs w:val="24"/>
        </w:rPr>
      </w:pPr>
    </w:p>
    <w:p w14:paraId="4159D6CC" w14:textId="3C0115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approved a similar instruction in </w:t>
      </w:r>
      <w:r w:rsidRPr="002B283E">
        <w:rPr>
          <w:rFonts w:cs="Times New Roman"/>
          <w:i/>
          <w:iCs/>
          <w:szCs w:val="24"/>
        </w:rPr>
        <w:t>CSX Transportation, Inc. v. McBride</w:t>
      </w:r>
      <w:r w:rsidRPr="002B283E">
        <w:rPr>
          <w:rFonts w:cs="Times New Roman"/>
          <w:szCs w:val="24"/>
        </w:rPr>
        <w:t xml:space="preserve">, 564 U.S. 685 (2011) (holding that in </w:t>
      </w:r>
      <w:r w:rsidR="00625593">
        <w:rPr>
          <w:rFonts w:cs="Times New Roman"/>
          <w:szCs w:val="24"/>
        </w:rPr>
        <w:t xml:space="preserve">a </w:t>
      </w:r>
      <w:r w:rsidRPr="002B283E">
        <w:rPr>
          <w:rFonts w:cs="Times New Roman"/>
          <w:szCs w:val="24"/>
        </w:rPr>
        <w:t xml:space="preserve">FELA case, railroad employee need only establish that </w:t>
      </w:r>
      <w:r w:rsidR="00625593">
        <w:rPr>
          <w:rFonts w:cs="Times New Roman"/>
          <w:szCs w:val="24"/>
        </w:rPr>
        <w:t xml:space="preserve">the </w:t>
      </w:r>
      <w:r w:rsidRPr="002B283E">
        <w:rPr>
          <w:rFonts w:cs="Times New Roman"/>
          <w:szCs w:val="24"/>
        </w:rPr>
        <w:t xml:space="preserve">railroad’s negligence played </w:t>
      </w:r>
      <w:r w:rsidR="00625593">
        <w:rPr>
          <w:rFonts w:cs="Times New Roman"/>
          <w:szCs w:val="24"/>
        </w:rPr>
        <w:t xml:space="preserve">a </w:t>
      </w:r>
      <w:r w:rsidRPr="002B283E">
        <w:rPr>
          <w:rFonts w:cs="Times New Roman"/>
          <w:szCs w:val="24"/>
        </w:rPr>
        <w:t>part, no matter how small, in bringing about injury to satisfy causation element).</w:t>
      </w:r>
    </w:p>
    <w:p w14:paraId="2E921EC9" w14:textId="77777777" w:rsidR="006A4CD7" w:rsidRPr="002B283E" w:rsidRDefault="006A4CD7" w:rsidP="002B283E">
      <w:pPr>
        <w:autoSpaceDE w:val="0"/>
        <w:autoSpaceDN w:val="0"/>
        <w:adjustRightInd w:val="0"/>
        <w:rPr>
          <w:rFonts w:cs="Times New Roman"/>
          <w:szCs w:val="24"/>
        </w:rPr>
      </w:pPr>
    </w:p>
    <w:p w14:paraId="36B3D438" w14:textId="77777777" w:rsidR="006A4CD7" w:rsidRPr="002B283E" w:rsidRDefault="006A4CD7" w:rsidP="002B283E">
      <w:pPr>
        <w:autoSpaceDE w:val="0"/>
        <w:autoSpaceDN w:val="0"/>
        <w:adjustRightInd w:val="0"/>
        <w:rPr>
          <w:rFonts w:cs="Times New Roman"/>
          <w:szCs w:val="24"/>
        </w:rPr>
      </w:pPr>
    </w:p>
    <w:p w14:paraId="2BE141F6" w14:textId="77777777" w:rsidR="00C8117C" w:rsidRPr="002B283E" w:rsidRDefault="00C8117C" w:rsidP="002B283E">
      <w:pPr>
        <w:rPr>
          <w:rFonts w:cs="Times New Roman"/>
          <w:b/>
          <w:bCs/>
          <w:szCs w:val="24"/>
        </w:rPr>
      </w:pPr>
      <w:r w:rsidRPr="002B283E">
        <w:rPr>
          <w:rFonts w:cs="Times New Roman"/>
          <w:b/>
          <w:bCs/>
          <w:szCs w:val="24"/>
        </w:rPr>
        <w:br w:type="page"/>
      </w:r>
    </w:p>
    <w:p w14:paraId="7BAC3721" w14:textId="4391021A" w:rsidR="006A4CD7" w:rsidRPr="002B283E" w:rsidRDefault="006A4CD7" w:rsidP="002B283E">
      <w:pPr>
        <w:pStyle w:val="Heading2"/>
      </w:pPr>
      <w:bookmarkStart w:id="102" w:name="_Toc221525144"/>
      <w:r w:rsidRPr="002B283E">
        <w:lastRenderedPageBreak/>
        <w:t>6.5 FELA—P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w:t>
      </w:r>
      <w:bookmarkEnd w:id="102"/>
    </w:p>
    <w:p w14:paraId="18CBF91B" w14:textId="77777777" w:rsidR="006A4CD7" w:rsidRPr="002B283E" w:rsidRDefault="006A4CD7" w:rsidP="002B283E">
      <w:pPr>
        <w:autoSpaceDE w:val="0"/>
        <w:autoSpaceDN w:val="0"/>
        <w:adjustRightInd w:val="0"/>
        <w:rPr>
          <w:rFonts w:cs="Times New Roman"/>
          <w:szCs w:val="24"/>
        </w:rPr>
      </w:pPr>
    </w:p>
    <w:p w14:paraId="64204E0F" w14:textId="16EFDF5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is not negligent simply because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upon the request or direction of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worked at a dangerous job, or in a dangerous place, or under dangerous conditions.</w:t>
      </w:r>
    </w:p>
    <w:p w14:paraId="465F79B4" w14:textId="77777777" w:rsidR="006A4CD7" w:rsidRPr="002B283E" w:rsidRDefault="006A4CD7" w:rsidP="002B283E">
      <w:pPr>
        <w:autoSpaceDE w:val="0"/>
        <w:autoSpaceDN w:val="0"/>
        <w:adjustRightInd w:val="0"/>
        <w:rPr>
          <w:rFonts w:cs="Times New Roman"/>
          <w:szCs w:val="24"/>
        </w:rPr>
      </w:pPr>
    </w:p>
    <w:p w14:paraId="57CCC994" w14:textId="77777777" w:rsidR="006A4CD7" w:rsidRPr="002B283E" w:rsidRDefault="006A4CD7" w:rsidP="002B283E">
      <w:pPr>
        <w:autoSpaceDE w:val="0"/>
        <w:autoSpaceDN w:val="0"/>
        <w:adjustRightInd w:val="0"/>
        <w:rPr>
          <w:rFonts w:cs="Times New Roman"/>
          <w:szCs w:val="24"/>
        </w:rPr>
      </w:pPr>
    </w:p>
    <w:p w14:paraId="665E0EC7" w14:textId="3EC87983" w:rsidR="006A4CD7" w:rsidRPr="002B283E" w:rsidRDefault="006A4CD7" w:rsidP="002B283E">
      <w:pPr>
        <w:pStyle w:val="Heading2"/>
      </w:pPr>
      <w:r w:rsidRPr="002B283E">
        <w:br w:type="page"/>
      </w:r>
      <w:bookmarkStart w:id="103" w:name="_Toc221525145"/>
      <w:r w:rsidRPr="002B283E">
        <w:lastRenderedPageBreak/>
        <w:t>6.6 FELA—D</w:t>
      </w:r>
      <w:r w:rsidR="004272A6" w:rsidRPr="002B283E">
        <w:t>amages</w:t>
      </w:r>
      <w:bookmarkEnd w:id="103"/>
    </w:p>
    <w:p w14:paraId="4169C43B" w14:textId="77777777" w:rsidR="006A4CD7" w:rsidRPr="002B283E" w:rsidRDefault="006A4CD7" w:rsidP="002B283E">
      <w:pPr>
        <w:autoSpaceDE w:val="0"/>
        <w:autoSpaceDN w:val="0"/>
        <w:adjustRightInd w:val="0"/>
        <w:rPr>
          <w:rFonts w:cs="Times New Roman"/>
          <w:szCs w:val="24"/>
        </w:rPr>
      </w:pPr>
    </w:p>
    <w:p w14:paraId="1199E06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2A882" w14:textId="77777777" w:rsidR="006A4CD7" w:rsidRPr="002B283E" w:rsidRDefault="006A4CD7" w:rsidP="002B283E">
      <w:pPr>
        <w:autoSpaceDE w:val="0"/>
        <w:autoSpaceDN w:val="0"/>
        <w:adjustRightInd w:val="0"/>
        <w:rPr>
          <w:rFonts w:cs="Times New Roman"/>
          <w:szCs w:val="24"/>
        </w:rPr>
      </w:pPr>
    </w:p>
    <w:p w14:paraId="33475BF1" w14:textId="31370603"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5.1 (Damages—Proof)</w:t>
      </w:r>
      <w:r w:rsidR="0081679E">
        <w:rPr>
          <w:rFonts w:cs="Times New Roman"/>
          <w:szCs w:val="24"/>
        </w:rPr>
        <w:t xml:space="preserve">; </w:t>
      </w:r>
      <w:r w:rsidR="0081679E" w:rsidRPr="002B283E">
        <w:rPr>
          <w:rFonts w:cs="Times New Roman"/>
          <w:szCs w:val="24"/>
        </w:rPr>
        <w:t xml:space="preserve">Instruction </w:t>
      </w:r>
      <w:r w:rsidRPr="002B283E">
        <w:rPr>
          <w:rFonts w:cs="Times New Roman"/>
          <w:szCs w:val="24"/>
        </w:rPr>
        <w:t>5.2 (Measures of Types of Damages), 5.3 (Damages—Mitigation)</w:t>
      </w:r>
      <w:r w:rsidR="0081679E">
        <w:rPr>
          <w:rFonts w:cs="Times New Roman"/>
          <w:szCs w:val="24"/>
        </w:rPr>
        <w:t xml:space="preserve">; </w:t>
      </w:r>
      <w:r w:rsidR="0081679E" w:rsidRPr="002B283E">
        <w:rPr>
          <w:rFonts w:cs="Times New Roman"/>
          <w:szCs w:val="24"/>
        </w:rPr>
        <w:t xml:space="preserve">Instruction </w:t>
      </w:r>
      <w:r w:rsidRPr="002B283E">
        <w:rPr>
          <w:rFonts w:cs="Times New Roman"/>
          <w:szCs w:val="24"/>
        </w:rPr>
        <w:t>5.4 (Damages Arising in the Future—Discount to Present Cash Value).</w:t>
      </w:r>
    </w:p>
    <w:p w14:paraId="539F08C9" w14:textId="77777777" w:rsidR="006A4CD7" w:rsidRPr="002B283E" w:rsidRDefault="006A4CD7" w:rsidP="002B283E">
      <w:pPr>
        <w:autoSpaceDE w:val="0"/>
        <w:autoSpaceDN w:val="0"/>
        <w:adjustRightInd w:val="0"/>
        <w:rPr>
          <w:rFonts w:cs="Times New Roman"/>
          <w:szCs w:val="24"/>
        </w:rPr>
      </w:pPr>
    </w:p>
    <w:p w14:paraId="1720F7DD" w14:textId="053FCBB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those </w:t>
      </w:r>
      <w:r w:rsidR="00E763D2" w:rsidRPr="002B283E">
        <w:rPr>
          <w:rFonts w:cs="Times New Roman"/>
          <w:szCs w:val="24"/>
        </w:rPr>
        <w:t>cases</w:t>
      </w:r>
      <w:r w:rsidR="00625593">
        <w:rPr>
          <w:rFonts w:cs="Times New Roman"/>
          <w:szCs w:val="24"/>
        </w:rPr>
        <w:t xml:space="preserve"> </w:t>
      </w:r>
      <w:r w:rsidRPr="002B283E">
        <w:rPr>
          <w:rFonts w:cs="Times New Roman"/>
          <w:szCs w:val="24"/>
        </w:rPr>
        <w:t xml:space="preserve">under FELA where damages are recoverable arising out of the fear of contracting cancer, the Supreme Court has held that it is reversible error to refuse an instruction that such fear must be “genuine and serious.” </w:t>
      </w:r>
      <w:r w:rsidRPr="002B283E">
        <w:rPr>
          <w:rFonts w:cs="Times New Roman"/>
          <w:i/>
          <w:iCs/>
          <w:szCs w:val="24"/>
        </w:rPr>
        <w:t>CSX Transportation, Inc. v. Thurston Hensley</w:t>
      </w:r>
      <w:r w:rsidRPr="002B283E">
        <w:rPr>
          <w:rFonts w:cs="Times New Roman"/>
          <w:szCs w:val="24"/>
        </w:rPr>
        <w:t>,</w:t>
      </w:r>
      <w:r w:rsidRPr="002B283E">
        <w:rPr>
          <w:rFonts w:cs="Times New Roman"/>
          <w:i/>
          <w:iCs/>
          <w:szCs w:val="24"/>
        </w:rPr>
        <w:t xml:space="preserve"> </w:t>
      </w:r>
      <w:r w:rsidRPr="002B283E">
        <w:rPr>
          <w:rFonts w:cs="Times New Roman"/>
          <w:szCs w:val="24"/>
        </w:rPr>
        <w:t>556 U.S. 838, 839 (2009).</w:t>
      </w:r>
    </w:p>
    <w:p w14:paraId="66D1A1E3" w14:textId="77777777" w:rsidR="006A4CD7" w:rsidRPr="002B283E" w:rsidRDefault="006A4CD7" w:rsidP="002B283E">
      <w:pPr>
        <w:autoSpaceDE w:val="0"/>
        <w:autoSpaceDN w:val="0"/>
        <w:adjustRightInd w:val="0"/>
        <w:rPr>
          <w:rFonts w:cs="Times New Roman"/>
          <w:szCs w:val="24"/>
        </w:rPr>
      </w:pPr>
    </w:p>
    <w:p w14:paraId="133C820B" w14:textId="77777777" w:rsidR="00432687" w:rsidRPr="002B283E" w:rsidRDefault="00432687" w:rsidP="002B283E">
      <w:pPr>
        <w:autoSpaceDE w:val="0"/>
        <w:autoSpaceDN w:val="0"/>
        <w:adjustRightInd w:val="0"/>
        <w:rPr>
          <w:rFonts w:cs="Times New Roman"/>
          <w:szCs w:val="24"/>
        </w:rPr>
      </w:pPr>
    </w:p>
    <w:p w14:paraId="1355AE26" w14:textId="77777777" w:rsidR="00C8117C" w:rsidRPr="002B283E" w:rsidRDefault="00C8117C" w:rsidP="002B283E">
      <w:pPr>
        <w:rPr>
          <w:rFonts w:cs="Times New Roman"/>
          <w:b/>
          <w:bCs/>
          <w:szCs w:val="24"/>
        </w:rPr>
      </w:pPr>
      <w:r w:rsidRPr="002B283E">
        <w:rPr>
          <w:rFonts w:cs="Times New Roman"/>
          <w:b/>
          <w:bCs/>
          <w:szCs w:val="24"/>
        </w:rPr>
        <w:br w:type="page"/>
      </w:r>
    </w:p>
    <w:p w14:paraId="5906AC96" w14:textId="4765451E" w:rsidR="006A4CD7" w:rsidRPr="002B283E" w:rsidRDefault="006A4CD7" w:rsidP="00826E77">
      <w:pPr>
        <w:pStyle w:val="Heading2"/>
      </w:pPr>
      <w:bookmarkStart w:id="104" w:name="_Toc221525146"/>
      <w:r w:rsidRPr="002B283E">
        <w:lastRenderedPageBreak/>
        <w:t>6.7 FELA—P</w:t>
      </w:r>
      <w:r w:rsidR="004272A6" w:rsidRPr="002B283E">
        <w:t>laintiff</w:t>
      </w:r>
      <w:r w:rsidRPr="002B283E">
        <w:t>’</w:t>
      </w:r>
      <w:r w:rsidR="004272A6" w:rsidRPr="002B283E">
        <w:t>s</w:t>
      </w:r>
      <w:r w:rsidRPr="002B283E">
        <w:t xml:space="preserve"> N</w:t>
      </w:r>
      <w:r w:rsidR="004272A6" w:rsidRPr="002B283E">
        <w:t>egligence</w:t>
      </w:r>
      <w:r w:rsidRPr="002B283E">
        <w:t>—</w:t>
      </w:r>
      <w:r w:rsidR="004272A6" w:rsidRPr="002B283E">
        <w:t>Reduction of Damages</w:t>
      </w:r>
      <w:r w:rsidR="00DC3111" w:rsidRPr="002B283E">
        <w:t xml:space="preserve"> </w:t>
      </w:r>
      <w:r w:rsidRPr="002B283E">
        <w:t>(45 U.S.C. § 53)</w:t>
      </w:r>
      <w:bookmarkEnd w:id="104"/>
    </w:p>
    <w:p w14:paraId="7017ECF4" w14:textId="77777777" w:rsidR="006A4CD7" w:rsidRPr="002B283E" w:rsidRDefault="006A4CD7" w:rsidP="002B283E">
      <w:pPr>
        <w:autoSpaceDE w:val="0"/>
        <w:autoSpaceDN w:val="0"/>
        <w:adjustRightInd w:val="0"/>
        <w:rPr>
          <w:rFonts w:cs="Times New Roman"/>
          <w:szCs w:val="24"/>
        </w:rPr>
      </w:pPr>
    </w:p>
    <w:p w14:paraId="60EA2D26" w14:textId="391D467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decide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was </w:t>
      </w:r>
      <w:r w:rsidR="00504029" w:rsidRPr="002B283E">
        <w:rPr>
          <w:rFonts w:cs="Times New Roman"/>
          <w:szCs w:val="24"/>
        </w:rPr>
        <w:t>negligent,</w:t>
      </w:r>
      <w:r w:rsidRPr="002B283E">
        <w:rPr>
          <w:rFonts w:cs="Times New Roman"/>
          <w:szCs w:val="24"/>
        </w:rPr>
        <w:t xml:space="preserve">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’s negligence was a cause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injury you must then decide to what extent [his] [her]</w:t>
      </w:r>
      <w:r w:rsidR="001B5F75" w:rsidRPr="001B5F75">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w:t>
      </w:r>
      <w:r w:rsidR="00625593">
        <w:rPr>
          <w:rFonts w:cs="Times New Roman"/>
          <w:i/>
          <w:iCs/>
          <w:szCs w:val="24"/>
          <w:u w:val="single"/>
        </w:rPr>
        <w:t xml:space="preserve"> </w:t>
      </w:r>
      <w:r w:rsidR="007A0652" w:rsidRPr="002B283E">
        <w:rPr>
          <w:rFonts w:cs="Times New Roman"/>
          <w:i/>
          <w:iCs/>
          <w:szCs w:val="24"/>
          <w:u w:val="single"/>
        </w:rPr>
        <w:t>pronoun</w:t>
      </w:r>
      <w:r w:rsidR="007A0652" w:rsidRPr="002B283E">
        <w:rPr>
          <w:rFonts w:cs="Times New Roman"/>
          <w:szCs w:val="24"/>
        </w:rPr>
        <w:t>]</w:t>
      </w:r>
      <w:r w:rsidR="007A0652">
        <w:rPr>
          <w:rFonts w:cs="Times New Roman"/>
          <w:szCs w:val="24"/>
        </w:rPr>
        <w:t xml:space="preserve"> </w:t>
      </w:r>
      <w:r w:rsidRPr="002B283E">
        <w:rPr>
          <w:rFonts w:cs="Times New Roman"/>
          <w:szCs w:val="24"/>
        </w:rPr>
        <w:t>injury was caused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This should be fixed as a percentage—for example, 10%, 50%, 90%. The percentage of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if any, is for you to decide. You must then write that percentage on the appropriate place on the verdict form. Do not make any reduction in the amount of damages that you award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I will reduce the damages that you award by the percentage of negligence that you assign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12D2E2D9" w14:textId="77777777" w:rsidR="006A4CD7" w:rsidRPr="002B283E" w:rsidRDefault="006A4CD7" w:rsidP="002B283E">
      <w:pPr>
        <w:rPr>
          <w:rFonts w:cs="Times New Roman"/>
          <w:szCs w:val="24"/>
        </w:rPr>
      </w:pPr>
    </w:p>
    <w:p w14:paraId="3F5562B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B8F60C" w14:textId="77777777" w:rsidR="006A4CD7" w:rsidRPr="002B283E" w:rsidRDefault="006A4CD7" w:rsidP="002B283E">
      <w:pPr>
        <w:autoSpaceDE w:val="0"/>
        <w:autoSpaceDN w:val="0"/>
        <w:adjustRightInd w:val="0"/>
        <w:rPr>
          <w:rFonts w:cs="Times New Roman"/>
          <w:szCs w:val="24"/>
        </w:rPr>
      </w:pPr>
    </w:p>
    <w:p w14:paraId="57C415F5" w14:textId="3324A61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Under FELA, the same standard of causation applies to a plaintiff’s comparative negligence as to defendant’s negligence. </w:t>
      </w:r>
      <w:r w:rsidRPr="002B283E">
        <w:rPr>
          <w:rFonts w:cs="Times New Roman"/>
          <w:i/>
          <w:iCs/>
          <w:szCs w:val="24"/>
        </w:rPr>
        <w:t>Norfolk S. Ry. Co. v. Sorrell</w:t>
      </w:r>
      <w:r w:rsidRPr="002B283E">
        <w:rPr>
          <w:rFonts w:cs="Times New Roman"/>
          <w:szCs w:val="24"/>
        </w:rPr>
        <w:t>, 549 U.S. 158, 171 (2007).</w:t>
      </w:r>
    </w:p>
    <w:p w14:paraId="188B2B8D" w14:textId="77777777" w:rsidR="006A4CD7" w:rsidRPr="002B283E" w:rsidRDefault="006A4CD7" w:rsidP="002B283E">
      <w:pPr>
        <w:autoSpaceDE w:val="0"/>
        <w:autoSpaceDN w:val="0"/>
        <w:adjustRightInd w:val="0"/>
        <w:rPr>
          <w:rFonts w:cs="Times New Roman"/>
          <w:szCs w:val="24"/>
        </w:rPr>
      </w:pPr>
    </w:p>
    <w:p w14:paraId="2E12880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For a discussion applying the FELA comparative negligence doctrine in a Jones Act case, </w:t>
      </w:r>
      <w:r w:rsidRPr="008A04C2">
        <w:rPr>
          <w:rFonts w:cs="Times New Roman"/>
          <w:szCs w:val="24"/>
        </w:rPr>
        <w:t>see</w:t>
      </w:r>
      <w:r w:rsidRPr="002B283E">
        <w:rPr>
          <w:rFonts w:cs="Times New Roman"/>
          <w:i/>
          <w:iCs/>
          <w:szCs w:val="24"/>
        </w:rPr>
        <w:t xml:space="preserve"> Kopczynski v. The Jacqueline</w:t>
      </w:r>
      <w:r w:rsidRPr="002B283E">
        <w:rPr>
          <w:rFonts w:cs="Times New Roman"/>
          <w:szCs w:val="24"/>
        </w:rPr>
        <w:t>, 742 F.2d 555, 558 (9th Cir. 1984).</w:t>
      </w:r>
    </w:p>
    <w:p w14:paraId="17F868A8" w14:textId="77777777" w:rsidR="006A4CD7" w:rsidRPr="002B283E" w:rsidRDefault="006A4CD7" w:rsidP="002B283E">
      <w:pPr>
        <w:autoSpaceDE w:val="0"/>
        <w:autoSpaceDN w:val="0"/>
        <w:adjustRightInd w:val="0"/>
        <w:rPr>
          <w:rFonts w:cs="Times New Roman"/>
          <w:szCs w:val="24"/>
        </w:rPr>
      </w:pPr>
    </w:p>
    <w:p w14:paraId="2FD3A3CA" w14:textId="20045A95" w:rsidR="006A4CD7" w:rsidRPr="002B283E" w:rsidRDefault="006A4CD7" w:rsidP="002B283E">
      <w:pPr>
        <w:autoSpaceDE w:val="0"/>
        <w:autoSpaceDN w:val="0"/>
        <w:adjustRightInd w:val="0"/>
        <w:rPr>
          <w:rFonts w:cs="Times New Roman"/>
          <w:szCs w:val="24"/>
        </w:rPr>
      </w:pPr>
      <w:r w:rsidRPr="002B283E">
        <w:rPr>
          <w:rFonts w:cs="Times New Roman"/>
          <w:szCs w:val="24"/>
        </w:rPr>
        <w:tab/>
        <w:t>The traditional defense of assumption of risk is barred under FELA and cannot be revived in the form of comparative negligence.</w:t>
      </w:r>
      <w:r w:rsidRPr="002B283E">
        <w:rPr>
          <w:rFonts w:cs="Times New Roman"/>
          <w:i/>
          <w:iCs/>
          <w:szCs w:val="24"/>
        </w:rPr>
        <w:t xml:space="preserve"> See Taylor v. Burlington N. R.R. Co.</w:t>
      </w:r>
      <w:r w:rsidRPr="002B283E">
        <w:rPr>
          <w:rFonts w:cs="Times New Roman"/>
          <w:szCs w:val="24"/>
        </w:rPr>
        <w:t>, 787 F.2d 1309, 1316-17 (9th Cir. 1986).</w:t>
      </w:r>
    </w:p>
    <w:p w14:paraId="653F3D0B" w14:textId="77777777" w:rsidR="006A4CD7" w:rsidRPr="002B283E" w:rsidRDefault="006A4CD7" w:rsidP="002B283E">
      <w:pPr>
        <w:autoSpaceDE w:val="0"/>
        <w:autoSpaceDN w:val="0"/>
        <w:adjustRightInd w:val="0"/>
        <w:rPr>
          <w:rFonts w:cs="Times New Roman"/>
          <w:szCs w:val="24"/>
        </w:rPr>
      </w:pPr>
    </w:p>
    <w:p w14:paraId="4615C5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For an example of a verdict form for use in FELA cases, see below:</w:t>
      </w:r>
    </w:p>
    <w:p w14:paraId="4C53595D" w14:textId="77777777" w:rsidR="006A4CD7" w:rsidRPr="002B283E" w:rsidRDefault="006A4CD7" w:rsidP="002B283E">
      <w:pPr>
        <w:autoSpaceDE w:val="0"/>
        <w:autoSpaceDN w:val="0"/>
        <w:adjustRightInd w:val="0"/>
        <w:rPr>
          <w:rFonts w:cs="Times New Roman"/>
          <w:szCs w:val="24"/>
        </w:rPr>
      </w:pPr>
    </w:p>
    <w:p w14:paraId="34982E96"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4D3FF640" w14:textId="77777777" w:rsidR="006A4CD7" w:rsidRPr="002B283E" w:rsidRDefault="006A4CD7" w:rsidP="002B283E">
      <w:pPr>
        <w:autoSpaceDE w:val="0"/>
        <w:autoSpaceDN w:val="0"/>
        <w:adjustRightInd w:val="0"/>
        <w:rPr>
          <w:rFonts w:cs="Times New Roman"/>
          <w:szCs w:val="24"/>
        </w:rPr>
      </w:pPr>
    </w:p>
    <w:p w14:paraId="29D6D33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Do you find that the plaintiff has proved by a preponderance of the evidence:</w:t>
      </w:r>
    </w:p>
    <w:p w14:paraId="31718FEA" w14:textId="77777777" w:rsidR="006A4CD7" w:rsidRPr="002B283E" w:rsidRDefault="006A4CD7" w:rsidP="002B283E">
      <w:pPr>
        <w:autoSpaceDE w:val="0"/>
        <w:autoSpaceDN w:val="0"/>
        <w:adjustRightInd w:val="0"/>
        <w:rPr>
          <w:rFonts w:cs="Times New Roman"/>
          <w:szCs w:val="24"/>
        </w:rPr>
      </w:pPr>
    </w:p>
    <w:p w14:paraId="6CAAE0EB"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defendant was negligent?</w:t>
      </w:r>
    </w:p>
    <w:p w14:paraId="72837A33" w14:textId="77777777" w:rsidR="006A4CD7" w:rsidRPr="002B283E" w:rsidRDefault="006A4CD7" w:rsidP="002B283E">
      <w:pPr>
        <w:autoSpaceDE w:val="0"/>
        <w:autoSpaceDN w:val="0"/>
        <w:adjustRightInd w:val="0"/>
        <w:ind w:left="720"/>
        <w:rPr>
          <w:rFonts w:cs="Times New Roman"/>
          <w:szCs w:val="24"/>
        </w:rPr>
      </w:pPr>
    </w:p>
    <w:p w14:paraId="38F3E6D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FEBD118" w14:textId="77777777" w:rsidR="006A4CD7" w:rsidRPr="002B283E" w:rsidRDefault="006A4CD7" w:rsidP="002B283E">
      <w:pPr>
        <w:autoSpaceDE w:val="0"/>
        <w:autoSpaceDN w:val="0"/>
        <w:adjustRightInd w:val="0"/>
        <w:rPr>
          <w:rFonts w:cs="Times New Roman"/>
          <w:szCs w:val="24"/>
        </w:rPr>
      </w:pPr>
    </w:p>
    <w:p w14:paraId="14C183C0" w14:textId="6213CFA2"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2B283E" w:rsidRDefault="006A4CD7" w:rsidP="002B283E">
      <w:pPr>
        <w:autoSpaceDE w:val="0"/>
        <w:autoSpaceDN w:val="0"/>
        <w:adjustRightInd w:val="0"/>
        <w:rPr>
          <w:rFonts w:cs="Times New Roman"/>
          <w:szCs w:val="24"/>
        </w:rPr>
      </w:pPr>
    </w:p>
    <w:p w14:paraId="0AC5B01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defendant’s negligence was a cause of injury or damage to the plaintiff?</w:t>
      </w:r>
    </w:p>
    <w:p w14:paraId="5D00F71C" w14:textId="77777777" w:rsidR="006A4CD7" w:rsidRPr="002B283E" w:rsidRDefault="006A4CD7" w:rsidP="002B283E">
      <w:pPr>
        <w:autoSpaceDE w:val="0"/>
        <w:autoSpaceDN w:val="0"/>
        <w:adjustRightInd w:val="0"/>
        <w:rPr>
          <w:rFonts w:cs="Times New Roman"/>
          <w:szCs w:val="24"/>
        </w:rPr>
      </w:pPr>
    </w:p>
    <w:p w14:paraId="0914D31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EF25AF0" w14:textId="77777777" w:rsidR="006A4CD7" w:rsidRPr="002B283E" w:rsidRDefault="006A4CD7" w:rsidP="002B283E">
      <w:pPr>
        <w:autoSpaceDE w:val="0"/>
        <w:autoSpaceDN w:val="0"/>
        <w:adjustRightInd w:val="0"/>
        <w:rPr>
          <w:rFonts w:cs="Times New Roman"/>
          <w:szCs w:val="24"/>
        </w:rPr>
      </w:pPr>
    </w:p>
    <w:p w14:paraId="32979DA1" w14:textId="2D115AF6" w:rsidR="006A4CD7" w:rsidRDefault="006A4CD7" w:rsidP="002B283E">
      <w:pPr>
        <w:autoSpaceDE w:val="0"/>
        <w:autoSpaceDN w:val="0"/>
        <w:adjustRightInd w:val="0"/>
        <w:rPr>
          <w:rFonts w:cs="Times New Roman"/>
          <w:szCs w:val="24"/>
        </w:rPr>
      </w:pPr>
      <w:r w:rsidRPr="002B283E">
        <w:rPr>
          <w:rFonts w:cs="Times New Roman"/>
          <w:szCs w:val="24"/>
        </w:rPr>
        <w:tab/>
        <w:t>If you answered NO to Question No. 1.B., do not answer the remaining questions. Sign and date the verdict form and notify the bailiff. If you answered YES to Question No. 1.B., proceed to Question No. 2.</w:t>
      </w:r>
    </w:p>
    <w:p w14:paraId="029A07CE" w14:textId="77777777" w:rsidR="0036428B" w:rsidRPr="002B283E" w:rsidRDefault="0036428B" w:rsidP="002B283E">
      <w:pPr>
        <w:autoSpaceDE w:val="0"/>
        <w:autoSpaceDN w:val="0"/>
        <w:adjustRightInd w:val="0"/>
        <w:rPr>
          <w:rFonts w:cs="Times New Roman"/>
          <w:szCs w:val="24"/>
        </w:rPr>
      </w:pPr>
    </w:p>
    <w:p w14:paraId="7D86E773"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Do you find that the defendant has proved by a preponderance of the evidence:</w:t>
      </w:r>
    </w:p>
    <w:p w14:paraId="3B6A2F4C" w14:textId="77777777" w:rsidR="006A4CD7" w:rsidRPr="002B283E" w:rsidRDefault="006A4CD7" w:rsidP="002B283E">
      <w:pPr>
        <w:autoSpaceDE w:val="0"/>
        <w:autoSpaceDN w:val="0"/>
        <w:adjustRightInd w:val="0"/>
        <w:rPr>
          <w:rFonts w:cs="Times New Roman"/>
          <w:szCs w:val="24"/>
        </w:rPr>
      </w:pPr>
    </w:p>
    <w:p w14:paraId="73A54EA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plaintiff was also negligent?</w:t>
      </w:r>
    </w:p>
    <w:p w14:paraId="27C7208E" w14:textId="77777777" w:rsidR="006A4CD7" w:rsidRPr="002B283E" w:rsidRDefault="006A4CD7" w:rsidP="002B283E">
      <w:pPr>
        <w:autoSpaceDE w:val="0"/>
        <w:autoSpaceDN w:val="0"/>
        <w:adjustRightInd w:val="0"/>
        <w:rPr>
          <w:rFonts w:cs="Times New Roman"/>
          <w:szCs w:val="24"/>
        </w:rPr>
      </w:pPr>
    </w:p>
    <w:p w14:paraId="1D38B0F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22E8E0B9" w14:textId="77777777" w:rsidR="006A4CD7" w:rsidRPr="002B283E" w:rsidRDefault="006A4CD7" w:rsidP="002B283E">
      <w:pPr>
        <w:autoSpaceDE w:val="0"/>
        <w:autoSpaceDN w:val="0"/>
        <w:adjustRightInd w:val="0"/>
        <w:rPr>
          <w:rFonts w:cs="Times New Roman"/>
          <w:szCs w:val="24"/>
        </w:rPr>
      </w:pPr>
    </w:p>
    <w:p w14:paraId="5B01E482" w14:textId="0DDB526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2.A., proceed to Question No. 4. If you answered YES to Question No. 2.A., proceed to Question No. 2.B.</w:t>
      </w:r>
    </w:p>
    <w:p w14:paraId="72A83E1E" w14:textId="77777777" w:rsidR="006A4CD7" w:rsidRPr="002B283E" w:rsidRDefault="006A4CD7" w:rsidP="002B283E">
      <w:pPr>
        <w:autoSpaceDE w:val="0"/>
        <w:autoSpaceDN w:val="0"/>
        <w:adjustRightInd w:val="0"/>
        <w:rPr>
          <w:rFonts w:cs="Times New Roman"/>
          <w:szCs w:val="24"/>
        </w:rPr>
      </w:pPr>
    </w:p>
    <w:p w14:paraId="3B63FE82"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plaintiff’s own negligence was a cause of the plaintiff’s injury or damage?</w:t>
      </w:r>
    </w:p>
    <w:p w14:paraId="06279394" w14:textId="77777777" w:rsidR="006A4CD7" w:rsidRPr="002B283E" w:rsidRDefault="006A4CD7" w:rsidP="002B283E">
      <w:pPr>
        <w:autoSpaceDE w:val="0"/>
        <w:autoSpaceDN w:val="0"/>
        <w:adjustRightInd w:val="0"/>
        <w:rPr>
          <w:rFonts w:cs="Times New Roman"/>
          <w:szCs w:val="24"/>
        </w:rPr>
      </w:pPr>
    </w:p>
    <w:p w14:paraId="375539C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5B967D27" w14:textId="77777777" w:rsidR="006A4CD7" w:rsidRPr="002B283E" w:rsidRDefault="006A4CD7" w:rsidP="002B283E">
      <w:pPr>
        <w:autoSpaceDE w:val="0"/>
        <w:autoSpaceDN w:val="0"/>
        <w:adjustRightInd w:val="0"/>
        <w:rPr>
          <w:rFonts w:cs="Times New Roman"/>
          <w:szCs w:val="24"/>
        </w:rPr>
      </w:pPr>
    </w:p>
    <w:p w14:paraId="374C36A8" w14:textId="31F60F3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2.B., proceed to Question No. 4. If you answered YES to Question No. 2.B., proceed to Question No. 3.</w:t>
      </w:r>
    </w:p>
    <w:p w14:paraId="01D99DAE" w14:textId="77777777" w:rsidR="006A4CD7" w:rsidRPr="002B283E" w:rsidRDefault="006A4CD7" w:rsidP="002B283E">
      <w:pPr>
        <w:autoSpaceDE w:val="0"/>
        <w:autoSpaceDN w:val="0"/>
        <w:adjustRightInd w:val="0"/>
        <w:rPr>
          <w:rFonts w:cs="Times New Roman"/>
          <w:szCs w:val="24"/>
        </w:rPr>
      </w:pPr>
    </w:p>
    <w:p w14:paraId="1482DD1A"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2B283E" w:rsidRDefault="006A4CD7" w:rsidP="002B283E">
      <w:pPr>
        <w:autoSpaceDE w:val="0"/>
        <w:autoSpaceDN w:val="0"/>
        <w:adjustRightInd w:val="0"/>
        <w:rPr>
          <w:rFonts w:cs="Times New Roman"/>
          <w:szCs w:val="24"/>
        </w:rPr>
      </w:pPr>
    </w:p>
    <w:p w14:paraId="036AAF7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Answer in Terms of Percentages</w:t>
      </w:r>
    </w:p>
    <w:p w14:paraId="2EDB56B5" w14:textId="77777777" w:rsidR="006A4CD7" w:rsidRPr="002B283E" w:rsidRDefault="006A4CD7" w:rsidP="002B283E">
      <w:pPr>
        <w:autoSpaceDE w:val="0"/>
        <w:autoSpaceDN w:val="0"/>
        <w:adjustRightInd w:val="0"/>
        <w:rPr>
          <w:rFonts w:cs="Times New Roman"/>
          <w:szCs w:val="24"/>
        </w:rPr>
      </w:pPr>
    </w:p>
    <w:p w14:paraId="2F9A20B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defendant </w:t>
      </w:r>
      <w:r w:rsidRPr="002B283E">
        <w:rPr>
          <w:rFonts w:cs="Times New Roman"/>
          <w:szCs w:val="24"/>
          <w:u w:val="single"/>
        </w:rPr>
        <w:t xml:space="preserve">         </w:t>
      </w:r>
      <w:r w:rsidRPr="002B283E">
        <w:rPr>
          <w:rFonts w:cs="Times New Roman"/>
          <w:szCs w:val="24"/>
        </w:rPr>
        <w:t>%</w:t>
      </w:r>
    </w:p>
    <w:p w14:paraId="46E6DB56" w14:textId="77777777" w:rsidR="009C576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plaintiff  </w:t>
      </w:r>
      <w:r w:rsidRPr="002B283E">
        <w:rPr>
          <w:rFonts w:cs="Times New Roman"/>
          <w:szCs w:val="24"/>
          <w:u w:val="single"/>
        </w:rPr>
        <w:t xml:space="preserve">         </w:t>
      </w:r>
      <w:r w:rsidRPr="002B283E">
        <w:rPr>
          <w:rFonts w:cs="Times New Roman"/>
          <w:szCs w:val="24"/>
        </w:rPr>
        <w:t>%</w:t>
      </w:r>
    </w:p>
    <w:p w14:paraId="0E530C11" w14:textId="77777777" w:rsidR="0036428B" w:rsidRPr="002B283E" w:rsidRDefault="0036428B" w:rsidP="002B283E">
      <w:pPr>
        <w:autoSpaceDE w:val="0"/>
        <w:autoSpaceDN w:val="0"/>
        <w:adjustRightInd w:val="0"/>
        <w:rPr>
          <w:rFonts w:cs="Times New Roman"/>
          <w:szCs w:val="24"/>
        </w:rPr>
      </w:pPr>
    </w:p>
    <w:p w14:paraId="21794291"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006A4CD7" w:rsidRPr="002B283E">
        <w:rPr>
          <w:rFonts w:cs="Times New Roman"/>
          <w:szCs w:val="24"/>
        </w:rPr>
        <w:t>Note: The total of the percentages given in your answer should equal 100%.</w:t>
      </w:r>
    </w:p>
    <w:p w14:paraId="43FB83BA"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ab/>
        <w:t>Proceed to Question No. 4.</w:t>
      </w:r>
    </w:p>
    <w:p w14:paraId="22F94240" w14:textId="77777777" w:rsidR="006A4CD7" w:rsidRPr="002B283E" w:rsidRDefault="006A4CD7" w:rsidP="002B283E">
      <w:pPr>
        <w:autoSpaceDE w:val="0"/>
        <w:autoSpaceDN w:val="0"/>
        <w:adjustRightInd w:val="0"/>
        <w:rPr>
          <w:rFonts w:cs="Times New Roman"/>
          <w:szCs w:val="24"/>
        </w:rPr>
      </w:pPr>
    </w:p>
    <w:p w14:paraId="4F6F5642" w14:textId="0252BFC1"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2B283E">
        <w:rPr>
          <w:rFonts w:cs="Times New Roman"/>
          <w:szCs w:val="24"/>
        </w:rPr>
        <w:t>in Question</w:t>
      </w:r>
      <w:r w:rsidRPr="002B283E">
        <w:rPr>
          <w:rFonts w:cs="Times New Roman"/>
          <w:szCs w:val="24"/>
        </w:rPr>
        <w:t xml:space="preserve"> No. 3)?</w:t>
      </w:r>
    </w:p>
    <w:p w14:paraId="7D4D06FA" w14:textId="77777777" w:rsidR="006A4CD7" w:rsidRPr="002B283E" w:rsidRDefault="006A4CD7" w:rsidP="008A04C2">
      <w:pPr>
        <w:autoSpaceDE w:val="0"/>
        <w:autoSpaceDN w:val="0"/>
        <w:adjustRightInd w:val="0"/>
        <w:ind w:left="2160" w:right="720"/>
        <w:rPr>
          <w:rFonts w:cs="Times New Roman"/>
          <w:szCs w:val="24"/>
        </w:rPr>
      </w:pPr>
    </w:p>
    <w:p w14:paraId="73722E79" w14:textId="7E6DC7F9"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to date of trial</w:t>
      </w:r>
      <w:r w:rsidR="00F22B65" w:rsidRPr="00F22B65">
        <w:rPr>
          <w:rFonts w:cs="Times New Roman"/>
          <w:szCs w:val="24"/>
        </w:rPr>
        <w:t xml:space="preserve">: </w:t>
      </w:r>
    </w:p>
    <w:p w14:paraId="5E4FD7FF" w14:textId="77777777" w:rsidR="00F22B65" w:rsidRDefault="00F22B65" w:rsidP="00F22B65">
      <w:pPr>
        <w:pStyle w:val="ListParagraph"/>
        <w:autoSpaceDE w:val="0"/>
        <w:autoSpaceDN w:val="0"/>
        <w:adjustRightInd w:val="0"/>
        <w:ind w:left="2160" w:right="720"/>
        <w:rPr>
          <w:rFonts w:cs="Times New Roman"/>
          <w:szCs w:val="24"/>
        </w:rPr>
      </w:pPr>
    </w:p>
    <w:p w14:paraId="0F119F55" w14:textId="2AF6EF87"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21A32C2" w14:textId="77777777" w:rsidR="006A4CD7" w:rsidRPr="002B283E" w:rsidRDefault="006A4CD7" w:rsidP="008A04C2">
      <w:pPr>
        <w:autoSpaceDE w:val="0"/>
        <w:autoSpaceDN w:val="0"/>
        <w:adjustRightInd w:val="0"/>
        <w:ind w:left="2160" w:right="720" w:hanging="720"/>
        <w:rPr>
          <w:rFonts w:cs="Times New Roman"/>
          <w:szCs w:val="24"/>
        </w:rPr>
      </w:pPr>
    </w:p>
    <w:p w14:paraId="16F8E808" w14:textId="65EA31FA"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in the future [reduced to</w:t>
      </w:r>
      <w:r w:rsidR="002B1D90" w:rsidRPr="00F22B65">
        <w:rPr>
          <w:rFonts w:cs="Times New Roman"/>
          <w:szCs w:val="24"/>
        </w:rPr>
        <w:t xml:space="preserve"> </w:t>
      </w:r>
      <w:r w:rsidRPr="00F22B65">
        <w:rPr>
          <w:rFonts w:cs="Times New Roman"/>
          <w:szCs w:val="24"/>
        </w:rPr>
        <w:t>present value]</w:t>
      </w:r>
      <w:r w:rsidR="00F22B65" w:rsidRPr="00F22B65">
        <w:rPr>
          <w:rFonts w:cs="Times New Roman"/>
          <w:szCs w:val="24"/>
        </w:rPr>
        <w:t>:</w:t>
      </w:r>
    </w:p>
    <w:p w14:paraId="7F989D3A" w14:textId="77777777" w:rsidR="00F22B65" w:rsidRDefault="00F22B65" w:rsidP="00F22B65">
      <w:pPr>
        <w:pStyle w:val="ListParagraph"/>
        <w:autoSpaceDE w:val="0"/>
        <w:autoSpaceDN w:val="0"/>
        <w:adjustRightInd w:val="0"/>
        <w:ind w:left="2160" w:right="720"/>
        <w:rPr>
          <w:rFonts w:cs="Times New Roman"/>
          <w:szCs w:val="24"/>
        </w:rPr>
      </w:pPr>
    </w:p>
    <w:p w14:paraId="3219FCC4" w14:textId="22E67EBB"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2A02BF33" w14:textId="77777777" w:rsidR="006A4CD7" w:rsidRPr="002B283E" w:rsidRDefault="006A4CD7" w:rsidP="008A04C2">
      <w:pPr>
        <w:autoSpaceDE w:val="0"/>
        <w:autoSpaceDN w:val="0"/>
        <w:adjustRightInd w:val="0"/>
        <w:ind w:left="2160" w:right="720" w:hanging="720"/>
        <w:rPr>
          <w:rFonts w:cs="Times New Roman"/>
          <w:szCs w:val="24"/>
        </w:rPr>
      </w:pPr>
    </w:p>
    <w:p w14:paraId="2870BBCD" w14:textId="07E1715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Medical and hospital expenses</w:t>
      </w:r>
      <w:r w:rsidR="00432687" w:rsidRPr="00F22B65">
        <w:rPr>
          <w:rFonts w:cs="Times New Roman"/>
          <w:szCs w:val="24"/>
        </w:rPr>
        <w:t xml:space="preserve"> </w:t>
      </w:r>
      <w:r w:rsidRPr="00F22B65">
        <w:rPr>
          <w:rFonts w:cs="Times New Roman"/>
          <w:szCs w:val="24"/>
        </w:rPr>
        <w:t>incurred in the past</w:t>
      </w:r>
      <w:r w:rsidR="00F22B65" w:rsidRPr="00F22B65">
        <w:rPr>
          <w:rFonts w:cs="Times New Roman"/>
          <w:szCs w:val="24"/>
        </w:rPr>
        <w:t xml:space="preserve">: </w:t>
      </w:r>
    </w:p>
    <w:p w14:paraId="4632977C" w14:textId="77777777" w:rsidR="00F22B65" w:rsidRDefault="00F22B65" w:rsidP="00F22B65">
      <w:pPr>
        <w:pStyle w:val="ListParagraph"/>
        <w:autoSpaceDE w:val="0"/>
        <w:autoSpaceDN w:val="0"/>
        <w:adjustRightInd w:val="0"/>
        <w:ind w:left="2160" w:right="720"/>
        <w:rPr>
          <w:rFonts w:cs="Times New Roman"/>
          <w:szCs w:val="24"/>
        </w:rPr>
      </w:pPr>
    </w:p>
    <w:p w14:paraId="466DD2C1" w14:textId="24E6D2D2"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7E3B1E09" w14:textId="77777777" w:rsidR="006A4CD7" w:rsidRPr="002B283E" w:rsidRDefault="006A4CD7" w:rsidP="008A04C2">
      <w:pPr>
        <w:autoSpaceDE w:val="0"/>
        <w:autoSpaceDN w:val="0"/>
        <w:adjustRightInd w:val="0"/>
        <w:ind w:left="2160" w:right="720" w:hanging="720"/>
        <w:rPr>
          <w:rFonts w:cs="Times New Roman"/>
          <w:szCs w:val="24"/>
        </w:rPr>
      </w:pPr>
    </w:p>
    <w:p w14:paraId="3D66DA90" w14:textId="2DDBA3AD"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Medical and hospital expenses likely to be incurred in the future [reduced to present value]</w:t>
      </w:r>
      <w:r w:rsidR="00F22B65" w:rsidRPr="00F22B65">
        <w:rPr>
          <w:rFonts w:cs="Times New Roman"/>
          <w:szCs w:val="24"/>
        </w:rPr>
        <w:t xml:space="preserve">: </w:t>
      </w:r>
    </w:p>
    <w:p w14:paraId="39985AC1" w14:textId="77777777" w:rsidR="00F22B65" w:rsidRDefault="00F22B65" w:rsidP="00F22B65">
      <w:pPr>
        <w:pStyle w:val="ListParagraph"/>
        <w:autoSpaceDE w:val="0"/>
        <w:autoSpaceDN w:val="0"/>
        <w:adjustRightInd w:val="0"/>
        <w:ind w:left="2160" w:right="720"/>
        <w:rPr>
          <w:rFonts w:cs="Times New Roman"/>
          <w:szCs w:val="24"/>
        </w:rPr>
      </w:pPr>
    </w:p>
    <w:p w14:paraId="3CFC3D00" w14:textId="63BF3670"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3BCFB0C" w14:textId="77777777" w:rsidR="006A4CD7" w:rsidRPr="002B283E" w:rsidRDefault="006A4CD7" w:rsidP="008A04C2">
      <w:pPr>
        <w:autoSpaceDE w:val="0"/>
        <w:autoSpaceDN w:val="0"/>
        <w:adjustRightInd w:val="0"/>
        <w:ind w:left="2160" w:right="720" w:hanging="720"/>
        <w:rPr>
          <w:rFonts w:cs="Times New Roman"/>
          <w:szCs w:val="24"/>
        </w:rPr>
      </w:pPr>
    </w:p>
    <w:p w14:paraId="73DDC110" w14:textId="1D44663F"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Mental and emotional humiliation</w:t>
      </w:r>
      <w:r w:rsidR="00432687" w:rsidRPr="00F22B65">
        <w:rPr>
          <w:rFonts w:cs="Times New Roman"/>
          <w:szCs w:val="24"/>
        </w:rPr>
        <w:t xml:space="preserve"> </w:t>
      </w:r>
      <w:r w:rsidRPr="00F22B65">
        <w:rPr>
          <w:rFonts w:cs="Times New Roman"/>
          <w:szCs w:val="24"/>
        </w:rPr>
        <w:t>or pain and anguish</w:t>
      </w:r>
      <w:r w:rsidR="00F22B65" w:rsidRPr="00F22B65">
        <w:rPr>
          <w:rFonts w:cs="Times New Roman"/>
          <w:szCs w:val="24"/>
        </w:rPr>
        <w:t>:</w:t>
      </w:r>
    </w:p>
    <w:p w14:paraId="4FDC8836" w14:textId="77777777" w:rsidR="00F22B65" w:rsidRDefault="00F22B65" w:rsidP="00F22B65">
      <w:pPr>
        <w:pStyle w:val="ListParagraph"/>
        <w:autoSpaceDE w:val="0"/>
        <w:autoSpaceDN w:val="0"/>
        <w:adjustRightInd w:val="0"/>
        <w:ind w:left="2160" w:right="720"/>
        <w:rPr>
          <w:rFonts w:cs="Times New Roman"/>
          <w:szCs w:val="24"/>
        </w:rPr>
      </w:pPr>
    </w:p>
    <w:p w14:paraId="73F7D139" w14:textId="1C464BF4" w:rsidR="0043268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05227E0F" w14:textId="77777777" w:rsidR="00432687" w:rsidRPr="002B283E" w:rsidRDefault="00432687" w:rsidP="008A04C2">
      <w:pPr>
        <w:autoSpaceDE w:val="0"/>
        <w:autoSpaceDN w:val="0"/>
        <w:adjustRightInd w:val="0"/>
        <w:ind w:left="2160" w:right="720" w:hanging="720"/>
        <w:rPr>
          <w:rFonts w:cs="Times New Roman"/>
          <w:szCs w:val="24"/>
        </w:rPr>
      </w:pPr>
    </w:p>
    <w:p w14:paraId="1195A149" w14:textId="3459256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Physical pain and suffering</w:t>
      </w:r>
      <w:r w:rsidR="00F22B65" w:rsidRPr="00F22B65">
        <w:rPr>
          <w:rFonts w:cs="Times New Roman"/>
          <w:szCs w:val="24"/>
        </w:rPr>
        <w:t>:</w:t>
      </w:r>
    </w:p>
    <w:p w14:paraId="09FD69CC" w14:textId="77777777" w:rsidR="00F22B65" w:rsidRDefault="00F22B65" w:rsidP="00F22B65">
      <w:pPr>
        <w:pStyle w:val="ListParagraph"/>
        <w:autoSpaceDE w:val="0"/>
        <w:autoSpaceDN w:val="0"/>
        <w:adjustRightInd w:val="0"/>
        <w:ind w:left="2160" w:right="720"/>
        <w:rPr>
          <w:rFonts w:cs="Times New Roman"/>
          <w:szCs w:val="24"/>
        </w:rPr>
      </w:pPr>
    </w:p>
    <w:p w14:paraId="174AACCA" w14:textId="5F48E170" w:rsidR="006A4CD7" w:rsidRDefault="006A4CD7" w:rsidP="00F22B65">
      <w:pPr>
        <w:pStyle w:val="ListParagraph"/>
        <w:autoSpaceDE w:val="0"/>
        <w:autoSpaceDN w:val="0"/>
        <w:adjustRightInd w:val="0"/>
        <w:ind w:left="2160" w:right="720"/>
        <w:rPr>
          <w:rFonts w:cs="Times New Roman"/>
          <w:szCs w:val="24"/>
          <w:u w:val="single"/>
        </w:rPr>
      </w:pPr>
      <w:r w:rsidRPr="00F22B65">
        <w:rPr>
          <w:rFonts w:cs="Times New Roman"/>
          <w:szCs w:val="24"/>
        </w:rPr>
        <w:t>$</w:t>
      </w:r>
      <w:r w:rsidRPr="00F22B65">
        <w:rPr>
          <w:rFonts w:cs="Times New Roman"/>
          <w:szCs w:val="24"/>
          <w:u w:val="single"/>
        </w:rPr>
        <w:t xml:space="preserve">       </w:t>
      </w:r>
    </w:p>
    <w:p w14:paraId="29B2E3E4" w14:textId="77777777" w:rsidR="00F22B65" w:rsidRPr="00F22B65" w:rsidRDefault="00F22B65" w:rsidP="00F22B65">
      <w:pPr>
        <w:pStyle w:val="ListParagraph"/>
        <w:autoSpaceDE w:val="0"/>
        <w:autoSpaceDN w:val="0"/>
        <w:adjustRightInd w:val="0"/>
        <w:ind w:left="2160" w:right="720"/>
        <w:rPr>
          <w:rFonts w:cs="Times New Roman"/>
          <w:szCs w:val="24"/>
        </w:rPr>
      </w:pPr>
    </w:p>
    <w:p w14:paraId="26D382B9" w14:textId="77777777" w:rsidR="006A4CD7" w:rsidRPr="002B283E" w:rsidRDefault="006A4CD7" w:rsidP="002B283E">
      <w:pPr>
        <w:autoSpaceDE w:val="0"/>
        <w:autoSpaceDN w:val="0"/>
        <w:adjustRightInd w:val="0"/>
        <w:rPr>
          <w:rFonts w:cs="Times New Roman"/>
          <w:szCs w:val="24"/>
        </w:rPr>
      </w:pPr>
    </w:p>
    <w:p w14:paraId="1B4AB5AC" w14:textId="77777777" w:rsidR="006A4CD7" w:rsidRPr="002B283E" w:rsidRDefault="006A4CD7" w:rsidP="002B283E">
      <w:pPr>
        <w:autoSpaceDE w:val="0"/>
        <w:autoSpaceDN w:val="0"/>
        <w:adjustRightInd w:val="0"/>
        <w:rPr>
          <w:rFonts w:cs="Times New Roman"/>
          <w:szCs w:val="24"/>
        </w:rPr>
      </w:pPr>
    </w:p>
    <w:p w14:paraId="1C283F62" w14:textId="77777777" w:rsidR="006A4CD7" w:rsidRPr="002B283E" w:rsidRDefault="006A4CD7" w:rsidP="002B283E">
      <w:pPr>
        <w:tabs>
          <w:tab w:val="left" w:pos="3600"/>
          <w:tab w:val="left" w:pos="4320"/>
          <w:tab w:val="right" w:pos="8640"/>
        </w:tabs>
        <w:autoSpaceDE w:val="0"/>
        <w:autoSpaceDN w:val="0"/>
        <w:adjustRightInd w:val="0"/>
        <w:rPr>
          <w:rFonts w:cs="Times New Roman"/>
          <w:szCs w:val="24"/>
        </w:rPr>
      </w:pPr>
      <w:r w:rsidRPr="002B283E">
        <w:rPr>
          <w:rFonts w:cs="Times New Roman"/>
          <w:szCs w:val="24"/>
        </w:rPr>
        <w:t xml:space="preserve">DATED: </w:t>
      </w:r>
      <w:r w:rsidR="00432687" w:rsidRPr="002B283E">
        <w:rPr>
          <w:rFonts w:cs="Times New Roman"/>
          <w:szCs w:val="24"/>
          <w:u w:val="single"/>
        </w:rPr>
        <w:tab/>
      </w:r>
      <w:r w:rsidRPr="002B283E">
        <w:rPr>
          <w:rFonts w:cs="Times New Roman"/>
          <w:szCs w:val="24"/>
        </w:rPr>
        <w:tab/>
      </w:r>
      <w:r w:rsidR="00432687" w:rsidRPr="002B283E">
        <w:rPr>
          <w:rFonts w:cs="Times New Roman"/>
          <w:szCs w:val="24"/>
          <w:u w:val="single"/>
        </w:rPr>
        <w:tab/>
      </w:r>
    </w:p>
    <w:p w14:paraId="4F145969" w14:textId="77777777" w:rsidR="006A4CD7" w:rsidRPr="002B283E" w:rsidRDefault="006A4CD7" w:rsidP="002B283E">
      <w:pPr>
        <w:tabs>
          <w:tab w:val="left" w:pos="4320"/>
        </w:tabs>
        <w:autoSpaceDE w:val="0"/>
        <w:autoSpaceDN w:val="0"/>
        <w:adjustRightInd w:val="0"/>
        <w:rPr>
          <w:rFonts w:cs="Times New Roman"/>
          <w:szCs w:val="24"/>
        </w:rPr>
      </w:pPr>
      <w:r w:rsidRPr="002B283E">
        <w:rPr>
          <w:rFonts w:cs="Times New Roman"/>
          <w:szCs w:val="24"/>
        </w:rPr>
        <w:tab/>
        <w:t>PRESIDING JUROR</w:t>
      </w:r>
    </w:p>
    <w:p w14:paraId="345F0E5E" w14:textId="68DB41E3" w:rsidR="006A4CD7" w:rsidRPr="002B283E" w:rsidRDefault="006A4CD7" w:rsidP="008A04C2">
      <w:pPr>
        <w:pStyle w:val="Heading1"/>
        <w:spacing w:before="0" w:line="240" w:lineRule="auto"/>
        <w:jc w:val="left"/>
      </w:pPr>
      <w:r w:rsidRPr="002B283E">
        <w:br w:type="page"/>
      </w:r>
      <w:bookmarkStart w:id="105" w:name="_Toc221525147"/>
      <w:r w:rsidRPr="002B283E">
        <w:lastRenderedPageBreak/>
        <w:t>7</w:t>
      </w:r>
      <w:r w:rsidR="00A87F6E">
        <w:t xml:space="preserve">. </w:t>
      </w:r>
      <w:r w:rsidRPr="002B283E">
        <w:t>JONES ACT AND OTHER ADMIRALTY CLAIMS</w:t>
      </w:r>
      <w:bookmarkEnd w:id="105"/>
    </w:p>
    <w:p w14:paraId="3DB70E4E" w14:textId="77777777" w:rsidR="006A4CD7" w:rsidRPr="002B283E" w:rsidRDefault="006A4CD7" w:rsidP="002B283E">
      <w:pPr>
        <w:autoSpaceDE w:val="0"/>
        <w:autoSpaceDN w:val="0"/>
        <w:adjustRightInd w:val="0"/>
        <w:rPr>
          <w:rFonts w:cs="Times New Roman"/>
          <w:szCs w:val="24"/>
        </w:rPr>
      </w:pPr>
    </w:p>
    <w:p w14:paraId="32AC9E3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33EF362" w14:textId="77777777" w:rsidR="006A4CD7" w:rsidRPr="002B283E" w:rsidRDefault="006A4CD7" w:rsidP="002B283E">
      <w:pPr>
        <w:autoSpaceDE w:val="0"/>
        <w:autoSpaceDN w:val="0"/>
        <w:adjustRightInd w:val="0"/>
        <w:rPr>
          <w:rFonts w:cs="Times New Roman"/>
          <w:szCs w:val="24"/>
        </w:rPr>
      </w:pPr>
    </w:p>
    <w:p w14:paraId="410BC80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C065F3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w:t>
      </w:r>
      <w:r w:rsidRPr="002B283E">
        <w:rPr>
          <w:rFonts w:cs="Times New Roman"/>
          <w:szCs w:val="24"/>
        </w:rPr>
        <w:tab/>
        <w:t>Seaman Status</w:t>
      </w:r>
    </w:p>
    <w:p w14:paraId="1B7F4ED8" w14:textId="7E0EC46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7.2</w:t>
      </w:r>
      <w:r w:rsidRPr="002B283E">
        <w:rPr>
          <w:rFonts w:cs="Times New Roman"/>
          <w:szCs w:val="24"/>
        </w:rPr>
        <w:tab/>
        <w:t>Jones Act Negligence Claim</w:t>
      </w:r>
      <w:r w:rsidRPr="002B283E">
        <w:rPr>
          <w:rFonts w:cs="Times New Roman"/>
          <w:b/>
          <w:bCs/>
          <w:szCs w:val="24"/>
        </w:rPr>
        <w:t>—</w:t>
      </w:r>
      <w:r w:rsidRPr="002B283E">
        <w:rPr>
          <w:rFonts w:cs="Times New Roman"/>
          <w:szCs w:val="24"/>
        </w:rPr>
        <w:t xml:space="preserve">Elements and Burden of Proof </w:t>
      </w:r>
      <w:r w:rsidR="00612075" w:rsidRPr="002B283E">
        <w:rPr>
          <w:rFonts w:cs="Times New Roman"/>
          <w:szCs w:val="24"/>
        </w:rPr>
        <w:t>(46 U.S.C. § 30104)</w:t>
      </w:r>
    </w:p>
    <w:p w14:paraId="7E007F2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7.3</w:t>
      </w:r>
      <w:r w:rsidRPr="002B283E">
        <w:rPr>
          <w:rFonts w:cs="Times New Roman"/>
          <w:szCs w:val="24"/>
        </w:rPr>
        <w:tab/>
        <w:t>Jones Act Negligence Claim</w:t>
      </w:r>
      <w:r w:rsidRPr="002B283E">
        <w:rPr>
          <w:rFonts w:cs="Times New Roman"/>
          <w:b/>
          <w:bCs/>
          <w:szCs w:val="24"/>
        </w:rPr>
        <w:t>—</w:t>
      </w:r>
      <w:r w:rsidRPr="002B283E">
        <w:rPr>
          <w:rFonts w:cs="Times New Roman"/>
          <w:szCs w:val="24"/>
        </w:rPr>
        <w:t>Negligence Defined</w:t>
      </w:r>
    </w:p>
    <w:p w14:paraId="741B987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7.4</w:t>
      </w:r>
      <w:r w:rsidRPr="002B283E">
        <w:rPr>
          <w:rFonts w:cs="Times New Roman"/>
          <w:szCs w:val="24"/>
        </w:rPr>
        <w:tab/>
        <w:t>Jones Act Negligence Claim—Causation Defined</w:t>
      </w:r>
    </w:p>
    <w:p w14:paraId="61B60DF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7.5</w:t>
      </w:r>
      <w:r w:rsidRPr="002B283E">
        <w:rPr>
          <w:rFonts w:cs="Times New Roman"/>
          <w:szCs w:val="24"/>
        </w:rPr>
        <w:tab/>
        <w:t>Unseaworthiness Claim—Elements and Burden of Proof</w:t>
      </w:r>
    </w:p>
    <w:p w14:paraId="2043724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7.6</w:t>
      </w:r>
      <w:r w:rsidRPr="002B283E">
        <w:rPr>
          <w:rFonts w:cs="Times New Roman"/>
          <w:szCs w:val="24"/>
        </w:rPr>
        <w:tab/>
        <w:t>Unseaworthiness Defined</w:t>
      </w:r>
    </w:p>
    <w:p w14:paraId="5683358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7.7</w:t>
      </w:r>
      <w:r w:rsidRPr="002B283E">
        <w:rPr>
          <w:rFonts w:cs="Times New Roman"/>
          <w:szCs w:val="24"/>
        </w:rPr>
        <w:tab/>
        <w:t>Unseaworthiness—Causation Defined</w:t>
      </w:r>
    </w:p>
    <w:p w14:paraId="02A956E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7.8</w:t>
      </w:r>
      <w:r w:rsidRPr="002B283E">
        <w:rPr>
          <w:rFonts w:cs="Times New Roman"/>
          <w:szCs w:val="24"/>
        </w:rPr>
        <w:tab/>
        <w:t>Jones Act Negligence or Unseaworthiness—Damages—Proof (Comment only)</w:t>
      </w:r>
    </w:p>
    <w:p w14:paraId="3578CEF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7.9</w:t>
      </w:r>
      <w:r w:rsidRPr="002B283E">
        <w:rPr>
          <w:rFonts w:cs="Times New Roman"/>
          <w:szCs w:val="24"/>
        </w:rPr>
        <w:tab/>
        <w:t>Jones Act Negligence or Unseaworthiness—Plaintiff’s Negligence—Reduction of Damages</w:t>
      </w:r>
    </w:p>
    <w:p w14:paraId="76A89FCA" w14:textId="4628F0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7.10</w:t>
      </w:r>
      <w:r w:rsidRPr="002B283E">
        <w:rPr>
          <w:rFonts w:cs="Times New Roman"/>
          <w:szCs w:val="24"/>
        </w:rPr>
        <w:tab/>
        <w:t xml:space="preserve">Jones Act Negligence or Unseaworthiness—Plaintiff’s Compliance </w:t>
      </w:r>
      <w:r w:rsidR="004272A6" w:rsidRPr="002B283E">
        <w:rPr>
          <w:rFonts w:cs="Times New Roman"/>
          <w:szCs w:val="24"/>
        </w:rPr>
        <w:t>w</w:t>
      </w:r>
      <w:r w:rsidRPr="002B283E">
        <w:rPr>
          <w:rFonts w:cs="Times New Roman"/>
          <w:szCs w:val="24"/>
        </w:rPr>
        <w:t>ith Defendant’s Request or Directions</w:t>
      </w:r>
    </w:p>
    <w:p w14:paraId="3E06F2D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7.11</w:t>
      </w:r>
      <w:r w:rsidRPr="002B283E">
        <w:rPr>
          <w:rFonts w:cs="Times New Roman"/>
          <w:szCs w:val="24"/>
        </w:rPr>
        <w:tab/>
        <w:t>Maintenance and Cure—Elements and Burden of Proof</w:t>
      </w:r>
    </w:p>
    <w:p w14:paraId="2B9F99B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7.12</w:t>
      </w:r>
      <w:r w:rsidRPr="002B283E">
        <w:rPr>
          <w:rFonts w:cs="Times New Roman"/>
          <w:szCs w:val="24"/>
        </w:rPr>
        <w:tab/>
        <w:t>Maintenance and Cure—Willful and Arbitrary Failure to Pay</w:t>
      </w:r>
    </w:p>
    <w:p w14:paraId="24D9F43A" w14:textId="77FDB00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7.13  </w:t>
      </w:r>
      <w:r w:rsidRPr="002B283E">
        <w:rPr>
          <w:rFonts w:cs="Times New Roman"/>
          <w:szCs w:val="24"/>
        </w:rPr>
        <w:tab/>
        <w:t>Integrated Product Manufacturer’s Duty to Warn</w:t>
      </w:r>
    </w:p>
    <w:p w14:paraId="5A56040F" w14:textId="77777777" w:rsidR="003A73CA" w:rsidRPr="002B283E" w:rsidRDefault="003A73CA" w:rsidP="002B283E">
      <w:pPr>
        <w:autoSpaceDE w:val="0"/>
        <w:autoSpaceDN w:val="0"/>
        <w:adjustRightInd w:val="0"/>
        <w:rPr>
          <w:rFonts w:cs="Times New Roman"/>
          <w:szCs w:val="24"/>
        </w:rPr>
      </w:pPr>
    </w:p>
    <w:p w14:paraId="6008696F"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B03384B" w14:textId="5C2BBC22" w:rsidR="003A73CA" w:rsidRPr="002B283E" w:rsidRDefault="003A73CA" w:rsidP="002B283E">
      <w:pPr>
        <w:autoSpaceDE w:val="0"/>
        <w:autoSpaceDN w:val="0"/>
        <w:adjustRightInd w:val="0"/>
        <w:jc w:val="center"/>
        <w:rPr>
          <w:rFonts w:cs="Times New Roman"/>
          <w:b/>
          <w:bCs/>
          <w:szCs w:val="24"/>
        </w:rPr>
      </w:pPr>
    </w:p>
    <w:p w14:paraId="14DD4769" w14:textId="08093F92" w:rsidR="00947EB1" w:rsidRPr="002B283E" w:rsidRDefault="00947EB1" w:rsidP="002B283E">
      <w:pPr>
        <w:autoSpaceDE w:val="0"/>
        <w:autoSpaceDN w:val="0"/>
        <w:adjustRightInd w:val="0"/>
        <w:jc w:val="center"/>
        <w:rPr>
          <w:rFonts w:cs="Times New Roman"/>
          <w:b/>
          <w:bCs/>
          <w:szCs w:val="24"/>
        </w:rPr>
      </w:pPr>
    </w:p>
    <w:p w14:paraId="65D86EE5" w14:textId="274AA9DD" w:rsidR="00947EB1" w:rsidRPr="002B283E" w:rsidRDefault="00947EB1" w:rsidP="002B283E">
      <w:pPr>
        <w:autoSpaceDE w:val="0"/>
        <w:autoSpaceDN w:val="0"/>
        <w:adjustRightInd w:val="0"/>
        <w:jc w:val="center"/>
        <w:rPr>
          <w:rFonts w:cs="Times New Roman"/>
          <w:b/>
          <w:bCs/>
          <w:szCs w:val="24"/>
        </w:rPr>
      </w:pPr>
    </w:p>
    <w:p w14:paraId="76633E07" w14:textId="2F8BE8F3" w:rsidR="00947EB1" w:rsidRPr="002B283E" w:rsidRDefault="00947EB1" w:rsidP="002B283E">
      <w:pPr>
        <w:autoSpaceDE w:val="0"/>
        <w:autoSpaceDN w:val="0"/>
        <w:adjustRightInd w:val="0"/>
        <w:jc w:val="center"/>
        <w:rPr>
          <w:rFonts w:cs="Times New Roman"/>
          <w:b/>
          <w:bCs/>
          <w:szCs w:val="24"/>
        </w:rPr>
      </w:pPr>
    </w:p>
    <w:p w14:paraId="25747DBB" w14:textId="0A694142" w:rsidR="00947EB1" w:rsidRPr="002B283E" w:rsidRDefault="00947EB1" w:rsidP="002B283E">
      <w:pPr>
        <w:autoSpaceDE w:val="0"/>
        <w:autoSpaceDN w:val="0"/>
        <w:adjustRightInd w:val="0"/>
        <w:jc w:val="center"/>
        <w:rPr>
          <w:rFonts w:cs="Times New Roman"/>
          <w:b/>
          <w:bCs/>
          <w:szCs w:val="24"/>
        </w:rPr>
      </w:pPr>
    </w:p>
    <w:p w14:paraId="02F949D9" w14:textId="2F3D6AC3" w:rsidR="00947EB1" w:rsidRPr="002B283E" w:rsidRDefault="00947EB1" w:rsidP="002B283E">
      <w:pPr>
        <w:autoSpaceDE w:val="0"/>
        <w:autoSpaceDN w:val="0"/>
        <w:adjustRightInd w:val="0"/>
        <w:jc w:val="center"/>
        <w:rPr>
          <w:rFonts w:cs="Times New Roman"/>
          <w:b/>
          <w:bCs/>
          <w:szCs w:val="24"/>
        </w:rPr>
      </w:pPr>
    </w:p>
    <w:p w14:paraId="6235758B" w14:textId="367056AF" w:rsidR="00947EB1" w:rsidRPr="002B283E" w:rsidRDefault="00947EB1" w:rsidP="002B283E">
      <w:pPr>
        <w:autoSpaceDE w:val="0"/>
        <w:autoSpaceDN w:val="0"/>
        <w:adjustRightInd w:val="0"/>
        <w:jc w:val="center"/>
        <w:rPr>
          <w:rFonts w:cs="Times New Roman"/>
          <w:b/>
          <w:bCs/>
          <w:szCs w:val="24"/>
        </w:rPr>
      </w:pPr>
    </w:p>
    <w:p w14:paraId="0EBA59E2" w14:textId="36790995" w:rsidR="00947EB1" w:rsidRPr="002B283E" w:rsidRDefault="00947EB1" w:rsidP="002B283E">
      <w:pPr>
        <w:autoSpaceDE w:val="0"/>
        <w:autoSpaceDN w:val="0"/>
        <w:adjustRightInd w:val="0"/>
        <w:jc w:val="center"/>
        <w:rPr>
          <w:rFonts w:cs="Times New Roman"/>
          <w:b/>
          <w:bCs/>
          <w:szCs w:val="24"/>
        </w:rPr>
      </w:pPr>
    </w:p>
    <w:p w14:paraId="5C717D02" w14:textId="6290359D" w:rsidR="00947EB1" w:rsidRPr="002B283E" w:rsidRDefault="00947EB1" w:rsidP="002B283E">
      <w:pPr>
        <w:autoSpaceDE w:val="0"/>
        <w:autoSpaceDN w:val="0"/>
        <w:adjustRightInd w:val="0"/>
        <w:jc w:val="center"/>
        <w:rPr>
          <w:rFonts w:cs="Times New Roman"/>
          <w:b/>
          <w:bCs/>
          <w:szCs w:val="24"/>
        </w:rPr>
      </w:pPr>
    </w:p>
    <w:p w14:paraId="5165AE9C" w14:textId="6FEDA771" w:rsidR="00947EB1" w:rsidRPr="002B283E" w:rsidRDefault="00947EB1" w:rsidP="002B283E">
      <w:pPr>
        <w:autoSpaceDE w:val="0"/>
        <w:autoSpaceDN w:val="0"/>
        <w:adjustRightInd w:val="0"/>
        <w:jc w:val="center"/>
        <w:rPr>
          <w:rFonts w:cs="Times New Roman"/>
          <w:b/>
          <w:bCs/>
          <w:szCs w:val="24"/>
        </w:rPr>
      </w:pPr>
    </w:p>
    <w:p w14:paraId="0B3D9B4E" w14:textId="7AE9D399" w:rsidR="00947EB1" w:rsidRPr="002B283E" w:rsidRDefault="00947EB1" w:rsidP="002B283E">
      <w:pPr>
        <w:autoSpaceDE w:val="0"/>
        <w:autoSpaceDN w:val="0"/>
        <w:adjustRightInd w:val="0"/>
        <w:jc w:val="center"/>
        <w:rPr>
          <w:rFonts w:cs="Times New Roman"/>
          <w:b/>
          <w:bCs/>
          <w:szCs w:val="24"/>
        </w:rPr>
      </w:pPr>
    </w:p>
    <w:p w14:paraId="77677C21" w14:textId="4497CC78" w:rsidR="00947EB1" w:rsidRPr="002B283E" w:rsidRDefault="00947EB1" w:rsidP="002B283E">
      <w:pPr>
        <w:autoSpaceDE w:val="0"/>
        <w:autoSpaceDN w:val="0"/>
        <w:adjustRightInd w:val="0"/>
        <w:jc w:val="center"/>
        <w:rPr>
          <w:rFonts w:cs="Times New Roman"/>
          <w:b/>
          <w:bCs/>
          <w:szCs w:val="24"/>
        </w:rPr>
      </w:pPr>
    </w:p>
    <w:p w14:paraId="0E8BE7B2" w14:textId="7943F068" w:rsidR="00947EB1" w:rsidRPr="002B283E" w:rsidRDefault="00947EB1" w:rsidP="002B283E">
      <w:pPr>
        <w:autoSpaceDE w:val="0"/>
        <w:autoSpaceDN w:val="0"/>
        <w:adjustRightInd w:val="0"/>
        <w:jc w:val="center"/>
        <w:rPr>
          <w:rFonts w:cs="Times New Roman"/>
          <w:b/>
          <w:bCs/>
          <w:szCs w:val="24"/>
        </w:rPr>
      </w:pPr>
    </w:p>
    <w:p w14:paraId="3E6AB55A" w14:textId="09BCD667" w:rsidR="00947EB1" w:rsidRPr="002B283E" w:rsidRDefault="00947EB1" w:rsidP="002B283E">
      <w:pPr>
        <w:autoSpaceDE w:val="0"/>
        <w:autoSpaceDN w:val="0"/>
        <w:adjustRightInd w:val="0"/>
        <w:jc w:val="center"/>
        <w:rPr>
          <w:rFonts w:cs="Times New Roman"/>
          <w:b/>
          <w:bCs/>
          <w:szCs w:val="24"/>
        </w:rPr>
      </w:pPr>
    </w:p>
    <w:p w14:paraId="2C79E1B8" w14:textId="2947FA4E" w:rsidR="00947EB1" w:rsidRPr="002B283E" w:rsidRDefault="00947EB1" w:rsidP="002B283E">
      <w:pPr>
        <w:autoSpaceDE w:val="0"/>
        <w:autoSpaceDN w:val="0"/>
        <w:adjustRightInd w:val="0"/>
        <w:jc w:val="center"/>
        <w:rPr>
          <w:rFonts w:cs="Times New Roman"/>
          <w:b/>
          <w:bCs/>
          <w:szCs w:val="24"/>
        </w:rPr>
      </w:pPr>
    </w:p>
    <w:p w14:paraId="495A4DB7" w14:textId="7582B958" w:rsidR="00947EB1" w:rsidRPr="002B283E" w:rsidRDefault="00947EB1" w:rsidP="002B283E">
      <w:pPr>
        <w:autoSpaceDE w:val="0"/>
        <w:autoSpaceDN w:val="0"/>
        <w:adjustRightInd w:val="0"/>
        <w:jc w:val="center"/>
        <w:rPr>
          <w:rFonts w:cs="Times New Roman"/>
          <w:b/>
          <w:bCs/>
          <w:szCs w:val="24"/>
        </w:rPr>
      </w:pPr>
    </w:p>
    <w:p w14:paraId="330D4C39" w14:textId="520715B8" w:rsidR="00947EB1" w:rsidRPr="002B283E" w:rsidRDefault="00947EB1" w:rsidP="002B283E">
      <w:pPr>
        <w:autoSpaceDE w:val="0"/>
        <w:autoSpaceDN w:val="0"/>
        <w:adjustRightInd w:val="0"/>
        <w:jc w:val="center"/>
        <w:rPr>
          <w:rFonts w:cs="Times New Roman"/>
          <w:b/>
          <w:bCs/>
          <w:szCs w:val="24"/>
        </w:rPr>
      </w:pPr>
    </w:p>
    <w:p w14:paraId="74D91626" w14:textId="210A7ECE" w:rsidR="00947EB1" w:rsidRPr="002B283E" w:rsidRDefault="00947EB1" w:rsidP="002B283E">
      <w:pPr>
        <w:autoSpaceDE w:val="0"/>
        <w:autoSpaceDN w:val="0"/>
        <w:adjustRightInd w:val="0"/>
        <w:jc w:val="center"/>
        <w:rPr>
          <w:rFonts w:cs="Times New Roman"/>
          <w:b/>
          <w:bCs/>
          <w:szCs w:val="24"/>
        </w:rPr>
      </w:pPr>
    </w:p>
    <w:p w14:paraId="2AAF5E28" w14:textId="33C8E4FB" w:rsidR="00947EB1" w:rsidRPr="002B283E" w:rsidRDefault="00947EB1" w:rsidP="002B283E">
      <w:pPr>
        <w:autoSpaceDE w:val="0"/>
        <w:autoSpaceDN w:val="0"/>
        <w:adjustRightInd w:val="0"/>
        <w:jc w:val="center"/>
        <w:rPr>
          <w:rFonts w:cs="Times New Roman"/>
          <w:b/>
          <w:bCs/>
          <w:szCs w:val="24"/>
        </w:rPr>
      </w:pPr>
    </w:p>
    <w:p w14:paraId="34D4BF78" w14:textId="60DC0127" w:rsidR="00947EB1" w:rsidRDefault="00947EB1" w:rsidP="002B283E">
      <w:pPr>
        <w:autoSpaceDE w:val="0"/>
        <w:autoSpaceDN w:val="0"/>
        <w:adjustRightInd w:val="0"/>
        <w:jc w:val="center"/>
        <w:rPr>
          <w:rFonts w:cs="Times New Roman"/>
          <w:b/>
          <w:bCs/>
          <w:szCs w:val="24"/>
        </w:rPr>
      </w:pPr>
    </w:p>
    <w:p w14:paraId="2211DE78" w14:textId="77777777" w:rsidR="00F22B65" w:rsidRPr="002B283E" w:rsidRDefault="00F22B65" w:rsidP="002B283E">
      <w:pPr>
        <w:autoSpaceDE w:val="0"/>
        <w:autoSpaceDN w:val="0"/>
        <w:adjustRightInd w:val="0"/>
        <w:jc w:val="center"/>
        <w:rPr>
          <w:rFonts w:cs="Times New Roman"/>
          <w:b/>
          <w:bCs/>
          <w:szCs w:val="24"/>
        </w:rPr>
      </w:pPr>
    </w:p>
    <w:p w14:paraId="2B308385" w14:textId="77777777" w:rsidR="00B47694" w:rsidRPr="002B283E" w:rsidRDefault="00B47694" w:rsidP="002B283E">
      <w:pPr>
        <w:autoSpaceDE w:val="0"/>
        <w:autoSpaceDN w:val="0"/>
        <w:adjustRightInd w:val="0"/>
        <w:jc w:val="center"/>
        <w:rPr>
          <w:rFonts w:cs="Times New Roman"/>
          <w:b/>
          <w:bCs/>
          <w:szCs w:val="24"/>
        </w:rPr>
      </w:pPr>
    </w:p>
    <w:p w14:paraId="7325135A" w14:textId="77777777" w:rsidR="00947EB1" w:rsidRPr="002B283E" w:rsidRDefault="00947EB1" w:rsidP="002B283E">
      <w:pPr>
        <w:autoSpaceDE w:val="0"/>
        <w:autoSpaceDN w:val="0"/>
        <w:adjustRightInd w:val="0"/>
        <w:jc w:val="center"/>
        <w:rPr>
          <w:rFonts w:cs="Times New Roman"/>
          <w:b/>
          <w:bCs/>
          <w:szCs w:val="24"/>
        </w:rPr>
      </w:pPr>
    </w:p>
    <w:p w14:paraId="62EA1C5F" w14:textId="14087B7F" w:rsidR="006A4CD7" w:rsidRPr="002B283E" w:rsidRDefault="006A4CD7" w:rsidP="002B283E">
      <w:pPr>
        <w:pStyle w:val="Heading2"/>
      </w:pPr>
      <w:bookmarkStart w:id="106" w:name="_Toc221525148"/>
      <w:r w:rsidRPr="002B283E">
        <w:lastRenderedPageBreak/>
        <w:t>Introductory Comment</w:t>
      </w:r>
      <w:bookmarkEnd w:id="106"/>
    </w:p>
    <w:p w14:paraId="4A4F5502" w14:textId="77777777" w:rsidR="006A4CD7" w:rsidRPr="002B283E" w:rsidRDefault="006A4CD7" w:rsidP="002B283E">
      <w:pPr>
        <w:autoSpaceDE w:val="0"/>
        <w:autoSpaceDN w:val="0"/>
        <w:adjustRightInd w:val="0"/>
        <w:rPr>
          <w:rFonts w:cs="Times New Roman"/>
          <w:szCs w:val="24"/>
        </w:rPr>
      </w:pPr>
    </w:p>
    <w:p w14:paraId="607D082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These instructions are for use in an action for negligence under the Jones Act, 46 U.S.C. </w:t>
      </w:r>
    </w:p>
    <w:p w14:paraId="37AF1650" w14:textId="1DFD0EB6" w:rsidR="006A4CD7" w:rsidRPr="002B283E" w:rsidRDefault="006A4CD7" w:rsidP="002B283E">
      <w:pPr>
        <w:autoSpaceDE w:val="0"/>
        <w:autoSpaceDN w:val="0"/>
        <w:adjustRightInd w:val="0"/>
        <w:rPr>
          <w:rFonts w:cs="Times New Roman"/>
          <w:szCs w:val="24"/>
        </w:rPr>
      </w:pPr>
      <w:bookmarkStart w:id="107" w:name="_Hlk89761570"/>
      <w:r w:rsidRPr="002B283E">
        <w:rPr>
          <w:rFonts w:cs="Times New Roman"/>
          <w:szCs w:val="24"/>
        </w:rPr>
        <w:t>§</w:t>
      </w:r>
      <w:bookmarkEnd w:id="107"/>
      <w:r w:rsidRPr="002B283E">
        <w:rPr>
          <w:rFonts w:cs="Times New Roman"/>
          <w:szCs w:val="24"/>
        </w:rPr>
        <w:t xml:space="preserve"> 30104, and under the general maritime law for unseaworthiness and for maintenance and cure. A plaintiff must be a “seaman” to recover under any of these theories, and therefore Instruction 7.l is a threshold instruction on seaman status. Instructions 7.2</w:t>
      </w:r>
      <w:r w:rsidR="0036428B">
        <w:rPr>
          <w:rFonts w:cs="Times New Roman"/>
          <w:szCs w:val="24"/>
        </w:rPr>
        <w:t>-</w:t>
      </w:r>
      <w:r w:rsidRPr="002B283E">
        <w:rPr>
          <w:rFonts w:cs="Times New Roman"/>
          <w:szCs w:val="24"/>
        </w:rPr>
        <w:t>7.4 pertain to Jones Act negligence claims, Instructions 7.5</w:t>
      </w:r>
      <w:r w:rsidR="0036428B">
        <w:rPr>
          <w:rFonts w:cs="Times New Roman"/>
          <w:szCs w:val="24"/>
        </w:rPr>
        <w:t>-</w:t>
      </w:r>
      <w:r w:rsidRPr="002B283E">
        <w:rPr>
          <w:rFonts w:cs="Times New Roman"/>
          <w:szCs w:val="24"/>
        </w:rPr>
        <w:t>7.7 pertain to claims under the doctrine of unseaworthiness, Instructions 7.8</w:t>
      </w:r>
      <w:r w:rsidR="0036428B">
        <w:rPr>
          <w:rFonts w:cs="Times New Roman"/>
          <w:szCs w:val="24"/>
        </w:rPr>
        <w:t>-</w:t>
      </w:r>
      <w:r w:rsidRPr="002B283E">
        <w:rPr>
          <w:rFonts w:cs="Times New Roman"/>
          <w:szCs w:val="24"/>
        </w:rPr>
        <w:t xml:space="preserve">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sidRPr="002B283E">
        <w:rPr>
          <w:rFonts w:cs="Times New Roman"/>
          <w:smallCaps/>
          <w:szCs w:val="24"/>
        </w:rPr>
        <w:t>Admiralty and Maritime Law</w:t>
      </w:r>
      <w:r w:rsidRPr="002B283E">
        <w:rPr>
          <w:rFonts w:cs="Times New Roman"/>
          <w:szCs w:val="24"/>
        </w:rPr>
        <w:t xml:space="preserve"> § 6-25 (5th Ed. 2012).</w:t>
      </w:r>
    </w:p>
    <w:p w14:paraId="52F7D9D9" w14:textId="77777777" w:rsidR="006A4CD7" w:rsidRPr="002B283E" w:rsidRDefault="006A4CD7" w:rsidP="002B283E">
      <w:pPr>
        <w:autoSpaceDE w:val="0"/>
        <w:autoSpaceDN w:val="0"/>
        <w:adjustRightInd w:val="0"/>
        <w:rPr>
          <w:rFonts w:cs="Times New Roman"/>
          <w:szCs w:val="24"/>
        </w:rPr>
      </w:pPr>
    </w:p>
    <w:p w14:paraId="096D2B0F" w14:textId="39B05FD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sidRPr="002B283E">
        <w:rPr>
          <w:rFonts w:cs="Times New Roman"/>
          <w:i/>
          <w:iCs/>
          <w:szCs w:val="24"/>
        </w:rPr>
        <w:t>Se</w:t>
      </w:r>
      <w:r w:rsidRPr="00A15A8F">
        <w:rPr>
          <w:rFonts w:cs="Times New Roman"/>
          <w:i/>
          <w:iCs/>
          <w:szCs w:val="24"/>
        </w:rPr>
        <w:t>e,</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Stewart v. Dutra Constr. Co.</w:t>
      </w:r>
      <w:r w:rsidRPr="002B283E">
        <w:rPr>
          <w:rFonts w:cs="Times New Roman"/>
          <w:szCs w:val="24"/>
        </w:rPr>
        <w:t>, 543 U.S. 481, 489-97 (2005) (discussing “vessel” under Longshore and Harbor Workers’ Compensation Act);</w:t>
      </w:r>
      <w:r w:rsidRPr="002B283E">
        <w:rPr>
          <w:rFonts w:cs="Times New Roman"/>
          <w:i/>
          <w:iCs/>
          <w:szCs w:val="24"/>
        </w:rPr>
        <w:t xml:space="preserve"> Chandris, Inc. v. Latsis</w:t>
      </w:r>
      <w:r w:rsidRPr="00F22B65">
        <w:rPr>
          <w:rFonts w:cs="Times New Roman"/>
          <w:szCs w:val="24"/>
        </w:rPr>
        <w:t>,</w:t>
      </w:r>
      <w:r w:rsidRPr="002B283E">
        <w:rPr>
          <w:rFonts w:cs="Times New Roman"/>
          <w:i/>
          <w:iCs/>
          <w:szCs w:val="24"/>
        </w:rPr>
        <w:t xml:space="preserve"> </w:t>
      </w:r>
      <w:r w:rsidRPr="002B283E">
        <w:rPr>
          <w:rFonts w:cs="Times New Roman"/>
          <w:szCs w:val="24"/>
        </w:rPr>
        <w:t xml:space="preserve">515 U.S. 347 (1995) (discussing “crew member,” and “vessel”); </w:t>
      </w:r>
      <w:r w:rsidRPr="002B283E">
        <w:rPr>
          <w:rFonts w:cs="Times New Roman"/>
          <w:i/>
          <w:iCs/>
          <w:szCs w:val="24"/>
        </w:rPr>
        <w:t>Martinez v. Signature Seafoods Inc.</w:t>
      </w:r>
      <w:r w:rsidRPr="002B283E">
        <w:rPr>
          <w:rFonts w:cs="Times New Roman"/>
          <w:szCs w:val="24"/>
        </w:rPr>
        <w:t>, 303 F.3d 1132, 1135-37 (9th Cir. 2002) (discussing “vessel in navigation”).</w:t>
      </w:r>
    </w:p>
    <w:p w14:paraId="3C198E07" w14:textId="03151374" w:rsidR="006A4CD7" w:rsidRPr="002B283E" w:rsidRDefault="006A4CD7" w:rsidP="002B283E">
      <w:pPr>
        <w:pStyle w:val="Heading2"/>
      </w:pPr>
      <w:r w:rsidRPr="002B283E">
        <w:br w:type="page"/>
      </w:r>
      <w:bookmarkStart w:id="108" w:name="_Toc221525149"/>
      <w:r w:rsidRPr="002B283E">
        <w:lastRenderedPageBreak/>
        <w:t>7.1 S</w:t>
      </w:r>
      <w:r w:rsidR="004272A6" w:rsidRPr="002B283E">
        <w:t>eaman</w:t>
      </w:r>
      <w:r w:rsidRPr="002B283E">
        <w:t xml:space="preserve"> S</w:t>
      </w:r>
      <w:r w:rsidR="004272A6" w:rsidRPr="002B283E">
        <w:t>tatus</w:t>
      </w:r>
      <w:bookmarkEnd w:id="108"/>
    </w:p>
    <w:p w14:paraId="3B6A897F" w14:textId="77777777" w:rsidR="006A4CD7" w:rsidRPr="002B283E" w:rsidRDefault="006A4CD7" w:rsidP="002B283E">
      <w:pPr>
        <w:autoSpaceDE w:val="0"/>
        <w:autoSpaceDN w:val="0"/>
        <w:adjustRightInd w:val="0"/>
        <w:rPr>
          <w:rFonts w:cs="Times New Roman"/>
          <w:szCs w:val="24"/>
        </w:rPr>
      </w:pPr>
    </w:p>
    <w:p w14:paraId="5B8BE821" w14:textId="302F6C6D" w:rsidR="009E7299" w:rsidRPr="002B283E" w:rsidRDefault="009E7299" w:rsidP="002B283E">
      <w:pPr>
        <w:pStyle w:val="BodyText"/>
        <w:ind w:left="120" w:right="182" w:firstLine="720"/>
      </w:pPr>
      <w:r w:rsidRPr="002B283E">
        <w:t xml:space="preserve">The plaintiff </w:t>
      </w:r>
      <w:r w:rsidR="00D27EDE">
        <w:t>[</w:t>
      </w:r>
      <w:r w:rsidR="00D27EDE" w:rsidRPr="008A04C2">
        <w:rPr>
          <w:i/>
          <w:iCs/>
          <w:u w:val="single"/>
        </w:rPr>
        <w:t>name</w:t>
      </w:r>
      <w:r w:rsidR="00D27EDE">
        <w:t xml:space="preserve">] </w:t>
      </w:r>
      <w:r w:rsidRPr="002B283E">
        <w:t xml:space="preserve">seeks recovery against the defendant </w:t>
      </w:r>
      <w:r w:rsidR="00D27EDE">
        <w:t>[</w:t>
      </w:r>
      <w:r w:rsidR="00D27EDE" w:rsidRPr="009E2B37">
        <w:rPr>
          <w:i/>
          <w:iCs/>
          <w:u w:val="single"/>
        </w:rPr>
        <w:t>name</w:t>
      </w:r>
      <w:r w:rsidR="00D27EDE">
        <w:t xml:space="preserve">] </w:t>
      </w:r>
      <w:r w:rsidRPr="002B283E">
        <w:t>under the Jones</w:t>
      </w:r>
      <w:r w:rsidRPr="002B283E">
        <w:rPr>
          <w:spacing w:val="-3"/>
        </w:rPr>
        <w:t xml:space="preserve"> </w:t>
      </w:r>
      <w:r w:rsidRPr="002B283E">
        <w:t xml:space="preserve">Act for negligence. [[He] [She] </w:t>
      </w:r>
      <w:r w:rsidR="007A0652" w:rsidRPr="002B283E">
        <w:t>[</w:t>
      </w:r>
      <w:r w:rsidR="007A0652" w:rsidRPr="002B283E">
        <w:rPr>
          <w:i/>
          <w:iCs/>
          <w:u w:val="single"/>
        </w:rPr>
        <w:t>other pronoun</w:t>
      </w:r>
      <w:r w:rsidR="007A0652" w:rsidRPr="002B283E">
        <w:t>]</w:t>
      </w:r>
      <w:r w:rsidR="007A0652">
        <w:t xml:space="preserve"> </w:t>
      </w:r>
      <w:r w:rsidRPr="002B283E">
        <w:t>also seeks recovery under [general maritime law for unseaworthiness] [and] [maintenance</w:t>
      </w:r>
      <w:r w:rsidRPr="002B283E">
        <w:rPr>
          <w:spacing w:val="-4"/>
        </w:rPr>
        <w:t xml:space="preserve"> </w:t>
      </w:r>
      <w:r w:rsidRPr="002B283E">
        <w:t>and</w:t>
      </w:r>
      <w:r w:rsidRPr="002B283E">
        <w:rPr>
          <w:spacing w:val="-3"/>
        </w:rPr>
        <w:t xml:space="preserve"> </w:t>
      </w:r>
      <w:r w:rsidRPr="002B283E">
        <w:t>cure].]</w:t>
      </w:r>
      <w:r w:rsidRPr="002B283E">
        <w:rPr>
          <w:spacing w:val="40"/>
        </w:rPr>
        <w:t xml:space="preserve"> </w:t>
      </w:r>
      <w:r w:rsidRPr="002B283E">
        <w:t>Only</w:t>
      </w:r>
      <w:r w:rsidRPr="002B283E">
        <w:rPr>
          <w:spacing w:val="-4"/>
        </w:rPr>
        <w:t xml:space="preserve"> </w:t>
      </w:r>
      <w:r w:rsidRPr="002B283E">
        <w:t>a</w:t>
      </w:r>
      <w:r w:rsidRPr="002B283E">
        <w:rPr>
          <w:spacing w:val="-4"/>
        </w:rPr>
        <w:t xml:space="preserve"> </w:t>
      </w:r>
      <w:r w:rsidRPr="002B283E">
        <w:t>“seaman”</w:t>
      </w:r>
      <w:r w:rsidRPr="002B283E">
        <w:rPr>
          <w:spacing w:val="-4"/>
        </w:rPr>
        <w:t xml:space="preserve"> </w:t>
      </w:r>
      <w:r w:rsidRPr="002B283E">
        <w:t>can</w:t>
      </w:r>
      <w:r w:rsidRPr="002B283E">
        <w:rPr>
          <w:spacing w:val="-3"/>
        </w:rPr>
        <w:t xml:space="preserve"> </w:t>
      </w:r>
      <w:r w:rsidRPr="002B283E">
        <w:t>bring</w:t>
      </w:r>
      <w:r w:rsidRPr="002B283E">
        <w:rPr>
          <w:spacing w:val="-3"/>
        </w:rPr>
        <w:t xml:space="preserve"> </w:t>
      </w:r>
      <w:r w:rsidRPr="002B283E">
        <w:t>these</w:t>
      </w:r>
      <w:r w:rsidRPr="002B283E">
        <w:rPr>
          <w:spacing w:val="-4"/>
        </w:rPr>
        <w:t xml:space="preserve"> </w:t>
      </w:r>
      <w:r w:rsidRPr="002B283E">
        <w:t>claims.</w:t>
      </w:r>
      <w:r w:rsidR="00D27EDE">
        <w:rPr>
          <w:spacing w:val="40"/>
        </w:rPr>
        <w:t xml:space="preserve"> </w:t>
      </w:r>
      <w:r w:rsidRPr="002B283E">
        <w:t>The</w:t>
      </w:r>
      <w:r w:rsidRPr="002B283E">
        <w:rPr>
          <w:spacing w:val="-4"/>
        </w:rPr>
        <w:t xml:space="preserve"> </w:t>
      </w:r>
      <w:r w:rsidRPr="002B283E">
        <w:t>parties</w:t>
      </w:r>
      <w:r w:rsidRPr="002B283E">
        <w:rPr>
          <w:spacing w:val="-3"/>
        </w:rPr>
        <w:t xml:space="preserve"> </w:t>
      </w:r>
      <w:r w:rsidRPr="002B283E">
        <w:t>dispute</w:t>
      </w:r>
      <w:r w:rsidRPr="002B283E">
        <w:rPr>
          <w:spacing w:val="-4"/>
        </w:rPr>
        <w:t xml:space="preserve"> </w:t>
      </w:r>
      <w:r w:rsidRPr="002B283E">
        <w:t xml:space="preserve">whether or not the plaintiff </w:t>
      </w:r>
      <w:r w:rsidR="00D27EDE">
        <w:t>[</w:t>
      </w:r>
      <w:r w:rsidR="00D27EDE" w:rsidRPr="009E2B37">
        <w:rPr>
          <w:i/>
          <w:iCs/>
          <w:u w:val="single"/>
        </w:rPr>
        <w:t>name</w:t>
      </w:r>
      <w:r w:rsidR="00D27EDE">
        <w:t xml:space="preserve">] </w:t>
      </w:r>
      <w:r w:rsidRPr="002B283E">
        <w:t>was employed as a seaman.</w:t>
      </w:r>
    </w:p>
    <w:p w14:paraId="21551148" w14:textId="77777777" w:rsidR="009E7299" w:rsidRPr="002B283E" w:rsidRDefault="009E7299" w:rsidP="002B283E">
      <w:pPr>
        <w:pStyle w:val="BodyText"/>
      </w:pPr>
    </w:p>
    <w:p w14:paraId="5784C215" w14:textId="10E52EBA" w:rsidR="009E7299" w:rsidRPr="002B283E" w:rsidRDefault="009E7299" w:rsidP="002B283E">
      <w:pPr>
        <w:pStyle w:val="BodyText"/>
        <w:ind w:left="120" w:right="182" w:firstLine="720"/>
      </w:pPr>
      <w:r w:rsidRPr="002B283E">
        <w:t>The</w:t>
      </w:r>
      <w:r w:rsidRPr="002B283E">
        <w:rPr>
          <w:spacing w:val="-6"/>
        </w:rPr>
        <w:t xml:space="preserve"> </w:t>
      </w:r>
      <w:r w:rsidRPr="002B283E">
        <w:t>plaintiff</w:t>
      </w:r>
      <w:r w:rsidRPr="002B283E">
        <w:rPr>
          <w:spacing w:val="-6"/>
        </w:rPr>
        <w:t xml:space="preserve"> </w:t>
      </w:r>
      <w:r w:rsidR="00D27EDE">
        <w:t>[</w:t>
      </w:r>
      <w:r w:rsidR="00D27EDE" w:rsidRPr="009E2B37">
        <w:rPr>
          <w:i/>
          <w:iCs/>
          <w:u w:val="single"/>
        </w:rPr>
        <w:t>name</w:t>
      </w:r>
      <w:r w:rsidR="00D27EDE">
        <w:t xml:space="preserve">] </w:t>
      </w:r>
      <w:r w:rsidRPr="002B283E">
        <w:t>must</w:t>
      </w:r>
      <w:r w:rsidRPr="002B283E">
        <w:rPr>
          <w:spacing w:val="-5"/>
        </w:rPr>
        <w:t xml:space="preserve"> </w:t>
      </w:r>
      <w:r w:rsidRPr="002B283E">
        <w:t>prove</w:t>
      </w:r>
      <w:r w:rsidRPr="002B283E">
        <w:rPr>
          <w:spacing w:val="-4"/>
        </w:rPr>
        <w:t xml:space="preserve"> </w:t>
      </w:r>
      <w:r w:rsidRPr="002B283E">
        <w:t>that</w:t>
      </w:r>
      <w:r w:rsidRPr="002B283E">
        <w:rPr>
          <w:spacing w:val="-5"/>
        </w:rPr>
        <w:t xml:space="preserve"> </w:t>
      </w:r>
      <w:r w:rsidRPr="002B283E">
        <w:t>[he]</w:t>
      </w:r>
      <w:r w:rsidRPr="002B283E">
        <w:rPr>
          <w:spacing w:val="-6"/>
        </w:rPr>
        <w:t xml:space="preserve"> </w:t>
      </w:r>
      <w:r w:rsidRPr="002B283E">
        <w:t>[she]</w:t>
      </w:r>
      <w:r w:rsidRPr="002B283E">
        <w:rPr>
          <w:spacing w:val="-6"/>
        </w:rPr>
        <w:t xml:space="preserve"> </w:t>
      </w:r>
      <w:r w:rsidR="007A0652" w:rsidRPr="002B283E">
        <w:t>[</w:t>
      </w:r>
      <w:r w:rsidR="007A0652" w:rsidRPr="002B283E">
        <w:rPr>
          <w:i/>
          <w:iCs/>
          <w:u w:val="single"/>
        </w:rPr>
        <w:t>other pronoun</w:t>
      </w:r>
      <w:r w:rsidR="007A0652" w:rsidRPr="002B283E">
        <w:t>]</w:t>
      </w:r>
      <w:r w:rsidR="007A0652">
        <w:t xml:space="preserve"> </w:t>
      </w:r>
      <w:r w:rsidRPr="002B283E">
        <w:t>was</w:t>
      </w:r>
      <w:r w:rsidRPr="002B283E">
        <w:rPr>
          <w:spacing w:val="-3"/>
        </w:rPr>
        <w:t xml:space="preserve"> </w:t>
      </w:r>
      <w:r w:rsidRPr="002B283E">
        <w:t>a</w:t>
      </w:r>
      <w:r w:rsidRPr="002B283E">
        <w:rPr>
          <w:spacing w:val="-6"/>
        </w:rPr>
        <w:t xml:space="preserve"> </w:t>
      </w:r>
      <w:r w:rsidRPr="002B283E">
        <w:t>“seaman”</w:t>
      </w:r>
      <w:r w:rsidRPr="002B283E">
        <w:rPr>
          <w:spacing w:val="-6"/>
        </w:rPr>
        <w:t xml:space="preserve"> </w:t>
      </w:r>
      <w:r w:rsidRPr="002B283E">
        <w:t>to</w:t>
      </w:r>
      <w:r w:rsidRPr="002B283E">
        <w:rPr>
          <w:spacing w:val="-5"/>
        </w:rPr>
        <w:t xml:space="preserve"> </w:t>
      </w:r>
      <w:r w:rsidRPr="002B283E">
        <w:t>recover.</w:t>
      </w:r>
      <w:r w:rsidRPr="002B283E">
        <w:rPr>
          <w:spacing w:val="40"/>
        </w:rPr>
        <w:t xml:space="preserve"> </w:t>
      </w:r>
      <w:r w:rsidRPr="002B283E">
        <w:t>To</w:t>
      </w:r>
      <w:r w:rsidRPr="002B283E">
        <w:rPr>
          <w:spacing w:val="-5"/>
        </w:rPr>
        <w:t xml:space="preserve"> </w:t>
      </w:r>
      <w:r w:rsidRPr="002B283E">
        <w:t xml:space="preserve">prove seaman status, the plaintiff </w:t>
      </w:r>
      <w:r w:rsidR="00D27EDE">
        <w:t>[</w:t>
      </w:r>
      <w:r w:rsidR="00D27EDE" w:rsidRPr="009E2B37">
        <w:rPr>
          <w:i/>
          <w:iCs/>
          <w:u w:val="single"/>
        </w:rPr>
        <w:t>name</w:t>
      </w:r>
      <w:r w:rsidR="00D27EDE">
        <w:t xml:space="preserve">] </w:t>
      </w:r>
      <w:r w:rsidRPr="002B283E">
        <w:t xml:space="preserve">must prove the following elements by a preponderance of the </w:t>
      </w:r>
      <w:r w:rsidRPr="002B283E">
        <w:rPr>
          <w:spacing w:val="-2"/>
        </w:rPr>
        <w:t>evidence:</w:t>
      </w:r>
    </w:p>
    <w:p w14:paraId="1B16920C" w14:textId="77777777" w:rsidR="009E7299" w:rsidRPr="002B283E" w:rsidRDefault="009E7299" w:rsidP="002B283E">
      <w:pPr>
        <w:pStyle w:val="BodyText"/>
      </w:pPr>
    </w:p>
    <w:p w14:paraId="4BED97D9" w14:textId="474A2674" w:rsidR="009E7299" w:rsidRPr="002B283E" w:rsidRDefault="009E7299" w:rsidP="008A04C2">
      <w:pPr>
        <w:pStyle w:val="BodyText"/>
        <w:tabs>
          <w:tab w:val="left" w:pos="2279"/>
        </w:tabs>
        <w:ind w:left="90" w:right="325" w:firstLine="750"/>
      </w:pPr>
      <w:r w:rsidRPr="002B283E">
        <w:t xml:space="preserve">First, the plaintiff </w:t>
      </w:r>
      <w:r w:rsidR="00D27EDE">
        <w:t>[</w:t>
      </w:r>
      <w:r w:rsidR="00D27EDE" w:rsidRPr="009E2B37">
        <w:rPr>
          <w:i/>
          <w:iCs/>
          <w:u w:val="single"/>
        </w:rPr>
        <w:t>name</w:t>
      </w:r>
      <w:r w:rsidR="00D27EDE">
        <w:t xml:space="preserve">] </w:t>
      </w:r>
      <w:r w:rsidRPr="002B283E">
        <w:t>contributed to the mission or operation of [a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in</w:t>
      </w:r>
      <w:r w:rsidRPr="002B283E">
        <w:rPr>
          <w:spacing w:val="-4"/>
        </w:rPr>
        <w:t xml:space="preserve"> </w:t>
      </w:r>
      <w:r w:rsidRPr="002B283E">
        <w:t>navigation,</w:t>
      </w:r>
      <w:r w:rsidRPr="002B283E">
        <w:rPr>
          <w:spacing w:val="-4"/>
        </w:rPr>
        <w:t xml:space="preserve"> </w:t>
      </w:r>
      <w:r w:rsidRPr="002B283E">
        <w:t>whether</w:t>
      </w:r>
      <w:r w:rsidRPr="002B283E">
        <w:rPr>
          <w:spacing w:val="-4"/>
        </w:rPr>
        <w:t xml:space="preserve"> </w:t>
      </w:r>
      <w:r w:rsidRPr="002B283E">
        <w:t>underway</w:t>
      </w:r>
      <w:r w:rsidRPr="002B283E">
        <w:rPr>
          <w:spacing w:val="-4"/>
        </w:rPr>
        <w:t xml:space="preserve"> </w:t>
      </w:r>
      <w:r w:rsidRPr="002B283E">
        <w:t>or</w:t>
      </w:r>
      <w:r w:rsidRPr="002B283E">
        <w:rPr>
          <w:spacing w:val="-3"/>
        </w:rPr>
        <w:t xml:space="preserve"> </w:t>
      </w:r>
      <w:r w:rsidRPr="002B283E">
        <w:t>at</w:t>
      </w:r>
      <w:r w:rsidRPr="002B283E">
        <w:rPr>
          <w:spacing w:val="-4"/>
        </w:rPr>
        <w:t xml:space="preserve"> </w:t>
      </w:r>
      <w:r w:rsidRPr="002B283E">
        <w:t>anchor;</w:t>
      </w:r>
      <w:r w:rsidRPr="002B283E">
        <w:rPr>
          <w:spacing w:val="-4"/>
        </w:rPr>
        <w:t xml:space="preserve"> </w:t>
      </w:r>
      <w:r w:rsidRPr="002B283E">
        <w:t>and</w:t>
      </w:r>
    </w:p>
    <w:p w14:paraId="74E7303A" w14:textId="77777777" w:rsidR="009E7299" w:rsidRPr="002B283E" w:rsidRDefault="009E7299" w:rsidP="008A04C2">
      <w:pPr>
        <w:pStyle w:val="BodyText"/>
        <w:ind w:left="90" w:firstLine="750"/>
      </w:pPr>
    </w:p>
    <w:p w14:paraId="64321D73" w14:textId="4807BABE" w:rsidR="009E7299" w:rsidRPr="002B283E" w:rsidRDefault="009E7299" w:rsidP="008A04C2">
      <w:pPr>
        <w:pStyle w:val="BodyText"/>
        <w:ind w:left="90" w:right="433" w:firstLine="750"/>
        <w:jc w:val="both"/>
      </w:pPr>
      <w:r w:rsidRPr="002B283E">
        <w:t xml:space="preserve">Second, the plaintiff </w:t>
      </w:r>
      <w:r w:rsidR="00D27EDE">
        <w:t>[</w:t>
      </w:r>
      <w:r w:rsidR="00D27EDE" w:rsidRPr="009E2B37">
        <w:rPr>
          <w:i/>
          <w:iCs/>
          <w:u w:val="single"/>
        </w:rPr>
        <w:t>name</w:t>
      </w:r>
      <w:r w:rsidR="00D27EDE">
        <w:t xml:space="preserve">] </w:t>
      </w:r>
      <w:r w:rsidRPr="002B283E">
        <w:t>had an employment-related connection to [the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that</w:t>
      </w:r>
      <w:r w:rsidRPr="002B283E">
        <w:rPr>
          <w:spacing w:val="-4"/>
        </w:rPr>
        <w:t xml:space="preserve"> </w:t>
      </w:r>
      <w:r w:rsidRPr="002B283E">
        <w:t>was</w:t>
      </w:r>
      <w:r w:rsidRPr="002B283E">
        <w:rPr>
          <w:spacing w:val="-4"/>
        </w:rPr>
        <w:t xml:space="preserve"> </w:t>
      </w:r>
      <w:r w:rsidRPr="002B283E">
        <w:t>substantial</w:t>
      </w:r>
      <w:r w:rsidRPr="002B283E">
        <w:rPr>
          <w:spacing w:val="-4"/>
        </w:rPr>
        <w:t xml:space="preserve"> </w:t>
      </w:r>
      <w:r w:rsidRPr="002B283E">
        <w:t>in</w:t>
      </w:r>
      <w:r w:rsidRPr="002B283E">
        <w:rPr>
          <w:spacing w:val="-4"/>
        </w:rPr>
        <w:t xml:space="preserve"> </w:t>
      </w:r>
      <w:r w:rsidRPr="002B283E">
        <w:t>terms</w:t>
      </w:r>
      <w:r w:rsidRPr="002B283E">
        <w:rPr>
          <w:spacing w:val="-4"/>
        </w:rPr>
        <w:t xml:space="preserve"> </w:t>
      </w:r>
      <w:r w:rsidRPr="002B283E">
        <w:t>of</w:t>
      </w:r>
      <w:r w:rsidRPr="002B283E">
        <w:rPr>
          <w:spacing w:val="-4"/>
        </w:rPr>
        <w:t xml:space="preserve"> </w:t>
      </w:r>
      <w:r w:rsidRPr="002B283E">
        <w:t>both</w:t>
      </w:r>
      <w:r w:rsidRPr="002B283E">
        <w:rPr>
          <w:spacing w:val="-4"/>
        </w:rPr>
        <w:t xml:space="preserve"> </w:t>
      </w:r>
      <w:r w:rsidRPr="002B283E">
        <w:t>duration</w:t>
      </w:r>
      <w:r w:rsidRPr="002B283E">
        <w:rPr>
          <w:spacing w:val="-2"/>
        </w:rPr>
        <w:t xml:space="preserve"> </w:t>
      </w:r>
      <w:r w:rsidRPr="002B283E">
        <w:t xml:space="preserve">and </w:t>
      </w:r>
      <w:r w:rsidRPr="002B283E">
        <w:rPr>
          <w:spacing w:val="-2"/>
        </w:rPr>
        <w:t>nature.</w:t>
      </w:r>
    </w:p>
    <w:p w14:paraId="71A0B2B2" w14:textId="77777777" w:rsidR="009E7299" w:rsidRPr="002B283E" w:rsidRDefault="009E7299" w:rsidP="002B283E">
      <w:pPr>
        <w:pStyle w:val="BodyText"/>
      </w:pPr>
    </w:p>
    <w:p w14:paraId="3CF44269" w14:textId="77777777" w:rsidR="009E7299" w:rsidRPr="002B283E" w:rsidRDefault="009E7299" w:rsidP="002B283E">
      <w:pPr>
        <w:pStyle w:val="BodyText"/>
        <w:ind w:left="120" w:right="272" w:firstLine="720"/>
        <w:jc w:val="both"/>
      </w:pPr>
      <w:r w:rsidRPr="002B283E">
        <w:t>The</w:t>
      </w:r>
      <w:r w:rsidRPr="002B283E">
        <w:rPr>
          <w:spacing w:val="-4"/>
        </w:rPr>
        <w:t xml:space="preserve"> </w:t>
      </w:r>
      <w:r w:rsidRPr="002B283E">
        <w:t>phrase</w:t>
      </w:r>
      <w:r w:rsidRPr="002B283E">
        <w:rPr>
          <w:spacing w:val="-2"/>
        </w:rPr>
        <w:t xml:space="preserve"> </w:t>
      </w:r>
      <w:r w:rsidRPr="002B283E">
        <w:t>“vessel</w:t>
      </w:r>
      <w:r w:rsidRPr="002B283E">
        <w:rPr>
          <w:spacing w:val="-3"/>
        </w:rPr>
        <w:t xml:space="preserve"> </w:t>
      </w:r>
      <w:r w:rsidRPr="002B283E">
        <w:t>in</w:t>
      </w:r>
      <w:r w:rsidRPr="002B283E">
        <w:rPr>
          <w:spacing w:val="-3"/>
        </w:rPr>
        <w:t xml:space="preserve"> </w:t>
      </w:r>
      <w:r w:rsidRPr="002B283E">
        <w:t>navigation”</w:t>
      </w:r>
      <w:r w:rsidRPr="002B283E">
        <w:rPr>
          <w:spacing w:val="-4"/>
        </w:rPr>
        <w:t xml:space="preserve"> </w:t>
      </w:r>
      <w:r w:rsidRPr="002B283E">
        <w:t>is</w:t>
      </w:r>
      <w:r w:rsidRPr="002B283E">
        <w:rPr>
          <w:spacing w:val="-3"/>
        </w:rPr>
        <w:t xml:space="preserve"> </w:t>
      </w:r>
      <w:r w:rsidRPr="002B283E">
        <w:t>not</w:t>
      </w:r>
      <w:r w:rsidRPr="002B283E">
        <w:rPr>
          <w:spacing w:val="-3"/>
        </w:rPr>
        <w:t xml:space="preserve"> </w:t>
      </w:r>
      <w:r w:rsidRPr="002B283E">
        <w:t>limited</w:t>
      </w:r>
      <w:r w:rsidRPr="002B283E">
        <w:rPr>
          <w:spacing w:val="-3"/>
        </w:rPr>
        <w:t xml:space="preserve"> </w:t>
      </w:r>
      <w:r w:rsidRPr="002B283E">
        <w:t>to</w:t>
      </w:r>
      <w:r w:rsidRPr="002B283E">
        <w:rPr>
          <w:spacing w:val="-3"/>
        </w:rPr>
        <w:t xml:space="preserve"> </w:t>
      </w:r>
      <w:r w:rsidRPr="002B283E">
        <w:t>traditional</w:t>
      </w:r>
      <w:r w:rsidRPr="002B283E">
        <w:rPr>
          <w:spacing w:val="-3"/>
        </w:rPr>
        <w:t xml:space="preserve"> </w:t>
      </w:r>
      <w:r w:rsidRPr="002B283E">
        <w:t>ships</w:t>
      </w:r>
      <w:r w:rsidRPr="002B283E">
        <w:rPr>
          <w:spacing w:val="-3"/>
        </w:rPr>
        <w:t xml:space="preserve"> </w:t>
      </w:r>
      <w:r w:rsidRPr="002B283E">
        <w:t>or</w:t>
      </w:r>
      <w:r w:rsidRPr="002B283E">
        <w:rPr>
          <w:spacing w:val="-4"/>
        </w:rPr>
        <w:t xml:space="preserve"> </w:t>
      </w:r>
      <w:r w:rsidRPr="002B283E">
        <w:t>boats</w:t>
      </w:r>
      <w:r w:rsidRPr="002B283E">
        <w:rPr>
          <w:spacing w:val="-3"/>
        </w:rPr>
        <w:t xml:space="preserve"> </w:t>
      </w:r>
      <w:r w:rsidRPr="002B283E">
        <w:t>but</w:t>
      </w:r>
      <w:r w:rsidRPr="002B283E">
        <w:rPr>
          <w:spacing w:val="-3"/>
        </w:rPr>
        <w:t xml:space="preserve"> </w:t>
      </w:r>
      <w:r w:rsidRPr="002B283E">
        <w:t>includes every type of watercraft or artificial contrivance used, or practically capable of being used, as a means of transportation on water.</w:t>
      </w:r>
    </w:p>
    <w:p w14:paraId="01A497C8" w14:textId="77777777" w:rsidR="009E7299" w:rsidRPr="002B283E" w:rsidRDefault="009E7299" w:rsidP="002B283E">
      <w:pPr>
        <w:pStyle w:val="BodyText"/>
      </w:pPr>
    </w:p>
    <w:p w14:paraId="225F7AC5" w14:textId="105C641F" w:rsidR="009E7299" w:rsidRPr="002B283E" w:rsidRDefault="009E7299" w:rsidP="002B283E">
      <w:pPr>
        <w:pStyle w:val="BodyText"/>
        <w:ind w:left="120" w:right="308" w:firstLine="720"/>
        <w:jc w:val="both"/>
      </w:pPr>
      <w:r w:rsidRPr="002B283E">
        <w:t>The</w:t>
      </w:r>
      <w:r w:rsidRPr="002B283E">
        <w:rPr>
          <w:spacing w:val="-5"/>
        </w:rPr>
        <w:t xml:space="preserve"> </w:t>
      </w:r>
      <w:r w:rsidRPr="002B283E">
        <w:t>phrase</w:t>
      </w:r>
      <w:r w:rsidRPr="002B283E">
        <w:rPr>
          <w:spacing w:val="-3"/>
        </w:rPr>
        <w:t xml:space="preserve"> </w:t>
      </w:r>
      <w:r w:rsidRPr="002B283E">
        <w:t>“substantial</w:t>
      </w:r>
      <w:r w:rsidRPr="002B283E">
        <w:rPr>
          <w:spacing w:val="-4"/>
        </w:rPr>
        <w:t xml:space="preserve"> </w:t>
      </w:r>
      <w:r w:rsidRPr="002B283E">
        <w:t>in</w:t>
      </w:r>
      <w:r w:rsidRPr="002B283E">
        <w:rPr>
          <w:spacing w:val="-4"/>
        </w:rPr>
        <w:t xml:space="preserve"> </w:t>
      </w:r>
      <w:r w:rsidRPr="002B283E">
        <w:t>duration”</w:t>
      </w:r>
      <w:r w:rsidRPr="002B283E">
        <w:rPr>
          <w:spacing w:val="-5"/>
        </w:rPr>
        <w:t xml:space="preserve"> </w:t>
      </w:r>
      <w:r w:rsidRPr="002B283E">
        <w:t>means</w:t>
      </w:r>
      <w:r w:rsidRPr="002B283E">
        <w:rPr>
          <w:spacing w:val="-4"/>
        </w:rPr>
        <w:t xml:space="preserve"> </w:t>
      </w:r>
      <w:r w:rsidRPr="002B283E">
        <w:t>that</w:t>
      </w:r>
      <w:r w:rsidRPr="002B283E">
        <w:rPr>
          <w:spacing w:val="-4"/>
        </w:rPr>
        <w:t xml:space="preserve"> </w:t>
      </w:r>
      <w:r w:rsidRPr="002B283E">
        <w:t>the</w:t>
      </w:r>
      <w:r w:rsidRPr="002B283E">
        <w:rPr>
          <w:spacing w:val="-5"/>
        </w:rPr>
        <w:t xml:space="preserve"> </w:t>
      </w:r>
      <w:r w:rsidRPr="002B283E">
        <w:t>plaintiff</w:t>
      </w:r>
      <w:r w:rsidR="00D27EDE">
        <w:t xml:space="preserve"> [</w:t>
      </w:r>
      <w:r w:rsidR="00D27EDE" w:rsidRPr="009E2B37">
        <w:rPr>
          <w:i/>
          <w:iCs/>
          <w:u w:val="single"/>
        </w:rPr>
        <w:t>name</w:t>
      </w:r>
      <w:r w:rsidR="00D27EDE">
        <w:t>]</w:t>
      </w:r>
      <w:r w:rsidRPr="002B283E">
        <w:t>’s</w:t>
      </w:r>
      <w:r w:rsidRPr="002B283E">
        <w:rPr>
          <w:spacing w:val="-4"/>
        </w:rPr>
        <w:t xml:space="preserve"> </w:t>
      </w:r>
      <w:r w:rsidRPr="002B283E">
        <w:t>connection</w:t>
      </w:r>
      <w:r w:rsidRPr="002B283E">
        <w:rPr>
          <w:spacing w:val="-4"/>
        </w:rPr>
        <w:t xml:space="preserve"> </w:t>
      </w:r>
      <w:r w:rsidRPr="002B283E">
        <w:t>to</w:t>
      </w:r>
      <w:r w:rsidRPr="002B283E">
        <w:rPr>
          <w:spacing w:val="-4"/>
        </w:rPr>
        <w:t xml:space="preserve"> </w:t>
      </w:r>
      <w:r w:rsidRPr="002B283E">
        <w:t>[the</w:t>
      </w:r>
      <w:r w:rsidRPr="002B283E">
        <w:rPr>
          <w:spacing w:val="-5"/>
        </w:rPr>
        <w:t xml:space="preserve"> </w:t>
      </w:r>
      <w:r w:rsidRPr="002B283E">
        <w:t>vessel] [an identifiable group of vessels] must be more than merely sporadic, temporary, or incidental.</w:t>
      </w:r>
    </w:p>
    <w:p w14:paraId="43F5AA5D" w14:textId="77777777" w:rsidR="009E7299" w:rsidRPr="002B283E" w:rsidRDefault="009E7299" w:rsidP="002B283E">
      <w:pPr>
        <w:pStyle w:val="BodyText"/>
      </w:pPr>
    </w:p>
    <w:p w14:paraId="42958C1D" w14:textId="6CF0F894" w:rsidR="009E7299" w:rsidRPr="002B283E" w:rsidRDefault="009E7299" w:rsidP="002B283E">
      <w:pPr>
        <w:pStyle w:val="BodyText"/>
        <w:ind w:left="120" w:right="288" w:firstLine="720"/>
        <w:jc w:val="both"/>
      </w:pPr>
      <w:r w:rsidRPr="002B283E">
        <w:t>The</w:t>
      </w:r>
      <w:r w:rsidRPr="002B283E">
        <w:rPr>
          <w:spacing w:val="-4"/>
        </w:rPr>
        <w:t xml:space="preserve"> </w:t>
      </w:r>
      <w:r w:rsidRPr="002B283E">
        <w:t>phrase</w:t>
      </w:r>
      <w:r w:rsidRPr="002B283E">
        <w:rPr>
          <w:spacing w:val="-2"/>
        </w:rPr>
        <w:t xml:space="preserve"> </w:t>
      </w:r>
      <w:r w:rsidRPr="002B283E">
        <w:t>“substantial</w:t>
      </w:r>
      <w:r w:rsidRPr="002B283E">
        <w:rPr>
          <w:spacing w:val="-3"/>
        </w:rPr>
        <w:t xml:space="preserve"> </w:t>
      </w:r>
      <w:r w:rsidRPr="002B283E">
        <w:t>in</w:t>
      </w:r>
      <w:r w:rsidRPr="002B283E">
        <w:rPr>
          <w:spacing w:val="-3"/>
        </w:rPr>
        <w:t xml:space="preserve"> </w:t>
      </w:r>
      <w:r w:rsidRPr="002B283E">
        <w:t>nature”</w:t>
      </w:r>
      <w:r w:rsidRPr="002B283E">
        <w:rPr>
          <w:spacing w:val="-4"/>
        </w:rPr>
        <w:t xml:space="preserve"> </w:t>
      </w:r>
      <w:r w:rsidRPr="002B283E">
        <w:t>means</w:t>
      </w:r>
      <w:r w:rsidRPr="002B283E">
        <w:rPr>
          <w:spacing w:val="-3"/>
        </w:rPr>
        <w:t xml:space="preserve"> </w:t>
      </w:r>
      <w:r w:rsidRPr="002B283E">
        <w:t>that</w:t>
      </w:r>
      <w:r w:rsidRPr="002B283E">
        <w:rPr>
          <w:spacing w:val="-3"/>
        </w:rPr>
        <w:t xml:space="preserve"> </w:t>
      </w:r>
      <w:r w:rsidRPr="002B283E">
        <w:t>it</w:t>
      </w:r>
      <w:r w:rsidRPr="002B283E">
        <w:rPr>
          <w:spacing w:val="-3"/>
        </w:rPr>
        <w:t xml:space="preserve"> </w:t>
      </w:r>
      <w:r w:rsidRPr="002B283E">
        <w:t>must</w:t>
      </w:r>
      <w:r w:rsidRPr="002B283E">
        <w:rPr>
          <w:spacing w:val="-3"/>
        </w:rPr>
        <w:t xml:space="preserve"> </w:t>
      </w:r>
      <w:r w:rsidRPr="002B283E">
        <w:t>regularly</w:t>
      </w:r>
      <w:r w:rsidRPr="002B283E">
        <w:rPr>
          <w:spacing w:val="-3"/>
        </w:rPr>
        <w:t xml:space="preserve"> </w:t>
      </w:r>
      <w:r w:rsidRPr="002B283E">
        <w:t>expose</w:t>
      </w:r>
      <w:r w:rsidRPr="002B283E">
        <w:rPr>
          <w:spacing w:val="-2"/>
        </w:rPr>
        <w:t xml:space="preserve"> </w:t>
      </w:r>
      <w:r w:rsidRPr="002B283E">
        <w:t>[him]</w:t>
      </w:r>
      <w:r w:rsidRPr="002B283E">
        <w:rPr>
          <w:spacing w:val="-4"/>
        </w:rPr>
        <w:t xml:space="preserve"> </w:t>
      </w:r>
      <w:r w:rsidRPr="002B283E">
        <w:t>[her]</w:t>
      </w:r>
      <w:r w:rsidRPr="002B283E">
        <w:rPr>
          <w:spacing w:val="-4"/>
        </w:rPr>
        <w:t xml:space="preserve"> </w:t>
      </w:r>
      <w:r w:rsidR="00D27EDE" w:rsidRPr="002B283E">
        <w:t>[</w:t>
      </w:r>
      <w:r w:rsidR="00D27EDE" w:rsidRPr="002B283E">
        <w:rPr>
          <w:i/>
          <w:iCs/>
          <w:u w:val="single"/>
        </w:rPr>
        <w:t>other pronoun</w:t>
      </w:r>
      <w:r w:rsidR="00D27EDE" w:rsidRPr="002B283E">
        <w:t>]</w:t>
      </w:r>
      <w:r w:rsidR="00D27EDE">
        <w:t xml:space="preserve"> </w:t>
      </w:r>
      <w:r w:rsidRPr="002B283E">
        <w:t>to</w:t>
      </w:r>
      <w:r w:rsidRPr="002B283E">
        <w:rPr>
          <w:spacing w:val="-3"/>
        </w:rPr>
        <w:t xml:space="preserve"> </w:t>
      </w:r>
      <w:r w:rsidRPr="002B283E">
        <w:t>the special hazards and disadvantages that are characteristic of a seaman’s work.</w:t>
      </w:r>
    </w:p>
    <w:p w14:paraId="7E2CF9EA" w14:textId="77777777" w:rsidR="009E7299" w:rsidRPr="002B283E" w:rsidRDefault="009E7299" w:rsidP="002B283E">
      <w:pPr>
        <w:pStyle w:val="BodyText"/>
      </w:pPr>
    </w:p>
    <w:p w14:paraId="1E7C8DDB" w14:textId="77777777" w:rsidR="009E7299" w:rsidRPr="002B283E" w:rsidRDefault="009E7299" w:rsidP="002B283E">
      <w:pPr>
        <w:jc w:val="center"/>
        <w:rPr>
          <w:rFonts w:cs="Times New Roman"/>
          <w:b/>
          <w:bCs/>
          <w:szCs w:val="24"/>
        </w:rPr>
      </w:pPr>
      <w:r w:rsidRPr="002B283E">
        <w:rPr>
          <w:rFonts w:cs="Times New Roman"/>
          <w:b/>
          <w:bCs/>
          <w:szCs w:val="24"/>
        </w:rPr>
        <w:t>Comment</w:t>
      </w:r>
    </w:p>
    <w:p w14:paraId="2B5ACA2D" w14:textId="77777777" w:rsidR="009E7299" w:rsidRPr="002B283E" w:rsidRDefault="009E7299" w:rsidP="002B283E">
      <w:pPr>
        <w:pStyle w:val="BodyText"/>
        <w:rPr>
          <w:b/>
        </w:rPr>
      </w:pPr>
    </w:p>
    <w:p w14:paraId="75B0223F" w14:textId="0815B514" w:rsidR="00B50320" w:rsidRPr="00B50320" w:rsidRDefault="002F1238" w:rsidP="008A04C2">
      <w:pPr>
        <w:adjustRightInd w:val="0"/>
        <w:ind w:firstLine="720"/>
      </w:pPr>
      <w:r>
        <w:rPr>
          <w:rFonts w:cs="Times New Roman"/>
          <w:szCs w:val="24"/>
        </w:rPr>
        <w:t>To</w:t>
      </w:r>
      <w:r w:rsidR="009E7299" w:rsidRPr="002B283E">
        <w:rPr>
          <w:rFonts w:cs="Times New Roman"/>
          <w:szCs w:val="24"/>
        </w:rPr>
        <w:t xml:space="preserve"> recover for negligence under the Jones</w:t>
      </w:r>
      <w:r w:rsidR="009E7299" w:rsidRPr="002B283E">
        <w:rPr>
          <w:rFonts w:cs="Times New Roman"/>
          <w:spacing w:val="-3"/>
          <w:szCs w:val="24"/>
        </w:rPr>
        <w:t xml:space="preserve"> </w:t>
      </w:r>
      <w:r w:rsidR="009E7299" w:rsidRPr="002B283E">
        <w:rPr>
          <w:rFonts w:cs="Times New Roman"/>
          <w:szCs w:val="24"/>
        </w:rPr>
        <w:t>Act, under the doctrine of unseaworthiness, or under a claim for maintenance and cure, the plaintiff must be a “seaman” and must satisfy a two-element test.</w:t>
      </w:r>
      <w:r w:rsidR="009E7299" w:rsidRPr="002B283E">
        <w:rPr>
          <w:rFonts w:cs="Times New Roman"/>
          <w:spacing w:val="40"/>
          <w:szCs w:val="24"/>
        </w:rPr>
        <w:t xml:space="preserve"> </w:t>
      </w:r>
      <w:r w:rsidR="009E7299" w:rsidRPr="002B283E">
        <w:rPr>
          <w:rFonts w:cs="Times New Roman"/>
          <w:i/>
          <w:szCs w:val="24"/>
        </w:rPr>
        <w:t>See Harbor Tug &amp; Barge Co. v. Papai</w:t>
      </w:r>
      <w:r w:rsidR="009E7299" w:rsidRPr="002B283E">
        <w:rPr>
          <w:rFonts w:cs="Times New Roman"/>
          <w:szCs w:val="24"/>
        </w:rPr>
        <w:t xml:space="preserve">, 520 U.S. 548, 554 (1997); </w:t>
      </w:r>
      <w:r w:rsidR="009E7299" w:rsidRPr="002B283E">
        <w:rPr>
          <w:rFonts w:cs="Times New Roman"/>
          <w:i/>
          <w:szCs w:val="24"/>
        </w:rPr>
        <w:t>Chandris, Inc. v. Latsis</w:t>
      </w:r>
      <w:r w:rsidR="009E7299" w:rsidRPr="002B283E">
        <w:rPr>
          <w:rFonts w:cs="Times New Roman"/>
          <w:szCs w:val="24"/>
        </w:rPr>
        <w:t xml:space="preserve">, 515 U.S. 347, 355 (1995); </w:t>
      </w:r>
      <w:r w:rsidR="009E7299" w:rsidRPr="002B283E">
        <w:rPr>
          <w:rFonts w:cs="Times New Roman"/>
          <w:i/>
          <w:szCs w:val="24"/>
        </w:rPr>
        <w:t>Gizoni v. Sw. Marine Inc.</w:t>
      </w:r>
      <w:r w:rsidR="009E7299" w:rsidRPr="002B283E">
        <w:rPr>
          <w:rFonts w:cs="Times New Roman"/>
          <w:szCs w:val="24"/>
        </w:rPr>
        <w:t>, 56 F.3d 1138, 1141 (9th Cir. 1995).</w:t>
      </w:r>
      <w:r w:rsidR="00D27EDE">
        <w:rPr>
          <w:rFonts w:cs="Times New Roman"/>
          <w:spacing w:val="40"/>
          <w:szCs w:val="24"/>
        </w:rPr>
        <w:t xml:space="preserve"> </w:t>
      </w:r>
      <w:r w:rsidR="009E7299" w:rsidRPr="002B283E">
        <w:rPr>
          <w:rFonts w:cs="Times New Roman"/>
          <w:szCs w:val="24"/>
        </w:rPr>
        <w:t>The seaman inquiry is a mixed question of law and fact, and when necessary,</w:t>
      </w:r>
      <w:r w:rsidR="009E7299" w:rsidRPr="002B283E">
        <w:rPr>
          <w:rFonts w:cs="Times New Roman"/>
          <w:spacing w:val="-8"/>
          <w:szCs w:val="24"/>
        </w:rPr>
        <w:t xml:space="preserve"> </w:t>
      </w:r>
      <w:r w:rsidR="009E7299" w:rsidRPr="002B283E">
        <w:rPr>
          <w:rFonts w:cs="Times New Roman"/>
          <w:szCs w:val="24"/>
        </w:rPr>
        <w:t>should</w:t>
      </w:r>
      <w:r w:rsidR="009E7299" w:rsidRPr="002B283E">
        <w:rPr>
          <w:rFonts w:cs="Times New Roman"/>
          <w:spacing w:val="-8"/>
          <w:szCs w:val="24"/>
        </w:rPr>
        <w:t xml:space="preserve"> </w:t>
      </w:r>
      <w:r w:rsidR="009E7299" w:rsidRPr="002B283E">
        <w:rPr>
          <w:rFonts w:cs="Times New Roman"/>
          <w:szCs w:val="24"/>
        </w:rPr>
        <w:t>be</w:t>
      </w:r>
      <w:r w:rsidR="009E7299" w:rsidRPr="002B283E">
        <w:rPr>
          <w:rFonts w:cs="Times New Roman"/>
          <w:spacing w:val="-9"/>
          <w:szCs w:val="24"/>
        </w:rPr>
        <w:t xml:space="preserve"> </w:t>
      </w:r>
      <w:r w:rsidR="009E7299" w:rsidRPr="002B283E">
        <w:rPr>
          <w:rFonts w:cs="Times New Roman"/>
          <w:szCs w:val="24"/>
        </w:rPr>
        <w:t>submitted</w:t>
      </w:r>
      <w:r w:rsidR="009E7299" w:rsidRPr="002B283E">
        <w:rPr>
          <w:rFonts w:cs="Times New Roman"/>
          <w:spacing w:val="-8"/>
          <w:szCs w:val="24"/>
        </w:rPr>
        <w:t xml:space="preserve"> </w:t>
      </w:r>
      <w:r w:rsidR="009E7299" w:rsidRPr="002B283E">
        <w:rPr>
          <w:rFonts w:cs="Times New Roman"/>
          <w:szCs w:val="24"/>
        </w:rPr>
        <w:t>to</w:t>
      </w:r>
      <w:r w:rsidR="009E7299" w:rsidRPr="002B283E">
        <w:rPr>
          <w:rFonts w:cs="Times New Roman"/>
          <w:spacing w:val="-8"/>
          <w:szCs w:val="24"/>
        </w:rPr>
        <w:t xml:space="preserve"> </w:t>
      </w:r>
      <w:r w:rsidR="009E7299" w:rsidRPr="002B283E">
        <w:rPr>
          <w:rFonts w:cs="Times New Roman"/>
          <w:szCs w:val="24"/>
        </w:rPr>
        <w:t>the</w:t>
      </w:r>
      <w:r w:rsidR="009E7299" w:rsidRPr="002B283E">
        <w:rPr>
          <w:rFonts w:cs="Times New Roman"/>
          <w:spacing w:val="-9"/>
          <w:szCs w:val="24"/>
        </w:rPr>
        <w:t xml:space="preserve"> </w:t>
      </w:r>
      <w:r w:rsidR="009E7299" w:rsidRPr="002B283E">
        <w:rPr>
          <w:rFonts w:cs="Times New Roman"/>
          <w:szCs w:val="24"/>
        </w:rPr>
        <w:t>jury.</w:t>
      </w:r>
      <w:r w:rsidR="009E7299" w:rsidRPr="002B283E">
        <w:rPr>
          <w:rFonts w:cs="Times New Roman"/>
          <w:spacing w:val="40"/>
          <w:szCs w:val="24"/>
        </w:rPr>
        <w:t xml:space="preserve"> </w:t>
      </w:r>
      <w:r w:rsidR="009E7299" w:rsidRPr="002B283E">
        <w:rPr>
          <w:rFonts w:cs="Times New Roman"/>
          <w:i/>
          <w:szCs w:val="24"/>
        </w:rPr>
        <w:t>Delange</w:t>
      </w:r>
      <w:r w:rsidR="009E7299" w:rsidRPr="002B283E">
        <w:rPr>
          <w:rFonts w:cs="Times New Roman"/>
          <w:i/>
          <w:spacing w:val="-9"/>
          <w:szCs w:val="24"/>
        </w:rPr>
        <w:t xml:space="preserve"> </w:t>
      </w:r>
      <w:r w:rsidR="009E7299" w:rsidRPr="002B283E">
        <w:rPr>
          <w:rFonts w:cs="Times New Roman"/>
          <w:i/>
          <w:szCs w:val="24"/>
        </w:rPr>
        <w:t>v.</w:t>
      </w:r>
      <w:r w:rsidR="009E7299" w:rsidRPr="002B283E">
        <w:rPr>
          <w:rFonts w:cs="Times New Roman"/>
          <w:i/>
          <w:spacing w:val="-8"/>
          <w:szCs w:val="24"/>
        </w:rPr>
        <w:t xml:space="preserve"> </w:t>
      </w:r>
      <w:r w:rsidR="009E7299" w:rsidRPr="002B283E">
        <w:rPr>
          <w:rFonts w:cs="Times New Roman"/>
          <w:i/>
          <w:szCs w:val="24"/>
        </w:rPr>
        <w:t>Dutra</w:t>
      </w:r>
      <w:r w:rsidR="009E7299" w:rsidRPr="002B283E">
        <w:rPr>
          <w:rFonts w:cs="Times New Roman"/>
          <w:i/>
          <w:spacing w:val="-8"/>
          <w:szCs w:val="24"/>
        </w:rPr>
        <w:t xml:space="preserve"> </w:t>
      </w:r>
      <w:r w:rsidR="009E7299" w:rsidRPr="002B283E">
        <w:rPr>
          <w:rFonts w:cs="Times New Roman"/>
          <w:i/>
          <w:szCs w:val="24"/>
        </w:rPr>
        <w:t>Constr.</w:t>
      </w:r>
      <w:r w:rsidR="009E7299" w:rsidRPr="002B283E">
        <w:rPr>
          <w:rFonts w:cs="Times New Roman"/>
          <w:i/>
          <w:spacing w:val="-8"/>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8"/>
          <w:szCs w:val="24"/>
        </w:rPr>
        <w:t xml:space="preserve"> </w:t>
      </w:r>
      <w:r w:rsidR="009E7299" w:rsidRPr="002B283E">
        <w:rPr>
          <w:rFonts w:cs="Times New Roman"/>
          <w:szCs w:val="24"/>
        </w:rPr>
        <w:t>183</w:t>
      </w:r>
      <w:r w:rsidR="009E7299" w:rsidRPr="002B283E">
        <w:rPr>
          <w:rFonts w:cs="Times New Roman"/>
          <w:spacing w:val="-8"/>
          <w:szCs w:val="24"/>
        </w:rPr>
        <w:t xml:space="preserve"> </w:t>
      </w:r>
      <w:r w:rsidR="009E7299" w:rsidRPr="002B283E">
        <w:rPr>
          <w:rFonts w:cs="Times New Roman"/>
          <w:szCs w:val="24"/>
        </w:rPr>
        <w:t>F.3d</w:t>
      </w:r>
      <w:r w:rsidR="009E7299" w:rsidRPr="002B283E">
        <w:rPr>
          <w:rFonts w:cs="Times New Roman"/>
          <w:spacing w:val="-8"/>
          <w:szCs w:val="24"/>
        </w:rPr>
        <w:t xml:space="preserve"> </w:t>
      </w:r>
      <w:r w:rsidR="009E7299" w:rsidRPr="002B283E">
        <w:rPr>
          <w:rFonts w:cs="Times New Roman"/>
          <w:szCs w:val="24"/>
        </w:rPr>
        <w:t>916,</w:t>
      </w:r>
      <w:r w:rsidR="009E7299" w:rsidRPr="002B283E">
        <w:rPr>
          <w:rFonts w:cs="Times New Roman"/>
          <w:spacing w:val="-8"/>
          <w:szCs w:val="24"/>
        </w:rPr>
        <w:t xml:space="preserve"> </w:t>
      </w:r>
      <w:r w:rsidR="009E7299" w:rsidRPr="002B283E">
        <w:rPr>
          <w:rFonts w:cs="Times New Roman"/>
          <w:szCs w:val="24"/>
        </w:rPr>
        <w:t>919</w:t>
      </w:r>
      <w:r w:rsidR="009E7299" w:rsidRPr="002B283E">
        <w:rPr>
          <w:rFonts w:cs="Times New Roman"/>
          <w:spacing w:val="-8"/>
          <w:szCs w:val="24"/>
        </w:rPr>
        <w:t xml:space="preserve"> </w:t>
      </w:r>
      <w:r w:rsidR="009E7299" w:rsidRPr="002B283E">
        <w:rPr>
          <w:rFonts w:cs="Times New Roman"/>
          <w:szCs w:val="24"/>
        </w:rPr>
        <w:t>(9th Cir. 1999).</w:t>
      </w:r>
      <w:r w:rsidR="00D27EDE">
        <w:rPr>
          <w:rFonts w:cs="Times New Roman"/>
          <w:spacing w:val="40"/>
          <w:szCs w:val="24"/>
        </w:rPr>
        <w:t xml:space="preserve"> </w:t>
      </w:r>
      <w:r w:rsidR="009E7299" w:rsidRPr="002B283E">
        <w:rPr>
          <w:rFonts w:cs="Times New Roman"/>
          <w:szCs w:val="24"/>
        </w:rPr>
        <w:t>The Jones</w:t>
      </w:r>
      <w:r w:rsidR="009E7299" w:rsidRPr="002B283E">
        <w:rPr>
          <w:rFonts w:cs="Times New Roman"/>
          <w:spacing w:val="-10"/>
          <w:szCs w:val="24"/>
        </w:rPr>
        <w:t xml:space="preserve"> </w:t>
      </w:r>
      <w:r w:rsidR="009E7299" w:rsidRPr="002B283E">
        <w:rPr>
          <w:rFonts w:cs="Times New Roman"/>
          <w:szCs w:val="24"/>
        </w:rPr>
        <w:t>Act does not define the term “seaman,” and the issue of who is or is not covered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statute</w:t>
      </w:r>
      <w:r w:rsidR="009E7299" w:rsidRPr="002B283E">
        <w:rPr>
          <w:rFonts w:cs="Times New Roman"/>
          <w:spacing w:val="-6"/>
          <w:szCs w:val="24"/>
        </w:rPr>
        <w:t xml:space="preserve"> </w:t>
      </w:r>
      <w:r w:rsidR="009E7299" w:rsidRPr="002B283E">
        <w:rPr>
          <w:rFonts w:cs="Times New Roman"/>
          <w:szCs w:val="24"/>
        </w:rPr>
        <w:t>has</w:t>
      </w:r>
      <w:r w:rsidR="009E7299" w:rsidRPr="002B283E">
        <w:rPr>
          <w:rFonts w:cs="Times New Roman"/>
          <w:spacing w:val="-5"/>
          <w:szCs w:val="24"/>
        </w:rPr>
        <w:t xml:space="preserve"> </w:t>
      </w:r>
      <w:r w:rsidR="009E7299" w:rsidRPr="002B283E">
        <w:rPr>
          <w:rFonts w:cs="Times New Roman"/>
          <w:szCs w:val="24"/>
        </w:rPr>
        <w:t>been</w:t>
      </w:r>
      <w:r w:rsidR="009E7299" w:rsidRPr="002B283E">
        <w:rPr>
          <w:rFonts w:cs="Times New Roman"/>
          <w:spacing w:val="-5"/>
          <w:szCs w:val="24"/>
        </w:rPr>
        <w:t xml:space="preserve"> </w:t>
      </w:r>
      <w:r w:rsidR="009E7299" w:rsidRPr="002B283E">
        <w:rPr>
          <w:rFonts w:cs="Times New Roman"/>
          <w:szCs w:val="24"/>
        </w:rPr>
        <w:t>repeatedly</w:t>
      </w:r>
      <w:r w:rsidR="009E7299" w:rsidRPr="002B283E">
        <w:rPr>
          <w:rFonts w:cs="Times New Roman"/>
          <w:spacing w:val="-3"/>
          <w:szCs w:val="24"/>
        </w:rPr>
        <w:t xml:space="preserve"> </w:t>
      </w:r>
      <w:r w:rsidR="009E7299" w:rsidRPr="002B283E">
        <w:rPr>
          <w:rFonts w:cs="Times New Roman"/>
          <w:szCs w:val="24"/>
        </w:rPr>
        <w:t>considered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Supreme</w:t>
      </w:r>
      <w:r w:rsidR="009E7299" w:rsidRPr="002B283E">
        <w:rPr>
          <w:rFonts w:cs="Times New Roman"/>
          <w:spacing w:val="-6"/>
          <w:szCs w:val="24"/>
        </w:rPr>
        <w:t xml:space="preserve"> </w:t>
      </w:r>
      <w:r w:rsidR="009E7299" w:rsidRPr="002B283E">
        <w:rPr>
          <w:rFonts w:cs="Times New Roman"/>
          <w:szCs w:val="24"/>
        </w:rPr>
        <w:t>Court</w:t>
      </w:r>
      <w:r w:rsidR="009E7299" w:rsidRPr="002B283E">
        <w:rPr>
          <w:rFonts w:cs="Times New Roman"/>
          <w:spacing w:val="-5"/>
          <w:szCs w:val="24"/>
        </w:rPr>
        <w:t xml:space="preserve"> </w:t>
      </w:r>
      <w:r w:rsidR="009E7299" w:rsidRPr="002B283E">
        <w:rPr>
          <w:rFonts w:cs="Times New Roman"/>
          <w:szCs w:val="24"/>
        </w:rPr>
        <w:t>since</w:t>
      </w:r>
      <w:r w:rsidR="009E7299" w:rsidRPr="002B283E">
        <w:rPr>
          <w:rFonts w:cs="Times New Roman"/>
          <w:spacing w:val="-6"/>
          <w:szCs w:val="24"/>
        </w:rPr>
        <w:t xml:space="preserve"> </w:t>
      </w:r>
      <w:r w:rsidR="009E7299" w:rsidRPr="002B283E">
        <w:rPr>
          <w:rFonts w:cs="Times New Roman"/>
          <w:szCs w:val="24"/>
        </w:rPr>
        <w:t>1991.</w:t>
      </w:r>
      <w:r w:rsidR="00D27EDE">
        <w:rPr>
          <w:rFonts w:cs="Times New Roman"/>
          <w:spacing w:val="40"/>
          <w:szCs w:val="24"/>
        </w:rPr>
        <w:t xml:space="preserve"> </w:t>
      </w:r>
      <w:r w:rsidR="009E7299" w:rsidRPr="002B283E">
        <w:rPr>
          <w:rFonts w:cs="Times New Roman"/>
          <w:i/>
          <w:szCs w:val="24"/>
        </w:rPr>
        <w:t>See</w:t>
      </w:r>
      <w:r w:rsidR="009E7299" w:rsidRPr="002B283E">
        <w:rPr>
          <w:rFonts w:cs="Times New Roman"/>
          <w:i/>
          <w:spacing w:val="-6"/>
          <w:szCs w:val="24"/>
        </w:rPr>
        <w:t xml:space="preserve"> </w:t>
      </w:r>
      <w:r w:rsidR="009E7299" w:rsidRPr="002B283E">
        <w:rPr>
          <w:rFonts w:cs="Times New Roman"/>
          <w:i/>
          <w:szCs w:val="24"/>
        </w:rPr>
        <w:t>Sw. Marine Inc. v. Gizoni</w:t>
      </w:r>
      <w:r w:rsidR="009E7299" w:rsidRPr="002B283E">
        <w:rPr>
          <w:rFonts w:cs="Times New Roman"/>
          <w:szCs w:val="24"/>
        </w:rPr>
        <w:t xml:space="preserve">, 502 U.S. 81 (1991); </w:t>
      </w:r>
      <w:r w:rsidR="009E7299" w:rsidRPr="002B283E">
        <w:rPr>
          <w:rFonts w:cs="Times New Roman"/>
          <w:i/>
          <w:szCs w:val="24"/>
        </w:rPr>
        <w:t>McDermott Int’l v. Wilander</w:t>
      </w:r>
      <w:r w:rsidR="009E7299" w:rsidRPr="002B283E">
        <w:rPr>
          <w:rFonts w:cs="Times New Roman"/>
          <w:szCs w:val="24"/>
        </w:rPr>
        <w:t>, 498 U.S. 337 (1991).</w:t>
      </w:r>
      <w:r w:rsidR="00D27EDE">
        <w:rPr>
          <w:rFonts w:cs="Times New Roman"/>
          <w:i/>
          <w:szCs w:val="24"/>
        </w:rPr>
        <w:t xml:space="preserve"> </w:t>
      </w:r>
      <w:r w:rsidR="009E7299" w:rsidRPr="002B283E">
        <w:rPr>
          <w:rFonts w:cs="Times New Roman"/>
          <w:i/>
          <w:szCs w:val="24"/>
        </w:rPr>
        <w:t>See</w:t>
      </w:r>
      <w:r w:rsidR="009E7299" w:rsidRPr="002B283E">
        <w:rPr>
          <w:rFonts w:cs="Times New Roman"/>
          <w:i/>
          <w:spacing w:val="-7"/>
          <w:szCs w:val="24"/>
        </w:rPr>
        <w:t xml:space="preserve"> </w:t>
      </w:r>
      <w:r w:rsidR="009E7299" w:rsidRPr="002B283E">
        <w:rPr>
          <w:rFonts w:cs="Times New Roman"/>
          <w:i/>
          <w:szCs w:val="24"/>
        </w:rPr>
        <w:t>also</w:t>
      </w:r>
      <w:r w:rsidR="009E7299" w:rsidRPr="002B283E">
        <w:rPr>
          <w:rFonts w:cs="Times New Roman"/>
          <w:i/>
          <w:spacing w:val="-5"/>
          <w:szCs w:val="24"/>
        </w:rPr>
        <w:t xml:space="preserve"> </w:t>
      </w:r>
      <w:r w:rsidR="009E7299" w:rsidRPr="002B283E">
        <w:rPr>
          <w:rFonts w:cs="Times New Roman"/>
          <w:i/>
          <w:szCs w:val="24"/>
        </w:rPr>
        <w:t>Stewart</w:t>
      </w:r>
      <w:r w:rsidR="009E7299" w:rsidRPr="002B283E">
        <w:rPr>
          <w:rFonts w:cs="Times New Roman"/>
          <w:i/>
          <w:spacing w:val="-4"/>
          <w:szCs w:val="24"/>
        </w:rPr>
        <w:t xml:space="preserve"> </w:t>
      </w:r>
      <w:r w:rsidR="009E7299" w:rsidRPr="002B283E">
        <w:rPr>
          <w:rFonts w:cs="Times New Roman"/>
          <w:i/>
          <w:szCs w:val="24"/>
        </w:rPr>
        <w:t>v.</w:t>
      </w:r>
      <w:r w:rsidR="009E7299" w:rsidRPr="002B283E">
        <w:rPr>
          <w:rFonts w:cs="Times New Roman"/>
          <w:i/>
          <w:spacing w:val="-4"/>
          <w:szCs w:val="24"/>
        </w:rPr>
        <w:t xml:space="preserve"> </w:t>
      </w:r>
      <w:r w:rsidR="009E7299" w:rsidRPr="002B283E">
        <w:rPr>
          <w:rFonts w:cs="Times New Roman"/>
          <w:i/>
          <w:szCs w:val="24"/>
        </w:rPr>
        <w:t>Dutra</w:t>
      </w:r>
      <w:r w:rsidR="009E7299" w:rsidRPr="002B283E">
        <w:rPr>
          <w:rFonts w:cs="Times New Roman"/>
          <w:i/>
          <w:spacing w:val="-4"/>
          <w:szCs w:val="24"/>
        </w:rPr>
        <w:t xml:space="preserve"> </w:t>
      </w:r>
      <w:r w:rsidR="009E7299" w:rsidRPr="002B283E">
        <w:rPr>
          <w:rFonts w:cs="Times New Roman"/>
          <w:i/>
          <w:szCs w:val="24"/>
        </w:rPr>
        <w:t>Constr.</w:t>
      </w:r>
      <w:r w:rsidR="009E7299" w:rsidRPr="002B283E">
        <w:rPr>
          <w:rFonts w:cs="Times New Roman"/>
          <w:i/>
          <w:spacing w:val="-4"/>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543</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481</w:t>
      </w:r>
      <w:r w:rsidR="009E7299" w:rsidRPr="002B283E">
        <w:rPr>
          <w:rFonts w:cs="Times New Roman"/>
          <w:spacing w:val="-4"/>
          <w:szCs w:val="24"/>
        </w:rPr>
        <w:t xml:space="preserve"> </w:t>
      </w:r>
      <w:r w:rsidR="009E7299" w:rsidRPr="002B283E">
        <w:rPr>
          <w:rFonts w:cs="Times New Roman"/>
          <w:szCs w:val="24"/>
        </w:rPr>
        <w:t>(2005);</w:t>
      </w:r>
      <w:r w:rsidR="009E7299" w:rsidRPr="002B283E">
        <w:rPr>
          <w:rFonts w:cs="Times New Roman"/>
          <w:spacing w:val="-4"/>
          <w:szCs w:val="24"/>
        </w:rPr>
        <w:t xml:space="preserve"> </w:t>
      </w:r>
      <w:r w:rsidR="009E7299" w:rsidRPr="002B283E">
        <w:rPr>
          <w:rFonts w:cs="Times New Roman"/>
          <w:i/>
          <w:szCs w:val="24"/>
        </w:rPr>
        <w:t>Papai</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520</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548;</w:t>
      </w:r>
      <w:r w:rsidR="009E7299" w:rsidRPr="002B283E">
        <w:rPr>
          <w:rFonts w:cs="Times New Roman"/>
          <w:spacing w:val="-4"/>
          <w:szCs w:val="24"/>
        </w:rPr>
        <w:t xml:space="preserve"> </w:t>
      </w:r>
      <w:r w:rsidR="009E7299" w:rsidRPr="002B283E">
        <w:rPr>
          <w:rFonts w:cs="Times New Roman"/>
          <w:i/>
          <w:szCs w:val="24"/>
        </w:rPr>
        <w:t>Chandris,</w:t>
      </w:r>
      <w:r w:rsidR="009E7299" w:rsidRPr="002B283E">
        <w:rPr>
          <w:rFonts w:cs="Times New Roman"/>
          <w:i/>
          <w:spacing w:val="-4"/>
          <w:szCs w:val="24"/>
        </w:rPr>
        <w:t xml:space="preserve"> </w:t>
      </w:r>
      <w:r w:rsidR="009E7299" w:rsidRPr="002B283E">
        <w:rPr>
          <w:rFonts w:cs="Times New Roman"/>
          <w:spacing w:val="-5"/>
          <w:szCs w:val="24"/>
        </w:rPr>
        <w:t>515</w:t>
      </w:r>
      <w:r w:rsidR="00D27EDE">
        <w:rPr>
          <w:rFonts w:cs="Times New Roman"/>
          <w:spacing w:val="-5"/>
          <w:szCs w:val="24"/>
        </w:rPr>
        <w:t xml:space="preserve"> </w:t>
      </w:r>
      <w:r w:rsidR="009E7299" w:rsidRPr="002B283E">
        <w:t>U.S. 347.</w:t>
      </w:r>
      <w:r w:rsidR="009E7299" w:rsidRPr="002B283E">
        <w:rPr>
          <w:spacing w:val="40"/>
        </w:rPr>
        <w:t xml:space="preserve"> </w:t>
      </w:r>
      <w:r w:rsidR="009E7299" w:rsidRPr="002B283E">
        <w:t>In defining the prerequisites for Jones</w:t>
      </w:r>
      <w:r w:rsidR="009E7299" w:rsidRPr="002B283E">
        <w:rPr>
          <w:spacing w:val="-6"/>
        </w:rPr>
        <w:t xml:space="preserve"> </w:t>
      </w:r>
      <w:r w:rsidR="009E7299" w:rsidRPr="002B283E">
        <w:t>Act coverage, the Supreme Court has found it preferable to focus upon the essence of what it means to be a seaman and to reject detailed tests that</w:t>
      </w:r>
      <w:r w:rsidR="009E7299" w:rsidRPr="002B283E">
        <w:rPr>
          <w:spacing w:val="-5"/>
        </w:rPr>
        <w:t xml:space="preserve"> </w:t>
      </w:r>
      <w:r w:rsidR="009E7299" w:rsidRPr="002B283E">
        <w:t>tend</w:t>
      </w:r>
      <w:r w:rsidR="009E7299" w:rsidRPr="002B283E">
        <w:rPr>
          <w:spacing w:val="-3"/>
        </w:rPr>
        <w:t xml:space="preserve"> </w:t>
      </w:r>
      <w:r w:rsidR="009E7299" w:rsidRPr="002B283E">
        <w:t>to</w:t>
      </w:r>
      <w:r w:rsidR="009E7299" w:rsidRPr="002B283E">
        <w:rPr>
          <w:spacing w:val="-3"/>
        </w:rPr>
        <w:t xml:space="preserve"> </w:t>
      </w:r>
      <w:r w:rsidR="009E7299" w:rsidRPr="002B283E">
        <w:t>become</w:t>
      </w:r>
      <w:r w:rsidR="009E7299" w:rsidRPr="002B283E">
        <w:rPr>
          <w:spacing w:val="-4"/>
        </w:rPr>
        <w:t xml:space="preserve"> </w:t>
      </w:r>
      <w:r w:rsidR="009E7299" w:rsidRPr="002B283E">
        <w:t>ends</w:t>
      </w:r>
      <w:r w:rsidR="009E7299" w:rsidRPr="002B283E">
        <w:rPr>
          <w:spacing w:val="-1"/>
        </w:rPr>
        <w:t xml:space="preserve"> </w:t>
      </w:r>
      <w:r w:rsidR="009E7299" w:rsidRPr="002B283E">
        <w:t>in</w:t>
      </w:r>
      <w:r w:rsidR="009E7299" w:rsidRPr="002B283E">
        <w:rPr>
          <w:spacing w:val="-3"/>
        </w:rPr>
        <w:t xml:space="preserve"> </w:t>
      </w:r>
      <w:r w:rsidR="009E7299" w:rsidRPr="002B283E">
        <w:t>and</w:t>
      </w:r>
      <w:r w:rsidR="009E7299" w:rsidRPr="002B283E">
        <w:rPr>
          <w:spacing w:val="-3"/>
        </w:rPr>
        <w:t xml:space="preserve"> </w:t>
      </w:r>
      <w:r w:rsidR="009E7299" w:rsidRPr="002B283E">
        <w:t>of</w:t>
      </w:r>
      <w:r w:rsidR="009E7299" w:rsidRPr="002B283E">
        <w:rPr>
          <w:spacing w:val="-4"/>
        </w:rPr>
        <w:t xml:space="preserve"> </w:t>
      </w:r>
      <w:r w:rsidR="009E7299" w:rsidRPr="002B283E">
        <w:t>themselves.</w:t>
      </w:r>
      <w:r w:rsidR="00B50320">
        <w:rPr>
          <w:spacing w:val="40"/>
        </w:rPr>
        <w:t xml:space="preserve"> </w:t>
      </w:r>
      <w:r w:rsidR="009E7299" w:rsidRPr="002B283E">
        <w:t>“The</w:t>
      </w:r>
      <w:r w:rsidR="009E7299" w:rsidRPr="002B283E">
        <w:rPr>
          <w:spacing w:val="-4"/>
        </w:rPr>
        <w:t xml:space="preserve"> </w:t>
      </w:r>
      <w:r w:rsidR="009E7299" w:rsidRPr="002B283E">
        <w:t>Jones</w:t>
      </w:r>
      <w:r w:rsidR="009E7299" w:rsidRPr="002B283E">
        <w:rPr>
          <w:spacing w:val="-15"/>
        </w:rPr>
        <w:t xml:space="preserve"> </w:t>
      </w:r>
      <w:r w:rsidR="009E7299" w:rsidRPr="002B283E">
        <w:t>Act</w:t>
      </w:r>
      <w:r w:rsidR="009E7299" w:rsidRPr="002B283E">
        <w:rPr>
          <w:spacing w:val="-3"/>
        </w:rPr>
        <w:t xml:space="preserve"> </w:t>
      </w:r>
      <w:r w:rsidR="009E7299" w:rsidRPr="002B283E">
        <w:t>remedy</w:t>
      </w:r>
      <w:r w:rsidR="009E7299" w:rsidRPr="002B283E">
        <w:rPr>
          <w:spacing w:val="-3"/>
        </w:rPr>
        <w:t xml:space="preserve"> </w:t>
      </w:r>
      <w:r w:rsidR="009E7299" w:rsidRPr="002B283E">
        <w:t>is</w:t>
      </w:r>
      <w:r w:rsidR="009E7299" w:rsidRPr="002B283E">
        <w:rPr>
          <w:spacing w:val="-3"/>
        </w:rPr>
        <w:t xml:space="preserve"> </w:t>
      </w:r>
      <w:r w:rsidR="009E7299" w:rsidRPr="002B283E">
        <w:t>reserved</w:t>
      </w:r>
      <w:r w:rsidR="009E7299" w:rsidRPr="002B283E">
        <w:rPr>
          <w:spacing w:val="-1"/>
        </w:rPr>
        <w:t xml:space="preserve"> </w:t>
      </w:r>
      <w:r w:rsidR="009E7299" w:rsidRPr="002B283E">
        <w:t>for</w:t>
      </w:r>
      <w:r w:rsidR="009E7299" w:rsidRPr="002B283E">
        <w:rPr>
          <w:spacing w:val="-4"/>
        </w:rPr>
        <w:t xml:space="preserve"> </w:t>
      </w:r>
      <w:r w:rsidR="009E7299" w:rsidRPr="002B283E">
        <w:t xml:space="preserve">sea-based maritime employees whose work regularly exposes them to the special hazards and disadvantages to </w:t>
      </w:r>
      <w:r w:rsidR="009E7299" w:rsidRPr="002B283E">
        <w:lastRenderedPageBreak/>
        <w:t>which they who go down to sea in ships are subjected.”</w:t>
      </w:r>
      <w:r w:rsidR="009E7299" w:rsidRPr="002B283E">
        <w:rPr>
          <w:spacing w:val="40"/>
        </w:rPr>
        <w:t xml:space="preserve"> </w:t>
      </w:r>
      <w:r w:rsidR="009E7299" w:rsidRPr="002B283E">
        <w:rPr>
          <w:i/>
        </w:rPr>
        <w:t xml:space="preserve">Chandris, </w:t>
      </w:r>
      <w:r w:rsidR="009E7299" w:rsidRPr="002B283E">
        <w:t>515 U.S. at</w:t>
      </w:r>
      <w:r w:rsidR="00B50320">
        <w:t xml:space="preserve"> 369-70.</w:t>
      </w:r>
      <w:r w:rsidR="00B50320" w:rsidRPr="00B50320">
        <w:t xml:space="preserve"> In </w:t>
      </w:r>
      <w:r w:rsidR="00B50320" w:rsidRPr="00B50320">
        <w:rPr>
          <w:i/>
        </w:rPr>
        <w:t>Chandris</w:t>
      </w:r>
      <w:r w:rsidR="00B50320" w:rsidRPr="00B50320">
        <w:t xml:space="preserve">, the Court said the essential test for seaman status “comprises two basic elements: The worker’s duties must contribute to the function of the vessel or to the accomplishment of its mission, and the worker must have a connection to a vessel in navigation (or an identifiable group of vessels) that is substantial in terms of both its duration and its nature.” </w:t>
      </w:r>
      <w:r w:rsidR="00B50320" w:rsidRPr="00B50320">
        <w:rPr>
          <w:i/>
        </w:rPr>
        <w:t xml:space="preserve">Id. </w:t>
      </w:r>
      <w:r w:rsidR="00B50320" w:rsidRPr="00B50320">
        <w:t>at 376.</w:t>
      </w:r>
    </w:p>
    <w:p w14:paraId="011ED296" w14:textId="77777777" w:rsidR="00B50320" w:rsidRPr="00B50320" w:rsidRDefault="00B50320" w:rsidP="00B50320">
      <w:pPr>
        <w:autoSpaceDE w:val="0"/>
        <w:autoSpaceDN w:val="0"/>
        <w:adjustRightInd w:val="0"/>
      </w:pPr>
    </w:p>
    <w:p w14:paraId="1681762C" w14:textId="77777777" w:rsidR="00B50320" w:rsidRPr="00B50320" w:rsidRDefault="00B50320" w:rsidP="008A04C2">
      <w:pPr>
        <w:autoSpaceDE w:val="0"/>
        <w:autoSpaceDN w:val="0"/>
        <w:adjustRightInd w:val="0"/>
        <w:ind w:firstLine="720"/>
      </w:pPr>
      <w:r w:rsidRPr="00B50320">
        <w:t xml:space="preserve">The Supreme Court has cautioned against using a “snapshot” test and admonishes that a plaintiff’s seaman status must be determined in the context of his or her “overall employment” with the defendant employer. </w:t>
      </w:r>
      <w:r w:rsidRPr="00B50320">
        <w:rPr>
          <w:i/>
        </w:rPr>
        <w:t xml:space="preserve">Id. </w:t>
      </w:r>
      <w:r w:rsidRPr="00B50320">
        <w:t xml:space="preserve">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sidRPr="00B50320">
        <w:rPr>
          <w:i/>
        </w:rPr>
        <w:t xml:space="preserve">Id. </w:t>
      </w:r>
      <w:r w:rsidRPr="00B50320">
        <w:t xml:space="preserve">at 369-70. The Court has also identified an appropriate rule of thumb for applying the temporal or durational requirement in the ordinary case: “A worker who spends less than about 30 percent of his time in the service of a vessel in navigation should not qualify as a seaman under the Jones Act.” </w:t>
      </w:r>
      <w:r w:rsidRPr="00B50320">
        <w:rPr>
          <w:i/>
        </w:rPr>
        <w:t xml:space="preserve">Id. </w:t>
      </w:r>
      <w:r w:rsidRPr="00B50320">
        <w:t>at 371.</w:t>
      </w:r>
    </w:p>
    <w:p w14:paraId="7F9F39DE" w14:textId="77777777" w:rsidR="00B50320" w:rsidRPr="00B50320" w:rsidRDefault="00B50320" w:rsidP="00B50320">
      <w:pPr>
        <w:autoSpaceDE w:val="0"/>
        <w:autoSpaceDN w:val="0"/>
        <w:adjustRightInd w:val="0"/>
      </w:pPr>
    </w:p>
    <w:p w14:paraId="1A7BF4B9" w14:textId="77777777" w:rsidR="00B50320" w:rsidRPr="00B50320" w:rsidRDefault="00B50320" w:rsidP="008A04C2">
      <w:pPr>
        <w:autoSpaceDE w:val="0"/>
        <w:autoSpaceDN w:val="0"/>
        <w:adjustRightInd w:val="0"/>
        <w:ind w:firstLine="720"/>
      </w:pPr>
      <w:r w:rsidRPr="00B50320">
        <w:t xml:space="preserve">A plaintiff may be entitled to an instruction on the fleet seaman doctrine if it has some foundation in the evidence. </w:t>
      </w:r>
      <w:r w:rsidRPr="00B50320">
        <w:rPr>
          <w:i/>
        </w:rPr>
        <w:t>Gizoni</w:t>
      </w:r>
      <w:r w:rsidRPr="00B50320">
        <w:t>, 56 F.3d at 1141 (“Under the fleet doctrine, one can acquire ‘seaman status’ through permanent assignment to a group of vessels under common ownership or control.”).</w:t>
      </w:r>
    </w:p>
    <w:p w14:paraId="20680AD7" w14:textId="77777777" w:rsidR="00B50320" w:rsidRPr="00B50320" w:rsidRDefault="00B50320" w:rsidP="00B50320">
      <w:pPr>
        <w:autoSpaceDE w:val="0"/>
        <w:autoSpaceDN w:val="0"/>
        <w:adjustRightInd w:val="0"/>
      </w:pPr>
    </w:p>
    <w:p w14:paraId="5274A555" w14:textId="77777777" w:rsidR="00B50320" w:rsidRPr="00B50320" w:rsidRDefault="00B50320" w:rsidP="008A04C2">
      <w:pPr>
        <w:autoSpaceDE w:val="0"/>
        <w:autoSpaceDN w:val="0"/>
        <w:adjustRightInd w:val="0"/>
        <w:ind w:firstLine="720"/>
      </w:pPr>
      <w:r w:rsidRPr="00B50320">
        <w:t>The Longshore and Harbor Workers’ Compensation Act (LHWCA) excludes from its coverage “a master or member of a crew of any vessel.” 33 U.S.C. § 902(3)(G). Masters and crew members are entitled to sue under the Jones Act and the doctrine of unseaworthiness. A person who is not a seaman is limited to the remedies of the LHWCA.</w:t>
      </w:r>
    </w:p>
    <w:p w14:paraId="5FF795CE" w14:textId="77777777" w:rsidR="00B50320" w:rsidRPr="00B50320" w:rsidRDefault="00B50320" w:rsidP="00B50320">
      <w:pPr>
        <w:autoSpaceDE w:val="0"/>
        <w:autoSpaceDN w:val="0"/>
        <w:adjustRightInd w:val="0"/>
      </w:pPr>
    </w:p>
    <w:p w14:paraId="383AD734" w14:textId="77777777" w:rsidR="00B50320" w:rsidRPr="00B50320" w:rsidRDefault="00B50320" w:rsidP="00B50320">
      <w:pPr>
        <w:autoSpaceDE w:val="0"/>
        <w:autoSpaceDN w:val="0"/>
        <w:adjustRightInd w:val="0"/>
      </w:pPr>
    </w:p>
    <w:p w14:paraId="445EB7CA" w14:textId="77777777" w:rsidR="00B50320" w:rsidRPr="00B50320" w:rsidRDefault="00B50320" w:rsidP="008A04C2">
      <w:pPr>
        <w:autoSpaceDE w:val="0"/>
        <w:autoSpaceDN w:val="0"/>
        <w:adjustRightInd w:val="0"/>
        <w:jc w:val="right"/>
      </w:pPr>
      <w:r w:rsidRPr="00B50320">
        <w:rPr>
          <w:i/>
          <w:iCs/>
        </w:rPr>
        <w:t>Revised March 2025</w:t>
      </w:r>
    </w:p>
    <w:p w14:paraId="2B1E0112" w14:textId="77777777" w:rsidR="00432687" w:rsidRPr="002B283E" w:rsidRDefault="00432687" w:rsidP="002B283E">
      <w:pPr>
        <w:autoSpaceDE w:val="0"/>
        <w:autoSpaceDN w:val="0"/>
        <w:adjustRightInd w:val="0"/>
        <w:rPr>
          <w:rFonts w:cs="Times New Roman"/>
          <w:szCs w:val="24"/>
        </w:rPr>
      </w:pPr>
    </w:p>
    <w:p w14:paraId="391BE88E" w14:textId="3CE7C253" w:rsidR="006A4CD7" w:rsidRPr="002B283E" w:rsidRDefault="006A4CD7" w:rsidP="00826E77">
      <w:pPr>
        <w:pStyle w:val="Heading2"/>
      </w:pPr>
      <w:r w:rsidRPr="002B283E">
        <w:br w:type="page"/>
      </w:r>
      <w:bookmarkStart w:id="109" w:name="_Toc221525150"/>
      <w:r w:rsidRPr="002B283E">
        <w:lastRenderedPageBreak/>
        <w:t>7.2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C</w:t>
      </w:r>
      <w:r w:rsidR="004272A6" w:rsidRPr="002B283E">
        <w:t>laim</w:t>
      </w:r>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r w:rsidR="00DC3111" w:rsidRPr="002B283E">
        <w:t xml:space="preserve"> </w:t>
      </w:r>
      <w:r w:rsidRPr="002B283E">
        <w:t>(46 U.S.C. § 30104)</w:t>
      </w:r>
      <w:bookmarkEnd w:id="109"/>
    </w:p>
    <w:p w14:paraId="7EB56154" w14:textId="77777777" w:rsidR="006A4CD7" w:rsidRPr="002B283E" w:rsidRDefault="006A4CD7" w:rsidP="002B283E">
      <w:pPr>
        <w:autoSpaceDE w:val="0"/>
        <w:autoSpaceDN w:val="0"/>
        <w:adjustRightInd w:val="0"/>
        <w:rPr>
          <w:rFonts w:cs="Times New Roman"/>
          <w:szCs w:val="24"/>
        </w:rPr>
      </w:pPr>
    </w:p>
    <w:p w14:paraId="77EB62EA" w14:textId="142203E7" w:rsidR="00DF2A53" w:rsidRPr="002B283E" w:rsidRDefault="00DF2A53" w:rsidP="002B283E">
      <w:pPr>
        <w:pStyle w:val="BodyText"/>
        <w:ind w:left="100" w:firstLine="720"/>
      </w:pPr>
      <w:r w:rsidRPr="002B283E">
        <w:t>On</w:t>
      </w:r>
      <w:r w:rsidRPr="002B283E">
        <w:rPr>
          <w:spacing w:val="-4"/>
        </w:rPr>
        <w:t xml:space="preserve"> </w:t>
      </w:r>
      <w:r w:rsidRPr="002B283E">
        <w:t>the</w:t>
      </w:r>
      <w:r w:rsidRPr="002B283E">
        <w:rPr>
          <w:spacing w:val="-5"/>
        </w:rPr>
        <w:t xml:space="preserve"> </w:t>
      </w:r>
      <w:r w:rsidRPr="002B283E">
        <w:t>plaintiff</w:t>
      </w:r>
      <w:r w:rsidR="00C60709" w:rsidRPr="002B283E">
        <w:t xml:space="preserve"> [</w:t>
      </w:r>
      <w:r w:rsidR="00C60709" w:rsidRPr="002B283E">
        <w:rPr>
          <w:i/>
          <w:iCs/>
          <w:u w:val="single"/>
        </w:rPr>
        <w:t>name</w:t>
      </w:r>
      <w:r w:rsidR="00C60709" w:rsidRPr="002B283E">
        <w:t>]</w:t>
      </w:r>
      <w:r w:rsidRPr="002B283E">
        <w:t>’s</w:t>
      </w:r>
      <w:r w:rsidRPr="002B283E">
        <w:rPr>
          <w:spacing w:val="-4"/>
        </w:rPr>
        <w:t xml:space="preserve"> </w:t>
      </w:r>
      <w:r w:rsidRPr="002B283E">
        <w:t>Jones</w:t>
      </w:r>
      <w:r w:rsidRPr="002B283E">
        <w:rPr>
          <w:spacing w:val="-15"/>
        </w:rPr>
        <w:t xml:space="preserve"> </w:t>
      </w:r>
      <w:r w:rsidRPr="002B283E">
        <w:t>Act</w:t>
      </w:r>
      <w:r w:rsidRPr="002B283E">
        <w:rPr>
          <w:spacing w:val="-4"/>
        </w:rPr>
        <w:t xml:space="preserve"> </w:t>
      </w:r>
      <w:r w:rsidRPr="002B283E">
        <w:t>negligence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B50320">
        <w:rPr>
          <w:spacing w:val="-5"/>
        </w:rPr>
        <w:t>[</w:t>
      </w:r>
      <w:r w:rsidR="00B50320" w:rsidRPr="008A04C2">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C3EA359" w14:textId="77777777" w:rsidR="00DF2A53" w:rsidRPr="002B283E" w:rsidRDefault="00DF2A53" w:rsidP="002B283E">
      <w:pPr>
        <w:pStyle w:val="BodyText"/>
      </w:pPr>
    </w:p>
    <w:p w14:paraId="2A0D4169" w14:textId="539F8559" w:rsidR="00DF2A53" w:rsidRPr="002B283E" w:rsidRDefault="00DF2A53" w:rsidP="002B283E">
      <w:pPr>
        <w:tabs>
          <w:tab w:val="left" w:pos="1539"/>
        </w:tabs>
        <w:rPr>
          <w:rFonts w:cs="Times New Roman"/>
          <w:szCs w:val="24"/>
        </w:rPr>
      </w:pPr>
      <w:r w:rsidRPr="002B283E">
        <w:rPr>
          <w:rFonts w:cs="Times New Roman"/>
          <w:szCs w:val="24"/>
        </w:rPr>
        <w:t xml:space="preserve">              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599315D6" w14:textId="77777777" w:rsidR="00DF2A53" w:rsidRPr="002B283E" w:rsidRDefault="00DF2A53" w:rsidP="002B283E">
      <w:pPr>
        <w:pStyle w:val="BodyText"/>
      </w:pPr>
    </w:p>
    <w:p w14:paraId="7AB99186" w14:textId="50EA5BC2" w:rsidR="00DF2A53" w:rsidRPr="002B283E" w:rsidRDefault="00DF2A53" w:rsidP="002B283E">
      <w:pPr>
        <w:tabs>
          <w:tab w:val="left" w:pos="1540"/>
        </w:tabs>
        <w:rPr>
          <w:rFonts w:cs="Times New Roman"/>
          <w:szCs w:val="24"/>
        </w:rPr>
      </w:pPr>
      <w:r w:rsidRPr="002B283E">
        <w:rPr>
          <w:rFonts w:cs="Times New Roman"/>
          <w:szCs w:val="24"/>
        </w:rPr>
        <w:t xml:space="preserve">              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defendant</w:t>
      </w:r>
      <w:r w:rsidRPr="002B283E">
        <w:rPr>
          <w:rFonts w:cs="Times New Roman"/>
          <w:spacing w:val="-1"/>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negligent;</w:t>
      </w:r>
      <w:r w:rsidRPr="002B283E">
        <w:rPr>
          <w:rFonts w:cs="Times New Roman"/>
          <w:spacing w:val="-1"/>
          <w:szCs w:val="24"/>
        </w:rPr>
        <w:t xml:space="preserve"> </w:t>
      </w:r>
      <w:r w:rsidRPr="002B283E">
        <w:rPr>
          <w:rFonts w:cs="Times New Roman"/>
          <w:spacing w:val="-5"/>
          <w:szCs w:val="24"/>
        </w:rPr>
        <w:t>and</w:t>
      </w:r>
    </w:p>
    <w:p w14:paraId="3C10B944" w14:textId="77777777" w:rsidR="00DF2A53" w:rsidRPr="002B283E" w:rsidRDefault="00DF2A53" w:rsidP="002B283E">
      <w:pPr>
        <w:tabs>
          <w:tab w:val="left" w:pos="1540"/>
        </w:tabs>
        <w:rPr>
          <w:rFonts w:cs="Times New Roman"/>
          <w:szCs w:val="24"/>
        </w:rPr>
      </w:pPr>
    </w:p>
    <w:p w14:paraId="68A03BA5" w14:textId="22CBA500" w:rsidR="00DF2A53" w:rsidRPr="002B283E" w:rsidRDefault="00DF2A53" w:rsidP="002B283E">
      <w:pPr>
        <w:tabs>
          <w:tab w:val="left" w:pos="1540"/>
        </w:tabs>
        <w:rPr>
          <w:rFonts w:cs="Times New Roman"/>
          <w:szCs w:val="24"/>
        </w:rPr>
      </w:pPr>
      <w:r w:rsidRPr="002B283E">
        <w:rPr>
          <w:rFonts w:cs="Times New Roman"/>
          <w:szCs w:val="24"/>
        </w:rPr>
        <w:t xml:space="preserve">              Third,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00B50320">
        <w:rPr>
          <w:rFonts w:cs="Times New Roman"/>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zCs w:val="24"/>
        </w:rPr>
        <w:t>’s</w:t>
      </w:r>
      <w:r w:rsidRPr="002B283E">
        <w:rPr>
          <w:rFonts w:cs="Times New Roman"/>
          <w:spacing w:val="-4"/>
          <w:szCs w:val="24"/>
        </w:rPr>
        <w:t xml:space="preserve"> </w:t>
      </w:r>
      <w:r w:rsidRPr="002B283E">
        <w:rPr>
          <w:rFonts w:cs="Times New Roman"/>
          <w:szCs w:val="24"/>
        </w:rPr>
        <w:t>negligence</w:t>
      </w:r>
      <w:r w:rsidRPr="002B283E">
        <w:rPr>
          <w:rFonts w:cs="Times New Roman"/>
          <w:spacing w:val="-5"/>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cause</w:t>
      </w:r>
      <w:r w:rsidRPr="002B283E">
        <w:rPr>
          <w:rFonts w:cs="Times New Roman"/>
          <w:spacing w:val="-5"/>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injury</w:t>
      </w:r>
      <w:r w:rsidRPr="002B283E">
        <w:rPr>
          <w:rFonts w:cs="Times New Roman"/>
          <w:spacing w:val="-4"/>
          <w:szCs w:val="24"/>
        </w:rPr>
        <w:t xml:space="preserve"> </w:t>
      </w:r>
      <w:r w:rsidRPr="002B283E">
        <w:rPr>
          <w:rFonts w:cs="Times New Roman"/>
          <w:szCs w:val="24"/>
        </w:rPr>
        <w:t>or</w:t>
      </w:r>
      <w:r w:rsidRPr="002B283E">
        <w:rPr>
          <w:rFonts w:cs="Times New Roman"/>
          <w:spacing w:val="-5"/>
          <w:szCs w:val="24"/>
        </w:rPr>
        <w:t xml:space="preserve"> </w:t>
      </w:r>
      <w:r w:rsidRPr="002B283E">
        <w:rPr>
          <w:rFonts w:cs="Times New Roman"/>
          <w:szCs w:val="24"/>
        </w:rPr>
        <w:t>damage</w:t>
      </w:r>
      <w:r w:rsidRPr="002B283E">
        <w:rPr>
          <w:rFonts w:cs="Times New Roman"/>
          <w:spacing w:val="-5"/>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661D0FE4" w14:textId="77777777" w:rsidR="00DF2A53" w:rsidRPr="002B283E" w:rsidRDefault="00DF2A53" w:rsidP="002B283E">
      <w:pPr>
        <w:pStyle w:val="BodyText"/>
      </w:pPr>
    </w:p>
    <w:p w14:paraId="03F78DB3" w14:textId="65460BBE" w:rsidR="00DF2A53" w:rsidRPr="002B283E" w:rsidRDefault="00DF2A53" w:rsidP="002B283E">
      <w:pPr>
        <w:pStyle w:val="BodyText"/>
        <w:ind w:left="100" w:right="507"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w:t>
      </w:r>
      <w:r w:rsidRPr="002B283E">
        <w:rPr>
          <w:spacing w:val="-1"/>
        </w:rPr>
        <w:t xml:space="preserve"> </w:t>
      </w:r>
      <w:r w:rsidRPr="002B283E">
        <w:t>your</w:t>
      </w:r>
      <w:r w:rsidRPr="002B283E">
        <w:rPr>
          <w:spacing w:val="-2"/>
        </w:rPr>
        <w:t xml:space="preserve"> </w:t>
      </w:r>
      <w:r w:rsidRPr="002B283E">
        <w:t>verdict</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for</w:t>
      </w:r>
      <w:r w:rsidRPr="002B283E">
        <w:rPr>
          <w:spacing w:val="-2"/>
        </w:rPr>
        <w:t xml:space="preserve"> </w:t>
      </w:r>
      <w:r w:rsidRPr="002B283E">
        <w:t>the</w:t>
      </w:r>
      <w:r w:rsidRPr="002B283E">
        <w:rPr>
          <w:spacing w:val="-2"/>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If, on</w:t>
      </w:r>
      <w:r w:rsidRPr="002B283E">
        <w:rPr>
          <w:spacing w:val="-1"/>
        </w:rPr>
        <w:t xml:space="preserve"> </w:t>
      </w:r>
      <w:r w:rsidRPr="002B283E">
        <w:t>the</w:t>
      </w:r>
      <w:r w:rsidRPr="002B283E">
        <w:rPr>
          <w:spacing w:val="-2"/>
        </w:rPr>
        <w:t xml:space="preserve"> </w:t>
      </w:r>
      <w:r w:rsidRPr="002B283E">
        <w:t>other</w:t>
      </w:r>
      <w:r w:rsidRPr="002B283E">
        <w:rPr>
          <w:spacing w:val="-2"/>
        </w:rPr>
        <w:t xml:space="preserve"> </w:t>
      </w:r>
      <w:r w:rsidRPr="002B283E">
        <w:t>hand,</w:t>
      </w:r>
      <w:r w:rsidRPr="002B283E">
        <w:rPr>
          <w:spacing w:val="-1"/>
        </w:rPr>
        <w:t xml:space="preserve"> </w:t>
      </w:r>
      <w:r w:rsidRPr="002B283E">
        <w:t>the</w:t>
      </w:r>
      <w:r w:rsidRPr="002B283E">
        <w:rPr>
          <w:spacing w:val="-2"/>
        </w:rPr>
        <w:t xml:space="preserve"> </w:t>
      </w:r>
      <w:r w:rsidRPr="002B283E">
        <w:t>plaintiff</w:t>
      </w:r>
      <w:r w:rsidRPr="002B283E">
        <w:rPr>
          <w:spacing w:val="-2"/>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1"/>
        </w:rPr>
        <w:t xml:space="preserve"> </w:t>
      </w:r>
      <w:r w:rsidRPr="002B283E">
        <w:t>failed</w:t>
      </w:r>
      <w:r w:rsidRPr="002B283E">
        <w:rPr>
          <w:spacing w:val="-1"/>
        </w:rPr>
        <w:t xml:space="preserve"> </w:t>
      </w:r>
      <w:r w:rsidRPr="002B283E">
        <w:t>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B03C6C5" w14:textId="77777777" w:rsidR="00DF2A53" w:rsidRPr="002B283E" w:rsidRDefault="00DF2A53" w:rsidP="002B283E">
      <w:pPr>
        <w:pStyle w:val="BodyText"/>
      </w:pPr>
    </w:p>
    <w:p w14:paraId="6AED5CFD" w14:textId="77777777" w:rsidR="00DF2A53" w:rsidRPr="002B283E" w:rsidRDefault="00DF2A53" w:rsidP="002B283E">
      <w:pPr>
        <w:jc w:val="center"/>
        <w:rPr>
          <w:rFonts w:cs="Times New Roman"/>
          <w:b/>
          <w:bCs/>
          <w:szCs w:val="24"/>
        </w:rPr>
      </w:pPr>
      <w:r w:rsidRPr="002B283E">
        <w:rPr>
          <w:rFonts w:cs="Times New Roman"/>
          <w:b/>
          <w:bCs/>
          <w:szCs w:val="24"/>
        </w:rPr>
        <w:t>Comment</w:t>
      </w:r>
    </w:p>
    <w:p w14:paraId="2F15458E" w14:textId="77777777" w:rsidR="00DF2A53" w:rsidRPr="002B283E" w:rsidRDefault="00DF2A53" w:rsidP="002B283E">
      <w:pPr>
        <w:pStyle w:val="BodyText"/>
        <w:rPr>
          <w:b/>
        </w:rPr>
      </w:pPr>
    </w:p>
    <w:p w14:paraId="5E1A24F0" w14:textId="7FA85C53" w:rsidR="00DF2A53" w:rsidRPr="002B283E" w:rsidRDefault="00DF2A53" w:rsidP="002B283E">
      <w:pPr>
        <w:pStyle w:val="BodyText"/>
        <w:ind w:left="100" w:right="102" w:firstLine="720"/>
      </w:pPr>
      <w:r w:rsidRPr="002B283E">
        <w:t>For a discussion of the elements of a Jones</w:t>
      </w:r>
      <w:r w:rsidRPr="002B283E">
        <w:rPr>
          <w:spacing w:val="-5"/>
        </w:rPr>
        <w:t xml:space="preserve"> </w:t>
      </w:r>
      <w:r w:rsidRPr="002B283E">
        <w:t xml:space="preserve">Act negligence claim, </w:t>
      </w:r>
      <w:r w:rsidRPr="008A04C2">
        <w:rPr>
          <w:iCs/>
        </w:rPr>
        <w:t>see</w:t>
      </w:r>
      <w:r w:rsidRPr="002B283E">
        <w:rPr>
          <w:i/>
        </w:rPr>
        <w:t xml:space="preserve"> In re Hechinger</w:t>
      </w:r>
      <w:r w:rsidRPr="002B283E">
        <w:t>, 890</w:t>
      </w:r>
      <w:r w:rsidRPr="002B283E">
        <w:rPr>
          <w:spacing w:val="-7"/>
        </w:rPr>
        <w:t xml:space="preserve"> </w:t>
      </w:r>
      <w:r w:rsidRPr="002B283E">
        <w:t>F.2d</w:t>
      </w:r>
      <w:r w:rsidRPr="002B283E">
        <w:rPr>
          <w:spacing w:val="-6"/>
        </w:rPr>
        <w:t xml:space="preserve"> </w:t>
      </w:r>
      <w:r w:rsidRPr="002B283E">
        <w:t>202,</w:t>
      </w:r>
      <w:r w:rsidRPr="002B283E">
        <w:rPr>
          <w:spacing w:val="-6"/>
        </w:rPr>
        <w:t xml:space="preserve"> </w:t>
      </w:r>
      <w:r w:rsidRPr="002B283E">
        <w:t>208</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1989)</w:t>
      </w:r>
      <w:r w:rsidRPr="002B283E">
        <w:rPr>
          <w:spacing w:val="-7"/>
        </w:rPr>
        <w:t xml:space="preserve"> </w:t>
      </w:r>
      <w:r w:rsidRPr="002B283E">
        <w:t>(“To</w:t>
      </w:r>
      <w:r w:rsidRPr="002B283E">
        <w:rPr>
          <w:spacing w:val="-6"/>
        </w:rPr>
        <w:t xml:space="preserve"> </w:t>
      </w:r>
      <w:r w:rsidRPr="002B283E">
        <w:t>recover</w:t>
      </w:r>
      <w:r w:rsidRPr="002B283E">
        <w:rPr>
          <w:spacing w:val="-7"/>
        </w:rPr>
        <w:t xml:space="preserve"> </w:t>
      </w:r>
      <w:r w:rsidRPr="002B283E">
        <w:t>under</w:t>
      </w:r>
      <w:r w:rsidRPr="002B283E">
        <w:rPr>
          <w:spacing w:val="-7"/>
        </w:rPr>
        <w:t xml:space="preserve"> </w:t>
      </w:r>
      <w:r w:rsidRPr="002B283E">
        <w:t>a</w:t>
      </w:r>
      <w:r w:rsidRPr="002B283E">
        <w:rPr>
          <w:spacing w:val="-7"/>
        </w:rPr>
        <w:t xml:space="preserve"> </w:t>
      </w:r>
      <w:r w:rsidRPr="002B283E">
        <w:t>Jones</w:t>
      </w:r>
      <w:r w:rsidRPr="002B283E">
        <w:rPr>
          <w:spacing w:val="-15"/>
        </w:rPr>
        <w:t xml:space="preserve"> </w:t>
      </w:r>
      <w:r w:rsidRPr="002B283E">
        <w:t>Act</w:t>
      </w:r>
      <w:r w:rsidRPr="002B283E">
        <w:rPr>
          <w:spacing w:val="-4"/>
        </w:rPr>
        <w:t xml:space="preserve"> </w:t>
      </w:r>
      <w:r w:rsidRPr="002B283E">
        <w:t>claim,</w:t>
      </w:r>
      <w:r w:rsidRPr="002B283E">
        <w:rPr>
          <w:spacing w:val="-6"/>
        </w:rPr>
        <w:t xml:space="preserve"> </w:t>
      </w:r>
      <w:r w:rsidRPr="002B283E">
        <w:t>a</w:t>
      </w:r>
      <w:r w:rsidRPr="002B283E">
        <w:rPr>
          <w:spacing w:val="-5"/>
        </w:rPr>
        <w:t xml:space="preserve"> </w:t>
      </w:r>
      <w:r w:rsidRPr="002B283E">
        <w:t>plaintiff</w:t>
      </w:r>
      <w:r w:rsidRPr="002B283E">
        <w:rPr>
          <w:spacing w:val="-7"/>
        </w:rPr>
        <w:t xml:space="preserve"> </w:t>
      </w:r>
      <w:r w:rsidRPr="002B283E">
        <w:t>has</w:t>
      </w:r>
      <w:r w:rsidRPr="002B283E">
        <w:rPr>
          <w:spacing w:val="-6"/>
        </w:rPr>
        <w:t xml:space="preserve"> </w:t>
      </w:r>
      <w:r w:rsidRPr="002B283E">
        <w:t>the</w:t>
      </w:r>
      <w:r w:rsidRPr="002B283E">
        <w:rPr>
          <w:spacing w:val="-7"/>
        </w:rPr>
        <w:t xml:space="preserve"> </w:t>
      </w:r>
      <w:r w:rsidRPr="002B283E">
        <w:t>burden of establishing by a preponderance of the evidence, negligence on the part of his employer . . . [and] that the act of negligence was a cause, however slight, of his injuries.” (quotations and citation omitted)).</w:t>
      </w:r>
      <w:r w:rsidR="00B50320">
        <w:rPr>
          <w:spacing w:val="40"/>
        </w:rPr>
        <w:t xml:space="preserve"> </w:t>
      </w:r>
      <w:r w:rsidRPr="002B283E">
        <w:rPr>
          <w:i/>
        </w:rPr>
        <w:t>See also Mohn v. Marla Marie, Inc.</w:t>
      </w:r>
      <w:r w:rsidRPr="002B283E">
        <w:t>, 625 F.2d 900, 901-02 (9th Cir. 1980) (distinguishing between Jones</w:t>
      </w:r>
      <w:r w:rsidRPr="002B283E">
        <w:rPr>
          <w:spacing w:val="-10"/>
        </w:rPr>
        <w:t xml:space="preserve"> </w:t>
      </w:r>
      <w:r w:rsidRPr="002B283E">
        <w:t>Act negligence claim and unseaworthiness claim).</w:t>
      </w:r>
      <w:r w:rsidR="00B50320">
        <w:rPr>
          <w:spacing w:val="40"/>
        </w:rPr>
        <w:t xml:space="preserve"> </w:t>
      </w:r>
      <w:r w:rsidRPr="002B283E">
        <w:t>The Jones</w:t>
      </w:r>
      <w:r w:rsidRPr="002B283E">
        <w:rPr>
          <w:spacing w:val="-7"/>
        </w:rPr>
        <w:t xml:space="preserve"> </w:t>
      </w:r>
      <w:r w:rsidRPr="002B283E">
        <w:t>Act extends to a seaman the statutory rights accorded railway employees under the Federal Employers’</w:t>
      </w:r>
      <w:r w:rsidRPr="002B283E">
        <w:rPr>
          <w:spacing w:val="-12"/>
        </w:rPr>
        <w:t xml:space="preserve"> </w:t>
      </w:r>
      <w:r w:rsidRPr="002B283E">
        <w:t>Liability</w:t>
      </w:r>
      <w:r w:rsidRPr="002B283E">
        <w:rPr>
          <w:spacing w:val="-9"/>
        </w:rPr>
        <w:t xml:space="preserve"> </w:t>
      </w:r>
      <w:r w:rsidRPr="002B283E">
        <w:t xml:space="preserve">Act (FELA), 45 U.S.C. § 51, </w:t>
      </w:r>
      <w:r w:rsidRPr="002B283E">
        <w:rPr>
          <w:i/>
        </w:rPr>
        <w:t>et seq</w:t>
      </w:r>
      <w:r w:rsidRPr="002B283E">
        <w:t>., and courts may look to cases decided under FELA</w:t>
      </w:r>
      <w:r w:rsidRPr="002B283E">
        <w:rPr>
          <w:spacing w:val="-10"/>
        </w:rPr>
        <w:t xml:space="preserve"> </w:t>
      </w:r>
      <w:r w:rsidRPr="002B283E">
        <w:t>in construing the Jones</w:t>
      </w:r>
      <w:r w:rsidRPr="002B283E">
        <w:rPr>
          <w:spacing w:val="-12"/>
        </w:rPr>
        <w:t xml:space="preserve"> </w:t>
      </w:r>
      <w:r w:rsidRPr="002B283E">
        <w:t>Act.</w:t>
      </w:r>
      <w:r w:rsidRPr="002B283E">
        <w:rPr>
          <w:spacing w:val="40"/>
        </w:rPr>
        <w:t xml:space="preserve"> </w:t>
      </w:r>
      <w:r w:rsidRPr="002B283E">
        <w:rPr>
          <w:i/>
        </w:rPr>
        <w:t>Lies v. Farrell Lines, Inc.</w:t>
      </w:r>
      <w:r w:rsidRPr="002B283E">
        <w:t>, 641 F.2d 765, 770 (9th Cir. 1981).</w:t>
      </w:r>
      <w:r w:rsidR="00B50320">
        <w:rPr>
          <w:spacing w:val="40"/>
        </w:rPr>
        <w:t xml:space="preserve"> </w:t>
      </w:r>
      <w:r w:rsidRPr="002B283E">
        <w:t>For FELA</w:t>
      </w:r>
      <w:r w:rsidRPr="002B283E">
        <w:rPr>
          <w:spacing w:val="-3"/>
        </w:rPr>
        <w:t xml:space="preserve"> </w:t>
      </w:r>
      <w:r w:rsidRPr="002B283E">
        <w:t xml:space="preserve">instructions, </w:t>
      </w:r>
      <w:r w:rsidRPr="008A04C2">
        <w:rPr>
          <w:iCs/>
        </w:rPr>
        <w:t xml:space="preserve">see </w:t>
      </w:r>
      <w:r w:rsidRPr="002B283E">
        <w:t>Chapter 6 (“Federal Employers’</w:t>
      </w:r>
      <w:r w:rsidRPr="002B283E">
        <w:rPr>
          <w:spacing w:val="-9"/>
        </w:rPr>
        <w:t xml:space="preserve"> </w:t>
      </w:r>
      <w:r w:rsidRPr="002B283E">
        <w:t>Liability</w:t>
      </w:r>
      <w:r w:rsidRPr="002B283E">
        <w:rPr>
          <w:spacing w:val="-5"/>
        </w:rPr>
        <w:t xml:space="preserve"> </w:t>
      </w:r>
      <w:r w:rsidRPr="002B283E">
        <w:t>Act”).</w:t>
      </w:r>
    </w:p>
    <w:p w14:paraId="2C07E88D" w14:textId="77777777" w:rsidR="00DF2A53" w:rsidRPr="002B283E" w:rsidRDefault="00DF2A53" w:rsidP="002B283E">
      <w:pPr>
        <w:pStyle w:val="BodyText"/>
        <w:ind w:left="100" w:right="102" w:firstLine="720"/>
      </w:pPr>
    </w:p>
    <w:p w14:paraId="46712923" w14:textId="77777777" w:rsidR="00DF2A53" w:rsidRPr="002B283E" w:rsidRDefault="00DF2A53" w:rsidP="002B283E">
      <w:pPr>
        <w:pStyle w:val="BodyText"/>
        <w:ind w:left="100" w:right="102" w:firstLine="720"/>
      </w:pPr>
    </w:p>
    <w:p w14:paraId="1CD7EB2B" w14:textId="1EF3BD32" w:rsidR="00455B81" w:rsidRPr="002B283E" w:rsidRDefault="00DF2A53" w:rsidP="002B283E">
      <w:pPr>
        <w:pStyle w:val="BodyText"/>
        <w:ind w:left="100" w:right="102" w:firstLine="720"/>
        <w:jc w:val="right"/>
        <w:rPr>
          <w:i/>
          <w:iCs/>
        </w:rPr>
      </w:pPr>
      <w:r w:rsidRPr="002B283E">
        <w:rPr>
          <w:i/>
          <w:iCs/>
        </w:rPr>
        <w:t>Revised March 2025</w:t>
      </w:r>
    </w:p>
    <w:p w14:paraId="226594CF" w14:textId="77777777" w:rsidR="00455B81" w:rsidRPr="002B283E" w:rsidRDefault="00455B81" w:rsidP="002B283E">
      <w:pPr>
        <w:autoSpaceDE w:val="0"/>
        <w:autoSpaceDN w:val="0"/>
        <w:adjustRightInd w:val="0"/>
        <w:rPr>
          <w:rFonts w:cs="Times New Roman"/>
          <w:szCs w:val="24"/>
        </w:rPr>
      </w:pPr>
    </w:p>
    <w:p w14:paraId="2E0A87EA" w14:textId="78EACA98" w:rsidR="006A4CD7" w:rsidRPr="002B283E" w:rsidRDefault="006A4CD7" w:rsidP="002B283E">
      <w:pPr>
        <w:pStyle w:val="Heading2"/>
      </w:pPr>
      <w:r w:rsidRPr="002B283E">
        <w:br w:type="page"/>
      </w:r>
      <w:bookmarkStart w:id="110" w:name="_Toc221525151"/>
      <w:r w:rsidRPr="002B283E">
        <w:lastRenderedPageBreak/>
        <w:t xml:space="preserve">7.3 </w:t>
      </w:r>
      <w:r w:rsidR="004272A6" w:rsidRPr="002B283E">
        <w:t>Jones Act Negligence Claim</w:t>
      </w:r>
      <w:r w:rsidRPr="002B283E">
        <w:t>—N</w:t>
      </w:r>
      <w:r w:rsidR="004272A6" w:rsidRPr="002B283E">
        <w:t>egligence</w:t>
      </w:r>
      <w:r w:rsidRPr="002B283E">
        <w:t xml:space="preserve"> D</w:t>
      </w:r>
      <w:r w:rsidR="004272A6" w:rsidRPr="002B283E">
        <w:t>efined</w:t>
      </w:r>
      <w:bookmarkEnd w:id="110"/>
    </w:p>
    <w:p w14:paraId="650CF71E" w14:textId="77777777" w:rsidR="006A4CD7" w:rsidRPr="002B283E" w:rsidRDefault="006A4CD7" w:rsidP="002B283E">
      <w:pPr>
        <w:autoSpaceDE w:val="0"/>
        <w:autoSpaceDN w:val="0"/>
        <w:adjustRightInd w:val="0"/>
        <w:rPr>
          <w:rFonts w:cs="Times New Roman"/>
          <w:szCs w:val="24"/>
        </w:rPr>
      </w:pPr>
    </w:p>
    <w:p w14:paraId="3D71354E" w14:textId="724AF5B5" w:rsidR="006A4CD7" w:rsidRPr="002B283E" w:rsidRDefault="006A4CD7" w:rsidP="002B283E">
      <w:pPr>
        <w:autoSpaceDE w:val="0"/>
        <w:autoSpaceDN w:val="0"/>
        <w:adjustRightInd w:val="0"/>
        <w:rPr>
          <w:rFonts w:cs="Times New Roman"/>
          <w:b/>
          <w:bCs/>
          <w:szCs w:val="24"/>
        </w:rPr>
      </w:pPr>
      <w:r w:rsidRPr="002B283E">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2B283E">
        <w:rPr>
          <w:rFonts w:cs="Times New Roman"/>
          <w:b/>
          <w:bCs/>
          <w:szCs w:val="24"/>
        </w:rPr>
        <w:t>.</w:t>
      </w:r>
    </w:p>
    <w:p w14:paraId="3B16D165" w14:textId="40C10250" w:rsidR="006A4CD7" w:rsidRPr="002B283E" w:rsidRDefault="006A4CD7" w:rsidP="002B283E">
      <w:pPr>
        <w:pStyle w:val="Heading2"/>
      </w:pPr>
      <w:r w:rsidRPr="002B283E">
        <w:br w:type="page"/>
      </w:r>
      <w:bookmarkStart w:id="111" w:name="_Toc221525152"/>
      <w:r w:rsidRPr="002B283E">
        <w:lastRenderedPageBreak/>
        <w:t xml:space="preserve">7.4 </w:t>
      </w:r>
      <w:r w:rsidR="004272A6" w:rsidRPr="002B283E">
        <w:t>Jones Act Negligence Claim</w:t>
      </w:r>
      <w:r w:rsidRPr="002B283E">
        <w:t>—C</w:t>
      </w:r>
      <w:r w:rsidR="004272A6" w:rsidRPr="002B283E">
        <w:t>ausation</w:t>
      </w:r>
      <w:r w:rsidRPr="002B283E">
        <w:t xml:space="preserve"> D</w:t>
      </w:r>
      <w:r w:rsidR="004272A6" w:rsidRPr="002B283E">
        <w:t>efined</w:t>
      </w:r>
      <w:bookmarkEnd w:id="111"/>
    </w:p>
    <w:p w14:paraId="756BE448" w14:textId="77777777" w:rsidR="006A4CD7" w:rsidRPr="002B283E" w:rsidRDefault="006A4CD7" w:rsidP="002B283E">
      <w:pPr>
        <w:autoSpaceDE w:val="0"/>
        <w:autoSpaceDN w:val="0"/>
        <w:adjustRightInd w:val="0"/>
        <w:rPr>
          <w:rFonts w:cs="Times New Roman"/>
          <w:szCs w:val="24"/>
        </w:rPr>
      </w:pPr>
    </w:p>
    <w:p w14:paraId="79E3BBBF" w14:textId="77777777" w:rsidR="00522DA3" w:rsidRPr="002B283E" w:rsidRDefault="006A4CD7" w:rsidP="008A04C2">
      <w:pPr>
        <w:pStyle w:val="BodyText"/>
        <w:ind w:left="100" w:right="176"/>
      </w:pPr>
      <w:r w:rsidRPr="002B283E">
        <w:tab/>
      </w:r>
      <w:r w:rsidR="00522DA3" w:rsidRPr="002B283E">
        <w:t>Negligence</w:t>
      </w:r>
      <w:r w:rsidR="00522DA3" w:rsidRPr="002B283E">
        <w:rPr>
          <w:spacing w:val="-5"/>
        </w:rPr>
        <w:t xml:space="preserve"> </w:t>
      </w:r>
      <w:r w:rsidR="00522DA3" w:rsidRPr="002B283E">
        <w:t>under</w:t>
      </w:r>
      <w:r w:rsidR="00522DA3" w:rsidRPr="002B283E">
        <w:rPr>
          <w:spacing w:val="-3"/>
        </w:rPr>
        <w:t xml:space="preserve"> </w:t>
      </w:r>
      <w:r w:rsidR="00522DA3" w:rsidRPr="002B283E">
        <w:t>the</w:t>
      </w:r>
      <w:r w:rsidR="00522DA3" w:rsidRPr="002B283E">
        <w:rPr>
          <w:spacing w:val="-3"/>
        </w:rPr>
        <w:t xml:space="preserve"> </w:t>
      </w:r>
      <w:r w:rsidR="00522DA3" w:rsidRPr="002B283E">
        <w:t>Jones</w:t>
      </w:r>
      <w:r w:rsidR="00522DA3" w:rsidRPr="002B283E">
        <w:rPr>
          <w:spacing w:val="-15"/>
        </w:rPr>
        <w:t xml:space="preserve"> </w:t>
      </w:r>
      <w:r w:rsidR="00522DA3" w:rsidRPr="002B283E">
        <w:t>Act</w:t>
      </w:r>
      <w:r w:rsidR="00522DA3" w:rsidRPr="002B283E">
        <w:rPr>
          <w:spacing w:val="-2"/>
        </w:rPr>
        <w:t xml:space="preserve"> </w:t>
      </w:r>
      <w:r w:rsidR="00522DA3" w:rsidRPr="002B283E">
        <w:t>is</w:t>
      </w:r>
      <w:r w:rsidR="00522DA3" w:rsidRPr="002B283E">
        <w:rPr>
          <w:spacing w:val="-2"/>
        </w:rPr>
        <w:t xml:space="preserve"> </w:t>
      </w:r>
      <w:r w:rsidR="00522DA3" w:rsidRPr="002B283E">
        <w:t>a</w:t>
      </w:r>
      <w:r w:rsidR="00522DA3" w:rsidRPr="002B283E">
        <w:rPr>
          <w:spacing w:val="-1"/>
        </w:rPr>
        <w:t xml:space="preserve"> </w:t>
      </w:r>
      <w:r w:rsidR="00522DA3" w:rsidRPr="002B283E">
        <w:t>cause</w:t>
      </w:r>
      <w:r w:rsidR="00522DA3" w:rsidRPr="002B283E">
        <w:rPr>
          <w:spacing w:val="-3"/>
        </w:rPr>
        <w:t xml:space="preserve"> </w:t>
      </w:r>
      <w:r w:rsidR="00522DA3" w:rsidRPr="002B283E">
        <w:t>of</w:t>
      </w:r>
      <w:r w:rsidR="00522DA3" w:rsidRPr="002B283E">
        <w:rPr>
          <w:spacing w:val="-3"/>
        </w:rPr>
        <w:t xml:space="preserve"> </w:t>
      </w:r>
      <w:r w:rsidR="00522DA3" w:rsidRPr="002B283E">
        <w:t>an</w:t>
      </w:r>
      <w:r w:rsidR="00522DA3" w:rsidRPr="002B283E">
        <w:rPr>
          <w:spacing w:val="-2"/>
        </w:rPr>
        <w:t xml:space="preserve"> </w:t>
      </w:r>
      <w:r w:rsidR="00522DA3" w:rsidRPr="002B283E">
        <w:t>injury</w:t>
      </w:r>
      <w:r w:rsidR="00522DA3" w:rsidRPr="002B283E">
        <w:rPr>
          <w:spacing w:val="-2"/>
        </w:rPr>
        <w:t xml:space="preserve"> </w:t>
      </w:r>
      <w:r w:rsidR="00522DA3" w:rsidRPr="002B283E">
        <w:t>if</w:t>
      </w:r>
      <w:r w:rsidR="00522DA3" w:rsidRPr="002B283E">
        <w:rPr>
          <w:spacing w:val="-3"/>
        </w:rPr>
        <w:t xml:space="preserve"> </w:t>
      </w:r>
      <w:r w:rsidR="00522DA3" w:rsidRPr="002B283E">
        <w:t>it</w:t>
      </w:r>
      <w:r w:rsidR="00522DA3" w:rsidRPr="002B283E">
        <w:rPr>
          <w:spacing w:val="-2"/>
        </w:rPr>
        <w:t xml:space="preserve"> </w:t>
      </w:r>
      <w:r w:rsidR="00522DA3" w:rsidRPr="002B283E">
        <w:t>played</w:t>
      </w:r>
      <w:r w:rsidR="00522DA3" w:rsidRPr="002B283E">
        <w:rPr>
          <w:spacing w:val="-2"/>
        </w:rPr>
        <w:t xml:space="preserve"> </w:t>
      </w:r>
      <w:r w:rsidR="00522DA3" w:rsidRPr="002B283E">
        <w:t>any</w:t>
      </w:r>
      <w:r w:rsidR="00522DA3" w:rsidRPr="002B283E">
        <w:rPr>
          <w:spacing w:val="-2"/>
        </w:rPr>
        <w:t xml:space="preserve"> </w:t>
      </w:r>
      <w:r w:rsidR="00522DA3" w:rsidRPr="002B283E">
        <w:t>part,</w:t>
      </w:r>
      <w:r w:rsidR="00522DA3" w:rsidRPr="002B283E">
        <w:rPr>
          <w:spacing w:val="-2"/>
        </w:rPr>
        <w:t xml:space="preserve"> </w:t>
      </w:r>
      <w:r w:rsidR="00522DA3" w:rsidRPr="002B283E">
        <w:t>no</w:t>
      </w:r>
      <w:r w:rsidR="00522DA3" w:rsidRPr="002B283E">
        <w:rPr>
          <w:spacing w:val="-2"/>
        </w:rPr>
        <w:t xml:space="preserve"> </w:t>
      </w:r>
      <w:r w:rsidR="00522DA3" w:rsidRPr="002B283E">
        <w:t>matter how slight, in bringing about the injury or damage, even if the negligence operated in combination with the acts of another, or in combination with some other cause.</w:t>
      </w:r>
    </w:p>
    <w:p w14:paraId="30A68CCB" w14:textId="77777777" w:rsidR="00522DA3" w:rsidRPr="002B283E" w:rsidRDefault="00522DA3" w:rsidP="002B283E">
      <w:pPr>
        <w:pStyle w:val="BodyText"/>
      </w:pPr>
    </w:p>
    <w:p w14:paraId="00740BB6" w14:textId="77777777" w:rsidR="00522DA3" w:rsidRPr="002B283E" w:rsidRDefault="00522DA3" w:rsidP="002B283E">
      <w:pPr>
        <w:jc w:val="center"/>
        <w:rPr>
          <w:rFonts w:cs="Times New Roman"/>
          <w:b/>
          <w:bCs/>
          <w:szCs w:val="24"/>
        </w:rPr>
      </w:pPr>
      <w:r w:rsidRPr="002B283E">
        <w:rPr>
          <w:rFonts w:cs="Times New Roman"/>
          <w:b/>
          <w:bCs/>
          <w:szCs w:val="24"/>
        </w:rPr>
        <w:t>Comment</w:t>
      </w:r>
    </w:p>
    <w:p w14:paraId="7EF1EEEC" w14:textId="77777777" w:rsidR="00522DA3" w:rsidRPr="002B283E" w:rsidRDefault="00522DA3" w:rsidP="002B283E">
      <w:pPr>
        <w:pStyle w:val="BodyText"/>
        <w:rPr>
          <w:b/>
        </w:rPr>
      </w:pPr>
    </w:p>
    <w:p w14:paraId="2267E194" w14:textId="21C50DB3" w:rsidR="00522DA3" w:rsidRPr="002B283E" w:rsidRDefault="00522DA3" w:rsidP="002B283E">
      <w:pPr>
        <w:pStyle w:val="BodyText"/>
        <w:ind w:left="820"/>
        <w:rPr>
          <w:i/>
        </w:rPr>
      </w:pPr>
      <w:r w:rsidRPr="002B283E">
        <w:t>Even</w:t>
      </w:r>
      <w:r w:rsidRPr="002B283E">
        <w:rPr>
          <w:spacing w:val="-1"/>
        </w:rPr>
        <w:t xml:space="preserve"> </w:t>
      </w:r>
      <w:r w:rsidRPr="002B283E">
        <w:t>the</w:t>
      </w:r>
      <w:r w:rsidRPr="002B283E">
        <w:rPr>
          <w:spacing w:val="-2"/>
        </w:rPr>
        <w:t xml:space="preserve"> </w:t>
      </w:r>
      <w:r w:rsidRPr="002B283E">
        <w:t>“slightest</w:t>
      </w:r>
      <w:r w:rsidRPr="002B283E">
        <w:rPr>
          <w:spacing w:val="-1"/>
        </w:rPr>
        <w:t xml:space="preserve"> </w:t>
      </w:r>
      <w:r w:rsidRPr="002B283E">
        <w:t>negligence”</w:t>
      </w:r>
      <w:r w:rsidRPr="002B283E">
        <w:rPr>
          <w:spacing w:val="-2"/>
        </w:rPr>
        <w:t xml:space="preserve"> </w:t>
      </w:r>
      <w:r w:rsidRPr="002B283E">
        <w:t>is</w:t>
      </w:r>
      <w:r w:rsidRPr="002B283E">
        <w:rPr>
          <w:spacing w:val="-1"/>
        </w:rPr>
        <w:t xml:space="preserve"> </w:t>
      </w:r>
      <w:r w:rsidRPr="002B283E">
        <w:t>sufficient</w:t>
      </w:r>
      <w:r w:rsidRPr="002B283E">
        <w:rPr>
          <w:spacing w:val="-1"/>
        </w:rPr>
        <w:t xml:space="preserve"> </w:t>
      </w:r>
      <w:r w:rsidRPr="002B283E">
        <w:t>for</w:t>
      </w:r>
      <w:r w:rsidRPr="002B283E">
        <w:rPr>
          <w:spacing w:val="-2"/>
        </w:rPr>
        <w:t xml:space="preserve"> </w:t>
      </w:r>
      <w:r w:rsidRPr="002B283E">
        <w:t>a finding</w:t>
      </w:r>
      <w:r w:rsidRPr="002B283E">
        <w:rPr>
          <w:spacing w:val="-1"/>
        </w:rPr>
        <w:t xml:space="preserve"> </w:t>
      </w:r>
      <w:r w:rsidRPr="002B283E">
        <w:t>of</w:t>
      </w:r>
      <w:r w:rsidRPr="002B283E">
        <w:rPr>
          <w:spacing w:val="-2"/>
        </w:rPr>
        <w:t xml:space="preserve"> </w:t>
      </w:r>
      <w:r w:rsidRPr="002B283E">
        <w:t>liability.</w:t>
      </w:r>
      <w:r w:rsidR="00B50320">
        <w:rPr>
          <w:spacing w:val="58"/>
          <w:u w:color="5C2D91"/>
        </w:rPr>
        <w:t xml:space="preserve"> </w:t>
      </w:r>
      <w:r w:rsidRPr="002B283E">
        <w:rPr>
          <w:i/>
        </w:rPr>
        <w:t>See</w:t>
      </w:r>
      <w:r w:rsidRPr="002B283E">
        <w:rPr>
          <w:i/>
          <w:spacing w:val="-2"/>
        </w:rPr>
        <w:t xml:space="preserve"> </w:t>
      </w:r>
      <w:r w:rsidRPr="002B283E">
        <w:rPr>
          <w:i/>
        </w:rPr>
        <w:t>Ribitzki</w:t>
      </w:r>
      <w:r w:rsidRPr="002B283E">
        <w:rPr>
          <w:i/>
          <w:spacing w:val="-1"/>
        </w:rPr>
        <w:t xml:space="preserve"> </w:t>
      </w:r>
      <w:r w:rsidRPr="002B283E">
        <w:rPr>
          <w:i/>
          <w:spacing w:val="-5"/>
        </w:rPr>
        <w:t>v.</w:t>
      </w:r>
    </w:p>
    <w:p w14:paraId="0645A3F1" w14:textId="1FAB40B4" w:rsidR="00522DA3" w:rsidRPr="002B283E" w:rsidRDefault="00522DA3" w:rsidP="002B283E">
      <w:pPr>
        <w:pStyle w:val="BodyText"/>
        <w:ind w:left="100"/>
      </w:pPr>
      <w:r w:rsidRPr="002B283E">
        <w:rPr>
          <w:i/>
        </w:rPr>
        <w:t>Canmar</w:t>
      </w:r>
      <w:r w:rsidRPr="002B283E">
        <w:rPr>
          <w:i/>
          <w:spacing w:val="-3"/>
        </w:rPr>
        <w:t xml:space="preserve"> </w:t>
      </w:r>
      <w:r w:rsidRPr="002B283E">
        <w:rPr>
          <w:i/>
        </w:rPr>
        <w:t>Reading</w:t>
      </w:r>
      <w:r w:rsidRPr="002B283E">
        <w:rPr>
          <w:i/>
          <w:spacing w:val="-3"/>
        </w:rPr>
        <w:t xml:space="preserve"> </w:t>
      </w:r>
      <w:r w:rsidRPr="002B283E">
        <w:rPr>
          <w:i/>
        </w:rPr>
        <w:t>&amp;</w:t>
      </w:r>
      <w:r w:rsidRPr="002B283E">
        <w:rPr>
          <w:i/>
          <w:spacing w:val="-3"/>
        </w:rPr>
        <w:t xml:space="preserve"> </w:t>
      </w:r>
      <w:r w:rsidRPr="002B283E">
        <w:rPr>
          <w:i/>
        </w:rPr>
        <w:t>Bates,</w:t>
      </w:r>
      <w:r w:rsidRPr="002B283E">
        <w:rPr>
          <w:i/>
          <w:spacing w:val="-3"/>
        </w:rPr>
        <w:t xml:space="preserve"> </w:t>
      </w:r>
      <w:r w:rsidRPr="002B283E">
        <w:rPr>
          <w:i/>
        </w:rPr>
        <w:t>Ltd.</w:t>
      </w:r>
      <w:r w:rsidRPr="002B283E">
        <w:rPr>
          <w:i/>
          <w:spacing w:val="-3"/>
        </w:rPr>
        <w:t xml:space="preserve"> </w:t>
      </w:r>
      <w:r w:rsidRPr="002B283E">
        <w:rPr>
          <w:i/>
        </w:rPr>
        <w:t>P’ship</w:t>
      </w:r>
      <w:r w:rsidRPr="002B283E">
        <w:t>,</w:t>
      </w:r>
      <w:r w:rsidRPr="002B283E">
        <w:rPr>
          <w:spacing w:val="-3"/>
        </w:rPr>
        <w:t xml:space="preserve"> </w:t>
      </w:r>
      <w:r w:rsidRPr="002B283E">
        <w:t>111</w:t>
      </w:r>
      <w:r w:rsidRPr="002B283E">
        <w:rPr>
          <w:spacing w:val="-3"/>
        </w:rPr>
        <w:t xml:space="preserve"> </w:t>
      </w:r>
      <w:r w:rsidRPr="002B283E">
        <w:t>F.3d</w:t>
      </w:r>
      <w:r w:rsidRPr="002B283E">
        <w:rPr>
          <w:spacing w:val="-3"/>
        </w:rPr>
        <w:t xml:space="preserve"> </w:t>
      </w:r>
      <w:r w:rsidRPr="002B283E">
        <w:t>658,</w:t>
      </w:r>
      <w:r w:rsidRPr="002B283E">
        <w:rPr>
          <w:spacing w:val="-3"/>
        </w:rPr>
        <w:t xml:space="preserve"> </w:t>
      </w:r>
      <w:r w:rsidRPr="002B283E">
        <w:t>662</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1997)</w:t>
      </w:r>
      <w:r w:rsidRPr="002B283E">
        <w:rPr>
          <w:spacing w:val="-4"/>
        </w:rPr>
        <w:t xml:space="preserve"> </w:t>
      </w:r>
      <w:r w:rsidRPr="002B283E">
        <w:t xml:space="preserve">(citing </w:t>
      </w:r>
      <w:r w:rsidRPr="002B283E">
        <w:rPr>
          <w:i/>
        </w:rPr>
        <w:t>Havens v. F/T Polar Mist</w:t>
      </w:r>
      <w:r w:rsidRPr="002B283E">
        <w:t>, 996 F.2d 215, 218 (9th Cir. 1993)).</w:t>
      </w:r>
      <w:r w:rsidR="00B50320">
        <w:rPr>
          <w:spacing w:val="40"/>
        </w:rPr>
        <w:t xml:space="preserve"> </w:t>
      </w:r>
      <w:r w:rsidRPr="002B283E">
        <w:t>This test is often described as a “featherweight causation standard” and allows a seaman to survive summary judgment by presenting even the slightest proof of causation.</w:t>
      </w:r>
      <w:r w:rsidRPr="002B283E">
        <w:rPr>
          <w:spacing w:val="40"/>
        </w:rPr>
        <w:t xml:space="preserve"> </w:t>
      </w:r>
      <w:r w:rsidRPr="002B283E">
        <w:rPr>
          <w:i/>
        </w:rPr>
        <w:t>Ribitzki</w:t>
      </w:r>
      <w:r w:rsidRPr="002B283E">
        <w:t>, 111 F.3d at 664.</w:t>
      </w:r>
    </w:p>
    <w:p w14:paraId="38AEF85E" w14:textId="77777777" w:rsidR="00522DA3" w:rsidRPr="002B283E" w:rsidRDefault="00522DA3" w:rsidP="002B283E">
      <w:pPr>
        <w:pStyle w:val="BodyText"/>
      </w:pPr>
    </w:p>
    <w:p w14:paraId="2B7B013F" w14:textId="77777777" w:rsidR="00522DA3" w:rsidRPr="002B283E" w:rsidRDefault="00522DA3" w:rsidP="002B283E">
      <w:pPr>
        <w:pStyle w:val="BodyText"/>
        <w:ind w:left="100" w:firstLine="720"/>
        <w:rPr>
          <w:spacing w:val="-2"/>
        </w:rPr>
      </w:pPr>
      <w:r w:rsidRPr="002B283E">
        <w:t>The causal requirements for Jones</w:t>
      </w:r>
      <w:r w:rsidRPr="002B283E">
        <w:rPr>
          <w:spacing w:val="-2"/>
        </w:rPr>
        <w:t xml:space="preserve"> </w:t>
      </w:r>
      <w:r w:rsidRPr="002B283E">
        <w:t>Act negligence and under the doctrine of unseaworthiness</w:t>
      </w:r>
      <w:r w:rsidRPr="002B283E">
        <w:rPr>
          <w:spacing w:val="-7"/>
        </w:rPr>
        <w:t xml:space="preserve"> </w:t>
      </w:r>
      <w:r w:rsidRPr="002B283E">
        <w:t>are</w:t>
      </w:r>
      <w:r w:rsidRPr="002B283E">
        <w:rPr>
          <w:spacing w:val="-7"/>
        </w:rPr>
        <w:t xml:space="preserve"> </w:t>
      </w:r>
      <w:r w:rsidRPr="002B283E">
        <w:t>different.</w:t>
      </w:r>
      <w:r w:rsidRPr="002B283E">
        <w:rPr>
          <w:spacing w:val="40"/>
        </w:rPr>
        <w:t xml:space="preserve"> </w:t>
      </w:r>
      <w:r w:rsidRPr="002B283E">
        <w:rPr>
          <w:i/>
        </w:rPr>
        <w:t>See</w:t>
      </w:r>
      <w:r w:rsidRPr="002B283E">
        <w:rPr>
          <w:i/>
          <w:spacing w:val="-7"/>
        </w:rPr>
        <w:t xml:space="preserve"> </w:t>
      </w:r>
      <w:r w:rsidRPr="002B283E">
        <w:rPr>
          <w:i/>
        </w:rPr>
        <w:t>Lies</w:t>
      </w:r>
      <w:r w:rsidRPr="002B283E">
        <w:rPr>
          <w:i/>
          <w:spacing w:val="-7"/>
        </w:rPr>
        <w:t xml:space="preserve"> </w:t>
      </w:r>
      <w:r w:rsidRPr="002B283E">
        <w:rPr>
          <w:i/>
        </w:rPr>
        <w:t>v.</w:t>
      </w:r>
      <w:r w:rsidRPr="002B283E">
        <w:rPr>
          <w:i/>
          <w:spacing w:val="-7"/>
        </w:rPr>
        <w:t xml:space="preserve"> </w:t>
      </w:r>
      <w:r w:rsidRPr="002B283E">
        <w:rPr>
          <w:i/>
        </w:rPr>
        <w:t>Farrell</w:t>
      </w:r>
      <w:r w:rsidRPr="002B283E">
        <w:rPr>
          <w:i/>
          <w:spacing w:val="-7"/>
        </w:rPr>
        <w:t xml:space="preserve"> </w:t>
      </w:r>
      <w:r w:rsidRPr="002B283E">
        <w:rPr>
          <w:i/>
        </w:rPr>
        <w:t>Lines</w:t>
      </w:r>
      <w:r w:rsidRPr="002B283E">
        <w:t>,</w:t>
      </w:r>
      <w:r w:rsidRPr="002B283E">
        <w:rPr>
          <w:spacing w:val="-7"/>
        </w:rPr>
        <w:t xml:space="preserve"> </w:t>
      </w:r>
      <w:r w:rsidRPr="002B283E">
        <w:t>641</w:t>
      </w:r>
      <w:r w:rsidRPr="002B283E">
        <w:rPr>
          <w:spacing w:val="-7"/>
        </w:rPr>
        <w:t xml:space="preserve"> </w:t>
      </w:r>
      <w:r w:rsidRPr="002B283E">
        <w:t>F.2d</w:t>
      </w:r>
      <w:r w:rsidRPr="002B283E">
        <w:rPr>
          <w:spacing w:val="-7"/>
        </w:rPr>
        <w:t xml:space="preserve"> </w:t>
      </w:r>
      <w:r w:rsidRPr="002B283E">
        <w:t>765,</w:t>
      </w:r>
      <w:r w:rsidRPr="002B283E">
        <w:rPr>
          <w:spacing w:val="-7"/>
        </w:rPr>
        <w:t xml:space="preserve"> </w:t>
      </w:r>
      <w:r w:rsidRPr="002B283E">
        <w:t>769</w:t>
      </w:r>
      <w:r w:rsidRPr="002B283E">
        <w:rPr>
          <w:spacing w:val="-9"/>
        </w:rPr>
        <w:t xml:space="preserve"> </w:t>
      </w:r>
      <w:r w:rsidRPr="002B283E">
        <w:t>n.7</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 xml:space="preserve">1981). Separate causation instructions, therefore, will be necessary when both claims for relief are </w:t>
      </w:r>
      <w:r w:rsidRPr="002B283E">
        <w:rPr>
          <w:spacing w:val="-2"/>
        </w:rPr>
        <w:t>asserted.</w:t>
      </w:r>
    </w:p>
    <w:p w14:paraId="28EB9239" w14:textId="77777777" w:rsidR="00522DA3" w:rsidRPr="002B283E" w:rsidRDefault="00522DA3" w:rsidP="002B283E">
      <w:pPr>
        <w:pStyle w:val="BodyText"/>
        <w:ind w:left="100" w:firstLine="720"/>
        <w:rPr>
          <w:spacing w:val="-2"/>
        </w:rPr>
      </w:pPr>
    </w:p>
    <w:p w14:paraId="7055615B" w14:textId="77777777" w:rsidR="00522DA3" w:rsidRPr="002B283E" w:rsidRDefault="00522DA3" w:rsidP="002B283E">
      <w:pPr>
        <w:pStyle w:val="BodyText"/>
        <w:ind w:left="100" w:firstLine="720"/>
        <w:rPr>
          <w:spacing w:val="-2"/>
        </w:rPr>
      </w:pPr>
    </w:p>
    <w:p w14:paraId="552AA559" w14:textId="78A12BDC" w:rsidR="006A4CD7" w:rsidRPr="002B283E" w:rsidRDefault="00522DA3" w:rsidP="002B283E">
      <w:pPr>
        <w:pStyle w:val="BodyText"/>
        <w:ind w:left="100" w:firstLine="720"/>
        <w:jc w:val="right"/>
        <w:rPr>
          <w:i/>
          <w:iCs/>
        </w:rPr>
      </w:pPr>
      <w:r w:rsidRPr="002B283E">
        <w:rPr>
          <w:i/>
          <w:iCs/>
        </w:rPr>
        <w:t>Revised March 2025</w:t>
      </w:r>
    </w:p>
    <w:p w14:paraId="60163BD8" w14:textId="4F6E9086" w:rsidR="006A4CD7" w:rsidRPr="002B283E" w:rsidRDefault="006A4CD7" w:rsidP="002B283E">
      <w:pPr>
        <w:pStyle w:val="Heading2"/>
      </w:pPr>
      <w:r w:rsidRPr="002B283E">
        <w:br w:type="page"/>
      </w:r>
      <w:bookmarkStart w:id="112" w:name="_Toc221525153"/>
      <w:r w:rsidRPr="002B283E">
        <w:lastRenderedPageBreak/>
        <w:t>7.5 U</w:t>
      </w:r>
      <w:r w:rsidR="004272A6" w:rsidRPr="002B283E">
        <w:t>nseaworthiness</w:t>
      </w:r>
      <w:r w:rsidRPr="002B283E">
        <w:t xml:space="preserve"> C</w:t>
      </w:r>
      <w:r w:rsidR="004272A6" w:rsidRPr="002B283E">
        <w:t>laim</w:t>
      </w:r>
      <w:bookmarkStart w:id="113" w:name="_Hlk87438059"/>
      <w:r w:rsidRPr="002B283E">
        <w:t>—</w:t>
      </w:r>
      <w:bookmarkEnd w:id="113"/>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bookmarkEnd w:id="112"/>
    </w:p>
    <w:p w14:paraId="5002B89E" w14:textId="77777777" w:rsidR="006A4CD7" w:rsidRPr="002B283E" w:rsidRDefault="006A4CD7" w:rsidP="002B283E">
      <w:pPr>
        <w:autoSpaceDE w:val="0"/>
        <w:autoSpaceDN w:val="0"/>
        <w:adjustRightInd w:val="0"/>
        <w:rPr>
          <w:rFonts w:cs="Times New Roman"/>
          <w:szCs w:val="24"/>
        </w:rPr>
      </w:pPr>
    </w:p>
    <w:p w14:paraId="0BF01E88" w14:textId="07DE0778" w:rsidR="00474251" w:rsidRPr="002B283E" w:rsidRDefault="00474251" w:rsidP="002B283E">
      <w:pPr>
        <w:pStyle w:val="BodyText"/>
        <w:ind w:left="119" w:firstLine="720"/>
      </w:pPr>
      <w:r w:rsidRPr="002B283E">
        <w:t>On</w:t>
      </w:r>
      <w:r w:rsidRPr="002B283E">
        <w:rPr>
          <w:spacing w:val="-4"/>
        </w:rPr>
        <w:t xml:space="preserve"> </w:t>
      </w:r>
      <w:r w:rsidRPr="002B283E">
        <w:t>the</w:t>
      </w:r>
      <w:r w:rsidRPr="002B283E">
        <w:rPr>
          <w:spacing w:val="-5"/>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’s</w:t>
      </w:r>
      <w:r w:rsidRPr="002B283E">
        <w:rPr>
          <w:spacing w:val="-4"/>
        </w:rPr>
        <w:t xml:space="preserve"> </w:t>
      </w:r>
      <w:r w:rsidRPr="002B283E">
        <w:t>unseaworthiness</w:t>
      </w:r>
      <w:r w:rsidRPr="002B283E">
        <w:rPr>
          <w:spacing w:val="-4"/>
        </w:rPr>
        <w:t xml:space="preserve"> </w:t>
      </w:r>
      <w:r w:rsidRPr="002B283E">
        <w:t>claim,</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4"/>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5CFF56A" w14:textId="77777777" w:rsidR="00474251" w:rsidRPr="002B283E" w:rsidRDefault="00474251" w:rsidP="002B283E">
      <w:pPr>
        <w:pStyle w:val="BodyText"/>
      </w:pPr>
    </w:p>
    <w:p w14:paraId="6606AB36" w14:textId="6BD14468" w:rsidR="00474251" w:rsidRPr="002B283E" w:rsidRDefault="00474251" w:rsidP="008A04C2">
      <w:pPr>
        <w:tabs>
          <w:tab w:val="left" w:pos="1559"/>
        </w:tabs>
        <w:ind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28E3304D" w14:textId="77777777" w:rsidR="00474251" w:rsidRPr="002B283E" w:rsidRDefault="00474251" w:rsidP="008A04C2">
      <w:pPr>
        <w:pStyle w:val="BodyText"/>
        <w:ind w:firstLine="720"/>
      </w:pPr>
    </w:p>
    <w:p w14:paraId="2EC0D337" w14:textId="77777777" w:rsidR="00474251" w:rsidRPr="002B283E" w:rsidRDefault="00474251" w:rsidP="008A04C2">
      <w:pPr>
        <w:pStyle w:val="ListParagraph"/>
        <w:tabs>
          <w:tab w:val="left" w:pos="1559"/>
        </w:tabs>
        <w:ind w:left="0" w:firstLine="720"/>
        <w:rPr>
          <w:rFonts w:cs="Times New Roman"/>
          <w:szCs w:val="24"/>
        </w:rPr>
      </w:pPr>
      <w:r w:rsidRPr="002B283E">
        <w:rPr>
          <w:rFonts w:cs="Times New Roman"/>
          <w:szCs w:val="24"/>
        </w:rPr>
        <w:t>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w:t>
      </w:r>
      <w:r w:rsidRPr="002B283E">
        <w:rPr>
          <w:rFonts w:cs="Times New Roman"/>
          <w:i/>
          <w:szCs w:val="24"/>
          <w:u w:val="single"/>
        </w:rPr>
        <w:t>name</w:t>
      </w:r>
      <w:r w:rsidRPr="002B283E">
        <w:rPr>
          <w:rFonts w:cs="Times New Roman"/>
          <w:i/>
          <w:spacing w:val="-2"/>
          <w:szCs w:val="24"/>
          <w:u w:val="single"/>
        </w:rPr>
        <w:t xml:space="preserve"> </w:t>
      </w:r>
      <w:r w:rsidRPr="002B283E">
        <w:rPr>
          <w:rFonts w:cs="Times New Roman"/>
          <w:i/>
          <w:szCs w:val="24"/>
          <w:u w:val="single"/>
        </w:rPr>
        <w:t>of</w:t>
      </w:r>
      <w:r w:rsidRPr="002B283E">
        <w:rPr>
          <w:rFonts w:cs="Times New Roman"/>
          <w:i/>
          <w:spacing w:val="-2"/>
          <w:szCs w:val="24"/>
          <w:u w:val="single"/>
        </w:rPr>
        <w:t xml:space="preserve"> </w:t>
      </w:r>
      <w:r w:rsidRPr="002B283E">
        <w:rPr>
          <w:rFonts w:cs="Times New Roman"/>
          <w:i/>
          <w:szCs w:val="24"/>
          <w:u w:val="single"/>
        </w:rPr>
        <w:t>vessel</w:t>
      </w:r>
      <w:r w:rsidRPr="002B283E">
        <w:rPr>
          <w:rFonts w:cs="Times New Roman"/>
          <w:szCs w:val="24"/>
        </w:rPr>
        <w:t>]</w:t>
      </w:r>
      <w:r w:rsidRPr="002B283E">
        <w:rPr>
          <w:rFonts w:cs="Times New Roman"/>
          <w:spacing w:val="-2"/>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unseaworthy;</w:t>
      </w:r>
      <w:r w:rsidRPr="002B283E">
        <w:rPr>
          <w:rFonts w:cs="Times New Roman"/>
          <w:spacing w:val="-1"/>
          <w:szCs w:val="24"/>
        </w:rPr>
        <w:t xml:space="preserve"> </w:t>
      </w:r>
      <w:r w:rsidRPr="002B283E">
        <w:rPr>
          <w:rFonts w:cs="Times New Roman"/>
          <w:spacing w:val="-5"/>
          <w:szCs w:val="24"/>
        </w:rPr>
        <w:t>and</w:t>
      </w:r>
    </w:p>
    <w:p w14:paraId="3673A545" w14:textId="77777777" w:rsidR="00474251" w:rsidRPr="002B283E" w:rsidRDefault="00474251" w:rsidP="008A04C2">
      <w:pPr>
        <w:pStyle w:val="BodyText"/>
        <w:ind w:firstLine="720"/>
      </w:pPr>
    </w:p>
    <w:p w14:paraId="0D981C10" w14:textId="78ED4634" w:rsidR="00474251" w:rsidRPr="002B283E" w:rsidRDefault="00474251" w:rsidP="008A04C2">
      <w:pPr>
        <w:pStyle w:val="ListParagraph"/>
        <w:tabs>
          <w:tab w:val="left" w:pos="1560"/>
        </w:tabs>
        <w:ind w:left="0" w:right="680" w:firstLine="720"/>
        <w:rPr>
          <w:rFonts w:cs="Times New Roman"/>
          <w:szCs w:val="24"/>
        </w:rPr>
      </w:pPr>
      <w:r w:rsidRPr="002B283E">
        <w:rPr>
          <w:rFonts w:cs="Times New Roman"/>
          <w:szCs w:val="24"/>
        </w:rPr>
        <w:t>Third,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unseaworthy</w:t>
      </w:r>
      <w:r w:rsidRPr="002B283E">
        <w:rPr>
          <w:rFonts w:cs="Times New Roman"/>
          <w:spacing w:val="-3"/>
          <w:szCs w:val="24"/>
        </w:rPr>
        <w:t xml:space="preserve"> </w:t>
      </w:r>
      <w:r w:rsidRPr="002B283E">
        <w:rPr>
          <w:rFonts w:cs="Times New Roman"/>
          <w:szCs w:val="24"/>
        </w:rPr>
        <w:t>condition</w:t>
      </w:r>
      <w:r w:rsidRPr="002B283E">
        <w:rPr>
          <w:rFonts w:cs="Times New Roman"/>
          <w:spacing w:val="-3"/>
          <w:szCs w:val="24"/>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cause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an</w:t>
      </w:r>
      <w:r w:rsidRPr="002B283E">
        <w:rPr>
          <w:rFonts w:cs="Times New Roman"/>
          <w:spacing w:val="-3"/>
          <w:szCs w:val="24"/>
        </w:rPr>
        <w:t xml:space="preserve"> </w:t>
      </w:r>
      <w:r w:rsidRPr="002B283E">
        <w:rPr>
          <w:rFonts w:cs="Times New Roman"/>
          <w:szCs w:val="24"/>
        </w:rPr>
        <w:t>injury</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damage</w:t>
      </w:r>
      <w:r w:rsidRPr="002B283E">
        <w:rPr>
          <w:rFonts w:cs="Times New Roman"/>
          <w:spacing w:val="-4"/>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1F795D0B" w14:textId="77777777" w:rsidR="00474251" w:rsidRPr="002B283E" w:rsidRDefault="00474251" w:rsidP="002B283E">
      <w:pPr>
        <w:pStyle w:val="BodyText"/>
      </w:pPr>
    </w:p>
    <w:p w14:paraId="0DF33090" w14:textId="41144392" w:rsidR="00474251" w:rsidRPr="002B283E" w:rsidRDefault="00474251" w:rsidP="002B283E">
      <w:pPr>
        <w:pStyle w:val="BodyText"/>
        <w:ind w:left="120" w:right="104"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all</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1"/>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 xml:space="preserve">If, on the other hand, the plaintiff </w:t>
      </w:r>
      <w:r w:rsidR="00B50320">
        <w:rPr>
          <w:spacing w:val="-5"/>
        </w:rPr>
        <w:t>[</w:t>
      </w:r>
      <w:r w:rsidR="00B50320" w:rsidRPr="009E2B37">
        <w:rPr>
          <w:i/>
          <w:iCs/>
          <w:spacing w:val="-5"/>
          <w:u w:val="single"/>
        </w:rPr>
        <w:t>name</w:t>
      </w:r>
      <w:r w:rsidR="00B50320">
        <w:rPr>
          <w:spacing w:val="-5"/>
        </w:rPr>
        <w:t xml:space="preserve">] </w:t>
      </w:r>
      <w:r w:rsidRPr="002B283E">
        <w:t>has failed 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59AB551" w14:textId="77777777" w:rsidR="00474251" w:rsidRPr="002B283E" w:rsidRDefault="00474251" w:rsidP="002B283E">
      <w:pPr>
        <w:pStyle w:val="BodyText"/>
      </w:pPr>
    </w:p>
    <w:p w14:paraId="5B2AB652" w14:textId="77777777" w:rsidR="00474251" w:rsidRPr="002B283E" w:rsidRDefault="00474251" w:rsidP="002B283E">
      <w:pPr>
        <w:jc w:val="center"/>
        <w:rPr>
          <w:rFonts w:cs="Times New Roman"/>
          <w:b/>
          <w:bCs/>
          <w:szCs w:val="24"/>
        </w:rPr>
      </w:pPr>
      <w:r w:rsidRPr="002B283E">
        <w:rPr>
          <w:rFonts w:cs="Times New Roman"/>
          <w:b/>
          <w:bCs/>
          <w:szCs w:val="24"/>
        </w:rPr>
        <w:t>Comment</w:t>
      </w:r>
    </w:p>
    <w:p w14:paraId="10A15616" w14:textId="77777777" w:rsidR="00474251" w:rsidRPr="002B283E" w:rsidRDefault="00474251" w:rsidP="002B283E">
      <w:pPr>
        <w:pStyle w:val="BodyText"/>
        <w:rPr>
          <w:b/>
        </w:rPr>
      </w:pPr>
    </w:p>
    <w:p w14:paraId="18704BDB" w14:textId="629AA9EF" w:rsidR="00474251" w:rsidRPr="002B283E" w:rsidRDefault="00474251" w:rsidP="002B283E">
      <w:pPr>
        <w:ind w:left="120" w:right="95" w:firstLine="720"/>
        <w:rPr>
          <w:rFonts w:cs="Times New Roman"/>
          <w:szCs w:val="24"/>
        </w:rPr>
      </w:pPr>
      <w:r w:rsidRPr="002B283E">
        <w:rPr>
          <w:rFonts w:cs="Times New Roman"/>
          <w:szCs w:val="24"/>
        </w:rPr>
        <w:t>“A</w:t>
      </w:r>
      <w:r w:rsidRPr="002B283E">
        <w:rPr>
          <w:rFonts w:cs="Times New Roman"/>
          <w:spacing w:val="-11"/>
          <w:szCs w:val="24"/>
        </w:rPr>
        <w:t xml:space="preserve"> </w:t>
      </w:r>
      <w:r w:rsidRPr="002B283E">
        <w:rPr>
          <w:rFonts w:cs="Times New Roman"/>
          <w:szCs w:val="24"/>
        </w:rPr>
        <w:t>shipowner has an absolute duty to furnish a seaworthy ship.”</w:t>
      </w:r>
      <w:r w:rsidR="00B50320">
        <w:rPr>
          <w:rFonts w:cs="Times New Roman"/>
          <w:spacing w:val="40"/>
          <w:szCs w:val="24"/>
        </w:rPr>
        <w:t xml:space="preserve"> </w:t>
      </w:r>
      <w:r w:rsidRPr="002B283E">
        <w:rPr>
          <w:rFonts w:cs="Times New Roman"/>
          <w:i/>
          <w:szCs w:val="24"/>
        </w:rPr>
        <w:t>Mitchell v. Trawler Racer,</w:t>
      </w:r>
      <w:r w:rsidRPr="002B283E">
        <w:rPr>
          <w:rFonts w:cs="Times New Roman"/>
          <w:i/>
          <w:spacing w:val="-5"/>
          <w:szCs w:val="24"/>
        </w:rPr>
        <w:t xml:space="preserve"> </w:t>
      </w:r>
      <w:r w:rsidRPr="002B283E">
        <w:rPr>
          <w:rFonts w:cs="Times New Roman"/>
          <w:i/>
          <w:szCs w:val="24"/>
        </w:rPr>
        <w:t>Inc.</w:t>
      </w:r>
      <w:r w:rsidRPr="002B283E">
        <w:rPr>
          <w:rFonts w:cs="Times New Roman"/>
          <w:szCs w:val="24"/>
        </w:rPr>
        <w:t>,</w:t>
      </w:r>
      <w:r w:rsidRPr="002B283E">
        <w:rPr>
          <w:rFonts w:cs="Times New Roman"/>
          <w:spacing w:val="-4"/>
          <w:szCs w:val="24"/>
        </w:rPr>
        <w:t xml:space="preserve"> </w:t>
      </w:r>
      <w:r w:rsidRPr="002B283E">
        <w:rPr>
          <w:rFonts w:cs="Times New Roman"/>
          <w:szCs w:val="24"/>
        </w:rPr>
        <w:t>362</w:t>
      </w:r>
      <w:r w:rsidRPr="002B283E">
        <w:rPr>
          <w:rFonts w:cs="Times New Roman"/>
          <w:spacing w:val="-2"/>
          <w:szCs w:val="24"/>
        </w:rPr>
        <w:t xml:space="preserve"> </w:t>
      </w:r>
      <w:r w:rsidRPr="002B283E">
        <w:rPr>
          <w:rFonts w:cs="Times New Roman"/>
          <w:szCs w:val="24"/>
        </w:rPr>
        <w:t>U.S.</w:t>
      </w:r>
      <w:r w:rsidRPr="002B283E">
        <w:rPr>
          <w:rFonts w:cs="Times New Roman"/>
          <w:spacing w:val="-4"/>
          <w:szCs w:val="24"/>
        </w:rPr>
        <w:t xml:space="preserve"> </w:t>
      </w:r>
      <w:r w:rsidRPr="002B283E">
        <w:rPr>
          <w:rFonts w:cs="Times New Roman"/>
          <w:szCs w:val="24"/>
        </w:rPr>
        <w:t>539,</w:t>
      </w:r>
      <w:r w:rsidRPr="002B283E">
        <w:rPr>
          <w:rFonts w:cs="Times New Roman"/>
          <w:spacing w:val="-4"/>
          <w:szCs w:val="24"/>
        </w:rPr>
        <w:t xml:space="preserve"> </w:t>
      </w:r>
      <w:r w:rsidRPr="002B283E">
        <w:rPr>
          <w:rFonts w:cs="Times New Roman"/>
          <w:szCs w:val="24"/>
        </w:rPr>
        <w:t>549</w:t>
      </w:r>
      <w:r w:rsidRPr="002B283E">
        <w:rPr>
          <w:rFonts w:cs="Times New Roman"/>
          <w:spacing w:val="-4"/>
          <w:szCs w:val="24"/>
        </w:rPr>
        <w:t xml:space="preserve"> </w:t>
      </w:r>
      <w:r w:rsidRPr="002B283E">
        <w:rPr>
          <w:rFonts w:cs="Times New Roman"/>
          <w:szCs w:val="24"/>
        </w:rPr>
        <w:t>(1960).</w:t>
      </w:r>
      <w:r w:rsidRPr="002B283E">
        <w:rPr>
          <w:rFonts w:cs="Times New Roman"/>
          <w:spacing w:val="38"/>
          <w:szCs w:val="24"/>
        </w:rPr>
        <w:t xml:space="preserve"> </w:t>
      </w:r>
      <w:r w:rsidRPr="002B283E">
        <w:rPr>
          <w:rFonts w:cs="Times New Roman"/>
          <w:szCs w:val="24"/>
        </w:rPr>
        <w:t>A</w:t>
      </w:r>
      <w:r w:rsidRPr="002B283E">
        <w:rPr>
          <w:rFonts w:cs="Times New Roman"/>
          <w:spacing w:val="-15"/>
          <w:szCs w:val="24"/>
        </w:rPr>
        <w:t xml:space="preserve"> </w:t>
      </w:r>
      <w:r w:rsidRPr="002B283E">
        <w:rPr>
          <w:rFonts w:cs="Times New Roman"/>
          <w:szCs w:val="24"/>
        </w:rPr>
        <w:t>seaworthy</w:t>
      </w:r>
      <w:r w:rsidRPr="002B283E">
        <w:rPr>
          <w:rFonts w:cs="Times New Roman"/>
          <w:spacing w:val="-4"/>
          <w:szCs w:val="24"/>
        </w:rPr>
        <w:t xml:space="preserve"> </w:t>
      </w:r>
      <w:r w:rsidRPr="002B283E">
        <w:rPr>
          <w:rFonts w:cs="Times New Roman"/>
          <w:szCs w:val="24"/>
        </w:rPr>
        <w:t>ship</w:t>
      </w:r>
      <w:r w:rsidRPr="002B283E">
        <w:rPr>
          <w:rFonts w:cs="Times New Roman"/>
          <w:spacing w:val="-4"/>
          <w:szCs w:val="24"/>
        </w:rPr>
        <w:t xml:space="preserve"> </w:t>
      </w:r>
      <w:r w:rsidRPr="002B283E">
        <w:rPr>
          <w:rFonts w:cs="Times New Roman"/>
          <w:szCs w:val="24"/>
        </w:rPr>
        <w:t>is</w:t>
      </w:r>
      <w:r w:rsidRPr="002B283E">
        <w:rPr>
          <w:rFonts w:cs="Times New Roman"/>
          <w:spacing w:val="-4"/>
          <w:szCs w:val="24"/>
        </w:rPr>
        <w:t xml:space="preserve"> </w:t>
      </w:r>
      <w:r w:rsidRPr="002B283E">
        <w:rPr>
          <w:rFonts w:cs="Times New Roman"/>
          <w:szCs w:val="24"/>
        </w:rPr>
        <w:t>one</w:t>
      </w:r>
      <w:r w:rsidRPr="002B283E">
        <w:rPr>
          <w:rFonts w:cs="Times New Roman"/>
          <w:spacing w:val="-5"/>
          <w:szCs w:val="24"/>
        </w:rPr>
        <w:t xml:space="preserve"> </w:t>
      </w:r>
      <w:r w:rsidRPr="002B283E">
        <w:rPr>
          <w:rFonts w:cs="Times New Roman"/>
          <w:szCs w:val="24"/>
        </w:rPr>
        <w:t>reasonably</w:t>
      </w:r>
      <w:r w:rsidRPr="002B283E">
        <w:rPr>
          <w:rFonts w:cs="Times New Roman"/>
          <w:spacing w:val="-4"/>
          <w:szCs w:val="24"/>
        </w:rPr>
        <w:t xml:space="preserve"> </w:t>
      </w:r>
      <w:r w:rsidRPr="002B283E">
        <w:rPr>
          <w:rFonts w:cs="Times New Roman"/>
          <w:szCs w:val="24"/>
        </w:rPr>
        <w:t>fit</w:t>
      </w:r>
      <w:r w:rsidRPr="002B283E">
        <w:rPr>
          <w:rFonts w:cs="Times New Roman"/>
          <w:spacing w:val="-4"/>
          <w:szCs w:val="24"/>
        </w:rPr>
        <w:t xml:space="preserve"> </w:t>
      </w:r>
      <w:r w:rsidRPr="002B283E">
        <w:rPr>
          <w:rFonts w:cs="Times New Roman"/>
          <w:szCs w:val="24"/>
        </w:rPr>
        <w:t>for</w:t>
      </w:r>
      <w:r w:rsidRPr="002B283E">
        <w:rPr>
          <w:rFonts w:cs="Times New Roman"/>
          <w:spacing w:val="-5"/>
          <w:szCs w:val="24"/>
        </w:rPr>
        <w:t xml:space="preserve"> </w:t>
      </w:r>
      <w:r w:rsidRPr="002B283E">
        <w:rPr>
          <w:rFonts w:cs="Times New Roman"/>
          <w:szCs w:val="24"/>
        </w:rPr>
        <w:t>its</w:t>
      </w:r>
      <w:r w:rsidRPr="002B283E">
        <w:rPr>
          <w:rFonts w:cs="Times New Roman"/>
          <w:spacing w:val="-4"/>
          <w:szCs w:val="24"/>
        </w:rPr>
        <w:t xml:space="preserve"> </w:t>
      </w:r>
      <w:r w:rsidRPr="002B283E">
        <w:rPr>
          <w:rFonts w:cs="Times New Roman"/>
          <w:szCs w:val="24"/>
        </w:rPr>
        <w:t>intended use.</w:t>
      </w:r>
      <w:r w:rsidRPr="002B283E">
        <w:rPr>
          <w:rFonts w:cs="Times New Roman"/>
          <w:spacing w:val="40"/>
          <w:szCs w:val="24"/>
        </w:rPr>
        <w:t xml:space="preserve"> </w:t>
      </w:r>
      <w:r w:rsidR="00B50320" w:rsidRPr="002B283E">
        <w:rPr>
          <w:rFonts w:cs="Times New Roman"/>
          <w:i/>
          <w:szCs w:val="24"/>
        </w:rPr>
        <w:t>Ribitzki</w:t>
      </w:r>
      <w:r w:rsidR="00B50320" w:rsidRPr="002B283E">
        <w:rPr>
          <w:rFonts w:cs="Times New Roman"/>
          <w:i/>
          <w:spacing w:val="-4"/>
          <w:szCs w:val="24"/>
        </w:rPr>
        <w:t xml:space="preserve"> </w:t>
      </w:r>
      <w:r w:rsidR="00B50320" w:rsidRPr="002B283E">
        <w:rPr>
          <w:rFonts w:cs="Times New Roman"/>
          <w:i/>
          <w:szCs w:val="24"/>
        </w:rPr>
        <w:t>v.</w:t>
      </w:r>
      <w:r w:rsidR="00B50320" w:rsidRPr="002B283E">
        <w:rPr>
          <w:rFonts w:cs="Times New Roman"/>
          <w:i/>
          <w:spacing w:val="-4"/>
          <w:szCs w:val="24"/>
        </w:rPr>
        <w:t xml:space="preserve"> </w:t>
      </w:r>
      <w:r w:rsidR="00B50320" w:rsidRPr="002B283E">
        <w:rPr>
          <w:rFonts w:cs="Times New Roman"/>
          <w:i/>
          <w:szCs w:val="24"/>
        </w:rPr>
        <w:t>Canmar</w:t>
      </w:r>
      <w:r w:rsidR="00B50320" w:rsidRPr="002B283E">
        <w:rPr>
          <w:rFonts w:cs="Times New Roman"/>
          <w:i/>
          <w:spacing w:val="-4"/>
          <w:szCs w:val="24"/>
        </w:rPr>
        <w:t xml:space="preserve"> </w:t>
      </w:r>
      <w:r w:rsidR="00B50320" w:rsidRPr="002B283E">
        <w:rPr>
          <w:rFonts w:cs="Times New Roman"/>
          <w:i/>
          <w:szCs w:val="24"/>
        </w:rPr>
        <w:t>Reading</w:t>
      </w:r>
      <w:r w:rsidR="00B50320" w:rsidRPr="002B283E">
        <w:rPr>
          <w:rFonts w:cs="Times New Roman"/>
          <w:i/>
          <w:spacing w:val="-4"/>
          <w:szCs w:val="24"/>
        </w:rPr>
        <w:t xml:space="preserve"> </w:t>
      </w:r>
      <w:r w:rsidR="00B50320" w:rsidRPr="002B283E">
        <w:rPr>
          <w:rFonts w:cs="Times New Roman"/>
          <w:i/>
          <w:szCs w:val="24"/>
        </w:rPr>
        <w:t>&amp;</w:t>
      </w:r>
      <w:r w:rsidR="00B50320" w:rsidRPr="002B283E">
        <w:rPr>
          <w:rFonts w:cs="Times New Roman"/>
          <w:i/>
          <w:spacing w:val="-4"/>
          <w:szCs w:val="24"/>
        </w:rPr>
        <w:t xml:space="preserve"> </w:t>
      </w:r>
      <w:r w:rsidR="00B50320" w:rsidRPr="002B283E">
        <w:rPr>
          <w:rFonts w:cs="Times New Roman"/>
          <w:i/>
          <w:szCs w:val="24"/>
        </w:rPr>
        <w:t>Bates,</w:t>
      </w:r>
      <w:r w:rsidR="00B50320" w:rsidRPr="002B283E">
        <w:rPr>
          <w:rFonts w:cs="Times New Roman"/>
          <w:i/>
          <w:spacing w:val="-4"/>
          <w:szCs w:val="24"/>
        </w:rPr>
        <w:t xml:space="preserve"> </w:t>
      </w:r>
      <w:r w:rsidR="00B50320" w:rsidRPr="002B283E">
        <w:rPr>
          <w:rFonts w:cs="Times New Roman"/>
          <w:i/>
          <w:szCs w:val="24"/>
        </w:rPr>
        <w:t>Ltd.</w:t>
      </w:r>
      <w:r w:rsidR="00B50320" w:rsidRPr="002B283E">
        <w:rPr>
          <w:rFonts w:cs="Times New Roman"/>
          <w:i/>
          <w:spacing w:val="-4"/>
          <w:szCs w:val="24"/>
        </w:rPr>
        <w:t xml:space="preserve"> </w:t>
      </w:r>
      <w:r w:rsidR="00B50320" w:rsidRPr="002B283E">
        <w:rPr>
          <w:rFonts w:cs="Times New Roman"/>
          <w:i/>
          <w:szCs w:val="24"/>
        </w:rPr>
        <w:t>P’ship</w:t>
      </w:r>
      <w:r w:rsidR="00B50320" w:rsidRPr="002B283E">
        <w:rPr>
          <w:rFonts w:cs="Times New Roman"/>
          <w:szCs w:val="24"/>
        </w:rPr>
        <w:t>,</w:t>
      </w:r>
      <w:r w:rsidR="00B50320" w:rsidRPr="002B283E">
        <w:rPr>
          <w:rFonts w:cs="Times New Roman"/>
          <w:spacing w:val="-4"/>
          <w:szCs w:val="24"/>
        </w:rPr>
        <w:t xml:space="preserve"> </w:t>
      </w:r>
      <w:r w:rsidR="00B50320" w:rsidRPr="002B283E">
        <w:rPr>
          <w:rFonts w:cs="Times New Roman"/>
          <w:szCs w:val="24"/>
        </w:rPr>
        <w:t>111</w:t>
      </w:r>
      <w:r w:rsidR="00B50320" w:rsidRPr="002B283E">
        <w:rPr>
          <w:rFonts w:cs="Times New Roman"/>
          <w:spacing w:val="-4"/>
          <w:szCs w:val="24"/>
        </w:rPr>
        <w:t xml:space="preserve"> </w:t>
      </w:r>
      <w:r w:rsidR="00B50320" w:rsidRPr="002B283E">
        <w:rPr>
          <w:rFonts w:cs="Times New Roman"/>
          <w:szCs w:val="24"/>
        </w:rPr>
        <w:t>F.3d</w:t>
      </w:r>
      <w:r w:rsidR="00B50320" w:rsidRPr="002B283E">
        <w:rPr>
          <w:rFonts w:cs="Times New Roman"/>
          <w:spacing w:val="-4"/>
          <w:szCs w:val="24"/>
        </w:rPr>
        <w:t xml:space="preserve"> </w:t>
      </w:r>
      <w:r w:rsidR="00B50320" w:rsidRPr="002B283E">
        <w:rPr>
          <w:rFonts w:cs="Times New Roman"/>
          <w:szCs w:val="24"/>
        </w:rPr>
        <w:t>658,</w:t>
      </w:r>
      <w:r w:rsidR="00B50320" w:rsidRPr="002B283E">
        <w:rPr>
          <w:rFonts w:cs="Times New Roman"/>
          <w:spacing w:val="-4"/>
          <w:szCs w:val="24"/>
        </w:rPr>
        <w:t xml:space="preserve"> </w:t>
      </w:r>
      <w:r w:rsidR="00B50320" w:rsidRPr="002B283E">
        <w:rPr>
          <w:rFonts w:cs="Times New Roman"/>
          <w:szCs w:val="24"/>
        </w:rPr>
        <w:t>664</w:t>
      </w:r>
      <w:r w:rsidR="00B50320" w:rsidRPr="002B283E">
        <w:rPr>
          <w:rFonts w:cs="Times New Roman"/>
          <w:spacing w:val="-4"/>
          <w:szCs w:val="24"/>
        </w:rPr>
        <w:t xml:space="preserve"> </w:t>
      </w:r>
      <w:r w:rsidR="00B50320" w:rsidRPr="002B283E">
        <w:rPr>
          <w:rFonts w:cs="Times New Roman"/>
          <w:szCs w:val="24"/>
        </w:rPr>
        <w:t>(9th</w:t>
      </w:r>
      <w:r w:rsidR="00B50320" w:rsidRPr="002B283E">
        <w:rPr>
          <w:rFonts w:cs="Times New Roman"/>
          <w:spacing w:val="-4"/>
          <w:szCs w:val="24"/>
        </w:rPr>
        <w:t xml:space="preserve"> </w:t>
      </w:r>
      <w:r w:rsidR="00B50320" w:rsidRPr="002B283E">
        <w:rPr>
          <w:rFonts w:cs="Times New Roman"/>
          <w:szCs w:val="24"/>
        </w:rPr>
        <w:t xml:space="preserve">Cir. </w:t>
      </w:r>
      <w:r w:rsidR="00B50320" w:rsidRPr="002B283E">
        <w:rPr>
          <w:rFonts w:cs="Times New Roman"/>
          <w:spacing w:val="-2"/>
          <w:szCs w:val="24"/>
        </w:rPr>
        <w:t>1997)</w:t>
      </w:r>
      <w:r w:rsidR="00B50320">
        <w:rPr>
          <w:rFonts w:cs="Times New Roman"/>
          <w:spacing w:val="-2"/>
          <w:szCs w:val="24"/>
        </w:rPr>
        <w:t xml:space="preserve">; </w:t>
      </w:r>
      <w:r w:rsidRPr="002B283E">
        <w:rPr>
          <w:rFonts w:cs="Times New Roman"/>
          <w:i/>
          <w:szCs w:val="24"/>
        </w:rPr>
        <w:t>Id.</w:t>
      </w:r>
      <w:r w:rsidRPr="002B283E">
        <w:rPr>
          <w:rFonts w:cs="Times New Roman"/>
          <w:i/>
          <w:spacing w:val="-4"/>
          <w:szCs w:val="24"/>
        </w:rPr>
        <w:t xml:space="preserve"> </w:t>
      </w:r>
      <w:r w:rsidRPr="002B283E">
        <w:rPr>
          <w:rFonts w:cs="Times New Roman"/>
          <w:szCs w:val="24"/>
        </w:rPr>
        <w:t>at</w:t>
      </w:r>
      <w:r w:rsidRPr="002B283E">
        <w:rPr>
          <w:rFonts w:cs="Times New Roman"/>
          <w:spacing w:val="-4"/>
          <w:szCs w:val="24"/>
        </w:rPr>
        <w:t xml:space="preserve"> </w:t>
      </w:r>
      <w:r w:rsidRPr="002B283E">
        <w:rPr>
          <w:rFonts w:cs="Times New Roman"/>
          <w:szCs w:val="24"/>
        </w:rPr>
        <w:t>550</w:t>
      </w:r>
      <w:r w:rsidRPr="002B283E">
        <w:rPr>
          <w:rFonts w:cs="Times New Roman"/>
          <w:spacing w:val="-2"/>
          <w:szCs w:val="24"/>
        </w:rPr>
        <w:t>.</w:t>
      </w:r>
    </w:p>
    <w:p w14:paraId="271ADD70" w14:textId="77777777" w:rsidR="00474251" w:rsidRPr="002B283E" w:rsidRDefault="00474251" w:rsidP="002B283E">
      <w:pPr>
        <w:pStyle w:val="BodyText"/>
      </w:pPr>
    </w:p>
    <w:p w14:paraId="4CADD319" w14:textId="77777777" w:rsidR="00474251" w:rsidRPr="002B283E" w:rsidRDefault="00474251" w:rsidP="002B283E">
      <w:pPr>
        <w:pStyle w:val="BodyText"/>
        <w:ind w:left="840"/>
        <w:rPr>
          <w:spacing w:val="-2"/>
        </w:rPr>
      </w:pPr>
      <w:r w:rsidRPr="002B283E">
        <w:rPr>
          <w:i/>
        </w:rPr>
        <w:t>See</w:t>
      </w:r>
      <w:r w:rsidRPr="002B283E">
        <w:rPr>
          <w:i/>
          <w:spacing w:val="-5"/>
        </w:rPr>
        <w:t xml:space="preserve"> </w:t>
      </w:r>
      <w:r w:rsidRPr="002B283E">
        <w:rPr>
          <w:i/>
        </w:rPr>
        <w:t>also</w:t>
      </w:r>
      <w:r w:rsidRPr="002B283E">
        <w:rPr>
          <w:i/>
          <w:spacing w:val="-1"/>
        </w:rPr>
        <w:t xml:space="preserve"> </w:t>
      </w:r>
      <w:r w:rsidRPr="002B283E">
        <w:t>Comment</w:t>
      </w:r>
      <w:r w:rsidRPr="002B283E">
        <w:rPr>
          <w:spacing w:val="-2"/>
        </w:rPr>
        <w:t xml:space="preserve"> </w:t>
      </w:r>
      <w:r w:rsidRPr="002B283E">
        <w:t>to</w:t>
      </w:r>
      <w:r w:rsidRPr="002B283E">
        <w:rPr>
          <w:spacing w:val="-1"/>
        </w:rPr>
        <w:t xml:space="preserve"> </w:t>
      </w:r>
      <w:r w:rsidRPr="002B283E">
        <w:t>Instruction</w:t>
      </w:r>
      <w:r w:rsidRPr="002B283E">
        <w:rPr>
          <w:spacing w:val="-2"/>
        </w:rPr>
        <w:t xml:space="preserve"> </w:t>
      </w:r>
      <w:r w:rsidRPr="002B283E">
        <w:t>7.6</w:t>
      </w:r>
      <w:r w:rsidRPr="002B283E">
        <w:rPr>
          <w:spacing w:val="-1"/>
        </w:rPr>
        <w:t xml:space="preserve"> </w:t>
      </w:r>
      <w:r w:rsidRPr="002B283E">
        <w:t>(Unseaworthiness</w:t>
      </w:r>
      <w:r w:rsidRPr="002B283E">
        <w:rPr>
          <w:spacing w:val="-1"/>
        </w:rPr>
        <w:t xml:space="preserve"> </w:t>
      </w:r>
      <w:r w:rsidRPr="002B283E">
        <w:rPr>
          <w:spacing w:val="-2"/>
        </w:rPr>
        <w:t>Defined).</w:t>
      </w:r>
    </w:p>
    <w:p w14:paraId="1D00D980" w14:textId="438855E0" w:rsidR="00455B81" w:rsidRPr="002B283E" w:rsidRDefault="00455B81" w:rsidP="002B283E">
      <w:pPr>
        <w:autoSpaceDE w:val="0"/>
        <w:autoSpaceDN w:val="0"/>
        <w:adjustRightInd w:val="0"/>
        <w:rPr>
          <w:rFonts w:cs="Times New Roman"/>
          <w:szCs w:val="24"/>
        </w:rPr>
      </w:pPr>
    </w:p>
    <w:p w14:paraId="38A0D1AC" w14:textId="77777777" w:rsidR="00541794" w:rsidRPr="002B283E" w:rsidRDefault="00541794" w:rsidP="002B283E">
      <w:pPr>
        <w:autoSpaceDE w:val="0"/>
        <w:autoSpaceDN w:val="0"/>
        <w:adjustRightInd w:val="0"/>
        <w:rPr>
          <w:rFonts w:cs="Times New Roman"/>
          <w:szCs w:val="24"/>
        </w:rPr>
      </w:pPr>
    </w:p>
    <w:p w14:paraId="50000287" w14:textId="67F0ECDE" w:rsidR="00541794" w:rsidRPr="002B283E" w:rsidRDefault="00541794" w:rsidP="002B283E">
      <w:pPr>
        <w:pStyle w:val="BodyText"/>
        <w:ind w:left="840"/>
        <w:jc w:val="right"/>
        <w:rPr>
          <w:i/>
          <w:iCs/>
        </w:rPr>
      </w:pPr>
      <w:r w:rsidRPr="002B283E">
        <w:rPr>
          <w:i/>
          <w:iCs/>
        </w:rPr>
        <w:t>Revised March 2025</w:t>
      </w:r>
    </w:p>
    <w:p w14:paraId="44A4CE94" w14:textId="270ED9D2" w:rsidR="006A4CD7" w:rsidRPr="002B283E" w:rsidRDefault="006A4CD7" w:rsidP="002B283E">
      <w:pPr>
        <w:pStyle w:val="Heading2"/>
      </w:pPr>
      <w:r w:rsidRPr="002B283E">
        <w:br w:type="page"/>
      </w:r>
      <w:bookmarkStart w:id="114" w:name="_Toc221525154"/>
      <w:r w:rsidRPr="002B283E">
        <w:lastRenderedPageBreak/>
        <w:t>7.6 U</w:t>
      </w:r>
      <w:r w:rsidR="004272A6" w:rsidRPr="002B283E">
        <w:t>nseaworthiness—</w:t>
      </w:r>
      <w:r w:rsidRPr="002B283E">
        <w:t>D</w:t>
      </w:r>
      <w:r w:rsidR="004272A6" w:rsidRPr="002B283E">
        <w:t>efined</w:t>
      </w:r>
      <w:bookmarkEnd w:id="114"/>
    </w:p>
    <w:p w14:paraId="0195DDC2" w14:textId="77777777" w:rsidR="006A4CD7" w:rsidRPr="002B283E" w:rsidRDefault="006A4CD7" w:rsidP="002B283E">
      <w:pPr>
        <w:autoSpaceDE w:val="0"/>
        <w:autoSpaceDN w:val="0"/>
        <w:adjustRightInd w:val="0"/>
        <w:rPr>
          <w:rFonts w:cs="Times New Roman"/>
          <w:szCs w:val="24"/>
        </w:rPr>
      </w:pPr>
    </w:p>
    <w:p w14:paraId="778A6299" w14:textId="45F559D8"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3"/>
        </w:rPr>
        <w:t xml:space="preserve"> </w:t>
      </w:r>
      <w:r w:rsidRPr="002B283E">
        <w:t>owner</w:t>
      </w:r>
      <w:r w:rsidRPr="002B283E">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and</w:t>
      </w:r>
      <w:r w:rsidRPr="002B283E">
        <w:rPr>
          <w:spacing w:val="-3"/>
        </w:rPr>
        <w:t xml:space="preserve"> </w:t>
      </w:r>
      <w:r w:rsidRPr="002B283E">
        <w:t>maintain</w:t>
      </w:r>
      <w:r w:rsidRPr="002B283E">
        <w:rPr>
          <w:spacing w:val="-3"/>
        </w:rPr>
        <w:t xml:space="preserve"> </w:t>
      </w:r>
      <w:r w:rsidRPr="002B283E">
        <w:t>a</w:t>
      </w:r>
      <w:r w:rsidRPr="002B283E">
        <w:rPr>
          <w:spacing w:val="-4"/>
        </w:rPr>
        <w:t xml:space="preserve"> </w:t>
      </w:r>
      <w:r w:rsidRPr="002B283E">
        <w:t>seaworthy</w:t>
      </w:r>
      <w:r w:rsidRPr="002B283E">
        <w:rPr>
          <w:spacing w:val="-3"/>
        </w:rPr>
        <w:t xml:space="preserve"> </w:t>
      </w:r>
      <w:r w:rsidRPr="002B283E">
        <w:t>vessel.</w:t>
      </w:r>
      <w:r w:rsidRPr="002B283E">
        <w:rPr>
          <w:spacing w:val="40"/>
        </w:rPr>
        <w:t xml:space="preserve"> </w:t>
      </w:r>
      <w:r w:rsidRPr="002B283E">
        <w:t>[That</w:t>
      </w:r>
      <w:r w:rsidRPr="002B283E">
        <w:rPr>
          <w:spacing w:val="-3"/>
        </w:rPr>
        <w:t xml:space="preserve"> </w:t>
      </w:r>
      <w:r w:rsidRPr="002B283E">
        <w:t>duty</w:t>
      </w:r>
      <w:r w:rsidRPr="002B283E">
        <w:rPr>
          <w:spacing w:val="-3"/>
        </w:rPr>
        <w:t xml:space="preserve"> </w:t>
      </w:r>
      <w:r w:rsidRPr="002B283E">
        <w:t>cannot be delegated to anyone else.]</w:t>
      </w:r>
    </w:p>
    <w:p w14:paraId="12F57BA6" w14:textId="77777777" w:rsidR="009B4FCE" w:rsidRPr="002B283E" w:rsidRDefault="009B4FCE" w:rsidP="002B283E">
      <w:pPr>
        <w:pStyle w:val="BodyText"/>
      </w:pPr>
    </w:p>
    <w:p w14:paraId="6E9550B7" w14:textId="77777777" w:rsidR="009B4FCE" w:rsidRPr="002B283E" w:rsidRDefault="009B4FCE" w:rsidP="002B283E">
      <w:pPr>
        <w:pStyle w:val="BodyText"/>
        <w:ind w:left="119" w:firstLine="720"/>
      </w:pPr>
      <w:r w:rsidRPr="002B283E">
        <w:t>A</w:t>
      </w:r>
      <w:r w:rsidRPr="002B283E">
        <w:rPr>
          <w:spacing w:val="-15"/>
        </w:rPr>
        <w:t xml:space="preserve"> </w:t>
      </w:r>
      <w:r w:rsidRPr="002B283E">
        <w:t>vessel</w:t>
      </w:r>
      <w:r w:rsidRPr="002B283E">
        <w:rPr>
          <w:spacing w:val="-3"/>
        </w:rPr>
        <w:t xml:space="preserve"> </w:t>
      </w:r>
      <w:r w:rsidRPr="002B283E">
        <w:t>is</w:t>
      </w:r>
      <w:r w:rsidRPr="002B283E">
        <w:rPr>
          <w:spacing w:val="-3"/>
        </w:rPr>
        <w:t xml:space="preserve"> </w:t>
      </w:r>
      <w:r w:rsidRPr="002B283E">
        <w:t>seaworthy</w:t>
      </w:r>
      <w:r w:rsidRPr="002B283E">
        <w:rPr>
          <w:spacing w:val="-3"/>
        </w:rPr>
        <w:t xml:space="preserve"> </w:t>
      </w:r>
      <w:r w:rsidRPr="002B283E">
        <w:t>if</w:t>
      </w:r>
      <w:r w:rsidRPr="002B283E">
        <w:rPr>
          <w:spacing w:val="-3"/>
        </w:rPr>
        <w:t xml:space="preserve"> </w:t>
      </w:r>
      <w:r w:rsidRPr="002B283E">
        <w:t>the</w:t>
      </w:r>
      <w:r w:rsidRPr="002B283E">
        <w:rPr>
          <w:spacing w:val="-3"/>
        </w:rPr>
        <w:t xml:space="preserve"> </w:t>
      </w:r>
      <w:r w:rsidRPr="002B283E">
        <w:t>vessel</w:t>
      </w:r>
      <w:r w:rsidRPr="002B283E">
        <w:rPr>
          <w:spacing w:val="-3"/>
        </w:rPr>
        <w:t xml:space="preserve"> </w:t>
      </w:r>
      <w:r w:rsidRPr="002B283E">
        <w:t>and</w:t>
      </w:r>
      <w:r w:rsidRPr="002B283E">
        <w:rPr>
          <w:spacing w:val="-1"/>
        </w:rPr>
        <w:t xml:space="preserve"> </w:t>
      </w:r>
      <w:r w:rsidRPr="002B283E">
        <w:t>all</w:t>
      </w:r>
      <w:r w:rsidRPr="002B283E">
        <w:rPr>
          <w:spacing w:val="-3"/>
        </w:rPr>
        <w:t xml:space="preserve"> </w:t>
      </w:r>
      <w:r w:rsidRPr="002B283E">
        <w:t>of</w:t>
      </w:r>
      <w:r w:rsidRPr="002B283E">
        <w:rPr>
          <w:spacing w:val="-3"/>
        </w:rPr>
        <w:t xml:space="preserve"> </w:t>
      </w:r>
      <w:r w:rsidRPr="002B283E">
        <w:t>its</w:t>
      </w:r>
      <w:r w:rsidRPr="002B283E">
        <w:rPr>
          <w:spacing w:val="-3"/>
        </w:rPr>
        <w:t xml:space="preserve"> </w:t>
      </w:r>
      <w:r w:rsidRPr="002B283E">
        <w:t>parts</w:t>
      </w:r>
      <w:r w:rsidRPr="002B283E">
        <w:rPr>
          <w:spacing w:val="-3"/>
        </w:rPr>
        <w:t xml:space="preserve"> </w:t>
      </w:r>
      <w:r w:rsidRPr="002B283E">
        <w:t>and</w:t>
      </w:r>
      <w:r w:rsidRPr="002B283E">
        <w:rPr>
          <w:spacing w:val="-3"/>
        </w:rPr>
        <w:t xml:space="preserve"> </w:t>
      </w:r>
      <w:r w:rsidRPr="002B283E">
        <w:t>equipment</w:t>
      </w:r>
      <w:r w:rsidRPr="002B283E">
        <w:rPr>
          <w:spacing w:val="-3"/>
        </w:rPr>
        <w:t xml:space="preserve"> </w:t>
      </w:r>
      <w:r w:rsidRPr="002B283E">
        <w:t>are</w:t>
      </w:r>
      <w:r w:rsidRPr="002B283E">
        <w:rPr>
          <w:spacing w:val="-3"/>
        </w:rPr>
        <w:t xml:space="preserve"> </w:t>
      </w:r>
      <w:r w:rsidRPr="002B283E">
        <w:t>reasonably</w:t>
      </w:r>
      <w:r w:rsidRPr="002B283E">
        <w:rPr>
          <w:spacing w:val="-3"/>
        </w:rPr>
        <w:t xml:space="preserve"> </w:t>
      </w:r>
      <w:r w:rsidRPr="002B283E">
        <w:t>fit</w:t>
      </w:r>
      <w:r w:rsidRPr="002B283E">
        <w:rPr>
          <w:spacing w:val="-3"/>
        </w:rPr>
        <w:t xml:space="preserve"> </w:t>
      </w:r>
      <w:r w:rsidRPr="002B283E">
        <w:t>for their intended purpose [and it is operated by a crew reasonably adequate and competent for the work assigned].</w:t>
      </w:r>
    </w:p>
    <w:p w14:paraId="71466C45" w14:textId="77777777" w:rsidR="009B4FCE" w:rsidRPr="002B283E" w:rsidRDefault="009B4FCE" w:rsidP="002B283E">
      <w:pPr>
        <w:pStyle w:val="BodyText"/>
      </w:pPr>
    </w:p>
    <w:p w14:paraId="35B49392" w14:textId="77777777" w:rsidR="009B4FCE" w:rsidRPr="002B283E" w:rsidRDefault="009B4FCE" w:rsidP="002B283E">
      <w:pPr>
        <w:pStyle w:val="BodyText"/>
        <w:ind w:left="119" w:right="144" w:firstLine="720"/>
      </w:pPr>
      <w:r w:rsidRPr="002B283E">
        <w:t>A</w:t>
      </w:r>
      <w:r w:rsidRPr="002B283E">
        <w:rPr>
          <w:spacing w:val="-8"/>
        </w:rPr>
        <w:t xml:space="preserve"> </w:t>
      </w:r>
      <w:r w:rsidRPr="002B283E">
        <w:t>vessel is unseaworthy if the vessel, or any of its parts or equipment, is not reasonably fit</w:t>
      </w:r>
      <w:r w:rsidRPr="002B283E">
        <w:rPr>
          <w:spacing w:val="-2"/>
        </w:rPr>
        <w:t xml:space="preserve"> </w:t>
      </w:r>
      <w:r w:rsidRPr="002B283E">
        <w:t>for</w:t>
      </w:r>
      <w:r w:rsidRPr="002B283E">
        <w:rPr>
          <w:spacing w:val="-3"/>
        </w:rPr>
        <w:t xml:space="preserve"> </w:t>
      </w:r>
      <w:r w:rsidRPr="002B283E">
        <w:t>its</w:t>
      </w:r>
      <w:r w:rsidRPr="002B283E">
        <w:rPr>
          <w:spacing w:val="-2"/>
        </w:rPr>
        <w:t xml:space="preserve"> </w:t>
      </w:r>
      <w:r w:rsidRPr="002B283E">
        <w:t>intended</w:t>
      </w:r>
      <w:r w:rsidRPr="002B283E">
        <w:rPr>
          <w:spacing w:val="-2"/>
        </w:rPr>
        <w:t xml:space="preserve"> </w:t>
      </w:r>
      <w:r w:rsidRPr="002B283E">
        <w:t>purpose</w:t>
      </w:r>
      <w:r w:rsidRPr="002B283E">
        <w:rPr>
          <w:spacing w:val="-3"/>
        </w:rPr>
        <w:t xml:space="preserve"> </w:t>
      </w:r>
      <w:r w:rsidRPr="002B283E">
        <w:t>[or</w:t>
      </w:r>
      <w:r w:rsidRPr="002B283E">
        <w:rPr>
          <w:spacing w:val="-3"/>
        </w:rPr>
        <w:t xml:space="preserve"> </w:t>
      </w:r>
      <w:r w:rsidRPr="002B283E">
        <w:t>if</w:t>
      </w:r>
      <w:r w:rsidRPr="002B283E">
        <w:rPr>
          <w:spacing w:val="-3"/>
        </w:rPr>
        <w:t xml:space="preserve"> </w:t>
      </w:r>
      <w:r w:rsidRPr="002B283E">
        <w:t>its</w:t>
      </w:r>
      <w:r w:rsidRPr="002B283E">
        <w:rPr>
          <w:spacing w:val="-2"/>
        </w:rPr>
        <w:t xml:space="preserve"> </w:t>
      </w:r>
      <w:r w:rsidRPr="002B283E">
        <w:t>crew</w:t>
      </w:r>
      <w:r w:rsidRPr="002B283E">
        <w:rPr>
          <w:spacing w:val="-3"/>
        </w:rPr>
        <w:t xml:space="preserve"> </w:t>
      </w:r>
      <w:r w:rsidRPr="002B283E">
        <w:t>is</w:t>
      </w:r>
      <w:r w:rsidRPr="002B283E">
        <w:rPr>
          <w:spacing w:val="-2"/>
        </w:rPr>
        <w:t xml:space="preserve"> </w:t>
      </w:r>
      <w:r w:rsidRPr="002B283E">
        <w:t>not</w:t>
      </w:r>
      <w:r w:rsidRPr="002B283E">
        <w:rPr>
          <w:spacing w:val="-2"/>
        </w:rPr>
        <w:t xml:space="preserve"> </w:t>
      </w:r>
      <w:r w:rsidRPr="002B283E">
        <w:t>reasonably</w:t>
      </w:r>
      <w:r w:rsidRPr="002B283E">
        <w:rPr>
          <w:spacing w:val="-2"/>
        </w:rPr>
        <w:t xml:space="preserve"> </w:t>
      </w:r>
      <w:r w:rsidRPr="002B283E">
        <w:t>adequate</w:t>
      </w:r>
      <w:r w:rsidRPr="002B283E">
        <w:rPr>
          <w:spacing w:val="-3"/>
        </w:rPr>
        <w:t xml:space="preserve"> </w:t>
      </w:r>
      <w:r w:rsidRPr="002B283E">
        <w:t>or</w:t>
      </w:r>
      <w:r w:rsidRPr="002B283E">
        <w:rPr>
          <w:spacing w:val="-3"/>
        </w:rPr>
        <w:t xml:space="preserve"> </w:t>
      </w:r>
      <w:r w:rsidRPr="002B283E">
        <w:t>competent</w:t>
      </w:r>
      <w:r w:rsidRPr="002B283E">
        <w:rPr>
          <w:spacing w:val="-2"/>
        </w:rPr>
        <w:t xml:space="preserve"> </w:t>
      </w:r>
      <w:r w:rsidRPr="002B283E">
        <w:t>to</w:t>
      </w:r>
      <w:r w:rsidRPr="002B283E">
        <w:rPr>
          <w:spacing w:val="-2"/>
        </w:rPr>
        <w:t xml:space="preserve"> </w:t>
      </w:r>
      <w:r w:rsidRPr="002B283E">
        <w:t>perform</w:t>
      </w:r>
      <w:r w:rsidRPr="002B283E">
        <w:rPr>
          <w:spacing w:val="-2"/>
        </w:rPr>
        <w:t xml:space="preserve"> </w:t>
      </w:r>
      <w:r w:rsidRPr="002B283E">
        <w:t>the work assigned].</w:t>
      </w:r>
    </w:p>
    <w:p w14:paraId="6B8E0F4B" w14:textId="77777777" w:rsidR="009B4FCE" w:rsidRPr="002B283E" w:rsidRDefault="009B4FCE" w:rsidP="002B283E">
      <w:pPr>
        <w:pStyle w:val="BodyText"/>
      </w:pPr>
    </w:p>
    <w:p w14:paraId="43EDA67C" w14:textId="77777777"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4"/>
        </w:rPr>
        <w:t xml:space="preserve"> </w:t>
      </w:r>
      <w:r w:rsidRPr="002B283E">
        <w:t>owner</w:t>
      </w:r>
      <w:r w:rsidRPr="002B283E">
        <w:rPr>
          <w:spacing w:val="-4"/>
        </w:rPr>
        <w:t xml:space="preserve"> </w:t>
      </w:r>
      <w:r w:rsidRPr="002B283E">
        <w:t>has</w:t>
      </w:r>
      <w:r w:rsidRPr="002B283E">
        <w:rPr>
          <w:spacing w:val="-2"/>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adequate</w:t>
      </w:r>
      <w:r w:rsidRPr="002B283E">
        <w:rPr>
          <w:spacing w:val="-4"/>
        </w:rPr>
        <w:t xml:space="preserve"> </w:t>
      </w:r>
      <w:r w:rsidRPr="002B283E">
        <w:t>safety</w:t>
      </w:r>
      <w:r w:rsidRPr="002B283E">
        <w:rPr>
          <w:spacing w:val="-3"/>
        </w:rPr>
        <w:t xml:space="preserve"> </w:t>
      </w:r>
      <w:r w:rsidRPr="002B283E">
        <w:t>equipment</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vessel.</w:t>
      </w:r>
      <w:r w:rsidRPr="002B283E">
        <w:rPr>
          <w:spacing w:val="40"/>
        </w:rPr>
        <w:t xml:space="preserve"> </w:t>
      </w:r>
      <w:r w:rsidRPr="002B283E">
        <w:t>However, the owner of the vessel is not required to furnish an accident-free ship.</w:t>
      </w:r>
      <w:r w:rsidRPr="002B283E">
        <w:rPr>
          <w:spacing w:val="40"/>
        </w:rPr>
        <w:t xml:space="preserve"> </w:t>
      </w:r>
      <w:r w:rsidRPr="002B283E">
        <w:t>A</w:t>
      </w:r>
      <w:r w:rsidRPr="002B283E">
        <w:rPr>
          <w:spacing w:val="-7"/>
        </w:rPr>
        <w:t xml:space="preserve"> </w:t>
      </w:r>
      <w:r w:rsidRPr="002B283E">
        <w:t>vessel owner is not called on to have the best parts and equipment, or the finest of crews, but is required to have what is reasonably proper and suitable for its intended use, and a crew that is reasonably competent and adequate.</w:t>
      </w:r>
    </w:p>
    <w:p w14:paraId="0F18AECD" w14:textId="77777777" w:rsidR="009B4FCE" w:rsidRPr="002B283E" w:rsidRDefault="009B4FCE" w:rsidP="002B283E">
      <w:pPr>
        <w:pStyle w:val="BodyText"/>
      </w:pPr>
    </w:p>
    <w:p w14:paraId="40F6BA73" w14:textId="77777777" w:rsidR="009B4FCE" w:rsidRPr="002B283E" w:rsidRDefault="009B4FCE" w:rsidP="002B283E">
      <w:pPr>
        <w:jc w:val="center"/>
        <w:rPr>
          <w:rFonts w:cs="Times New Roman"/>
          <w:b/>
          <w:bCs/>
          <w:szCs w:val="24"/>
        </w:rPr>
      </w:pPr>
      <w:r w:rsidRPr="002B283E">
        <w:rPr>
          <w:rFonts w:cs="Times New Roman"/>
          <w:b/>
          <w:bCs/>
          <w:szCs w:val="24"/>
        </w:rPr>
        <w:t>Comment</w:t>
      </w:r>
    </w:p>
    <w:p w14:paraId="545BAEA9" w14:textId="77777777" w:rsidR="009B4FCE" w:rsidRPr="002B283E" w:rsidRDefault="009B4FCE" w:rsidP="002B283E">
      <w:pPr>
        <w:pStyle w:val="BodyText"/>
        <w:rPr>
          <w:b/>
        </w:rPr>
      </w:pPr>
    </w:p>
    <w:p w14:paraId="5C485DEA" w14:textId="77777777" w:rsidR="009B4FCE" w:rsidRPr="002B283E" w:rsidRDefault="009B4FCE" w:rsidP="002B283E">
      <w:pPr>
        <w:ind w:left="840"/>
        <w:rPr>
          <w:rFonts w:cs="Times New Roman"/>
          <w:i/>
          <w:szCs w:val="24"/>
        </w:rPr>
      </w:pPr>
      <w:r w:rsidRPr="002B283E">
        <w:rPr>
          <w:rFonts w:cs="Times New Roman"/>
          <w:szCs w:val="24"/>
        </w:rPr>
        <w:t>For</w:t>
      </w:r>
      <w:r w:rsidRPr="002B283E">
        <w:rPr>
          <w:rFonts w:cs="Times New Roman"/>
          <w:spacing w:val="-6"/>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definition</w:t>
      </w:r>
      <w:r w:rsidRPr="002B283E">
        <w:rPr>
          <w:rFonts w:cs="Times New Roman"/>
          <w:spacing w:val="-3"/>
          <w:szCs w:val="24"/>
        </w:rPr>
        <w:t xml:space="preserve"> </w:t>
      </w:r>
      <w:r w:rsidRPr="002B283E">
        <w:rPr>
          <w:rFonts w:cs="Times New Roman"/>
          <w:szCs w:val="24"/>
        </w:rPr>
        <w:t>of</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seaworthy</w:t>
      </w:r>
      <w:r w:rsidRPr="002B283E">
        <w:rPr>
          <w:rFonts w:cs="Times New Roman"/>
          <w:spacing w:val="-3"/>
          <w:szCs w:val="24"/>
        </w:rPr>
        <w:t xml:space="preserve"> </w:t>
      </w:r>
      <w:r w:rsidRPr="002B283E">
        <w:rPr>
          <w:rFonts w:cs="Times New Roman"/>
          <w:szCs w:val="24"/>
        </w:rPr>
        <w:t>vessel,</w:t>
      </w:r>
      <w:r w:rsidRPr="002B283E">
        <w:rPr>
          <w:rFonts w:cs="Times New Roman"/>
          <w:spacing w:val="-2"/>
          <w:szCs w:val="24"/>
        </w:rPr>
        <w:t xml:space="preserve"> </w:t>
      </w:r>
      <w:r w:rsidRPr="008A04C2">
        <w:rPr>
          <w:rFonts w:cs="Times New Roman"/>
          <w:iCs/>
          <w:szCs w:val="24"/>
        </w:rPr>
        <w:t>see</w:t>
      </w:r>
      <w:r w:rsidRPr="002B283E">
        <w:rPr>
          <w:rFonts w:cs="Times New Roman"/>
          <w:i/>
          <w:spacing w:val="-1"/>
          <w:szCs w:val="24"/>
        </w:rPr>
        <w:t xml:space="preserve"> </w:t>
      </w:r>
      <w:r w:rsidRPr="002B283E">
        <w:rPr>
          <w:rFonts w:cs="Times New Roman"/>
          <w:i/>
          <w:szCs w:val="24"/>
        </w:rPr>
        <w:t>Ribitzki</w:t>
      </w:r>
      <w:r w:rsidRPr="002B283E">
        <w:rPr>
          <w:rFonts w:cs="Times New Roman"/>
          <w:i/>
          <w:spacing w:val="-3"/>
          <w:szCs w:val="24"/>
        </w:rPr>
        <w:t xml:space="preserve"> </w:t>
      </w:r>
      <w:r w:rsidRPr="002B283E">
        <w:rPr>
          <w:rFonts w:cs="Times New Roman"/>
          <w:i/>
          <w:szCs w:val="24"/>
        </w:rPr>
        <w:t>v.</w:t>
      </w:r>
      <w:r w:rsidRPr="002B283E">
        <w:rPr>
          <w:rFonts w:cs="Times New Roman"/>
          <w:i/>
          <w:spacing w:val="-2"/>
          <w:szCs w:val="24"/>
        </w:rPr>
        <w:t xml:space="preserve"> </w:t>
      </w:r>
      <w:r w:rsidRPr="002B283E">
        <w:rPr>
          <w:rFonts w:cs="Times New Roman"/>
          <w:i/>
          <w:szCs w:val="24"/>
        </w:rPr>
        <w:t>Canmar</w:t>
      </w:r>
      <w:r w:rsidRPr="002B283E">
        <w:rPr>
          <w:rFonts w:cs="Times New Roman"/>
          <w:i/>
          <w:spacing w:val="-2"/>
          <w:szCs w:val="24"/>
        </w:rPr>
        <w:t xml:space="preserve"> </w:t>
      </w:r>
      <w:r w:rsidRPr="002B283E">
        <w:rPr>
          <w:rFonts w:cs="Times New Roman"/>
          <w:i/>
          <w:szCs w:val="24"/>
        </w:rPr>
        <w:t>Reading</w:t>
      </w:r>
      <w:r w:rsidRPr="002B283E">
        <w:rPr>
          <w:rFonts w:cs="Times New Roman"/>
          <w:i/>
          <w:spacing w:val="-3"/>
          <w:szCs w:val="24"/>
        </w:rPr>
        <w:t xml:space="preserve"> </w:t>
      </w:r>
      <w:r w:rsidRPr="002B283E">
        <w:rPr>
          <w:rFonts w:cs="Times New Roman"/>
          <w:i/>
          <w:szCs w:val="24"/>
        </w:rPr>
        <w:t>&amp;</w:t>
      </w:r>
      <w:r w:rsidRPr="002B283E">
        <w:rPr>
          <w:rFonts w:cs="Times New Roman"/>
          <w:i/>
          <w:spacing w:val="-2"/>
          <w:szCs w:val="24"/>
        </w:rPr>
        <w:t xml:space="preserve"> </w:t>
      </w:r>
      <w:r w:rsidRPr="002B283E">
        <w:rPr>
          <w:rFonts w:cs="Times New Roman"/>
          <w:i/>
          <w:szCs w:val="24"/>
        </w:rPr>
        <w:t>Bates,</w:t>
      </w:r>
      <w:r w:rsidRPr="002B283E">
        <w:rPr>
          <w:rFonts w:cs="Times New Roman"/>
          <w:i/>
          <w:spacing w:val="-2"/>
          <w:szCs w:val="24"/>
        </w:rPr>
        <w:t xml:space="preserve"> </w:t>
      </w:r>
      <w:r w:rsidRPr="002B283E">
        <w:rPr>
          <w:rFonts w:cs="Times New Roman"/>
          <w:i/>
          <w:spacing w:val="-4"/>
          <w:szCs w:val="24"/>
        </w:rPr>
        <w:t>Ltd.</w:t>
      </w:r>
    </w:p>
    <w:p w14:paraId="5C2A64BF" w14:textId="28CEB0F5" w:rsidR="009B4FCE" w:rsidRPr="003A638F" w:rsidRDefault="009B4FCE" w:rsidP="003A638F">
      <w:pPr>
        <w:ind w:left="119"/>
        <w:rPr>
          <w:rFonts w:cs="Times New Roman"/>
          <w:szCs w:val="24"/>
        </w:rPr>
      </w:pPr>
      <w:r w:rsidRPr="002B283E">
        <w:rPr>
          <w:rFonts w:cs="Times New Roman"/>
          <w:i/>
          <w:szCs w:val="24"/>
        </w:rPr>
        <w:t>Partnership</w:t>
      </w:r>
      <w:r w:rsidRPr="002B283E">
        <w:rPr>
          <w:rFonts w:cs="Times New Roman"/>
          <w:szCs w:val="24"/>
        </w:rPr>
        <w:t>,</w:t>
      </w:r>
      <w:r w:rsidRPr="002B283E">
        <w:rPr>
          <w:rFonts w:cs="Times New Roman"/>
          <w:spacing w:val="-7"/>
          <w:szCs w:val="24"/>
        </w:rPr>
        <w:t xml:space="preserve"> </w:t>
      </w:r>
      <w:r w:rsidRPr="002B283E">
        <w:rPr>
          <w:rFonts w:cs="Times New Roman"/>
          <w:szCs w:val="24"/>
        </w:rPr>
        <w:t>111</w:t>
      </w:r>
      <w:r w:rsidRPr="002B283E">
        <w:rPr>
          <w:rFonts w:cs="Times New Roman"/>
          <w:spacing w:val="-6"/>
          <w:szCs w:val="24"/>
        </w:rPr>
        <w:t xml:space="preserve"> </w:t>
      </w:r>
      <w:r w:rsidRPr="002B283E">
        <w:rPr>
          <w:rFonts w:cs="Times New Roman"/>
          <w:szCs w:val="24"/>
        </w:rPr>
        <w:t>F.3d</w:t>
      </w:r>
      <w:r w:rsidRPr="002B283E">
        <w:rPr>
          <w:rFonts w:cs="Times New Roman"/>
          <w:spacing w:val="-6"/>
          <w:szCs w:val="24"/>
        </w:rPr>
        <w:t xml:space="preserve"> </w:t>
      </w:r>
      <w:r w:rsidRPr="002B283E">
        <w:rPr>
          <w:rFonts w:cs="Times New Roman"/>
          <w:szCs w:val="24"/>
        </w:rPr>
        <w:t>658,</w:t>
      </w:r>
      <w:r w:rsidRPr="002B283E">
        <w:rPr>
          <w:rFonts w:cs="Times New Roman"/>
          <w:spacing w:val="-6"/>
          <w:szCs w:val="24"/>
        </w:rPr>
        <w:t xml:space="preserve"> </w:t>
      </w:r>
      <w:r w:rsidRPr="002B283E">
        <w:rPr>
          <w:rFonts w:cs="Times New Roman"/>
          <w:szCs w:val="24"/>
        </w:rPr>
        <w:t>664</w:t>
      </w:r>
      <w:r w:rsidRPr="002B283E">
        <w:rPr>
          <w:rFonts w:cs="Times New Roman"/>
          <w:spacing w:val="-6"/>
          <w:szCs w:val="24"/>
        </w:rPr>
        <w:t xml:space="preserve"> </w:t>
      </w:r>
      <w:r w:rsidRPr="002B283E">
        <w:rPr>
          <w:rFonts w:cs="Times New Roman"/>
          <w:szCs w:val="24"/>
        </w:rPr>
        <w:t>(9th</w:t>
      </w:r>
      <w:r w:rsidRPr="002B283E">
        <w:rPr>
          <w:rFonts w:cs="Times New Roman"/>
          <w:spacing w:val="-6"/>
          <w:szCs w:val="24"/>
        </w:rPr>
        <w:t xml:space="preserve"> </w:t>
      </w:r>
      <w:r w:rsidRPr="002B283E">
        <w:rPr>
          <w:rFonts w:cs="Times New Roman"/>
          <w:szCs w:val="24"/>
        </w:rPr>
        <w:t>Cir.</w:t>
      </w:r>
      <w:r w:rsidRPr="002B283E">
        <w:rPr>
          <w:rFonts w:cs="Times New Roman"/>
          <w:spacing w:val="-6"/>
          <w:szCs w:val="24"/>
        </w:rPr>
        <w:t xml:space="preserve"> </w:t>
      </w:r>
      <w:r w:rsidRPr="002B283E">
        <w:rPr>
          <w:rFonts w:cs="Times New Roman"/>
          <w:szCs w:val="24"/>
        </w:rPr>
        <w:t>1997),</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i/>
          <w:szCs w:val="24"/>
        </w:rPr>
        <w:t>Havens</w:t>
      </w:r>
      <w:r w:rsidRPr="002B283E">
        <w:rPr>
          <w:rFonts w:cs="Times New Roman"/>
          <w:i/>
          <w:spacing w:val="-6"/>
          <w:szCs w:val="24"/>
        </w:rPr>
        <w:t xml:space="preserve"> </w:t>
      </w:r>
      <w:r w:rsidRPr="002B283E">
        <w:rPr>
          <w:rFonts w:cs="Times New Roman"/>
          <w:i/>
          <w:szCs w:val="24"/>
        </w:rPr>
        <w:t>v.</w:t>
      </w:r>
      <w:r w:rsidRPr="002B283E">
        <w:rPr>
          <w:rFonts w:cs="Times New Roman"/>
          <w:i/>
          <w:spacing w:val="-6"/>
          <w:szCs w:val="24"/>
        </w:rPr>
        <w:t xml:space="preserve"> </w:t>
      </w:r>
      <w:r w:rsidRPr="002B283E">
        <w:rPr>
          <w:rFonts w:cs="Times New Roman"/>
          <w:i/>
          <w:szCs w:val="24"/>
        </w:rPr>
        <w:t>F/T</w:t>
      </w:r>
      <w:r w:rsidRPr="002B283E">
        <w:rPr>
          <w:rFonts w:cs="Times New Roman"/>
          <w:i/>
          <w:spacing w:val="-10"/>
          <w:szCs w:val="24"/>
        </w:rPr>
        <w:t xml:space="preserve"> </w:t>
      </w:r>
      <w:r w:rsidRPr="002B283E">
        <w:rPr>
          <w:rFonts w:cs="Times New Roman"/>
          <w:i/>
          <w:szCs w:val="24"/>
        </w:rPr>
        <w:t>Polar</w:t>
      </w:r>
      <w:r w:rsidRPr="002B283E">
        <w:rPr>
          <w:rFonts w:cs="Times New Roman"/>
          <w:i/>
          <w:spacing w:val="-6"/>
          <w:szCs w:val="24"/>
        </w:rPr>
        <w:t xml:space="preserve"> </w:t>
      </w:r>
      <w:r w:rsidRPr="002B283E">
        <w:rPr>
          <w:rFonts w:cs="Times New Roman"/>
          <w:i/>
          <w:szCs w:val="24"/>
        </w:rPr>
        <w:t>Mist</w:t>
      </w:r>
      <w:r w:rsidRPr="002B283E">
        <w:rPr>
          <w:rFonts w:cs="Times New Roman"/>
          <w:szCs w:val="24"/>
        </w:rPr>
        <w:t>,</w:t>
      </w:r>
      <w:r w:rsidRPr="002B283E">
        <w:rPr>
          <w:rFonts w:cs="Times New Roman"/>
          <w:spacing w:val="-6"/>
          <w:szCs w:val="24"/>
        </w:rPr>
        <w:t xml:space="preserve"> </w:t>
      </w:r>
      <w:r w:rsidRPr="002B283E">
        <w:rPr>
          <w:rFonts w:cs="Times New Roman"/>
          <w:szCs w:val="24"/>
        </w:rPr>
        <w:t>996</w:t>
      </w:r>
      <w:r w:rsidRPr="002B283E">
        <w:rPr>
          <w:rFonts w:cs="Times New Roman"/>
          <w:spacing w:val="-6"/>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215,</w:t>
      </w:r>
      <w:r w:rsidRPr="002B283E">
        <w:rPr>
          <w:rFonts w:cs="Times New Roman"/>
          <w:spacing w:val="-6"/>
          <w:szCs w:val="24"/>
        </w:rPr>
        <w:t xml:space="preserve"> </w:t>
      </w:r>
      <w:r w:rsidRPr="002B283E">
        <w:rPr>
          <w:rFonts w:cs="Times New Roman"/>
          <w:spacing w:val="-4"/>
          <w:szCs w:val="24"/>
        </w:rPr>
        <w:t>217</w:t>
      </w:r>
      <w:r w:rsidR="003A638F">
        <w:rPr>
          <w:rFonts w:cs="Times New Roman"/>
          <w:spacing w:val="-4"/>
          <w:szCs w:val="24"/>
        </w:rPr>
        <w:t>-</w:t>
      </w:r>
      <w:r w:rsidRPr="002B283E">
        <w:t>18</w:t>
      </w:r>
      <w:r w:rsidRPr="002B283E">
        <w:rPr>
          <w:spacing w:val="-5"/>
        </w:rPr>
        <w:t xml:space="preserve"> </w:t>
      </w:r>
      <w:r w:rsidRPr="002B283E">
        <w:t>(9th</w:t>
      </w:r>
      <w:r w:rsidRPr="002B283E">
        <w:rPr>
          <w:spacing w:val="-5"/>
        </w:rPr>
        <w:t xml:space="preserve"> </w:t>
      </w:r>
      <w:r w:rsidRPr="002B283E">
        <w:t>Cir.</w:t>
      </w:r>
      <w:r w:rsidRPr="002B283E">
        <w:rPr>
          <w:spacing w:val="-4"/>
        </w:rPr>
        <w:t xml:space="preserve"> </w:t>
      </w:r>
      <w:r w:rsidRPr="002B283E">
        <w:rPr>
          <w:spacing w:val="-2"/>
        </w:rPr>
        <w:t>1993).</w:t>
      </w:r>
    </w:p>
    <w:p w14:paraId="6167CD60" w14:textId="77777777" w:rsidR="009B4FCE" w:rsidRPr="002B283E" w:rsidRDefault="009B4FCE" w:rsidP="002B283E">
      <w:pPr>
        <w:pStyle w:val="BodyText"/>
      </w:pPr>
    </w:p>
    <w:p w14:paraId="663EBB7B" w14:textId="4E1A3A21" w:rsidR="009B4FCE" w:rsidRPr="002B283E" w:rsidRDefault="009B4FCE" w:rsidP="002B283E">
      <w:pPr>
        <w:pStyle w:val="BodyText"/>
        <w:ind w:left="120" w:right="156" w:firstLine="720"/>
      </w:pPr>
      <w:r w:rsidRPr="002B283E">
        <w:t>A shipowner has the duty to a seaman employed on the ship to furnish a vessel and appurtenances</w:t>
      </w:r>
      <w:r w:rsidRPr="002B283E">
        <w:rPr>
          <w:spacing w:val="-3"/>
        </w:rPr>
        <w:t xml:space="preserve"> </w:t>
      </w:r>
      <w:r w:rsidRPr="002B283E">
        <w:t>that</w:t>
      </w:r>
      <w:r w:rsidRPr="002B283E">
        <w:rPr>
          <w:spacing w:val="-3"/>
        </w:rPr>
        <w:t xml:space="preserve"> </w:t>
      </w:r>
      <w:r w:rsidRPr="002B283E">
        <w:t>are</w:t>
      </w:r>
      <w:r w:rsidRPr="002B283E">
        <w:rPr>
          <w:spacing w:val="-4"/>
        </w:rPr>
        <w:t xml:space="preserve"> </w:t>
      </w:r>
      <w:r w:rsidRPr="002B283E">
        <w:t>reasonably</w:t>
      </w:r>
      <w:r w:rsidRPr="002B283E">
        <w:rPr>
          <w:spacing w:val="-3"/>
        </w:rPr>
        <w:t xml:space="preserve"> </w:t>
      </w:r>
      <w:r w:rsidRPr="002B283E">
        <w:t>fit</w:t>
      </w:r>
      <w:r w:rsidRPr="002B283E">
        <w:rPr>
          <w:spacing w:val="-3"/>
        </w:rPr>
        <w:t xml:space="preserve"> </w:t>
      </w:r>
      <w:r w:rsidRPr="002B283E">
        <w:t>for</w:t>
      </w:r>
      <w:r w:rsidRPr="002B283E">
        <w:rPr>
          <w:spacing w:val="-4"/>
        </w:rPr>
        <w:t xml:space="preserve"> </w:t>
      </w:r>
      <w:r w:rsidRPr="002B283E">
        <w:t>their</w:t>
      </w:r>
      <w:r w:rsidRPr="002B283E">
        <w:rPr>
          <w:spacing w:val="-4"/>
        </w:rPr>
        <w:t xml:space="preserve"> </w:t>
      </w:r>
      <w:r w:rsidRPr="002B283E">
        <w:t>use.</w:t>
      </w:r>
      <w:r w:rsidRPr="002B283E">
        <w:rPr>
          <w:spacing w:val="40"/>
        </w:rPr>
        <w:t xml:space="preserve"> </w:t>
      </w:r>
      <w:r w:rsidRPr="002B283E">
        <w:t>This</w:t>
      </w:r>
      <w:r w:rsidRPr="002B283E">
        <w:rPr>
          <w:spacing w:val="-3"/>
        </w:rPr>
        <w:t xml:space="preserve"> </w:t>
      </w:r>
      <w:r w:rsidRPr="002B283E">
        <w:t>includes</w:t>
      </w:r>
      <w:r w:rsidRPr="002B283E">
        <w:rPr>
          <w:spacing w:val="-3"/>
        </w:rPr>
        <w:t xml:space="preserve"> </w:t>
      </w:r>
      <w:r w:rsidRPr="002B283E">
        <w:t>maintaining</w:t>
      </w:r>
      <w:r w:rsidRPr="002B283E">
        <w:rPr>
          <w:spacing w:val="-3"/>
        </w:rPr>
        <w:t xml:space="preserve"> </w:t>
      </w:r>
      <w:r w:rsidRPr="002B283E">
        <w:t>a</w:t>
      </w:r>
      <w:r w:rsidRPr="002B283E">
        <w:rPr>
          <w:spacing w:val="-4"/>
        </w:rPr>
        <w:t xml:space="preserve"> </w:t>
      </w:r>
      <w:r w:rsidRPr="002B283E">
        <w:t>ship’s</w:t>
      </w:r>
      <w:r w:rsidRPr="002B283E">
        <w:rPr>
          <w:spacing w:val="-3"/>
        </w:rPr>
        <w:t xml:space="preserve"> </w:t>
      </w:r>
      <w:r w:rsidRPr="002B283E">
        <w:t>equipment in proper operating condition.</w:t>
      </w:r>
      <w:r w:rsidRPr="002B283E">
        <w:rPr>
          <w:spacing w:val="80"/>
        </w:rPr>
        <w:t xml:space="preserve"> </w:t>
      </w:r>
      <w:r w:rsidRPr="002B283E">
        <w:t>The failure of a piece of equipment under proper and expected use is sufficient to establish unseaworthiness.</w:t>
      </w:r>
      <w:r w:rsidRPr="002B283E">
        <w:rPr>
          <w:spacing w:val="40"/>
        </w:rPr>
        <w:t xml:space="preserve"> </w:t>
      </w:r>
      <w:r w:rsidRPr="002B283E">
        <w:rPr>
          <w:i/>
        </w:rPr>
        <w:t>Lee v. Pac. Far E. Line</w:t>
      </w:r>
      <w:r w:rsidRPr="002B283E">
        <w:t xml:space="preserve">, 566 F.2d 65, 67 (9th Cir. 1977); </w:t>
      </w:r>
      <w:r w:rsidRPr="002B283E">
        <w:rPr>
          <w:i/>
          <w:iCs/>
        </w:rPr>
        <w:t>s</w:t>
      </w:r>
      <w:r w:rsidRPr="002B283E">
        <w:rPr>
          <w:i/>
        </w:rPr>
        <w:t>ee also Mitchell v. Trawler Racer, Inc.</w:t>
      </w:r>
      <w:r w:rsidRPr="002B283E">
        <w:t>, 362 U.S. 539, 550 (1960) (noting that</w:t>
      </w:r>
      <w:r w:rsidR="00E94039">
        <w:t xml:space="preserve"> a</w:t>
      </w:r>
      <w:r w:rsidRPr="002B283E">
        <w:t xml:space="preserve"> vessel owner has no obligation to furnish accident-free ship but rather “a duty to furnish a vessel and appurtenances reasonably fit for their intended use”).</w:t>
      </w:r>
    </w:p>
    <w:p w14:paraId="0FAB5533" w14:textId="77777777" w:rsidR="009B4FCE" w:rsidRPr="002B283E" w:rsidRDefault="009B4FCE" w:rsidP="002B283E">
      <w:pPr>
        <w:pStyle w:val="BodyText"/>
      </w:pPr>
    </w:p>
    <w:p w14:paraId="3AF02E24" w14:textId="70849912" w:rsidR="009B4FCE" w:rsidRPr="002B283E" w:rsidRDefault="009B4FCE" w:rsidP="002B283E">
      <w:pPr>
        <w:pStyle w:val="BodyText"/>
        <w:ind w:left="840"/>
        <w:rPr>
          <w:i/>
        </w:rPr>
      </w:pPr>
      <w:r w:rsidRPr="002B283E">
        <w:t>A</w:t>
      </w:r>
      <w:r w:rsidRPr="002B283E">
        <w:rPr>
          <w:spacing w:val="-14"/>
        </w:rPr>
        <w:t xml:space="preserve"> </w:t>
      </w:r>
      <w:r w:rsidRPr="002B283E">
        <w:t>vessel</w:t>
      </w:r>
      <w:r w:rsidRPr="002B283E">
        <w:rPr>
          <w:spacing w:val="-1"/>
        </w:rPr>
        <w:t xml:space="preserve"> </w:t>
      </w:r>
      <w:r w:rsidRPr="002B283E">
        <w:t>may be</w:t>
      </w:r>
      <w:r w:rsidRPr="002B283E">
        <w:rPr>
          <w:spacing w:val="-2"/>
        </w:rPr>
        <w:t xml:space="preserve"> </w:t>
      </w:r>
      <w:r w:rsidRPr="002B283E">
        <w:t>unseaworthy</w:t>
      </w:r>
      <w:r w:rsidRPr="002B283E">
        <w:rPr>
          <w:spacing w:val="-1"/>
        </w:rPr>
        <w:t xml:space="preserve"> </w:t>
      </w:r>
      <w:r w:rsidRPr="002B283E">
        <w:t>because</w:t>
      </w:r>
      <w:r w:rsidRPr="002B283E">
        <w:rPr>
          <w:spacing w:val="-1"/>
        </w:rPr>
        <w:t xml:space="preserve"> </w:t>
      </w:r>
      <w:r w:rsidRPr="002B283E">
        <w:t>of</w:t>
      </w:r>
      <w:r w:rsidRPr="002B283E">
        <w:rPr>
          <w:spacing w:val="-2"/>
        </w:rPr>
        <w:t xml:space="preserve"> </w:t>
      </w:r>
      <w:r w:rsidRPr="002B283E">
        <w:t>“defective”</w:t>
      </w:r>
      <w:r w:rsidRPr="002B283E">
        <w:rPr>
          <w:spacing w:val="-2"/>
        </w:rPr>
        <w:t xml:space="preserve"> </w:t>
      </w:r>
      <w:r w:rsidRPr="002B283E">
        <w:t>crew</w:t>
      </w:r>
      <w:r w:rsidRPr="002B283E">
        <w:rPr>
          <w:spacing w:val="-1"/>
        </w:rPr>
        <w:t xml:space="preserve"> </w:t>
      </w:r>
      <w:r w:rsidRPr="002B283E">
        <w:t>members.</w:t>
      </w:r>
      <w:r w:rsidR="00E94039">
        <w:rPr>
          <w:spacing w:val="58"/>
        </w:rPr>
        <w:t xml:space="preserve"> </w:t>
      </w:r>
      <w:r w:rsidRPr="002B283E">
        <w:rPr>
          <w:i/>
        </w:rPr>
        <w:t>Pashby</w:t>
      </w:r>
      <w:r w:rsidRPr="002B283E">
        <w:rPr>
          <w:i/>
          <w:spacing w:val="-1"/>
        </w:rPr>
        <w:t xml:space="preserve"> </w:t>
      </w:r>
      <w:r w:rsidRPr="002B283E">
        <w:rPr>
          <w:i/>
          <w:spacing w:val="-5"/>
        </w:rPr>
        <w:t>v.</w:t>
      </w:r>
    </w:p>
    <w:p w14:paraId="2B26DFCA" w14:textId="77777777" w:rsidR="009B4FCE" w:rsidRPr="002B283E" w:rsidRDefault="009B4FCE" w:rsidP="002B283E">
      <w:pPr>
        <w:pStyle w:val="BodyText"/>
        <w:ind w:left="120"/>
      </w:pPr>
      <w:r w:rsidRPr="002B283E">
        <w:rPr>
          <w:i/>
        </w:rPr>
        <w:t>Universal</w:t>
      </w:r>
      <w:r w:rsidRPr="002B283E">
        <w:rPr>
          <w:i/>
          <w:spacing w:val="-6"/>
        </w:rPr>
        <w:t xml:space="preserve"> </w:t>
      </w:r>
      <w:r w:rsidRPr="002B283E">
        <w:rPr>
          <w:i/>
        </w:rPr>
        <w:t>Dredging</w:t>
      </w:r>
      <w:r w:rsidRPr="002B283E">
        <w:rPr>
          <w:i/>
          <w:spacing w:val="-6"/>
        </w:rPr>
        <w:t xml:space="preserve"> </w:t>
      </w:r>
      <w:r w:rsidRPr="002B283E">
        <w:rPr>
          <w:i/>
        </w:rPr>
        <w:t>Corp.</w:t>
      </w:r>
      <w:r w:rsidRPr="002B283E">
        <w:t>,</w:t>
      </w:r>
      <w:r w:rsidRPr="002B283E">
        <w:rPr>
          <w:spacing w:val="-6"/>
        </w:rPr>
        <w:t xml:space="preserve"> </w:t>
      </w:r>
      <w:r w:rsidRPr="002B283E">
        <w:t>608</w:t>
      </w:r>
      <w:r w:rsidRPr="002B283E">
        <w:rPr>
          <w:spacing w:val="-6"/>
        </w:rPr>
        <w:t xml:space="preserve"> </w:t>
      </w:r>
      <w:r w:rsidRPr="002B283E">
        <w:t>F.2d</w:t>
      </w:r>
      <w:r w:rsidRPr="002B283E">
        <w:rPr>
          <w:spacing w:val="-6"/>
        </w:rPr>
        <w:t xml:space="preserve"> </w:t>
      </w:r>
      <w:r w:rsidRPr="002B283E">
        <w:t>1312,</w:t>
      </w:r>
      <w:r w:rsidRPr="002B283E">
        <w:rPr>
          <w:spacing w:val="-6"/>
        </w:rPr>
        <w:t xml:space="preserve"> </w:t>
      </w:r>
      <w:r w:rsidRPr="002B283E">
        <w:t>1313-14</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1979)</w:t>
      </w:r>
      <w:r w:rsidRPr="002B283E">
        <w:rPr>
          <w:spacing w:val="-7"/>
        </w:rPr>
        <w:t xml:space="preserve"> </w:t>
      </w:r>
      <w:r w:rsidRPr="002B283E">
        <w:t>(noting</w:t>
      </w:r>
      <w:r w:rsidRPr="002B283E">
        <w:rPr>
          <w:spacing w:val="-6"/>
        </w:rPr>
        <w:t xml:space="preserve"> </w:t>
      </w:r>
      <w:r w:rsidRPr="002B283E">
        <w:t>that</w:t>
      </w:r>
      <w:r w:rsidRPr="002B283E">
        <w:rPr>
          <w:spacing w:val="-6"/>
        </w:rPr>
        <w:t xml:space="preserve"> </w:t>
      </w:r>
      <w:r w:rsidRPr="002B283E">
        <w:t>violent</w:t>
      </w:r>
      <w:r w:rsidRPr="002B283E">
        <w:rPr>
          <w:spacing w:val="-6"/>
        </w:rPr>
        <w:t xml:space="preserve"> </w:t>
      </w:r>
      <w:r w:rsidRPr="002B283E">
        <w:t>or assaultive crew members may make vessel unseaworthy).</w:t>
      </w:r>
    </w:p>
    <w:p w14:paraId="0D641184" w14:textId="77777777" w:rsidR="009B4FCE" w:rsidRPr="002B283E" w:rsidRDefault="009B4FCE" w:rsidP="002B283E">
      <w:pPr>
        <w:pStyle w:val="BodyText"/>
        <w:ind w:left="120"/>
      </w:pPr>
    </w:p>
    <w:p w14:paraId="2786E2C4" w14:textId="380F90E7" w:rsidR="006A4CD7" w:rsidRPr="002B283E" w:rsidRDefault="009B4FCE" w:rsidP="002B283E">
      <w:pPr>
        <w:pStyle w:val="BodyText"/>
        <w:ind w:left="120"/>
        <w:jc w:val="right"/>
        <w:rPr>
          <w:i/>
          <w:iCs/>
        </w:rPr>
      </w:pPr>
      <w:r w:rsidRPr="002B283E">
        <w:rPr>
          <w:i/>
          <w:iCs/>
        </w:rPr>
        <w:t>Revised March 2025</w:t>
      </w:r>
    </w:p>
    <w:p w14:paraId="7CB648C6" w14:textId="77777777" w:rsidR="00455B81" w:rsidRPr="002B283E" w:rsidRDefault="00455B81" w:rsidP="002B283E">
      <w:pPr>
        <w:autoSpaceDE w:val="0"/>
        <w:autoSpaceDN w:val="0"/>
        <w:adjustRightInd w:val="0"/>
        <w:rPr>
          <w:rFonts w:cs="Times New Roman"/>
          <w:szCs w:val="24"/>
        </w:rPr>
      </w:pPr>
    </w:p>
    <w:p w14:paraId="7812D062" w14:textId="77777777" w:rsidR="00455B81" w:rsidRPr="002B283E" w:rsidRDefault="00455B81" w:rsidP="002B283E">
      <w:pPr>
        <w:autoSpaceDE w:val="0"/>
        <w:autoSpaceDN w:val="0"/>
        <w:adjustRightInd w:val="0"/>
        <w:rPr>
          <w:rFonts w:cs="Times New Roman"/>
          <w:szCs w:val="24"/>
        </w:rPr>
      </w:pPr>
    </w:p>
    <w:p w14:paraId="04D13492" w14:textId="29F12D12" w:rsidR="006A4CD7" w:rsidRPr="002B283E" w:rsidRDefault="006A4CD7" w:rsidP="002B283E">
      <w:pPr>
        <w:pStyle w:val="Heading2"/>
      </w:pPr>
      <w:r w:rsidRPr="002B283E">
        <w:br w:type="page"/>
      </w:r>
      <w:bookmarkStart w:id="115" w:name="_Toc221525155"/>
      <w:r w:rsidRPr="002B283E">
        <w:lastRenderedPageBreak/>
        <w:t xml:space="preserve">7.7 </w:t>
      </w:r>
      <w:r w:rsidR="004272A6" w:rsidRPr="002B283E">
        <w:t>Unseaworthiness</w:t>
      </w:r>
      <w:r w:rsidRPr="002B283E">
        <w:t>—C</w:t>
      </w:r>
      <w:r w:rsidR="004272A6" w:rsidRPr="002B283E">
        <w:t>ausation</w:t>
      </w:r>
      <w:r w:rsidRPr="002B283E">
        <w:t xml:space="preserve"> D</w:t>
      </w:r>
      <w:r w:rsidR="004272A6" w:rsidRPr="002B283E">
        <w:t>efined</w:t>
      </w:r>
      <w:bookmarkEnd w:id="115"/>
    </w:p>
    <w:p w14:paraId="68DA66FB" w14:textId="77777777" w:rsidR="006A4CD7" w:rsidRPr="002B283E" w:rsidRDefault="006A4CD7" w:rsidP="002B283E">
      <w:pPr>
        <w:autoSpaceDE w:val="0"/>
        <w:autoSpaceDN w:val="0"/>
        <w:adjustRightInd w:val="0"/>
        <w:rPr>
          <w:rFonts w:cs="Times New Roman"/>
          <w:szCs w:val="24"/>
        </w:rPr>
      </w:pPr>
    </w:p>
    <w:p w14:paraId="1DAD8FE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definition of causation for the plaintiff's unseaworthiness claim is different from that for the Jones Act negligence claim.</w:t>
      </w:r>
    </w:p>
    <w:p w14:paraId="2675D61A" w14:textId="77777777" w:rsidR="006A4CD7" w:rsidRPr="002B283E" w:rsidRDefault="006A4CD7" w:rsidP="002B283E">
      <w:pPr>
        <w:autoSpaceDE w:val="0"/>
        <w:autoSpaceDN w:val="0"/>
        <w:adjustRightInd w:val="0"/>
        <w:rPr>
          <w:rFonts w:cs="Times New Roman"/>
          <w:szCs w:val="24"/>
        </w:rPr>
      </w:pPr>
    </w:p>
    <w:p w14:paraId="11A366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Unseaworthiness is a cause of injury or damage if it was a substantial factor in bringing about injury or damage.</w:t>
      </w:r>
    </w:p>
    <w:p w14:paraId="44A8F21E" w14:textId="77777777" w:rsidR="006A4CD7" w:rsidRPr="002B283E" w:rsidRDefault="006A4CD7" w:rsidP="002B283E">
      <w:pPr>
        <w:autoSpaceDE w:val="0"/>
        <w:autoSpaceDN w:val="0"/>
        <w:adjustRightInd w:val="0"/>
        <w:rPr>
          <w:rFonts w:cs="Times New Roman"/>
          <w:szCs w:val="24"/>
        </w:rPr>
      </w:pPr>
    </w:p>
    <w:p w14:paraId="205D4F1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6B068FE" w14:textId="77777777" w:rsidR="006A4CD7" w:rsidRPr="002B283E" w:rsidRDefault="006A4CD7" w:rsidP="002B283E">
      <w:pPr>
        <w:autoSpaceDE w:val="0"/>
        <w:autoSpaceDN w:val="0"/>
        <w:adjustRightInd w:val="0"/>
        <w:rPr>
          <w:rFonts w:cs="Times New Roman"/>
          <w:szCs w:val="24"/>
        </w:rPr>
      </w:pPr>
    </w:p>
    <w:p w14:paraId="28B8BC3B" w14:textId="2626F98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different test for causation applies to an unseaworthiness claim as compared to a Jones Act negligence claim. </w:t>
      </w:r>
      <w:r w:rsidRPr="002B283E">
        <w:rPr>
          <w:rFonts w:cs="Times New Roman"/>
          <w:i/>
          <w:iCs/>
          <w:szCs w:val="24"/>
        </w:rPr>
        <w:t>See Ribitzki v. Canmar Reading &amp; Bates, Ltd. P’ship</w:t>
      </w:r>
      <w:r w:rsidRPr="002B283E">
        <w:rPr>
          <w:rFonts w:cs="Times New Roman"/>
          <w:szCs w:val="24"/>
        </w:rPr>
        <w:t xml:space="preserve">, 111 F.3d 658, 665 (9th Cir. 1997) (causation is established for </w:t>
      </w:r>
      <w:r w:rsidR="00E94039">
        <w:rPr>
          <w:rFonts w:cs="Times New Roman"/>
          <w:szCs w:val="24"/>
        </w:rPr>
        <w:t xml:space="preserve">an </w:t>
      </w:r>
      <w:r w:rsidRPr="002B283E">
        <w:rPr>
          <w:rFonts w:cs="Times New Roman"/>
          <w:szCs w:val="24"/>
        </w:rPr>
        <w:t xml:space="preserve">unseaworthiness claim by showing </w:t>
      </w:r>
      <w:r w:rsidR="00E763E7">
        <w:rPr>
          <w:rFonts w:cs="Times New Roman"/>
          <w:szCs w:val="24"/>
        </w:rPr>
        <w:t xml:space="preserve">the </w:t>
      </w:r>
      <w:r w:rsidRPr="002B283E">
        <w:rPr>
          <w:rFonts w:cs="Times New Roman"/>
          <w:szCs w:val="24"/>
        </w:rPr>
        <w:t xml:space="preserve">condition was </w:t>
      </w:r>
      <w:r w:rsidR="00E94039">
        <w:rPr>
          <w:rFonts w:cs="Times New Roman"/>
          <w:szCs w:val="24"/>
        </w:rPr>
        <w:t xml:space="preserve">a </w:t>
      </w:r>
      <w:r w:rsidRPr="002B283E">
        <w:rPr>
          <w:rFonts w:cs="Times New Roman"/>
          <w:szCs w:val="24"/>
        </w:rPr>
        <w:t xml:space="preserve">“substantial factor” in causing injury). When both Jones Act negligence and unseaworthiness claims exist, the court should instruct on the causal requirements for each. </w:t>
      </w:r>
      <w:r w:rsidRPr="002B283E">
        <w:rPr>
          <w:rFonts w:cs="Times New Roman"/>
          <w:i/>
          <w:iCs/>
          <w:szCs w:val="24"/>
        </w:rPr>
        <w:t>See Lies v. Farrell Lines</w:t>
      </w:r>
      <w:r w:rsidRPr="002B283E">
        <w:rPr>
          <w:rFonts w:cs="Times New Roman"/>
          <w:szCs w:val="24"/>
        </w:rPr>
        <w:t>, 641 F.2d 765, 769 n.7 (9th Cir. 1981).</w:t>
      </w:r>
    </w:p>
    <w:p w14:paraId="5219E2BF" w14:textId="77777777" w:rsidR="00455B81" w:rsidRPr="002B283E" w:rsidRDefault="00455B81" w:rsidP="002B283E">
      <w:pPr>
        <w:autoSpaceDE w:val="0"/>
        <w:autoSpaceDN w:val="0"/>
        <w:adjustRightInd w:val="0"/>
        <w:rPr>
          <w:rFonts w:cs="Times New Roman"/>
          <w:szCs w:val="24"/>
        </w:rPr>
      </w:pPr>
    </w:p>
    <w:p w14:paraId="461CA5E2" w14:textId="77777777" w:rsidR="00455B81" w:rsidRPr="002B283E" w:rsidRDefault="00455B81" w:rsidP="002B283E">
      <w:pPr>
        <w:autoSpaceDE w:val="0"/>
        <w:autoSpaceDN w:val="0"/>
        <w:adjustRightInd w:val="0"/>
        <w:rPr>
          <w:rFonts w:cs="Times New Roman"/>
          <w:szCs w:val="24"/>
        </w:rPr>
      </w:pPr>
    </w:p>
    <w:p w14:paraId="5414A98A" w14:textId="329366DE" w:rsidR="006A4CD7" w:rsidRPr="002B283E" w:rsidRDefault="006A4CD7" w:rsidP="002B283E">
      <w:pPr>
        <w:pStyle w:val="Heading2"/>
      </w:pPr>
      <w:r w:rsidRPr="002B283E">
        <w:br w:type="page"/>
      </w:r>
      <w:bookmarkStart w:id="116" w:name="_Toc221525156"/>
      <w:r w:rsidRPr="002B283E">
        <w:lastRenderedPageBreak/>
        <w:t>7.8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—D</w:t>
      </w:r>
      <w:r w:rsidR="004272A6" w:rsidRPr="002B283E">
        <w:t>amages</w:t>
      </w:r>
      <w:r w:rsidRPr="002B283E">
        <w:t>—P</w:t>
      </w:r>
      <w:r w:rsidR="004272A6" w:rsidRPr="002B283E">
        <w:t>roof</w:t>
      </w:r>
      <w:bookmarkEnd w:id="116"/>
    </w:p>
    <w:p w14:paraId="37B8F630" w14:textId="77777777" w:rsidR="006A4CD7" w:rsidRPr="002B283E" w:rsidRDefault="006A4CD7" w:rsidP="002B283E">
      <w:pPr>
        <w:autoSpaceDE w:val="0"/>
        <w:autoSpaceDN w:val="0"/>
        <w:adjustRightInd w:val="0"/>
        <w:rPr>
          <w:rFonts w:cs="Times New Roman"/>
          <w:szCs w:val="24"/>
        </w:rPr>
      </w:pPr>
    </w:p>
    <w:p w14:paraId="4DC96E3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39651EE" w14:textId="77777777" w:rsidR="006A4CD7" w:rsidRPr="002B283E" w:rsidRDefault="006A4CD7" w:rsidP="002B283E">
      <w:pPr>
        <w:autoSpaceDE w:val="0"/>
        <w:autoSpaceDN w:val="0"/>
        <w:adjustRightInd w:val="0"/>
        <w:rPr>
          <w:rFonts w:cs="Times New Roman"/>
          <w:szCs w:val="24"/>
        </w:rPr>
      </w:pPr>
    </w:p>
    <w:p w14:paraId="0ECB239F" w14:textId="5EC4DD50" w:rsidR="00293F6D" w:rsidRPr="002B283E" w:rsidRDefault="00293F6D" w:rsidP="002B283E">
      <w:pPr>
        <w:pStyle w:val="BodyText"/>
        <w:ind w:left="820"/>
      </w:pPr>
      <w:r w:rsidRPr="002B283E">
        <w:rPr>
          <w:i/>
        </w:rPr>
        <w:t>See</w:t>
      </w:r>
      <w:r w:rsidRPr="002B283E">
        <w:rPr>
          <w:i/>
          <w:spacing w:val="-3"/>
        </w:rPr>
        <w:t xml:space="preserve"> </w:t>
      </w:r>
      <w:r w:rsidRPr="002B283E">
        <w:t>Instruction</w:t>
      </w:r>
      <w:r w:rsidRPr="002B283E">
        <w:rPr>
          <w:spacing w:val="-2"/>
        </w:rPr>
        <w:t xml:space="preserve"> </w:t>
      </w:r>
      <w:r w:rsidRPr="002B283E">
        <w:t>5.1</w:t>
      </w:r>
      <w:r w:rsidRPr="002B283E">
        <w:rPr>
          <w:spacing w:val="-2"/>
        </w:rPr>
        <w:t xml:space="preserve"> </w:t>
      </w:r>
      <w:r w:rsidRPr="002B283E">
        <w:t>(Damages—</w:t>
      </w:r>
      <w:r w:rsidRPr="002B283E">
        <w:rPr>
          <w:spacing w:val="-2"/>
        </w:rPr>
        <w:t>Proof).</w:t>
      </w:r>
    </w:p>
    <w:p w14:paraId="222236D2" w14:textId="77777777" w:rsidR="00293F6D" w:rsidRPr="002B283E" w:rsidRDefault="00293F6D" w:rsidP="002B283E">
      <w:pPr>
        <w:pStyle w:val="BodyText"/>
      </w:pPr>
    </w:p>
    <w:p w14:paraId="159DE8A3" w14:textId="403F4FD0" w:rsidR="00293F6D" w:rsidRPr="002B283E" w:rsidRDefault="00293F6D" w:rsidP="002B283E">
      <w:pPr>
        <w:pStyle w:val="BodyText"/>
        <w:ind w:left="820"/>
        <w:rPr>
          <w:i/>
        </w:rPr>
      </w:pPr>
      <w:r w:rsidRPr="002B283E">
        <w:t>The</w:t>
      </w:r>
      <w:r w:rsidRPr="002B283E">
        <w:rPr>
          <w:spacing w:val="-5"/>
        </w:rPr>
        <w:t xml:space="preserve"> </w:t>
      </w:r>
      <w:r w:rsidRPr="002B283E">
        <w:t>collateral</w:t>
      </w:r>
      <w:r w:rsidRPr="002B283E">
        <w:rPr>
          <w:spacing w:val="-1"/>
        </w:rPr>
        <w:t xml:space="preserve"> </w:t>
      </w:r>
      <w:r w:rsidRPr="002B283E">
        <w:t>source rule</w:t>
      </w:r>
      <w:r w:rsidRPr="002B283E">
        <w:rPr>
          <w:spacing w:val="-1"/>
        </w:rPr>
        <w:t xml:space="preserve"> </w:t>
      </w:r>
      <w:r w:rsidRPr="002B283E">
        <w:t>applies</w:t>
      </w:r>
      <w:r w:rsidRPr="002B283E">
        <w:rPr>
          <w:spacing w:val="-1"/>
        </w:rPr>
        <w:t xml:space="preserve"> </w:t>
      </w:r>
      <w:r w:rsidRPr="002B283E">
        <w:t>in</w:t>
      </w:r>
      <w:r w:rsidRPr="002B283E">
        <w:rPr>
          <w:spacing w:val="-1"/>
        </w:rPr>
        <w:t xml:space="preserve"> </w:t>
      </w:r>
      <w:r w:rsidRPr="002B283E">
        <w:t>cases</w:t>
      </w:r>
      <w:r w:rsidRPr="002B283E">
        <w:rPr>
          <w:spacing w:val="-1"/>
        </w:rPr>
        <w:t xml:space="preserve"> </w:t>
      </w:r>
      <w:r w:rsidRPr="002B283E">
        <w:t>brought under</w:t>
      </w:r>
      <w:r w:rsidRPr="002B283E">
        <w:rPr>
          <w:spacing w:val="-2"/>
        </w:rPr>
        <w:t xml:space="preserve"> </w:t>
      </w:r>
      <w:r w:rsidRPr="002B283E">
        <w:t>the</w:t>
      </w:r>
      <w:r w:rsidRPr="002B283E">
        <w:rPr>
          <w:spacing w:val="-2"/>
        </w:rPr>
        <w:t xml:space="preserve"> </w:t>
      </w:r>
      <w:r w:rsidRPr="002B283E">
        <w:t>Jones</w:t>
      </w:r>
      <w:r w:rsidRPr="002B283E">
        <w:rPr>
          <w:spacing w:val="-13"/>
        </w:rPr>
        <w:t xml:space="preserve"> </w:t>
      </w:r>
      <w:r w:rsidRPr="002B283E">
        <w:t>Act.</w:t>
      </w:r>
      <w:r w:rsidR="00E763E7">
        <w:rPr>
          <w:spacing w:val="57"/>
        </w:rPr>
        <w:t xml:space="preserve"> </w:t>
      </w:r>
      <w:r w:rsidRPr="002B283E">
        <w:rPr>
          <w:i/>
        </w:rPr>
        <w:t>See Folkestad</w:t>
      </w:r>
      <w:r w:rsidRPr="002B283E">
        <w:rPr>
          <w:i/>
          <w:spacing w:val="-1"/>
        </w:rPr>
        <w:t xml:space="preserve"> </w:t>
      </w:r>
      <w:r w:rsidRPr="002B283E">
        <w:rPr>
          <w:i/>
          <w:spacing w:val="-5"/>
        </w:rPr>
        <w:t>v.</w:t>
      </w:r>
    </w:p>
    <w:p w14:paraId="65F28097" w14:textId="77777777" w:rsidR="00293F6D" w:rsidRPr="002B283E" w:rsidRDefault="00293F6D" w:rsidP="002B283E">
      <w:pPr>
        <w:ind w:left="100" w:right="581"/>
        <w:rPr>
          <w:rFonts w:cs="Times New Roman"/>
          <w:szCs w:val="24"/>
        </w:rPr>
      </w:pPr>
      <w:r w:rsidRPr="002B283E">
        <w:rPr>
          <w:rFonts w:cs="Times New Roman"/>
          <w:i/>
          <w:szCs w:val="24"/>
        </w:rPr>
        <w:t>Burlington</w:t>
      </w:r>
      <w:r w:rsidRPr="002B283E">
        <w:rPr>
          <w:rFonts w:cs="Times New Roman"/>
          <w:i/>
          <w:spacing w:val="-8"/>
          <w:szCs w:val="24"/>
        </w:rPr>
        <w:t xml:space="preserve"> </w:t>
      </w:r>
      <w:r w:rsidRPr="002B283E">
        <w:rPr>
          <w:rFonts w:cs="Times New Roman"/>
          <w:i/>
          <w:szCs w:val="24"/>
        </w:rPr>
        <w:t>N.,</w:t>
      </w:r>
      <w:r w:rsidRPr="002B283E">
        <w:rPr>
          <w:rFonts w:cs="Times New Roman"/>
          <w:i/>
          <w:spacing w:val="-8"/>
          <w:szCs w:val="24"/>
        </w:rPr>
        <w:t xml:space="preserve"> </w:t>
      </w:r>
      <w:r w:rsidRPr="002B283E">
        <w:rPr>
          <w:rFonts w:cs="Times New Roman"/>
          <w:i/>
          <w:szCs w:val="24"/>
        </w:rPr>
        <w:t>Inc.</w:t>
      </w:r>
      <w:r w:rsidRPr="002B283E">
        <w:rPr>
          <w:rFonts w:cs="Times New Roman"/>
          <w:szCs w:val="24"/>
        </w:rPr>
        <w:t>,</w:t>
      </w:r>
      <w:r w:rsidRPr="002B283E">
        <w:rPr>
          <w:rFonts w:cs="Times New Roman"/>
          <w:spacing w:val="-8"/>
          <w:szCs w:val="24"/>
        </w:rPr>
        <w:t xml:space="preserve"> </w:t>
      </w:r>
      <w:r w:rsidRPr="002B283E">
        <w:rPr>
          <w:rFonts w:cs="Times New Roman"/>
          <w:szCs w:val="24"/>
        </w:rPr>
        <w:t>813</w:t>
      </w:r>
      <w:r w:rsidRPr="002B283E">
        <w:rPr>
          <w:rFonts w:cs="Times New Roman"/>
          <w:spacing w:val="-8"/>
          <w:szCs w:val="24"/>
        </w:rPr>
        <w:t xml:space="preserve"> </w:t>
      </w:r>
      <w:r w:rsidRPr="002B283E">
        <w:rPr>
          <w:rFonts w:cs="Times New Roman"/>
          <w:szCs w:val="24"/>
        </w:rPr>
        <w:t>F.2d</w:t>
      </w:r>
      <w:r w:rsidRPr="002B283E">
        <w:rPr>
          <w:rFonts w:cs="Times New Roman"/>
          <w:spacing w:val="-8"/>
          <w:szCs w:val="24"/>
        </w:rPr>
        <w:t xml:space="preserve"> </w:t>
      </w:r>
      <w:r w:rsidRPr="002B283E">
        <w:rPr>
          <w:rFonts w:cs="Times New Roman"/>
          <w:szCs w:val="24"/>
        </w:rPr>
        <w:t>1377,</w:t>
      </w:r>
      <w:r w:rsidRPr="002B283E">
        <w:rPr>
          <w:rFonts w:cs="Times New Roman"/>
          <w:spacing w:val="-8"/>
          <w:szCs w:val="24"/>
        </w:rPr>
        <w:t xml:space="preserve"> </w:t>
      </w:r>
      <w:r w:rsidRPr="002B283E">
        <w:rPr>
          <w:rFonts w:cs="Times New Roman"/>
          <w:szCs w:val="24"/>
        </w:rPr>
        <w:t>1380</w:t>
      </w:r>
      <w:r w:rsidRPr="002B283E">
        <w:rPr>
          <w:rFonts w:cs="Times New Roman"/>
          <w:spacing w:val="-8"/>
          <w:szCs w:val="24"/>
        </w:rPr>
        <w:t xml:space="preserve"> </w:t>
      </w:r>
      <w:r w:rsidRPr="002B283E">
        <w:rPr>
          <w:rFonts w:cs="Times New Roman"/>
          <w:szCs w:val="24"/>
        </w:rPr>
        <w:t>n.3</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1987)</w:t>
      </w:r>
      <w:r w:rsidRPr="002B283E">
        <w:rPr>
          <w:rFonts w:cs="Times New Roman"/>
          <w:spacing w:val="-9"/>
          <w:szCs w:val="24"/>
        </w:rPr>
        <w:t xml:space="preserve"> </w:t>
      </w:r>
      <w:r w:rsidRPr="002B283E">
        <w:rPr>
          <w:rFonts w:cs="Times New Roman"/>
          <w:szCs w:val="24"/>
        </w:rPr>
        <w:t>(citing</w:t>
      </w:r>
      <w:r w:rsidRPr="002B283E">
        <w:rPr>
          <w:rFonts w:cs="Times New Roman"/>
          <w:spacing w:val="-8"/>
          <w:szCs w:val="24"/>
        </w:rPr>
        <w:t xml:space="preserve"> </w:t>
      </w:r>
      <w:r w:rsidRPr="002B283E">
        <w:rPr>
          <w:rFonts w:cs="Times New Roman"/>
          <w:i/>
          <w:szCs w:val="24"/>
        </w:rPr>
        <w:t>Gypsum</w:t>
      </w:r>
      <w:r w:rsidRPr="002B283E">
        <w:rPr>
          <w:rFonts w:cs="Times New Roman"/>
          <w:i/>
          <w:spacing w:val="-9"/>
          <w:szCs w:val="24"/>
        </w:rPr>
        <w:t xml:space="preserve"> </w:t>
      </w:r>
      <w:r w:rsidRPr="002B283E">
        <w:rPr>
          <w:rFonts w:cs="Times New Roman"/>
          <w:i/>
          <w:szCs w:val="24"/>
        </w:rPr>
        <w:t>Carrier,</w:t>
      </w:r>
      <w:r w:rsidRPr="002B283E">
        <w:rPr>
          <w:rFonts w:cs="Times New Roman"/>
          <w:i/>
          <w:spacing w:val="-8"/>
          <w:szCs w:val="24"/>
        </w:rPr>
        <w:t xml:space="preserve"> </w:t>
      </w:r>
      <w:r w:rsidRPr="002B283E">
        <w:rPr>
          <w:rFonts w:cs="Times New Roman"/>
          <w:i/>
          <w:szCs w:val="24"/>
        </w:rPr>
        <w:t>Inc.</w:t>
      </w:r>
      <w:r w:rsidRPr="002B283E">
        <w:rPr>
          <w:rFonts w:cs="Times New Roman"/>
          <w:i/>
          <w:spacing w:val="-8"/>
          <w:szCs w:val="24"/>
        </w:rPr>
        <w:t xml:space="preserve"> </w:t>
      </w:r>
      <w:r w:rsidRPr="002B283E">
        <w:rPr>
          <w:rFonts w:cs="Times New Roman"/>
          <w:i/>
          <w:szCs w:val="24"/>
        </w:rPr>
        <w:t>v. Handelsman</w:t>
      </w:r>
      <w:r w:rsidRPr="002B283E">
        <w:rPr>
          <w:rFonts w:cs="Times New Roman"/>
          <w:szCs w:val="24"/>
        </w:rPr>
        <w:t>, 307 F.2d 525 (9th Cir. 1962)).</w:t>
      </w:r>
    </w:p>
    <w:p w14:paraId="233C16B8" w14:textId="77777777" w:rsidR="00293F6D" w:rsidRPr="002B283E" w:rsidRDefault="00293F6D" w:rsidP="002B283E">
      <w:pPr>
        <w:pStyle w:val="BodyText"/>
      </w:pPr>
    </w:p>
    <w:p w14:paraId="53405FF8" w14:textId="57E5B900" w:rsidR="00293F6D" w:rsidRPr="002B283E" w:rsidRDefault="00293F6D" w:rsidP="002B283E">
      <w:pPr>
        <w:pStyle w:val="BodyText"/>
        <w:ind w:left="100" w:right="135" w:firstLine="720"/>
      </w:pPr>
      <w:r w:rsidRPr="002B283E">
        <w:t>“Maintenance and cure” is a separate general maritime law doctrine, not arising from the Jones</w:t>
      </w:r>
      <w:r w:rsidRPr="002B283E">
        <w:rPr>
          <w:spacing w:val="-15"/>
        </w:rPr>
        <w:t xml:space="preserve"> </w:t>
      </w:r>
      <w:r w:rsidRPr="002B283E">
        <w:t>Act</w:t>
      </w:r>
      <w:r w:rsidRPr="002B283E">
        <w:rPr>
          <w:spacing w:val="-4"/>
        </w:rPr>
        <w:t xml:space="preserve"> </w:t>
      </w:r>
      <w:r w:rsidRPr="002B283E">
        <w:t>or</w:t>
      </w:r>
      <w:r w:rsidRPr="002B283E">
        <w:rPr>
          <w:spacing w:val="-3"/>
        </w:rPr>
        <w:t xml:space="preserve"> </w:t>
      </w:r>
      <w:r w:rsidRPr="002B283E">
        <w:t>doctrine</w:t>
      </w:r>
      <w:r w:rsidRPr="002B283E">
        <w:rPr>
          <w:spacing w:val="-3"/>
        </w:rPr>
        <w:t xml:space="preserve"> </w:t>
      </w:r>
      <w:r w:rsidRPr="002B283E">
        <w:t>of</w:t>
      </w:r>
      <w:r w:rsidRPr="002B283E">
        <w:rPr>
          <w:spacing w:val="-2"/>
        </w:rPr>
        <w:t xml:space="preserve"> </w:t>
      </w:r>
      <w:r w:rsidRPr="002B283E">
        <w:t>unseaworthiness.</w:t>
      </w:r>
      <w:r w:rsidRPr="002B283E">
        <w:rPr>
          <w:spacing w:val="40"/>
        </w:rPr>
        <w:t xml:space="preserve"> </w:t>
      </w:r>
      <w:r w:rsidRPr="002B283E">
        <w:t>It</w:t>
      </w:r>
      <w:r w:rsidRPr="002B283E">
        <w:rPr>
          <w:spacing w:val="-3"/>
        </w:rPr>
        <w:t xml:space="preserve"> </w:t>
      </w:r>
      <w:r w:rsidRPr="002B283E">
        <w:t>is</w:t>
      </w:r>
      <w:r w:rsidRPr="002B283E">
        <w:rPr>
          <w:spacing w:val="-3"/>
        </w:rPr>
        <w:t xml:space="preserve"> </w:t>
      </w:r>
      <w:r w:rsidRPr="002B283E">
        <w:t>not</w:t>
      </w:r>
      <w:r w:rsidRPr="002B283E">
        <w:rPr>
          <w:spacing w:val="-3"/>
        </w:rPr>
        <w:t xml:space="preserve"> </w:t>
      </w:r>
      <w:r w:rsidRPr="002B283E">
        <w:t>tied</w:t>
      </w:r>
      <w:r w:rsidRPr="002B283E">
        <w:rPr>
          <w:spacing w:val="-3"/>
        </w:rPr>
        <w:t xml:space="preserve"> </w:t>
      </w:r>
      <w:r w:rsidRPr="002B283E">
        <w:t>to</w:t>
      </w:r>
      <w:r w:rsidRPr="002B283E">
        <w:rPr>
          <w:spacing w:val="-3"/>
        </w:rPr>
        <w:t xml:space="preserve"> </w:t>
      </w:r>
      <w:r w:rsidRPr="002B283E">
        <w:t>the</w:t>
      </w:r>
      <w:r w:rsidRPr="002B283E">
        <w:rPr>
          <w:spacing w:val="-3"/>
        </w:rPr>
        <w:t xml:space="preserve"> </w:t>
      </w:r>
      <w:r w:rsidRPr="002B283E">
        <w:t>period</w:t>
      </w:r>
      <w:r w:rsidRPr="002B283E">
        <w:rPr>
          <w:spacing w:val="-3"/>
        </w:rPr>
        <w:t xml:space="preserve"> </w:t>
      </w:r>
      <w:r w:rsidRPr="002B283E">
        <w:t>that</w:t>
      </w:r>
      <w:r w:rsidRPr="002B283E">
        <w:rPr>
          <w:spacing w:val="-3"/>
        </w:rPr>
        <w:t xml:space="preserve"> </w:t>
      </w:r>
      <w:r w:rsidRPr="002B283E">
        <w:t>the</w:t>
      </w:r>
      <w:r w:rsidRPr="002B283E">
        <w:rPr>
          <w:spacing w:val="-3"/>
        </w:rPr>
        <w:t xml:space="preserve"> </w:t>
      </w:r>
      <w:r w:rsidRPr="002B283E">
        <w:t>plaintiff</w:t>
      </w:r>
      <w:r w:rsidRPr="002B283E">
        <w:rPr>
          <w:spacing w:val="-3"/>
        </w:rPr>
        <w:t xml:space="preserve"> </w:t>
      </w:r>
      <w:r w:rsidRPr="002B283E">
        <w:t>would</w:t>
      </w:r>
      <w:r w:rsidRPr="002B283E">
        <w:rPr>
          <w:spacing w:val="-3"/>
        </w:rPr>
        <w:t xml:space="preserve"> </w:t>
      </w:r>
      <w:r w:rsidRPr="002B283E">
        <w:t>have worked aboard ship but extends to the point of maximum cure.</w:t>
      </w:r>
      <w:r w:rsidRPr="002B283E">
        <w:rPr>
          <w:spacing w:val="40"/>
        </w:rPr>
        <w:t xml:space="preserve"> </w:t>
      </w:r>
      <w:r w:rsidRPr="002B283E">
        <w:rPr>
          <w:i/>
        </w:rPr>
        <w:t xml:space="preserve">See </w:t>
      </w:r>
      <w:r w:rsidRPr="002B283E">
        <w:t xml:space="preserve">Instruction 7.11 </w:t>
      </w:r>
      <w:r w:rsidR="00E763E7">
        <w:t>(</w:t>
      </w:r>
      <w:r w:rsidRPr="002B283E">
        <w:t>Maintenance and Cure—Elements and Burden of Proof).</w:t>
      </w:r>
    </w:p>
    <w:p w14:paraId="67AE7FBD" w14:textId="77777777" w:rsidR="00293F6D" w:rsidRPr="002B283E" w:rsidRDefault="00293F6D" w:rsidP="002B283E">
      <w:pPr>
        <w:pStyle w:val="BodyText"/>
      </w:pPr>
    </w:p>
    <w:p w14:paraId="2C675CEA" w14:textId="77777777" w:rsidR="00293F6D" w:rsidRPr="002B283E" w:rsidRDefault="00293F6D" w:rsidP="002B283E">
      <w:pPr>
        <w:pStyle w:val="BodyText"/>
        <w:ind w:firstLine="720"/>
        <w:jc w:val="both"/>
      </w:pPr>
      <w:r w:rsidRPr="002B283E">
        <w:t>Punitive</w:t>
      </w:r>
      <w:r w:rsidRPr="002B283E">
        <w:rPr>
          <w:spacing w:val="-5"/>
        </w:rPr>
        <w:t xml:space="preserve"> </w:t>
      </w:r>
      <w:r w:rsidRPr="002B283E">
        <w:t>damages</w:t>
      </w:r>
      <w:r w:rsidRPr="002B283E">
        <w:rPr>
          <w:spacing w:val="-2"/>
        </w:rPr>
        <w:t xml:space="preserve"> </w:t>
      </w:r>
      <w:r w:rsidRPr="002B283E">
        <w:t>are</w:t>
      </w:r>
      <w:r w:rsidRPr="002B283E">
        <w:rPr>
          <w:spacing w:val="-2"/>
        </w:rPr>
        <w:t xml:space="preserve"> </w:t>
      </w:r>
      <w:r w:rsidRPr="002B283E">
        <w:t>not an</w:t>
      </w:r>
      <w:r w:rsidRPr="002B283E">
        <w:rPr>
          <w:spacing w:val="-2"/>
        </w:rPr>
        <w:t xml:space="preserve"> </w:t>
      </w:r>
      <w:r w:rsidRPr="002B283E">
        <w:t>available</w:t>
      </w:r>
      <w:r w:rsidRPr="002B283E">
        <w:rPr>
          <w:spacing w:val="-1"/>
        </w:rPr>
        <w:t xml:space="preserve"> </w:t>
      </w:r>
      <w:r w:rsidRPr="002B283E">
        <w:t>remedy</w:t>
      </w:r>
      <w:r w:rsidRPr="002B283E">
        <w:rPr>
          <w:spacing w:val="-2"/>
        </w:rPr>
        <w:t xml:space="preserve"> </w:t>
      </w:r>
      <w:r w:rsidRPr="002B283E">
        <w:t>on</w:t>
      </w:r>
      <w:r w:rsidRPr="002B283E">
        <w:rPr>
          <w:spacing w:val="1"/>
        </w:rPr>
        <w:t xml:space="preserve"> </w:t>
      </w:r>
      <w:r w:rsidRPr="002B283E">
        <w:t>an</w:t>
      </w:r>
      <w:r w:rsidRPr="002B283E">
        <w:rPr>
          <w:spacing w:val="-2"/>
        </w:rPr>
        <w:t xml:space="preserve"> </w:t>
      </w:r>
      <w:r w:rsidRPr="002B283E">
        <w:t>unseaworthiness</w:t>
      </w:r>
      <w:r w:rsidRPr="002B283E">
        <w:rPr>
          <w:spacing w:val="-1"/>
        </w:rPr>
        <w:t xml:space="preserve"> </w:t>
      </w:r>
      <w:r w:rsidRPr="002B283E">
        <w:rPr>
          <w:spacing w:val="-2"/>
        </w:rPr>
        <w:t xml:space="preserve">claim. </w:t>
      </w:r>
      <w:r w:rsidRPr="002B283E">
        <w:rPr>
          <w:i/>
        </w:rPr>
        <w:t>Dutra Grp.</w:t>
      </w:r>
      <w:r w:rsidRPr="002B283E">
        <w:rPr>
          <w:i/>
          <w:spacing w:val="-4"/>
        </w:rPr>
        <w:t xml:space="preserve"> </w:t>
      </w:r>
      <w:r w:rsidRPr="002B283E">
        <w:rPr>
          <w:i/>
        </w:rPr>
        <w:t>v.</w:t>
      </w:r>
      <w:r w:rsidRPr="002B283E">
        <w:rPr>
          <w:i/>
          <w:spacing w:val="-4"/>
        </w:rPr>
        <w:t xml:space="preserve"> </w:t>
      </w:r>
      <w:r w:rsidRPr="002B283E">
        <w:rPr>
          <w:i/>
        </w:rPr>
        <w:t>Batterton</w:t>
      </w:r>
      <w:r w:rsidRPr="002B283E">
        <w:t>,</w:t>
      </w:r>
      <w:r w:rsidRPr="002B283E">
        <w:rPr>
          <w:spacing w:val="-4"/>
        </w:rPr>
        <w:t xml:space="preserve"> </w:t>
      </w:r>
      <w:r w:rsidRPr="002B283E">
        <w:t>588</w:t>
      </w:r>
      <w:r w:rsidRPr="002B283E">
        <w:rPr>
          <w:spacing w:val="-4"/>
        </w:rPr>
        <w:t xml:space="preserve"> </w:t>
      </w:r>
      <w:r w:rsidRPr="002B283E">
        <w:t>U.S.</w:t>
      </w:r>
      <w:r w:rsidRPr="002B283E">
        <w:rPr>
          <w:spacing w:val="-4"/>
        </w:rPr>
        <w:t xml:space="preserve"> </w:t>
      </w:r>
      <w:r w:rsidRPr="002B283E">
        <w:t>358,</w:t>
      </w:r>
      <w:r w:rsidRPr="002B283E">
        <w:rPr>
          <w:spacing w:val="-4"/>
        </w:rPr>
        <w:t xml:space="preserve"> </w:t>
      </w:r>
      <w:r w:rsidRPr="002B283E">
        <w:t>376</w:t>
      </w:r>
      <w:r w:rsidRPr="002B283E">
        <w:rPr>
          <w:spacing w:val="-4"/>
        </w:rPr>
        <w:t xml:space="preserve"> </w:t>
      </w:r>
      <w:r w:rsidRPr="002B283E">
        <w:t>(2019),</w:t>
      </w:r>
      <w:r w:rsidRPr="002B283E">
        <w:rPr>
          <w:spacing w:val="-4"/>
        </w:rPr>
        <w:t xml:space="preserve"> </w:t>
      </w:r>
      <w:r w:rsidRPr="002B283E">
        <w:rPr>
          <w:i/>
        </w:rPr>
        <w:t>rev’g</w:t>
      </w:r>
      <w:r w:rsidRPr="002B283E">
        <w:rPr>
          <w:i/>
          <w:spacing w:val="-4"/>
        </w:rPr>
        <w:t xml:space="preserve"> </w:t>
      </w:r>
      <w:r w:rsidRPr="002B283E">
        <w:rPr>
          <w:i/>
        </w:rPr>
        <w:t>Batteron</w:t>
      </w:r>
      <w:r w:rsidRPr="002B283E">
        <w:rPr>
          <w:i/>
          <w:spacing w:val="-2"/>
        </w:rPr>
        <w:t xml:space="preserve"> </w:t>
      </w:r>
      <w:r w:rsidRPr="002B283E">
        <w:rPr>
          <w:i/>
        </w:rPr>
        <w:t>v. Dutra</w:t>
      </w:r>
      <w:r w:rsidRPr="002B283E">
        <w:rPr>
          <w:i/>
          <w:spacing w:val="-1"/>
        </w:rPr>
        <w:t xml:space="preserve"> </w:t>
      </w:r>
      <w:r w:rsidRPr="002B283E">
        <w:rPr>
          <w:i/>
        </w:rPr>
        <w:t>Grp.</w:t>
      </w:r>
      <w:r w:rsidRPr="002B283E">
        <w:t>,</w:t>
      </w:r>
      <w:r w:rsidRPr="002B283E">
        <w:rPr>
          <w:spacing w:val="-1"/>
        </w:rPr>
        <w:t xml:space="preserve"> </w:t>
      </w:r>
      <w:r w:rsidRPr="002B283E">
        <w:t>880</w:t>
      </w:r>
      <w:r w:rsidRPr="002B283E">
        <w:rPr>
          <w:spacing w:val="-1"/>
        </w:rPr>
        <w:t xml:space="preserve"> </w:t>
      </w:r>
      <w:r w:rsidRPr="002B283E">
        <w:t>F.3d</w:t>
      </w:r>
      <w:r w:rsidRPr="002B283E">
        <w:rPr>
          <w:spacing w:val="-1"/>
        </w:rPr>
        <w:t xml:space="preserve"> </w:t>
      </w:r>
      <w:r w:rsidRPr="002B283E">
        <w:t>1089</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2018).</w:t>
      </w:r>
      <w:r w:rsidRPr="002B283E">
        <w:rPr>
          <w:spacing w:val="40"/>
        </w:rPr>
        <w:t xml:space="preserve"> </w:t>
      </w:r>
      <w:r w:rsidRPr="002B283E">
        <w:t>Nor</w:t>
      </w:r>
      <w:r w:rsidRPr="002B283E">
        <w:rPr>
          <w:spacing w:val="-2"/>
        </w:rPr>
        <w:t xml:space="preserve"> </w:t>
      </w:r>
      <w:r w:rsidRPr="002B283E">
        <w:t>are</w:t>
      </w:r>
      <w:r w:rsidRPr="002B283E">
        <w:rPr>
          <w:spacing w:val="-2"/>
        </w:rPr>
        <w:t xml:space="preserve"> </w:t>
      </w:r>
      <w:r w:rsidRPr="002B283E">
        <w:t>punitive</w:t>
      </w:r>
      <w:r w:rsidRPr="002B283E">
        <w:rPr>
          <w:spacing w:val="-2"/>
        </w:rPr>
        <w:t xml:space="preserve"> </w:t>
      </w:r>
      <w:r w:rsidRPr="002B283E">
        <w:t>damages</w:t>
      </w:r>
      <w:r w:rsidRPr="002B283E">
        <w:rPr>
          <w:spacing w:val="-1"/>
        </w:rPr>
        <w:t xml:space="preserve"> </w:t>
      </w:r>
      <w:r w:rsidRPr="002B283E">
        <w:t>available</w:t>
      </w:r>
      <w:r w:rsidRPr="002B283E">
        <w:rPr>
          <w:spacing w:val="-2"/>
        </w:rPr>
        <w:t xml:space="preserve"> </w:t>
      </w:r>
      <w:r w:rsidRPr="002B283E">
        <w:t>for</w:t>
      </w:r>
      <w:r w:rsidRPr="002B283E">
        <w:rPr>
          <w:spacing w:val="-2"/>
        </w:rPr>
        <w:t xml:space="preserve"> </w:t>
      </w:r>
      <w:r w:rsidRPr="002B283E">
        <w:t>Jones Act claims.</w:t>
      </w:r>
      <w:r w:rsidRPr="002B283E">
        <w:rPr>
          <w:spacing w:val="40"/>
        </w:rPr>
        <w:t xml:space="preserve"> </w:t>
      </w:r>
      <w:r w:rsidRPr="002B283E">
        <w:rPr>
          <w:i/>
        </w:rPr>
        <w:t>Evich v. Morris</w:t>
      </w:r>
      <w:r w:rsidRPr="002B283E">
        <w:t xml:space="preserve">, 819 F.2d 256, 258 (9th Cir. 1987), </w:t>
      </w:r>
      <w:r w:rsidRPr="002B283E">
        <w:rPr>
          <w:i/>
        </w:rPr>
        <w:t>abrogated by Dutra Grp.</w:t>
      </w:r>
      <w:r w:rsidRPr="002B283E">
        <w:t>, 588 U.S.</w:t>
      </w:r>
      <w:r w:rsidRPr="002B283E">
        <w:rPr>
          <w:spacing w:val="-4"/>
        </w:rPr>
        <w:t xml:space="preserve"> </w:t>
      </w:r>
      <w:r w:rsidRPr="002B283E">
        <w:t>358</w:t>
      </w:r>
      <w:r w:rsidRPr="002B283E">
        <w:rPr>
          <w:spacing w:val="-1"/>
        </w:rPr>
        <w:t xml:space="preserve"> </w:t>
      </w:r>
      <w:r w:rsidRPr="002B283E">
        <w:t>(citing</w:t>
      </w:r>
      <w:r w:rsidRPr="002B283E">
        <w:rPr>
          <w:spacing w:val="-1"/>
        </w:rPr>
        <w:t xml:space="preserve"> </w:t>
      </w:r>
      <w:r w:rsidRPr="002B283E">
        <w:rPr>
          <w:i/>
        </w:rPr>
        <w:t>Kopczynski</w:t>
      </w:r>
      <w:r w:rsidRPr="002B283E">
        <w:rPr>
          <w:i/>
          <w:spacing w:val="-1"/>
        </w:rPr>
        <w:t xml:space="preserve"> </w:t>
      </w:r>
      <w:r w:rsidRPr="002B283E">
        <w:rPr>
          <w:i/>
        </w:rPr>
        <w:t>v.</w:t>
      </w:r>
      <w:r w:rsidRPr="002B283E">
        <w:rPr>
          <w:i/>
          <w:spacing w:val="-1"/>
        </w:rPr>
        <w:t xml:space="preserve"> </w:t>
      </w:r>
      <w:r w:rsidRPr="002B283E">
        <w:rPr>
          <w:i/>
        </w:rPr>
        <w:t>The</w:t>
      </w:r>
      <w:r w:rsidRPr="002B283E">
        <w:rPr>
          <w:i/>
          <w:spacing w:val="-2"/>
        </w:rPr>
        <w:t xml:space="preserve"> </w:t>
      </w:r>
      <w:r w:rsidRPr="002B283E">
        <w:rPr>
          <w:i/>
        </w:rPr>
        <w:t>Jacqueline</w:t>
      </w:r>
      <w:r w:rsidRPr="002B283E">
        <w:t>,</w:t>
      </w:r>
      <w:r w:rsidRPr="002B283E">
        <w:rPr>
          <w:spacing w:val="-1"/>
        </w:rPr>
        <w:t xml:space="preserve"> </w:t>
      </w:r>
      <w:r w:rsidRPr="002B283E">
        <w:t>753</w:t>
      </w:r>
      <w:r w:rsidRPr="002B283E">
        <w:rPr>
          <w:spacing w:val="-1"/>
        </w:rPr>
        <w:t xml:space="preserve"> </w:t>
      </w:r>
      <w:r w:rsidRPr="002B283E">
        <w:t>F.2d</w:t>
      </w:r>
      <w:r w:rsidRPr="002B283E">
        <w:rPr>
          <w:spacing w:val="-1"/>
        </w:rPr>
        <w:t xml:space="preserve"> </w:t>
      </w:r>
      <w:r w:rsidRPr="002B283E">
        <w:t>555,</w:t>
      </w:r>
      <w:r w:rsidRPr="002B283E">
        <w:rPr>
          <w:spacing w:val="-1"/>
        </w:rPr>
        <w:t xml:space="preserve"> </w:t>
      </w:r>
      <w:r w:rsidRPr="002B283E">
        <w:t>560-61</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rPr>
          <w:spacing w:val="-2"/>
        </w:rPr>
        <w:t>1984)).</w:t>
      </w:r>
    </w:p>
    <w:p w14:paraId="14643C07" w14:textId="77777777" w:rsidR="00293F6D" w:rsidRPr="002B283E" w:rsidRDefault="00293F6D" w:rsidP="002B283E">
      <w:pPr>
        <w:pStyle w:val="BodyText"/>
      </w:pPr>
    </w:p>
    <w:p w14:paraId="645F82CD" w14:textId="77777777" w:rsidR="00293F6D" w:rsidRPr="002B283E" w:rsidRDefault="00293F6D" w:rsidP="002B283E">
      <w:pPr>
        <w:pStyle w:val="BodyText"/>
      </w:pPr>
    </w:p>
    <w:p w14:paraId="4BE6AEEF" w14:textId="4997C747" w:rsidR="006A4CD7" w:rsidRPr="002B283E" w:rsidRDefault="00293F6D" w:rsidP="002B283E">
      <w:pPr>
        <w:ind w:right="119"/>
        <w:jc w:val="right"/>
        <w:rPr>
          <w:rFonts w:cs="Times New Roman"/>
          <w:i/>
          <w:szCs w:val="24"/>
        </w:rPr>
      </w:pPr>
      <w:r w:rsidRPr="002B283E">
        <w:rPr>
          <w:rFonts w:cs="Times New Roman"/>
          <w:i/>
          <w:szCs w:val="24"/>
        </w:rPr>
        <w:t>Revised March 2025</w:t>
      </w:r>
    </w:p>
    <w:p w14:paraId="6BD1D56C" w14:textId="4E016C2E" w:rsidR="006A4CD7" w:rsidRPr="002B283E" w:rsidRDefault="006A4CD7" w:rsidP="002B283E">
      <w:pPr>
        <w:pStyle w:val="Heading2"/>
      </w:pPr>
      <w:r w:rsidRPr="002B283E">
        <w:br w:type="page"/>
      </w:r>
      <w:bookmarkStart w:id="117" w:name="_Toc221525157"/>
      <w:r w:rsidRPr="002B283E">
        <w:lastRenderedPageBreak/>
        <w:t>7.9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—P</w:t>
      </w:r>
      <w:r w:rsidR="004272A6" w:rsidRPr="002B283E">
        <w:t>laintiff</w:t>
      </w:r>
      <w:r w:rsidRPr="002B283E">
        <w:t>’</w:t>
      </w:r>
      <w:r w:rsidR="004272A6" w:rsidRPr="002B283E">
        <w:t>s</w:t>
      </w:r>
      <w:r w:rsidRPr="002B283E">
        <w:t xml:space="preserve"> N</w:t>
      </w:r>
      <w:r w:rsidR="004272A6" w:rsidRPr="002B283E">
        <w:t>egligence</w:t>
      </w:r>
      <w:r w:rsidRPr="002B283E">
        <w:t>—R</w:t>
      </w:r>
      <w:r w:rsidR="004272A6" w:rsidRPr="002B283E">
        <w:t>eduction</w:t>
      </w:r>
      <w:r w:rsidRPr="002B283E">
        <w:t xml:space="preserve"> </w:t>
      </w:r>
      <w:r w:rsidR="004272A6" w:rsidRPr="002B283E">
        <w:t>of</w:t>
      </w:r>
      <w:r w:rsidRPr="002B283E">
        <w:t xml:space="preserve"> D</w:t>
      </w:r>
      <w:r w:rsidR="004272A6" w:rsidRPr="002B283E">
        <w:t>amages</w:t>
      </w:r>
      <w:bookmarkEnd w:id="117"/>
    </w:p>
    <w:p w14:paraId="6BF57ED4" w14:textId="77777777" w:rsidR="006A4CD7" w:rsidRPr="002B283E" w:rsidRDefault="006A4CD7" w:rsidP="002B283E">
      <w:pPr>
        <w:autoSpaceDE w:val="0"/>
        <w:autoSpaceDN w:val="0"/>
        <w:adjustRightInd w:val="0"/>
        <w:rPr>
          <w:rFonts w:cs="Times New Roman"/>
          <w:szCs w:val="24"/>
        </w:rPr>
      </w:pPr>
    </w:p>
    <w:p w14:paraId="62ECBC2F" w14:textId="30A767B0" w:rsidR="00370F7C" w:rsidRPr="002B283E" w:rsidRDefault="00370F7C" w:rsidP="002B283E">
      <w:pPr>
        <w:pStyle w:val="BodyText"/>
        <w:ind w:right="113" w:firstLine="720"/>
      </w:pPr>
      <w:r w:rsidRPr="002B283E">
        <w:t>If</w:t>
      </w:r>
      <w:r w:rsidRPr="002B283E">
        <w:rPr>
          <w:spacing w:val="-4"/>
        </w:rPr>
        <w:t xml:space="preserve"> </w:t>
      </w:r>
      <w:r w:rsidRPr="002B283E">
        <w:t>you</w:t>
      </w:r>
      <w:r w:rsidRPr="002B283E">
        <w:rPr>
          <w:spacing w:val="-3"/>
        </w:rPr>
        <w:t xml:space="preserve"> </w:t>
      </w:r>
      <w:r w:rsidRPr="002B283E">
        <w:t>decide</w:t>
      </w:r>
      <w:r w:rsidRPr="002B283E">
        <w:rPr>
          <w:spacing w:val="-4"/>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8A04C2">
        <w:rPr>
          <w:i/>
          <w:iCs/>
          <w:spacing w:val="-4"/>
          <w:u w:val="single"/>
        </w:rPr>
        <w:t>name</w:t>
      </w:r>
      <w:r w:rsidR="00E763E7">
        <w:rPr>
          <w:spacing w:val="-4"/>
        </w:rPr>
        <w:t xml:space="preserve">] </w:t>
      </w:r>
      <w:r w:rsidRPr="002B283E">
        <w:t>has</w:t>
      </w:r>
      <w:r w:rsidRPr="002B283E">
        <w:rPr>
          <w:spacing w:val="-3"/>
        </w:rPr>
        <w:t xml:space="preserve"> </w:t>
      </w:r>
      <w:r w:rsidRPr="002B283E">
        <w:t>established</w:t>
      </w:r>
      <w:r w:rsidRPr="002B283E">
        <w:rPr>
          <w:spacing w:val="-3"/>
        </w:rPr>
        <w:t xml:space="preserve"> </w:t>
      </w:r>
      <w:r w:rsidRPr="002B283E">
        <w:t>by</w:t>
      </w:r>
      <w:r w:rsidRPr="002B283E">
        <w:rPr>
          <w:spacing w:val="-3"/>
        </w:rPr>
        <w:t xml:space="preserve"> </w:t>
      </w:r>
      <w:r w:rsidRPr="002B283E">
        <w:t>a</w:t>
      </w:r>
      <w:r w:rsidRPr="002B283E">
        <w:rPr>
          <w:spacing w:val="-2"/>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evidence</w:t>
      </w:r>
      <w:r w:rsidRPr="002B283E">
        <w:rPr>
          <w:spacing w:val="-4"/>
        </w:rPr>
        <w:t xml:space="preserve"> </w:t>
      </w:r>
      <w:r w:rsidRPr="002B283E">
        <w:t>that</w:t>
      </w:r>
      <w:r w:rsidRPr="002B283E">
        <w:rPr>
          <w:spacing w:val="-3"/>
        </w:rPr>
        <w:t xml:space="preserve"> </w:t>
      </w:r>
      <w:r w:rsidRPr="002B283E">
        <w:t xml:space="preserve">the plaintiff </w:t>
      </w:r>
      <w:r w:rsidR="00E763E7">
        <w:rPr>
          <w:spacing w:val="-4"/>
        </w:rPr>
        <w:t>[</w:t>
      </w:r>
      <w:r w:rsidR="00E763E7" w:rsidRPr="009E2B37">
        <w:rPr>
          <w:i/>
          <w:iCs/>
          <w:spacing w:val="-4"/>
          <w:u w:val="single"/>
        </w:rPr>
        <w:t>name</w:t>
      </w:r>
      <w:r w:rsidR="00E763E7">
        <w:rPr>
          <w:spacing w:val="-4"/>
        </w:rPr>
        <w:t xml:space="preserve">] </w:t>
      </w:r>
      <w:r w:rsidRPr="002B283E">
        <w:t>is entitled to recover under [the Jones</w:t>
      </w:r>
      <w:r w:rsidRPr="002B283E">
        <w:rPr>
          <w:spacing w:val="-3"/>
        </w:rPr>
        <w:t xml:space="preserve"> </w:t>
      </w:r>
      <w:r w:rsidRPr="002B283E">
        <w:t xml:space="preserve">Act negligence claim] </w:t>
      </w:r>
      <w:r w:rsidR="00E763E7">
        <w:t>[</w:t>
      </w:r>
      <w:r w:rsidRPr="002B283E">
        <w:t>[and</w:t>
      </w:r>
      <w:r w:rsidR="00E763E7">
        <w:t>] [</w:t>
      </w:r>
      <w:r w:rsidRPr="002B283E">
        <w:t>or]</w:t>
      </w:r>
      <w:r w:rsidR="00E763E7">
        <w:t>]</w:t>
      </w:r>
      <w:r w:rsidRPr="002B283E">
        <w:t xml:space="preserve"> [the</w:t>
      </w:r>
      <w:r w:rsidR="00E763E7">
        <w:t xml:space="preserve"> </w:t>
      </w:r>
      <w:r w:rsidRPr="002B283E">
        <w:t>unseaworthiness claim], then you must determine whether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own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 xml:space="preserve">has the burden of proving by a preponderance of the evidence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also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p>
    <w:p w14:paraId="2EFC3C27" w14:textId="77777777" w:rsidR="00370F7C" w:rsidRPr="002B283E" w:rsidRDefault="00370F7C" w:rsidP="002B283E">
      <w:pPr>
        <w:pStyle w:val="BodyText"/>
      </w:pPr>
    </w:p>
    <w:p w14:paraId="1D9C7F48" w14:textId="21419B7D" w:rsidR="00370F7C" w:rsidRPr="002B283E" w:rsidRDefault="00370F7C" w:rsidP="002B283E">
      <w:pPr>
        <w:pStyle w:val="BodyText"/>
        <w:ind w:right="143" w:firstLine="720"/>
      </w:pP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9E2B37">
        <w:rPr>
          <w:i/>
          <w:iCs/>
          <w:spacing w:val="-4"/>
          <w:u w:val="single"/>
        </w:rPr>
        <w:t>name</w:t>
      </w:r>
      <w:r w:rsidR="00E763E7">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use</w:t>
      </w:r>
      <w:r w:rsidRPr="002B283E">
        <w:rPr>
          <w:spacing w:val="-4"/>
        </w:rPr>
        <w:t xml:space="preserve"> </w:t>
      </w:r>
      <w:r w:rsidRPr="002B283E">
        <w:t>the</w:t>
      </w:r>
      <w:r w:rsidRPr="002B283E">
        <w:rPr>
          <w:spacing w:val="-4"/>
        </w:rPr>
        <w:t xml:space="preserve"> </w:t>
      </w:r>
      <w:r w:rsidRPr="002B283E">
        <w:t>care</w:t>
      </w:r>
      <w:r w:rsidRPr="002B283E">
        <w:rPr>
          <w:spacing w:val="-4"/>
        </w:rPr>
        <w:t xml:space="preserve"> </w:t>
      </w:r>
      <w:r w:rsidRPr="002B283E">
        <w:t>that</w:t>
      </w:r>
      <w:r w:rsidRPr="002B283E">
        <w:rPr>
          <w:spacing w:val="-3"/>
        </w:rPr>
        <w:t xml:space="preserve"> </w:t>
      </w:r>
      <w:r w:rsidRPr="002B283E">
        <w:t>a</w:t>
      </w:r>
      <w:r w:rsidRPr="002B283E">
        <w:rPr>
          <w:spacing w:val="-2"/>
        </w:rPr>
        <w:t xml:space="preserve"> </w:t>
      </w:r>
      <w:r w:rsidRPr="002B283E">
        <w:t>reasonably</w:t>
      </w:r>
      <w:r w:rsidRPr="002B283E">
        <w:rPr>
          <w:spacing w:val="-3"/>
        </w:rPr>
        <w:t xml:space="preserve"> </w:t>
      </w:r>
      <w:r w:rsidRPr="002B283E">
        <w:t>prudent</w:t>
      </w:r>
      <w:r w:rsidRPr="002B283E">
        <w:rPr>
          <w:spacing w:val="-3"/>
        </w:rPr>
        <w:t xml:space="preserve"> </w:t>
      </w:r>
      <w:r w:rsidRPr="002B283E">
        <w:t>person</w:t>
      </w:r>
      <w:r w:rsidRPr="002B283E">
        <w:rPr>
          <w:spacing w:val="-1"/>
        </w:rPr>
        <w:t xml:space="preserve"> </w:t>
      </w:r>
      <w:r w:rsidRPr="002B283E">
        <w:t>would</w:t>
      </w:r>
      <w:r w:rsidRPr="002B283E">
        <w:rPr>
          <w:spacing w:val="-3"/>
        </w:rPr>
        <w:t xml:space="preserve"> </w:t>
      </w:r>
      <w:r w:rsidRPr="002B283E">
        <w:t>use</w:t>
      </w:r>
      <w:r w:rsidRPr="002B283E">
        <w:rPr>
          <w:spacing w:val="-4"/>
        </w:rPr>
        <w:t xml:space="preserve"> </w:t>
      </w:r>
      <w:r w:rsidRPr="002B283E">
        <w:t>under similar circumstances.</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must prove by a preponderance of the evidence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failure to use such care contributed in some way to bringing about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 xml:space="preserve">’s </w:t>
      </w:r>
      <w:r w:rsidRPr="002B283E">
        <w:rPr>
          <w:spacing w:val="-2"/>
        </w:rPr>
        <w:t>injury.</w:t>
      </w:r>
    </w:p>
    <w:p w14:paraId="17CBC234" w14:textId="77777777" w:rsidR="00370F7C" w:rsidRPr="002B283E" w:rsidRDefault="00370F7C" w:rsidP="002B283E">
      <w:pPr>
        <w:pStyle w:val="BodyText"/>
      </w:pPr>
    </w:p>
    <w:p w14:paraId="7EE5FE95" w14:textId="52638DAD" w:rsidR="00370F7C" w:rsidRPr="002B283E" w:rsidRDefault="00370F7C" w:rsidP="002B283E">
      <w:pPr>
        <w:pStyle w:val="BodyText"/>
        <w:ind w:right="113" w:firstLine="720"/>
      </w:pPr>
      <w:r w:rsidRPr="002B283E">
        <w:t xml:space="preserve">If you decide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you must then decide to what extent the injury was caused by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w:t>
      </w:r>
      <w:r w:rsidRPr="002B283E">
        <w:rPr>
          <w:spacing w:val="-3"/>
        </w:rPr>
        <w:t xml:space="preserve"> </w:t>
      </w:r>
      <w:r w:rsidRPr="002B283E">
        <w:t>negligence.</w:t>
      </w:r>
      <w:r w:rsidR="00E763E7">
        <w:rPr>
          <w:spacing w:val="40"/>
        </w:rPr>
        <w:t xml:space="preserve"> </w:t>
      </w:r>
      <w:r w:rsidRPr="002B283E">
        <w:t>This</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fixed</w:t>
      </w:r>
      <w:r w:rsidRPr="002B283E">
        <w:rPr>
          <w:spacing w:val="-3"/>
        </w:rPr>
        <w:t xml:space="preserve"> </w:t>
      </w:r>
      <w:r w:rsidRPr="002B283E">
        <w:t>as</w:t>
      </w:r>
      <w:r w:rsidRPr="002B283E">
        <w:rPr>
          <w:spacing w:val="-3"/>
        </w:rPr>
        <w:t xml:space="preserve"> </w:t>
      </w:r>
      <w:r w:rsidRPr="002B283E">
        <w:t>a</w:t>
      </w:r>
      <w:r w:rsidRPr="002B283E">
        <w:rPr>
          <w:spacing w:val="-4"/>
        </w:rPr>
        <w:t xml:space="preserve"> </w:t>
      </w:r>
      <w:r w:rsidRPr="002B283E">
        <w:t>percentage—for</w:t>
      </w:r>
      <w:r w:rsidRPr="002B283E">
        <w:rPr>
          <w:spacing w:val="-4"/>
        </w:rPr>
        <w:t xml:space="preserve"> </w:t>
      </w:r>
      <w:r w:rsidRPr="002B283E">
        <w:t>example,</w:t>
      </w:r>
      <w:r w:rsidRPr="002B283E">
        <w:rPr>
          <w:spacing w:val="-1"/>
        </w:rPr>
        <w:t xml:space="preserve"> </w:t>
      </w:r>
      <w:r w:rsidRPr="002B283E">
        <w:t>10%,</w:t>
      </w:r>
      <w:r w:rsidRPr="002B283E">
        <w:rPr>
          <w:spacing w:val="-3"/>
        </w:rPr>
        <w:t xml:space="preserve"> </w:t>
      </w:r>
      <w:r w:rsidRPr="002B283E">
        <w:t>50%,</w:t>
      </w:r>
      <w:r w:rsidRPr="002B283E">
        <w:rPr>
          <w:spacing w:val="-3"/>
        </w:rPr>
        <w:t xml:space="preserve"> </w:t>
      </w:r>
      <w:r w:rsidRPr="002B283E">
        <w:t>90%.</w:t>
      </w:r>
      <w:r w:rsidRPr="002B283E">
        <w:rPr>
          <w:spacing w:val="40"/>
        </w:rPr>
        <w:t xml:space="preserve"> </w:t>
      </w:r>
      <w:r w:rsidRPr="002B283E">
        <w:t>The percentage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if any, is for you to decide.</w:t>
      </w:r>
      <w:r w:rsidR="00E763E7">
        <w:rPr>
          <w:spacing w:val="40"/>
        </w:rPr>
        <w:t xml:space="preserve"> </w:t>
      </w:r>
      <w:r w:rsidRPr="002B283E">
        <w:t>You must then write that percentage on the appropriate place on the verdict form.</w:t>
      </w:r>
      <w:r w:rsidRPr="002B283E">
        <w:rPr>
          <w:spacing w:val="40"/>
        </w:rPr>
        <w:t xml:space="preserve"> </w:t>
      </w:r>
      <w:r w:rsidRPr="002B283E">
        <w:t>Do not make any reduction in the amount of damages that you award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r w:rsidRPr="002B283E">
        <w:rPr>
          <w:spacing w:val="40"/>
        </w:rPr>
        <w:t xml:space="preserve"> </w:t>
      </w:r>
      <w:r w:rsidRPr="002B283E">
        <w:t>I will reduce the damages that you award by the percentage of negligence that you assign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p>
    <w:p w14:paraId="58649516" w14:textId="77777777" w:rsidR="00370F7C" w:rsidRPr="002B283E" w:rsidRDefault="00370F7C" w:rsidP="002B283E">
      <w:pPr>
        <w:pStyle w:val="BodyText"/>
      </w:pPr>
    </w:p>
    <w:p w14:paraId="25B849AE" w14:textId="77777777" w:rsidR="00370F7C" w:rsidRPr="002B283E" w:rsidRDefault="00370F7C" w:rsidP="002B283E">
      <w:pPr>
        <w:jc w:val="center"/>
        <w:rPr>
          <w:rFonts w:cs="Times New Roman"/>
          <w:b/>
          <w:bCs/>
          <w:szCs w:val="24"/>
        </w:rPr>
      </w:pPr>
      <w:r w:rsidRPr="002B283E">
        <w:rPr>
          <w:rFonts w:cs="Times New Roman"/>
          <w:b/>
          <w:bCs/>
          <w:szCs w:val="24"/>
        </w:rPr>
        <w:t>Comment</w:t>
      </w:r>
    </w:p>
    <w:p w14:paraId="29EF6623" w14:textId="77777777" w:rsidR="00370F7C" w:rsidRPr="002B283E" w:rsidRDefault="00370F7C" w:rsidP="002B283E">
      <w:pPr>
        <w:pStyle w:val="BodyText"/>
        <w:rPr>
          <w:b/>
        </w:rPr>
      </w:pPr>
    </w:p>
    <w:p w14:paraId="602E22F5" w14:textId="77777777" w:rsidR="00370F7C" w:rsidRPr="002B283E" w:rsidRDefault="00370F7C" w:rsidP="002B283E">
      <w:pPr>
        <w:pStyle w:val="BodyText"/>
        <w:ind w:right="113" w:firstLine="720"/>
      </w:pPr>
      <w:r w:rsidRPr="002B283E">
        <w:rPr>
          <w:i/>
        </w:rPr>
        <w:t xml:space="preserve">See </w:t>
      </w:r>
      <w:r w:rsidRPr="002B283E">
        <w:t>46 U.S.C. § 30104 (extending common-law rights or remedies in cases of personal injury</w:t>
      </w:r>
      <w:r w:rsidRPr="002B283E">
        <w:rPr>
          <w:spacing w:val="-3"/>
        </w:rPr>
        <w:t xml:space="preserve"> </w:t>
      </w:r>
      <w:r w:rsidRPr="002B283E">
        <w:t>to</w:t>
      </w:r>
      <w:r w:rsidRPr="002B283E">
        <w:rPr>
          <w:spacing w:val="-3"/>
        </w:rPr>
        <w:t xml:space="preserve"> </w:t>
      </w:r>
      <w:r w:rsidRPr="002B283E">
        <w:t>railway</w:t>
      </w:r>
      <w:r w:rsidRPr="002B283E">
        <w:rPr>
          <w:spacing w:val="-3"/>
        </w:rPr>
        <w:t xml:space="preserve"> </w:t>
      </w:r>
      <w:r w:rsidRPr="002B283E">
        <w:t>employees</w:t>
      </w:r>
      <w:r w:rsidRPr="002B283E">
        <w:rPr>
          <w:spacing w:val="-3"/>
        </w:rPr>
        <w:t xml:space="preserve"> </w:t>
      </w:r>
      <w:r w:rsidRPr="002B283E">
        <w:t>to</w:t>
      </w:r>
      <w:r w:rsidRPr="002B283E">
        <w:rPr>
          <w:spacing w:val="-3"/>
        </w:rPr>
        <w:t xml:space="preserve"> </w:t>
      </w:r>
      <w:r w:rsidRPr="002B283E">
        <w:t>seaman</w:t>
      </w:r>
      <w:r w:rsidRPr="002B283E">
        <w:rPr>
          <w:spacing w:val="-3"/>
        </w:rPr>
        <w:t xml:space="preserve"> </w:t>
      </w:r>
      <w:r w:rsidRPr="002B283E">
        <w:t>injured</w:t>
      </w:r>
      <w:r w:rsidRPr="002B283E">
        <w:rPr>
          <w:spacing w:val="-3"/>
        </w:rPr>
        <w:t xml:space="preserve"> </w:t>
      </w:r>
      <w:r w:rsidRPr="002B283E">
        <w:t>in</w:t>
      </w:r>
      <w:r w:rsidRPr="002B283E">
        <w:rPr>
          <w:spacing w:val="-3"/>
        </w:rPr>
        <w:t xml:space="preserve"> </w:t>
      </w:r>
      <w:r w:rsidRPr="002B283E">
        <w:t>course</w:t>
      </w:r>
      <w:r w:rsidRPr="002B283E">
        <w:rPr>
          <w:spacing w:val="-4"/>
        </w:rPr>
        <w:t xml:space="preserve"> </w:t>
      </w:r>
      <w:r w:rsidRPr="002B283E">
        <w:t>of</w:t>
      </w:r>
      <w:r w:rsidRPr="002B283E">
        <w:rPr>
          <w:spacing w:val="-2"/>
        </w:rPr>
        <w:t xml:space="preserve"> </w:t>
      </w:r>
      <w:r w:rsidRPr="002B283E">
        <w:t>employment);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 xml:space="preserve">(stating that contributory negligence will not bar railroad employee from suing employer for tort </w:t>
      </w:r>
      <w:r w:rsidRPr="002B283E">
        <w:rPr>
          <w:spacing w:val="-2"/>
        </w:rPr>
        <w:t>damages).</w:t>
      </w:r>
    </w:p>
    <w:p w14:paraId="64FFED77" w14:textId="77777777" w:rsidR="00370F7C" w:rsidRPr="002B283E" w:rsidRDefault="00370F7C" w:rsidP="002B283E">
      <w:pPr>
        <w:pStyle w:val="BodyText"/>
      </w:pPr>
    </w:p>
    <w:p w14:paraId="4945CD9D" w14:textId="77777777" w:rsidR="00370F7C" w:rsidRPr="002B283E" w:rsidRDefault="00370F7C" w:rsidP="002B283E">
      <w:pPr>
        <w:pStyle w:val="BodyText"/>
        <w:ind w:right="113" w:firstLine="720"/>
      </w:pPr>
      <w:r w:rsidRPr="002B283E">
        <w:t>Section</w:t>
      </w:r>
      <w:r w:rsidRPr="002B283E">
        <w:rPr>
          <w:spacing w:val="-3"/>
        </w:rPr>
        <w:t xml:space="preserve"> </w:t>
      </w:r>
      <w:r w:rsidRPr="002B283E">
        <w:t>53</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Federal</w:t>
      </w:r>
      <w:r w:rsidRPr="002B283E">
        <w:rPr>
          <w:spacing w:val="-3"/>
        </w:rPr>
        <w:t xml:space="preserve"> </w:t>
      </w:r>
      <w:r w:rsidRPr="002B283E">
        <w:t>Employers’</w:t>
      </w:r>
      <w:r w:rsidRPr="002B283E">
        <w:rPr>
          <w:spacing w:val="-4"/>
        </w:rPr>
        <w:t xml:space="preserve"> </w:t>
      </w:r>
      <w:r w:rsidRPr="002B283E">
        <w:t>Liability</w:t>
      </w:r>
      <w:r w:rsidRPr="002B283E">
        <w:rPr>
          <w:spacing w:val="-3"/>
        </w:rPr>
        <w:t xml:space="preserve"> </w:t>
      </w:r>
      <w:r w:rsidRPr="002B283E">
        <w:t>Act,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which</w:t>
      </w:r>
      <w:r w:rsidRPr="002B283E">
        <w:rPr>
          <w:spacing w:val="-3"/>
        </w:rPr>
        <w:t xml:space="preserve"> </w:t>
      </w:r>
      <w:r w:rsidRPr="002B283E">
        <w:t>provides</w:t>
      </w:r>
      <w:r w:rsidRPr="002B283E">
        <w:rPr>
          <w:spacing w:val="-3"/>
        </w:rPr>
        <w:t xml:space="preserve"> </w:t>
      </w:r>
      <w:r w:rsidRPr="002B283E">
        <w:t>for</w:t>
      </w:r>
      <w:r w:rsidRPr="002B283E">
        <w:rPr>
          <w:spacing w:val="-4"/>
        </w:rPr>
        <w:t xml:space="preserve"> </w:t>
      </w:r>
      <w:r w:rsidRPr="002B283E">
        <w:t>a reduction in the plaintiff’s damages as a result of the plaintiff’s comparative negligence, is applicable to actions under both the Jones Act and general maritime law.</w:t>
      </w:r>
      <w:r w:rsidRPr="002B283E">
        <w:rPr>
          <w:spacing w:val="40"/>
        </w:rPr>
        <w:t xml:space="preserve"> </w:t>
      </w:r>
      <w:r w:rsidRPr="002B283E">
        <w:rPr>
          <w:i/>
        </w:rPr>
        <w:t xml:space="preserve">See Fuszek v. Royal King Fisheries, </w:t>
      </w:r>
      <w:r w:rsidRPr="002B283E">
        <w:t xml:space="preserve">98 F.3d 514, 516-17 (9th Cir. 1996); </w:t>
      </w:r>
      <w:r w:rsidRPr="002B283E">
        <w:rPr>
          <w:i/>
        </w:rPr>
        <w:t>Kopczynski v. The Jacqueline</w:t>
      </w:r>
      <w:r w:rsidRPr="002B283E">
        <w:t>, 742 F.2d</w:t>
      </w:r>
    </w:p>
    <w:p w14:paraId="15EDE2A5" w14:textId="77777777" w:rsidR="00370F7C" w:rsidRPr="002B283E" w:rsidRDefault="00370F7C" w:rsidP="002B283E">
      <w:pPr>
        <w:pStyle w:val="BodyText"/>
        <w:ind w:right="113"/>
      </w:pPr>
      <w:r w:rsidRPr="002B283E">
        <w:t>555,</w:t>
      </w:r>
      <w:r w:rsidRPr="002B283E">
        <w:rPr>
          <w:spacing w:val="-3"/>
        </w:rPr>
        <w:t xml:space="preserve"> </w:t>
      </w:r>
      <w:r w:rsidRPr="002B283E">
        <w:t>557-58</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1984).</w:t>
      </w:r>
      <w:r w:rsidRPr="002B283E">
        <w:rPr>
          <w:spacing w:val="40"/>
        </w:rPr>
        <w:t xml:space="preserve"> </w:t>
      </w:r>
      <w:r w:rsidRPr="002B283E">
        <w:rPr>
          <w:i/>
        </w:rPr>
        <w:t>See</w:t>
      </w:r>
      <w:r w:rsidRPr="002B283E">
        <w:rPr>
          <w:i/>
          <w:spacing w:val="-4"/>
        </w:rPr>
        <w:t xml:space="preserve"> </w:t>
      </w:r>
      <w:r w:rsidRPr="002B283E">
        <w:rPr>
          <w:i/>
        </w:rPr>
        <w:t>also</w:t>
      </w:r>
      <w:r w:rsidRPr="002B283E">
        <w:rPr>
          <w:i/>
          <w:spacing w:val="-3"/>
        </w:rPr>
        <w:t xml:space="preserve"> </w:t>
      </w:r>
      <w:r w:rsidRPr="002B283E">
        <w:rPr>
          <w:i/>
        </w:rPr>
        <w:t>Pope</w:t>
      </w:r>
      <w:r w:rsidRPr="002B283E">
        <w:rPr>
          <w:i/>
          <w:spacing w:val="-4"/>
        </w:rPr>
        <w:t xml:space="preserve"> </w:t>
      </w:r>
      <w:r w:rsidRPr="002B283E">
        <w:rPr>
          <w:i/>
        </w:rPr>
        <w:t>&amp;</w:t>
      </w:r>
      <w:r w:rsidRPr="002B283E">
        <w:rPr>
          <w:i/>
          <w:spacing w:val="-3"/>
        </w:rPr>
        <w:t xml:space="preserve"> </w:t>
      </w:r>
      <w:r w:rsidRPr="002B283E">
        <w:rPr>
          <w:i/>
        </w:rPr>
        <w:t>Talbot,</w:t>
      </w:r>
      <w:r w:rsidRPr="002B283E">
        <w:rPr>
          <w:i/>
          <w:spacing w:val="-3"/>
        </w:rPr>
        <w:t xml:space="preserve"> </w:t>
      </w:r>
      <w:r w:rsidRPr="002B283E">
        <w:rPr>
          <w:i/>
        </w:rPr>
        <w:t>Inc.</w:t>
      </w:r>
      <w:r w:rsidRPr="002B283E">
        <w:rPr>
          <w:i/>
          <w:spacing w:val="-3"/>
        </w:rPr>
        <w:t xml:space="preserve"> </w:t>
      </w:r>
      <w:r w:rsidRPr="002B283E">
        <w:rPr>
          <w:i/>
        </w:rPr>
        <w:t>v.</w:t>
      </w:r>
      <w:r w:rsidRPr="002B283E">
        <w:rPr>
          <w:i/>
          <w:spacing w:val="-3"/>
        </w:rPr>
        <w:t xml:space="preserve"> </w:t>
      </w:r>
      <w:r w:rsidRPr="002B283E">
        <w:rPr>
          <w:i/>
        </w:rPr>
        <w:t>Hawn</w:t>
      </w:r>
      <w:r w:rsidRPr="002B283E">
        <w:t>,</w:t>
      </w:r>
      <w:r w:rsidRPr="002B283E">
        <w:rPr>
          <w:spacing w:val="-3"/>
        </w:rPr>
        <w:t xml:space="preserve"> </w:t>
      </w:r>
      <w:r w:rsidRPr="002B283E">
        <w:t>346</w:t>
      </w:r>
      <w:r w:rsidRPr="002B283E">
        <w:rPr>
          <w:spacing w:val="-3"/>
        </w:rPr>
        <w:t xml:space="preserve"> </w:t>
      </w:r>
      <w:r w:rsidRPr="002B283E">
        <w:t>U.S.</w:t>
      </w:r>
      <w:r w:rsidRPr="002B283E">
        <w:rPr>
          <w:spacing w:val="-3"/>
        </w:rPr>
        <w:t xml:space="preserve"> </w:t>
      </w:r>
      <w:r w:rsidRPr="002B283E">
        <w:t>406,</w:t>
      </w:r>
      <w:r w:rsidRPr="002B283E">
        <w:rPr>
          <w:spacing w:val="-3"/>
        </w:rPr>
        <w:t xml:space="preserve"> </w:t>
      </w:r>
      <w:r w:rsidRPr="002B283E">
        <w:t>409</w:t>
      </w:r>
      <w:r w:rsidRPr="002B283E">
        <w:rPr>
          <w:spacing w:val="-3"/>
        </w:rPr>
        <w:t xml:space="preserve"> </w:t>
      </w:r>
      <w:r w:rsidRPr="002B283E">
        <w:t>(1953) (“Exercising its traditional discretion, admiralty has developed and now follows its own fairer and more flexible rule which allows such consideration of contributory negligence in mitigation of damages as justice requires.”).</w:t>
      </w:r>
    </w:p>
    <w:p w14:paraId="621C88EA" w14:textId="77777777" w:rsidR="00370F7C" w:rsidRPr="002B283E" w:rsidRDefault="00370F7C" w:rsidP="002B283E">
      <w:pPr>
        <w:pStyle w:val="BodyText"/>
      </w:pPr>
    </w:p>
    <w:p w14:paraId="6E5EE04A" w14:textId="53737E43" w:rsidR="00E763E7" w:rsidRPr="00E763E7" w:rsidRDefault="00370F7C" w:rsidP="008A04C2">
      <w:pPr>
        <w:pStyle w:val="BodyText"/>
        <w:ind w:right="109" w:firstLine="720"/>
      </w:pPr>
      <w:r w:rsidRPr="002B283E">
        <w:t>There is no controlling legal authority on the level of plaintiff’s causation required to trigger a reduction of damages for plaintiff’s negligence.</w:t>
      </w:r>
      <w:r w:rsidRPr="002B283E">
        <w:rPr>
          <w:spacing w:val="40"/>
        </w:rPr>
        <w:t xml:space="preserve"> </w:t>
      </w:r>
      <w:r w:rsidRPr="002B283E">
        <w:rPr>
          <w:i/>
        </w:rPr>
        <w:t xml:space="preserve">See </w:t>
      </w:r>
      <w:r w:rsidRPr="002B283E">
        <w:t>Instruction</w:t>
      </w:r>
      <w:r w:rsidR="0081679E">
        <w:t xml:space="preserve"> </w:t>
      </w:r>
      <w:r w:rsidRPr="002B283E">
        <w:t>7.4 (Jones</w:t>
      </w:r>
      <w:r w:rsidRPr="002B283E">
        <w:rPr>
          <w:spacing w:val="-7"/>
        </w:rPr>
        <w:t xml:space="preserve"> </w:t>
      </w:r>
      <w:r w:rsidRPr="002B283E">
        <w:t>Act Negligence</w:t>
      </w:r>
      <w:r w:rsidRPr="002B283E">
        <w:rPr>
          <w:spacing w:val="-6"/>
        </w:rPr>
        <w:t xml:space="preserve"> </w:t>
      </w:r>
      <w:r w:rsidRPr="002B283E">
        <w:t>Claim—Causation</w:t>
      </w:r>
      <w:r w:rsidRPr="002B283E">
        <w:rPr>
          <w:spacing w:val="-5"/>
        </w:rPr>
        <w:t xml:space="preserve"> </w:t>
      </w:r>
      <w:r w:rsidRPr="002B283E">
        <w:t>Defined)</w:t>
      </w:r>
      <w:r w:rsidR="0081679E">
        <w:rPr>
          <w:spacing w:val="-4"/>
        </w:rPr>
        <w:t xml:space="preserve">; </w:t>
      </w:r>
      <w:r w:rsidR="0081679E" w:rsidRPr="002B283E">
        <w:t>Instruction</w:t>
      </w:r>
      <w:r w:rsidRPr="002B283E">
        <w:rPr>
          <w:spacing w:val="-5"/>
        </w:rPr>
        <w:t xml:space="preserve"> </w:t>
      </w:r>
      <w:r w:rsidRPr="002B283E">
        <w:t>7.7</w:t>
      </w:r>
      <w:r w:rsidRPr="002B283E">
        <w:rPr>
          <w:spacing w:val="-5"/>
        </w:rPr>
        <w:t xml:space="preserve"> </w:t>
      </w:r>
      <w:r w:rsidRPr="002B283E">
        <w:t>(Unseaworthiness—Causation</w:t>
      </w:r>
      <w:r w:rsidRPr="002B283E">
        <w:rPr>
          <w:spacing w:val="-5"/>
        </w:rPr>
        <w:t xml:space="preserve"> </w:t>
      </w:r>
      <w:r w:rsidRPr="002B283E">
        <w:t>Defined).</w:t>
      </w:r>
      <w:r w:rsidRPr="002B283E">
        <w:rPr>
          <w:spacing w:val="40"/>
        </w:rPr>
        <w:t xml:space="preserve"> </w:t>
      </w:r>
      <w:r w:rsidRPr="002B283E">
        <w:t>In</w:t>
      </w:r>
      <w:r w:rsidRPr="002B283E">
        <w:rPr>
          <w:spacing w:val="-5"/>
        </w:rPr>
        <w:t xml:space="preserve"> </w:t>
      </w:r>
      <w:r w:rsidRPr="002B283E">
        <w:t>the only</w:t>
      </w:r>
      <w:r w:rsidRPr="002B283E">
        <w:rPr>
          <w:spacing w:val="-1"/>
        </w:rPr>
        <w:t xml:space="preserve"> </w:t>
      </w:r>
      <w:r w:rsidRPr="002B283E">
        <w:t>reported</w:t>
      </w:r>
      <w:r w:rsidRPr="002B283E">
        <w:rPr>
          <w:spacing w:val="-1"/>
        </w:rPr>
        <w:t xml:space="preserve"> </w:t>
      </w:r>
      <w:r w:rsidRPr="002B283E">
        <w:t>judicial</w:t>
      </w:r>
      <w:r w:rsidRPr="002B283E">
        <w:rPr>
          <w:spacing w:val="-1"/>
        </w:rPr>
        <w:t xml:space="preserve"> </w:t>
      </w:r>
      <w:r w:rsidRPr="002B283E">
        <w:t>decision</w:t>
      </w:r>
      <w:r w:rsidRPr="002B283E">
        <w:rPr>
          <w:spacing w:val="-1"/>
        </w:rPr>
        <w:t xml:space="preserve"> </w:t>
      </w:r>
      <w:r w:rsidRPr="002B283E">
        <w:t>the</w:t>
      </w:r>
      <w:r w:rsidRPr="002B283E">
        <w:rPr>
          <w:spacing w:val="-2"/>
        </w:rPr>
        <w:t xml:space="preserve"> </w:t>
      </w:r>
      <w:r w:rsidRPr="002B283E">
        <w:t>Committee</w:t>
      </w:r>
      <w:r w:rsidRPr="002B283E">
        <w:rPr>
          <w:spacing w:val="-2"/>
        </w:rPr>
        <w:t xml:space="preserve"> </w:t>
      </w:r>
      <w:r w:rsidRPr="002B283E">
        <w:t>could</w:t>
      </w:r>
      <w:r w:rsidRPr="002B283E">
        <w:rPr>
          <w:spacing w:val="-1"/>
        </w:rPr>
        <w:t xml:space="preserve"> </w:t>
      </w:r>
      <w:r w:rsidRPr="002B283E">
        <w:t>find</w:t>
      </w:r>
      <w:r w:rsidRPr="002B283E">
        <w:rPr>
          <w:spacing w:val="-1"/>
        </w:rPr>
        <w:t xml:space="preserve"> </w:t>
      </w:r>
      <w:r w:rsidRPr="002B283E">
        <w:t>that</w:t>
      </w:r>
      <w:r w:rsidRPr="002B283E">
        <w:rPr>
          <w:spacing w:val="-1"/>
        </w:rPr>
        <w:t xml:space="preserve"> </w:t>
      </w:r>
      <w:r w:rsidRPr="002B283E">
        <w:t>addressed</w:t>
      </w:r>
      <w:r w:rsidRPr="002B283E">
        <w:rPr>
          <w:spacing w:val="-1"/>
        </w:rPr>
        <w:t xml:space="preserve"> </w:t>
      </w:r>
      <w:r w:rsidRPr="002B283E">
        <w:t>the</w:t>
      </w:r>
      <w:r w:rsidRPr="002B283E">
        <w:rPr>
          <w:spacing w:val="-2"/>
        </w:rPr>
        <w:t xml:space="preserve"> </w:t>
      </w:r>
      <w:r w:rsidRPr="002B283E">
        <w:lastRenderedPageBreak/>
        <w:t>question</w:t>
      </w:r>
      <w:r w:rsidRPr="002B283E">
        <w:rPr>
          <w:spacing w:val="-1"/>
        </w:rPr>
        <w:t xml:space="preserve"> </w:t>
      </w:r>
      <w:r w:rsidRPr="002B283E">
        <w:t>directly,</w:t>
      </w:r>
      <w:r w:rsidRPr="002B283E">
        <w:rPr>
          <w:spacing w:val="-1"/>
        </w:rPr>
        <w:t xml:space="preserve"> </w:t>
      </w:r>
      <w:r w:rsidRPr="002B283E">
        <w:rPr>
          <w:i/>
        </w:rPr>
        <w:t xml:space="preserve">R. Bunting v. Sun Co., </w:t>
      </w:r>
      <w:r w:rsidRPr="002B283E">
        <w:t>434 Pa. Super. 404, 643</w:t>
      </w:r>
      <w:r w:rsidRPr="002B283E">
        <w:rPr>
          <w:spacing w:val="-10"/>
        </w:rPr>
        <w:t xml:space="preserve"> </w:t>
      </w:r>
      <w:r w:rsidRPr="002B283E">
        <w:t>A.2d 1085 (1994), a Pennsylvania state appellate court held that a reduction of damages for a plaintiff’s negligence under the Jones</w:t>
      </w:r>
      <w:r w:rsidRPr="002B283E">
        <w:rPr>
          <w:spacing w:val="-8"/>
        </w:rPr>
        <w:t xml:space="preserve"> </w:t>
      </w:r>
      <w:r w:rsidRPr="002B283E">
        <w:t>Act is permitted when the plaintiff is shown to have played any part, no matter how slight, in bringing</w:t>
      </w:r>
      <w:r w:rsidR="00E763E7">
        <w:t xml:space="preserve"> about the injury </w:t>
      </w:r>
      <w:r w:rsidR="00E763E7" w:rsidRPr="00E763E7">
        <w:t xml:space="preserve">or damage (featherweight causation). </w:t>
      </w:r>
      <w:r w:rsidR="00E763E7" w:rsidRPr="00E763E7">
        <w:rPr>
          <w:i/>
        </w:rPr>
        <w:t>See also Norfolk S. Ry. Co. v. Sorrell</w:t>
      </w:r>
      <w:r w:rsidR="00E763E7" w:rsidRPr="00E763E7">
        <w:t>, 549</w:t>
      </w:r>
      <w:r w:rsidR="00E763E7">
        <w:t xml:space="preserve"> </w:t>
      </w:r>
      <w:r w:rsidR="00E763E7" w:rsidRPr="00E763E7">
        <w:t xml:space="preserve">U.S. 158, 171 (2007) (holding that, under FELA, </w:t>
      </w:r>
      <w:r w:rsidR="003A638F">
        <w:t xml:space="preserve">the </w:t>
      </w:r>
      <w:r w:rsidR="00E763E7" w:rsidRPr="00E763E7">
        <w:t>same standard of causation applies to plaintiff’s</w:t>
      </w:r>
      <w:r w:rsidR="00E763E7">
        <w:t xml:space="preserve"> </w:t>
      </w:r>
      <w:r w:rsidR="00E763E7" w:rsidRPr="00E763E7">
        <w:t>comparative negligence as to defendant’s negligence).</w:t>
      </w:r>
    </w:p>
    <w:p w14:paraId="48CF57B1" w14:textId="77777777" w:rsidR="00E763E7" w:rsidRPr="00E763E7" w:rsidRDefault="00E763E7" w:rsidP="00E763E7">
      <w:pPr>
        <w:pStyle w:val="BodyText"/>
        <w:ind w:right="109" w:firstLine="720"/>
      </w:pPr>
    </w:p>
    <w:p w14:paraId="5563EEDA" w14:textId="77777777" w:rsidR="00E763E7" w:rsidRPr="00E763E7" w:rsidRDefault="00E763E7" w:rsidP="008A04C2">
      <w:pPr>
        <w:pStyle w:val="BodyText"/>
        <w:ind w:firstLine="720"/>
      </w:pPr>
      <w:r w:rsidRPr="00E763E7">
        <w:t xml:space="preserve">Comparative negligence is not applicable if a seaman is injured as a result of a defendant’s violation of Coast Guard regulations. </w:t>
      </w:r>
      <w:r w:rsidRPr="00E763E7">
        <w:rPr>
          <w:i/>
        </w:rPr>
        <w:t>See MacDonald v. Kahikolu Ltd.</w:t>
      </w:r>
      <w:r w:rsidRPr="00E763E7">
        <w:t xml:space="preserve">, 442 F.3d 1199, 1202 (9th Cir. 2006); </w:t>
      </w:r>
      <w:r w:rsidRPr="00E763E7">
        <w:rPr>
          <w:i/>
        </w:rPr>
        <w:t>Fuszek.</w:t>
      </w:r>
      <w:r w:rsidRPr="00E763E7">
        <w:t>, 98 F.3d at 517.</w:t>
      </w:r>
    </w:p>
    <w:p w14:paraId="75CEFAF5" w14:textId="77777777" w:rsidR="00E763E7" w:rsidRPr="00E763E7" w:rsidRDefault="00E763E7" w:rsidP="00E763E7">
      <w:pPr>
        <w:pStyle w:val="BodyText"/>
        <w:ind w:right="109" w:firstLine="720"/>
      </w:pPr>
    </w:p>
    <w:p w14:paraId="207E7A13" w14:textId="77777777" w:rsidR="00E763E7" w:rsidRPr="00E763E7" w:rsidRDefault="00E763E7" w:rsidP="008A04C2">
      <w:pPr>
        <w:pStyle w:val="BodyText"/>
        <w:ind w:firstLine="720"/>
      </w:pPr>
      <w:r w:rsidRPr="00E763E7">
        <w:t xml:space="preserve">A seaman who follows a supervisor’s urgent call to the crew for help cannot be found contributorily negligent. </w:t>
      </w:r>
      <w:r w:rsidRPr="00E763E7">
        <w:rPr>
          <w:i/>
        </w:rPr>
        <w:t>Simenoff v. Hiner</w:t>
      </w:r>
      <w:r w:rsidRPr="00E763E7">
        <w:t>, 249 F.3d 883, 890-91 (9th Cir. 2001).</w:t>
      </w:r>
    </w:p>
    <w:p w14:paraId="2F1DE220" w14:textId="77777777" w:rsidR="00E763E7" w:rsidRPr="00E763E7" w:rsidRDefault="00E763E7" w:rsidP="00E763E7">
      <w:pPr>
        <w:pStyle w:val="BodyText"/>
      </w:pPr>
    </w:p>
    <w:p w14:paraId="2878BA72" w14:textId="77777777" w:rsidR="00E763E7" w:rsidRPr="00E763E7" w:rsidRDefault="00E763E7" w:rsidP="00E763E7">
      <w:pPr>
        <w:pStyle w:val="BodyText"/>
      </w:pPr>
    </w:p>
    <w:p w14:paraId="3A957291" w14:textId="77777777" w:rsidR="00E763E7" w:rsidRPr="00E763E7" w:rsidRDefault="00E763E7" w:rsidP="008A04C2">
      <w:pPr>
        <w:pStyle w:val="BodyText"/>
        <w:ind w:right="109" w:firstLine="720"/>
        <w:jc w:val="right"/>
      </w:pPr>
      <w:r w:rsidRPr="00E763E7">
        <w:rPr>
          <w:i/>
          <w:iCs/>
        </w:rPr>
        <w:t>Revised March 2025</w:t>
      </w:r>
    </w:p>
    <w:p w14:paraId="2FA2CC19" w14:textId="77777777" w:rsidR="00455B81" w:rsidRPr="002B283E" w:rsidRDefault="00455B81" w:rsidP="002B283E">
      <w:pPr>
        <w:autoSpaceDE w:val="0"/>
        <w:autoSpaceDN w:val="0"/>
        <w:adjustRightInd w:val="0"/>
        <w:rPr>
          <w:rFonts w:cs="Times New Roman"/>
          <w:szCs w:val="24"/>
        </w:rPr>
      </w:pPr>
    </w:p>
    <w:p w14:paraId="137CB84C" w14:textId="3FE47F6D" w:rsidR="006A4CD7" w:rsidRPr="002B283E" w:rsidRDefault="006A4CD7" w:rsidP="002B283E">
      <w:pPr>
        <w:pStyle w:val="Heading2"/>
      </w:pPr>
      <w:r w:rsidRPr="002B283E">
        <w:br w:type="page"/>
      </w:r>
      <w:bookmarkStart w:id="118" w:name="_Toc221525158"/>
      <w:r w:rsidRPr="002B283E">
        <w:lastRenderedPageBreak/>
        <w:t xml:space="preserve">7.10 </w:t>
      </w:r>
      <w:r w:rsidR="004272A6" w:rsidRPr="002B283E">
        <w:t>Jones Act Negligence or Unseaworthiness</w:t>
      </w:r>
      <w:r w:rsidRPr="002B283E">
        <w:t>—P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irections</w:t>
      </w:r>
      <w:bookmarkEnd w:id="118"/>
    </w:p>
    <w:p w14:paraId="32B6ED96" w14:textId="77777777" w:rsidR="006A4CD7" w:rsidRPr="002B283E" w:rsidRDefault="006A4CD7" w:rsidP="002B283E">
      <w:pPr>
        <w:autoSpaceDE w:val="0"/>
        <w:autoSpaceDN w:val="0"/>
        <w:adjustRightInd w:val="0"/>
        <w:rPr>
          <w:rFonts w:cs="Times New Roman"/>
          <w:szCs w:val="24"/>
        </w:rPr>
      </w:pPr>
    </w:p>
    <w:p w14:paraId="2EC5734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2B283E" w:rsidRDefault="006A4CD7" w:rsidP="002B283E">
      <w:pPr>
        <w:autoSpaceDE w:val="0"/>
        <w:autoSpaceDN w:val="0"/>
        <w:adjustRightInd w:val="0"/>
        <w:rPr>
          <w:rFonts w:cs="Times New Roman"/>
          <w:szCs w:val="24"/>
        </w:rPr>
      </w:pPr>
    </w:p>
    <w:p w14:paraId="13B4D2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B0E8648" w14:textId="77777777" w:rsidR="006A4CD7" w:rsidRPr="002B283E" w:rsidRDefault="006A4CD7" w:rsidP="002B283E">
      <w:pPr>
        <w:autoSpaceDE w:val="0"/>
        <w:autoSpaceDN w:val="0"/>
        <w:adjustRightInd w:val="0"/>
        <w:rPr>
          <w:rFonts w:cs="Times New Roman"/>
          <w:szCs w:val="24"/>
        </w:rPr>
      </w:pPr>
    </w:p>
    <w:p w14:paraId="17423A3F" w14:textId="5B2F0D3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2B283E">
        <w:rPr>
          <w:rFonts w:cs="Times New Roman"/>
          <w:i/>
          <w:iCs/>
          <w:szCs w:val="24"/>
        </w:rPr>
        <w:t>Cal. Home Brands, Inc. v. Ferreira</w:t>
      </w:r>
      <w:r w:rsidRPr="002B283E">
        <w:rPr>
          <w:rFonts w:cs="Times New Roman"/>
          <w:szCs w:val="24"/>
        </w:rPr>
        <w:t>, 871 F.2d 830, 836 (9th Cir. 1989); s</w:t>
      </w:r>
      <w:r w:rsidRPr="002B283E">
        <w:rPr>
          <w:rFonts w:cs="Times New Roman"/>
          <w:i/>
          <w:iCs/>
          <w:szCs w:val="24"/>
        </w:rPr>
        <w:t>ee also N. Queen Inc. v. Kinnear</w:t>
      </w:r>
      <w:r w:rsidRPr="002B283E">
        <w:rPr>
          <w:rFonts w:cs="Times New Roman"/>
          <w:szCs w:val="24"/>
        </w:rPr>
        <w:t>, 298 F.3d 1090, 1095 (9th Cir. 2002).</w:t>
      </w:r>
    </w:p>
    <w:p w14:paraId="62C13E4E" w14:textId="77777777" w:rsidR="006A4CD7" w:rsidRPr="002B283E" w:rsidRDefault="006A4CD7" w:rsidP="002B283E">
      <w:pPr>
        <w:autoSpaceDE w:val="0"/>
        <w:autoSpaceDN w:val="0"/>
        <w:adjustRightInd w:val="0"/>
        <w:rPr>
          <w:rFonts w:cs="Times New Roman"/>
          <w:szCs w:val="24"/>
        </w:rPr>
      </w:pPr>
    </w:p>
    <w:p w14:paraId="2A8011C0" w14:textId="371A6CB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2B283E">
        <w:rPr>
          <w:rFonts w:cs="Times New Roman"/>
          <w:i/>
          <w:iCs/>
          <w:szCs w:val="24"/>
        </w:rPr>
        <w:t>See Bernard v. Maersk Lines, Ltd.</w:t>
      </w:r>
      <w:r w:rsidRPr="002B283E">
        <w:rPr>
          <w:rFonts w:cs="Times New Roman"/>
          <w:szCs w:val="24"/>
        </w:rPr>
        <w:t>, 22 F.3d 903, 907 (9th Cir. 1994).</w:t>
      </w:r>
    </w:p>
    <w:p w14:paraId="0E35BD4F" w14:textId="77777777" w:rsidR="006A4CD7" w:rsidRPr="002B283E" w:rsidRDefault="006A4CD7" w:rsidP="002B283E">
      <w:pPr>
        <w:autoSpaceDE w:val="0"/>
        <w:autoSpaceDN w:val="0"/>
        <w:adjustRightInd w:val="0"/>
        <w:rPr>
          <w:rFonts w:cs="Times New Roman"/>
          <w:szCs w:val="24"/>
        </w:rPr>
      </w:pPr>
    </w:p>
    <w:p w14:paraId="3EAC28E9" w14:textId="0BC986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seaman who follows a supervisor’s urgent call to the crew for help cannot be found contributorily negligent. </w:t>
      </w:r>
      <w:r w:rsidRPr="002B283E">
        <w:rPr>
          <w:rFonts w:cs="Times New Roman"/>
          <w:i/>
          <w:iCs/>
          <w:szCs w:val="24"/>
        </w:rPr>
        <w:t>Simenoff v. Hiner</w:t>
      </w:r>
      <w:r w:rsidRPr="002B283E">
        <w:rPr>
          <w:rFonts w:cs="Times New Roman"/>
          <w:szCs w:val="24"/>
        </w:rPr>
        <w:t>, 249 F.3d 883, 890-91 (9th Cir. 2001).</w:t>
      </w:r>
    </w:p>
    <w:p w14:paraId="6DAA48BC" w14:textId="77777777" w:rsidR="00455B81" w:rsidRPr="002B283E" w:rsidRDefault="00455B81" w:rsidP="002B283E">
      <w:pPr>
        <w:rPr>
          <w:rFonts w:cs="Times New Roman"/>
          <w:szCs w:val="24"/>
        </w:rPr>
      </w:pPr>
    </w:p>
    <w:p w14:paraId="38B54930" w14:textId="77777777" w:rsidR="00455B81" w:rsidRPr="002B283E" w:rsidRDefault="00455B81" w:rsidP="002B283E">
      <w:pPr>
        <w:rPr>
          <w:rFonts w:cs="Times New Roman"/>
          <w:szCs w:val="24"/>
        </w:rPr>
      </w:pPr>
    </w:p>
    <w:p w14:paraId="1DC577B4" w14:textId="203FE918" w:rsidR="006A4CD7" w:rsidRPr="002B283E" w:rsidRDefault="006A4CD7" w:rsidP="002B283E">
      <w:pPr>
        <w:pStyle w:val="Heading2"/>
      </w:pPr>
      <w:r w:rsidRPr="002B283E">
        <w:br w:type="page"/>
      </w:r>
      <w:bookmarkStart w:id="119" w:name="_Toc221525159"/>
      <w:r w:rsidRPr="002B283E">
        <w:lastRenderedPageBreak/>
        <w:t xml:space="preserve">7.11 </w:t>
      </w:r>
      <w:r w:rsidR="00522ACE" w:rsidRPr="002B283E">
        <w:t>Maintenance and Cure—Elements and Burden of Proof</w:t>
      </w:r>
      <w:bookmarkEnd w:id="119"/>
    </w:p>
    <w:p w14:paraId="3B8DEFE2" w14:textId="77777777" w:rsidR="006A4CD7" w:rsidRPr="002B283E" w:rsidRDefault="006A4CD7" w:rsidP="002B283E">
      <w:pPr>
        <w:autoSpaceDE w:val="0"/>
        <w:autoSpaceDN w:val="0"/>
        <w:adjustRightInd w:val="0"/>
        <w:rPr>
          <w:rFonts w:cs="Times New Roman"/>
          <w:szCs w:val="24"/>
        </w:rPr>
      </w:pPr>
    </w:p>
    <w:p w14:paraId="352C0621" w14:textId="4D42EDD5" w:rsidR="00DC7E1B" w:rsidRPr="002B283E" w:rsidRDefault="00DC7E1B" w:rsidP="001A3D65">
      <w:pPr>
        <w:pStyle w:val="BodyText"/>
        <w:ind w:right="202" w:firstLine="720"/>
      </w:pPr>
      <w:r w:rsidRPr="002B283E">
        <w:t>On</w:t>
      </w:r>
      <w:r w:rsidRPr="002B283E">
        <w:rPr>
          <w:spacing w:val="-4"/>
        </w:rPr>
        <w:t xml:space="preserve"> </w:t>
      </w:r>
      <w:r w:rsidRPr="002B283E">
        <w:t>the</w:t>
      </w:r>
      <w:r w:rsidRPr="002B283E">
        <w:rPr>
          <w:spacing w:val="-5"/>
        </w:rPr>
        <w:t xml:space="preserve"> </w:t>
      </w:r>
      <w:r w:rsidRPr="002B283E">
        <w:t>plaintiff</w:t>
      </w:r>
      <w:r w:rsidR="00C35E6C">
        <w:t xml:space="preserve"> </w:t>
      </w:r>
      <w:bookmarkStart w:id="120" w:name="_Hlk204091826"/>
      <w:r w:rsidR="00C35E6C">
        <w:t>[</w:t>
      </w:r>
      <w:r w:rsidR="00C35E6C" w:rsidRPr="008A04C2">
        <w:rPr>
          <w:i/>
          <w:iCs/>
          <w:u w:val="single"/>
        </w:rPr>
        <w:t>name</w:t>
      </w:r>
      <w:r w:rsidR="00C35E6C">
        <w:t>]</w:t>
      </w:r>
      <w:bookmarkEnd w:id="120"/>
      <w:r w:rsidRPr="002B283E">
        <w:t>’s</w:t>
      </w:r>
      <w:r w:rsidRPr="002B283E">
        <w:rPr>
          <w:spacing w:val="-4"/>
        </w:rPr>
        <w:t xml:space="preserve"> </w:t>
      </w:r>
      <w:r w:rsidRPr="002B283E">
        <w:t>maintenance</w:t>
      </w:r>
      <w:r w:rsidRPr="002B283E">
        <w:rPr>
          <w:spacing w:val="-3"/>
        </w:rPr>
        <w:t xml:space="preserve"> </w:t>
      </w:r>
      <w:r w:rsidRPr="002B283E">
        <w:t>and</w:t>
      </w:r>
      <w:r w:rsidRPr="002B283E">
        <w:rPr>
          <w:spacing w:val="-4"/>
        </w:rPr>
        <w:t xml:space="preserve"> </w:t>
      </w:r>
      <w:r w:rsidRPr="002B283E">
        <w:t>cure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C35E6C">
        <w:t>[</w:t>
      </w:r>
      <w:r w:rsidR="00C35E6C" w:rsidRPr="009E2B37">
        <w:rPr>
          <w:i/>
          <w:iCs/>
          <w:u w:val="single"/>
        </w:rPr>
        <w:t>name</w:t>
      </w:r>
      <w:r w:rsidR="00C35E6C">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 each of the following elements by a preponderance of the evidence:</w:t>
      </w:r>
    </w:p>
    <w:p w14:paraId="74F3F1CF" w14:textId="77777777" w:rsidR="00DC7E1B" w:rsidRPr="002B283E" w:rsidRDefault="00DC7E1B" w:rsidP="001A3D65">
      <w:pPr>
        <w:pStyle w:val="BodyText"/>
        <w:ind w:firstLine="620"/>
      </w:pPr>
    </w:p>
    <w:p w14:paraId="4D907986" w14:textId="1B3C929C"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3A92F61A" w14:textId="77777777" w:rsidR="00DC7E1B" w:rsidRPr="002B283E" w:rsidRDefault="00DC7E1B" w:rsidP="001A3D65">
      <w:pPr>
        <w:pStyle w:val="BodyText"/>
        <w:ind w:firstLine="620"/>
      </w:pPr>
    </w:p>
    <w:p w14:paraId="32F816EB" w14:textId="6FB074E0" w:rsidR="00DC7E1B" w:rsidRPr="002B283E" w:rsidRDefault="00DC7E1B" w:rsidP="001A3D65">
      <w:pPr>
        <w:pStyle w:val="ListParagraph"/>
        <w:tabs>
          <w:tab w:val="left" w:pos="1540"/>
        </w:tabs>
        <w:ind w:left="0" w:right="326"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plaintiff</w:t>
      </w:r>
      <w:r w:rsidRPr="002B283E">
        <w:rPr>
          <w:rFonts w:cs="Times New Roman"/>
          <w:spacing w:val="-4"/>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injured</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became</w:t>
      </w:r>
      <w:r w:rsidRPr="002B283E">
        <w:rPr>
          <w:rFonts w:cs="Times New Roman"/>
          <w:spacing w:val="-4"/>
          <w:szCs w:val="24"/>
        </w:rPr>
        <w:t xml:space="preserve"> </w:t>
      </w:r>
      <w:r w:rsidRPr="002B283E">
        <w:rPr>
          <w:rFonts w:cs="Times New Roman"/>
          <w:szCs w:val="24"/>
        </w:rPr>
        <w:t>ill</w:t>
      </w:r>
      <w:r w:rsidRPr="002B283E">
        <w:rPr>
          <w:rFonts w:cs="Times New Roman"/>
          <w:spacing w:val="-3"/>
          <w:szCs w:val="24"/>
        </w:rPr>
        <w:t xml:space="preserve"> </w:t>
      </w:r>
      <w:r w:rsidRPr="002B283E">
        <w:rPr>
          <w:rFonts w:cs="Times New Roman"/>
          <w:szCs w:val="24"/>
        </w:rPr>
        <w:t>while</w:t>
      </w:r>
      <w:r w:rsidRPr="002B283E">
        <w:rPr>
          <w:rFonts w:cs="Times New Roman"/>
          <w:spacing w:val="-4"/>
          <w:szCs w:val="24"/>
        </w:rPr>
        <w:t xml:space="preserve"> </w:t>
      </w:r>
      <w:r w:rsidRPr="002B283E">
        <w:rPr>
          <w:rFonts w:cs="Times New Roman"/>
          <w:szCs w:val="24"/>
        </w:rPr>
        <w:t>in</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service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 xml:space="preserve">vessel; </w:t>
      </w:r>
      <w:r w:rsidRPr="002B283E">
        <w:rPr>
          <w:rFonts w:cs="Times New Roman"/>
          <w:spacing w:val="-4"/>
          <w:szCs w:val="24"/>
        </w:rPr>
        <w:t>and</w:t>
      </w:r>
    </w:p>
    <w:p w14:paraId="7293F62E" w14:textId="77777777" w:rsidR="00DC7E1B" w:rsidRPr="002B283E" w:rsidRDefault="00DC7E1B" w:rsidP="001A3D65">
      <w:pPr>
        <w:pStyle w:val="BodyText"/>
        <w:ind w:firstLine="620"/>
      </w:pPr>
    </w:p>
    <w:p w14:paraId="3158477C" w14:textId="4945322A"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Third,</w:t>
      </w:r>
      <w:r w:rsidRPr="002B283E">
        <w:rPr>
          <w:rFonts w:cs="Times New Roman"/>
          <w:spacing w:val="-4"/>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amount</w:t>
      </w:r>
      <w:r w:rsidRPr="002B283E">
        <w:rPr>
          <w:rFonts w:cs="Times New Roman"/>
          <w:spacing w:val="-1"/>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maintenance and</w:t>
      </w:r>
      <w:r w:rsidRPr="002B283E">
        <w:rPr>
          <w:rFonts w:cs="Times New Roman"/>
          <w:spacing w:val="-1"/>
          <w:szCs w:val="24"/>
        </w:rPr>
        <w:t xml:space="preserve"> </w:t>
      </w:r>
      <w:r w:rsidRPr="002B283E">
        <w:rPr>
          <w:rFonts w:cs="Times New Roman"/>
          <w:szCs w:val="24"/>
        </w:rPr>
        <w:t>cure</w:t>
      </w:r>
      <w:r w:rsidRPr="002B283E">
        <w:rPr>
          <w:rFonts w:cs="Times New Roman"/>
          <w:spacing w:val="-2"/>
          <w:szCs w:val="24"/>
        </w:rPr>
        <w:t xml:space="preserve"> </w:t>
      </w:r>
      <w:r w:rsidRPr="002B283E">
        <w:rPr>
          <w:rFonts w:cs="Times New Roman"/>
          <w:szCs w:val="24"/>
        </w:rPr>
        <w:t>to</w:t>
      </w:r>
      <w:r w:rsidRPr="002B283E">
        <w:rPr>
          <w:rFonts w:cs="Times New Roman"/>
          <w:spacing w:val="-1"/>
          <w:szCs w:val="24"/>
        </w:rPr>
        <w:t xml:space="preserve"> </w:t>
      </w:r>
      <w:r w:rsidRPr="002B283E">
        <w:rPr>
          <w:rFonts w:cs="Times New Roman"/>
          <w:szCs w:val="24"/>
        </w:rPr>
        <w:t>which</w:t>
      </w:r>
      <w:r w:rsidRPr="002B283E">
        <w:rPr>
          <w:rFonts w:cs="Times New Roman"/>
          <w:spacing w:val="-1"/>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2"/>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1"/>
          <w:szCs w:val="24"/>
        </w:rPr>
        <w:t xml:space="preserve"> </w:t>
      </w:r>
      <w:r w:rsidRPr="002B283E">
        <w:rPr>
          <w:rFonts w:cs="Times New Roman"/>
          <w:spacing w:val="-2"/>
          <w:szCs w:val="24"/>
        </w:rPr>
        <w:t>entitled.</w:t>
      </w:r>
    </w:p>
    <w:p w14:paraId="22BB34CB" w14:textId="77777777" w:rsidR="00DC7E1B" w:rsidRPr="002B283E" w:rsidRDefault="00DC7E1B" w:rsidP="008A04C2">
      <w:pPr>
        <w:pStyle w:val="BodyText"/>
        <w:ind w:firstLine="620"/>
      </w:pPr>
    </w:p>
    <w:p w14:paraId="02E513EF" w14:textId="35A2D4D6" w:rsidR="00DC7E1B" w:rsidRPr="002B283E" w:rsidRDefault="00DC7E1B" w:rsidP="008A04C2">
      <w:pPr>
        <w:pStyle w:val="BodyText"/>
        <w:ind w:left="100" w:right="202" w:firstLine="620"/>
      </w:pPr>
      <w:r w:rsidRPr="002B283E">
        <w:t xml:space="preserve">If you find the plaintiff </w:t>
      </w:r>
      <w:r w:rsidR="00C35E6C">
        <w:t>[</w:t>
      </w:r>
      <w:r w:rsidR="00C35E6C" w:rsidRPr="009E2B37">
        <w:rPr>
          <w:i/>
          <w:iCs/>
          <w:u w:val="single"/>
        </w:rPr>
        <w:t>name</w:t>
      </w:r>
      <w:r w:rsidR="00C35E6C">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your</w:t>
      </w:r>
      <w:r w:rsidRPr="002B283E">
        <w:rPr>
          <w:spacing w:val="-4"/>
        </w:rPr>
        <w:t xml:space="preserve"> </w:t>
      </w:r>
      <w:r w:rsidRPr="002B283E">
        <w:t>verdict</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If,</w:t>
      </w:r>
      <w:r w:rsidRPr="002B283E">
        <w:rPr>
          <w:spacing w:val="-3"/>
        </w:rPr>
        <w:t xml:space="preserve"> </w:t>
      </w:r>
      <w:r w:rsidRPr="002B283E">
        <w:t>on</w:t>
      </w:r>
      <w:r w:rsidRPr="002B283E">
        <w:rPr>
          <w:spacing w:val="-3"/>
        </w:rPr>
        <w:t xml:space="preserve"> </w:t>
      </w:r>
      <w:r w:rsidRPr="002B283E">
        <w:t>the</w:t>
      </w:r>
      <w:r w:rsidRPr="002B283E">
        <w:rPr>
          <w:spacing w:val="-4"/>
        </w:rPr>
        <w:t xml:space="preserve"> </w:t>
      </w:r>
      <w:r w:rsidRPr="002B283E">
        <w:t>other</w:t>
      </w:r>
      <w:r w:rsidRPr="002B283E">
        <w:rPr>
          <w:spacing w:val="-4"/>
        </w:rPr>
        <w:t xml:space="preserve"> </w:t>
      </w:r>
      <w:r w:rsidRPr="002B283E">
        <w:t>hand,</w:t>
      </w:r>
      <w:r w:rsidRPr="002B283E">
        <w:rPr>
          <w:spacing w:val="-3"/>
        </w:rPr>
        <w:t xml:space="preserve"> </w:t>
      </w:r>
      <w:r w:rsidRPr="002B283E">
        <w:t>the</w:t>
      </w:r>
      <w:r w:rsidRPr="002B283E">
        <w:rPr>
          <w:spacing w:val="-4"/>
        </w:rPr>
        <w:t xml:space="preserve"> </w:t>
      </w:r>
      <w:r w:rsidRPr="002B283E">
        <w:t>plaintiff</w:t>
      </w:r>
      <w:bookmarkStart w:id="121" w:name="_Hlk204091886"/>
      <w:r w:rsidRPr="002B283E">
        <w:rPr>
          <w:spacing w:val="-4"/>
        </w:rPr>
        <w:t xml:space="preserve"> </w:t>
      </w:r>
      <w:r w:rsidR="00C35E6C">
        <w:t>[</w:t>
      </w:r>
      <w:r w:rsidR="00C35E6C" w:rsidRPr="009E2B37">
        <w:rPr>
          <w:i/>
          <w:iCs/>
          <w:u w:val="single"/>
        </w:rPr>
        <w:t>name</w:t>
      </w:r>
      <w:r w:rsidR="00C35E6C">
        <w:t xml:space="preserve">] </w:t>
      </w:r>
      <w:bookmarkEnd w:id="121"/>
      <w:r w:rsidRPr="002B283E">
        <w:t>has failed to prove any of these elements, your verdict should be for the defendant</w:t>
      </w:r>
      <w:r w:rsidR="00C35E6C" w:rsidRPr="002B283E">
        <w:rPr>
          <w:spacing w:val="-4"/>
        </w:rPr>
        <w:t xml:space="preserve"> </w:t>
      </w:r>
      <w:r w:rsidR="00C35E6C">
        <w:t>[</w:t>
      </w:r>
      <w:r w:rsidR="00C35E6C" w:rsidRPr="009E2B37">
        <w:rPr>
          <w:i/>
          <w:iCs/>
          <w:u w:val="single"/>
        </w:rPr>
        <w:t>name</w:t>
      </w:r>
      <w:r w:rsidR="00C35E6C">
        <w:t>]</w:t>
      </w:r>
      <w:r w:rsidRPr="002B283E">
        <w:t>.</w:t>
      </w:r>
    </w:p>
    <w:p w14:paraId="293A768A" w14:textId="77777777" w:rsidR="00DC7E1B" w:rsidRPr="002B283E" w:rsidRDefault="00DC7E1B" w:rsidP="008A04C2">
      <w:pPr>
        <w:pStyle w:val="BodyText"/>
        <w:ind w:firstLine="620"/>
      </w:pPr>
    </w:p>
    <w:p w14:paraId="42E26740" w14:textId="1BAAD0CF" w:rsidR="00DC7E1B" w:rsidRPr="002B283E" w:rsidRDefault="00DC7E1B" w:rsidP="008A04C2">
      <w:pPr>
        <w:pStyle w:val="BodyText"/>
        <w:ind w:left="100" w:firstLine="620"/>
      </w:pPr>
      <w:r w:rsidRPr="002B283E">
        <w:t>Maintenance</w:t>
      </w:r>
      <w:r w:rsidRPr="002B283E">
        <w:rPr>
          <w:spacing w:val="-4"/>
        </w:rPr>
        <w:t xml:space="preserve"> </w:t>
      </w:r>
      <w:r w:rsidRPr="002B283E">
        <w:t>is</w:t>
      </w:r>
      <w:r w:rsidRPr="002B283E">
        <w:rPr>
          <w:spacing w:val="-3"/>
        </w:rPr>
        <w:t xml:space="preserve"> </w:t>
      </w:r>
      <w:r w:rsidRPr="002B283E">
        <w:t>the</w:t>
      </w:r>
      <w:r w:rsidRPr="002B283E">
        <w:rPr>
          <w:spacing w:val="-2"/>
        </w:rPr>
        <w:t xml:space="preserve"> </w:t>
      </w:r>
      <w:r w:rsidRPr="002B283E">
        <w:t>reasonable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food,</w:t>
      </w:r>
      <w:r w:rsidRPr="002B283E">
        <w:rPr>
          <w:spacing w:val="-3"/>
        </w:rPr>
        <w:t xml:space="preserve"> </w:t>
      </w:r>
      <w:r w:rsidRPr="002B283E">
        <w:t>lodging</w:t>
      </w:r>
      <w:r w:rsidRPr="002B283E">
        <w:rPr>
          <w:spacing w:val="-3"/>
        </w:rPr>
        <w:t xml:space="preserve"> </w:t>
      </w:r>
      <w:r w:rsidRPr="002B283E">
        <w:t>and</w:t>
      </w:r>
      <w:r w:rsidRPr="002B283E">
        <w:rPr>
          <w:spacing w:val="-3"/>
        </w:rPr>
        <w:t xml:space="preserve"> </w:t>
      </w:r>
      <w:r w:rsidRPr="002B283E">
        <w:t>transportation</w:t>
      </w:r>
      <w:r w:rsidRPr="002B283E">
        <w:rPr>
          <w:spacing w:val="-3"/>
        </w:rPr>
        <w:t xml:space="preserve"> </w:t>
      </w:r>
      <w:r w:rsidRPr="002B283E">
        <w:t>to</w:t>
      </w:r>
      <w:r w:rsidRPr="002B283E">
        <w:rPr>
          <w:spacing w:val="-3"/>
        </w:rPr>
        <w:t xml:space="preserve"> </w:t>
      </w:r>
      <w:r w:rsidRPr="002B283E">
        <w:t>and</w:t>
      </w:r>
      <w:r w:rsidRPr="002B283E">
        <w:rPr>
          <w:spacing w:val="-3"/>
        </w:rPr>
        <w:t xml:space="preserve"> </w:t>
      </w:r>
      <w:r w:rsidRPr="002B283E">
        <w:t>from</w:t>
      </w:r>
      <w:r w:rsidRPr="002B283E">
        <w:rPr>
          <w:spacing w:val="-3"/>
        </w:rPr>
        <w:t xml:space="preserve"> </w:t>
      </w:r>
      <w:r w:rsidRPr="002B283E">
        <w:t>a medical facility.</w:t>
      </w:r>
      <w:r w:rsidR="00C35E6C">
        <w:rPr>
          <w:spacing w:val="40"/>
        </w:rPr>
        <w:t xml:space="preserve"> </w:t>
      </w:r>
      <w:r w:rsidRPr="002B283E">
        <w:t xml:space="preserve">The plaintiff </w:t>
      </w:r>
      <w:r w:rsidR="00C35E6C">
        <w:t>[</w:t>
      </w:r>
      <w:r w:rsidR="00C35E6C" w:rsidRPr="009E2B37">
        <w:rPr>
          <w:i/>
          <w:iCs/>
          <w:u w:val="single"/>
        </w:rPr>
        <w:t>name</w:t>
      </w:r>
      <w:r w:rsidR="00C35E6C">
        <w:t xml:space="preserve">] </w:t>
      </w:r>
      <w:r w:rsidRPr="002B283E">
        <w:t>is not entitled to maintenance while hospitalized because hospitalization includes food and lodging.</w:t>
      </w:r>
    </w:p>
    <w:p w14:paraId="029FC7F0" w14:textId="77777777" w:rsidR="00DC7E1B" w:rsidRPr="002B283E" w:rsidRDefault="00DC7E1B" w:rsidP="008A04C2">
      <w:pPr>
        <w:pStyle w:val="BodyText"/>
        <w:ind w:firstLine="620"/>
      </w:pPr>
    </w:p>
    <w:p w14:paraId="46C5F2D1" w14:textId="0319532B" w:rsidR="00DC7E1B" w:rsidRPr="002B283E" w:rsidRDefault="00DC7E1B" w:rsidP="008A04C2">
      <w:pPr>
        <w:pStyle w:val="BodyText"/>
        <w:ind w:left="100" w:firstLine="620"/>
      </w:pPr>
      <w:r w:rsidRPr="002B283E">
        <w:t>The rate of maintenance includes the cost of obtaining room and board on land.</w:t>
      </w:r>
      <w:r w:rsidR="00C35E6C">
        <w:rPr>
          <w:spacing w:val="40"/>
        </w:rPr>
        <w:t xml:space="preserve"> </w:t>
      </w:r>
      <w:r w:rsidRPr="002B283E">
        <w:t>In determining</w:t>
      </w:r>
      <w:r w:rsidRPr="002B283E">
        <w:rPr>
          <w:spacing w:val="-3"/>
        </w:rPr>
        <w:t xml:space="preserve"> </w:t>
      </w:r>
      <w:r w:rsidRPr="002B283E">
        <w:t>this</w:t>
      </w:r>
      <w:r w:rsidRPr="002B283E">
        <w:rPr>
          <w:spacing w:val="-3"/>
        </w:rPr>
        <w:t xml:space="preserve"> </w:t>
      </w:r>
      <w:r w:rsidRPr="002B283E">
        <w:t>amount,</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2"/>
        </w:rPr>
        <w:t xml:space="preserve"> </w:t>
      </w:r>
      <w:r w:rsidRPr="002B283E">
        <w:t>actual</w:t>
      </w:r>
      <w:r w:rsidRPr="002B283E">
        <w:rPr>
          <w:spacing w:val="-3"/>
        </w:rPr>
        <w:t xml:space="preserve"> </w:t>
      </w:r>
      <w:r w:rsidRPr="002B283E">
        <w:t>costs</w:t>
      </w:r>
      <w:r w:rsidRPr="002B283E">
        <w:rPr>
          <w:spacing w:val="-3"/>
        </w:rPr>
        <w:t xml:space="preserve"> </w:t>
      </w:r>
      <w:r w:rsidRPr="002B283E">
        <w:t>incurred</w:t>
      </w:r>
      <w:r w:rsidRPr="002B283E">
        <w:rPr>
          <w:spacing w:val="-3"/>
        </w:rPr>
        <w:t xml:space="preserve"> </w:t>
      </w:r>
      <w:r w:rsidRPr="002B283E">
        <w:t>by</w:t>
      </w:r>
      <w:r w:rsidRPr="002B283E">
        <w:rPr>
          <w:spacing w:val="-3"/>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but</w:t>
      </w:r>
      <w:r w:rsidRPr="002B283E">
        <w:rPr>
          <w:spacing w:val="-3"/>
        </w:rPr>
        <w:t xml:space="preserve"> </w:t>
      </w:r>
      <w:r w:rsidRPr="002B283E">
        <w:t>shall</w:t>
      </w:r>
      <w:r w:rsidRPr="002B283E">
        <w:rPr>
          <w:spacing w:val="-3"/>
        </w:rPr>
        <w:t xml:space="preserve"> </w:t>
      </w:r>
      <w:r w:rsidRPr="002B283E">
        <w:t>not award an amount in excess of that of a seaman living alone in the plaintiff</w:t>
      </w:r>
      <w:r w:rsidR="00C35E6C" w:rsidRPr="002B283E">
        <w:rPr>
          <w:spacing w:val="-4"/>
        </w:rPr>
        <w:t xml:space="preserve"> </w:t>
      </w:r>
      <w:r w:rsidR="00C35E6C">
        <w:t>[</w:t>
      </w:r>
      <w:r w:rsidR="00C35E6C" w:rsidRPr="009E2B37">
        <w:rPr>
          <w:i/>
          <w:iCs/>
          <w:u w:val="single"/>
        </w:rPr>
        <w:t>name</w:t>
      </w:r>
      <w:r w:rsidR="00C35E6C">
        <w:t>]</w:t>
      </w:r>
      <w:r w:rsidRPr="002B283E">
        <w:t>’s locality.</w:t>
      </w:r>
    </w:p>
    <w:p w14:paraId="33011159" w14:textId="77777777" w:rsidR="00DC7E1B" w:rsidRPr="002B283E" w:rsidRDefault="00DC7E1B" w:rsidP="008A04C2">
      <w:pPr>
        <w:pStyle w:val="BodyText"/>
        <w:ind w:firstLine="620"/>
      </w:pPr>
    </w:p>
    <w:p w14:paraId="4B035082" w14:textId="77777777" w:rsidR="00DC7E1B" w:rsidRPr="002B283E" w:rsidRDefault="00DC7E1B" w:rsidP="008A04C2">
      <w:pPr>
        <w:pStyle w:val="BodyText"/>
        <w:ind w:left="100" w:firstLine="620"/>
      </w:pPr>
      <w:r w:rsidRPr="002B283E">
        <w:t>Cure</w:t>
      </w:r>
      <w:r w:rsidRPr="002B283E">
        <w:rPr>
          <w:spacing w:val="-4"/>
        </w:rPr>
        <w:t xml:space="preserve"> </w:t>
      </w:r>
      <w:r w:rsidRPr="002B283E">
        <w:t>is</w:t>
      </w:r>
      <w:r w:rsidRPr="002B283E">
        <w:rPr>
          <w:spacing w:val="-3"/>
        </w:rPr>
        <w:t xml:space="preserve"> </w:t>
      </w:r>
      <w:r w:rsidRPr="002B283E">
        <w:t>the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medical</w:t>
      </w:r>
      <w:r w:rsidRPr="002B283E">
        <w:rPr>
          <w:spacing w:val="-3"/>
        </w:rPr>
        <w:t xml:space="preserve"> </w:t>
      </w:r>
      <w:r w:rsidRPr="002B283E">
        <w:t>attention,</w:t>
      </w:r>
      <w:r w:rsidRPr="002B283E">
        <w:rPr>
          <w:spacing w:val="-3"/>
        </w:rPr>
        <w:t xml:space="preserve"> </w:t>
      </w:r>
      <w:r w:rsidRPr="002B283E">
        <w:t>including</w:t>
      </w:r>
      <w:r w:rsidRPr="002B283E">
        <w:rPr>
          <w:spacing w:val="-3"/>
        </w:rPr>
        <w:t xml:space="preserve"> </w:t>
      </w:r>
      <w:r w:rsidRPr="002B283E">
        <w:t>the</w:t>
      </w:r>
      <w:r w:rsidRPr="002B283E">
        <w:rPr>
          <w:spacing w:val="-4"/>
        </w:rPr>
        <w:t xml:space="preserve"> </w:t>
      </w:r>
      <w:r w:rsidRPr="002B283E">
        <w:t>services</w:t>
      </w:r>
      <w:r w:rsidRPr="002B283E">
        <w:rPr>
          <w:spacing w:val="-3"/>
        </w:rPr>
        <w:t xml:space="preserve"> </w:t>
      </w:r>
      <w:r w:rsidRPr="002B283E">
        <w:t>of</w:t>
      </w:r>
      <w:r w:rsidRPr="002B283E">
        <w:rPr>
          <w:spacing w:val="-4"/>
        </w:rPr>
        <w:t xml:space="preserve"> </w:t>
      </w:r>
      <w:r w:rsidRPr="002B283E">
        <w:t>physicians</w:t>
      </w:r>
      <w:r w:rsidRPr="002B283E">
        <w:rPr>
          <w:spacing w:val="-3"/>
        </w:rPr>
        <w:t xml:space="preserve"> </w:t>
      </w:r>
      <w:r w:rsidRPr="002B283E">
        <w:t>and</w:t>
      </w:r>
      <w:r w:rsidRPr="002B283E">
        <w:rPr>
          <w:spacing w:val="-3"/>
        </w:rPr>
        <w:t xml:space="preserve"> </w:t>
      </w:r>
      <w:r w:rsidRPr="002B283E">
        <w:t>nurses,</w:t>
      </w:r>
      <w:r w:rsidRPr="002B283E">
        <w:rPr>
          <w:spacing w:val="-3"/>
        </w:rPr>
        <w:t xml:space="preserve"> </w:t>
      </w:r>
      <w:r w:rsidRPr="002B283E">
        <w:t>as well as the cost of hospitalization, medicines, and medical apparatus.</w:t>
      </w:r>
    </w:p>
    <w:p w14:paraId="59346883" w14:textId="77777777" w:rsidR="00DC7E1B" w:rsidRPr="002B283E" w:rsidRDefault="00DC7E1B" w:rsidP="008A04C2">
      <w:pPr>
        <w:pStyle w:val="BodyText"/>
        <w:ind w:firstLine="620"/>
      </w:pPr>
    </w:p>
    <w:p w14:paraId="4A9A48E6" w14:textId="37B9C9E7" w:rsidR="00DC7E1B" w:rsidRPr="002B283E" w:rsidRDefault="00DC7E1B" w:rsidP="008A04C2">
      <w:pPr>
        <w:pStyle w:val="BodyText"/>
        <w:ind w:left="100" w:right="366" w:firstLine="620"/>
        <w:jc w:val="both"/>
      </w:pPr>
      <w:r w:rsidRPr="002B283E">
        <w:t>[When the defendant</w:t>
      </w:r>
      <w:r w:rsidR="00C35E6C">
        <w:rPr>
          <w:spacing w:val="-4"/>
        </w:rPr>
        <w:t xml:space="preserve"> </w:t>
      </w:r>
      <w:r w:rsidR="00C35E6C">
        <w:t>[</w:t>
      </w:r>
      <w:r w:rsidR="00C35E6C" w:rsidRPr="009E2B37">
        <w:rPr>
          <w:i/>
          <w:iCs/>
          <w:u w:val="single"/>
        </w:rPr>
        <w:t>name</w:t>
      </w:r>
      <w:r w:rsidR="00C35E6C">
        <w:t>]</w:t>
      </w:r>
      <w:r w:rsidRPr="002B283E">
        <w:t>’s failure to provide [maintenance] [[and] [or]] [cure] worsens the plaintiff</w:t>
      </w:r>
      <w:r w:rsidR="00C35E6C" w:rsidRPr="002B283E">
        <w:rPr>
          <w:spacing w:val="-4"/>
        </w:rPr>
        <w:t xml:space="preserve"> </w:t>
      </w:r>
      <w:r w:rsidR="00C35E6C">
        <w:t>[</w:t>
      </w:r>
      <w:r w:rsidR="00C35E6C" w:rsidRPr="009E2B37">
        <w:rPr>
          <w:i/>
          <w:iCs/>
          <w:u w:val="single"/>
        </w:rPr>
        <w:t>name</w:t>
      </w:r>
      <w:r w:rsidR="00C35E6C">
        <w:t>]</w:t>
      </w:r>
      <w:r w:rsidRPr="002B283E">
        <w:t>’s</w:t>
      </w:r>
      <w:r w:rsidRPr="002B283E">
        <w:rPr>
          <w:spacing w:val="-6"/>
        </w:rPr>
        <w:t xml:space="preserve"> </w:t>
      </w:r>
      <w:r w:rsidRPr="002B283E">
        <w:t>injury,</w:t>
      </w:r>
      <w:r w:rsidRPr="002B283E">
        <w:rPr>
          <w:spacing w:val="-6"/>
        </w:rPr>
        <w:t xml:space="preserve"> </w:t>
      </w:r>
      <w:r w:rsidRPr="002B283E">
        <w:t>the</w:t>
      </w:r>
      <w:r w:rsidRPr="002B283E">
        <w:rPr>
          <w:spacing w:val="-7"/>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7"/>
        </w:rPr>
        <w:t xml:space="preserve"> </w:t>
      </w:r>
      <w:r w:rsidRPr="002B283E">
        <w:t>may</w:t>
      </w:r>
      <w:r w:rsidRPr="002B283E">
        <w:rPr>
          <w:spacing w:val="-6"/>
        </w:rPr>
        <w:t xml:space="preserve"> </w:t>
      </w:r>
      <w:r w:rsidRPr="002B283E">
        <w:t>recover</w:t>
      </w:r>
      <w:r w:rsidRPr="002B283E">
        <w:rPr>
          <w:spacing w:val="-5"/>
        </w:rPr>
        <w:t xml:space="preserve"> </w:t>
      </w:r>
      <w:r w:rsidRPr="002B283E">
        <w:t>resulting</w:t>
      </w:r>
      <w:r w:rsidRPr="002B283E">
        <w:rPr>
          <w:spacing w:val="-6"/>
        </w:rPr>
        <w:t xml:space="preserve"> </w:t>
      </w:r>
      <w:r w:rsidRPr="002B283E">
        <w:t>damages</w:t>
      </w:r>
      <w:r w:rsidRPr="002B283E">
        <w:rPr>
          <w:spacing w:val="-6"/>
        </w:rPr>
        <w:t xml:space="preserve"> </w:t>
      </w:r>
      <w:r w:rsidRPr="002B283E">
        <w:t>and</w:t>
      </w:r>
      <w:r w:rsidRPr="002B283E">
        <w:rPr>
          <w:spacing w:val="-4"/>
        </w:rPr>
        <w:t xml:space="preserve"> </w:t>
      </w:r>
      <w:r w:rsidRPr="002B283E">
        <w:t>expenses,</w:t>
      </w:r>
      <w:r w:rsidRPr="002B283E">
        <w:rPr>
          <w:spacing w:val="-4"/>
        </w:rPr>
        <w:t xml:space="preserve"> </w:t>
      </w:r>
      <w:r w:rsidRPr="002B283E">
        <w:t>including</w:t>
      </w:r>
      <w:r w:rsidRPr="002B283E">
        <w:rPr>
          <w:spacing w:val="-6"/>
        </w:rPr>
        <w:t xml:space="preserve"> </w:t>
      </w:r>
      <w:r w:rsidRPr="002B283E">
        <w:t>pain</w:t>
      </w:r>
      <w:r w:rsidRPr="002B283E">
        <w:rPr>
          <w:spacing w:val="-6"/>
        </w:rPr>
        <w:t xml:space="preserve"> </w:t>
      </w:r>
      <w:r w:rsidRPr="002B283E">
        <w:t>and suffering, and additional medical expenses.]</w:t>
      </w:r>
    </w:p>
    <w:p w14:paraId="1BEB7B32" w14:textId="77777777" w:rsidR="00DC7E1B" w:rsidRPr="002B283E" w:rsidRDefault="00DC7E1B" w:rsidP="008A04C2">
      <w:pPr>
        <w:pStyle w:val="BodyText"/>
        <w:ind w:firstLine="620"/>
      </w:pPr>
    </w:p>
    <w:p w14:paraId="33E1E643" w14:textId="4966A832" w:rsidR="00DC7E1B" w:rsidRDefault="00DC7E1B" w:rsidP="00C35E6C">
      <w:pPr>
        <w:pStyle w:val="BodyText"/>
        <w:ind w:left="100" w:right="202" w:firstLine="620"/>
      </w:pPr>
      <w:r w:rsidRPr="002B283E">
        <w:t>The</w:t>
      </w:r>
      <w:r w:rsidRPr="002B283E">
        <w:rPr>
          <w:spacing w:val="-4"/>
        </w:rPr>
        <w:t xml:space="preserve"> </w:t>
      </w:r>
      <w:r w:rsidRPr="002B283E">
        <w:t>injury</w:t>
      </w:r>
      <w:r w:rsidRPr="002B283E">
        <w:rPr>
          <w:spacing w:val="-3"/>
        </w:rPr>
        <w:t xml:space="preserve"> </w:t>
      </w:r>
      <w:r w:rsidRPr="002B283E">
        <w:t>or</w:t>
      </w:r>
      <w:r w:rsidRPr="002B283E">
        <w:rPr>
          <w:spacing w:val="-4"/>
        </w:rPr>
        <w:t xml:space="preserve"> </w:t>
      </w:r>
      <w:r w:rsidRPr="002B283E">
        <w:t>illness</w:t>
      </w:r>
      <w:r w:rsidRPr="002B283E">
        <w:rPr>
          <w:spacing w:val="-3"/>
        </w:rPr>
        <w:t xml:space="preserve"> </w:t>
      </w:r>
      <w:r w:rsidRPr="002B283E">
        <w:t>need</w:t>
      </w:r>
      <w:r w:rsidRPr="002B283E">
        <w:rPr>
          <w:spacing w:val="-1"/>
        </w:rPr>
        <w:t xml:space="preserve"> </w:t>
      </w:r>
      <w:r w:rsidRPr="002B283E">
        <w:t>not</w:t>
      </w:r>
      <w:r w:rsidRPr="002B283E">
        <w:rPr>
          <w:spacing w:val="-3"/>
        </w:rPr>
        <w:t xml:space="preserve"> </w:t>
      </w:r>
      <w:r w:rsidRPr="002B283E">
        <w:t>be</w:t>
      </w:r>
      <w:r w:rsidRPr="002B283E">
        <w:rPr>
          <w:spacing w:val="-4"/>
        </w:rPr>
        <w:t xml:space="preserve"> </w:t>
      </w:r>
      <w:r w:rsidRPr="002B283E">
        <w:t>work-related</w:t>
      </w:r>
      <w:r w:rsidRPr="002B283E">
        <w:rPr>
          <w:spacing w:val="-3"/>
        </w:rPr>
        <w:t xml:space="preserve"> </w:t>
      </w:r>
      <w:r w:rsidRPr="002B283E">
        <w:t>so</w:t>
      </w:r>
      <w:r w:rsidRPr="002B283E">
        <w:rPr>
          <w:spacing w:val="-3"/>
        </w:rPr>
        <w:t xml:space="preserve"> </w:t>
      </w:r>
      <w:r w:rsidRPr="002B283E">
        <w:t>long</w:t>
      </w:r>
      <w:r w:rsidRPr="002B283E">
        <w:rPr>
          <w:spacing w:val="-3"/>
        </w:rPr>
        <w:t xml:space="preserve"> </w:t>
      </w:r>
      <w:r w:rsidRPr="002B283E">
        <w:t>as</w:t>
      </w:r>
      <w:r w:rsidRPr="002B283E">
        <w:rPr>
          <w:spacing w:val="-3"/>
        </w:rPr>
        <w:t xml:space="preserve"> </w:t>
      </w:r>
      <w:r w:rsidRPr="002B283E">
        <w:t>it</w:t>
      </w:r>
      <w:r w:rsidRPr="002B283E">
        <w:rPr>
          <w:spacing w:val="-3"/>
        </w:rPr>
        <w:t xml:space="preserve"> </w:t>
      </w:r>
      <w:r w:rsidRPr="002B283E">
        <w:t>occurs</w:t>
      </w:r>
      <w:r w:rsidRPr="002B283E">
        <w:rPr>
          <w:spacing w:val="-3"/>
        </w:rPr>
        <w:t xml:space="preserve"> </w:t>
      </w:r>
      <w:r w:rsidRPr="002B283E">
        <w:t>while</w:t>
      </w:r>
      <w:r w:rsidRPr="002B283E">
        <w:rPr>
          <w:spacing w:val="-4"/>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is</w:t>
      </w:r>
      <w:r w:rsidRPr="002B283E">
        <w:rPr>
          <w:spacing w:val="-3"/>
        </w:rPr>
        <w:t xml:space="preserve"> </w:t>
      </w:r>
      <w:r w:rsidRPr="002B283E">
        <w:t>in the service of the vessel.</w:t>
      </w:r>
      <w:r w:rsidRPr="002B283E">
        <w:rPr>
          <w:spacing w:val="40"/>
        </w:rPr>
        <w:t xml:space="preserve"> </w:t>
      </w:r>
      <w:r w:rsidRPr="002B283E">
        <w:t>Neither maintenance nor cure may be reduced because of any negligence on the part of the plaintiff</w:t>
      </w:r>
      <w:r w:rsidR="00C35E6C" w:rsidRPr="00C35E6C">
        <w:t xml:space="preserve"> </w:t>
      </w:r>
      <w:r w:rsidR="00C35E6C">
        <w:t>[</w:t>
      </w:r>
      <w:r w:rsidR="00C35E6C" w:rsidRPr="009E2B37">
        <w:rPr>
          <w:i/>
          <w:iCs/>
          <w:u w:val="single"/>
        </w:rPr>
        <w:t>name</w:t>
      </w:r>
      <w:r w:rsidR="00C35E6C">
        <w:t>]</w:t>
      </w:r>
      <w:r w:rsidRPr="002B283E">
        <w:t>.</w:t>
      </w:r>
      <w:r w:rsidRPr="002B283E">
        <w:rPr>
          <w:spacing w:val="40"/>
        </w:rPr>
        <w:t xml:space="preserve"> </w:t>
      </w:r>
      <w:r w:rsidRPr="002B283E">
        <w:t>[A</w:t>
      </w:r>
      <w:r w:rsidRPr="002B283E">
        <w:rPr>
          <w:spacing w:val="-7"/>
        </w:rPr>
        <w:t xml:space="preserve"> </w:t>
      </w:r>
      <w:r w:rsidRPr="002B283E">
        <w:t xml:space="preserve">plaintiff </w:t>
      </w:r>
      <w:r w:rsidR="00C35E6C">
        <w:t>[</w:t>
      </w:r>
      <w:r w:rsidR="00C35E6C" w:rsidRPr="009E2B37">
        <w:rPr>
          <w:i/>
          <w:iCs/>
          <w:u w:val="single"/>
        </w:rPr>
        <w:t>name</w:t>
      </w:r>
      <w:r w:rsidR="00C35E6C">
        <w:t xml:space="preserve">] </w:t>
      </w:r>
      <w:r w:rsidRPr="002B283E">
        <w:t>may not recover for maintenance [and] [or] cure when the illness or injury results from the plaintiff</w:t>
      </w:r>
      <w:r w:rsidR="00C35E6C">
        <w:t xml:space="preserve"> [</w:t>
      </w:r>
      <w:r w:rsidR="00C35E6C" w:rsidRPr="009E2B37">
        <w:rPr>
          <w:i/>
          <w:iCs/>
          <w:u w:val="single"/>
        </w:rPr>
        <w:t>name</w:t>
      </w:r>
      <w:r w:rsidR="00C35E6C">
        <w:t>]</w:t>
      </w:r>
      <w:r w:rsidRPr="002B283E">
        <w:t>’s own willful misbehavior.]</w:t>
      </w:r>
    </w:p>
    <w:p w14:paraId="42FC9080" w14:textId="77777777" w:rsidR="00C35E6C" w:rsidRPr="002B283E" w:rsidRDefault="00C35E6C" w:rsidP="008A04C2">
      <w:pPr>
        <w:pStyle w:val="BodyText"/>
        <w:ind w:left="100" w:right="202" w:firstLine="620"/>
      </w:pPr>
    </w:p>
    <w:p w14:paraId="7C4B5B8C" w14:textId="7D985469" w:rsidR="00DC7E1B" w:rsidRPr="002B283E" w:rsidRDefault="00DC7E1B" w:rsidP="008A04C2">
      <w:pPr>
        <w:pStyle w:val="BodyText"/>
        <w:ind w:left="100" w:right="202" w:firstLine="620"/>
      </w:pPr>
      <w:r w:rsidRPr="002B283E">
        <w:t>The plaintiff</w:t>
      </w:r>
      <w:r w:rsidR="00C35E6C">
        <w:t xml:space="preserve"> [</w:t>
      </w:r>
      <w:r w:rsidR="00C35E6C" w:rsidRPr="009E2B37">
        <w:rPr>
          <w:i/>
          <w:iCs/>
          <w:u w:val="single"/>
        </w:rPr>
        <w:t>name</w:t>
      </w:r>
      <w:r w:rsidR="00C35E6C">
        <w:t>]</w:t>
      </w:r>
      <w:r w:rsidRPr="002B283E">
        <w:t xml:space="preserve"> is entitled to receive maintenance and cure even though he was not injured as a result of any negligence on the part of his employer or any unseaworthy condition of the vessel.</w:t>
      </w:r>
      <w:r w:rsidR="00C35E6C">
        <w:rPr>
          <w:spacing w:val="40"/>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rPr>
          <w:spacing w:val="-4"/>
        </w:rPr>
        <w:t xml:space="preserve"> </w:t>
      </w:r>
      <w:r w:rsidRPr="002B283E">
        <w:t>is</w:t>
      </w:r>
      <w:r w:rsidRPr="002B283E">
        <w:rPr>
          <w:spacing w:val="-1"/>
        </w:rPr>
        <w:t xml:space="preserve"> </w:t>
      </w:r>
      <w:r w:rsidRPr="002B283E">
        <w:t>entitled</w:t>
      </w:r>
      <w:r w:rsidRPr="002B283E">
        <w:rPr>
          <w:spacing w:val="-3"/>
        </w:rPr>
        <w:t xml:space="preserve"> </w:t>
      </w:r>
      <w:r w:rsidRPr="002B283E">
        <w:t>to</w:t>
      </w:r>
      <w:r w:rsidRPr="002B283E">
        <w:rPr>
          <w:spacing w:val="-3"/>
        </w:rPr>
        <w:t xml:space="preserve"> </w:t>
      </w:r>
      <w:r w:rsidRPr="002B283E">
        <w:t>recover</w:t>
      </w:r>
      <w:r w:rsidRPr="002B283E">
        <w:rPr>
          <w:spacing w:val="-4"/>
        </w:rPr>
        <w:t xml:space="preserve"> </w:t>
      </w:r>
      <w:r w:rsidRPr="002B283E">
        <w:t>maintenance</w:t>
      </w:r>
      <w:r w:rsidRPr="002B283E">
        <w:rPr>
          <w:spacing w:val="-2"/>
        </w:rPr>
        <w:t xml:space="preserve"> </w:t>
      </w:r>
      <w:r w:rsidRPr="002B283E">
        <w:t>and</w:t>
      </w:r>
      <w:r w:rsidRPr="002B283E">
        <w:rPr>
          <w:spacing w:val="-3"/>
        </w:rPr>
        <w:t xml:space="preserve"> </w:t>
      </w:r>
      <w:r w:rsidRPr="002B283E">
        <w:t>cure</w:t>
      </w:r>
      <w:r w:rsidRPr="002B283E">
        <w:rPr>
          <w:spacing w:val="-4"/>
        </w:rPr>
        <w:t xml:space="preserve"> </w:t>
      </w:r>
      <w:r w:rsidRPr="002B283E">
        <w:t>from</w:t>
      </w:r>
      <w:r w:rsidRPr="002B283E">
        <w:rPr>
          <w:spacing w:val="-3"/>
        </w:rPr>
        <w:t xml:space="preserve"> </w:t>
      </w:r>
      <w:r w:rsidRPr="002B283E">
        <w:t>the</w:t>
      </w:r>
      <w:r w:rsidRPr="002B283E">
        <w:rPr>
          <w:spacing w:val="-2"/>
        </w:rPr>
        <w:t xml:space="preserve"> </w:t>
      </w:r>
      <w:r w:rsidRPr="002B283E">
        <w:t>date</w:t>
      </w:r>
      <w:r w:rsidRPr="002B283E">
        <w:rPr>
          <w:spacing w:val="-4"/>
        </w:rPr>
        <w:t xml:space="preserve"> </w:t>
      </w:r>
      <w:r w:rsidRPr="002B283E">
        <w:t>of</w:t>
      </w:r>
      <w:r w:rsidRPr="002B283E">
        <w:rPr>
          <w:spacing w:val="-4"/>
        </w:rPr>
        <w:t xml:space="preserve"> </w:t>
      </w:r>
      <w:r w:rsidRPr="002B283E">
        <w:t>departure</w:t>
      </w:r>
      <w:r w:rsidRPr="002B283E">
        <w:rPr>
          <w:spacing w:val="-2"/>
        </w:rPr>
        <w:t xml:space="preserve"> </w:t>
      </w:r>
      <w:r w:rsidRPr="002B283E">
        <w:t>from the ship to the time of maximum cure under the circumstances.</w:t>
      </w:r>
      <w:r w:rsidRPr="002B283E">
        <w:rPr>
          <w:spacing w:val="40"/>
        </w:rPr>
        <w:t xml:space="preserve"> </w:t>
      </w:r>
      <w:r w:rsidRPr="002B283E">
        <w:t>Maximum cure is the point at which no further improvement in the plaintiff</w:t>
      </w:r>
      <w:r w:rsidR="00C35E6C">
        <w:t xml:space="preserve"> [</w:t>
      </w:r>
      <w:r w:rsidR="00C35E6C" w:rsidRPr="009E2B37">
        <w:rPr>
          <w:i/>
          <w:iCs/>
          <w:u w:val="single"/>
        </w:rPr>
        <w:t>name</w:t>
      </w:r>
      <w:r w:rsidR="00C35E6C">
        <w:t>]</w:t>
      </w:r>
      <w:r w:rsidRPr="002B283E">
        <w:t>’s medical condition may be reasonably expected.</w:t>
      </w:r>
    </w:p>
    <w:p w14:paraId="72040770" w14:textId="77777777" w:rsidR="00DC7E1B" w:rsidRPr="002B283E" w:rsidRDefault="00DC7E1B" w:rsidP="008A04C2">
      <w:pPr>
        <w:pStyle w:val="BodyText"/>
        <w:ind w:firstLine="620"/>
      </w:pPr>
    </w:p>
    <w:p w14:paraId="1F9E3E03" w14:textId="576C4F07" w:rsidR="00DC7E1B" w:rsidRDefault="00DC7E1B" w:rsidP="00C35E6C">
      <w:pPr>
        <w:pStyle w:val="BodyText"/>
        <w:ind w:left="100" w:right="149" w:firstLine="620"/>
      </w:pPr>
      <w:r w:rsidRPr="002B283E">
        <w:t>There can be no double recovery for the 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 xml:space="preserve">If you find that the plaintiff </w:t>
      </w:r>
      <w:r w:rsidR="00C35E6C">
        <w:t>[</w:t>
      </w:r>
      <w:r w:rsidR="00C35E6C" w:rsidRPr="009E2B37">
        <w:rPr>
          <w:i/>
          <w:iCs/>
          <w:u w:val="single"/>
        </w:rPr>
        <w:t>name</w:t>
      </w:r>
      <w:r w:rsidR="00C35E6C">
        <w:t xml:space="preserve">] </w:t>
      </w:r>
      <w:r w:rsidRPr="002B283E">
        <w:t>is entitled to</w:t>
      </w:r>
      <w:r w:rsidRPr="002B283E">
        <w:rPr>
          <w:spacing w:val="-5"/>
        </w:rPr>
        <w:t xml:space="preserve"> </w:t>
      </w:r>
      <w:r w:rsidRPr="002B283E">
        <w:t>an</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damages</w:t>
      </w:r>
      <w:r w:rsidRPr="002B283E">
        <w:rPr>
          <w:spacing w:val="-1"/>
        </w:rPr>
        <w:t xml:space="preserve"> </w:t>
      </w:r>
      <w:r w:rsidRPr="002B283E">
        <w:t>under</w:t>
      </w:r>
      <w:r w:rsidRPr="002B283E">
        <w:rPr>
          <w:spacing w:val="-4"/>
        </w:rPr>
        <w:t xml:space="preserve"> </w:t>
      </w:r>
      <w:r w:rsidRPr="002B283E">
        <w:t>[the</w:t>
      </w:r>
      <w:r w:rsidRPr="002B283E">
        <w:rPr>
          <w:spacing w:val="-4"/>
        </w:rPr>
        <w:t xml:space="preserve"> </w:t>
      </w:r>
      <w:r w:rsidRPr="002B283E">
        <w:t>Jones</w:t>
      </w:r>
      <w:r w:rsidRPr="002B283E">
        <w:rPr>
          <w:spacing w:val="-15"/>
        </w:rPr>
        <w:t xml:space="preserve"> </w:t>
      </w:r>
      <w:r w:rsidRPr="002B283E">
        <w:t>Act</w:t>
      </w:r>
      <w:r w:rsidRPr="002B283E">
        <w:rPr>
          <w:spacing w:val="-3"/>
        </w:rPr>
        <w:t xml:space="preserve"> </w:t>
      </w:r>
      <w:r w:rsidRPr="002B283E">
        <w:t>negligence</w:t>
      </w:r>
      <w:r w:rsidRPr="002B283E">
        <w:rPr>
          <w:spacing w:val="-4"/>
        </w:rPr>
        <w:t xml:space="preserve"> </w:t>
      </w:r>
      <w:r w:rsidRPr="002B283E">
        <w:t>claim]</w:t>
      </w:r>
      <w:r w:rsidRPr="002B283E">
        <w:rPr>
          <w:spacing w:val="-4"/>
        </w:rPr>
        <w:t xml:space="preserve"> </w:t>
      </w:r>
      <w:r w:rsidRPr="002B283E">
        <w:t>[the</w:t>
      </w:r>
      <w:r w:rsidRPr="002B283E">
        <w:rPr>
          <w:spacing w:val="-4"/>
        </w:rPr>
        <w:t xml:space="preserve"> </w:t>
      </w:r>
      <w:r w:rsidRPr="002B283E">
        <w:t>unseaworthiness</w:t>
      </w:r>
      <w:r w:rsidRPr="002B283E">
        <w:rPr>
          <w:spacing w:val="-3"/>
        </w:rPr>
        <w:t xml:space="preserve"> </w:t>
      </w:r>
      <w:r w:rsidRPr="002B283E">
        <w:t>claim],</w:t>
      </w:r>
      <w:r w:rsidRPr="002B283E">
        <w:rPr>
          <w:spacing w:val="-3"/>
        </w:rPr>
        <w:t xml:space="preserve"> </w:t>
      </w:r>
      <w:r w:rsidRPr="002B283E">
        <w:t>and if</w:t>
      </w:r>
      <w:r w:rsidRPr="002B283E">
        <w:rPr>
          <w:spacing w:val="-3"/>
        </w:rPr>
        <w:t xml:space="preserve"> </w:t>
      </w:r>
      <w:r w:rsidRPr="002B283E">
        <w:t>you</w:t>
      </w:r>
      <w:r w:rsidRPr="002B283E">
        <w:rPr>
          <w:spacing w:val="-2"/>
        </w:rPr>
        <w:t xml:space="preserve"> </w:t>
      </w:r>
      <w:r w:rsidRPr="002B283E">
        <w:t>include</w:t>
      </w:r>
      <w:r w:rsidRPr="002B283E">
        <w:rPr>
          <w:spacing w:val="-3"/>
        </w:rPr>
        <w:t xml:space="preserve"> </w:t>
      </w:r>
      <w:r w:rsidRPr="002B283E">
        <w:t>medical</w:t>
      </w:r>
      <w:r w:rsidRPr="002B283E">
        <w:rPr>
          <w:spacing w:val="-2"/>
        </w:rPr>
        <w:t xml:space="preserve"> </w:t>
      </w:r>
      <w:r w:rsidRPr="002B283E">
        <w:t>expenses</w:t>
      </w:r>
      <w:r w:rsidRPr="002B283E">
        <w:rPr>
          <w:spacing w:val="-2"/>
        </w:rPr>
        <w:t xml:space="preserve"> </w:t>
      </w:r>
      <w:r w:rsidRPr="002B283E">
        <w:t>in</w:t>
      </w:r>
      <w:r w:rsidRPr="002B283E">
        <w:rPr>
          <w:spacing w:val="-2"/>
        </w:rPr>
        <w:t xml:space="preserve"> </w:t>
      </w:r>
      <w:r w:rsidRPr="002B283E">
        <w:t>the</w:t>
      </w:r>
      <w:r w:rsidRPr="002B283E">
        <w:rPr>
          <w:spacing w:val="-3"/>
        </w:rPr>
        <w:t xml:space="preserve"> </w:t>
      </w:r>
      <w:r w:rsidRPr="002B283E">
        <w:t>damage</w:t>
      </w:r>
      <w:r w:rsidRPr="002B283E">
        <w:rPr>
          <w:spacing w:val="-3"/>
        </w:rPr>
        <w:t xml:space="preserve"> </w:t>
      </w:r>
      <w:r w:rsidRPr="002B283E">
        <w:t>award</w:t>
      </w:r>
      <w:r w:rsidRPr="002B283E">
        <w:rPr>
          <w:spacing w:val="-2"/>
        </w:rPr>
        <w:t xml:space="preserve"> </w:t>
      </w:r>
      <w:r w:rsidRPr="002B283E">
        <w:t>relating</w:t>
      </w:r>
      <w:r w:rsidRPr="002B283E">
        <w:rPr>
          <w:spacing w:val="-2"/>
        </w:rPr>
        <w:t xml:space="preserve"> </w:t>
      </w:r>
      <w:r w:rsidRPr="002B283E">
        <w:t>to</w:t>
      </w:r>
      <w:r w:rsidRPr="002B283E">
        <w:rPr>
          <w:spacing w:val="-2"/>
        </w:rPr>
        <w:t xml:space="preserve"> </w:t>
      </w:r>
      <w:r w:rsidRPr="002B283E">
        <w:t>either</w:t>
      </w:r>
      <w:r w:rsidRPr="002B283E">
        <w:rPr>
          <w:spacing w:val="-3"/>
        </w:rPr>
        <w:t xml:space="preserve"> </w:t>
      </w:r>
      <w:r w:rsidRPr="002B283E">
        <w:t>of</w:t>
      </w:r>
      <w:r w:rsidRPr="002B283E">
        <w:rPr>
          <w:spacing w:val="-3"/>
        </w:rPr>
        <w:t xml:space="preserve"> </w:t>
      </w:r>
      <w:r w:rsidRPr="002B283E">
        <w:t>these</w:t>
      </w:r>
      <w:r w:rsidRPr="002B283E">
        <w:rPr>
          <w:spacing w:val="-3"/>
        </w:rPr>
        <w:t xml:space="preserve"> </w:t>
      </w:r>
      <w:r w:rsidRPr="002B283E">
        <w:t>claims,</w:t>
      </w:r>
      <w:r w:rsidRPr="002B283E">
        <w:rPr>
          <w:spacing w:val="-2"/>
        </w:rPr>
        <w:t xml:space="preserve"> </w:t>
      </w:r>
      <w:r w:rsidRPr="002B283E">
        <w:t>then</w:t>
      </w:r>
      <w:r w:rsidRPr="002B283E">
        <w:rPr>
          <w:spacing w:val="-2"/>
        </w:rPr>
        <w:t xml:space="preserve"> </w:t>
      </w:r>
      <w:r w:rsidRPr="002B283E">
        <w:t>cure cannot be awarded for the same expenses.</w:t>
      </w:r>
    </w:p>
    <w:p w14:paraId="6FB8707D" w14:textId="77777777" w:rsidR="00C35E6C" w:rsidRPr="002B283E" w:rsidRDefault="00C35E6C" w:rsidP="008A04C2">
      <w:pPr>
        <w:pStyle w:val="BodyText"/>
        <w:ind w:left="100" w:right="149" w:firstLine="620"/>
      </w:pPr>
    </w:p>
    <w:p w14:paraId="4FE1D6B0" w14:textId="77777777" w:rsidR="00DC7E1B" w:rsidRPr="002B283E" w:rsidRDefault="00DC7E1B" w:rsidP="008A04C2">
      <w:pPr>
        <w:ind w:firstLine="620"/>
        <w:jc w:val="center"/>
        <w:rPr>
          <w:rFonts w:cs="Times New Roman"/>
          <w:b/>
          <w:bCs/>
          <w:szCs w:val="24"/>
        </w:rPr>
      </w:pPr>
      <w:r w:rsidRPr="002B283E">
        <w:rPr>
          <w:rFonts w:cs="Times New Roman"/>
          <w:b/>
          <w:bCs/>
          <w:szCs w:val="24"/>
        </w:rPr>
        <w:t>Comment</w:t>
      </w:r>
    </w:p>
    <w:p w14:paraId="25F5EDBD" w14:textId="77777777" w:rsidR="00DC7E1B" w:rsidRPr="002B283E" w:rsidRDefault="00DC7E1B" w:rsidP="008A04C2">
      <w:pPr>
        <w:pStyle w:val="BodyText"/>
        <w:ind w:firstLine="620"/>
        <w:rPr>
          <w:b/>
        </w:rPr>
      </w:pPr>
    </w:p>
    <w:p w14:paraId="437F95C5" w14:textId="57EB3E66" w:rsidR="00DC7E1B" w:rsidRPr="002B283E" w:rsidRDefault="00DC7E1B" w:rsidP="008A04C2">
      <w:pPr>
        <w:ind w:left="100" w:firstLine="620"/>
        <w:rPr>
          <w:rFonts w:cs="Times New Roman"/>
          <w:szCs w:val="24"/>
        </w:rPr>
      </w:pPr>
      <w:r w:rsidRPr="002B283E">
        <w:rPr>
          <w:rFonts w:cs="Times New Roman"/>
          <w:i/>
          <w:szCs w:val="24"/>
        </w:rPr>
        <w:t>See</w:t>
      </w:r>
      <w:r w:rsidRPr="002B283E">
        <w:rPr>
          <w:rFonts w:cs="Times New Roman"/>
          <w:i/>
          <w:spacing w:val="-9"/>
          <w:szCs w:val="24"/>
        </w:rPr>
        <w:t xml:space="preserve"> </w:t>
      </w:r>
      <w:r w:rsidRPr="002B283E">
        <w:rPr>
          <w:rFonts w:cs="Times New Roman"/>
          <w:i/>
          <w:szCs w:val="24"/>
        </w:rPr>
        <w:t>Day</w:t>
      </w:r>
      <w:r w:rsidRPr="002B283E">
        <w:rPr>
          <w:rFonts w:cs="Times New Roman"/>
          <w:i/>
          <w:spacing w:val="-9"/>
          <w:szCs w:val="24"/>
        </w:rPr>
        <w:t xml:space="preserve"> </w:t>
      </w:r>
      <w:r w:rsidRPr="002B283E">
        <w:rPr>
          <w:rFonts w:cs="Times New Roman"/>
          <w:i/>
          <w:szCs w:val="24"/>
        </w:rPr>
        <w:t>v.</w:t>
      </w:r>
      <w:r w:rsidRPr="002B283E">
        <w:rPr>
          <w:rFonts w:cs="Times New Roman"/>
          <w:i/>
          <w:spacing w:val="-10"/>
          <w:szCs w:val="24"/>
        </w:rPr>
        <w:t xml:space="preserve"> </w:t>
      </w:r>
      <w:r w:rsidRPr="002B283E">
        <w:rPr>
          <w:rFonts w:cs="Times New Roman"/>
          <w:i/>
          <w:szCs w:val="24"/>
        </w:rPr>
        <w:t>Am.</w:t>
      </w:r>
      <w:r w:rsidRPr="002B283E">
        <w:rPr>
          <w:rFonts w:cs="Times New Roman"/>
          <w:i/>
          <w:spacing w:val="-8"/>
          <w:szCs w:val="24"/>
        </w:rPr>
        <w:t xml:space="preserve"> </w:t>
      </w:r>
      <w:r w:rsidRPr="002B283E">
        <w:rPr>
          <w:rFonts w:cs="Times New Roman"/>
          <w:i/>
          <w:szCs w:val="24"/>
        </w:rPr>
        <w:t>Seafoods</w:t>
      </w:r>
      <w:r w:rsidRPr="002B283E">
        <w:rPr>
          <w:rFonts w:cs="Times New Roman"/>
          <w:i/>
          <w:spacing w:val="-6"/>
          <w:szCs w:val="24"/>
        </w:rPr>
        <w:t xml:space="preserve"> </w:t>
      </w:r>
      <w:r w:rsidRPr="002B283E">
        <w:rPr>
          <w:rFonts w:cs="Times New Roman"/>
          <w:i/>
          <w:szCs w:val="24"/>
        </w:rPr>
        <w:t>Co.</w:t>
      </w:r>
      <w:r w:rsidRPr="002B283E">
        <w:rPr>
          <w:rFonts w:cs="Times New Roman"/>
          <w:szCs w:val="24"/>
        </w:rPr>
        <w:t>,</w:t>
      </w:r>
      <w:r w:rsidRPr="002B283E">
        <w:rPr>
          <w:rFonts w:cs="Times New Roman"/>
          <w:spacing w:val="-8"/>
          <w:szCs w:val="24"/>
        </w:rPr>
        <w:t xml:space="preserve"> </w:t>
      </w:r>
      <w:r w:rsidRPr="002B283E">
        <w:rPr>
          <w:rFonts w:cs="Times New Roman"/>
          <w:szCs w:val="24"/>
        </w:rPr>
        <w:t>557</w:t>
      </w:r>
      <w:r w:rsidRPr="002B283E">
        <w:rPr>
          <w:rFonts w:cs="Times New Roman"/>
          <w:spacing w:val="-8"/>
          <w:szCs w:val="24"/>
        </w:rPr>
        <w:t xml:space="preserve"> </w:t>
      </w:r>
      <w:r w:rsidRPr="002B283E">
        <w:rPr>
          <w:rFonts w:cs="Times New Roman"/>
          <w:szCs w:val="24"/>
        </w:rPr>
        <w:t>F.3d</w:t>
      </w:r>
      <w:r w:rsidRPr="002B283E">
        <w:rPr>
          <w:rFonts w:cs="Times New Roman"/>
          <w:spacing w:val="-8"/>
          <w:szCs w:val="24"/>
        </w:rPr>
        <w:t xml:space="preserve"> </w:t>
      </w:r>
      <w:r w:rsidRPr="002B283E">
        <w:rPr>
          <w:rFonts w:cs="Times New Roman"/>
          <w:szCs w:val="24"/>
        </w:rPr>
        <w:t>1056,</w:t>
      </w:r>
      <w:r w:rsidRPr="002B283E">
        <w:rPr>
          <w:rFonts w:cs="Times New Roman"/>
          <w:spacing w:val="-8"/>
          <w:szCs w:val="24"/>
        </w:rPr>
        <w:t xml:space="preserve"> </w:t>
      </w:r>
      <w:r w:rsidRPr="002B283E">
        <w:rPr>
          <w:rFonts w:cs="Times New Roman"/>
          <w:szCs w:val="24"/>
        </w:rPr>
        <w:t>1057-58</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2009);</w:t>
      </w:r>
      <w:r w:rsidRPr="002B283E">
        <w:rPr>
          <w:rFonts w:cs="Times New Roman"/>
          <w:spacing w:val="-8"/>
          <w:szCs w:val="24"/>
        </w:rPr>
        <w:t xml:space="preserve"> </w:t>
      </w:r>
      <w:r w:rsidRPr="002B283E">
        <w:rPr>
          <w:rFonts w:cs="Times New Roman"/>
          <w:i/>
          <w:szCs w:val="24"/>
        </w:rPr>
        <w:t>Lipscomb</w:t>
      </w:r>
      <w:r w:rsidRPr="002B283E">
        <w:rPr>
          <w:rFonts w:cs="Times New Roman"/>
          <w:i/>
          <w:spacing w:val="-8"/>
          <w:szCs w:val="24"/>
        </w:rPr>
        <w:t xml:space="preserve"> </w:t>
      </w:r>
      <w:r w:rsidRPr="002B283E">
        <w:rPr>
          <w:rFonts w:cs="Times New Roman"/>
          <w:i/>
          <w:szCs w:val="24"/>
        </w:rPr>
        <w:t>v.</w:t>
      </w:r>
      <w:r w:rsidRPr="002B283E">
        <w:rPr>
          <w:rFonts w:cs="Times New Roman"/>
          <w:i/>
          <w:spacing w:val="-8"/>
          <w:szCs w:val="24"/>
        </w:rPr>
        <w:t xml:space="preserve"> </w:t>
      </w:r>
      <w:r w:rsidRPr="002B283E">
        <w:rPr>
          <w:rFonts w:cs="Times New Roman"/>
          <w:i/>
          <w:szCs w:val="24"/>
        </w:rPr>
        <w:t>Foss Maritime Co.</w:t>
      </w:r>
      <w:r w:rsidRPr="002B283E">
        <w:rPr>
          <w:rFonts w:cs="Times New Roman"/>
          <w:szCs w:val="24"/>
        </w:rPr>
        <w:t xml:space="preserve">, 83 F.3d 1106, 1108 (9th Cir. 1996); </w:t>
      </w:r>
      <w:r w:rsidRPr="002B283E">
        <w:rPr>
          <w:rFonts w:cs="Times New Roman"/>
          <w:i/>
          <w:szCs w:val="24"/>
        </w:rPr>
        <w:t>Gardiner v. Sea–Land Serv.</w:t>
      </w:r>
      <w:r w:rsidRPr="002B283E">
        <w:rPr>
          <w:rFonts w:cs="Times New Roman"/>
          <w:szCs w:val="24"/>
        </w:rPr>
        <w:t>, 786 F.2d 943,</w:t>
      </w:r>
      <w:r w:rsidR="00C35E6C">
        <w:rPr>
          <w:rFonts w:cs="Times New Roman"/>
          <w:szCs w:val="24"/>
        </w:rPr>
        <w:t xml:space="preserve"> </w:t>
      </w:r>
      <w:r w:rsidRPr="002B283E">
        <w:rPr>
          <w:rFonts w:cs="Times New Roman"/>
          <w:szCs w:val="24"/>
        </w:rPr>
        <w:t>945-46</w:t>
      </w:r>
      <w:r w:rsidRPr="002B283E">
        <w:rPr>
          <w:rFonts w:cs="Times New Roman"/>
          <w:spacing w:val="-8"/>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zCs w:val="24"/>
        </w:rPr>
        <w:t>1986);</w:t>
      </w:r>
      <w:r w:rsidRPr="002B283E">
        <w:rPr>
          <w:rFonts w:cs="Times New Roman"/>
          <w:spacing w:val="-5"/>
          <w:szCs w:val="24"/>
        </w:rPr>
        <w:t xml:space="preserve"> </w:t>
      </w:r>
      <w:r w:rsidRPr="002B283E">
        <w:rPr>
          <w:rFonts w:cs="Times New Roman"/>
          <w:i/>
          <w:szCs w:val="24"/>
        </w:rPr>
        <w:t>Kopczynski</w:t>
      </w:r>
      <w:r w:rsidRPr="002B283E">
        <w:rPr>
          <w:rFonts w:cs="Times New Roman"/>
          <w:i/>
          <w:spacing w:val="-6"/>
          <w:szCs w:val="24"/>
        </w:rPr>
        <w:t xml:space="preserve"> </w:t>
      </w:r>
      <w:r w:rsidRPr="002B283E">
        <w:rPr>
          <w:rFonts w:cs="Times New Roman"/>
          <w:i/>
          <w:szCs w:val="24"/>
        </w:rPr>
        <w:t>v.</w:t>
      </w:r>
      <w:r w:rsidRPr="002B283E">
        <w:rPr>
          <w:rFonts w:cs="Times New Roman"/>
          <w:i/>
          <w:spacing w:val="-5"/>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Jacqueline</w:t>
      </w:r>
      <w:r w:rsidRPr="002B283E">
        <w:rPr>
          <w:rFonts w:cs="Times New Roman"/>
          <w:szCs w:val="24"/>
        </w:rPr>
        <w:t>,</w:t>
      </w:r>
      <w:r w:rsidRPr="002B283E">
        <w:rPr>
          <w:rFonts w:cs="Times New Roman"/>
          <w:spacing w:val="-5"/>
          <w:szCs w:val="24"/>
        </w:rPr>
        <w:t xml:space="preserve"> </w:t>
      </w:r>
      <w:r w:rsidRPr="002B283E">
        <w:rPr>
          <w:rFonts w:cs="Times New Roman"/>
          <w:szCs w:val="24"/>
        </w:rPr>
        <w:t>742</w:t>
      </w:r>
      <w:r w:rsidRPr="002B283E">
        <w:rPr>
          <w:rFonts w:cs="Times New Roman"/>
          <w:spacing w:val="-5"/>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555,</w:t>
      </w:r>
      <w:r w:rsidRPr="002B283E">
        <w:rPr>
          <w:rFonts w:cs="Times New Roman"/>
          <w:spacing w:val="-5"/>
          <w:szCs w:val="24"/>
        </w:rPr>
        <w:t xml:space="preserve"> </w:t>
      </w:r>
      <w:r w:rsidRPr="002B283E">
        <w:rPr>
          <w:rFonts w:cs="Times New Roman"/>
          <w:szCs w:val="24"/>
        </w:rPr>
        <w:t>557-58</w:t>
      </w:r>
      <w:r w:rsidRPr="002B283E">
        <w:rPr>
          <w:rFonts w:cs="Times New Roman"/>
          <w:spacing w:val="-5"/>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pacing w:val="-2"/>
          <w:szCs w:val="24"/>
        </w:rPr>
        <w:t>1984).</w:t>
      </w:r>
    </w:p>
    <w:p w14:paraId="10A18F52" w14:textId="77777777" w:rsidR="00DC7E1B" w:rsidRPr="002B283E" w:rsidRDefault="00DC7E1B" w:rsidP="008A04C2">
      <w:pPr>
        <w:pStyle w:val="BodyText"/>
        <w:ind w:firstLine="620"/>
      </w:pPr>
    </w:p>
    <w:p w14:paraId="2103EDB8" w14:textId="1BBE7EE5" w:rsidR="00DC7E1B" w:rsidRPr="002B283E" w:rsidRDefault="00DC7E1B" w:rsidP="008A04C2">
      <w:pPr>
        <w:pStyle w:val="BodyText"/>
        <w:ind w:left="100" w:right="179" w:firstLine="620"/>
      </w:pPr>
      <w:r w:rsidRPr="002B283E">
        <w:t>The</w:t>
      </w:r>
      <w:r w:rsidRPr="002B283E">
        <w:rPr>
          <w:spacing w:val="-1"/>
        </w:rPr>
        <w:t xml:space="preserve"> </w:t>
      </w:r>
      <w:r w:rsidRPr="002B283E">
        <w:t>shipowner’s duty to provide</w:t>
      </w:r>
      <w:r w:rsidRPr="002B283E">
        <w:rPr>
          <w:spacing w:val="-1"/>
        </w:rPr>
        <w:t xml:space="preserve"> </w:t>
      </w:r>
      <w:r w:rsidRPr="002B283E">
        <w:t>maintenance</w:t>
      </w:r>
      <w:r w:rsidRPr="002B283E">
        <w:rPr>
          <w:spacing w:val="-1"/>
        </w:rPr>
        <w:t xml:space="preserve"> </w:t>
      </w:r>
      <w:r w:rsidRPr="002B283E">
        <w:t>and cure</w:t>
      </w:r>
      <w:r w:rsidRPr="002B283E">
        <w:rPr>
          <w:spacing w:val="-1"/>
        </w:rPr>
        <w:t xml:space="preserve"> </w:t>
      </w:r>
      <w:r w:rsidRPr="002B283E">
        <w:t>arises irrespective</w:t>
      </w:r>
      <w:r w:rsidRPr="002B283E">
        <w:rPr>
          <w:spacing w:val="-1"/>
        </w:rPr>
        <w:t xml:space="preserve"> </w:t>
      </w:r>
      <w:r w:rsidRPr="002B283E">
        <w:t>of</w:t>
      </w:r>
      <w:r w:rsidRPr="002B283E">
        <w:rPr>
          <w:spacing w:val="-1"/>
        </w:rPr>
        <w:t xml:space="preserve"> </w:t>
      </w:r>
      <w:r w:rsidRPr="002B283E">
        <w:t>whether</w:t>
      </w:r>
      <w:r w:rsidRPr="002B283E">
        <w:rPr>
          <w:spacing w:val="-1"/>
        </w:rPr>
        <w:t xml:space="preserve"> </w:t>
      </w:r>
      <w:r w:rsidRPr="002B283E">
        <w:t>the illness or injury is suffered in the course of the seaman’s employment, and negligence on the seaman’s</w:t>
      </w:r>
      <w:r w:rsidRPr="002B283E">
        <w:rPr>
          <w:spacing w:val="-8"/>
        </w:rPr>
        <w:t xml:space="preserve"> </w:t>
      </w:r>
      <w:r w:rsidRPr="002B283E">
        <w:t>part</w:t>
      </w:r>
      <w:r w:rsidRPr="002B283E">
        <w:rPr>
          <w:spacing w:val="-8"/>
        </w:rPr>
        <w:t xml:space="preserve"> </w:t>
      </w:r>
      <w:r w:rsidRPr="002B283E">
        <w:t>will</w:t>
      </w:r>
      <w:r w:rsidRPr="002B283E">
        <w:rPr>
          <w:spacing w:val="-8"/>
        </w:rPr>
        <w:t xml:space="preserve"> </w:t>
      </w:r>
      <w:r w:rsidRPr="002B283E">
        <w:t>not</w:t>
      </w:r>
      <w:r w:rsidRPr="002B283E">
        <w:rPr>
          <w:spacing w:val="-8"/>
        </w:rPr>
        <w:t xml:space="preserve"> </w:t>
      </w:r>
      <w:r w:rsidRPr="002B283E">
        <w:t>relieve</w:t>
      </w:r>
      <w:r w:rsidRPr="002B283E">
        <w:rPr>
          <w:spacing w:val="-9"/>
        </w:rPr>
        <w:t xml:space="preserve"> </w:t>
      </w:r>
      <w:r w:rsidRPr="002B283E">
        <w:t>the</w:t>
      </w:r>
      <w:r w:rsidRPr="002B283E">
        <w:rPr>
          <w:spacing w:val="-9"/>
        </w:rPr>
        <w:t xml:space="preserve"> </w:t>
      </w:r>
      <w:r w:rsidRPr="002B283E">
        <w:t>shipowner</w:t>
      </w:r>
      <w:r w:rsidRPr="002B283E">
        <w:rPr>
          <w:spacing w:val="-9"/>
        </w:rPr>
        <w:t xml:space="preserve"> </w:t>
      </w:r>
      <w:r w:rsidRPr="002B283E">
        <w:t>of</w:t>
      </w:r>
      <w:r w:rsidRPr="002B283E">
        <w:rPr>
          <w:spacing w:val="-9"/>
        </w:rPr>
        <w:t xml:space="preserve"> </w:t>
      </w:r>
      <w:r w:rsidRPr="002B283E">
        <w:t>responsibility.</w:t>
      </w:r>
      <w:r w:rsidR="00C35E6C">
        <w:rPr>
          <w:spacing w:val="40"/>
        </w:rPr>
        <w:t xml:space="preserve"> </w:t>
      </w:r>
      <w:r w:rsidRPr="002B283E">
        <w:rPr>
          <w:i/>
        </w:rPr>
        <w:t>Vella</w:t>
      </w:r>
      <w:r w:rsidRPr="002B283E">
        <w:rPr>
          <w:i/>
          <w:spacing w:val="-8"/>
        </w:rPr>
        <w:t xml:space="preserve"> </w:t>
      </w:r>
      <w:r w:rsidRPr="002B283E">
        <w:rPr>
          <w:i/>
        </w:rPr>
        <w:t>v.</w:t>
      </w:r>
      <w:r w:rsidRPr="002B283E">
        <w:rPr>
          <w:i/>
          <w:spacing w:val="-8"/>
        </w:rPr>
        <w:t xml:space="preserve"> </w:t>
      </w:r>
      <w:r w:rsidRPr="002B283E">
        <w:rPr>
          <w:i/>
        </w:rPr>
        <w:t>Ford</w:t>
      </w:r>
      <w:r w:rsidRPr="002B283E">
        <w:rPr>
          <w:i/>
          <w:spacing w:val="-8"/>
        </w:rPr>
        <w:t xml:space="preserve"> </w:t>
      </w:r>
      <w:r w:rsidRPr="002B283E">
        <w:rPr>
          <w:i/>
        </w:rPr>
        <w:t>Motor</w:t>
      </w:r>
      <w:r w:rsidRPr="002B283E">
        <w:rPr>
          <w:i/>
          <w:spacing w:val="-8"/>
        </w:rPr>
        <w:t xml:space="preserve"> </w:t>
      </w:r>
      <w:r w:rsidRPr="002B283E">
        <w:rPr>
          <w:i/>
        </w:rPr>
        <w:t>Co.</w:t>
      </w:r>
      <w:r w:rsidRPr="002B283E">
        <w:t>,</w:t>
      </w:r>
      <w:r w:rsidRPr="002B283E">
        <w:rPr>
          <w:spacing w:val="-8"/>
        </w:rPr>
        <w:t xml:space="preserve"> </w:t>
      </w:r>
      <w:r w:rsidRPr="002B283E">
        <w:t>421</w:t>
      </w:r>
      <w:r w:rsidRPr="002B283E">
        <w:rPr>
          <w:spacing w:val="-8"/>
        </w:rPr>
        <w:t xml:space="preserve"> </w:t>
      </w:r>
      <w:r w:rsidRPr="002B283E">
        <w:t>U.S. 1, 4-5 (1975).</w:t>
      </w:r>
      <w:r w:rsidRPr="002B283E">
        <w:rPr>
          <w:spacing w:val="40"/>
        </w:rPr>
        <w:t xml:space="preserve"> </w:t>
      </w:r>
      <w:r w:rsidRPr="002B283E">
        <w:t>A</w:t>
      </w:r>
      <w:r w:rsidRPr="002B283E">
        <w:rPr>
          <w:spacing w:val="-7"/>
        </w:rPr>
        <w:t xml:space="preserve"> </w:t>
      </w:r>
      <w:r w:rsidRPr="002B283E">
        <w:t>plaintiff may not recover for maintenance and cure when the injury or illness results</w:t>
      </w:r>
      <w:r w:rsidRPr="002B283E">
        <w:rPr>
          <w:spacing w:val="-5"/>
        </w:rPr>
        <w:t xml:space="preserve"> </w:t>
      </w:r>
      <w:r w:rsidRPr="002B283E">
        <w:t>from</w:t>
      </w:r>
      <w:r w:rsidRPr="002B283E">
        <w:rPr>
          <w:spacing w:val="-5"/>
        </w:rPr>
        <w:t xml:space="preserve"> </w:t>
      </w:r>
      <w:r w:rsidRPr="002B283E">
        <w:t>the</w:t>
      </w:r>
      <w:r w:rsidRPr="002B283E">
        <w:rPr>
          <w:spacing w:val="-6"/>
        </w:rPr>
        <w:t xml:space="preserve"> </w:t>
      </w:r>
      <w:r w:rsidRPr="002B283E">
        <w:t>plaintiff’s</w:t>
      </w:r>
      <w:r w:rsidRPr="002B283E">
        <w:rPr>
          <w:spacing w:val="-5"/>
        </w:rPr>
        <w:t xml:space="preserve"> </w:t>
      </w:r>
      <w:r w:rsidRPr="002B283E">
        <w:t>own</w:t>
      </w:r>
      <w:r w:rsidRPr="002B283E">
        <w:rPr>
          <w:spacing w:val="-5"/>
        </w:rPr>
        <w:t xml:space="preserve"> </w:t>
      </w:r>
      <w:r w:rsidRPr="002B283E">
        <w:t>willful</w:t>
      </w:r>
      <w:r w:rsidRPr="002B283E">
        <w:rPr>
          <w:spacing w:val="-5"/>
        </w:rPr>
        <w:t xml:space="preserve"> </w:t>
      </w:r>
      <w:r w:rsidRPr="002B283E">
        <w:t>misbehavior.</w:t>
      </w:r>
      <w:r w:rsidRPr="002B283E">
        <w:rPr>
          <w:spacing w:val="40"/>
        </w:rPr>
        <w:t xml:space="preserve"> </w:t>
      </w:r>
      <w:r w:rsidRPr="002B283E">
        <w:rPr>
          <w:i/>
        </w:rPr>
        <w:t>See</w:t>
      </w:r>
      <w:r w:rsidRPr="002B283E">
        <w:rPr>
          <w:i/>
          <w:spacing w:val="-6"/>
        </w:rPr>
        <w:t xml:space="preserve"> </w:t>
      </w:r>
      <w:r w:rsidRPr="002B283E">
        <w:rPr>
          <w:i/>
        </w:rPr>
        <w:t>Omar</w:t>
      </w:r>
      <w:r w:rsidRPr="002B283E">
        <w:rPr>
          <w:i/>
          <w:spacing w:val="-5"/>
        </w:rPr>
        <w:t xml:space="preserve"> </w:t>
      </w:r>
      <w:r w:rsidRPr="002B283E">
        <w:rPr>
          <w:i/>
        </w:rPr>
        <w:t>v.</w:t>
      </w:r>
      <w:r w:rsidRPr="002B283E">
        <w:rPr>
          <w:i/>
          <w:spacing w:val="-5"/>
        </w:rPr>
        <w:t xml:space="preserve"> </w:t>
      </w:r>
      <w:r w:rsidRPr="002B283E">
        <w:rPr>
          <w:i/>
        </w:rPr>
        <w:t>Sea</w:t>
      </w:r>
      <w:r w:rsidR="00C35E6C">
        <w:rPr>
          <w:i/>
        </w:rPr>
        <w:t>-</w:t>
      </w:r>
      <w:r w:rsidRPr="002B283E">
        <w:rPr>
          <w:i/>
        </w:rPr>
        <w:t>Land</w:t>
      </w:r>
      <w:r w:rsidRPr="002B283E">
        <w:rPr>
          <w:i/>
          <w:spacing w:val="-3"/>
        </w:rPr>
        <w:t xml:space="preserve"> </w:t>
      </w:r>
      <w:r w:rsidRPr="002B283E">
        <w:rPr>
          <w:i/>
        </w:rPr>
        <w:t>Serv.</w:t>
      </w:r>
      <w:r w:rsidRPr="002B283E">
        <w:t>,</w:t>
      </w:r>
      <w:r w:rsidRPr="002B283E">
        <w:rPr>
          <w:spacing w:val="-5"/>
        </w:rPr>
        <w:t xml:space="preserve"> </w:t>
      </w:r>
      <w:r w:rsidRPr="002B283E">
        <w:t>813</w:t>
      </w:r>
      <w:r w:rsidRPr="002B283E">
        <w:rPr>
          <w:spacing w:val="-5"/>
        </w:rPr>
        <w:t xml:space="preserve"> </w:t>
      </w:r>
      <w:r w:rsidRPr="002B283E">
        <w:t>F.2d</w:t>
      </w:r>
      <w:r w:rsidRPr="002B283E">
        <w:rPr>
          <w:spacing w:val="-5"/>
        </w:rPr>
        <w:t xml:space="preserve"> </w:t>
      </w:r>
      <w:r w:rsidRPr="002B283E">
        <w:t>986, 989-90 (9th Cir. 1987).</w:t>
      </w:r>
    </w:p>
    <w:p w14:paraId="2EC376C6" w14:textId="77777777" w:rsidR="00DC7E1B" w:rsidRPr="002B283E" w:rsidRDefault="00DC7E1B" w:rsidP="008A04C2">
      <w:pPr>
        <w:pStyle w:val="BodyText"/>
        <w:ind w:firstLine="620"/>
      </w:pPr>
    </w:p>
    <w:p w14:paraId="56DF6608" w14:textId="60498C22" w:rsidR="00DC7E1B" w:rsidRPr="002B283E" w:rsidRDefault="00DC7E1B" w:rsidP="008A04C2">
      <w:pPr>
        <w:pStyle w:val="BodyText"/>
        <w:tabs>
          <w:tab w:val="left" w:leader="dot" w:pos="7532"/>
        </w:tabs>
        <w:ind w:left="100" w:right="313" w:firstLine="620"/>
      </w:pPr>
      <w:r w:rsidRPr="002B283E">
        <w:t>Only “medical expenses” would be duplicative of “cure.”</w:t>
      </w:r>
      <w:r w:rsidRPr="002B283E">
        <w:rPr>
          <w:spacing w:val="40"/>
        </w:rPr>
        <w:t xml:space="preserve"> </w:t>
      </w:r>
      <w:r w:rsidRPr="002B283E">
        <w:t>As the Ninth Circuit has explained,</w:t>
      </w:r>
      <w:r w:rsidRPr="002B283E">
        <w:rPr>
          <w:spacing w:val="-3"/>
        </w:rPr>
        <w:t xml:space="preserve"> </w:t>
      </w:r>
      <w:r w:rsidRPr="002B283E">
        <w:t>“the</w:t>
      </w:r>
      <w:r w:rsidRPr="002B283E">
        <w:rPr>
          <w:spacing w:val="-4"/>
        </w:rPr>
        <w:t xml:space="preserve"> </w:t>
      </w:r>
      <w:r w:rsidRPr="002B283E">
        <w:t>maintenance</w:t>
      </w:r>
      <w:r w:rsidRPr="002B283E">
        <w:rPr>
          <w:spacing w:val="-4"/>
        </w:rPr>
        <w:t xml:space="preserve"> </w:t>
      </w:r>
      <w:r w:rsidRPr="002B283E">
        <w:t>obligation</w:t>
      </w:r>
      <w:r w:rsidRPr="002B283E">
        <w:rPr>
          <w:spacing w:val="-3"/>
        </w:rPr>
        <w:t xml:space="preserve"> </w:t>
      </w:r>
      <w:r w:rsidRPr="002B283E">
        <w:t>is</w:t>
      </w:r>
      <w:r w:rsidRPr="002B283E">
        <w:rPr>
          <w:spacing w:val="-3"/>
        </w:rPr>
        <w:t xml:space="preserve"> </w:t>
      </w:r>
      <w:r w:rsidRPr="002B283E">
        <w:t>independent</w:t>
      </w:r>
      <w:r w:rsidRPr="002B283E">
        <w:rPr>
          <w:spacing w:val="-3"/>
        </w:rPr>
        <w:t xml:space="preserve"> </w:t>
      </w:r>
      <w:r w:rsidRPr="002B283E">
        <w:t>of</w:t>
      </w:r>
      <w:r w:rsidRPr="002B283E">
        <w:rPr>
          <w:spacing w:val="-4"/>
        </w:rPr>
        <w:t xml:space="preserve"> </w:t>
      </w:r>
      <w:r w:rsidRPr="002B283E">
        <w:t>that</w:t>
      </w:r>
      <w:r w:rsidRPr="002B283E">
        <w:rPr>
          <w:spacing w:val="-3"/>
        </w:rPr>
        <w:t xml:space="preserve"> </w:t>
      </w:r>
      <w:r w:rsidRPr="002B283E">
        <w:t>to</w:t>
      </w:r>
      <w:r w:rsidRPr="002B283E">
        <w:rPr>
          <w:spacing w:val="-3"/>
        </w:rPr>
        <w:t xml:space="preserve"> </w:t>
      </w:r>
      <w:r w:rsidRPr="002B283E">
        <w:t>compensate</w:t>
      </w:r>
      <w:r w:rsidRPr="002B283E">
        <w:rPr>
          <w:spacing w:val="-4"/>
        </w:rPr>
        <w:t xml:space="preserve"> </w:t>
      </w:r>
      <w:r w:rsidRPr="002B283E">
        <w:t>for</w:t>
      </w:r>
      <w:r w:rsidRPr="002B283E">
        <w:rPr>
          <w:spacing w:val="-4"/>
        </w:rPr>
        <w:t xml:space="preserve"> </w:t>
      </w:r>
      <w:r w:rsidRPr="002B283E">
        <w:t>lost</w:t>
      </w:r>
      <w:r w:rsidRPr="002B283E">
        <w:rPr>
          <w:spacing w:val="-3"/>
        </w:rPr>
        <w:t xml:space="preserve"> </w:t>
      </w:r>
      <w:r w:rsidRPr="002B283E">
        <w:t>wages</w:t>
      </w:r>
      <w:r w:rsidRPr="002B283E">
        <w:rPr>
          <w:spacing w:val="-3"/>
        </w:rPr>
        <w:t xml:space="preserve"> </w:t>
      </w:r>
      <w:r w:rsidRPr="002B283E">
        <w:t>and exists without regard to the fact that lost wages may be computed on the basis of employment ashore.”</w:t>
      </w:r>
      <w:r w:rsidRPr="002B283E">
        <w:rPr>
          <w:spacing w:val="40"/>
        </w:rPr>
        <w:t xml:space="preserve"> </w:t>
      </w:r>
      <w:r w:rsidRPr="002B283E">
        <w:rPr>
          <w:i/>
        </w:rPr>
        <w:t>Crooks</w:t>
      </w:r>
      <w:r w:rsidRPr="002B283E">
        <w:rPr>
          <w:i/>
          <w:spacing w:val="-6"/>
        </w:rPr>
        <w:t xml:space="preserve"> </w:t>
      </w:r>
      <w:r w:rsidRPr="002B283E">
        <w:rPr>
          <w:i/>
        </w:rPr>
        <w:t>v.</w:t>
      </w:r>
      <w:r w:rsidRPr="002B283E">
        <w:rPr>
          <w:i/>
          <w:spacing w:val="-6"/>
        </w:rPr>
        <w:t xml:space="preserve"> </w:t>
      </w:r>
      <w:r w:rsidRPr="002B283E">
        <w:rPr>
          <w:i/>
        </w:rPr>
        <w:t>United</w:t>
      </w:r>
      <w:r w:rsidRPr="002B283E">
        <w:rPr>
          <w:i/>
          <w:spacing w:val="-6"/>
        </w:rPr>
        <w:t xml:space="preserve"> </w:t>
      </w:r>
      <w:r w:rsidRPr="002B283E">
        <w:rPr>
          <w:i/>
        </w:rPr>
        <w:t>States</w:t>
      </w:r>
      <w:r w:rsidRPr="008A04C2">
        <w:rPr>
          <w:iCs/>
        </w:rPr>
        <w:t>,</w:t>
      </w:r>
      <w:r w:rsidRPr="002B283E">
        <w:rPr>
          <w:i/>
          <w:spacing w:val="-6"/>
        </w:rPr>
        <w:t xml:space="preserve"> </w:t>
      </w:r>
      <w:r w:rsidRPr="002B283E">
        <w:t>459</w:t>
      </w:r>
      <w:r w:rsidRPr="002B283E">
        <w:rPr>
          <w:spacing w:val="-6"/>
        </w:rPr>
        <w:t xml:space="preserve"> </w:t>
      </w:r>
      <w:r w:rsidRPr="002B283E">
        <w:t>F.2d</w:t>
      </w:r>
      <w:r w:rsidRPr="002B283E">
        <w:rPr>
          <w:spacing w:val="-6"/>
        </w:rPr>
        <w:t xml:space="preserve"> </w:t>
      </w:r>
      <w:r w:rsidRPr="002B283E">
        <w:t>631,</w:t>
      </w:r>
      <w:r w:rsidRPr="002B283E">
        <w:rPr>
          <w:spacing w:val="-6"/>
        </w:rPr>
        <w:t xml:space="preserve"> </w:t>
      </w:r>
      <w:r w:rsidRPr="002B283E">
        <w:t>635</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1972);</w:t>
      </w:r>
      <w:r w:rsidRPr="002B283E">
        <w:rPr>
          <w:spacing w:val="-6"/>
        </w:rPr>
        <w:t xml:space="preserve"> </w:t>
      </w:r>
      <w:r w:rsidRPr="002B283E">
        <w:rPr>
          <w:i/>
        </w:rPr>
        <w:t>see</w:t>
      </w:r>
      <w:r w:rsidRPr="002B283E">
        <w:rPr>
          <w:i/>
          <w:spacing w:val="-7"/>
        </w:rPr>
        <w:t xml:space="preserve"> </w:t>
      </w:r>
      <w:r w:rsidRPr="002B283E">
        <w:rPr>
          <w:i/>
        </w:rPr>
        <w:t>also</w:t>
      </w:r>
      <w:r w:rsidRPr="002B283E">
        <w:rPr>
          <w:i/>
          <w:spacing w:val="-6"/>
        </w:rPr>
        <w:t xml:space="preserve"> </w:t>
      </w:r>
      <w:r w:rsidRPr="002B283E">
        <w:rPr>
          <w:i/>
        </w:rPr>
        <w:t>Colburn</w:t>
      </w:r>
      <w:r w:rsidRPr="002B283E">
        <w:rPr>
          <w:i/>
          <w:spacing w:val="-6"/>
        </w:rPr>
        <w:t xml:space="preserve"> </w:t>
      </w:r>
      <w:r w:rsidRPr="002B283E">
        <w:rPr>
          <w:i/>
        </w:rPr>
        <w:t>v.</w:t>
      </w:r>
      <w:r w:rsidRPr="002B283E">
        <w:rPr>
          <w:i/>
          <w:spacing w:val="-6"/>
        </w:rPr>
        <w:t xml:space="preserve"> </w:t>
      </w:r>
      <w:r w:rsidRPr="002B283E">
        <w:rPr>
          <w:i/>
        </w:rPr>
        <w:t>Bunge Towing,</w:t>
      </w:r>
      <w:r w:rsidRPr="002B283E">
        <w:rPr>
          <w:i/>
          <w:spacing w:val="-3"/>
        </w:rPr>
        <w:t xml:space="preserve"> </w:t>
      </w:r>
      <w:r w:rsidRPr="002B283E">
        <w:rPr>
          <w:i/>
        </w:rPr>
        <w:t>Inc.</w:t>
      </w:r>
      <w:r w:rsidRPr="002B283E">
        <w:t>,</w:t>
      </w:r>
      <w:r w:rsidRPr="002B283E">
        <w:rPr>
          <w:spacing w:val="-3"/>
        </w:rPr>
        <w:t xml:space="preserve"> </w:t>
      </w:r>
      <w:r w:rsidRPr="002B283E">
        <w:t>883</w:t>
      </w:r>
      <w:r w:rsidRPr="002B283E">
        <w:rPr>
          <w:spacing w:val="-3"/>
        </w:rPr>
        <w:t xml:space="preserve"> </w:t>
      </w:r>
      <w:r w:rsidRPr="002B283E">
        <w:t>F.2d</w:t>
      </w:r>
      <w:r w:rsidRPr="002B283E">
        <w:rPr>
          <w:spacing w:val="-3"/>
        </w:rPr>
        <w:t xml:space="preserve"> </w:t>
      </w:r>
      <w:r w:rsidRPr="002B283E">
        <w:t>372,</w:t>
      </w:r>
      <w:r w:rsidRPr="002B283E">
        <w:rPr>
          <w:spacing w:val="-3"/>
        </w:rPr>
        <w:t xml:space="preserve"> </w:t>
      </w:r>
      <w:r w:rsidRPr="002B283E">
        <w:t>378</w:t>
      </w:r>
      <w:r w:rsidRPr="002B283E">
        <w:rPr>
          <w:spacing w:val="-3"/>
        </w:rPr>
        <w:t xml:space="preserve"> </w:t>
      </w:r>
      <w:r w:rsidRPr="002B283E">
        <w:t>(5th</w:t>
      </w:r>
      <w:r w:rsidRPr="002B283E">
        <w:rPr>
          <w:spacing w:val="-3"/>
        </w:rPr>
        <w:t xml:space="preserve"> </w:t>
      </w:r>
      <w:r w:rsidRPr="002B283E">
        <w:t>Cir.</w:t>
      </w:r>
      <w:r w:rsidRPr="002B283E">
        <w:rPr>
          <w:spacing w:val="-3"/>
        </w:rPr>
        <w:t xml:space="preserve"> </w:t>
      </w:r>
      <w:r w:rsidRPr="002B283E">
        <w:t>1989)</w:t>
      </w:r>
      <w:r w:rsidRPr="002B283E">
        <w:rPr>
          <w:spacing w:val="-4"/>
        </w:rPr>
        <w:t xml:space="preserve"> </w:t>
      </w:r>
      <w:r w:rsidRPr="002B283E">
        <w:t>(“Maintenance</w:t>
      </w:r>
      <w:r w:rsidRPr="002B283E">
        <w:rPr>
          <w:spacing w:val="-4"/>
        </w:rPr>
        <w:t xml:space="preserve"> </w:t>
      </w:r>
      <w:r w:rsidRPr="002B283E">
        <w:t>is</w:t>
      </w:r>
      <w:r w:rsidRPr="002B283E">
        <w:rPr>
          <w:spacing w:val="-3"/>
        </w:rPr>
        <w:t xml:space="preserve"> </w:t>
      </w:r>
      <w:r w:rsidRPr="002B283E">
        <w:t>neither</w:t>
      </w:r>
      <w:r w:rsidRPr="002B283E">
        <w:rPr>
          <w:spacing w:val="-4"/>
        </w:rPr>
        <w:t xml:space="preserve"> </w:t>
      </w:r>
      <w:r w:rsidRPr="002B283E">
        <w:t>a</w:t>
      </w:r>
      <w:r w:rsidRPr="002B283E">
        <w:rPr>
          <w:spacing w:val="-2"/>
        </w:rPr>
        <w:t xml:space="preserve"> </w:t>
      </w:r>
      <w:r w:rsidRPr="002B283E">
        <w:t>substitute</w:t>
      </w:r>
      <w:r w:rsidRPr="002B283E">
        <w:rPr>
          <w:spacing w:val="-4"/>
        </w:rPr>
        <w:t xml:space="preserve"> </w:t>
      </w:r>
      <w:r w:rsidRPr="002B283E">
        <w:t>for</w:t>
      </w:r>
      <w:r w:rsidRPr="002B283E">
        <w:rPr>
          <w:spacing w:val="-4"/>
        </w:rPr>
        <w:t xml:space="preserve"> </w:t>
      </w:r>
      <w:r w:rsidRPr="002B283E">
        <w:t>wages nor is it to be considered in lieu of seaman’s wages, in whole or in part”</w:t>
      </w:r>
      <w:r w:rsidR="00820D6D" w:rsidRPr="002B283E">
        <w:t xml:space="preserve">. . . . </w:t>
      </w:r>
      <w:r w:rsidRPr="002B283E">
        <w:t>“[A]n award of</w:t>
      </w:r>
      <w:r w:rsidR="00820D6D" w:rsidRPr="002B283E">
        <w:t xml:space="preserve"> </w:t>
      </w:r>
      <w:r w:rsidRPr="002B283E">
        <w:t>maintenance</w:t>
      </w:r>
      <w:r w:rsidRPr="002B283E">
        <w:rPr>
          <w:spacing w:val="-4"/>
        </w:rPr>
        <w:t xml:space="preserve"> </w:t>
      </w:r>
      <w:r w:rsidRPr="002B283E">
        <w:t>by</w:t>
      </w:r>
      <w:r w:rsidRPr="002B283E">
        <w:rPr>
          <w:spacing w:val="-3"/>
        </w:rPr>
        <w:t xml:space="preserve"> </w:t>
      </w:r>
      <w:r w:rsidRPr="002B283E">
        <w:t>the</w:t>
      </w:r>
      <w:r w:rsidRPr="002B283E">
        <w:rPr>
          <w:spacing w:val="-4"/>
        </w:rPr>
        <w:t xml:space="preserve"> </w:t>
      </w:r>
      <w:r w:rsidRPr="002B283E">
        <w:t>trial</w:t>
      </w:r>
      <w:r w:rsidRPr="002B283E">
        <w:rPr>
          <w:spacing w:val="-1"/>
        </w:rPr>
        <w:t xml:space="preserve"> </w:t>
      </w:r>
      <w:r w:rsidRPr="002B283E">
        <w:t>court</w:t>
      </w:r>
      <w:r w:rsidRPr="002B283E">
        <w:rPr>
          <w:spacing w:val="-3"/>
        </w:rPr>
        <w:t xml:space="preserve"> </w:t>
      </w:r>
      <w:r w:rsidRPr="002B283E">
        <w:t>in</w:t>
      </w:r>
      <w:r w:rsidRPr="002B283E">
        <w:rPr>
          <w:spacing w:val="-3"/>
        </w:rPr>
        <w:t xml:space="preserve"> </w:t>
      </w:r>
      <w:r w:rsidRPr="002B283E">
        <w:t>addition</w:t>
      </w:r>
      <w:r w:rsidRPr="002B283E">
        <w:rPr>
          <w:spacing w:val="-3"/>
        </w:rPr>
        <w:t xml:space="preserve"> </w:t>
      </w:r>
      <w:r w:rsidRPr="002B283E">
        <w:t>to</w:t>
      </w:r>
      <w:r w:rsidRPr="002B283E">
        <w:rPr>
          <w:spacing w:val="-3"/>
        </w:rPr>
        <w:t xml:space="preserve"> </w:t>
      </w:r>
      <w:r w:rsidRPr="002B283E">
        <w:t>a</w:t>
      </w:r>
      <w:r w:rsidRPr="002B283E">
        <w:rPr>
          <w:spacing w:val="-4"/>
        </w:rPr>
        <w:t xml:space="preserve"> </w:t>
      </w:r>
      <w:r w:rsidRPr="002B283E">
        <w:t>general</w:t>
      </w:r>
      <w:r w:rsidRPr="002B283E">
        <w:rPr>
          <w:spacing w:val="-3"/>
        </w:rPr>
        <w:t xml:space="preserve"> </w:t>
      </w:r>
      <w:r w:rsidRPr="002B283E">
        <w:t>damage</w:t>
      </w:r>
      <w:r w:rsidRPr="002B283E">
        <w:rPr>
          <w:spacing w:val="-4"/>
        </w:rPr>
        <w:t xml:space="preserve"> </w:t>
      </w:r>
      <w:r w:rsidRPr="002B283E">
        <w:t>award</w:t>
      </w:r>
      <w:r w:rsidRPr="002B283E">
        <w:rPr>
          <w:spacing w:val="-3"/>
        </w:rPr>
        <w:t xml:space="preserve"> </w:t>
      </w:r>
      <w:r w:rsidRPr="002B283E">
        <w:t>that</w:t>
      </w:r>
      <w:r w:rsidRPr="002B283E">
        <w:rPr>
          <w:spacing w:val="-3"/>
        </w:rPr>
        <w:t xml:space="preserve"> </w:t>
      </w:r>
      <w:r w:rsidRPr="002B283E">
        <w:t>includes</w:t>
      </w:r>
      <w:r w:rsidRPr="002B283E">
        <w:rPr>
          <w:spacing w:val="-3"/>
        </w:rPr>
        <w:t xml:space="preserve"> </w:t>
      </w:r>
      <w:r w:rsidRPr="002B283E">
        <w:t>past</w:t>
      </w:r>
      <w:r w:rsidRPr="002B283E">
        <w:rPr>
          <w:spacing w:val="-3"/>
        </w:rPr>
        <w:t xml:space="preserve"> </w:t>
      </w:r>
      <w:r w:rsidRPr="002B283E">
        <w:t>and</w:t>
      </w:r>
      <w:r w:rsidRPr="002B283E">
        <w:rPr>
          <w:spacing w:val="-3"/>
        </w:rPr>
        <w:t xml:space="preserve"> </w:t>
      </w:r>
      <w:r w:rsidRPr="002B283E">
        <w:t>future wages is proper.”).</w:t>
      </w:r>
    </w:p>
    <w:p w14:paraId="535A37AB" w14:textId="77777777" w:rsidR="00DC7E1B" w:rsidRPr="002B283E" w:rsidRDefault="00DC7E1B" w:rsidP="008A04C2">
      <w:pPr>
        <w:pStyle w:val="BodyText"/>
        <w:ind w:firstLine="620"/>
      </w:pPr>
    </w:p>
    <w:p w14:paraId="47167123" w14:textId="77777777" w:rsidR="00DC7E1B" w:rsidRPr="002B283E" w:rsidRDefault="00DC7E1B" w:rsidP="008A04C2">
      <w:pPr>
        <w:pStyle w:val="BodyText"/>
        <w:ind w:left="100" w:right="149" w:firstLine="620"/>
      </w:pPr>
      <w:r w:rsidRPr="002B283E">
        <w:t>Failure to pay maintenance and/or cure when due renders the defendant liable for not</w:t>
      </w:r>
      <w:r w:rsidRPr="002B283E">
        <w:rPr>
          <w:spacing w:val="40"/>
        </w:rPr>
        <w:t xml:space="preserve"> </w:t>
      </w:r>
      <w:r w:rsidRPr="002B283E">
        <w:t xml:space="preserve">only the quantum of maintenance and/or cure that was not paid but also for any resulting harm. </w:t>
      </w:r>
      <w:r w:rsidRPr="002B283E">
        <w:rPr>
          <w:i/>
        </w:rPr>
        <w:t xml:space="preserve">See Cortes v. Baltimore Insular Line, Inc. </w:t>
      </w:r>
      <w:r w:rsidRPr="002B283E">
        <w:t>287 U.S. 367, 371 (1932) (“If the failure to give maintenance or cure has caused or aggravated an illness, the seaman has his right of action for the injury thus done to him; the recovery in such circumstances including not only necessary expenses,</w:t>
      </w:r>
      <w:r w:rsidRPr="002B283E">
        <w:rPr>
          <w:spacing w:val="-3"/>
        </w:rPr>
        <w:t xml:space="preserve"> </w:t>
      </w:r>
      <w:r w:rsidRPr="002B283E">
        <w:t>but</w:t>
      </w:r>
      <w:r w:rsidRPr="002B283E">
        <w:rPr>
          <w:spacing w:val="-3"/>
        </w:rPr>
        <w:t xml:space="preserve"> </w:t>
      </w:r>
      <w:r w:rsidRPr="002B283E">
        <w:t>also</w:t>
      </w:r>
      <w:r w:rsidRPr="002B283E">
        <w:rPr>
          <w:spacing w:val="-3"/>
        </w:rPr>
        <w:t xml:space="preserve"> </w:t>
      </w:r>
      <w:r w:rsidRPr="002B283E">
        <w:t>compensation</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hurt.”).</w:t>
      </w:r>
      <w:r w:rsidRPr="002B283E">
        <w:rPr>
          <w:spacing w:val="40"/>
        </w:rPr>
        <w:t xml:space="preserve"> </w:t>
      </w:r>
      <w:r w:rsidRPr="002B283E">
        <w:t>The</w:t>
      </w:r>
      <w:r w:rsidRPr="002B283E">
        <w:rPr>
          <w:spacing w:val="-4"/>
        </w:rPr>
        <w:t xml:space="preserve"> </w:t>
      </w:r>
      <w:r w:rsidRPr="002B283E">
        <w:t>bracketed</w:t>
      </w:r>
      <w:r w:rsidRPr="002B283E">
        <w:rPr>
          <w:spacing w:val="-3"/>
        </w:rPr>
        <w:t xml:space="preserve"> </w:t>
      </w:r>
      <w:r w:rsidRPr="002B283E">
        <w:t>paragraph</w:t>
      </w:r>
      <w:r w:rsidRPr="002B283E">
        <w:rPr>
          <w:spacing w:val="-3"/>
        </w:rPr>
        <w:t xml:space="preserve"> </w:t>
      </w:r>
      <w:r w:rsidRPr="002B283E">
        <w:t>on</w:t>
      </w:r>
      <w:r w:rsidRPr="002B283E">
        <w:rPr>
          <w:spacing w:val="-3"/>
        </w:rPr>
        <w:t xml:space="preserve"> </w:t>
      </w:r>
      <w:r w:rsidRPr="002B283E">
        <w:t>this</w:t>
      </w:r>
      <w:r w:rsidRPr="002B283E">
        <w:rPr>
          <w:spacing w:val="-3"/>
        </w:rPr>
        <w:t xml:space="preserve"> </w:t>
      </w:r>
      <w:r w:rsidRPr="002B283E">
        <w:t>point</w:t>
      </w:r>
      <w:r w:rsidRPr="002B283E">
        <w:rPr>
          <w:spacing w:val="-3"/>
        </w:rPr>
        <w:t xml:space="preserve"> </w:t>
      </w:r>
      <w:r w:rsidRPr="002B283E">
        <w:t>should</w:t>
      </w:r>
      <w:r w:rsidRPr="002B283E">
        <w:rPr>
          <w:spacing w:val="-3"/>
        </w:rPr>
        <w:t xml:space="preserve"> </w:t>
      </w:r>
      <w:r w:rsidRPr="002B283E">
        <w:t>be included only when the plaintiff is making a claim for such compensation.</w:t>
      </w:r>
    </w:p>
    <w:p w14:paraId="42FF39A3" w14:textId="77777777" w:rsidR="00DC7E1B" w:rsidRPr="002B283E" w:rsidRDefault="00DC7E1B" w:rsidP="008A04C2">
      <w:pPr>
        <w:pStyle w:val="BodyText"/>
        <w:ind w:firstLine="620"/>
      </w:pPr>
    </w:p>
    <w:p w14:paraId="5452E799" w14:textId="77777777" w:rsidR="00DC7E1B" w:rsidRPr="002B283E" w:rsidRDefault="00DC7E1B" w:rsidP="008A04C2">
      <w:pPr>
        <w:pStyle w:val="BodyText"/>
        <w:ind w:left="100" w:firstLine="620"/>
      </w:pPr>
      <w:r w:rsidRPr="002B283E">
        <w:t>A</w:t>
      </w:r>
      <w:r w:rsidRPr="002B283E">
        <w:rPr>
          <w:spacing w:val="-5"/>
        </w:rPr>
        <w:t xml:space="preserve"> </w:t>
      </w:r>
      <w:r w:rsidRPr="002B283E">
        <w:t>plaintiff can seek punitive damages for an employer’s alleged willful and wanton disregard</w:t>
      </w:r>
      <w:r w:rsidRPr="002B283E">
        <w:rPr>
          <w:spacing w:val="-6"/>
        </w:rPr>
        <w:t xml:space="preserve"> </w:t>
      </w:r>
      <w:r w:rsidRPr="002B283E">
        <w:t>of</w:t>
      </w:r>
      <w:r w:rsidRPr="002B283E">
        <w:rPr>
          <w:spacing w:val="-7"/>
        </w:rPr>
        <w:t xml:space="preserve"> </w:t>
      </w:r>
      <w:r w:rsidRPr="002B283E">
        <w:t>its</w:t>
      </w:r>
      <w:r w:rsidRPr="002B283E">
        <w:rPr>
          <w:spacing w:val="-6"/>
        </w:rPr>
        <w:t xml:space="preserve"> </w:t>
      </w:r>
      <w:r w:rsidRPr="002B283E">
        <w:t>maintenance</w:t>
      </w:r>
      <w:r w:rsidRPr="002B283E">
        <w:rPr>
          <w:spacing w:val="-7"/>
        </w:rPr>
        <w:t xml:space="preserve"> </w:t>
      </w:r>
      <w:r w:rsidRPr="002B283E">
        <w:t>and</w:t>
      </w:r>
      <w:r w:rsidRPr="002B283E">
        <w:rPr>
          <w:spacing w:val="-4"/>
        </w:rPr>
        <w:t xml:space="preserve"> </w:t>
      </w:r>
      <w:r w:rsidRPr="002B283E">
        <w:t>cure</w:t>
      </w:r>
      <w:r w:rsidRPr="002B283E">
        <w:rPr>
          <w:spacing w:val="-7"/>
        </w:rPr>
        <w:t xml:space="preserve"> </w:t>
      </w:r>
      <w:r w:rsidRPr="002B283E">
        <w:t>obligation.</w:t>
      </w:r>
      <w:r w:rsidRPr="002B283E">
        <w:rPr>
          <w:spacing w:val="40"/>
        </w:rPr>
        <w:t xml:space="preserve"> </w:t>
      </w:r>
      <w:r w:rsidRPr="002B283E">
        <w:rPr>
          <w:i/>
        </w:rPr>
        <w:t>Atlantic</w:t>
      </w:r>
      <w:r w:rsidRPr="002B283E">
        <w:rPr>
          <w:i/>
          <w:spacing w:val="-7"/>
        </w:rPr>
        <w:t xml:space="preserve"> </w:t>
      </w:r>
      <w:r w:rsidRPr="002B283E">
        <w:rPr>
          <w:i/>
        </w:rPr>
        <w:t>Sounding</w:t>
      </w:r>
      <w:r w:rsidRPr="002B283E">
        <w:rPr>
          <w:i/>
          <w:spacing w:val="-6"/>
        </w:rPr>
        <w:t xml:space="preserve"> </w:t>
      </w:r>
      <w:r w:rsidRPr="002B283E">
        <w:rPr>
          <w:i/>
        </w:rPr>
        <w:t>Co.</w:t>
      </w:r>
      <w:r w:rsidRPr="002B283E">
        <w:rPr>
          <w:i/>
          <w:spacing w:val="-6"/>
        </w:rPr>
        <w:t xml:space="preserve"> </w:t>
      </w:r>
      <w:r w:rsidRPr="002B283E">
        <w:rPr>
          <w:i/>
        </w:rPr>
        <w:t>v.</w:t>
      </w:r>
      <w:r w:rsidRPr="002B283E">
        <w:rPr>
          <w:i/>
          <w:spacing w:val="-9"/>
        </w:rPr>
        <w:t xml:space="preserve"> </w:t>
      </w:r>
      <w:r w:rsidRPr="002B283E">
        <w:rPr>
          <w:i/>
        </w:rPr>
        <w:t>Townsend</w:t>
      </w:r>
      <w:r w:rsidRPr="002B283E">
        <w:t>,</w:t>
      </w:r>
      <w:r w:rsidRPr="002B283E">
        <w:rPr>
          <w:spacing w:val="-6"/>
        </w:rPr>
        <w:t xml:space="preserve"> </w:t>
      </w:r>
      <w:r w:rsidRPr="002B283E">
        <w:t>557</w:t>
      </w:r>
      <w:r w:rsidRPr="002B283E">
        <w:rPr>
          <w:spacing w:val="-6"/>
        </w:rPr>
        <w:t xml:space="preserve"> </w:t>
      </w:r>
      <w:r w:rsidRPr="002B283E">
        <w:t>U.S. 404, 424 (2009).</w:t>
      </w:r>
    </w:p>
    <w:p w14:paraId="0B8BBA11" w14:textId="77777777" w:rsidR="00DC7E1B" w:rsidRPr="002B283E" w:rsidRDefault="00DC7E1B" w:rsidP="008A04C2">
      <w:pPr>
        <w:pStyle w:val="BodyText"/>
        <w:ind w:left="100" w:firstLine="620"/>
      </w:pPr>
    </w:p>
    <w:p w14:paraId="0A6DDDB8" w14:textId="77777777" w:rsidR="00DC7E1B" w:rsidRPr="002B283E" w:rsidRDefault="00DC7E1B" w:rsidP="002B283E">
      <w:pPr>
        <w:pStyle w:val="BodyText"/>
        <w:ind w:left="100" w:firstLine="720"/>
      </w:pPr>
    </w:p>
    <w:p w14:paraId="1B978D5A" w14:textId="33DF9085" w:rsidR="006A4CD7" w:rsidRPr="002B283E" w:rsidRDefault="00DC7E1B" w:rsidP="002B283E">
      <w:pPr>
        <w:autoSpaceDE w:val="0"/>
        <w:autoSpaceDN w:val="0"/>
        <w:adjustRightInd w:val="0"/>
        <w:jc w:val="right"/>
        <w:rPr>
          <w:rFonts w:cs="Times New Roman"/>
          <w:szCs w:val="24"/>
        </w:rPr>
      </w:pPr>
      <w:r w:rsidRPr="002B283E">
        <w:rPr>
          <w:rFonts w:cs="Times New Roman"/>
          <w:i/>
          <w:iCs/>
          <w:szCs w:val="24"/>
        </w:rPr>
        <w:t>Revised March 2025</w:t>
      </w:r>
    </w:p>
    <w:p w14:paraId="201685F2" w14:textId="77777777" w:rsidR="00455B81" w:rsidRPr="002B283E" w:rsidRDefault="00455B81" w:rsidP="002B283E">
      <w:pPr>
        <w:autoSpaceDE w:val="0"/>
        <w:autoSpaceDN w:val="0"/>
        <w:adjustRightInd w:val="0"/>
        <w:rPr>
          <w:rFonts w:cs="Times New Roman"/>
          <w:szCs w:val="24"/>
        </w:rPr>
      </w:pPr>
    </w:p>
    <w:p w14:paraId="1B1D5CFF" w14:textId="77777777" w:rsidR="00455B81" w:rsidRPr="002B283E" w:rsidRDefault="00455B81" w:rsidP="002B283E">
      <w:pPr>
        <w:rPr>
          <w:rFonts w:cs="Times New Roman"/>
          <w:szCs w:val="24"/>
        </w:rPr>
      </w:pPr>
    </w:p>
    <w:p w14:paraId="5085726F" w14:textId="37F9151E" w:rsidR="006A4CD7" w:rsidRPr="002B283E" w:rsidRDefault="006A4CD7" w:rsidP="002B283E">
      <w:pPr>
        <w:pStyle w:val="Heading2"/>
      </w:pPr>
      <w:r w:rsidRPr="002B283E">
        <w:br w:type="page"/>
      </w:r>
      <w:bookmarkStart w:id="122" w:name="_Toc221525160"/>
      <w:r w:rsidRPr="002B283E">
        <w:lastRenderedPageBreak/>
        <w:t xml:space="preserve">7.12 </w:t>
      </w:r>
      <w:r w:rsidR="00522ACE" w:rsidRPr="002B283E">
        <w:t>Maintenance and Cure—Willful and Arbitrary Failure to Pay</w:t>
      </w:r>
      <w:bookmarkEnd w:id="122"/>
    </w:p>
    <w:p w14:paraId="2A83F753" w14:textId="77777777" w:rsidR="006A4CD7" w:rsidRPr="002B283E" w:rsidRDefault="006A4CD7" w:rsidP="002B283E">
      <w:pPr>
        <w:autoSpaceDE w:val="0"/>
        <w:autoSpaceDN w:val="0"/>
        <w:adjustRightInd w:val="0"/>
        <w:rPr>
          <w:rFonts w:cs="Times New Roman"/>
          <w:szCs w:val="24"/>
        </w:rPr>
      </w:pPr>
    </w:p>
    <w:p w14:paraId="3023BF98" w14:textId="7616DCA6" w:rsidR="002D2BCD" w:rsidRPr="002B283E" w:rsidRDefault="002D2BCD" w:rsidP="001A3D65">
      <w:pPr>
        <w:pStyle w:val="BodyText"/>
        <w:ind w:firstLine="720"/>
      </w:pPr>
      <w:r w:rsidRPr="002B283E">
        <w:t>The plaintiff</w:t>
      </w:r>
      <w:r w:rsidR="00740DAB">
        <w:t xml:space="preserve"> </w:t>
      </w:r>
      <w:r w:rsidR="00740DAB" w:rsidRPr="00740DAB">
        <w:t>[</w:t>
      </w:r>
      <w:r w:rsidR="00740DAB" w:rsidRPr="008A04C2">
        <w:rPr>
          <w:i/>
          <w:iCs/>
          <w:u w:val="single"/>
        </w:rPr>
        <w:t>name</w:t>
      </w:r>
      <w:r w:rsidR="00740DAB" w:rsidRPr="00740DAB">
        <w:t>]</w:t>
      </w:r>
      <w:r w:rsidRPr="002B283E">
        <w:t xml:space="preserve"> also contends the defendant </w:t>
      </w:r>
      <w:r w:rsidR="00740DAB" w:rsidRPr="00740DAB">
        <w:t>[</w:t>
      </w:r>
      <w:r w:rsidR="00740DAB" w:rsidRPr="009E2B37">
        <w:rPr>
          <w:i/>
          <w:iCs/>
          <w:u w:val="single"/>
        </w:rPr>
        <w:t>name</w:t>
      </w:r>
      <w:r w:rsidR="00740DAB" w:rsidRPr="00740DAB">
        <w:t>]</w:t>
      </w:r>
      <w:r w:rsidR="00740DAB" w:rsidRPr="002B283E">
        <w:t xml:space="preserve"> </w:t>
      </w:r>
      <w:r w:rsidRPr="002B283E">
        <w:t>willfully and arbitrarily failed to pay [maintenance]</w:t>
      </w:r>
      <w:r w:rsidRPr="002B283E">
        <w:rPr>
          <w:spacing w:val="-4"/>
        </w:rPr>
        <w:t xml:space="preserve"> </w:t>
      </w:r>
      <w:r w:rsidRPr="002B283E">
        <w:t>[and]</w:t>
      </w:r>
      <w:r w:rsidRPr="002B283E">
        <w:rPr>
          <w:spacing w:val="-4"/>
        </w:rPr>
        <w:t xml:space="preserve"> </w:t>
      </w:r>
      <w:r w:rsidRPr="002B283E">
        <w:t>[cure]</w:t>
      </w:r>
      <w:r w:rsidRPr="002B283E">
        <w:rPr>
          <w:spacing w:val="-4"/>
        </w:rPr>
        <w:t xml:space="preserve"> </w:t>
      </w:r>
      <w:r w:rsidRPr="002B283E">
        <w:t>when</w:t>
      </w:r>
      <w:r w:rsidRPr="002B283E">
        <w:rPr>
          <w:spacing w:val="-3"/>
        </w:rPr>
        <w:t xml:space="preserve"> </w:t>
      </w:r>
      <w:r w:rsidRPr="002B283E">
        <w:t>it</w:t>
      </w:r>
      <w:r w:rsidRPr="002B283E">
        <w:rPr>
          <w:spacing w:val="-3"/>
        </w:rPr>
        <w:t xml:space="preserve"> </w:t>
      </w:r>
      <w:r w:rsidRPr="002B283E">
        <w:t>was</w:t>
      </w:r>
      <w:r w:rsidRPr="002B283E">
        <w:rPr>
          <w:spacing w:val="-3"/>
        </w:rPr>
        <w:t xml:space="preserve"> </w:t>
      </w:r>
      <w:r w:rsidRPr="002B283E">
        <w:t>due.</w:t>
      </w:r>
      <w:r w:rsidRPr="002B283E">
        <w:rPr>
          <w:spacing w:val="40"/>
        </w:rPr>
        <w:t xml:space="preserve"> </w:t>
      </w:r>
      <w:r w:rsidRPr="002B283E">
        <w:t>On</w:t>
      </w:r>
      <w:r w:rsidRPr="002B283E">
        <w:rPr>
          <w:spacing w:val="-3"/>
        </w:rPr>
        <w:t xml:space="preserve"> </w:t>
      </w:r>
      <w:r w:rsidRPr="002B283E">
        <w:t>this</w:t>
      </w:r>
      <w:r w:rsidRPr="002B283E">
        <w:rPr>
          <w:spacing w:val="-3"/>
        </w:rPr>
        <w:t xml:space="preserve"> </w:t>
      </w:r>
      <w:r w:rsidRPr="002B283E">
        <w:t>issue,</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must</w:t>
      </w:r>
      <w:r w:rsidRPr="002B283E">
        <w:rPr>
          <w:spacing w:val="-3"/>
        </w:rPr>
        <w:t xml:space="preserve"> </w:t>
      </w:r>
      <w:r w:rsidRPr="002B283E">
        <w:t>prove</w:t>
      </w:r>
      <w:r w:rsidRPr="002B283E">
        <w:rPr>
          <w:spacing w:val="-4"/>
        </w:rPr>
        <w:t xml:space="preserve"> </w:t>
      </w:r>
      <w:r w:rsidRPr="002B283E">
        <w:t>each</w:t>
      </w:r>
      <w:r w:rsidRPr="002B283E">
        <w:rPr>
          <w:spacing w:val="-3"/>
        </w:rPr>
        <w:t xml:space="preserve"> </w:t>
      </w:r>
      <w:r w:rsidRPr="002B283E">
        <w:t>of</w:t>
      </w:r>
      <w:r w:rsidRPr="002B283E">
        <w:rPr>
          <w:spacing w:val="-4"/>
        </w:rPr>
        <w:t xml:space="preserve"> </w:t>
      </w:r>
      <w:r w:rsidRPr="002B283E">
        <w:t>the following elements by a preponderance of the evidence:</w:t>
      </w:r>
    </w:p>
    <w:p w14:paraId="6679E8A2" w14:textId="77777777" w:rsidR="002D2BCD" w:rsidRPr="002B283E" w:rsidRDefault="002D2BCD" w:rsidP="00740DAB">
      <w:pPr>
        <w:pStyle w:val="BodyText"/>
      </w:pPr>
    </w:p>
    <w:p w14:paraId="6DDE7474" w14:textId="504CDEE5" w:rsidR="002D2BCD" w:rsidRPr="00740DAB" w:rsidRDefault="002D2BCD" w:rsidP="008A04C2">
      <w:pPr>
        <w:tabs>
          <w:tab w:val="left" w:pos="1539"/>
        </w:tabs>
        <w:ind w:firstLine="720"/>
        <w:rPr>
          <w:rFonts w:cs="Times New Roman"/>
          <w:szCs w:val="24"/>
        </w:rPr>
      </w:pPr>
      <w:r w:rsidRPr="00740DAB">
        <w:rPr>
          <w:rFonts w:cs="Times New Roman"/>
          <w:szCs w:val="24"/>
        </w:rPr>
        <w:t>First,</w:t>
      </w:r>
      <w:r w:rsidRPr="00740DAB">
        <w:rPr>
          <w:rFonts w:cs="Times New Roman"/>
          <w:spacing w:val="-4"/>
          <w:szCs w:val="24"/>
        </w:rPr>
        <w:t xml:space="preserve"> </w:t>
      </w:r>
      <w:r w:rsidRPr="00740DAB">
        <w:rPr>
          <w:rFonts w:cs="Times New Roman"/>
          <w:szCs w:val="24"/>
        </w:rPr>
        <w:t>the</w:t>
      </w:r>
      <w:r w:rsidRPr="00740DAB">
        <w:rPr>
          <w:rFonts w:cs="Times New Roman"/>
          <w:spacing w:val="-3"/>
          <w:szCs w:val="24"/>
        </w:rPr>
        <w:t xml:space="preserve"> </w:t>
      </w:r>
      <w:r w:rsidRPr="00740DAB">
        <w:rPr>
          <w:rFonts w:cs="Times New Roman"/>
          <w:szCs w:val="24"/>
        </w:rPr>
        <w:t>plaintiff</w:t>
      </w:r>
      <w:r w:rsidRPr="00740DAB">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740DAB">
        <w:rPr>
          <w:rFonts w:cs="Times New Roman"/>
          <w:szCs w:val="24"/>
        </w:rPr>
        <w:t>was</w:t>
      </w:r>
      <w:r w:rsidRPr="00740DAB">
        <w:rPr>
          <w:rFonts w:cs="Times New Roman"/>
          <w:spacing w:val="-2"/>
          <w:szCs w:val="24"/>
        </w:rPr>
        <w:t xml:space="preserve"> </w:t>
      </w:r>
      <w:r w:rsidRPr="00740DAB">
        <w:rPr>
          <w:rFonts w:cs="Times New Roman"/>
          <w:szCs w:val="24"/>
        </w:rPr>
        <w:t>entitled</w:t>
      </w:r>
      <w:r w:rsidRPr="00740DAB">
        <w:rPr>
          <w:rFonts w:cs="Times New Roman"/>
          <w:spacing w:val="-2"/>
          <w:szCs w:val="24"/>
        </w:rPr>
        <w:t xml:space="preserve"> </w:t>
      </w:r>
      <w:r w:rsidRPr="00740DAB">
        <w:rPr>
          <w:rFonts w:cs="Times New Roman"/>
          <w:szCs w:val="24"/>
        </w:rPr>
        <w:t>to</w:t>
      </w:r>
      <w:r w:rsidRPr="00740DAB">
        <w:rPr>
          <w:rFonts w:cs="Times New Roman"/>
          <w:spacing w:val="-2"/>
          <w:szCs w:val="24"/>
        </w:rPr>
        <w:t xml:space="preserve"> </w:t>
      </w:r>
      <w:r w:rsidRPr="00740DAB">
        <w:rPr>
          <w:rFonts w:cs="Times New Roman"/>
          <w:szCs w:val="24"/>
        </w:rPr>
        <w:t>[maintenance]</w:t>
      </w:r>
      <w:r w:rsidRPr="00740DAB">
        <w:rPr>
          <w:rFonts w:cs="Times New Roman"/>
          <w:spacing w:val="-2"/>
          <w:szCs w:val="24"/>
        </w:rPr>
        <w:t xml:space="preserve"> </w:t>
      </w:r>
      <w:r w:rsidRPr="00740DAB">
        <w:rPr>
          <w:rFonts w:cs="Times New Roman"/>
          <w:szCs w:val="24"/>
        </w:rPr>
        <w:t>[and]</w:t>
      </w:r>
      <w:r w:rsidRPr="00740DAB">
        <w:rPr>
          <w:rFonts w:cs="Times New Roman"/>
          <w:spacing w:val="-2"/>
          <w:szCs w:val="24"/>
        </w:rPr>
        <w:t xml:space="preserve"> [cure];</w:t>
      </w:r>
    </w:p>
    <w:p w14:paraId="0A266BAC" w14:textId="77777777" w:rsidR="002D2BCD" w:rsidRPr="002B283E" w:rsidRDefault="002D2BCD" w:rsidP="008A04C2">
      <w:pPr>
        <w:pStyle w:val="BodyText"/>
        <w:ind w:firstLine="720"/>
      </w:pPr>
    </w:p>
    <w:p w14:paraId="7EFD5DC1" w14:textId="1E1B1025"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willfully</w:t>
      </w:r>
      <w:r w:rsidRPr="002B283E">
        <w:rPr>
          <w:rFonts w:cs="Times New Roman"/>
          <w:spacing w:val="-4"/>
          <w:szCs w:val="24"/>
        </w:rPr>
        <w:t xml:space="preserve"> </w:t>
      </w:r>
      <w:r w:rsidRPr="002B283E">
        <w:rPr>
          <w:rFonts w:cs="Times New Roman"/>
          <w:szCs w:val="24"/>
        </w:rPr>
        <w:t>and</w:t>
      </w:r>
      <w:r w:rsidRPr="002B283E">
        <w:rPr>
          <w:rFonts w:cs="Times New Roman"/>
          <w:spacing w:val="-4"/>
          <w:szCs w:val="24"/>
        </w:rPr>
        <w:t xml:space="preserve"> </w:t>
      </w:r>
      <w:r w:rsidRPr="002B283E">
        <w:rPr>
          <w:rFonts w:cs="Times New Roman"/>
          <w:szCs w:val="24"/>
        </w:rPr>
        <w:t>arbitrarily</w:t>
      </w:r>
      <w:r w:rsidRPr="002B283E">
        <w:rPr>
          <w:rFonts w:cs="Times New Roman"/>
          <w:spacing w:val="-4"/>
          <w:szCs w:val="24"/>
        </w:rPr>
        <w:t xml:space="preserve"> </w:t>
      </w:r>
      <w:r w:rsidRPr="002B283E">
        <w:rPr>
          <w:rFonts w:cs="Times New Roman"/>
          <w:szCs w:val="24"/>
        </w:rPr>
        <w:t>failed</w:t>
      </w:r>
      <w:r w:rsidRPr="002B283E">
        <w:rPr>
          <w:rFonts w:cs="Times New Roman"/>
          <w:spacing w:val="-4"/>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provide</w:t>
      </w:r>
      <w:r w:rsidRPr="002B283E">
        <w:rPr>
          <w:rFonts w:cs="Times New Roman"/>
          <w:spacing w:val="-5"/>
          <w:szCs w:val="24"/>
        </w:rPr>
        <w:t xml:space="preserve"> </w:t>
      </w:r>
      <w:r w:rsidRPr="002B283E">
        <w:rPr>
          <w:rFonts w:cs="Times New Roman"/>
          <w:szCs w:val="24"/>
        </w:rPr>
        <w:t>[maintenance] [and] [cure]; and</w:t>
      </w:r>
    </w:p>
    <w:p w14:paraId="59029EC3" w14:textId="77777777" w:rsidR="002D2BCD" w:rsidRPr="002B283E" w:rsidRDefault="002D2BCD" w:rsidP="008A04C2">
      <w:pPr>
        <w:pStyle w:val="BodyText"/>
        <w:ind w:firstLine="720"/>
      </w:pPr>
    </w:p>
    <w:p w14:paraId="54917D2C" w14:textId="5557DD18"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’s</w:t>
      </w:r>
      <w:r w:rsidRPr="002B283E">
        <w:rPr>
          <w:rFonts w:cs="Times New Roman"/>
          <w:spacing w:val="-5"/>
          <w:szCs w:val="24"/>
        </w:rPr>
        <w:t xml:space="preserve"> </w:t>
      </w:r>
      <w:r w:rsidRPr="002B283E">
        <w:rPr>
          <w:rFonts w:cs="Times New Roman"/>
          <w:szCs w:val="24"/>
        </w:rPr>
        <w:t>failure</w:t>
      </w:r>
      <w:r w:rsidRPr="002B283E">
        <w:rPr>
          <w:rFonts w:cs="Times New Roman"/>
          <w:spacing w:val="-6"/>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provide</w:t>
      </w:r>
      <w:r w:rsidRPr="002B283E">
        <w:rPr>
          <w:rFonts w:cs="Times New Roman"/>
          <w:spacing w:val="-6"/>
          <w:szCs w:val="24"/>
        </w:rPr>
        <w:t xml:space="preserve"> </w:t>
      </w:r>
      <w:r w:rsidRPr="002B283E">
        <w:rPr>
          <w:rFonts w:cs="Times New Roman"/>
          <w:szCs w:val="24"/>
        </w:rPr>
        <w:t>[maintenance]</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szCs w:val="24"/>
        </w:rPr>
        <w:t>[cure]</w:t>
      </w:r>
      <w:r w:rsidRPr="002B283E">
        <w:rPr>
          <w:rFonts w:cs="Times New Roman"/>
          <w:spacing w:val="-6"/>
          <w:szCs w:val="24"/>
        </w:rPr>
        <w:t xml:space="preserve"> </w:t>
      </w:r>
      <w:r w:rsidRPr="002B283E">
        <w:rPr>
          <w:rFonts w:cs="Times New Roman"/>
          <w:szCs w:val="24"/>
        </w:rPr>
        <w:t>resulted</w:t>
      </w:r>
      <w:r w:rsidRPr="002B283E">
        <w:rPr>
          <w:rFonts w:cs="Times New Roman"/>
          <w:spacing w:val="-3"/>
          <w:szCs w:val="24"/>
        </w:rPr>
        <w:t xml:space="preserve"> </w:t>
      </w:r>
      <w:r w:rsidRPr="002B283E">
        <w:rPr>
          <w:rFonts w:cs="Times New Roman"/>
          <w:szCs w:val="24"/>
        </w:rPr>
        <w:t>in injury to the plaintiff</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w:t>
      </w:r>
    </w:p>
    <w:p w14:paraId="6C7BF51F" w14:textId="77777777" w:rsidR="002D2BCD" w:rsidRPr="002B283E" w:rsidRDefault="002D2BCD" w:rsidP="00740DAB">
      <w:pPr>
        <w:pStyle w:val="BodyText"/>
      </w:pPr>
    </w:p>
    <w:p w14:paraId="6A7794EE" w14:textId="6FC017E5" w:rsidR="002D2BCD" w:rsidRPr="002B283E" w:rsidRDefault="002D2BCD" w:rsidP="001A3D65">
      <w:pPr>
        <w:pStyle w:val="BodyText"/>
        <w:ind w:firstLine="720"/>
      </w:pPr>
      <w:r w:rsidRPr="002B283E">
        <w:t xml:space="preserve">If you find the plaintiff </w:t>
      </w:r>
      <w:r w:rsidR="00740DAB" w:rsidRPr="00740DAB">
        <w:t>[</w:t>
      </w:r>
      <w:r w:rsidR="00740DAB" w:rsidRPr="009E2B37">
        <w:rPr>
          <w:i/>
          <w:iCs/>
          <w:u w:val="single"/>
        </w:rPr>
        <w:t>name</w:t>
      </w:r>
      <w:r w:rsidR="00740DAB" w:rsidRPr="00740DAB">
        <w:t>]</w:t>
      </w:r>
      <w:r w:rsidR="00740DAB" w:rsidRPr="002B283E">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w:t>
      </w:r>
      <w:r w:rsidRPr="002B283E">
        <w:rPr>
          <w:spacing w:val="-3"/>
        </w:rPr>
        <w:t xml:space="preserve"> </w:t>
      </w:r>
      <w:r w:rsidRPr="002B283E">
        <w:t>should</w:t>
      </w:r>
      <w:r w:rsidRPr="002B283E">
        <w:rPr>
          <w:spacing w:val="-3"/>
        </w:rPr>
        <w:t xml:space="preserve"> </w:t>
      </w:r>
      <w:r w:rsidRPr="002B283E">
        <w:t>answer</w:t>
      </w:r>
      <w:r w:rsidRPr="002B283E">
        <w:rPr>
          <w:spacing w:val="-4"/>
        </w:rPr>
        <w:t xml:space="preserve"> </w:t>
      </w:r>
      <w:r w:rsidRPr="002B283E">
        <w:t>“yes”</w:t>
      </w:r>
      <w:r w:rsidRPr="002B283E">
        <w:rPr>
          <w:spacing w:val="-4"/>
        </w:rPr>
        <w:t xml:space="preserve"> </w:t>
      </w:r>
      <w:r w:rsidRPr="002B283E">
        <w:t>on</w:t>
      </w:r>
      <w:r w:rsidRPr="002B283E">
        <w:rPr>
          <w:spacing w:val="-3"/>
        </w:rPr>
        <w:t xml:space="preserve"> </w:t>
      </w:r>
      <w:r w:rsidRPr="002B283E">
        <w:t>the</w:t>
      </w:r>
      <w:r w:rsidRPr="002B283E">
        <w:rPr>
          <w:spacing w:val="-2"/>
        </w:rPr>
        <w:t xml:space="preserve"> </w:t>
      </w:r>
      <w:r w:rsidRPr="002B283E">
        <w:t>verdict</w:t>
      </w:r>
      <w:r w:rsidRPr="002B283E">
        <w:rPr>
          <w:spacing w:val="-3"/>
        </w:rPr>
        <w:t xml:space="preserve"> </w:t>
      </w:r>
      <w:r w:rsidRPr="002B283E">
        <w:t>form</w:t>
      </w:r>
      <w:r w:rsidRPr="002B283E">
        <w:rPr>
          <w:spacing w:val="-3"/>
        </w:rPr>
        <w:t xml:space="preserve"> </w:t>
      </w:r>
      <w:r w:rsidRPr="002B283E">
        <w:t>where</w:t>
      </w:r>
      <w:r w:rsidRPr="002B283E">
        <w:rPr>
          <w:spacing w:val="-4"/>
        </w:rPr>
        <w:t xml:space="preserve"> </w:t>
      </w:r>
      <w:r w:rsidRPr="002B283E">
        <w:t>indicated;</w:t>
      </w:r>
      <w:r w:rsidRPr="002B283E">
        <w:rPr>
          <w:spacing w:val="-3"/>
        </w:rPr>
        <w:t xml:space="preserve"> </w:t>
      </w:r>
      <w:r w:rsidRPr="002B283E">
        <w:t>otherwise</w:t>
      </w:r>
      <w:r w:rsidRPr="002B283E">
        <w:rPr>
          <w:spacing w:val="-2"/>
        </w:rPr>
        <w:t xml:space="preserve"> </w:t>
      </w:r>
      <w:r w:rsidRPr="002B283E">
        <w:t xml:space="preserve">answer </w:t>
      </w:r>
      <w:r w:rsidRPr="002B283E">
        <w:rPr>
          <w:spacing w:val="-2"/>
        </w:rPr>
        <w:t>“no.”</w:t>
      </w:r>
    </w:p>
    <w:p w14:paraId="0899533E" w14:textId="77777777" w:rsidR="002D2BCD" w:rsidRPr="002B283E" w:rsidRDefault="002D2BCD" w:rsidP="002B283E">
      <w:pPr>
        <w:pStyle w:val="BodyText"/>
      </w:pPr>
    </w:p>
    <w:p w14:paraId="7D1B30C2" w14:textId="77777777" w:rsidR="002D2BCD" w:rsidRPr="002B283E" w:rsidRDefault="002D2BCD" w:rsidP="002B283E">
      <w:pPr>
        <w:jc w:val="center"/>
        <w:rPr>
          <w:rFonts w:cs="Times New Roman"/>
          <w:b/>
          <w:bCs/>
          <w:szCs w:val="24"/>
        </w:rPr>
      </w:pPr>
      <w:r w:rsidRPr="002B283E">
        <w:rPr>
          <w:rFonts w:cs="Times New Roman"/>
          <w:b/>
          <w:bCs/>
          <w:szCs w:val="24"/>
        </w:rPr>
        <w:t>Comment</w:t>
      </w:r>
    </w:p>
    <w:p w14:paraId="172A8E5F" w14:textId="77777777" w:rsidR="002D2BCD" w:rsidRPr="002B283E" w:rsidRDefault="002D2BCD" w:rsidP="002B283E">
      <w:pPr>
        <w:pStyle w:val="BodyText"/>
        <w:rPr>
          <w:b/>
        </w:rPr>
      </w:pPr>
    </w:p>
    <w:p w14:paraId="56A48AC8" w14:textId="77777777" w:rsidR="002D2BCD" w:rsidRPr="002B283E" w:rsidRDefault="002D2BCD" w:rsidP="002B283E">
      <w:pPr>
        <w:pStyle w:val="BodyText"/>
        <w:ind w:left="100" w:firstLine="720"/>
      </w:pPr>
      <w:r w:rsidRPr="002B283E">
        <w:t>If the jury finds that the defendant willfully and arbitrarily failed to pay maintenance or cure, the plaintiff will be entitled to reasonable attorneys’</w:t>
      </w:r>
      <w:r w:rsidRPr="002B283E">
        <w:rPr>
          <w:spacing w:val="-12"/>
        </w:rPr>
        <w:t xml:space="preserve"> </w:t>
      </w:r>
      <w:r w:rsidRPr="002B283E">
        <w:t>fees as determined by the court.</w:t>
      </w:r>
      <w:r w:rsidRPr="002B283E">
        <w:rPr>
          <w:spacing w:val="40"/>
        </w:rPr>
        <w:t xml:space="preserve"> </w:t>
      </w:r>
      <w:r w:rsidRPr="002B283E">
        <w:t>A special</w:t>
      </w:r>
      <w:r w:rsidRPr="002B283E">
        <w:rPr>
          <w:spacing w:val="-5"/>
        </w:rPr>
        <w:t xml:space="preserve"> </w:t>
      </w:r>
      <w:r w:rsidRPr="002B283E">
        <w:t>interrogatory</w:t>
      </w:r>
      <w:r w:rsidRPr="002B283E">
        <w:rPr>
          <w:spacing w:val="-5"/>
        </w:rPr>
        <w:t xml:space="preserve"> </w:t>
      </w:r>
      <w:r w:rsidRPr="002B283E">
        <w:t>will</w:t>
      </w:r>
      <w:r w:rsidRPr="002B283E">
        <w:rPr>
          <w:spacing w:val="-5"/>
        </w:rPr>
        <w:t xml:space="preserve"> </w:t>
      </w:r>
      <w:r w:rsidRPr="002B283E">
        <w:t>be</w:t>
      </w:r>
      <w:r w:rsidRPr="002B283E">
        <w:rPr>
          <w:spacing w:val="-6"/>
        </w:rPr>
        <w:t xml:space="preserve"> </w:t>
      </w:r>
      <w:r w:rsidRPr="002B283E">
        <w:t>required.</w:t>
      </w:r>
      <w:r w:rsidRPr="002B283E">
        <w:rPr>
          <w:spacing w:val="40"/>
        </w:rPr>
        <w:t xml:space="preserve"> </w:t>
      </w:r>
      <w:r w:rsidRPr="002B283E">
        <w:rPr>
          <w:i/>
        </w:rPr>
        <w:t>See</w:t>
      </w:r>
      <w:r w:rsidRPr="002B283E">
        <w:rPr>
          <w:i/>
          <w:spacing w:val="-6"/>
        </w:rPr>
        <w:t xml:space="preserve"> </w:t>
      </w:r>
      <w:r w:rsidRPr="002B283E">
        <w:rPr>
          <w:i/>
        </w:rPr>
        <w:t>Kopczynski</w:t>
      </w:r>
      <w:r w:rsidRPr="002B283E">
        <w:rPr>
          <w:i/>
          <w:spacing w:val="-5"/>
        </w:rPr>
        <w:t xml:space="preserve"> </w:t>
      </w:r>
      <w:r w:rsidRPr="002B283E">
        <w:rPr>
          <w:i/>
        </w:rPr>
        <w:t>v.</w:t>
      </w:r>
      <w:r w:rsidRPr="002B283E">
        <w:rPr>
          <w:i/>
          <w:spacing w:val="-5"/>
        </w:rPr>
        <w:t xml:space="preserve"> </w:t>
      </w:r>
      <w:r w:rsidRPr="002B283E">
        <w:rPr>
          <w:i/>
        </w:rPr>
        <w:t>The</w:t>
      </w:r>
      <w:r w:rsidRPr="002B283E">
        <w:rPr>
          <w:i/>
          <w:spacing w:val="-6"/>
        </w:rPr>
        <w:t xml:space="preserve"> </w:t>
      </w:r>
      <w:r w:rsidRPr="002B283E">
        <w:rPr>
          <w:i/>
        </w:rPr>
        <w:t>Jacqueline,</w:t>
      </w:r>
      <w:r w:rsidRPr="002B283E">
        <w:rPr>
          <w:i/>
          <w:spacing w:val="-5"/>
        </w:rPr>
        <w:t xml:space="preserve"> </w:t>
      </w:r>
      <w:r w:rsidRPr="002B283E">
        <w:t>742</w:t>
      </w:r>
      <w:r w:rsidRPr="002B283E">
        <w:rPr>
          <w:spacing w:val="-5"/>
        </w:rPr>
        <w:t xml:space="preserve"> </w:t>
      </w:r>
      <w:r w:rsidRPr="002B283E">
        <w:t>F.2d</w:t>
      </w:r>
      <w:r w:rsidRPr="002B283E">
        <w:rPr>
          <w:spacing w:val="-5"/>
        </w:rPr>
        <w:t xml:space="preserve"> </w:t>
      </w:r>
      <w:r w:rsidRPr="002B283E">
        <w:t>555,</w:t>
      </w:r>
      <w:r w:rsidRPr="002B283E">
        <w:rPr>
          <w:spacing w:val="-5"/>
        </w:rPr>
        <w:t xml:space="preserve"> </w:t>
      </w:r>
      <w:r w:rsidRPr="002B283E">
        <w:t>559</w:t>
      </w:r>
      <w:r w:rsidRPr="002B283E">
        <w:rPr>
          <w:spacing w:val="-5"/>
        </w:rPr>
        <w:t xml:space="preserve"> </w:t>
      </w:r>
      <w:r w:rsidRPr="002B283E">
        <w:t>(9th Cir. 1984) (leaving undisturbed jury’s finding on special interrogatory that defendant’s conduct was not “willful and arbitrary,” and holding that plaintiff therefore was not entitled to recover attorneys’</w:t>
      </w:r>
      <w:r w:rsidRPr="002B283E">
        <w:rPr>
          <w:spacing w:val="-17"/>
        </w:rPr>
        <w:t xml:space="preserve"> </w:t>
      </w:r>
      <w:r w:rsidRPr="002B283E">
        <w:t>fees).</w:t>
      </w:r>
    </w:p>
    <w:p w14:paraId="016D044F" w14:textId="77777777" w:rsidR="002D2BCD" w:rsidRPr="002B283E" w:rsidRDefault="002D2BCD" w:rsidP="002B283E">
      <w:pPr>
        <w:pStyle w:val="BodyText"/>
        <w:ind w:left="100" w:firstLine="720"/>
      </w:pPr>
    </w:p>
    <w:p w14:paraId="4E4B0285" w14:textId="77777777" w:rsidR="002D2BCD" w:rsidRPr="002B283E" w:rsidRDefault="002D2BCD" w:rsidP="002B283E">
      <w:pPr>
        <w:pStyle w:val="BodyText"/>
        <w:ind w:left="100" w:firstLine="720"/>
      </w:pPr>
    </w:p>
    <w:p w14:paraId="2123811D" w14:textId="6F08DEC0" w:rsidR="006A4CD7" w:rsidRPr="002B283E" w:rsidRDefault="002D2BCD" w:rsidP="002B283E">
      <w:pPr>
        <w:pStyle w:val="BodyText"/>
        <w:ind w:left="100" w:firstLine="720"/>
        <w:jc w:val="right"/>
        <w:rPr>
          <w:i/>
          <w:iCs/>
        </w:rPr>
      </w:pPr>
      <w:r w:rsidRPr="002B283E">
        <w:rPr>
          <w:i/>
          <w:iCs/>
        </w:rPr>
        <w:t>Revised March 2025</w:t>
      </w:r>
    </w:p>
    <w:p w14:paraId="6A1CE902" w14:textId="77777777" w:rsidR="006A4CD7" w:rsidRPr="002B283E" w:rsidRDefault="006A4CD7" w:rsidP="002B283E">
      <w:pPr>
        <w:autoSpaceDE w:val="0"/>
        <w:autoSpaceDN w:val="0"/>
        <w:adjustRightInd w:val="0"/>
        <w:rPr>
          <w:rFonts w:cs="Times New Roman"/>
          <w:szCs w:val="24"/>
        </w:rPr>
      </w:pPr>
    </w:p>
    <w:p w14:paraId="7223E9C2" w14:textId="77777777" w:rsidR="006A4CD7" w:rsidRPr="002B283E" w:rsidRDefault="006A4CD7" w:rsidP="002B283E">
      <w:pPr>
        <w:autoSpaceDE w:val="0"/>
        <w:autoSpaceDN w:val="0"/>
        <w:adjustRightInd w:val="0"/>
        <w:rPr>
          <w:rFonts w:cs="Times New Roman"/>
          <w:szCs w:val="24"/>
        </w:rPr>
      </w:pPr>
    </w:p>
    <w:p w14:paraId="66CBB73A" w14:textId="37CDB0D4" w:rsidR="006A4CD7" w:rsidRPr="002B283E" w:rsidRDefault="006A4CD7" w:rsidP="002B283E">
      <w:pPr>
        <w:pStyle w:val="Heading2"/>
      </w:pPr>
      <w:r w:rsidRPr="002B283E">
        <w:br w:type="page"/>
      </w:r>
      <w:bookmarkStart w:id="123" w:name="_Toc221525161"/>
      <w:r w:rsidRPr="002B283E">
        <w:lastRenderedPageBreak/>
        <w:t xml:space="preserve">7.13 </w:t>
      </w:r>
      <w:r w:rsidR="00522ACE" w:rsidRPr="002B283E">
        <w:t>Integrated Product Manufacturer’s Duty to Warn</w:t>
      </w:r>
      <w:bookmarkEnd w:id="123"/>
    </w:p>
    <w:p w14:paraId="304120BC" w14:textId="77777777" w:rsidR="006A4CD7" w:rsidRPr="002B283E" w:rsidRDefault="006A4CD7" w:rsidP="002B283E">
      <w:pPr>
        <w:autoSpaceDE w:val="0"/>
        <w:autoSpaceDN w:val="0"/>
        <w:adjustRightInd w:val="0"/>
        <w:jc w:val="center"/>
        <w:rPr>
          <w:rFonts w:cs="Times New Roman"/>
          <w:szCs w:val="24"/>
        </w:rPr>
      </w:pPr>
    </w:p>
    <w:p w14:paraId="0C2E0AB8" w14:textId="661BB4C1" w:rsidR="008F5175" w:rsidRPr="002B283E" w:rsidRDefault="008F5175" w:rsidP="008A04C2">
      <w:pPr>
        <w:pStyle w:val="BodyText"/>
        <w:ind w:firstLine="720"/>
      </w:pPr>
      <w:r w:rsidRPr="002B283E">
        <w:t>On</w:t>
      </w:r>
      <w:r w:rsidRPr="002B283E">
        <w:rPr>
          <w:spacing w:val="-3"/>
        </w:rPr>
        <w:t xml:space="preserve"> </w:t>
      </w:r>
      <w:r w:rsidRPr="002B283E">
        <w:t>the</w:t>
      </w:r>
      <w:r w:rsidRPr="002B283E">
        <w:rPr>
          <w:spacing w:val="-4"/>
        </w:rPr>
        <w:t xml:space="preserve"> </w:t>
      </w:r>
      <w:r w:rsidRPr="002B283E">
        <w:t>plaintiff</w:t>
      </w:r>
      <w:r w:rsidR="00740DAB">
        <w:t xml:space="preserve"> </w:t>
      </w:r>
      <w:r w:rsidR="00740DAB" w:rsidRPr="00740DAB">
        <w:t>[</w:t>
      </w:r>
      <w:r w:rsidR="00740DAB" w:rsidRPr="009E2B37">
        <w:rPr>
          <w:i/>
          <w:iCs/>
          <w:u w:val="single"/>
        </w:rPr>
        <w:t>name</w:t>
      </w:r>
      <w:r w:rsidR="00740DAB" w:rsidRPr="00740DAB">
        <w:t>]</w:t>
      </w:r>
      <w:r w:rsidRPr="002B283E">
        <w:t>’s</w:t>
      </w:r>
      <w:r w:rsidRPr="002B283E">
        <w:rPr>
          <w:spacing w:val="-3"/>
        </w:rPr>
        <w:t xml:space="preserve"> </w:t>
      </w:r>
      <w:r w:rsidRPr="002B283E">
        <w:t>duty</w:t>
      </w:r>
      <w:r w:rsidRPr="002B283E">
        <w:rPr>
          <w:spacing w:val="-3"/>
        </w:rPr>
        <w:t xml:space="preserve"> </w:t>
      </w:r>
      <w:r w:rsidRPr="002B283E">
        <w:t>to</w:t>
      </w:r>
      <w:r w:rsidRPr="002B283E">
        <w:rPr>
          <w:spacing w:val="-3"/>
        </w:rPr>
        <w:t xml:space="preserve"> </w:t>
      </w:r>
      <w:r w:rsidRPr="002B283E">
        <w:t>warn</w:t>
      </w:r>
      <w:r w:rsidRPr="002B283E">
        <w:rPr>
          <w:spacing w:val="-3"/>
        </w:rPr>
        <w:t xml:space="preserve"> </w:t>
      </w:r>
      <w:r w:rsidRPr="002B283E">
        <w:t>claim,</w:t>
      </w:r>
      <w:r w:rsidRPr="002B283E">
        <w:rPr>
          <w:spacing w:val="-3"/>
        </w:rPr>
        <w:t xml:space="preserve"> </w:t>
      </w:r>
      <w:r w:rsidRPr="002B283E">
        <w:t>the</w:t>
      </w:r>
      <w:r w:rsidRPr="002B283E">
        <w:rPr>
          <w:spacing w:val="-4"/>
        </w:rPr>
        <w:t xml:space="preserve"> </w:t>
      </w:r>
      <w:r w:rsidRPr="002B283E">
        <w:t>plaintiff</w:t>
      </w:r>
      <w:r w:rsidRPr="002B283E">
        <w:rPr>
          <w:spacing w:val="-2"/>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the</w:t>
      </w:r>
      <w:r w:rsidRPr="002B283E">
        <w:rPr>
          <w:spacing w:val="-4"/>
        </w:rPr>
        <w:t xml:space="preserve"> </w:t>
      </w:r>
      <w:r w:rsidRPr="002B283E">
        <w:t>following elements by a preponderance of the evidence:</w:t>
      </w:r>
    </w:p>
    <w:p w14:paraId="5D5DF402" w14:textId="77777777" w:rsidR="008F5175" w:rsidRPr="002B283E" w:rsidRDefault="008F5175" w:rsidP="008A04C2">
      <w:pPr>
        <w:pStyle w:val="BodyText"/>
        <w:ind w:firstLine="720"/>
      </w:pPr>
    </w:p>
    <w:p w14:paraId="7866CF48" w14:textId="2B964AC0"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First,</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manufactured</w:t>
      </w:r>
      <w:r w:rsidRPr="002B283E">
        <w:rPr>
          <w:rFonts w:cs="Times New Roman"/>
          <w:spacing w:val="-4"/>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product</w:t>
      </w:r>
      <w:r w:rsidRPr="002B283E">
        <w:rPr>
          <w:rFonts w:cs="Times New Roman"/>
          <w:spacing w:val="-4"/>
          <w:szCs w:val="24"/>
        </w:rPr>
        <w:t xml:space="preserve"> </w:t>
      </w:r>
      <w:r w:rsidRPr="002B283E">
        <w:rPr>
          <w:rFonts w:cs="Times New Roman"/>
          <w:szCs w:val="24"/>
        </w:rPr>
        <w:t>that</w:t>
      </w:r>
      <w:r w:rsidRPr="002B283E">
        <w:rPr>
          <w:rFonts w:cs="Times New Roman"/>
          <w:spacing w:val="-4"/>
          <w:szCs w:val="24"/>
        </w:rPr>
        <w:t xml:space="preserve"> </w:t>
      </w:r>
      <w:r w:rsidRPr="002B283E">
        <w:rPr>
          <w:rFonts w:cs="Times New Roman"/>
          <w:szCs w:val="24"/>
        </w:rPr>
        <w:t>required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incorporation</w:t>
      </w:r>
      <w:r w:rsidRPr="002B283E">
        <w:rPr>
          <w:rFonts w:cs="Times New Roman"/>
          <w:spacing w:val="-4"/>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a part for the integrated product to function as intended;</w:t>
      </w:r>
    </w:p>
    <w:p w14:paraId="1B2B0634" w14:textId="77777777" w:rsidR="008F5175" w:rsidRPr="002B283E" w:rsidRDefault="008F5175" w:rsidP="008A04C2">
      <w:pPr>
        <w:pStyle w:val="BodyText"/>
        <w:ind w:firstLine="720"/>
      </w:pPr>
    </w:p>
    <w:p w14:paraId="5C99B4E8" w14:textId="54C0969F"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defendant</w:t>
      </w:r>
      <w:r w:rsidRPr="002B283E">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knew</w:t>
      </w:r>
      <w:r w:rsidRPr="002B283E">
        <w:rPr>
          <w:rFonts w:cs="Times New Roman"/>
          <w:spacing w:val="-4"/>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had</w:t>
      </w:r>
      <w:r w:rsidRPr="002B283E">
        <w:rPr>
          <w:rFonts w:cs="Times New Roman"/>
          <w:spacing w:val="-1"/>
          <w:szCs w:val="24"/>
        </w:rPr>
        <w:t xml:space="preserve"> </w:t>
      </w:r>
      <w:r w:rsidRPr="002B283E">
        <w:rPr>
          <w:rFonts w:cs="Times New Roman"/>
          <w:szCs w:val="24"/>
        </w:rPr>
        <w:t>reason</w:t>
      </w:r>
      <w:r w:rsidRPr="002B283E">
        <w:rPr>
          <w:rFonts w:cs="Times New Roman"/>
          <w:spacing w:val="-3"/>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know</w:t>
      </w:r>
      <w:r w:rsidRPr="002B283E">
        <w:rPr>
          <w:rFonts w:cs="Times New Roman"/>
          <w:spacing w:val="-4"/>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integrated</w:t>
      </w:r>
      <w:r w:rsidRPr="002B283E">
        <w:rPr>
          <w:rFonts w:cs="Times New Roman"/>
          <w:spacing w:val="-3"/>
          <w:szCs w:val="24"/>
        </w:rPr>
        <w:t xml:space="preserve"> </w:t>
      </w:r>
      <w:r w:rsidRPr="002B283E">
        <w:rPr>
          <w:rFonts w:cs="Times New Roman"/>
          <w:szCs w:val="24"/>
        </w:rPr>
        <w:t>product</w:t>
      </w:r>
      <w:r w:rsidRPr="002B283E">
        <w:rPr>
          <w:rFonts w:cs="Times New Roman"/>
          <w:spacing w:val="-3"/>
          <w:szCs w:val="24"/>
        </w:rPr>
        <w:t xml:space="preserve"> </w:t>
      </w:r>
      <w:r w:rsidRPr="002B283E">
        <w:rPr>
          <w:rFonts w:cs="Times New Roman"/>
          <w:szCs w:val="24"/>
        </w:rPr>
        <w:t>was likely to be dangerous for its intended use[s];</w:t>
      </w:r>
    </w:p>
    <w:p w14:paraId="0FBE1515" w14:textId="77777777" w:rsidR="008F5175" w:rsidRPr="002B283E" w:rsidRDefault="008F5175" w:rsidP="008A04C2">
      <w:pPr>
        <w:pStyle w:val="BodyText"/>
        <w:ind w:firstLine="720"/>
      </w:pPr>
    </w:p>
    <w:p w14:paraId="0A3B7038" w14:textId="25195AEE"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Pr="002B283E">
        <w:rPr>
          <w:rFonts w:cs="Times New Roman"/>
          <w:spacing w:val="-5"/>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had</w:t>
      </w:r>
      <w:r w:rsidRPr="002B283E">
        <w:rPr>
          <w:rFonts w:cs="Times New Roman"/>
          <w:spacing w:val="-3"/>
          <w:szCs w:val="24"/>
        </w:rPr>
        <w:t xml:space="preserve"> </w:t>
      </w:r>
      <w:r w:rsidRPr="002B283E">
        <w:rPr>
          <w:rFonts w:cs="Times New Roman"/>
          <w:szCs w:val="24"/>
        </w:rPr>
        <w:t>no</w:t>
      </w:r>
      <w:r w:rsidRPr="002B283E">
        <w:rPr>
          <w:rFonts w:cs="Times New Roman"/>
          <w:spacing w:val="-5"/>
          <w:szCs w:val="24"/>
        </w:rPr>
        <w:t xml:space="preserve"> </w:t>
      </w:r>
      <w:r w:rsidRPr="002B283E">
        <w:rPr>
          <w:rFonts w:cs="Times New Roman"/>
          <w:szCs w:val="24"/>
        </w:rPr>
        <w:t>reason</w:t>
      </w:r>
      <w:r w:rsidRPr="002B283E">
        <w:rPr>
          <w:rFonts w:cs="Times New Roman"/>
          <w:spacing w:val="-5"/>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believe</w:t>
      </w:r>
      <w:r w:rsidRPr="002B283E">
        <w:rPr>
          <w:rFonts w:cs="Times New Roman"/>
          <w:spacing w:val="-6"/>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product’s</w:t>
      </w:r>
      <w:r w:rsidRPr="002B283E">
        <w:rPr>
          <w:rFonts w:cs="Times New Roman"/>
          <w:spacing w:val="-5"/>
          <w:szCs w:val="24"/>
        </w:rPr>
        <w:t xml:space="preserve"> </w:t>
      </w:r>
      <w:r w:rsidRPr="002B283E">
        <w:rPr>
          <w:rFonts w:cs="Times New Roman"/>
          <w:szCs w:val="24"/>
        </w:rPr>
        <w:t>users</w:t>
      </w:r>
      <w:r w:rsidRPr="002B283E">
        <w:rPr>
          <w:rFonts w:cs="Times New Roman"/>
          <w:spacing w:val="-5"/>
          <w:szCs w:val="24"/>
        </w:rPr>
        <w:t xml:space="preserve"> </w:t>
      </w:r>
      <w:r w:rsidRPr="002B283E">
        <w:rPr>
          <w:rFonts w:cs="Times New Roman"/>
          <w:szCs w:val="24"/>
        </w:rPr>
        <w:t>would realize that danger; and</w:t>
      </w:r>
    </w:p>
    <w:p w14:paraId="254CC08E" w14:textId="77777777" w:rsidR="008F5175" w:rsidRPr="002B283E" w:rsidRDefault="008F5175" w:rsidP="008A04C2">
      <w:pPr>
        <w:pStyle w:val="BodyText"/>
        <w:ind w:firstLine="720"/>
      </w:pPr>
    </w:p>
    <w:p w14:paraId="0C83C182" w14:textId="0813CDC9"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Fourth,</w:t>
      </w:r>
      <w:r w:rsidRPr="002B283E">
        <w:rPr>
          <w:rFonts w:cs="Times New Roman"/>
          <w:spacing w:val="-7"/>
          <w:szCs w:val="24"/>
        </w:rPr>
        <w:t xml:space="preserve"> </w:t>
      </w:r>
      <w:r w:rsidRPr="002B283E">
        <w:rPr>
          <w:rFonts w:cs="Times New Roman"/>
          <w:szCs w:val="24"/>
        </w:rPr>
        <w:t>the</w:t>
      </w:r>
      <w:r w:rsidRPr="002B283E">
        <w:rPr>
          <w:rFonts w:cs="Times New Roman"/>
          <w:spacing w:val="-7"/>
          <w:szCs w:val="24"/>
        </w:rPr>
        <w:t xml:space="preserve"> </w:t>
      </w:r>
      <w:r w:rsidRPr="002B283E">
        <w:rPr>
          <w:rFonts w:cs="Times New Roman"/>
          <w:szCs w:val="24"/>
        </w:rPr>
        <w:t>product’s</w:t>
      </w:r>
      <w:r w:rsidRPr="002B283E">
        <w:rPr>
          <w:rFonts w:cs="Times New Roman"/>
          <w:spacing w:val="-7"/>
          <w:szCs w:val="24"/>
        </w:rPr>
        <w:t xml:space="preserve"> </w:t>
      </w:r>
      <w:r w:rsidRPr="002B283E">
        <w:rPr>
          <w:rFonts w:cs="Times New Roman"/>
          <w:szCs w:val="24"/>
        </w:rPr>
        <w:t>dangerous</w:t>
      </w:r>
      <w:r w:rsidRPr="002B283E">
        <w:rPr>
          <w:rFonts w:cs="Times New Roman"/>
          <w:spacing w:val="-7"/>
          <w:szCs w:val="24"/>
        </w:rPr>
        <w:t xml:space="preserve"> </w:t>
      </w:r>
      <w:r w:rsidRPr="002B283E">
        <w:rPr>
          <w:rFonts w:cs="Times New Roman"/>
          <w:szCs w:val="24"/>
        </w:rPr>
        <w:t>condition</w:t>
      </w:r>
      <w:r w:rsidRPr="002B283E">
        <w:rPr>
          <w:rFonts w:cs="Times New Roman"/>
          <w:spacing w:val="-7"/>
          <w:szCs w:val="24"/>
        </w:rPr>
        <w:t xml:space="preserve"> </w:t>
      </w:r>
      <w:r w:rsidRPr="002B283E">
        <w:rPr>
          <w:rFonts w:cs="Times New Roman"/>
          <w:szCs w:val="24"/>
        </w:rPr>
        <w:t>caused</w:t>
      </w:r>
      <w:r w:rsidRPr="002B283E">
        <w:rPr>
          <w:rFonts w:cs="Times New Roman"/>
          <w:spacing w:val="-5"/>
          <w:szCs w:val="24"/>
        </w:rPr>
        <w:t xml:space="preserve"> </w:t>
      </w:r>
      <w:r w:rsidRPr="002B283E">
        <w:rPr>
          <w:rFonts w:cs="Times New Roman"/>
          <w:szCs w:val="24"/>
        </w:rPr>
        <w:t>foreseeable</w:t>
      </w:r>
      <w:r w:rsidRPr="002B283E">
        <w:rPr>
          <w:rFonts w:cs="Times New Roman"/>
          <w:spacing w:val="-7"/>
          <w:szCs w:val="24"/>
        </w:rPr>
        <w:t xml:space="preserve"> </w:t>
      </w:r>
      <w:r w:rsidRPr="002B283E">
        <w:rPr>
          <w:rFonts w:cs="Times New Roman"/>
          <w:szCs w:val="24"/>
        </w:rPr>
        <w:t>injury</w:t>
      </w:r>
      <w:r w:rsidRPr="002B283E">
        <w:rPr>
          <w:rFonts w:cs="Times New Roman"/>
          <w:spacing w:val="-7"/>
          <w:szCs w:val="24"/>
        </w:rPr>
        <w:t xml:space="preserve"> </w:t>
      </w:r>
      <w:r w:rsidRPr="002B283E">
        <w:rPr>
          <w:rFonts w:cs="Times New Roman"/>
          <w:szCs w:val="24"/>
        </w:rPr>
        <w:t>to</w:t>
      </w:r>
      <w:r w:rsidRPr="002B283E">
        <w:rPr>
          <w:rFonts w:cs="Times New Roman"/>
          <w:spacing w:val="-7"/>
          <w:szCs w:val="24"/>
        </w:rPr>
        <w:t xml:space="preserve"> </w:t>
      </w:r>
      <w:r w:rsidRPr="002B283E">
        <w:rPr>
          <w:rFonts w:cs="Times New Roman"/>
          <w:szCs w:val="24"/>
        </w:rPr>
        <w:t xml:space="preserve">the </w:t>
      </w:r>
      <w:r w:rsidRPr="002B283E">
        <w:rPr>
          <w:rFonts w:cs="Times New Roman"/>
          <w:spacing w:val="-2"/>
          <w:szCs w:val="24"/>
        </w:rPr>
        <w:t>plaintiff</w:t>
      </w:r>
      <w:r w:rsidR="00740DAB">
        <w:rPr>
          <w:rFonts w:cs="Times New Roman"/>
          <w:spacing w:val="-2"/>
          <w:szCs w:val="24"/>
        </w:rPr>
        <w:t xml:space="preserve"> </w:t>
      </w:r>
      <w:r w:rsidR="00740DAB" w:rsidRPr="00740DAB">
        <w:t>[</w:t>
      </w:r>
      <w:r w:rsidR="00740DAB" w:rsidRPr="009E2B37">
        <w:rPr>
          <w:i/>
          <w:iCs/>
          <w:u w:val="single"/>
        </w:rPr>
        <w:t>name</w:t>
      </w:r>
      <w:r w:rsidR="00740DAB" w:rsidRPr="00740DAB">
        <w:t>]</w:t>
      </w:r>
      <w:r w:rsidRPr="002B283E">
        <w:rPr>
          <w:rFonts w:cs="Times New Roman"/>
          <w:spacing w:val="-2"/>
          <w:szCs w:val="24"/>
        </w:rPr>
        <w:t>.</w:t>
      </w:r>
    </w:p>
    <w:p w14:paraId="35A35B5D" w14:textId="77777777" w:rsidR="008F5175" w:rsidRPr="002B283E" w:rsidRDefault="008F5175" w:rsidP="00740DAB">
      <w:pPr>
        <w:pStyle w:val="BodyText"/>
      </w:pPr>
    </w:p>
    <w:p w14:paraId="56F4CF08" w14:textId="3241DA1E" w:rsidR="008F5175" w:rsidRPr="002B283E" w:rsidRDefault="008F5175" w:rsidP="008A04C2">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proven</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740DAB">
        <w:t xml:space="preserve"> </w:t>
      </w:r>
      <w:r w:rsidR="00740DAB" w:rsidRPr="00740DAB">
        <w:t>[</w:t>
      </w:r>
      <w:r w:rsidR="00740DAB" w:rsidRPr="009E2B37">
        <w:rPr>
          <w:i/>
          <w:iCs/>
          <w:u w:val="single"/>
        </w:rPr>
        <w:t>name</w:t>
      </w:r>
      <w:r w:rsidR="00740DAB" w:rsidRPr="00740DAB">
        <w:t>]</w:t>
      </w:r>
      <w:r w:rsidRPr="002B283E">
        <w:t xml:space="preserve">. If, on the other hand, the plaintiff </w:t>
      </w:r>
      <w:r w:rsidR="00740DAB" w:rsidRPr="00740DAB">
        <w:t>[</w:t>
      </w:r>
      <w:r w:rsidR="00740DAB" w:rsidRPr="009E2B37">
        <w:rPr>
          <w:i/>
          <w:iCs/>
          <w:u w:val="single"/>
        </w:rPr>
        <w:t>name</w:t>
      </w:r>
      <w:r w:rsidR="00740DAB" w:rsidRPr="00740DAB">
        <w:t>]</w:t>
      </w:r>
      <w:r w:rsidR="00740DAB" w:rsidRPr="002B283E">
        <w:t xml:space="preserve"> </w:t>
      </w:r>
      <w:r w:rsidRPr="002B283E">
        <w:t>has failed to prove any of these elements, your verdict should be for the defendant</w:t>
      </w:r>
      <w:r w:rsidR="00740DAB">
        <w:t xml:space="preserve"> </w:t>
      </w:r>
      <w:r w:rsidR="00740DAB" w:rsidRPr="00740DAB">
        <w:t>[</w:t>
      </w:r>
      <w:r w:rsidR="00740DAB" w:rsidRPr="009E2B37">
        <w:rPr>
          <w:i/>
          <w:iCs/>
          <w:u w:val="single"/>
        </w:rPr>
        <w:t>name</w:t>
      </w:r>
      <w:r w:rsidR="00740DAB" w:rsidRPr="00740DAB">
        <w:t>]</w:t>
      </w:r>
      <w:r w:rsidRPr="002B283E">
        <w:t>.</w:t>
      </w:r>
    </w:p>
    <w:p w14:paraId="08B7545B" w14:textId="77777777" w:rsidR="008F5175" w:rsidRPr="002B283E" w:rsidRDefault="008F5175" w:rsidP="002B283E">
      <w:pPr>
        <w:pStyle w:val="BodyText"/>
      </w:pPr>
    </w:p>
    <w:p w14:paraId="7C2BD07E" w14:textId="77777777" w:rsidR="008F5175" w:rsidRPr="002B283E" w:rsidRDefault="008F5175" w:rsidP="002B283E">
      <w:pPr>
        <w:jc w:val="center"/>
        <w:rPr>
          <w:rFonts w:cs="Times New Roman"/>
          <w:b/>
          <w:bCs/>
          <w:szCs w:val="24"/>
        </w:rPr>
      </w:pPr>
      <w:r w:rsidRPr="002B283E">
        <w:rPr>
          <w:rFonts w:cs="Times New Roman"/>
          <w:b/>
          <w:bCs/>
          <w:szCs w:val="24"/>
        </w:rPr>
        <w:t>Comment</w:t>
      </w:r>
    </w:p>
    <w:p w14:paraId="37EA5CC6" w14:textId="77777777" w:rsidR="008F5175" w:rsidRPr="002B283E" w:rsidRDefault="008F5175" w:rsidP="002B283E">
      <w:pPr>
        <w:pStyle w:val="BodyText"/>
        <w:rPr>
          <w:b/>
        </w:rPr>
      </w:pPr>
    </w:p>
    <w:p w14:paraId="34F5DA18" w14:textId="09189D63" w:rsidR="008F5175" w:rsidRPr="002B283E" w:rsidRDefault="008F5175" w:rsidP="008A04C2">
      <w:pPr>
        <w:ind w:left="100" w:firstLine="620"/>
        <w:rPr>
          <w:rFonts w:cs="Times New Roman"/>
          <w:szCs w:val="24"/>
        </w:rPr>
      </w:pPr>
      <w:r w:rsidRPr="002B283E">
        <w:rPr>
          <w:rFonts w:cs="Times New Roman"/>
          <w:i/>
          <w:szCs w:val="24"/>
        </w:rPr>
        <w:t>See</w:t>
      </w:r>
      <w:r w:rsidRPr="002B283E">
        <w:rPr>
          <w:rFonts w:cs="Times New Roman"/>
          <w:i/>
          <w:spacing w:val="-4"/>
          <w:szCs w:val="24"/>
        </w:rPr>
        <w:t xml:space="preserve"> </w:t>
      </w:r>
      <w:r w:rsidRPr="002B283E">
        <w:rPr>
          <w:rFonts w:cs="Times New Roman"/>
          <w:i/>
          <w:szCs w:val="24"/>
        </w:rPr>
        <w:t>Air</w:t>
      </w:r>
      <w:r w:rsidRPr="002B283E">
        <w:rPr>
          <w:rFonts w:cs="Times New Roman"/>
          <w:i/>
          <w:spacing w:val="-1"/>
          <w:szCs w:val="24"/>
        </w:rPr>
        <w:t xml:space="preserve"> </w:t>
      </w:r>
      <w:r w:rsidRPr="002B283E">
        <w:rPr>
          <w:rFonts w:cs="Times New Roman"/>
          <w:i/>
          <w:szCs w:val="24"/>
        </w:rPr>
        <w:t>&amp;</w:t>
      </w:r>
      <w:r w:rsidRPr="002B283E">
        <w:rPr>
          <w:rFonts w:cs="Times New Roman"/>
          <w:i/>
          <w:spacing w:val="-1"/>
          <w:szCs w:val="24"/>
        </w:rPr>
        <w:t xml:space="preserve"> </w:t>
      </w:r>
      <w:r w:rsidRPr="002B283E">
        <w:rPr>
          <w:rFonts w:cs="Times New Roman"/>
          <w:i/>
          <w:szCs w:val="24"/>
        </w:rPr>
        <w:t>Liquid</w:t>
      </w:r>
      <w:r w:rsidRPr="002B283E">
        <w:rPr>
          <w:rFonts w:cs="Times New Roman"/>
          <w:i/>
          <w:spacing w:val="-1"/>
          <w:szCs w:val="24"/>
        </w:rPr>
        <w:t xml:space="preserve"> </w:t>
      </w:r>
      <w:r w:rsidRPr="003A638F">
        <w:rPr>
          <w:rFonts w:cs="Times New Roman"/>
          <w:i/>
          <w:szCs w:val="24"/>
        </w:rPr>
        <w:t>Sys.</w:t>
      </w:r>
      <w:r w:rsidR="003A638F" w:rsidRPr="003A638F">
        <w:rPr>
          <w:rFonts w:cs="Times New Roman"/>
          <w:i/>
          <w:spacing w:val="-1"/>
          <w:szCs w:val="24"/>
          <w:u w:color="5C2D91"/>
        </w:rPr>
        <w:t xml:space="preserve"> </w:t>
      </w:r>
      <w:r w:rsidRPr="003A638F">
        <w:rPr>
          <w:rFonts w:cs="Times New Roman"/>
          <w:i/>
          <w:szCs w:val="24"/>
        </w:rPr>
        <w:t>Corp</w:t>
      </w:r>
      <w:r w:rsidRPr="002B283E">
        <w:rPr>
          <w:rFonts w:cs="Times New Roman"/>
          <w:i/>
          <w:szCs w:val="24"/>
        </w:rPr>
        <w:t>.</w:t>
      </w:r>
      <w:r w:rsidRPr="002B283E">
        <w:rPr>
          <w:rFonts w:cs="Times New Roman"/>
          <w:i/>
          <w:spacing w:val="-1"/>
          <w:szCs w:val="24"/>
        </w:rPr>
        <w:t xml:space="preserve"> </w:t>
      </w:r>
      <w:r w:rsidRPr="002B283E">
        <w:rPr>
          <w:rFonts w:cs="Times New Roman"/>
          <w:i/>
          <w:szCs w:val="24"/>
        </w:rPr>
        <w:t>v.</w:t>
      </w:r>
      <w:r w:rsidRPr="002B283E">
        <w:rPr>
          <w:rFonts w:cs="Times New Roman"/>
          <w:i/>
          <w:spacing w:val="-1"/>
          <w:szCs w:val="24"/>
        </w:rPr>
        <w:t xml:space="preserve"> </w:t>
      </w:r>
      <w:r w:rsidRPr="002B283E">
        <w:rPr>
          <w:rFonts w:cs="Times New Roman"/>
          <w:i/>
          <w:szCs w:val="24"/>
        </w:rPr>
        <w:t>DeVries</w:t>
      </w:r>
      <w:r w:rsidRPr="002B283E">
        <w:rPr>
          <w:rFonts w:cs="Times New Roman"/>
          <w:szCs w:val="24"/>
        </w:rPr>
        <w:t>, 586</w:t>
      </w:r>
      <w:r w:rsidRPr="002B283E">
        <w:rPr>
          <w:rFonts w:cs="Times New Roman"/>
          <w:spacing w:val="-1"/>
          <w:szCs w:val="24"/>
        </w:rPr>
        <w:t xml:space="preserve"> </w:t>
      </w:r>
      <w:r w:rsidRPr="002B283E">
        <w:rPr>
          <w:rFonts w:cs="Times New Roman"/>
          <w:szCs w:val="24"/>
        </w:rPr>
        <w:t>U.S.</w:t>
      </w:r>
      <w:r w:rsidRPr="002B283E">
        <w:rPr>
          <w:rFonts w:cs="Times New Roman"/>
          <w:spacing w:val="-1"/>
          <w:szCs w:val="24"/>
        </w:rPr>
        <w:t xml:space="preserve"> </w:t>
      </w:r>
      <w:r w:rsidRPr="002B283E">
        <w:rPr>
          <w:rFonts w:cs="Times New Roman"/>
          <w:szCs w:val="24"/>
        </w:rPr>
        <w:t>446,</w:t>
      </w:r>
      <w:r w:rsidRPr="002B283E">
        <w:rPr>
          <w:rFonts w:cs="Times New Roman"/>
          <w:spacing w:val="-1"/>
          <w:szCs w:val="24"/>
        </w:rPr>
        <w:t xml:space="preserve"> </w:t>
      </w:r>
      <w:r w:rsidRPr="002B283E">
        <w:rPr>
          <w:rFonts w:cs="Times New Roman"/>
          <w:szCs w:val="24"/>
        </w:rPr>
        <w:t>457 (</w:t>
      </w:r>
      <w:r w:rsidRPr="002B283E">
        <w:rPr>
          <w:rFonts w:cs="Times New Roman"/>
          <w:spacing w:val="-2"/>
          <w:szCs w:val="24"/>
        </w:rPr>
        <w:t>2019).</w:t>
      </w:r>
    </w:p>
    <w:p w14:paraId="56BC8D1B" w14:textId="77777777" w:rsidR="008F5175" w:rsidRPr="002B283E" w:rsidRDefault="008F5175" w:rsidP="002B283E">
      <w:pPr>
        <w:pStyle w:val="BodyText"/>
      </w:pPr>
    </w:p>
    <w:p w14:paraId="1A7E1C1A" w14:textId="77777777" w:rsidR="008F5175" w:rsidRPr="002B283E" w:rsidRDefault="008F5175" w:rsidP="002B283E">
      <w:pPr>
        <w:pStyle w:val="BodyText"/>
      </w:pPr>
    </w:p>
    <w:p w14:paraId="7308DC5F" w14:textId="77777777" w:rsidR="008F5175" w:rsidRPr="002B283E" w:rsidRDefault="008F5175" w:rsidP="002B283E">
      <w:pPr>
        <w:ind w:left="6020"/>
        <w:jc w:val="right"/>
        <w:rPr>
          <w:rFonts w:cs="Times New Roman"/>
          <w:i/>
          <w:szCs w:val="24"/>
        </w:rPr>
      </w:pPr>
      <w:r w:rsidRPr="002B283E">
        <w:rPr>
          <w:rFonts w:cs="Times New Roman"/>
          <w:i/>
          <w:szCs w:val="24"/>
        </w:rPr>
        <w:t>Revised</w:t>
      </w:r>
      <w:r w:rsidRPr="002B283E">
        <w:rPr>
          <w:rFonts w:cs="Times New Roman"/>
          <w:i/>
          <w:spacing w:val="-2"/>
          <w:szCs w:val="24"/>
        </w:rPr>
        <w:t xml:space="preserve"> March 2025</w:t>
      </w:r>
    </w:p>
    <w:p w14:paraId="396AE5D9" w14:textId="24B7342C" w:rsidR="006A4CD7" w:rsidRPr="002B283E" w:rsidRDefault="006A4CD7" w:rsidP="002B283E">
      <w:pPr>
        <w:pStyle w:val="Heading1"/>
        <w:spacing w:before="0" w:line="240" w:lineRule="auto"/>
      </w:pPr>
      <w:r w:rsidRPr="002B283E">
        <w:br w:type="page"/>
      </w:r>
      <w:bookmarkStart w:id="124" w:name="_Toc221525162"/>
      <w:r w:rsidRPr="002B283E">
        <w:lastRenderedPageBreak/>
        <w:t>8</w:t>
      </w:r>
      <w:r w:rsidR="00A87F6E">
        <w:t xml:space="preserve">. </w:t>
      </w:r>
      <w:r w:rsidRPr="002B283E">
        <w:t>CIVIL RICO</w:t>
      </w:r>
      <w:bookmarkEnd w:id="124"/>
    </w:p>
    <w:p w14:paraId="55008A33" w14:textId="77777777" w:rsidR="006A4CD7" w:rsidRPr="002B283E" w:rsidRDefault="006A4CD7" w:rsidP="002B283E">
      <w:pPr>
        <w:autoSpaceDE w:val="0"/>
        <w:autoSpaceDN w:val="0"/>
        <w:adjustRightInd w:val="0"/>
        <w:rPr>
          <w:rFonts w:cs="Times New Roman"/>
          <w:szCs w:val="24"/>
        </w:rPr>
      </w:pPr>
    </w:p>
    <w:p w14:paraId="50AAE2F8" w14:textId="77777777" w:rsidR="00F91477" w:rsidRPr="002B283E" w:rsidRDefault="00F91477" w:rsidP="002B283E">
      <w:pPr>
        <w:autoSpaceDE w:val="0"/>
        <w:autoSpaceDN w:val="0"/>
        <w:adjustRightInd w:val="0"/>
        <w:jc w:val="center"/>
        <w:rPr>
          <w:rFonts w:cs="Times New Roman"/>
          <w:szCs w:val="24"/>
        </w:rPr>
      </w:pPr>
      <w:r w:rsidRPr="002B283E">
        <w:rPr>
          <w:rFonts w:cs="Times New Roman"/>
          <w:b/>
          <w:bCs/>
          <w:szCs w:val="24"/>
        </w:rPr>
        <w:t>Comment</w:t>
      </w:r>
    </w:p>
    <w:p w14:paraId="46D228B9" w14:textId="77777777" w:rsidR="00F91477" w:rsidRPr="002B283E" w:rsidRDefault="00F91477" w:rsidP="002B283E">
      <w:pPr>
        <w:autoSpaceDE w:val="0"/>
        <w:autoSpaceDN w:val="0"/>
        <w:adjustRightInd w:val="0"/>
        <w:rPr>
          <w:rFonts w:cs="Times New Roman"/>
          <w:szCs w:val="24"/>
        </w:rPr>
      </w:pPr>
    </w:p>
    <w:p w14:paraId="5BE014D2" w14:textId="651751A0" w:rsidR="00244716" w:rsidRPr="0025463B" w:rsidRDefault="00F91477" w:rsidP="00244716">
      <w:pPr>
        <w:autoSpaceDE w:val="0"/>
        <w:autoSpaceDN w:val="0"/>
        <w:adjustRightInd w:val="0"/>
        <w:rPr>
          <w:rFonts w:eastAsia="Calibri" w:cs="Times New Roman"/>
          <w:szCs w:val="24"/>
        </w:rPr>
      </w:pPr>
      <w:r w:rsidRPr="002B283E">
        <w:rPr>
          <w:rFonts w:cs="Times New Roman"/>
          <w:szCs w:val="24"/>
        </w:rPr>
        <w:tab/>
      </w:r>
      <w:r w:rsidR="00244716" w:rsidRPr="0025463B">
        <w:rPr>
          <w:rFonts w:eastAsia="Calibri" w:cs="Times New Roman"/>
          <w:szCs w:val="24"/>
        </w:rPr>
        <w:t xml:space="preserve">A plaintiff may bring a private civil action for violations of the Racketeer Influenced and Corrupt Organizations Act (RICO). </w:t>
      </w:r>
      <w:r w:rsidR="00244716" w:rsidRPr="0025463B">
        <w:rPr>
          <w:rFonts w:eastAsia="Calibri" w:cs="Times New Roman"/>
          <w:i/>
          <w:iCs/>
          <w:szCs w:val="24"/>
        </w:rPr>
        <w:t xml:space="preserve">See </w:t>
      </w:r>
      <w:r w:rsidR="00244716" w:rsidRPr="0025463B">
        <w:rPr>
          <w:rFonts w:eastAsia="Calibri" w:cs="Times New Roman"/>
          <w:szCs w:val="24"/>
        </w:rPr>
        <w:t>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w:t>
      </w:r>
      <w:r w:rsidR="009F5B91">
        <w:rPr>
          <w:rFonts w:eastAsia="Calibri" w:cs="Times New Roman"/>
          <w:szCs w:val="24"/>
        </w:rPr>
        <w:t>-</w:t>
      </w:r>
      <w:r w:rsidR="00244716" w:rsidRPr="0025463B">
        <w:rPr>
          <w:rFonts w:eastAsia="Calibri" w:cs="Times New Roman"/>
          <w:szCs w:val="24"/>
        </w:rPr>
        <w:t xml:space="preserve">(d). RICO was “intended to combat organized crime, not to provide a federal cause of action and treble damages to every tort plaintiff.” </w:t>
      </w:r>
      <w:r w:rsidR="00244716" w:rsidRPr="0025463B">
        <w:rPr>
          <w:rFonts w:eastAsia="Calibri" w:cs="Times New Roman"/>
          <w:i/>
          <w:iCs/>
          <w:szCs w:val="24"/>
        </w:rPr>
        <w:t>Oscar v. Univ. Students Co-op. Ass’n</w:t>
      </w:r>
      <w:r w:rsidR="00244716" w:rsidRPr="0025463B">
        <w:rPr>
          <w:rFonts w:eastAsia="Calibri" w:cs="Times New Roman"/>
          <w:szCs w:val="24"/>
        </w:rPr>
        <w:t xml:space="preserve">, 965 F.2d 783, 786 (9th Cir. 1992), </w:t>
      </w:r>
      <w:r w:rsidR="00244716" w:rsidRPr="0025463B">
        <w:rPr>
          <w:rFonts w:eastAsia="Calibri" w:cs="Times New Roman"/>
          <w:i/>
          <w:iCs/>
          <w:szCs w:val="24"/>
        </w:rPr>
        <w:t>abrogated on other grounds by Diaz v. Gates</w:t>
      </w:r>
      <w:r w:rsidR="00244716" w:rsidRPr="0025463B">
        <w:rPr>
          <w:rFonts w:eastAsia="Calibri" w:cs="Times New Roman"/>
          <w:szCs w:val="24"/>
        </w:rPr>
        <w:t xml:space="preserve">, 420 F.3d 897 (9th Cir. 2005). However, the statute is to “be liberally construed to effectuate its remedial purposes.”  </w:t>
      </w:r>
      <w:r w:rsidR="00244716" w:rsidRPr="0025463B">
        <w:rPr>
          <w:rFonts w:eastAsia="Calibri" w:cs="Times New Roman"/>
          <w:i/>
          <w:iCs/>
          <w:szCs w:val="24"/>
        </w:rPr>
        <w:t>Odom v. Microsoft Corp</w:t>
      </w:r>
      <w:r w:rsidR="00244716" w:rsidRPr="0025463B">
        <w:rPr>
          <w:rFonts w:eastAsia="Calibri" w:cs="Times New Roman"/>
          <w:szCs w:val="24"/>
        </w:rPr>
        <w:t>., 486 F.3d 541, 546 (9th Cir. 2007).</w:t>
      </w:r>
    </w:p>
    <w:p w14:paraId="3E8B9348" w14:textId="77777777" w:rsidR="00244716" w:rsidRPr="0025463B" w:rsidRDefault="00244716" w:rsidP="00244716">
      <w:pPr>
        <w:autoSpaceDE w:val="0"/>
        <w:autoSpaceDN w:val="0"/>
        <w:adjustRightInd w:val="0"/>
        <w:rPr>
          <w:rFonts w:eastAsia="Calibri" w:cs="Times New Roman"/>
          <w:szCs w:val="24"/>
        </w:rPr>
      </w:pPr>
    </w:p>
    <w:p w14:paraId="0B9E0694" w14:textId="2FAF7158"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As to the element of causation, a plaintiff must prove that the defendant’s unlawful conduct was the proximate cause of the plaintiff’s injury. </w:t>
      </w:r>
      <w:r w:rsidRPr="0025463B">
        <w:rPr>
          <w:rFonts w:eastAsia="Calibri" w:cs="Times New Roman"/>
          <w:i/>
          <w:iCs/>
          <w:szCs w:val="24"/>
        </w:rPr>
        <w:t>Harmoni Int’l Spice, Inc. v. Hume</w:t>
      </w:r>
      <w:r w:rsidRPr="0025463B">
        <w:rPr>
          <w:rFonts w:eastAsia="Calibri" w:cs="Times New Roman"/>
          <w:szCs w:val="24"/>
        </w:rPr>
        <w:t>, 914 F.3d 648, 651 (9th Cir. 2019)</w:t>
      </w:r>
      <w:r w:rsidR="00A87F6E">
        <w:rPr>
          <w:rFonts w:eastAsia="Calibri" w:cs="Times New Roman"/>
          <w:szCs w:val="24"/>
        </w:rPr>
        <w:t xml:space="preserve">. </w:t>
      </w:r>
    </w:p>
    <w:p w14:paraId="486F11F0" w14:textId="77777777" w:rsidR="00244716" w:rsidRPr="0025463B" w:rsidRDefault="00244716" w:rsidP="00244716">
      <w:pPr>
        <w:autoSpaceDE w:val="0"/>
        <w:autoSpaceDN w:val="0"/>
        <w:adjustRightInd w:val="0"/>
        <w:rPr>
          <w:rFonts w:eastAsia="Calibri" w:cs="Times New Roman"/>
          <w:szCs w:val="24"/>
        </w:rPr>
      </w:pPr>
    </w:p>
    <w:p w14:paraId="68100A8A" w14:textId="1252AC5B"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RICO claims are most commonly brought under 18 U.S.C. § 1962(c) and (d), the conduct and conspiracy prongs of the statute</w:t>
      </w:r>
      <w:r w:rsidR="00A87F6E">
        <w:rPr>
          <w:rFonts w:eastAsia="Calibri" w:cs="Times New Roman"/>
          <w:szCs w:val="24"/>
        </w:rPr>
        <w:t xml:space="preserve">. </w:t>
      </w:r>
    </w:p>
    <w:p w14:paraId="4A712E9E" w14:textId="77777777" w:rsidR="00244716" w:rsidRPr="0025463B" w:rsidRDefault="00244716" w:rsidP="00244716">
      <w:pPr>
        <w:autoSpaceDE w:val="0"/>
        <w:autoSpaceDN w:val="0"/>
        <w:adjustRightInd w:val="0"/>
        <w:rPr>
          <w:rFonts w:eastAsia="Calibri" w:cs="Times New Roman"/>
          <w:szCs w:val="24"/>
        </w:rPr>
      </w:pPr>
    </w:p>
    <w:p w14:paraId="73163F1C"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1962(c)</w:t>
      </w:r>
    </w:p>
    <w:p w14:paraId="377FFB9A" w14:textId="77777777" w:rsidR="00244716" w:rsidRPr="0025463B" w:rsidRDefault="00244716" w:rsidP="00244716">
      <w:pPr>
        <w:autoSpaceDE w:val="0"/>
        <w:autoSpaceDN w:val="0"/>
        <w:adjustRightInd w:val="0"/>
        <w:rPr>
          <w:rFonts w:eastAsia="Calibri" w:cs="Times New Roman"/>
          <w:szCs w:val="24"/>
        </w:rPr>
      </w:pPr>
    </w:p>
    <w:p w14:paraId="43E4021C" w14:textId="750E493E" w:rsidR="00244716" w:rsidRPr="0025463B" w:rsidRDefault="00244716" w:rsidP="00244716">
      <w:pPr>
        <w:ind w:firstLine="720"/>
        <w:rPr>
          <w:rFonts w:cs="Times New Roman"/>
          <w:szCs w:val="24"/>
        </w:rPr>
      </w:pPr>
      <w:bookmarkStart w:id="125" w:name="_Hlk203404361"/>
      <w:r w:rsidRPr="0025463B">
        <w:rPr>
          <w:rFonts w:cs="Times New Roman"/>
          <w:szCs w:val="24"/>
        </w:rPr>
        <w:t xml:space="preserve">To recover under § 1962(c), a plaintiff must prove (1) conduct, (2) of an enterprise, (3) through a pattern, (4) of racketeering activity (known as “predicate acts”), (5) causing injury to the plaintiff’s “business or property” by the conduct constituting the violation. </w:t>
      </w:r>
      <w:r w:rsidRPr="0025463B">
        <w:rPr>
          <w:rFonts w:cs="Times New Roman"/>
          <w:i/>
          <w:iCs/>
          <w:szCs w:val="24"/>
        </w:rPr>
        <w:t>See Living Designs, Inc. v. E.I. Dupont de Nemours &amp; Co.</w:t>
      </w:r>
      <w:r w:rsidRPr="0025463B">
        <w:rPr>
          <w:rFonts w:cs="Times New Roman"/>
          <w:szCs w:val="24"/>
        </w:rPr>
        <w:t xml:space="preserve">, 431 F.3d 353, 361 (9th Cir. 2005) (quoting </w:t>
      </w:r>
      <w:r w:rsidRPr="0025463B">
        <w:rPr>
          <w:rFonts w:cs="Times New Roman"/>
          <w:i/>
          <w:iCs/>
          <w:szCs w:val="24"/>
        </w:rPr>
        <w:t>Grimmett v. Brown</w:t>
      </w:r>
      <w:r w:rsidRPr="0025463B">
        <w:rPr>
          <w:rFonts w:cs="Times New Roman"/>
          <w:szCs w:val="24"/>
        </w:rPr>
        <w:t>, 75 F.3d 506, 510 (9th Cir. 1996)).</w:t>
      </w:r>
    </w:p>
    <w:p w14:paraId="1D31CABC" w14:textId="77777777" w:rsidR="00244716" w:rsidRPr="0025463B" w:rsidRDefault="00244716" w:rsidP="00244716">
      <w:pPr>
        <w:ind w:firstLine="720"/>
        <w:rPr>
          <w:rFonts w:cs="Times New Roman"/>
          <w:b/>
          <w:bCs/>
          <w:szCs w:val="24"/>
        </w:rPr>
      </w:pPr>
    </w:p>
    <w:p w14:paraId="1A3B4A9E" w14:textId="1174087A" w:rsidR="00244716" w:rsidRPr="0025463B" w:rsidRDefault="00244716" w:rsidP="00244716">
      <w:pPr>
        <w:ind w:firstLine="720"/>
        <w:rPr>
          <w:rFonts w:cs="Times New Roman"/>
          <w:szCs w:val="24"/>
        </w:rPr>
      </w:pPr>
      <w:r w:rsidRPr="0025463B">
        <w:rPr>
          <w:rFonts w:cs="Times New Roman"/>
          <w:b/>
          <w:bCs/>
          <w:szCs w:val="24"/>
        </w:rPr>
        <w:t xml:space="preserve">Conduct: </w:t>
      </w:r>
      <w:r w:rsidRPr="0025463B">
        <w:rPr>
          <w:rFonts w:cs="Times New Roman"/>
          <w:szCs w:val="24"/>
        </w:rPr>
        <w:t>The conduct element of § 1962(c) requires that the defendant have some part in directing the affairs of the enterprise. Liability is not limited to those with primary responsibility for the enterprise</w:t>
      </w:r>
      <w:r w:rsidR="003A638F">
        <w:rPr>
          <w:rFonts w:cs="Times New Roman"/>
          <w:szCs w:val="24"/>
        </w:rPr>
        <w:t>’</w:t>
      </w:r>
      <w:r w:rsidRPr="0025463B">
        <w:rPr>
          <w:rFonts w:cs="Times New Roman"/>
          <w:szCs w:val="24"/>
        </w:rPr>
        <w:t xml:space="preserve">s affairs, nor is a formal position within the enterprise required. However, the defendant is not liable under § 1962(c) unless the defendant has participated in the operation or management of the enterprise itself. </w:t>
      </w:r>
      <w:r w:rsidRPr="0025463B">
        <w:rPr>
          <w:rFonts w:cs="Times New Roman"/>
          <w:i/>
          <w:iCs/>
          <w:szCs w:val="24"/>
        </w:rPr>
        <w:t>See Reves v. Ernst &amp; Young</w:t>
      </w:r>
      <w:r w:rsidRPr="0025463B">
        <w:rPr>
          <w:rFonts w:cs="Times New Roman"/>
          <w:szCs w:val="24"/>
        </w:rPr>
        <w:t xml:space="preserve">, 507 U.S. 170, 179 (1993) (holding that </w:t>
      </w:r>
      <w:r w:rsidR="003A638F">
        <w:rPr>
          <w:rFonts w:cs="Times New Roman"/>
          <w:szCs w:val="24"/>
        </w:rPr>
        <w:t xml:space="preserve">the </w:t>
      </w:r>
      <w:r w:rsidRPr="0025463B">
        <w:rPr>
          <w:rFonts w:cs="Times New Roman"/>
          <w:szCs w:val="24"/>
        </w:rPr>
        <w:t xml:space="preserve">accountants hired to perform audit of a cooperative’s records did not participate in “operation or management” of the cooperative’s affairs by failing to inform the cooperative’s board of directors that the cooperative was arguably insolvent). In determining whether the conduct element has been satisfied, relevant questions include whether the defendant “occup[ies] a position in the ‘chain of command,’” “knowingly implement[s] [the enterprise’s] decisions,” or is “indispensable to achievement of the enterprise’s goal.” </w:t>
      </w:r>
      <w:r w:rsidRPr="0025463B">
        <w:rPr>
          <w:rFonts w:cs="Times New Roman"/>
          <w:i/>
          <w:iCs/>
          <w:szCs w:val="24"/>
        </w:rPr>
        <w:t>Walter v. Drayson</w:t>
      </w:r>
      <w:r w:rsidRPr="0025463B">
        <w:rPr>
          <w:rFonts w:cs="Times New Roman"/>
          <w:szCs w:val="24"/>
        </w:rPr>
        <w:t>, 538 F.3d 1244, 1249 (9th Cir. 2008) (holding that attorney’s performance of services for alleged associated-in-fact enterprise was not sufficient to satisfy § 1962(c)’s conduct element).</w:t>
      </w:r>
    </w:p>
    <w:p w14:paraId="6FAA4B57" w14:textId="77777777" w:rsidR="00244716" w:rsidRPr="0025463B" w:rsidRDefault="00244716" w:rsidP="00244716">
      <w:pPr>
        <w:rPr>
          <w:rFonts w:cs="Times New Roman"/>
          <w:szCs w:val="24"/>
        </w:rPr>
      </w:pPr>
    </w:p>
    <w:p w14:paraId="73192E6E" w14:textId="77777777" w:rsidR="00244716" w:rsidRPr="0025463B" w:rsidRDefault="00244716" w:rsidP="00244716">
      <w:pPr>
        <w:ind w:firstLine="720"/>
        <w:rPr>
          <w:rFonts w:cs="Times New Roman"/>
          <w:szCs w:val="24"/>
        </w:rPr>
      </w:pPr>
      <w:r w:rsidRPr="0025463B">
        <w:rPr>
          <w:rFonts w:cs="Times New Roman"/>
          <w:b/>
          <w:bCs/>
          <w:szCs w:val="24"/>
        </w:rPr>
        <w:lastRenderedPageBreak/>
        <w:t xml:space="preserve">Enterprise: </w:t>
      </w:r>
      <w:r w:rsidRPr="0025463B">
        <w:rPr>
          <w:rFonts w:cs="Times New Roman"/>
          <w:szCs w:val="24"/>
        </w:rPr>
        <w:t xml:space="preserve">An “enterprise includes any individual, partnership, corporation, association, or other legal entity, and any union or group of individuals associated in fact although not a legal entity.” 18 U.S.C. § 1961(4). The “definition is not very demanding.” </w:t>
      </w:r>
      <w:r w:rsidRPr="0025463B">
        <w:rPr>
          <w:rFonts w:cs="Times New Roman"/>
          <w:i/>
          <w:iCs/>
          <w:szCs w:val="24"/>
        </w:rPr>
        <w:t>Odom</w:t>
      </w:r>
      <w:r w:rsidRPr="0025463B">
        <w:rPr>
          <w:rFonts w:cs="Times New Roman"/>
          <w:szCs w:val="24"/>
        </w:rPr>
        <w:t xml:space="preserve">, 486 F.3d at 548. RICO does not require that either the racketeering enterprise or the predicate acts of racketeering be motivated by an economic purpose. </w:t>
      </w:r>
      <w:r w:rsidRPr="0025463B">
        <w:rPr>
          <w:rFonts w:cs="Times New Roman"/>
          <w:i/>
          <w:iCs/>
          <w:szCs w:val="24"/>
        </w:rPr>
        <w:t>Nat’l Org. for Women, Inc.</w:t>
      </w:r>
      <w:r w:rsidRPr="0025463B">
        <w:rPr>
          <w:rFonts w:cs="Times New Roman"/>
          <w:szCs w:val="24"/>
        </w:rPr>
        <w:t xml:space="preserve"> </w:t>
      </w:r>
      <w:r w:rsidRPr="0025463B">
        <w:rPr>
          <w:rFonts w:cs="Times New Roman"/>
          <w:i/>
          <w:iCs/>
          <w:szCs w:val="24"/>
        </w:rPr>
        <w:t>v. Scheidler</w:t>
      </w:r>
      <w:r w:rsidRPr="0025463B">
        <w:rPr>
          <w:rFonts w:cs="Times New Roman"/>
          <w:szCs w:val="24"/>
        </w:rPr>
        <w:t xml:space="preserve">, 510 U.S. 249, 262 (1994). </w:t>
      </w:r>
    </w:p>
    <w:p w14:paraId="28172C78" w14:textId="77777777" w:rsidR="00244716" w:rsidRPr="0025463B" w:rsidRDefault="00244716" w:rsidP="00244716">
      <w:pPr>
        <w:ind w:firstLine="720"/>
        <w:rPr>
          <w:rFonts w:cs="Times New Roman"/>
          <w:szCs w:val="24"/>
        </w:rPr>
      </w:pPr>
    </w:p>
    <w:p w14:paraId="1C11D0D6" w14:textId="10585D96" w:rsidR="00244716" w:rsidRPr="0025463B" w:rsidRDefault="00244716" w:rsidP="00244716">
      <w:pPr>
        <w:ind w:firstLine="720"/>
        <w:rPr>
          <w:rFonts w:cs="Times New Roman"/>
          <w:szCs w:val="24"/>
        </w:rPr>
      </w:pPr>
      <w:r w:rsidRPr="0025463B">
        <w:rPr>
          <w:rFonts w:cs="Times New Roman"/>
          <w:szCs w:val="24"/>
        </w:rPr>
        <w:t xml:space="preserve">For purposes of § 1962(c), a single individual or entity cannot be both the RICO enterprise and an individual defendant. </w:t>
      </w:r>
      <w:r w:rsidRPr="0025463B">
        <w:rPr>
          <w:rFonts w:cs="Times New Roman"/>
          <w:i/>
          <w:iCs/>
          <w:szCs w:val="24"/>
        </w:rPr>
        <w:t>See Rae v. Union Bank</w:t>
      </w:r>
      <w:r w:rsidRPr="0025463B">
        <w:rPr>
          <w:rFonts w:cs="Times New Roman"/>
          <w:szCs w:val="24"/>
        </w:rPr>
        <w:t xml:space="preserve">, 725 F.2d 478, 481 (9th Cir. 1984) (holding that </w:t>
      </w:r>
      <w:r w:rsidR="001A3D65">
        <w:rPr>
          <w:rFonts w:cs="Times New Roman"/>
          <w:szCs w:val="24"/>
        </w:rPr>
        <w:t xml:space="preserve">the </w:t>
      </w:r>
      <w:r w:rsidRPr="0025463B">
        <w:rPr>
          <w:rFonts w:cs="Times New Roman"/>
          <w:szCs w:val="24"/>
        </w:rPr>
        <w:t>plaintiff could not assert</w:t>
      </w:r>
      <w:r w:rsidR="001A3D65">
        <w:rPr>
          <w:rFonts w:cs="Times New Roman"/>
          <w:szCs w:val="24"/>
        </w:rPr>
        <w:t xml:space="preserve"> a</w:t>
      </w:r>
      <w:r w:rsidRPr="0025463B">
        <w:rPr>
          <w:rFonts w:cs="Times New Roman"/>
          <w:szCs w:val="24"/>
        </w:rPr>
        <w:t xml:space="preserve"> RICO claim against </w:t>
      </w:r>
      <w:r w:rsidR="001A3D65">
        <w:rPr>
          <w:rFonts w:cs="Times New Roman"/>
          <w:szCs w:val="24"/>
        </w:rPr>
        <w:t xml:space="preserve">the </w:t>
      </w:r>
      <w:r w:rsidRPr="0025463B">
        <w:rPr>
          <w:rFonts w:cs="Times New Roman"/>
          <w:szCs w:val="24"/>
        </w:rPr>
        <w:t xml:space="preserve">defendant bank because </w:t>
      </w:r>
      <w:r w:rsidR="001A3D65">
        <w:rPr>
          <w:rFonts w:cs="Times New Roman"/>
          <w:szCs w:val="24"/>
        </w:rPr>
        <w:t xml:space="preserve">the </w:t>
      </w:r>
      <w:r w:rsidRPr="0025463B">
        <w:rPr>
          <w:rFonts w:cs="Times New Roman"/>
          <w:szCs w:val="24"/>
        </w:rPr>
        <w:t xml:space="preserve">bank was also alleged to be </w:t>
      </w:r>
      <w:r w:rsidR="001C75AD">
        <w:rPr>
          <w:rFonts w:cs="Times New Roman"/>
          <w:szCs w:val="24"/>
        </w:rPr>
        <w:t xml:space="preserve">a </w:t>
      </w:r>
      <w:r w:rsidRPr="0025463B">
        <w:rPr>
          <w:rFonts w:cs="Times New Roman"/>
          <w:szCs w:val="24"/>
        </w:rPr>
        <w:t xml:space="preserve">RICO enterprise). However, “the inability of a corporation to operate except through its officers is not an impediment to section 1962(c) suits.” </w:t>
      </w:r>
      <w:r w:rsidRPr="0025463B">
        <w:rPr>
          <w:rFonts w:cs="Times New Roman"/>
          <w:i/>
          <w:iCs/>
          <w:szCs w:val="24"/>
        </w:rPr>
        <w:t>Sever v. Alaska Pulp</w:t>
      </w:r>
      <w:r w:rsidRPr="0025463B">
        <w:rPr>
          <w:rFonts w:cs="Times New Roman"/>
          <w:szCs w:val="24"/>
        </w:rPr>
        <w:t xml:space="preserve"> </w:t>
      </w:r>
      <w:r w:rsidRPr="0025463B">
        <w:rPr>
          <w:rFonts w:cs="Times New Roman"/>
          <w:i/>
          <w:iCs/>
          <w:szCs w:val="24"/>
        </w:rPr>
        <w:t>Corp</w:t>
      </w:r>
      <w:r w:rsidRPr="0025463B">
        <w:rPr>
          <w:rFonts w:cs="Times New Roman"/>
          <w:szCs w:val="24"/>
        </w:rPr>
        <w:t xml:space="preserve">., 978 F.2d 1529, 1534 (9th Cir. 1992) (holding that individual officers of </w:t>
      </w:r>
      <w:r w:rsidR="001C75AD">
        <w:rPr>
          <w:rFonts w:cs="Times New Roman"/>
          <w:szCs w:val="24"/>
        </w:rPr>
        <w:t>a</w:t>
      </w:r>
      <w:r w:rsidR="003A638F">
        <w:rPr>
          <w:rFonts w:cs="Times New Roman"/>
          <w:szCs w:val="24"/>
        </w:rPr>
        <w:t xml:space="preserve"> </w:t>
      </w:r>
      <w:r w:rsidRPr="0025463B">
        <w:rPr>
          <w:rFonts w:cs="Times New Roman"/>
          <w:szCs w:val="24"/>
        </w:rPr>
        <w:t xml:space="preserve">corporation could be named as defendants even though </w:t>
      </w:r>
      <w:r w:rsidR="001C75AD">
        <w:rPr>
          <w:rFonts w:cs="Times New Roman"/>
          <w:szCs w:val="24"/>
        </w:rPr>
        <w:t xml:space="preserve">the </w:t>
      </w:r>
      <w:r w:rsidRPr="0025463B">
        <w:rPr>
          <w:rFonts w:cs="Times New Roman"/>
          <w:szCs w:val="24"/>
        </w:rPr>
        <w:t xml:space="preserve">corporation was alleged to be </w:t>
      </w:r>
      <w:r w:rsidR="001C75AD">
        <w:rPr>
          <w:rFonts w:cs="Times New Roman"/>
          <w:szCs w:val="24"/>
        </w:rPr>
        <w:t xml:space="preserve">an </w:t>
      </w:r>
      <w:r w:rsidRPr="0025463B">
        <w:rPr>
          <w:rFonts w:cs="Times New Roman"/>
          <w:szCs w:val="24"/>
        </w:rPr>
        <w:t xml:space="preserve">enterprise and could not act without its officers); </w:t>
      </w:r>
      <w:r w:rsidRPr="0025463B">
        <w:rPr>
          <w:rFonts w:cs="Times New Roman"/>
          <w:i/>
          <w:iCs/>
          <w:szCs w:val="24"/>
        </w:rPr>
        <w:t>see United States v. Benny</w:t>
      </w:r>
      <w:r w:rsidRPr="0025463B">
        <w:rPr>
          <w:rFonts w:cs="Times New Roman"/>
          <w:szCs w:val="24"/>
        </w:rPr>
        <w:t xml:space="preserve">, 786 F.2d 1410, 1416 (9th Cir. 1986) (stating that </w:t>
      </w:r>
      <w:r w:rsidR="001C75AD">
        <w:rPr>
          <w:rFonts w:cs="Times New Roman"/>
          <w:szCs w:val="24"/>
        </w:rPr>
        <w:t xml:space="preserve">the </w:t>
      </w:r>
      <w:r w:rsidRPr="0025463B">
        <w:rPr>
          <w:rFonts w:cs="Times New Roman"/>
          <w:szCs w:val="24"/>
        </w:rPr>
        <w:t xml:space="preserve">corporate form is the “sort of legal shield for illegal activity that Congress intended RICO to pierce”). </w:t>
      </w:r>
    </w:p>
    <w:p w14:paraId="72856207" w14:textId="77777777" w:rsidR="00244716" w:rsidRPr="0025463B" w:rsidRDefault="00244716" w:rsidP="00244716">
      <w:pPr>
        <w:ind w:firstLine="720"/>
        <w:rPr>
          <w:rFonts w:cs="Times New Roman"/>
          <w:szCs w:val="24"/>
        </w:rPr>
      </w:pPr>
    </w:p>
    <w:p w14:paraId="020EA0E8" w14:textId="77777777" w:rsidR="00244716" w:rsidRPr="0025463B" w:rsidRDefault="00244716" w:rsidP="00244716">
      <w:pPr>
        <w:ind w:firstLine="720"/>
        <w:rPr>
          <w:rFonts w:cs="Times New Roman"/>
          <w:szCs w:val="24"/>
        </w:rPr>
      </w:pPr>
      <w:r w:rsidRPr="0025463B">
        <w:rPr>
          <w:rFonts w:cs="Times New Roman"/>
          <w:szCs w:val="24"/>
        </w:rPr>
        <w:t xml:space="preserve">An organizational defendant can be a member of a larger associated-in-fact enterprise. </w:t>
      </w:r>
      <w:r w:rsidRPr="0025463B">
        <w:rPr>
          <w:rFonts w:cs="Times New Roman"/>
          <w:i/>
          <w:iCs/>
          <w:szCs w:val="24"/>
        </w:rPr>
        <w:t>See Living Designs</w:t>
      </w:r>
      <w:r w:rsidRPr="0025463B">
        <w:rPr>
          <w:rFonts w:cs="Times New Roman"/>
          <w:szCs w:val="24"/>
        </w:rPr>
        <w:t>, 431 F.3d at 361 (stating that an</w:t>
      </w:r>
      <w:r w:rsidRPr="0025463B" w:rsidDel="00FB5D92">
        <w:rPr>
          <w:rFonts w:cs="Times New Roman"/>
          <w:szCs w:val="24"/>
        </w:rPr>
        <w:t xml:space="preserve"> </w:t>
      </w:r>
      <w:r w:rsidRPr="0025463B">
        <w:rPr>
          <w:rFonts w:cs="Times New Roman"/>
          <w:szCs w:val="24"/>
        </w:rPr>
        <w:t xml:space="preserve">associated-in-fact enterprise could be formed between the defendant corporation, law firms employed by it, and expert witnesses retained by the law firm). An associated-in-fact enterprise is “a group of persons associated together for a common purpose of engaging in a course of conduct.” </w:t>
      </w:r>
      <w:r w:rsidRPr="0025463B">
        <w:rPr>
          <w:rFonts w:cs="Times New Roman"/>
          <w:i/>
          <w:iCs/>
          <w:szCs w:val="24"/>
        </w:rPr>
        <w:t>Boyle v. United States</w:t>
      </w:r>
      <w:r w:rsidRPr="0025463B">
        <w:rPr>
          <w:rFonts w:cs="Times New Roman"/>
          <w:szCs w:val="24"/>
        </w:rPr>
        <w:t xml:space="preserve">, 556 U.S. 938, 945-46 (2009) (quoting </w:t>
      </w:r>
      <w:r w:rsidRPr="0025463B">
        <w:rPr>
          <w:rFonts w:cs="Times New Roman"/>
          <w:i/>
          <w:iCs/>
          <w:szCs w:val="24"/>
        </w:rPr>
        <w:t>United States v. Turkette</w:t>
      </w:r>
      <w:r w:rsidRPr="0025463B">
        <w:rPr>
          <w:rFonts w:cs="Times New Roman"/>
          <w:szCs w:val="24"/>
        </w:rPr>
        <w:t xml:space="preserve">, 452 U.S. 576, 580 (1981)). Its existence is proven through evidence of an ongoing organization, formal or informal, and evidence that the various associates function as a continuing unit. No particular organizational structure, separate or otherwise, is necessary for an associated-in-fact enterprise. </w:t>
      </w:r>
      <w:r w:rsidRPr="0025463B">
        <w:rPr>
          <w:rFonts w:cs="Times New Roman"/>
          <w:i/>
          <w:iCs/>
          <w:szCs w:val="24"/>
        </w:rPr>
        <w:t>Odom</w:t>
      </w:r>
      <w:r w:rsidRPr="0025463B">
        <w:rPr>
          <w:rFonts w:cs="Times New Roman"/>
          <w:szCs w:val="24"/>
        </w:rPr>
        <w:t xml:space="preserve">, 486 F.3d at 551 (concluding that plaintiffs had sufficiently alleged associated-in-fact enterprise between defendant software manufacturer and co-defendant retailer when defendants established cross-marketing scheme for transferring plaintiffs’ personal information from the retailer to the manufacturer to allow the manufacturer to improperly charge plaintiffs for services); </w:t>
      </w:r>
      <w:r w:rsidRPr="0025463B">
        <w:rPr>
          <w:rFonts w:cs="Times New Roman"/>
          <w:i/>
          <w:iCs/>
          <w:szCs w:val="24"/>
        </w:rPr>
        <w:t>see also Boyle</w:t>
      </w:r>
      <w:r w:rsidRPr="0025463B">
        <w:rPr>
          <w:rFonts w:cs="Times New Roman"/>
          <w:szCs w:val="24"/>
        </w:rPr>
        <w:t>, 556 U.S. at 946 (“It is apparent that an association-in-fact enterprise must have at least three structural features: a purpose, relationships among those associated with the enterprise, and longevity sufficient to permit these associates to pursue the enterprise's purpose.”).</w:t>
      </w:r>
    </w:p>
    <w:p w14:paraId="063F893A" w14:textId="77777777" w:rsidR="00244716" w:rsidRPr="0025463B" w:rsidRDefault="00244716" w:rsidP="00244716">
      <w:pPr>
        <w:ind w:firstLine="720"/>
        <w:rPr>
          <w:rFonts w:cs="Times New Roman"/>
          <w:szCs w:val="24"/>
        </w:rPr>
      </w:pPr>
    </w:p>
    <w:p w14:paraId="4E80183D" w14:textId="77777777" w:rsidR="00244716" w:rsidRPr="0025463B" w:rsidRDefault="00244716" w:rsidP="00244716">
      <w:pPr>
        <w:ind w:firstLine="720"/>
        <w:rPr>
          <w:rFonts w:cs="Times New Roman"/>
          <w:szCs w:val="24"/>
        </w:rPr>
      </w:pPr>
      <w:r w:rsidRPr="0025463B">
        <w:rPr>
          <w:rFonts w:cs="Times New Roman"/>
          <w:szCs w:val="24"/>
        </w:rPr>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bookmarkStart w:id="126" w:name="_Hlk201841118"/>
      <w:r w:rsidRPr="0025463B">
        <w:rPr>
          <w:rFonts w:cs="Times New Roman"/>
          <w:i/>
          <w:iCs/>
          <w:szCs w:val="24"/>
        </w:rPr>
        <w:t>United States v. Christensen</w:t>
      </w:r>
      <w:r w:rsidRPr="0025463B">
        <w:rPr>
          <w:rFonts w:cs="Times New Roman"/>
          <w:szCs w:val="24"/>
        </w:rPr>
        <w:t xml:space="preserve">, 801 F.3d 970, 985 (9th Cir.), </w:t>
      </w:r>
      <w:r w:rsidRPr="0025463B">
        <w:rPr>
          <w:rFonts w:cs="Times New Roman"/>
          <w:i/>
          <w:szCs w:val="24"/>
        </w:rPr>
        <w:t>opinion amended and superseded on denial of reh’g</w:t>
      </w:r>
      <w:r w:rsidRPr="0025463B">
        <w:rPr>
          <w:rFonts w:cs="Times New Roman"/>
          <w:szCs w:val="24"/>
        </w:rPr>
        <w:t>, 828 F.3d 763 (9th Cir. 2015)</w:t>
      </w:r>
      <w:bookmarkEnd w:id="126"/>
      <w:r w:rsidRPr="0025463B">
        <w:rPr>
          <w:rFonts w:cs="Times New Roman"/>
          <w:szCs w:val="24"/>
        </w:rPr>
        <w:t xml:space="preserve">. A RICO enterprise is not defeated even when some of the enterprise’s participants lack detailed knowledge of all the other participants or their activities. Instead, “it is sufficient that the defendant know the general nature of the enterprise and know that the enterprise extends beyond his individual role.” </w:t>
      </w:r>
      <w:r w:rsidRPr="0025463B">
        <w:rPr>
          <w:rFonts w:cs="Times New Roman"/>
          <w:i/>
          <w:iCs/>
          <w:szCs w:val="24"/>
        </w:rPr>
        <w:t>Id</w:t>
      </w:r>
      <w:r w:rsidRPr="0025463B">
        <w:rPr>
          <w:rFonts w:cs="Times New Roman"/>
          <w:szCs w:val="24"/>
        </w:rPr>
        <w:t xml:space="preserve">. (quoting </w:t>
      </w:r>
      <w:r w:rsidRPr="0025463B">
        <w:rPr>
          <w:rFonts w:cs="Times New Roman"/>
          <w:i/>
          <w:iCs/>
          <w:szCs w:val="24"/>
        </w:rPr>
        <w:t>United States v. Eufrasio</w:t>
      </w:r>
      <w:r w:rsidRPr="0025463B">
        <w:rPr>
          <w:rFonts w:cs="Times New Roman"/>
          <w:szCs w:val="24"/>
        </w:rPr>
        <w:t xml:space="preserve">, 935 F.2d 553, 557 n. 29 (3rd Cir. 1991). In particular cases, “the evidence used to prove the </w:t>
      </w:r>
      <w:r w:rsidRPr="0025463B">
        <w:rPr>
          <w:rFonts w:cs="Times New Roman"/>
          <w:szCs w:val="24"/>
        </w:rPr>
        <w:lastRenderedPageBreak/>
        <w:t xml:space="preserve">pattern of racketeering activity and the evidence establishing an enterprise” may overlap. </w:t>
      </w:r>
      <w:r w:rsidRPr="0025463B">
        <w:rPr>
          <w:rFonts w:cs="Times New Roman"/>
          <w:i/>
          <w:iCs/>
          <w:szCs w:val="24"/>
        </w:rPr>
        <w:t>Boyle</w:t>
      </w:r>
      <w:r w:rsidRPr="0025463B">
        <w:rPr>
          <w:rFonts w:cs="Times New Roman"/>
          <w:szCs w:val="24"/>
        </w:rPr>
        <w:t xml:space="preserve">, 556 U.S. at 947. However, “enterprise” and “conduct” are two separate and necessary elements of a civil RICO claim. </w:t>
      </w:r>
      <w:r w:rsidRPr="0025463B">
        <w:rPr>
          <w:rFonts w:cs="Times New Roman"/>
          <w:i/>
          <w:iCs/>
          <w:szCs w:val="24"/>
        </w:rPr>
        <w:t>Odom</w:t>
      </w:r>
      <w:r w:rsidRPr="0025463B">
        <w:rPr>
          <w:rFonts w:cs="Times New Roman"/>
          <w:szCs w:val="24"/>
        </w:rPr>
        <w:t>, 486 F.3d at 549 (“The ‘enterprise’ is the actor, and the ‘pattern of racketeering activity’ is an activity in which that actor engages.”).</w:t>
      </w:r>
    </w:p>
    <w:p w14:paraId="232EC667" w14:textId="77777777" w:rsidR="00244716" w:rsidRPr="0025463B" w:rsidRDefault="00244716" w:rsidP="00244716">
      <w:pPr>
        <w:rPr>
          <w:rFonts w:cs="Times New Roman"/>
          <w:b/>
          <w:bCs/>
          <w:szCs w:val="24"/>
        </w:rPr>
      </w:pPr>
    </w:p>
    <w:p w14:paraId="547E1756" w14:textId="77777777" w:rsidR="00244716" w:rsidRPr="0025463B" w:rsidRDefault="00244716" w:rsidP="00244716">
      <w:pPr>
        <w:ind w:firstLine="720"/>
        <w:rPr>
          <w:rFonts w:cs="Times New Roman"/>
          <w:szCs w:val="24"/>
        </w:rPr>
      </w:pPr>
      <w:r w:rsidRPr="0025463B">
        <w:rPr>
          <w:rFonts w:cs="Times New Roman"/>
          <w:b/>
          <w:bCs/>
          <w:szCs w:val="24"/>
        </w:rPr>
        <w:t xml:space="preserve">Pattern: </w:t>
      </w:r>
      <w:r w:rsidRPr="0025463B">
        <w:rPr>
          <w:rFonts w:cs="Times New Roman"/>
          <w:szCs w:val="24"/>
        </w:rPr>
        <w:t xml:space="preserve">A pattern is defined as “at least two acts of racketeering activity” within ten years of each other. 18 U.S.C. § 1961(5). Proving two predicate acts is a necessary condition for finding a violation but may not be sufficient. </w:t>
      </w:r>
      <w:r w:rsidRPr="0025463B">
        <w:rPr>
          <w:rFonts w:cs="Times New Roman"/>
          <w:i/>
          <w:iCs/>
          <w:szCs w:val="24"/>
        </w:rPr>
        <w:t>See H.J., Inc. v. Nw. Bell Tel. Co.</w:t>
      </w:r>
      <w:r w:rsidRPr="0025463B">
        <w:rPr>
          <w:rFonts w:cs="Times New Roman"/>
          <w:szCs w:val="24"/>
        </w:rPr>
        <w:t xml:space="preserve">, 492 U.S. 229, 238 (1989). To establish a “pattern of racketeering activity,” the predicate acts must be both “related” and “continuous.” </w:t>
      </w:r>
      <w:r w:rsidRPr="0025463B">
        <w:rPr>
          <w:rFonts w:cs="Times New Roman"/>
          <w:i/>
          <w:iCs/>
          <w:szCs w:val="24"/>
        </w:rPr>
        <w:t>Id</w:t>
      </w:r>
      <w:r w:rsidRPr="0025463B">
        <w:rPr>
          <w:rFonts w:cs="Times New Roman"/>
          <w:szCs w:val="24"/>
        </w:rPr>
        <w:t xml:space="preserve">.; </w:t>
      </w:r>
      <w:r w:rsidRPr="0025463B">
        <w:rPr>
          <w:rFonts w:cs="Times New Roman"/>
          <w:i/>
          <w:iCs/>
          <w:szCs w:val="24"/>
        </w:rPr>
        <w:t>Sever</w:t>
      </w:r>
      <w:r w:rsidRPr="0025463B">
        <w:rPr>
          <w:rFonts w:cs="Times New Roman"/>
          <w:szCs w:val="24"/>
        </w:rPr>
        <w:t xml:space="preserve">, 978 F.2d at 1529. Related conduct “embraces criminal acts that have the same or similar purposes, results, participants, victims, or methods of commission, or otherwise are interrelated by distinguishing characteristics and are not isolated events.” </w:t>
      </w:r>
      <w:r w:rsidRPr="0025463B">
        <w:rPr>
          <w:rFonts w:cs="Times New Roman"/>
          <w:i/>
          <w:iCs/>
          <w:szCs w:val="24"/>
        </w:rPr>
        <w:t>H.J., Inc</w:t>
      </w:r>
      <w:r w:rsidRPr="0025463B">
        <w:rPr>
          <w:rFonts w:cs="Times New Roman"/>
          <w:szCs w:val="24"/>
        </w:rPr>
        <w:t xml:space="preserve">., 492 U.S. at 240. Relatedness of the alleged or proven predicate acts is rarely an issue. </w:t>
      </w:r>
      <w:r w:rsidRPr="0025463B">
        <w:rPr>
          <w:rFonts w:cs="Times New Roman"/>
          <w:i/>
          <w:iCs/>
          <w:szCs w:val="24"/>
        </w:rPr>
        <w:t>See Medallion Television Enters., Inc. v.</w:t>
      </w:r>
      <w:r w:rsidRPr="0025463B">
        <w:rPr>
          <w:rFonts w:cs="Times New Roman"/>
          <w:szCs w:val="24"/>
        </w:rPr>
        <w:t xml:space="preserve"> </w:t>
      </w:r>
      <w:r w:rsidRPr="0025463B">
        <w:rPr>
          <w:rFonts w:cs="Times New Roman"/>
          <w:i/>
          <w:iCs/>
          <w:szCs w:val="24"/>
        </w:rPr>
        <w:t>SelecTV of Cal., Inc.</w:t>
      </w:r>
      <w:r w:rsidRPr="0025463B">
        <w:rPr>
          <w:rFonts w:cs="Times New Roman"/>
          <w:szCs w:val="24"/>
        </w:rPr>
        <w:t xml:space="preserve">, 833 F.2d 1360, 1363 (9th Cir. 1987) (concluding alleged predicate acts were related when all were directed toward inducing the plaintiff to enter the joint venture and provide funds to obtain certain rights). However, merely alleging that the predicate acts share the same participants is insufficient to establish that they are related. </w:t>
      </w:r>
      <w:r w:rsidRPr="0025463B">
        <w:rPr>
          <w:rFonts w:cs="Times New Roman"/>
          <w:i/>
          <w:iCs/>
          <w:szCs w:val="24"/>
        </w:rPr>
        <w:t>See Howard v. Am. Online Inc</w:t>
      </w:r>
      <w:r w:rsidRPr="0025463B">
        <w:rPr>
          <w:rFonts w:cs="Times New Roman"/>
          <w:szCs w:val="24"/>
        </w:rPr>
        <w:t>., 208 F.3d 741, 749 (9th Cir. 2000) (stating that when the purpose, result, victim, and method of one set of predicate acts were “strikingly different” from those of the other set of alleged predicate acts, even when both sets of predicate acts implicated the same participants, the evidence was not enough to establish relatedness).</w:t>
      </w:r>
    </w:p>
    <w:p w14:paraId="045227BF" w14:textId="77777777" w:rsidR="00244716" w:rsidRPr="0025463B" w:rsidRDefault="00244716" w:rsidP="00244716">
      <w:pPr>
        <w:ind w:firstLine="720"/>
        <w:rPr>
          <w:rFonts w:cs="Times New Roman"/>
          <w:szCs w:val="24"/>
        </w:rPr>
      </w:pPr>
    </w:p>
    <w:p w14:paraId="5ECB7445" w14:textId="77777777" w:rsidR="00244716" w:rsidRPr="0025463B" w:rsidRDefault="00244716" w:rsidP="00244716">
      <w:pPr>
        <w:ind w:firstLine="720"/>
        <w:rPr>
          <w:rFonts w:cs="Times New Roman"/>
          <w:szCs w:val="24"/>
        </w:rPr>
      </w:pPr>
      <w:r w:rsidRPr="0025463B">
        <w:rPr>
          <w:rFonts w:cs="Times New Roman"/>
          <w:szCs w:val="24"/>
        </w:rPr>
        <w:t xml:space="preserve">The continuity requirement reflects Congress’s concern in RICO with long-term criminal conduct. </w:t>
      </w:r>
      <w:r w:rsidRPr="0025463B">
        <w:rPr>
          <w:rFonts w:cs="Times New Roman"/>
          <w:i/>
          <w:iCs/>
          <w:szCs w:val="24"/>
        </w:rPr>
        <w:t>See H.J., Inc</w:t>
      </w:r>
      <w:r w:rsidRPr="0025463B">
        <w:rPr>
          <w:rFonts w:cs="Times New Roman"/>
          <w:szCs w:val="24"/>
        </w:rPr>
        <w:t xml:space="preserve">., 492 U.S. at 242. Plaintiffs must prove either “open-ended” or “closed-ended” continuity—that is, a plaintiff must either prove a series of related predicate acts committed over a substantial period of time (known as closed-ended continuity) or show past conduct that by its nature projects into the future with a threat of repetition (known as open-ended continuity). </w:t>
      </w:r>
      <w:r w:rsidRPr="0025463B">
        <w:rPr>
          <w:rFonts w:cs="Times New Roman"/>
          <w:i/>
          <w:iCs/>
          <w:szCs w:val="24"/>
        </w:rPr>
        <w:t xml:space="preserve">See id. </w:t>
      </w:r>
      <w:r w:rsidRPr="0025463B">
        <w:rPr>
          <w:rFonts w:cs="Times New Roman"/>
          <w:szCs w:val="24"/>
        </w:rPr>
        <w:t xml:space="preserve">at 241-42; </w:t>
      </w:r>
      <w:r w:rsidRPr="0025463B">
        <w:rPr>
          <w:rFonts w:cs="Times New Roman"/>
          <w:i/>
          <w:iCs/>
          <w:szCs w:val="24"/>
        </w:rPr>
        <w:t>Howard</w:t>
      </w:r>
      <w:r w:rsidRPr="0025463B">
        <w:rPr>
          <w:rFonts w:cs="Times New Roman"/>
          <w:szCs w:val="24"/>
        </w:rPr>
        <w:t xml:space="preserve">, 208 F.3d at 750. There is no bright line rule for what period of time will establish closed-ended continuity, but activity spanning only several months is unlikely to satisfy the requirement. </w:t>
      </w:r>
      <w:r w:rsidRPr="0025463B">
        <w:rPr>
          <w:rFonts w:cs="Times New Roman"/>
          <w:i/>
          <w:iCs/>
          <w:szCs w:val="24"/>
        </w:rPr>
        <w:t>Allwaste,</w:t>
      </w:r>
      <w:r w:rsidRPr="0025463B">
        <w:rPr>
          <w:rFonts w:cs="Times New Roman"/>
          <w:szCs w:val="24"/>
        </w:rPr>
        <w:t xml:space="preserve"> </w:t>
      </w:r>
      <w:r w:rsidRPr="0025463B">
        <w:rPr>
          <w:rFonts w:cs="Times New Roman"/>
          <w:i/>
          <w:iCs/>
          <w:szCs w:val="24"/>
        </w:rPr>
        <w:t>Inc. v. Hecht</w:t>
      </w:r>
      <w:r w:rsidRPr="0025463B">
        <w:rPr>
          <w:rFonts w:cs="Times New Roman"/>
          <w:szCs w:val="24"/>
        </w:rPr>
        <w:t xml:space="preserve">, 65 F.3d 1523, 1528 (9th Cir. 1995) (noting that it would be “misguided” to state as a “hard and fast rule” that to establish closed-ended continuity, the pattern of activity must extend more than a year, but also stating that activity spanning only several months without threatening any future criminal conduct does not meet continuity requirement); </w:t>
      </w:r>
      <w:r w:rsidRPr="0025463B">
        <w:rPr>
          <w:rFonts w:cs="Times New Roman"/>
          <w:i/>
          <w:iCs/>
          <w:szCs w:val="24"/>
        </w:rPr>
        <w:t>Religious Tech. Ctr. v.</w:t>
      </w:r>
      <w:r w:rsidRPr="0025463B">
        <w:rPr>
          <w:rFonts w:cs="Times New Roman"/>
          <w:szCs w:val="24"/>
        </w:rPr>
        <w:t xml:space="preserve"> </w:t>
      </w:r>
      <w:r w:rsidRPr="0025463B">
        <w:rPr>
          <w:rFonts w:cs="Times New Roman"/>
          <w:i/>
          <w:iCs/>
          <w:szCs w:val="24"/>
        </w:rPr>
        <w:t>Wollersheim</w:t>
      </w:r>
      <w:r w:rsidRPr="0025463B">
        <w:rPr>
          <w:rFonts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r w:rsidRPr="0025463B">
        <w:rPr>
          <w:rFonts w:cs="Times New Roman"/>
          <w:i/>
          <w:iCs/>
          <w:szCs w:val="24"/>
        </w:rPr>
        <w:t>Allwaste</w:t>
      </w:r>
      <w:r w:rsidRPr="0025463B">
        <w:rPr>
          <w:rFonts w:cs="Times New Roman"/>
          <w:szCs w:val="24"/>
        </w:rPr>
        <w:t xml:space="preserve">, 65 F.3d at 1528; </w:t>
      </w:r>
      <w:r w:rsidRPr="0025463B">
        <w:rPr>
          <w:rFonts w:cs="Times New Roman"/>
          <w:i/>
          <w:iCs/>
          <w:szCs w:val="24"/>
        </w:rPr>
        <w:t>see</w:t>
      </w:r>
      <w:r w:rsidRPr="00A15A8F">
        <w:rPr>
          <w:rFonts w:cs="Times New Roman"/>
          <w:i/>
          <w:iCs/>
          <w:szCs w:val="24"/>
        </w:rPr>
        <w:t>,</w:t>
      </w:r>
      <w:r w:rsidRPr="0025463B">
        <w:rPr>
          <w:rFonts w:cs="Times New Roman"/>
          <w:i/>
          <w:iCs/>
          <w:szCs w:val="24"/>
        </w:rPr>
        <w:t xml:space="preserve"> e.g.</w:t>
      </w:r>
      <w:r w:rsidRPr="0025463B">
        <w:rPr>
          <w:rFonts w:cs="Times New Roman"/>
          <w:szCs w:val="24"/>
        </w:rPr>
        <w:t xml:space="preserve">, </w:t>
      </w:r>
      <w:r w:rsidRPr="0025463B">
        <w:rPr>
          <w:rFonts w:cs="Times New Roman"/>
          <w:i/>
          <w:iCs/>
          <w:szCs w:val="24"/>
        </w:rPr>
        <w:t>Ikuno v. Yip</w:t>
      </w:r>
      <w:r w:rsidRPr="0025463B">
        <w:rPr>
          <w:rFonts w:cs="Times New Roman"/>
          <w:szCs w:val="24"/>
        </w:rPr>
        <w:t xml:space="preserve">, 912 F.2d 306, 308 (9th Cir. 1990) (concluding that open-ended continuity was established based on two filings of false annual trading reports for a phantom commodity trading company and no evidence that the defendant would have stopped filing false annual reports if the company had continued to do business); </w:t>
      </w:r>
      <w:r w:rsidRPr="0025463B">
        <w:rPr>
          <w:rFonts w:cs="Times New Roman"/>
          <w:i/>
          <w:iCs/>
          <w:szCs w:val="24"/>
        </w:rPr>
        <w:t>Medallion</w:t>
      </w:r>
      <w:r w:rsidRPr="0025463B">
        <w:rPr>
          <w:rFonts w:cs="Times New Roman"/>
          <w:szCs w:val="24"/>
        </w:rPr>
        <w:t>, 833 F.2d at 1364 (concluding that the continuity requirement was not satisfied because the fraud at issue posed no threat of future activity).</w:t>
      </w:r>
    </w:p>
    <w:p w14:paraId="3E386983" w14:textId="77777777" w:rsidR="00244716" w:rsidRPr="0025463B" w:rsidRDefault="00244716" w:rsidP="00244716">
      <w:pPr>
        <w:ind w:firstLine="720"/>
        <w:rPr>
          <w:rFonts w:cs="Times New Roman"/>
          <w:szCs w:val="24"/>
        </w:rPr>
      </w:pPr>
    </w:p>
    <w:p w14:paraId="15349664" w14:textId="77777777" w:rsidR="00244716" w:rsidRPr="0025463B" w:rsidRDefault="00244716" w:rsidP="00244716">
      <w:pPr>
        <w:ind w:firstLine="720"/>
        <w:rPr>
          <w:rFonts w:cs="Times New Roman"/>
          <w:szCs w:val="24"/>
        </w:rPr>
      </w:pPr>
      <w:r w:rsidRPr="0025463B">
        <w:rPr>
          <w:rFonts w:cs="Times New Roman"/>
          <w:b/>
          <w:bCs/>
          <w:szCs w:val="24"/>
        </w:rPr>
        <w:t xml:space="preserve">Racketeering Activity: </w:t>
      </w:r>
      <w:r w:rsidRPr="0025463B">
        <w:rPr>
          <w:rFonts w:cs="Times New Roman"/>
          <w:szCs w:val="24"/>
        </w:rPr>
        <w:t xml:space="preserve">To constitute racketeering activity, the relevant conduct must consist of at least one of the indictable predicate acts listed in 18 U.S.C. § 1961. </w:t>
      </w:r>
      <w:r w:rsidRPr="0025463B">
        <w:rPr>
          <w:rFonts w:cs="Times New Roman"/>
          <w:i/>
          <w:iCs/>
          <w:szCs w:val="24"/>
        </w:rPr>
        <w:t>Sedima,</w:t>
      </w:r>
      <w:r w:rsidRPr="0025463B">
        <w:rPr>
          <w:rFonts w:cs="Times New Roman"/>
          <w:szCs w:val="24"/>
        </w:rPr>
        <w:t xml:space="preserve"> </w:t>
      </w:r>
      <w:r w:rsidRPr="0025463B">
        <w:rPr>
          <w:rFonts w:cs="Times New Roman"/>
          <w:i/>
          <w:iCs/>
          <w:szCs w:val="24"/>
        </w:rPr>
        <w:t>S.P.R.L. v. Imrex Co., Inc</w:t>
      </w:r>
      <w:r w:rsidRPr="0025463B">
        <w:rPr>
          <w:rFonts w:cs="Times New Roman"/>
          <w:szCs w:val="24"/>
        </w:rPr>
        <w:t xml:space="preserve">., 473 U.S. 479, 495 (1985) (noting that “racketeering activity’ consists of no more and no less than commission of a predicate act”). Predicate acts must be proved by a preponderance of the evidence. </w:t>
      </w:r>
      <w:r w:rsidRPr="0025463B">
        <w:rPr>
          <w:rFonts w:cs="Times New Roman"/>
          <w:i/>
          <w:iCs/>
          <w:szCs w:val="24"/>
        </w:rPr>
        <w:t>See Wilcox v. First Interstate Bank</w:t>
      </w:r>
      <w:r w:rsidRPr="0025463B">
        <w:rPr>
          <w:rFonts w:cs="Times New Roman"/>
          <w:szCs w:val="24"/>
        </w:rPr>
        <w:t>, 815 F.2d 522, 531-32 (9th Cir. 1987).</w:t>
      </w:r>
    </w:p>
    <w:p w14:paraId="1D7A3EF7" w14:textId="77777777" w:rsidR="00244716" w:rsidRPr="0025463B" w:rsidRDefault="00244716" w:rsidP="00244716">
      <w:pPr>
        <w:ind w:firstLine="720"/>
        <w:rPr>
          <w:rFonts w:cs="Times New Roman"/>
          <w:szCs w:val="24"/>
        </w:rPr>
      </w:pPr>
    </w:p>
    <w:p w14:paraId="75CE4BE4" w14:textId="77777777" w:rsidR="00244716" w:rsidRPr="0025463B" w:rsidRDefault="00244716" w:rsidP="00244716">
      <w:pPr>
        <w:ind w:firstLine="720"/>
        <w:rPr>
          <w:rFonts w:cs="Times New Roman"/>
          <w:szCs w:val="24"/>
        </w:rPr>
      </w:pPr>
      <w:r w:rsidRPr="0025463B">
        <w:rPr>
          <w:rFonts w:cs="Times New Roman"/>
          <w:b/>
          <w:szCs w:val="24"/>
        </w:rPr>
        <w:t>Business or Property:</w:t>
      </w:r>
      <w:r w:rsidRPr="0025463B">
        <w:rPr>
          <w:rFonts w:cs="Times New Roman"/>
          <w:szCs w:val="24"/>
        </w:rPr>
        <w:t xml:space="preserve"> Section 1964(c) “explicitly permit[s] recovery for harms to business and property, [and] it implicitly excludes recovery for harm to one’s person.” </w:t>
      </w:r>
      <w:r w:rsidRPr="0025463B">
        <w:rPr>
          <w:rFonts w:cs="Times New Roman"/>
          <w:i/>
          <w:szCs w:val="24"/>
        </w:rPr>
        <w:t>Med. Marijuana, Inc. v. Horn</w:t>
      </w:r>
      <w:r w:rsidRPr="0025463B">
        <w:rPr>
          <w:rFonts w:cs="Times New Roman"/>
          <w:szCs w:val="24"/>
        </w:rPr>
        <w:t xml:space="preserve">, 145 S. Ct. 931, 939 (2025). “A plaintiff has been ‘injured in his business or property’ if his business or property has been harmed or damaged. Section 1964(c) requires nothing more.” </w:t>
      </w:r>
      <w:r w:rsidRPr="0025463B">
        <w:rPr>
          <w:rFonts w:cs="Times New Roman"/>
          <w:i/>
          <w:szCs w:val="24"/>
        </w:rPr>
        <w:t>Id</w:t>
      </w:r>
      <w:r w:rsidRPr="0025463B">
        <w:rPr>
          <w:rFonts w:cs="Times New Roman"/>
          <w:i/>
          <w:iCs/>
          <w:szCs w:val="24"/>
        </w:rPr>
        <w:t>.</w:t>
      </w:r>
      <w:r w:rsidRPr="0025463B">
        <w:rPr>
          <w:rFonts w:cs="Times New Roman"/>
          <w:szCs w:val="24"/>
        </w:rPr>
        <w:t xml:space="preserve"> (quoting 18 U.S.C. § 1964(c)); </w:t>
      </w:r>
      <w:r w:rsidRPr="0025463B">
        <w:rPr>
          <w:rFonts w:cs="Times New Roman"/>
          <w:i/>
          <w:iCs/>
          <w:szCs w:val="24"/>
        </w:rPr>
        <w:t>accord</w:t>
      </w:r>
      <w:r w:rsidRPr="0025463B">
        <w:rPr>
          <w:rFonts w:cs="Times New Roman"/>
          <w:szCs w:val="24"/>
        </w:rPr>
        <w:t xml:space="preserve"> </w:t>
      </w:r>
      <w:r w:rsidRPr="0025463B">
        <w:rPr>
          <w:rFonts w:cs="Times New Roman"/>
          <w:i/>
          <w:iCs/>
          <w:szCs w:val="24"/>
        </w:rPr>
        <w:t>Diaz v. Gates</w:t>
      </w:r>
      <w:r w:rsidRPr="0025463B">
        <w:rPr>
          <w:rFonts w:cs="Times New Roman"/>
          <w:szCs w:val="24"/>
        </w:rPr>
        <w:t xml:space="preserve">, 420 F.3d 897, 901 (9th Cir. 2005) (en banc) (per curiam). “[T]he ‘business or property’ requirement operates with respect to the </w:t>
      </w:r>
      <w:r w:rsidRPr="0025463B">
        <w:rPr>
          <w:rFonts w:cs="Times New Roman"/>
          <w:i/>
          <w:szCs w:val="24"/>
        </w:rPr>
        <w:t xml:space="preserve">kinds </w:t>
      </w:r>
      <w:r w:rsidRPr="0025463B">
        <w:rPr>
          <w:rFonts w:cs="Times New Roman"/>
          <w:szCs w:val="24"/>
        </w:rPr>
        <w:t xml:space="preserve">of harm for which the plaintiff can recover, not the </w:t>
      </w:r>
      <w:r w:rsidRPr="0025463B">
        <w:rPr>
          <w:rFonts w:cs="Times New Roman"/>
          <w:i/>
          <w:szCs w:val="24"/>
        </w:rPr>
        <w:t>cause</w:t>
      </w:r>
      <w:r w:rsidRPr="0025463B">
        <w:rPr>
          <w:rFonts w:cs="Times New Roman"/>
          <w:szCs w:val="24"/>
        </w:rPr>
        <w:t xml:space="preserve"> of the harm for which he seeks relief.” </w:t>
      </w:r>
      <w:r w:rsidRPr="0025463B">
        <w:rPr>
          <w:rFonts w:cs="Times New Roman"/>
          <w:i/>
          <w:szCs w:val="24"/>
        </w:rPr>
        <w:t>Med. Marijuana</w:t>
      </w:r>
      <w:r w:rsidRPr="0025463B">
        <w:rPr>
          <w:rFonts w:cs="Times New Roman"/>
          <w:szCs w:val="24"/>
        </w:rPr>
        <w:t xml:space="preserve">, 145 S. Ct. at 939. “For example, if the owner of a gas station is beaten in a robbery, he cannot recover for his pain and suffering. But if his injuries force him to shut his doors, he can recover for the loss of his business.” </w:t>
      </w:r>
      <w:r w:rsidRPr="0025463B">
        <w:rPr>
          <w:rFonts w:cs="Times New Roman"/>
          <w:i/>
          <w:szCs w:val="24"/>
        </w:rPr>
        <w:t>Id.</w:t>
      </w:r>
      <w:r w:rsidRPr="0025463B">
        <w:rPr>
          <w:rFonts w:cs="Times New Roman"/>
          <w:szCs w:val="24"/>
        </w:rPr>
        <w:t xml:space="preserve"> “In short, a plaintiff can seek damages for business or property loss regardless of whether the loss resulted from a personal injury.” </w:t>
      </w:r>
      <w:r w:rsidRPr="0025463B">
        <w:rPr>
          <w:rFonts w:cs="Times New Roman"/>
          <w:i/>
          <w:szCs w:val="24"/>
        </w:rPr>
        <w:t>Id.</w:t>
      </w:r>
    </w:p>
    <w:p w14:paraId="06425295" w14:textId="77777777" w:rsidR="00244716" w:rsidRPr="0025463B" w:rsidRDefault="00244716" w:rsidP="00244716">
      <w:pPr>
        <w:autoSpaceDE w:val="0"/>
        <w:autoSpaceDN w:val="0"/>
        <w:adjustRightInd w:val="0"/>
        <w:rPr>
          <w:rFonts w:eastAsia="Calibri" w:cs="Times New Roman"/>
          <w:szCs w:val="24"/>
        </w:rPr>
      </w:pPr>
    </w:p>
    <w:p w14:paraId="3966CF35"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1962(d)</w:t>
      </w:r>
    </w:p>
    <w:p w14:paraId="3827FD1F" w14:textId="77777777" w:rsidR="00244716" w:rsidRPr="0025463B" w:rsidRDefault="00244716" w:rsidP="00244716">
      <w:pPr>
        <w:autoSpaceDE w:val="0"/>
        <w:autoSpaceDN w:val="0"/>
        <w:adjustRightInd w:val="0"/>
        <w:rPr>
          <w:rFonts w:eastAsia="Calibri" w:cs="Times New Roman"/>
          <w:szCs w:val="24"/>
        </w:rPr>
      </w:pPr>
    </w:p>
    <w:p w14:paraId="71265212" w14:textId="4A7977E3"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RICO conspiracy under § 1962(d) may be established by proof of an agreement to commit a substantive violation of RICO. </w:t>
      </w:r>
      <w:r w:rsidRPr="0025463B">
        <w:rPr>
          <w:rFonts w:eastAsia="Calibri" w:cs="Times New Roman"/>
          <w:i/>
          <w:iCs/>
          <w:szCs w:val="24"/>
        </w:rPr>
        <w:t>Oki Semiconductor Co. v. Wells Fargo Bank, Nat. Ass’n</w:t>
      </w:r>
      <w:r w:rsidRPr="0025463B">
        <w:rPr>
          <w:rFonts w:eastAsia="Calibri" w:cs="Times New Roman"/>
          <w:szCs w:val="24"/>
        </w:rPr>
        <w:t xml:space="preserve">, 298 F.3d 768, 774-75 (9th Cir. 2002) (“It is the mere agreement to violate RICO that § 1962(d) forbids; it is not necessary to prove any substantive RICO violations ever occurred as a result of the conspiracy.”) (citation omitted). The conspirator need not have agreed to commit or facilitate each and every part of the substantive offense. </w:t>
      </w:r>
      <w:r w:rsidRPr="0025463B">
        <w:rPr>
          <w:rFonts w:eastAsia="Calibri" w:cs="Times New Roman"/>
          <w:i/>
          <w:iCs/>
          <w:szCs w:val="24"/>
        </w:rPr>
        <w:t>Howard</w:t>
      </w:r>
      <w:r w:rsidRPr="0025463B">
        <w:rPr>
          <w:rFonts w:eastAsia="Calibri" w:cs="Times New Roman"/>
          <w:szCs w:val="24"/>
        </w:rPr>
        <w:t xml:space="preserve">, 208 F.3d 741, 751 (9th Cir. 2000) (citing </w:t>
      </w:r>
      <w:r w:rsidRPr="0025463B">
        <w:rPr>
          <w:rFonts w:eastAsia="Calibri" w:cs="Times New Roman"/>
          <w:i/>
          <w:iCs/>
          <w:szCs w:val="24"/>
        </w:rPr>
        <w:t>Salinas v. United States</w:t>
      </w:r>
      <w:r w:rsidRPr="0025463B">
        <w:rPr>
          <w:rFonts w:eastAsia="Calibri" w:cs="Times New Roman"/>
          <w:szCs w:val="24"/>
        </w:rPr>
        <w:t xml:space="preserve">, 522 U.S. 52, 65 (1997)). However, the conspirator must have been “aware of the essential nature and scope of the enterprise and intended to participate in it.” </w:t>
      </w:r>
      <w:r w:rsidRPr="0025463B">
        <w:rPr>
          <w:rFonts w:eastAsia="Calibri" w:cs="Times New Roman"/>
          <w:i/>
          <w:iCs/>
          <w:szCs w:val="24"/>
        </w:rPr>
        <w:t>Id</w:t>
      </w:r>
      <w:r w:rsidRPr="0025463B">
        <w:rPr>
          <w:rFonts w:eastAsia="Calibri" w:cs="Times New Roman"/>
          <w:szCs w:val="24"/>
        </w:rPr>
        <w:t xml:space="preserve">. (citing </w:t>
      </w:r>
      <w:r w:rsidRPr="0025463B">
        <w:rPr>
          <w:rFonts w:eastAsia="Calibri" w:cs="Times New Roman"/>
          <w:i/>
          <w:iCs/>
          <w:szCs w:val="24"/>
        </w:rPr>
        <w:t>Baumer v. Pachl</w:t>
      </w:r>
      <w:r w:rsidRPr="0025463B">
        <w:rPr>
          <w:rFonts w:eastAsia="Calibri" w:cs="Times New Roman"/>
          <w:szCs w:val="24"/>
        </w:rPr>
        <w:t xml:space="preserve">, 8 F.3d 1341, 1346 (9th Cir. 1993)). The “agreement need not be express as long as its existence can be inferred from words, actions, or interdependence of activities and persons involved.” </w:t>
      </w:r>
      <w:r w:rsidRPr="0025463B">
        <w:rPr>
          <w:rFonts w:eastAsia="Calibri" w:cs="Times New Roman"/>
          <w:i/>
          <w:iCs/>
          <w:szCs w:val="24"/>
        </w:rPr>
        <w:t>Oki Semiconductor Co.</w:t>
      </w:r>
      <w:r w:rsidRPr="0025463B">
        <w:rPr>
          <w:rFonts w:eastAsia="Calibri" w:cs="Times New Roman"/>
          <w:szCs w:val="24"/>
        </w:rPr>
        <w:t xml:space="preserve">, 298 F.3d at 775. If a RICO conspiracy is demonstrated, “[a]ll conspirators are liable for the acts of their co-conspirators.” </w:t>
      </w:r>
      <w:r w:rsidRPr="0025463B">
        <w:rPr>
          <w:rFonts w:eastAsia="Calibri" w:cs="Times New Roman"/>
          <w:i/>
          <w:iCs/>
          <w:szCs w:val="24"/>
        </w:rPr>
        <w:t>Id</w:t>
      </w:r>
      <w:r w:rsidRPr="0025463B">
        <w:rPr>
          <w:rFonts w:eastAsia="Calibri" w:cs="Times New Roman"/>
          <w:szCs w:val="24"/>
        </w:rPr>
        <w:t>. (citation omitted).</w:t>
      </w:r>
    </w:p>
    <w:p w14:paraId="66276523" w14:textId="77777777" w:rsidR="00244716" w:rsidRPr="0025463B" w:rsidRDefault="00244716" w:rsidP="00244716">
      <w:pPr>
        <w:autoSpaceDE w:val="0"/>
        <w:autoSpaceDN w:val="0"/>
        <w:adjustRightInd w:val="0"/>
        <w:rPr>
          <w:rFonts w:eastAsia="Calibri" w:cs="Times New Roman"/>
          <w:szCs w:val="24"/>
        </w:rPr>
      </w:pPr>
    </w:p>
    <w:p w14:paraId="105FDF70" w14:textId="4DD41AC4"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defendant can be held liable for a RICO conspiracy if the evidence shows that he or she “knowingly agree[d] to facilitate a scheme which includes the operation or management of a RICO enterprise.” </w:t>
      </w:r>
      <w:r w:rsidRPr="0025463B">
        <w:rPr>
          <w:rFonts w:eastAsia="Calibri" w:cs="Times New Roman"/>
          <w:i/>
          <w:iCs/>
          <w:szCs w:val="24"/>
        </w:rPr>
        <w:t>United States v. Fernandez</w:t>
      </w:r>
      <w:r w:rsidRPr="0025463B">
        <w:rPr>
          <w:rFonts w:eastAsia="Calibri" w:cs="Times New Roman"/>
          <w:szCs w:val="24"/>
        </w:rPr>
        <w:t xml:space="preserve">, 388 F.3d 1199, 1229-30 (9th Cir. 2004) (citation omitted). There is no requirement that the defendant have actually conspired to operate or manage the enterprise himself or herself. </w:t>
      </w:r>
      <w:r w:rsidRPr="0025463B">
        <w:rPr>
          <w:rFonts w:eastAsia="Calibri" w:cs="Times New Roman"/>
          <w:i/>
          <w:iCs/>
          <w:szCs w:val="24"/>
        </w:rPr>
        <w:t>Id</w:t>
      </w:r>
      <w:r w:rsidRPr="0025463B">
        <w:rPr>
          <w:rFonts w:eastAsia="Calibri" w:cs="Times New Roman"/>
          <w:szCs w:val="24"/>
        </w:rPr>
        <w:t>. (affirming conviction under § 1962(d) of defendant who collected money on behalf of member of enterprise, facilitated communications between conspirators and accepted payment for drugs sold through enterprise).</w:t>
      </w:r>
    </w:p>
    <w:p w14:paraId="490B787F" w14:textId="77777777" w:rsidR="00244716" w:rsidRPr="0025463B" w:rsidRDefault="00244716" w:rsidP="00244716">
      <w:pPr>
        <w:autoSpaceDE w:val="0"/>
        <w:autoSpaceDN w:val="0"/>
        <w:adjustRightInd w:val="0"/>
        <w:rPr>
          <w:rFonts w:eastAsia="Calibri" w:cs="Times New Roman"/>
          <w:szCs w:val="24"/>
        </w:rPr>
      </w:pPr>
    </w:p>
    <w:p w14:paraId="581A6B70" w14:textId="5539C651"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lastRenderedPageBreak/>
        <w:tab/>
        <w:t xml:space="preserve">Section 1962(d) applies to intracorporate, as well as intercorporate conspiracies; thus, it is possible for a corporation to engage in a RICO conspiracy with its own officers and representatives. </w:t>
      </w:r>
      <w:r w:rsidRPr="0025463B">
        <w:rPr>
          <w:rFonts w:eastAsia="Calibri" w:cs="Times New Roman"/>
          <w:i/>
          <w:iCs/>
          <w:szCs w:val="24"/>
        </w:rPr>
        <w:t>Webster v. Omnitron Int’l</w:t>
      </w:r>
      <w:r w:rsidRPr="0025463B">
        <w:rPr>
          <w:rFonts w:eastAsia="Calibri" w:cs="Times New Roman"/>
          <w:szCs w:val="24"/>
        </w:rPr>
        <w:t xml:space="preserve">, 79 F.3d 776, 787 (9th Cir. 1996) (quoting with approval </w:t>
      </w:r>
      <w:r w:rsidRPr="0025463B">
        <w:rPr>
          <w:rFonts w:eastAsia="Calibri" w:cs="Times New Roman"/>
          <w:i/>
          <w:iCs/>
          <w:szCs w:val="24"/>
        </w:rPr>
        <w:t>Ashland Oil, Inc. v. Arnett</w:t>
      </w:r>
      <w:r w:rsidRPr="0025463B">
        <w:rPr>
          <w:rFonts w:eastAsia="Calibri" w:cs="Times New Roman"/>
          <w:szCs w:val="24"/>
        </w:rPr>
        <w:t>, 875 F.2d 1271 (7th Cir. 1998), for the proposition that “intracorporate conspiracies</w:t>
      </w:r>
      <w:r w:rsidR="00543F82">
        <w:rPr>
          <w:rFonts w:eastAsia="Calibri" w:cs="Times New Roman"/>
          <w:szCs w:val="24"/>
        </w:rPr>
        <w:t xml:space="preserve"> . . .</w:t>
      </w:r>
      <w:r w:rsidRPr="0025463B">
        <w:rPr>
          <w:rFonts w:eastAsia="Calibri" w:cs="Times New Roman"/>
          <w:szCs w:val="24"/>
        </w:rPr>
        <w:t xml:space="preserve"> threaten RICO’s goals of preventing the infiltration of legitimate businesses by racketeers and separating racketeers from their profits”).</w:t>
      </w:r>
    </w:p>
    <w:p w14:paraId="08989696" w14:textId="77777777" w:rsidR="00244716" w:rsidRPr="0025463B" w:rsidRDefault="00244716" w:rsidP="00244716">
      <w:pPr>
        <w:autoSpaceDE w:val="0"/>
        <w:autoSpaceDN w:val="0"/>
        <w:adjustRightInd w:val="0"/>
        <w:rPr>
          <w:rFonts w:eastAsia="Calibri" w:cs="Times New Roman"/>
          <w:szCs w:val="24"/>
        </w:rPr>
      </w:pPr>
    </w:p>
    <w:p w14:paraId="60D5A55F" w14:textId="77777777"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For model jury instructions that may be helpful, </w:t>
      </w:r>
      <w:r w:rsidRPr="008A04C2">
        <w:rPr>
          <w:rFonts w:eastAsia="Calibri" w:cs="Times New Roman"/>
          <w:szCs w:val="24"/>
        </w:rPr>
        <w:t>see</w:t>
      </w:r>
      <w:r w:rsidRPr="0025463B">
        <w:rPr>
          <w:rFonts w:eastAsia="Calibri" w:cs="Times New Roman"/>
          <w:i/>
          <w:iCs/>
          <w:szCs w:val="24"/>
        </w:rPr>
        <w:t xml:space="preserve"> </w:t>
      </w:r>
      <w:r w:rsidRPr="0025463B">
        <w:rPr>
          <w:rFonts w:eastAsia="Calibri" w:cs="Times New Roman"/>
          <w:szCs w:val="24"/>
        </w:rPr>
        <w:t xml:space="preserve">Eleventh Circuit Pattern Jury Instructions—Civil Cases (2024), Instructions 7.1 </w:t>
      </w:r>
      <w:r w:rsidRPr="0025463B">
        <w:rPr>
          <w:rFonts w:eastAsia="Calibri" w:cs="Times New Roman"/>
          <w:i/>
          <w:iCs/>
          <w:szCs w:val="24"/>
        </w:rPr>
        <w:t>et seq.</w:t>
      </w:r>
      <w:r>
        <w:rPr>
          <w:rFonts w:eastAsia="Calibri" w:cs="Times New Roman"/>
          <w:szCs w:val="24"/>
        </w:rPr>
        <w:t xml:space="preserve"> </w:t>
      </w:r>
      <w:r w:rsidRPr="0025463B">
        <w:rPr>
          <w:rFonts w:eastAsia="Calibri" w:cs="Times New Roman"/>
          <w:szCs w:val="24"/>
        </w:rPr>
        <w:t>These instructions may be accessed at:</w:t>
      </w:r>
    </w:p>
    <w:p w14:paraId="7F362625" w14:textId="77777777" w:rsidR="00244716" w:rsidRPr="0025463B" w:rsidRDefault="00244716" w:rsidP="00244716">
      <w:pPr>
        <w:autoSpaceDE w:val="0"/>
        <w:autoSpaceDN w:val="0"/>
        <w:adjustRightInd w:val="0"/>
        <w:rPr>
          <w:rFonts w:eastAsia="Calibri" w:cs="Times New Roman"/>
          <w:szCs w:val="24"/>
        </w:rPr>
      </w:pPr>
    </w:p>
    <w:p w14:paraId="5B624436" w14:textId="77777777" w:rsidR="00244716" w:rsidRPr="0025463B" w:rsidRDefault="00244716" w:rsidP="00244716">
      <w:pPr>
        <w:autoSpaceDE w:val="0"/>
        <w:autoSpaceDN w:val="0"/>
        <w:adjustRightInd w:val="0"/>
        <w:rPr>
          <w:rFonts w:eastAsia="Calibri" w:cs="Times New Roman"/>
        </w:rPr>
      </w:pPr>
      <w:hyperlink r:id="rId13" w:history="1">
        <w:r w:rsidRPr="0025463B">
          <w:rPr>
            <w:rStyle w:val="Hyperlink"/>
            <w:rFonts w:eastAsia="Calibri" w:cs="Times New Roman"/>
          </w:rPr>
          <w:t>https://www.ca11.uscourts.gov/sites/default/files/courtdocs/clk/FormCivilPatternJuryInstructionsRevisedAPR2024.pdf</w:t>
        </w:r>
      </w:hyperlink>
      <w:r w:rsidRPr="0025463B">
        <w:rPr>
          <w:rFonts w:eastAsia="Calibri" w:cs="Times New Roman"/>
        </w:rPr>
        <w:t xml:space="preserve">  or </w:t>
      </w:r>
      <w:hyperlink r:id="rId14" w:history="1">
        <w:r w:rsidRPr="0025463B">
          <w:rPr>
            <w:rStyle w:val="Hyperlink"/>
            <w:rFonts w:eastAsia="Calibri" w:cs="Times New Roman"/>
          </w:rPr>
          <w:t>https://perma.cc/47JL-KDVS</w:t>
        </w:r>
      </w:hyperlink>
      <w:r w:rsidRPr="0025463B">
        <w:rPr>
          <w:rFonts w:eastAsia="Calibri" w:cs="Times New Roman"/>
        </w:rPr>
        <w:t xml:space="preserve"> </w:t>
      </w:r>
    </w:p>
    <w:bookmarkEnd w:id="125"/>
    <w:p w14:paraId="63DFC5AC" w14:textId="77777777" w:rsidR="00244716" w:rsidRPr="0025463B" w:rsidRDefault="00244716" w:rsidP="00244716">
      <w:pPr>
        <w:autoSpaceDE w:val="0"/>
        <w:autoSpaceDN w:val="0"/>
        <w:adjustRightInd w:val="0"/>
        <w:rPr>
          <w:rFonts w:eastAsia="Calibri" w:cs="Times New Roman"/>
        </w:rPr>
      </w:pPr>
    </w:p>
    <w:p w14:paraId="1AAF5391" w14:textId="77777777" w:rsidR="00244716" w:rsidRPr="0025463B" w:rsidRDefault="00244716" w:rsidP="00244716">
      <w:pPr>
        <w:autoSpaceDE w:val="0"/>
        <w:autoSpaceDN w:val="0"/>
        <w:adjustRightInd w:val="0"/>
        <w:rPr>
          <w:rFonts w:eastAsia="Calibri" w:cs="Times New Roman"/>
          <w:szCs w:val="24"/>
        </w:rPr>
      </w:pPr>
    </w:p>
    <w:p w14:paraId="5325B3B9" w14:textId="77777777" w:rsidR="00244716" w:rsidRPr="0025463B" w:rsidRDefault="00244716" w:rsidP="00244716">
      <w:pPr>
        <w:autoSpaceDE w:val="0"/>
        <w:autoSpaceDN w:val="0"/>
        <w:adjustRightInd w:val="0"/>
        <w:rPr>
          <w:rFonts w:eastAsia="Calibri" w:cs="Times New Roman"/>
          <w:szCs w:val="24"/>
        </w:rPr>
      </w:pPr>
    </w:p>
    <w:p w14:paraId="686C9613" w14:textId="77777777" w:rsidR="00244716" w:rsidRPr="0025463B" w:rsidRDefault="00244716" w:rsidP="00244716">
      <w:pPr>
        <w:jc w:val="right"/>
      </w:pPr>
      <w:r w:rsidRPr="0025463B">
        <w:rPr>
          <w:rFonts w:eastAsia="Calibri" w:cs="Times New Roman"/>
          <w:i/>
          <w:iCs/>
          <w:szCs w:val="24"/>
        </w:rPr>
        <w:t xml:space="preserve">Revised </w:t>
      </w:r>
      <w:r>
        <w:rPr>
          <w:rFonts w:eastAsia="Calibri" w:cs="Times New Roman"/>
          <w:i/>
          <w:iCs/>
          <w:szCs w:val="24"/>
        </w:rPr>
        <w:t>June</w:t>
      </w:r>
      <w:r w:rsidRPr="0025463B">
        <w:rPr>
          <w:rFonts w:eastAsia="Calibri" w:cs="Times New Roman"/>
          <w:i/>
          <w:iCs/>
          <w:szCs w:val="24"/>
        </w:rPr>
        <w:t xml:space="preserve"> 2025</w:t>
      </w:r>
    </w:p>
    <w:p w14:paraId="0A122AE8" w14:textId="77777777" w:rsidR="00244716" w:rsidRDefault="00244716" w:rsidP="00244716">
      <w:pPr>
        <w:autoSpaceDE w:val="0"/>
        <w:autoSpaceDN w:val="0"/>
        <w:adjustRightInd w:val="0"/>
      </w:pPr>
    </w:p>
    <w:p w14:paraId="2EDB5333" w14:textId="77777777" w:rsidR="00244716" w:rsidRDefault="00244716" w:rsidP="00244716">
      <w:pPr>
        <w:autoSpaceDE w:val="0"/>
        <w:autoSpaceDN w:val="0"/>
        <w:adjustRightInd w:val="0"/>
      </w:pPr>
    </w:p>
    <w:p w14:paraId="2000D5B8" w14:textId="77777777" w:rsidR="00244716" w:rsidRDefault="00244716" w:rsidP="00244716">
      <w:pPr>
        <w:autoSpaceDE w:val="0"/>
        <w:autoSpaceDN w:val="0"/>
        <w:adjustRightInd w:val="0"/>
      </w:pPr>
    </w:p>
    <w:p w14:paraId="1E626B4E" w14:textId="77777777" w:rsidR="00244716" w:rsidRDefault="00244716" w:rsidP="00244716">
      <w:pPr>
        <w:autoSpaceDE w:val="0"/>
        <w:autoSpaceDN w:val="0"/>
        <w:adjustRightInd w:val="0"/>
      </w:pPr>
    </w:p>
    <w:p w14:paraId="6D775AC8" w14:textId="77777777" w:rsidR="00244716" w:rsidRDefault="00244716" w:rsidP="00244716">
      <w:pPr>
        <w:autoSpaceDE w:val="0"/>
        <w:autoSpaceDN w:val="0"/>
        <w:adjustRightInd w:val="0"/>
      </w:pPr>
    </w:p>
    <w:p w14:paraId="0D0CF65A" w14:textId="77777777" w:rsidR="00244716" w:rsidRDefault="00244716" w:rsidP="00244716">
      <w:pPr>
        <w:autoSpaceDE w:val="0"/>
        <w:autoSpaceDN w:val="0"/>
        <w:adjustRightInd w:val="0"/>
      </w:pPr>
    </w:p>
    <w:p w14:paraId="2F5178E0" w14:textId="77777777" w:rsidR="00244716" w:rsidRDefault="00244716" w:rsidP="00244716">
      <w:pPr>
        <w:autoSpaceDE w:val="0"/>
        <w:autoSpaceDN w:val="0"/>
        <w:adjustRightInd w:val="0"/>
      </w:pPr>
    </w:p>
    <w:p w14:paraId="33044AEC" w14:textId="77777777" w:rsidR="00244716" w:rsidRDefault="00244716" w:rsidP="00244716">
      <w:pPr>
        <w:autoSpaceDE w:val="0"/>
        <w:autoSpaceDN w:val="0"/>
        <w:adjustRightInd w:val="0"/>
      </w:pPr>
    </w:p>
    <w:p w14:paraId="1021ECFC" w14:textId="77777777" w:rsidR="00244716" w:rsidRDefault="00244716" w:rsidP="00244716">
      <w:pPr>
        <w:autoSpaceDE w:val="0"/>
        <w:autoSpaceDN w:val="0"/>
        <w:adjustRightInd w:val="0"/>
      </w:pPr>
    </w:p>
    <w:p w14:paraId="47B9B303" w14:textId="77777777" w:rsidR="00244716" w:rsidRDefault="00244716" w:rsidP="00244716">
      <w:pPr>
        <w:autoSpaceDE w:val="0"/>
        <w:autoSpaceDN w:val="0"/>
        <w:adjustRightInd w:val="0"/>
      </w:pPr>
    </w:p>
    <w:p w14:paraId="5CCC2AEB" w14:textId="77777777" w:rsidR="00244716" w:rsidRDefault="00244716" w:rsidP="00244716">
      <w:pPr>
        <w:autoSpaceDE w:val="0"/>
        <w:autoSpaceDN w:val="0"/>
        <w:adjustRightInd w:val="0"/>
      </w:pPr>
    </w:p>
    <w:p w14:paraId="0D207C1E" w14:textId="77777777" w:rsidR="00244716" w:rsidRDefault="00244716" w:rsidP="00244716">
      <w:pPr>
        <w:autoSpaceDE w:val="0"/>
        <w:autoSpaceDN w:val="0"/>
        <w:adjustRightInd w:val="0"/>
      </w:pPr>
    </w:p>
    <w:p w14:paraId="4D26EB49" w14:textId="77777777" w:rsidR="00244716" w:rsidRDefault="00244716" w:rsidP="00244716">
      <w:pPr>
        <w:autoSpaceDE w:val="0"/>
        <w:autoSpaceDN w:val="0"/>
        <w:adjustRightInd w:val="0"/>
      </w:pPr>
    </w:p>
    <w:p w14:paraId="20946B67" w14:textId="77777777" w:rsidR="00244716" w:rsidRDefault="00244716" w:rsidP="00244716">
      <w:pPr>
        <w:autoSpaceDE w:val="0"/>
        <w:autoSpaceDN w:val="0"/>
        <w:adjustRightInd w:val="0"/>
      </w:pPr>
    </w:p>
    <w:p w14:paraId="22950AD7" w14:textId="77777777" w:rsidR="00244716" w:rsidRDefault="00244716" w:rsidP="00244716">
      <w:pPr>
        <w:autoSpaceDE w:val="0"/>
        <w:autoSpaceDN w:val="0"/>
        <w:adjustRightInd w:val="0"/>
      </w:pPr>
    </w:p>
    <w:p w14:paraId="502CA035" w14:textId="77777777" w:rsidR="00244716" w:rsidRDefault="00244716" w:rsidP="00244716">
      <w:pPr>
        <w:autoSpaceDE w:val="0"/>
        <w:autoSpaceDN w:val="0"/>
        <w:adjustRightInd w:val="0"/>
      </w:pPr>
    </w:p>
    <w:p w14:paraId="4CE409A6" w14:textId="77777777" w:rsidR="00244716" w:rsidRDefault="00244716" w:rsidP="00244716">
      <w:pPr>
        <w:autoSpaceDE w:val="0"/>
        <w:autoSpaceDN w:val="0"/>
        <w:adjustRightInd w:val="0"/>
      </w:pPr>
    </w:p>
    <w:p w14:paraId="033DF2AB" w14:textId="77777777" w:rsidR="00244716" w:rsidRDefault="00244716" w:rsidP="00244716">
      <w:pPr>
        <w:autoSpaceDE w:val="0"/>
        <w:autoSpaceDN w:val="0"/>
        <w:adjustRightInd w:val="0"/>
      </w:pPr>
    </w:p>
    <w:p w14:paraId="7CA0B469" w14:textId="77777777" w:rsidR="00244716" w:rsidRDefault="00244716" w:rsidP="00244716">
      <w:pPr>
        <w:autoSpaceDE w:val="0"/>
        <w:autoSpaceDN w:val="0"/>
        <w:adjustRightInd w:val="0"/>
      </w:pPr>
    </w:p>
    <w:p w14:paraId="01B7DCC6" w14:textId="77777777" w:rsidR="00244716" w:rsidRDefault="00244716" w:rsidP="00244716">
      <w:pPr>
        <w:autoSpaceDE w:val="0"/>
        <w:autoSpaceDN w:val="0"/>
        <w:adjustRightInd w:val="0"/>
      </w:pPr>
    </w:p>
    <w:p w14:paraId="0070AECB" w14:textId="77777777" w:rsidR="00244716" w:rsidRDefault="00244716" w:rsidP="00244716">
      <w:pPr>
        <w:autoSpaceDE w:val="0"/>
        <w:autoSpaceDN w:val="0"/>
        <w:adjustRightInd w:val="0"/>
      </w:pPr>
    </w:p>
    <w:p w14:paraId="3AE0660D" w14:textId="77777777" w:rsidR="00244716" w:rsidRDefault="00244716" w:rsidP="00244716">
      <w:pPr>
        <w:autoSpaceDE w:val="0"/>
        <w:autoSpaceDN w:val="0"/>
        <w:adjustRightInd w:val="0"/>
      </w:pPr>
    </w:p>
    <w:p w14:paraId="22FD8454" w14:textId="77777777" w:rsidR="00244716" w:rsidRDefault="00244716" w:rsidP="00244716">
      <w:pPr>
        <w:autoSpaceDE w:val="0"/>
        <w:autoSpaceDN w:val="0"/>
        <w:adjustRightInd w:val="0"/>
      </w:pPr>
    </w:p>
    <w:p w14:paraId="57849F3B" w14:textId="77777777" w:rsidR="00244716" w:rsidRDefault="00244716" w:rsidP="00244716">
      <w:pPr>
        <w:autoSpaceDE w:val="0"/>
        <w:autoSpaceDN w:val="0"/>
        <w:adjustRightInd w:val="0"/>
      </w:pPr>
    </w:p>
    <w:p w14:paraId="6FAAC618" w14:textId="77777777" w:rsidR="00244716" w:rsidRDefault="00244716" w:rsidP="00244716">
      <w:pPr>
        <w:autoSpaceDE w:val="0"/>
        <w:autoSpaceDN w:val="0"/>
        <w:adjustRightInd w:val="0"/>
      </w:pPr>
    </w:p>
    <w:p w14:paraId="5FC6379A" w14:textId="77777777" w:rsidR="00244716" w:rsidRDefault="00244716" w:rsidP="00244716">
      <w:pPr>
        <w:autoSpaceDE w:val="0"/>
        <w:autoSpaceDN w:val="0"/>
        <w:adjustRightInd w:val="0"/>
      </w:pPr>
    </w:p>
    <w:p w14:paraId="63A15F24" w14:textId="77777777" w:rsidR="00244716" w:rsidRDefault="00244716" w:rsidP="00244716">
      <w:pPr>
        <w:autoSpaceDE w:val="0"/>
        <w:autoSpaceDN w:val="0"/>
        <w:adjustRightInd w:val="0"/>
      </w:pPr>
    </w:p>
    <w:p w14:paraId="64EC39C1" w14:textId="77777777" w:rsidR="00244716" w:rsidRDefault="00244716" w:rsidP="00244716">
      <w:pPr>
        <w:autoSpaceDE w:val="0"/>
        <w:autoSpaceDN w:val="0"/>
        <w:adjustRightInd w:val="0"/>
      </w:pPr>
    </w:p>
    <w:p w14:paraId="79C0F19A" w14:textId="77777777" w:rsidR="00842D3D" w:rsidRDefault="006A4CD7" w:rsidP="002B283E">
      <w:pPr>
        <w:pStyle w:val="Heading1"/>
        <w:spacing w:before="0" w:line="240" w:lineRule="auto"/>
      </w:pPr>
      <w:r w:rsidRPr="002B283E">
        <w:br w:type="page"/>
      </w:r>
    </w:p>
    <w:p w14:paraId="524C3229" w14:textId="7104C487" w:rsidR="00842D3D" w:rsidRPr="00842D3D" w:rsidRDefault="00FF121D" w:rsidP="00FF121D">
      <w:pPr>
        <w:pStyle w:val="Heading1"/>
      </w:pPr>
      <w:bookmarkStart w:id="127" w:name="_Toc221525163"/>
      <w:r>
        <w:lastRenderedPageBreak/>
        <w:t xml:space="preserve">9. </w:t>
      </w:r>
      <w:r w:rsidR="00842D3D" w:rsidRPr="00842D3D">
        <w:t>CIVIL RIGHTS ACTIONS—42 U.S.C. § 1983</w:t>
      </w:r>
      <w:bookmarkEnd w:id="127"/>
    </w:p>
    <w:p w14:paraId="502D34F2" w14:textId="77777777" w:rsidR="00842D3D" w:rsidRPr="00842D3D" w:rsidRDefault="00842D3D" w:rsidP="00842D3D">
      <w:pPr>
        <w:autoSpaceDE w:val="0"/>
        <w:autoSpaceDN w:val="0"/>
        <w:adjustRightInd w:val="0"/>
        <w:rPr>
          <w:rFonts w:eastAsia="Calibri" w:cs="Times New Roman"/>
          <w:szCs w:val="24"/>
        </w:rPr>
      </w:pPr>
    </w:p>
    <w:p w14:paraId="715510E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p>
    <w:p w14:paraId="6775C0A9" w14:textId="77777777" w:rsidR="00842D3D" w:rsidRPr="00842D3D" w:rsidRDefault="00842D3D" w:rsidP="00842D3D">
      <w:pPr>
        <w:autoSpaceDE w:val="0"/>
        <w:autoSpaceDN w:val="0"/>
        <w:adjustRightInd w:val="0"/>
        <w:rPr>
          <w:rFonts w:eastAsia="Calibri" w:cs="Times New Roman"/>
          <w:szCs w:val="24"/>
        </w:rPr>
      </w:pPr>
    </w:p>
    <w:p w14:paraId="2B6CF85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Introductory Comment</w:t>
      </w:r>
    </w:p>
    <w:p w14:paraId="0E7F55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Pr="00842D3D">
        <w:rPr>
          <w:rFonts w:eastAsia="Calibri" w:cs="Times New Roman"/>
          <w:szCs w:val="24"/>
        </w:rPr>
        <w:tab/>
        <w:t>Section 1983 Claim—Introductory Instruction</w:t>
      </w:r>
    </w:p>
    <w:p w14:paraId="45F954CD"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Pr="00842D3D">
        <w:rPr>
          <w:rFonts w:eastAsia="Calibri" w:cs="Times New Roman"/>
          <w:szCs w:val="24"/>
        </w:rPr>
        <w:tab/>
        <w:t>Causation (Comment Only)</w:t>
      </w:r>
    </w:p>
    <w:p w14:paraId="09371BC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Pr="00842D3D">
        <w:rPr>
          <w:rFonts w:eastAsia="Calibri" w:cs="Times New Roman"/>
          <w:szCs w:val="24"/>
        </w:rPr>
        <w:tab/>
        <w:t xml:space="preserve">Section </w:t>
      </w:r>
      <w:r w:rsidRPr="00842D3D">
        <w:rPr>
          <w:rFonts w:eastAsia="Calibri" w:cs="Times New Roman"/>
          <w:szCs w:val="24"/>
        </w:rPr>
        <w:fldChar w:fldCharType="begin"/>
      </w:r>
      <w:r w:rsidRPr="00842D3D">
        <w:rPr>
          <w:rFonts w:eastAsia="Calibri" w:cs="Times New Roman"/>
          <w:szCs w:val="24"/>
        </w:rPr>
        <w:instrText>tc "Section  " \l 2</w:instrText>
      </w:r>
      <w:r w:rsidRPr="00842D3D">
        <w:rPr>
          <w:rFonts w:eastAsia="Calibri" w:cs="Times New Roman"/>
          <w:szCs w:val="24"/>
        </w:rPr>
        <w:fldChar w:fldCharType="end"/>
      </w:r>
      <w:r w:rsidRPr="00842D3D">
        <w:rPr>
          <w:rFonts w:eastAsia="Calibri" w:cs="Times New Roman"/>
          <w:szCs w:val="24"/>
        </w:rPr>
        <w:t>1983 Claim Against Defendant in Individual Capacity—</w:t>
      </w:r>
    </w:p>
    <w:p w14:paraId="2231A34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655253B4"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9.4</w:t>
      </w:r>
      <w:r w:rsidRPr="00842D3D">
        <w:rPr>
          <w:rFonts w:eastAsia="Calibri" w:cs="Times New Roman"/>
          <w:szCs w:val="24"/>
        </w:rPr>
        <w:tab/>
        <w:t>Section 1983 Claim Against Supervisory Defendant in Individual Capacity—</w:t>
      </w:r>
    </w:p>
    <w:p w14:paraId="226209F7"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26251FF3"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9.5</w:t>
      </w:r>
      <w:r w:rsidRPr="00842D3D">
        <w:rPr>
          <w:rFonts w:eastAsia="Calibri" w:cs="Times New Roman"/>
          <w:szCs w:val="24"/>
        </w:rPr>
        <w:tab/>
        <w:t>Section 1983 Claim Against Local Governing Body Defendants Based on Unlawful</w:t>
      </w:r>
    </w:p>
    <w:p w14:paraId="7947713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Official Policy, Practice, or Custom—Elements and Burden of Proof</w:t>
      </w:r>
    </w:p>
    <w:p w14:paraId="44D001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9.6</w:t>
      </w:r>
      <w:r w:rsidRPr="00842D3D">
        <w:rPr>
          <w:rFonts w:eastAsia="Calibri" w:cs="Times New Roman"/>
          <w:szCs w:val="24"/>
        </w:rPr>
        <w:tab/>
        <w:t xml:space="preserve">Section 1983 Claim Against Local Governing Body Defendants Based on </w:t>
      </w:r>
    </w:p>
    <w:p w14:paraId="7AD00180"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Act of Final Policymaker—Elements and Burden of Proof</w:t>
      </w:r>
    </w:p>
    <w:p w14:paraId="18D693B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9.7</w:t>
      </w:r>
      <w:r w:rsidRPr="00842D3D">
        <w:rPr>
          <w:rFonts w:eastAsia="Calibri" w:cs="Times New Roman"/>
          <w:szCs w:val="24"/>
        </w:rPr>
        <w:tab/>
        <w:t xml:space="preserve">Section 1983 Claim Against Local Governing Body Defendants Based on </w:t>
      </w:r>
    </w:p>
    <w:p w14:paraId="7AEDDC5F"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Ratification—Elements and Burden of Proof</w:t>
      </w:r>
    </w:p>
    <w:p w14:paraId="122C233F"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9.8</w:t>
      </w:r>
      <w:r w:rsidRPr="00842D3D">
        <w:rPr>
          <w:rFonts w:eastAsia="Calibri" w:cs="Times New Roman"/>
          <w:szCs w:val="24"/>
        </w:rPr>
        <w:tab/>
        <w:t xml:space="preserve">Section 1983 Claim Against Local Governing Body Defendants Based on </w:t>
      </w:r>
    </w:p>
    <w:p w14:paraId="4250EFB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a Policy that Fails to Prevent Violations of Law or a Policy of Failure to </w:t>
      </w:r>
    </w:p>
    <w:p w14:paraId="360A2D48"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Train—Elements and Burden of Proof</w:t>
      </w:r>
    </w:p>
    <w:p w14:paraId="3F77F427"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 xml:space="preserve">9.9 </w:t>
      </w:r>
      <w:r w:rsidRPr="00842D3D">
        <w:rPr>
          <w:rFonts w:eastAsia="Calibri" w:cs="Times New Roman"/>
          <w:szCs w:val="24"/>
        </w:rPr>
        <w:tab/>
        <w:t>Particular Rights—First Amendment—Public Employees—Speech</w:t>
      </w:r>
    </w:p>
    <w:p w14:paraId="77DE6391"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9.10</w:t>
      </w:r>
      <w:r w:rsidRPr="00842D3D">
        <w:rPr>
          <w:rFonts w:eastAsia="Calibri" w:cs="Times New Roman"/>
          <w:szCs w:val="24"/>
        </w:rPr>
        <w:tab/>
        <w:t xml:space="preserve">Particular Rights—First Amendment—Public Employees—Speaking as Private Citizen </w:t>
      </w:r>
    </w:p>
    <w:p w14:paraId="299EA4FE"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9.11</w:t>
      </w:r>
      <w:r w:rsidRPr="00842D3D">
        <w:rPr>
          <w:rFonts w:eastAsia="Calibri" w:cs="Times New Roman"/>
          <w:szCs w:val="24"/>
        </w:rPr>
        <w:tab/>
        <w:t>Particular Rights—First Amendment— “Citizen” Plaintiff</w:t>
      </w:r>
    </w:p>
    <w:p w14:paraId="462C6CBB" w14:textId="123B797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2</w:t>
      </w:r>
      <w:r w:rsidRPr="00842D3D">
        <w:rPr>
          <w:rFonts w:eastAsia="Calibri" w:cs="Times New Roman"/>
          <w:szCs w:val="24"/>
        </w:rPr>
        <w:tab/>
        <w:t>Particular Rights—First Amendment—Convicted Prisoner/Pretrial Detainee’s Claim of Retaliation</w:t>
      </w:r>
    </w:p>
    <w:p w14:paraId="31540E36" w14:textId="5FC3507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3</w:t>
      </w:r>
      <w:r w:rsidRPr="00842D3D">
        <w:rPr>
          <w:rFonts w:eastAsia="Calibri" w:cs="Times New Roman"/>
          <w:szCs w:val="24"/>
        </w:rPr>
        <w:tab/>
        <w:t>Particular Rights—Fourth Amendment—Unreasonable Search—Generally</w:t>
      </w:r>
    </w:p>
    <w:p w14:paraId="00B20404" w14:textId="3E866FD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4</w:t>
      </w:r>
      <w:r w:rsidRPr="00842D3D">
        <w:rPr>
          <w:rFonts w:eastAsia="Calibri" w:cs="Times New Roman"/>
          <w:szCs w:val="24"/>
        </w:rPr>
        <w:tab/>
        <w:t xml:space="preserve">Particular Rights—Fourth Amendment—Unreasonable Search—Exception </w:t>
      </w:r>
    </w:p>
    <w:p w14:paraId="4850AB20"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Requirement—Search Incident to Arrest</w:t>
      </w:r>
    </w:p>
    <w:p w14:paraId="59C1C1C4" w14:textId="3398FA0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5</w:t>
      </w:r>
      <w:r w:rsidRPr="00842D3D">
        <w:rPr>
          <w:rFonts w:eastAsia="Calibri" w:cs="Times New Roman"/>
          <w:szCs w:val="24"/>
        </w:rPr>
        <w:tab/>
        <w:t xml:space="preserve">Particular Rights—Fourth Amendment—Unreasonable Search—Exception </w:t>
      </w:r>
    </w:p>
    <w:p w14:paraId="79336B05"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Requirement—Search of Vehicle Incident to Arrest of a Recent Occupant</w:t>
      </w:r>
    </w:p>
    <w:p w14:paraId="449D9175" w14:textId="04AAB2A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6</w:t>
      </w:r>
      <w:r w:rsidRPr="00842D3D">
        <w:rPr>
          <w:rFonts w:eastAsia="Calibri" w:cs="Times New Roman"/>
          <w:szCs w:val="24"/>
        </w:rPr>
        <w:tab/>
        <w:t xml:space="preserve">Particular Rights—Fourth Amendment—Unreasonable Search—Exception </w:t>
      </w:r>
    </w:p>
    <w:p w14:paraId="6BE20C0B"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Requirement—Consent</w:t>
      </w:r>
    </w:p>
    <w:p w14:paraId="59F4FA54" w14:textId="0A01889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7</w:t>
      </w:r>
      <w:r w:rsidRPr="00842D3D">
        <w:rPr>
          <w:rFonts w:eastAsia="Calibri" w:cs="Times New Roman"/>
          <w:szCs w:val="24"/>
        </w:rPr>
        <w:tab/>
        <w:t xml:space="preserve">Particular Rights—Fourth Amendment—Unreasonable Search—Exception </w:t>
      </w:r>
    </w:p>
    <w:p w14:paraId="26345DE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Requirement—Exigent Circumstances</w:t>
      </w:r>
    </w:p>
    <w:p w14:paraId="42043F24" w14:textId="35ECB15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8</w:t>
      </w:r>
      <w:r w:rsidRPr="00842D3D">
        <w:rPr>
          <w:rFonts w:eastAsia="Calibri" w:cs="Times New Roman"/>
          <w:szCs w:val="24"/>
        </w:rPr>
        <w:tab/>
        <w:t xml:space="preserve">Particular Rights—Fourth Amendment—Unreasonable Search—Exception </w:t>
      </w:r>
    </w:p>
    <w:p w14:paraId="37F70D17"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Requirement—Emergency Aid</w:t>
      </w:r>
    </w:p>
    <w:p w14:paraId="1BBDEA00" w14:textId="6668477C"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9</w:t>
      </w:r>
      <w:r w:rsidRPr="00842D3D">
        <w:rPr>
          <w:rFonts w:eastAsia="Calibri" w:cs="Times New Roman"/>
          <w:szCs w:val="24"/>
        </w:rPr>
        <w:t xml:space="preserve"> </w:t>
      </w:r>
      <w:r w:rsidRPr="00842D3D">
        <w:rPr>
          <w:rFonts w:eastAsia="Calibri" w:cs="Times New Roman"/>
          <w:szCs w:val="24"/>
        </w:rPr>
        <w:tab/>
        <w:t>Particular Rights—Fourth Amendment—Unreasonable Search—Judicial Deception</w:t>
      </w:r>
    </w:p>
    <w:p w14:paraId="5FC6AFC8" w14:textId="0290158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20</w:t>
      </w:r>
      <w:r w:rsidRPr="00842D3D">
        <w:rPr>
          <w:rFonts w:eastAsia="Calibri" w:cs="Times New Roman"/>
          <w:szCs w:val="24"/>
        </w:rPr>
        <w:tab/>
        <w:t>Particular Rights—Fourth Amendment—Unreasonable Seizure of Property—Generally</w:t>
      </w:r>
    </w:p>
    <w:p w14:paraId="645264D2" w14:textId="0479865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21</w:t>
      </w:r>
      <w:r w:rsidRPr="00842D3D">
        <w:rPr>
          <w:rFonts w:eastAsia="Calibri" w:cs="Times New Roman"/>
          <w:szCs w:val="24"/>
        </w:rPr>
        <w:tab/>
        <w:t>Particular Rights—Fourth Amendment—Unreasonable Seizure of Property—Exceptions to Warrant Requirement</w:t>
      </w:r>
    </w:p>
    <w:p w14:paraId="47F2ABF9" w14:textId="0B543811"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2</w:t>
      </w:r>
      <w:r w:rsidRPr="00842D3D">
        <w:rPr>
          <w:rFonts w:eastAsia="Calibri" w:cs="Times New Roman"/>
          <w:szCs w:val="24"/>
        </w:rPr>
        <w:tab/>
        <w:t>Particular Rights—Fourth Amendment—Unreasonable Seizure of Person—Generally</w:t>
      </w:r>
    </w:p>
    <w:p w14:paraId="43BC4793" w14:textId="0D569548"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3</w:t>
      </w:r>
      <w:r w:rsidRPr="00842D3D">
        <w:rPr>
          <w:rFonts w:eastAsia="Calibri" w:cs="Times New Roman"/>
          <w:szCs w:val="24"/>
        </w:rPr>
        <w:tab/>
        <w:t>Particular Rights—Fourth Amendment—Unreasonable Seizure of Person—Exception to Warrant Requirement—</w:t>
      </w:r>
      <w:r w:rsidRPr="00842D3D">
        <w:rPr>
          <w:rFonts w:eastAsia="Calibri" w:cs="Times New Roman"/>
          <w:i/>
          <w:iCs/>
          <w:szCs w:val="24"/>
        </w:rPr>
        <w:t xml:space="preserve">Terry </w:t>
      </w:r>
      <w:r w:rsidRPr="00842D3D">
        <w:rPr>
          <w:rFonts w:eastAsia="Calibri" w:cs="Times New Roman"/>
          <w:szCs w:val="24"/>
        </w:rPr>
        <w:t>Stop</w:t>
      </w:r>
    </w:p>
    <w:p w14:paraId="29129D42" w14:textId="02A9F6D3"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4</w:t>
      </w:r>
      <w:r w:rsidRPr="00842D3D">
        <w:rPr>
          <w:rFonts w:eastAsia="Calibri" w:cs="Times New Roman"/>
          <w:szCs w:val="24"/>
        </w:rPr>
        <w:tab/>
        <w:t>Particular Rights—Fourth Amendment—Unreasonable Search—Exception to Warrant Requirement—</w:t>
      </w:r>
      <w:r w:rsidRPr="00842D3D">
        <w:rPr>
          <w:rFonts w:eastAsia="Calibri" w:cs="Times New Roman"/>
          <w:i/>
          <w:iCs/>
          <w:szCs w:val="24"/>
        </w:rPr>
        <w:t xml:space="preserve">Terry </w:t>
      </w:r>
      <w:r w:rsidRPr="00842D3D">
        <w:rPr>
          <w:rFonts w:eastAsia="Calibri" w:cs="Times New Roman"/>
          <w:szCs w:val="24"/>
        </w:rPr>
        <w:t>Frisk</w:t>
      </w:r>
    </w:p>
    <w:p w14:paraId="4A27B20F" w14:textId="2A761304"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lastRenderedPageBreak/>
        <w:t>9.2</w:t>
      </w:r>
      <w:r w:rsidR="00312126">
        <w:rPr>
          <w:rFonts w:eastAsia="Calibri" w:cs="Times New Roman"/>
          <w:szCs w:val="24"/>
        </w:rPr>
        <w:t>5</w:t>
      </w:r>
      <w:r w:rsidRPr="00842D3D">
        <w:rPr>
          <w:rFonts w:eastAsia="Calibri" w:cs="Times New Roman"/>
          <w:szCs w:val="24"/>
        </w:rPr>
        <w:tab/>
        <w:t>Particular Rights—Fourth Amendment—Unreasonable Seizure of Person—Probable Cause Arrest</w:t>
      </w:r>
    </w:p>
    <w:p w14:paraId="6FE6D56B" w14:textId="1E137D8F"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6</w:t>
      </w:r>
      <w:r w:rsidRPr="00842D3D">
        <w:rPr>
          <w:rFonts w:eastAsia="Calibri" w:cs="Times New Roman"/>
          <w:szCs w:val="24"/>
        </w:rPr>
        <w:tab/>
        <w:t>Particular Rights—Fourth Amendment—Unreasonable Seizure of Person—</w:t>
      </w:r>
    </w:p>
    <w:p w14:paraId="05966043"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Detention During Execution of Search Warrant</w:t>
      </w:r>
    </w:p>
    <w:p w14:paraId="74F79D83" w14:textId="4C1EBC5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7</w:t>
      </w:r>
      <w:r w:rsidRPr="00842D3D">
        <w:rPr>
          <w:rFonts w:eastAsia="Calibri" w:cs="Times New Roman"/>
          <w:szCs w:val="24"/>
        </w:rPr>
        <w:tab/>
        <w:t>Particular Rights—Fourth Amendment—Unreasonable Seizure of Person—</w:t>
      </w:r>
    </w:p>
    <w:p w14:paraId="5A62AD1D"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Excessive Force</w:t>
      </w:r>
    </w:p>
    <w:p w14:paraId="16981B90" w14:textId="6D8C5BBB"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28</w:t>
      </w:r>
      <w:r w:rsidRPr="00842D3D">
        <w:rPr>
          <w:rFonts w:eastAsia="Calibri" w:cs="Times New Roman"/>
          <w:szCs w:val="24"/>
        </w:rPr>
        <w:tab/>
        <w:t>Particular Rights—Sixth Amendment—Right to Compulsory Process—</w:t>
      </w:r>
    </w:p>
    <w:p w14:paraId="6466179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Interference with Witness</w:t>
      </w:r>
    </w:p>
    <w:p w14:paraId="3BA4B3A2" w14:textId="076D573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9</w:t>
      </w:r>
      <w:r w:rsidRPr="00842D3D">
        <w:rPr>
          <w:rFonts w:eastAsia="Calibri" w:cs="Times New Roman"/>
          <w:szCs w:val="24"/>
        </w:rPr>
        <w:tab/>
        <w:t>Particular Rights—Eighth Amendment—Convicted Prisoner’s Claim of Excessive Force</w:t>
      </w:r>
    </w:p>
    <w:p w14:paraId="388C2046" w14:textId="5C40387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30</w:t>
      </w:r>
      <w:r w:rsidRPr="00842D3D">
        <w:rPr>
          <w:rFonts w:eastAsia="Calibri" w:cs="Times New Roman"/>
          <w:szCs w:val="24"/>
        </w:rPr>
        <w:tab/>
        <w:t>Particular Rights—Eighth Amendment—Convicted Prisoner’s Claim of Sexual Assault</w:t>
      </w:r>
    </w:p>
    <w:p w14:paraId="72BEEFC6" w14:textId="10F1F98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31</w:t>
      </w:r>
      <w:r w:rsidRPr="00842D3D">
        <w:rPr>
          <w:rFonts w:eastAsia="Calibri" w:cs="Times New Roman"/>
          <w:szCs w:val="24"/>
        </w:rPr>
        <w:tab/>
        <w:t xml:space="preserve">Particular Rights—Eighth Amendment—Convicted Prisoner’s Claim re </w:t>
      </w:r>
    </w:p>
    <w:p w14:paraId="220170A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Conditions of Confinement/Medical Care</w:t>
      </w:r>
    </w:p>
    <w:p w14:paraId="2C4C4622" w14:textId="402C0F28"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32</w:t>
      </w:r>
      <w:r w:rsidRPr="00842D3D">
        <w:rPr>
          <w:rFonts w:eastAsia="Calibri" w:cs="Times New Roman"/>
          <w:szCs w:val="24"/>
        </w:rPr>
        <w:tab/>
        <w:t>Particular Rights—Eighth Amendment—Convicted Prisoner’s Claim of Failure to Protect</w:t>
      </w:r>
    </w:p>
    <w:p w14:paraId="052B636B" w14:textId="3A2D3AB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33</w:t>
      </w:r>
      <w:r w:rsidRPr="00842D3D">
        <w:rPr>
          <w:rFonts w:eastAsia="Calibri" w:cs="Times New Roman"/>
          <w:szCs w:val="24"/>
        </w:rPr>
        <w:tab/>
        <w:t xml:space="preserve">Particular Rights—Fourteenth Amendment—Pretrial Detainee’s Claim </w:t>
      </w:r>
    </w:p>
    <w:p w14:paraId="6C91A3E9" w14:textId="77777777" w:rsidR="00842D3D" w:rsidRPr="00842D3D" w:rsidRDefault="00842D3D" w:rsidP="00842D3D">
      <w:pPr>
        <w:autoSpaceDE w:val="0"/>
        <w:autoSpaceDN w:val="0"/>
        <w:adjustRightInd w:val="0"/>
        <w:ind w:left="900"/>
        <w:rPr>
          <w:rFonts w:eastAsia="Calibri" w:cs="Times New Roman"/>
          <w:strike/>
          <w:szCs w:val="24"/>
        </w:rPr>
      </w:pPr>
      <w:r w:rsidRPr="00842D3D">
        <w:rPr>
          <w:rFonts w:eastAsia="Calibri" w:cs="Times New Roman"/>
          <w:szCs w:val="24"/>
        </w:rPr>
        <w:t>of Excessive Force</w:t>
      </w:r>
    </w:p>
    <w:p w14:paraId="2A4A09A6" w14:textId="54E45B30"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4</w:t>
      </w:r>
      <w:r w:rsidRPr="00842D3D">
        <w:rPr>
          <w:rFonts w:eastAsia="Calibri" w:cs="Times New Roman"/>
          <w:szCs w:val="24"/>
        </w:rPr>
        <w:tab/>
        <w:t xml:space="preserve">Particular Rights—Fourteenth Amendment—Pretrial Detainee’s Claim </w:t>
      </w:r>
    </w:p>
    <w:p w14:paraId="7560DD4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re Conditions of Confinement/Medical Care </w:t>
      </w:r>
    </w:p>
    <w:p w14:paraId="2015BA92" w14:textId="0EFA61C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5</w:t>
      </w:r>
      <w:r w:rsidRPr="00842D3D">
        <w:rPr>
          <w:rFonts w:eastAsia="Calibri" w:cs="Times New Roman"/>
          <w:szCs w:val="24"/>
        </w:rPr>
        <w:t xml:space="preserve"> </w:t>
      </w:r>
      <w:r w:rsidRPr="00842D3D">
        <w:rPr>
          <w:rFonts w:eastAsia="Calibri" w:cs="Times New Roman"/>
          <w:szCs w:val="24"/>
        </w:rPr>
        <w:tab/>
        <w:t xml:space="preserve">Particular Rights—Fourteenth Amendment—Pretrial Detainee’s Claim </w:t>
      </w:r>
    </w:p>
    <w:p w14:paraId="7CA33B7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 Failure to Protect</w:t>
      </w:r>
    </w:p>
    <w:p w14:paraId="1D2E436B" w14:textId="460EFFE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6</w:t>
      </w:r>
      <w:r w:rsidRPr="00842D3D">
        <w:rPr>
          <w:rFonts w:eastAsia="Calibri" w:cs="Times New Roman"/>
          <w:szCs w:val="24"/>
        </w:rPr>
        <w:tab/>
        <w:t>Particular Rights—Fourteenth Amendment—Due Process— Interference with</w:t>
      </w:r>
    </w:p>
    <w:p w14:paraId="12DD100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Parent/Child Relationship (Comment only)</w:t>
      </w:r>
    </w:p>
    <w:p w14:paraId="45BD94B2" w14:textId="20364FF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7</w:t>
      </w:r>
      <w:r w:rsidRPr="00842D3D">
        <w:rPr>
          <w:rFonts w:eastAsia="Calibri" w:cs="Times New Roman"/>
          <w:szCs w:val="24"/>
        </w:rPr>
        <w:tab/>
        <w:t xml:space="preserve">Particular Rights—Fourteenth Amendment—Due Process—Civil Commitment </w:t>
      </w:r>
    </w:p>
    <w:p w14:paraId="14FE3F91" w14:textId="669DC33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8</w:t>
      </w:r>
      <w:r w:rsidRPr="00842D3D">
        <w:rPr>
          <w:rFonts w:eastAsia="Calibri" w:cs="Times New Roman"/>
          <w:szCs w:val="24"/>
        </w:rPr>
        <w:tab/>
        <w:t xml:space="preserve">Particular Rights—Fourteenth Amendment—Due Process—Deliberate </w:t>
      </w:r>
    </w:p>
    <w:p w14:paraId="78D95B6A"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Fabrication of Evidence</w:t>
      </w:r>
    </w:p>
    <w:p w14:paraId="4594E51F" w14:textId="71EF2BF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9</w:t>
      </w:r>
      <w:r w:rsidRPr="00842D3D">
        <w:rPr>
          <w:rFonts w:eastAsia="Calibri" w:cs="Times New Roman"/>
          <w:szCs w:val="24"/>
        </w:rPr>
        <w:tab/>
        <w:t xml:space="preserve">Particular Rights—Fourteenth Amendment—Due Process—Deliberate </w:t>
      </w:r>
    </w:p>
    <w:p w14:paraId="7C26BA9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or Reckless Suppression of Evidence</w:t>
      </w:r>
    </w:p>
    <w:p w14:paraId="74D11502" w14:textId="2B775AD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40</w:t>
      </w:r>
      <w:r w:rsidRPr="00842D3D">
        <w:rPr>
          <w:rFonts w:eastAsia="Calibri" w:cs="Times New Roman"/>
          <w:szCs w:val="24"/>
        </w:rPr>
        <w:tab/>
        <w:t>Particular Rights—Fourteenth Amendment—Due Process—State Created Danger</w:t>
      </w:r>
    </w:p>
    <w:p w14:paraId="141FEC22" w14:textId="76BD0487" w:rsidR="00842D3D" w:rsidRPr="00842D3D" w:rsidRDefault="00842D3D" w:rsidP="00842D3D">
      <w:pPr>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41</w:t>
      </w:r>
      <w:r w:rsidRPr="00842D3D">
        <w:rPr>
          <w:rFonts w:eastAsia="Calibri" w:cs="Times New Roman"/>
          <w:szCs w:val="24"/>
        </w:rPr>
        <w:tab/>
        <w:t>Qualified Immunity (Comment only)</w:t>
      </w:r>
    </w:p>
    <w:p w14:paraId="27B29850" w14:textId="7749B976" w:rsidR="00842D3D" w:rsidRPr="00842D3D" w:rsidRDefault="00842D3D" w:rsidP="00842D3D">
      <w:pPr>
        <w:ind w:left="840" w:hanging="840"/>
        <w:rPr>
          <w:rFonts w:eastAsia="Calibri" w:cs="Times New Roman"/>
          <w:szCs w:val="24"/>
        </w:rPr>
      </w:pPr>
      <w:bookmarkStart w:id="128" w:name="_Hlk173841049"/>
      <w:r w:rsidRPr="00842D3D">
        <w:rPr>
          <w:rFonts w:eastAsia="Calibri" w:cs="Times New Roman"/>
          <w:szCs w:val="24"/>
        </w:rPr>
        <w:t>9.</w:t>
      </w:r>
      <w:r w:rsidR="00312126">
        <w:rPr>
          <w:rFonts w:eastAsia="Calibri" w:cs="Times New Roman"/>
          <w:szCs w:val="24"/>
        </w:rPr>
        <w:t>42</w:t>
      </w:r>
      <w:r w:rsidRPr="00842D3D">
        <w:rPr>
          <w:rFonts w:eastAsia="Calibri" w:cs="Times New Roman"/>
          <w:szCs w:val="24"/>
        </w:rPr>
        <w:tab/>
        <w:t>Bivens Claim Against Federal Defendant in Individual Capacity— Elements and      Burden of Proof</w:t>
      </w:r>
    </w:p>
    <w:p w14:paraId="098A053D" w14:textId="4DCACC7E" w:rsidR="00842D3D" w:rsidRPr="00842D3D" w:rsidRDefault="00842D3D" w:rsidP="00842D3D">
      <w:pPr>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43</w:t>
      </w:r>
      <w:r w:rsidRPr="00842D3D">
        <w:rPr>
          <w:rFonts w:eastAsia="Calibri" w:cs="Times New Roman"/>
          <w:szCs w:val="24"/>
        </w:rPr>
        <w:tab/>
        <w:t>Discrimination in Making and Enforcing Contracts (42 U.S.C. § 1981)</w:t>
      </w:r>
    </w:p>
    <w:p w14:paraId="0EF7B647" w14:textId="77777777" w:rsidR="00842D3D" w:rsidRPr="00842D3D" w:rsidRDefault="00842D3D" w:rsidP="00842D3D">
      <w:pPr>
        <w:autoSpaceDE w:val="0"/>
        <w:autoSpaceDN w:val="0"/>
        <w:adjustRightInd w:val="0"/>
        <w:rPr>
          <w:rFonts w:eastAsia="Calibri" w:cs="Times New Roman"/>
          <w:szCs w:val="24"/>
        </w:rPr>
      </w:pPr>
    </w:p>
    <w:bookmarkEnd w:id="128"/>
    <w:p w14:paraId="50186F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____________________</w:t>
      </w:r>
    </w:p>
    <w:p w14:paraId="547493F4" w14:textId="77777777" w:rsidR="00842D3D" w:rsidRPr="00842D3D" w:rsidRDefault="00842D3D" w:rsidP="00842D3D">
      <w:pPr>
        <w:autoSpaceDE w:val="0"/>
        <w:autoSpaceDN w:val="0"/>
        <w:adjustRightInd w:val="0"/>
        <w:rPr>
          <w:rFonts w:eastAsia="Calibri" w:cs="Times New Roman"/>
          <w:szCs w:val="24"/>
        </w:rPr>
      </w:pPr>
    </w:p>
    <w:p w14:paraId="175CE3B1" w14:textId="77777777" w:rsidR="00842D3D" w:rsidRPr="00842D3D" w:rsidRDefault="00842D3D" w:rsidP="00FF121D">
      <w:pPr>
        <w:pStyle w:val="Heading2"/>
      </w:pPr>
      <w:r w:rsidRPr="00842D3D">
        <w:br w:type="page"/>
      </w:r>
      <w:bookmarkStart w:id="129" w:name="_Toc103098155"/>
      <w:bookmarkStart w:id="130" w:name="_Toc221525164"/>
      <w:bookmarkStart w:id="131" w:name="_Hlk221170837"/>
      <w:r w:rsidRPr="00842D3D">
        <w:lastRenderedPageBreak/>
        <w:t>Introductory Comment</w:t>
      </w:r>
      <w:bookmarkEnd w:id="129"/>
      <w:bookmarkEnd w:id="130"/>
    </w:p>
    <w:p w14:paraId="6197ADED" w14:textId="77777777" w:rsidR="00842D3D" w:rsidRPr="00842D3D" w:rsidRDefault="00842D3D" w:rsidP="00842D3D">
      <w:pPr>
        <w:autoSpaceDE w:val="0"/>
        <w:autoSpaceDN w:val="0"/>
        <w:adjustRightInd w:val="0"/>
        <w:rPr>
          <w:rFonts w:eastAsia="Calibri" w:cs="Times New Roman"/>
          <w:szCs w:val="24"/>
        </w:rPr>
      </w:pPr>
    </w:p>
    <w:p w14:paraId="12F858E2" w14:textId="77777777" w:rsidR="00842D3D" w:rsidRPr="00842D3D" w:rsidRDefault="00842D3D" w:rsidP="00842D3D">
      <w:pPr>
        <w:autoSpaceDE w:val="0"/>
        <w:autoSpaceDN w:val="0"/>
        <w:adjustRightInd w:val="0"/>
        <w:rPr>
          <w:rFonts w:eastAsia="Calibri" w:cs="Times New Roman"/>
          <w:szCs w:val="24"/>
        </w:rPr>
      </w:pPr>
    </w:p>
    <w:p w14:paraId="5C768C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This chapter focuses on 42 U.S.C. § 1983, which provides:</w:t>
      </w:r>
    </w:p>
    <w:p w14:paraId="4AF03FC8" w14:textId="77777777" w:rsidR="00842D3D" w:rsidRPr="00842D3D" w:rsidRDefault="00842D3D" w:rsidP="00842D3D">
      <w:pPr>
        <w:autoSpaceDE w:val="0"/>
        <w:autoSpaceDN w:val="0"/>
        <w:adjustRightInd w:val="0"/>
        <w:rPr>
          <w:rFonts w:eastAsia="Calibri" w:cs="Times New Roman"/>
          <w:szCs w:val="24"/>
        </w:rPr>
      </w:pPr>
    </w:p>
    <w:p w14:paraId="7DCBBA23"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 </w:t>
      </w:r>
    </w:p>
    <w:p w14:paraId="0BB0D2CB" w14:textId="77777777" w:rsidR="00842D3D" w:rsidRPr="00842D3D" w:rsidRDefault="00842D3D" w:rsidP="00842D3D">
      <w:pPr>
        <w:autoSpaceDE w:val="0"/>
        <w:autoSpaceDN w:val="0"/>
        <w:adjustRightInd w:val="0"/>
        <w:rPr>
          <w:rFonts w:eastAsia="Calibri" w:cs="Times New Roman"/>
          <w:szCs w:val="24"/>
        </w:rPr>
      </w:pPr>
    </w:p>
    <w:p w14:paraId="199375D0" w14:textId="4314DC5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9.9-9.3</w:t>
      </w:r>
      <w:r w:rsidR="00DF7B47">
        <w:rPr>
          <w:rFonts w:eastAsia="Calibri" w:cs="Times New Roman"/>
          <w:szCs w:val="24"/>
        </w:rPr>
        <w:t>8</w:t>
      </w:r>
      <w:r w:rsidRPr="00842D3D">
        <w:rPr>
          <w:rFonts w:eastAsia="Calibri" w:cs="Times New Roman"/>
          <w:szCs w:val="24"/>
        </w:rPr>
        <w:t xml:space="preserve"> provide instructions to establish the deprivation of particular constitutional rights. An elements instruction should be used only in conjunction with a “particular rights” instruction appropriate to the facts of the case at hand. </w:t>
      </w:r>
    </w:p>
    <w:p w14:paraId="491B6BA7" w14:textId="77777777" w:rsidR="00842D3D" w:rsidRPr="00842D3D" w:rsidRDefault="00842D3D" w:rsidP="00842D3D">
      <w:pPr>
        <w:autoSpaceDE w:val="0"/>
        <w:autoSpaceDN w:val="0"/>
        <w:adjustRightInd w:val="0"/>
        <w:rPr>
          <w:rFonts w:eastAsia="Calibri"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842D3D" w:rsidRPr="00842D3D" w14:paraId="105273C8" w14:textId="77777777" w:rsidTr="007149A6">
        <w:trPr>
          <w:cantSplit/>
        </w:trPr>
        <w:tc>
          <w:tcPr>
            <w:tcW w:w="9360" w:type="dxa"/>
            <w:gridSpan w:val="3"/>
            <w:tcBorders>
              <w:top w:val="single" w:sz="6" w:space="0" w:color="000000"/>
              <w:left w:val="single" w:sz="6" w:space="0" w:color="000000"/>
              <w:bottom w:val="nil"/>
              <w:right w:val="single" w:sz="6" w:space="0" w:color="000000"/>
            </w:tcBorders>
          </w:tcPr>
          <w:p w14:paraId="3BFDBD4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 xml:space="preserve">Elements Instructions </w:t>
            </w:r>
          </w:p>
        </w:tc>
      </w:tr>
      <w:tr w:rsidR="00842D3D" w:rsidRPr="00842D3D" w14:paraId="7049E129" w14:textId="77777777" w:rsidTr="007149A6">
        <w:trPr>
          <w:cantSplit/>
        </w:trPr>
        <w:tc>
          <w:tcPr>
            <w:tcW w:w="2700" w:type="dxa"/>
            <w:tcBorders>
              <w:top w:val="single" w:sz="6" w:space="0" w:color="000000"/>
              <w:left w:val="single" w:sz="6" w:space="0" w:color="000000"/>
              <w:bottom w:val="nil"/>
              <w:right w:val="nil"/>
            </w:tcBorders>
          </w:tcPr>
          <w:p w14:paraId="46307B3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Type of Claim</w:t>
            </w:r>
          </w:p>
        </w:tc>
        <w:tc>
          <w:tcPr>
            <w:tcW w:w="4860" w:type="dxa"/>
            <w:tcBorders>
              <w:top w:val="single" w:sz="6" w:space="0" w:color="000000"/>
              <w:left w:val="single" w:sz="6" w:space="0" w:color="000000"/>
              <w:bottom w:val="nil"/>
              <w:right w:val="nil"/>
            </w:tcBorders>
          </w:tcPr>
          <w:p w14:paraId="4CF4230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4CF1B8C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842D3D" w:rsidRPr="00842D3D" w14:paraId="2B547AC8"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5D4FD7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Against Individuals</w:t>
            </w:r>
          </w:p>
        </w:tc>
        <w:tc>
          <w:tcPr>
            <w:tcW w:w="4860" w:type="dxa"/>
            <w:tcBorders>
              <w:top w:val="single" w:sz="6" w:space="0" w:color="000000"/>
              <w:left w:val="single" w:sz="6" w:space="0" w:color="000000"/>
              <w:bottom w:val="nil"/>
              <w:right w:val="nil"/>
            </w:tcBorders>
          </w:tcPr>
          <w:p w14:paraId="5B03BD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3987D71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p>
        </w:tc>
      </w:tr>
      <w:tr w:rsidR="00842D3D" w:rsidRPr="00842D3D" w14:paraId="7806EBAE" w14:textId="77777777" w:rsidTr="007149A6">
        <w:trPr>
          <w:cantSplit/>
        </w:trPr>
        <w:tc>
          <w:tcPr>
            <w:tcW w:w="2700" w:type="dxa"/>
            <w:vMerge/>
            <w:tcBorders>
              <w:top w:val="single" w:sz="6" w:space="0" w:color="000000"/>
              <w:left w:val="single" w:sz="6" w:space="0" w:color="000000"/>
              <w:bottom w:val="nil"/>
              <w:right w:val="nil"/>
            </w:tcBorders>
          </w:tcPr>
          <w:p w14:paraId="62F71F2C"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3D73D6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200B995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9.4</w:t>
            </w:r>
          </w:p>
        </w:tc>
      </w:tr>
      <w:tr w:rsidR="00842D3D" w:rsidRPr="00842D3D" w14:paraId="01A06770"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3C8C78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73EB74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2AD67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9.5</w:t>
            </w:r>
          </w:p>
        </w:tc>
      </w:tr>
      <w:tr w:rsidR="00842D3D" w:rsidRPr="00842D3D" w14:paraId="7A761D19" w14:textId="77777777" w:rsidTr="007149A6">
        <w:trPr>
          <w:cantSplit/>
        </w:trPr>
        <w:tc>
          <w:tcPr>
            <w:tcW w:w="2700" w:type="dxa"/>
            <w:vMerge/>
            <w:tcBorders>
              <w:top w:val="single" w:sz="6" w:space="0" w:color="000000"/>
              <w:left w:val="single" w:sz="6" w:space="0" w:color="000000"/>
              <w:bottom w:val="nil"/>
              <w:right w:val="nil"/>
            </w:tcBorders>
          </w:tcPr>
          <w:p w14:paraId="01ACE465"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0C2AC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2768C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9.6</w:t>
            </w:r>
          </w:p>
        </w:tc>
      </w:tr>
      <w:tr w:rsidR="00842D3D" w:rsidRPr="00842D3D" w14:paraId="3636C921" w14:textId="77777777" w:rsidTr="007149A6">
        <w:trPr>
          <w:cantSplit/>
        </w:trPr>
        <w:tc>
          <w:tcPr>
            <w:tcW w:w="2700" w:type="dxa"/>
            <w:vMerge/>
            <w:tcBorders>
              <w:top w:val="single" w:sz="6" w:space="0" w:color="000000"/>
              <w:left w:val="single" w:sz="6" w:space="0" w:color="000000"/>
              <w:bottom w:val="nil"/>
              <w:right w:val="nil"/>
            </w:tcBorders>
          </w:tcPr>
          <w:p w14:paraId="20474331"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8E973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5EEFF2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9.7</w:t>
            </w:r>
          </w:p>
        </w:tc>
      </w:tr>
      <w:tr w:rsidR="00842D3D" w:rsidRPr="00842D3D" w14:paraId="5F8553A6" w14:textId="77777777" w:rsidTr="007149A6">
        <w:trPr>
          <w:cantSplit/>
        </w:trPr>
        <w:tc>
          <w:tcPr>
            <w:tcW w:w="2700" w:type="dxa"/>
            <w:vMerge/>
            <w:tcBorders>
              <w:top w:val="single" w:sz="6" w:space="0" w:color="000000"/>
              <w:left w:val="single" w:sz="6" w:space="0" w:color="000000"/>
              <w:bottom w:val="single" w:sz="6" w:space="0" w:color="000000"/>
              <w:right w:val="nil"/>
            </w:tcBorders>
          </w:tcPr>
          <w:p w14:paraId="6ECECC67"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single" w:sz="6" w:space="0" w:color="000000"/>
              <w:right w:val="nil"/>
            </w:tcBorders>
          </w:tcPr>
          <w:p w14:paraId="0E848E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0E549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9.8</w:t>
            </w:r>
          </w:p>
        </w:tc>
      </w:tr>
    </w:tbl>
    <w:p w14:paraId="18E6DEE6" w14:textId="77777777" w:rsidR="00842D3D" w:rsidRPr="00842D3D" w:rsidRDefault="00842D3D" w:rsidP="00842D3D">
      <w:pPr>
        <w:autoSpaceDE w:val="0"/>
        <w:autoSpaceDN w:val="0"/>
        <w:adjustRightInd w:val="0"/>
        <w:rPr>
          <w:rFonts w:eastAsia="Calibri" w:cs="Times New Roman"/>
          <w:szCs w:val="24"/>
        </w:rPr>
      </w:pPr>
    </w:p>
    <w:p w14:paraId="6C01DDFE" w14:textId="4E9E545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chart below identifies the instructions for violations of particular federal rights to be used in conjunction with an elements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842D3D">
        <w:rPr>
          <w:rFonts w:eastAsia="Calibri" w:cs="Times New Roman"/>
          <w:i/>
          <w:iCs/>
          <w:szCs w:val="24"/>
        </w:rPr>
        <w:t>County of Sacramento v. Lewis</w:t>
      </w:r>
      <w:r w:rsidRPr="00842D3D">
        <w:rPr>
          <w:rFonts w:eastAsia="Calibri" w:cs="Times New Roman"/>
          <w:szCs w:val="24"/>
        </w:rPr>
        <w:t>, 523 U.S. 833, 842 (1998) (quoting</w:t>
      </w:r>
      <w:r w:rsidRPr="00842D3D">
        <w:rPr>
          <w:rFonts w:eastAsia="Calibri" w:cs="Times New Roman"/>
          <w:i/>
          <w:iCs/>
          <w:szCs w:val="24"/>
        </w:rPr>
        <w:t xml:space="preserve"> Albright v. Oliver</w:t>
      </w:r>
      <w:r w:rsidRPr="00842D3D">
        <w:rPr>
          <w:rFonts w:eastAsia="Calibri" w:cs="Times New Roman"/>
          <w:szCs w:val="24"/>
        </w:rPr>
        <w:t xml:space="preserve">, 510 U.S. 266, 273 (1994) (plurality opinion); </w:t>
      </w:r>
      <w:r w:rsidRPr="00842D3D">
        <w:rPr>
          <w:rFonts w:eastAsia="Calibri" w:cs="Times New Roman"/>
          <w:i/>
          <w:iCs/>
          <w:szCs w:val="24"/>
        </w:rPr>
        <w:t>Kirkpatrick v. Cnty</w:t>
      </w:r>
      <w:r w:rsidR="001823C7">
        <w:rPr>
          <w:rFonts w:eastAsia="Calibri" w:cs="Times New Roman"/>
          <w:i/>
          <w:iCs/>
          <w:szCs w:val="24"/>
        </w:rPr>
        <w:t>.</w:t>
      </w:r>
      <w:r w:rsidRPr="00842D3D">
        <w:rPr>
          <w:rFonts w:eastAsia="Calibri" w:cs="Times New Roman"/>
          <w:i/>
          <w:iCs/>
          <w:szCs w:val="24"/>
        </w:rPr>
        <w:t xml:space="preserve"> of Washoe</w:t>
      </w:r>
      <w:r w:rsidRPr="00842D3D">
        <w:rPr>
          <w:rFonts w:eastAsia="Calibri" w:cs="Times New Roman"/>
          <w:szCs w:val="24"/>
        </w:rPr>
        <w:t xml:space="preserve">, 843 F.3d 784, 788 n.2 (9th Cir. 2016). When necessary, these instructions include right-specific mental states because § 1983 “itself ‘contains no state-of-mind requirement independent of that necessary to state a violation’ of the underlying federal right.” </w:t>
      </w:r>
      <w:r w:rsidRPr="00842D3D">
        <w:rPr>
          <w:rFonts w:eastAsia="Calibri" w:cs="Times New Roman"/>
          <w:i/>
          <w:iCs/>
          <w:szCs w:val="24"/>
        </w:rPr>
        <w:t>Bd. of Cnty. Comm’rs of Bryan Cnty., Okl. v. Brown</w:t>
      </w:r>
      <w:r w:rsidRPr="00842D3D">
        <w:rPr>
          <w:rFonts w:eastAsia="Calibri" w:cs="Times New Roman"/>
          <w:szCs w:val="24"/>
        </w:rPr>
        <w:t xml:space="preserve">, 520 U.S. 397, 405 (1997) (quoting </w:t>
      </w:r>
      <w:r w:rsidRPr="00842D3D">
        <w:rPr>
          <w:rFonts w:eastAsia="Calibri" w:cs="Times New Roman"/>
          <w:i/>
          <w:iCs/>
          <w:szCs w:val="24"/>
        </w:rPr>
        <w:t>Daniels v. Williams</w:t>
      </w:r>
      <w:r w:rsidRPr="00842D3D">
        <w:rPr>
          <w:rFonts w:eastAsia="Calibri" w:cs="Times New Roman"/>
          <w:szCs w:val="24"/>
        </w:rPr>
        <w:t xml:space="preserve">, 474 U.S. 327, 328 (1986)). </w:t>
      </w:r>
    </w:p>
    <w:p w14:paraId="1EAE3B35" w14:textId="77777777" w:rsidR="00842D3D" w:rsidRPr="00842D3D" w:rsidRDefault="00842D3D" w:rsidP="00842D3D">
      <w:pPr>
        <w:autoSpaceDE w:val="0"/>
        <w:autoSpaceDN w:val="0"/>
        <w:adjustRightInd w:val="0"/>
        <w:rPr>
          <w:rFonts w:eastAsia="Calibri"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842D3D" w:rsidRPr="00842D3D" w14:paraId="41B1A3B5" w14:textId="77777777" w:rsidTr="007149A6">
        <w:trPr>
          <w:cantSplit/>
        </w:trPr>
        <w:tc>
          <w:tcPr>
            <w:tcW w:w="9360" w:type="dxa"/>
            <w:gridSpan w:val="4"/>
            <w:tcBorders>
              <w:top w:val="single" w:sz="6" w:space="0" w:color="000000"/>
              <w:left w:val="single" w:sz="6" w:space="0" w:color="000000"/>
              <w:bottom w:val="nil"/>
              <w:right w:val="single" w:sz="6" w:space="0" w:color="000000"/>
            </w:tcBorders>
          </w:tcPr>
          <w:p w14:paraId="1D22235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Particular Rights Instructions</w:t>
            </w:r>
          </w:p>
        </w:tc>
      </w:tr>
      <w:tr w:rsidR="00842D3D" w:rsidRPr="00842D3D" w14:paraId="1395E9AB" w14:textId="77777777" w:rsidTr="007149A6">
        <w:trPr>
          <w:cantSplit/>
        </w:trPr>
        <w:tc>
          <w:tcPr>
            <w:tcW w:w="2700" w:type="dxa"/>
            <w:tcBorders>
              <w:top w:val="single" w:sz="6" w:space="0" w:color="000000"/>
              <w:left w:val="single" w:sz="6" w:space="0" w:color="000000"/>
              <w:bottom w:val="nil"/>
              <w:right w:val="nil"/>
            </w:tcBorders>
            <w:vAlign w:val="center"/>
          </w:tcPr>
          <w:p w14:paraId="56E222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Type of Claim by Source</w:t>
            </w:r>
          </w:p>
        </w:tc>
        <w:tc>
          <w:tcPr>
            <w:tcW w:w="4860" w:type="dxa"/>
            <w:gridSpan w:val="2"/>
            <w:tcBorders>
              <w:top w:val="single" w:sz="6" w:space="0" w:color="000000"/>
              <w:left w:val="single" w:sz="6" w:space="0" w:color="000000"/>
              <w:bottom w:val="nil"/>
              <w:right w:val="nil"/>
            </w:tcBorders>
          </w:tcPr>
          <w:p w14:paraId="3C63E06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Protection</w:t>
            </w:r>
          </w:p>
        </w:tc>
        <w:tc>
          <w:tcPr>
            <w:tcW w:w="1800" w:type="dxa"/>
            <w:tcBorders>
              <w:top w:val="single" w:sz="6" w:space="0" w:color="000000"/>
              <w:left w:val="single" w:sz="6" w:space="0" w:color="000000"/>
              <w:bottom w:val="nil"/>
              <w:right w:val="single" w:sz="6" w:space="0" w:color="000000"/>
            </w:tcBorders>
          </w:tcPr>
          <w:p w14:paraId="5EA5A41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DF7B47" w:rsidRPr="00842D3D" w14:paraId="661834D0" w14:textId="77777777" w:rsidTr="007149A6">
        <w:trPr>
          <w:cantSplit/>
        </w:trPr>
        <w:tc>
          <w:tcPr>
            <w:tcW w:w="2700" w:type="dxa"/>
            <w:vMerge w:val="restart"/>
            <w:tcBorders>
              <w:top w:val="single" w:sz="6" w:space="0" w:color="000000"/>
              <w:left w:val="single" w:sz="6" w:space="0" w:color="000000"/>
              <w:right w:val="nil"/>
            </w:tcBorders>
            <w:vAlign w:val="center"/>
          </w:tcPr>
          <w:p w14:paraId="793205A2"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First Amendment</w:t>
            </w:r>
          </w:p>
        </w:tc>
        <w:tc>
          <w:tcPr>
            <w:tcW w:w="4860" w:type="dxa"/>
            <w:gridSpan w:val="2"/>
            <w:tcBorders>
              <w:top w:val="single" w:sz="6" w:space="0" w:color="000000"/>
              <w:left w:val="single" w:sz="6" w:space="0" w:color="000000"/>
              <w:bottom w:val="nil"/>
              <w:right w:val="nil"/>
            </w:tcBorders>
          </w:tcPr>
          <w:p w14:paraId="0F0F00C1"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4D9CAAFA"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9.9</w:t>
            </w:r>
          </w:p>
          <w:p w14:paraId="0E5821E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9.10</w:t>
            </w:r>
          </w:p>
        </w:tc>
      </w:tr>
      <w:tr w:rsidR="00DF7B47" w:rsidRPr="00842D3D" w14:paraId="538E6578" w14:textId="77777777" w:rsidTr="007149A6">
        <w:trPr>
          <w:cantSplit/>
          <w:trHeight w:val="453"/>
        </w:trPr>
        <w:tc>
          <w:tcPr>
            <w:tcW w:w="2700" w:type="dxa"/>
            <w:vMerge/>
            <w:tcBorders>
              <w:left w:val="single" w:sz="6" w:space="0" w:color="000000"/>
              <w:right w:val="nil"/>
            </w:tcBorders>
          </w:tcPr>
          <w:p w14:paraId="49AEF05F" w14:textId="77777777" w:rsidR="00DF7B47" w:rsidRPr="00842D3D" w:rsidRDefault="00DF7B47"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7483A1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08E85195"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9.11</w:t>
            </w:r>
          </w:p>
        </w:tc>
      </w:tr>
      <w:tr w:rsidR="00DF7B47" w:rsidRPr="00842D3D" w14:paraId="73332EBC" w14:textId="77777777" w:rsidTr="007149A6">
        <w:trPr>
          <w:cantSplit/>
          <w:trHeight w:val="453"/>
        </w:trPr>
        <w:tc>
          <w:tcPr>
            <w:tcW w:w="2700" w:type="dxa"/>
            <w:vMerge/>
            <w:tcBorders>
              <w:left w:val="single" w:sz="6" w:space="0" w:color="000000"/>
              <w:bottom w:val="nil"/>
              <w:right w:val="nil"/>
            </w:tcBorders>
          </w:tcPr>
          <w:p w14:paraId="1CE342A3" w14:textId="77777777" w:rsidR="00DF7B47" w:rsidRPr="00842D3D" w:rsidRDefault="00DF7B47"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5803BA8" w14:textId="0D328589" w:rsidR="00DF7B47" w:rsidRPr="00842D3D" w:rsidRDefault="00DF7B47" w:rsidP="00842D3D">
            <w:pPr>
              <w:autoSpaceDE w:val="0"/>
              <w:autoSpaceDN w:val="0"/>
              <w:adjustRightInd w:val="0"/>
              <w:rPr>
                <w:rFonts w:eastAsia="Calibri" w:cs="Times New Roman"/>
                <w:szCs w:val="24"/>
              </w:rPr>
            </w:pPr>
            <w:r w:rsidRPr="00DE0471">
              <w:rPr>
                <w:rFonts w:cs="Times New Roman"/>
              </w:rPr>
              <w:t>Convicted Prisoner/Pretrial Detainee’s Claim of Retaliation</w:t>
            </w:r>
          </w:p>
        </w:tc>
        <w:tc>
          <w:tcPr>
            <w:tcW w:w="1800" w:type="dxa"/>
            <w:tcBorders>
              <w:top w:val="single" w:sz="6" w:space="0" w:color="000000"/>
              <w:left w:val="single" w:sz="6" w:space="0" w:color="000000"/>
              <w:bottom w:val="nil"/>
              <w:right w:val="single" w:sz="6" w:space="0" w:color="000000"/>
            </w:tcBorders>
          </w:tcPr>
          <w:p w14:paraId="337D9112" w14:textId="35819213" w:rsidR="00DF7B47" w:rsidRPr="00842D3D" w:rsidRDefault="00DF7B47" w:rsidP="00842D3D">
            <w:pPr>
              <w:autoSpaceDE w:val="0"/>
              <w:autoSpaceDN w:val="0"/>
              <w:adjustRightInd w:val="0"/>
              <w:rPr>
                <w:rFonts w:eastAsia="Calibri" w:cs="Times New Roman"/>
                <w:szCs w:val="24"/>
              </w:rPr>
            </w:pPr>
            <w:r>
              <w:rPr>
                <w:rFonts w:eastAsia="Calibri" w:cs="Times New Roman"/>
                <w:szCs w:val="24"/>
              </w:rPr>
              <w:t>9.12</w:t>
            </w:r>
          </w:p>
        </w:tc>
      </w:tr>
      <w:tr w:rsidR="00842D3D" w:rsidRPr="00842D3D" w14:paraId="5188F166"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18D78A1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1FD9FB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Search</w:t>
            </w:r>
          </w:p>
        </w:tc>
        <w:tc>
          <w:tcPr>
            <w:tcW w:w="4860" w:type="dxa"/>
            <w:gridSpan w:val="2"/>
            <w:tcBorders>
              <w:top w:val="single" w:sz="6" w:space="0" w:color="000000"/>
              <w:left w:val="single" w:sz="6" w:space="0" w:color="000000"/>
              <w:bottom w:val="nil"/>
              <w:right w:val="nil"/>
            </w:tcBorders>
          </w:tcPr>
          <w:p w14:paraId="089851A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5681EDB4" w14:textId="5BCC0DD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DF7B47">
              <w:rPr>
                <w:rFonts w:eastAsia="Calibri" w:cs="Times New Roman"/>
                <w:szCs w:val="24"/>
              </w:rPr>
              <w:t>3</w:t>
            </w:r>
          </w:p>
        </w:tc>
      </w:tr>
      <w:tr w:rsidR="00842D3D" w:rsidRPr="00842D3D" w14:paraId="46D0A612" w14:textId="77777777" w:rsidTr="007149A6">
        <w:trPr>
          <w:cantSplit/>
          <w:trHeight w:val="727"/>
        </w:trPr>
        <w:tc>
          <w:tcPr>
            <w:tcW w:w="2700" w:type="dxa"/>
            <w:vMerge/>
            <w:tcBorders>
              <w:top w:val="single" w:sz="6" w:space="0" w:color="000000"/>
              <w:left w:val="single" w:sz="6" w:space="0" w:color="000000"/>
              <w:bottom w:val="nil"/>
              <w:right w:val="nil"/>
            </w:tcBorders>
          </w:tcPr>
          <w:p w14:paraId="0DA1BC2F" w14:textId="77777777" w:rsidR="00842D3D" w:rsidRPr="00842D3D" w:rsidRDefault="00842D3D" w:rsidP="00842D3D">
            <w:pPr>
              <w:autoSpaceDE w:val="0"/>
              <w:autoSpaceDN w:val="0"/>
              <w:adjustRightInd w:val="0"/>
              <w:rPr>
                <w:rFonts w:eastAsia="Calibri" w:cs="Times New Roman"/>
                <w:szCs w:val="24"/>
              </w:rPr>
            </w:pPr>
          </w:p>
        </w:tc>
        <w:tc>
          <w:tcPr>
            <w:tcW w:w="1890" w:type="dxa"/>
            <w:vMerge w:val="restart"/>
            <w:tcBorders>
              <w:top w:val="single" w:sz="6" w:space="0" w:color="000000"/>
              <w:left w:val="single" w:sz="6" w:space="0" w:color="000000"/>
              <w:bottom w:val="nil"/>
              <w:right w:val="nil"/>
            </w:tcBorders>
          </w:tcPr>
          <w:p w14:paraId="10BD20A8" w14:textId="77777777" w:rsidR="00842D3D" w:rsidRPr="00842D3D" w:rsidRDefault="00842D3D" w:rsidP="00842D3D">
            <w:pPr>
              <w:autoSpaceDE w:val="0"/>
              <w:autoSpaceDN w:val="0"/>
              <w:adjustRightInd w:val="0"/>
              <w:rPr>
                <w:rFonts w:eastAsia="Calibri" w:cs="Times New Roman"/>
                <w:szCs w:val="24"/>
              </w:rPr>
            </w:pPr>
          </w:p>
          <w:p w14:paraId="429A8EBE" w14:textId="77777777" w:rsidR="00842D3D" w:rsidRPr="00842D3D" w:rsidRDefault="00842D3D" w:rsidP="00842D3D">
            <w:pPr>
              <w:autoSpaceDE w:val="0"/>
              <w:autoSpaceDN w:val="0"/>
              <w:adjustRightInd w:val="0"/>
              <w:rPr>
                <w:rFonts w:eastAsia="Calibri" w:cs="Times New Roman"/>
                <w:szCs w:val="24"/>
              </w:rPr>
            </w:pPr>
          </w:p>
          <w:p w14:paraId="3E62F4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p w14:paraId="7544042B"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D60D4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16CB5F18" w14:textId="259CB90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4</w:t>
            </w:r>
            <w:r w:rsidRPr="00842D3D">
              <w:rPr>
                <w:rFonts w:eastAsia="Calibri" w:cs="Times New Roman"/>
                <w:szCs w:val="24"/>
              </w:rPr>
              <w:t xml:space="preserve"> </w:t>
            </w:r>
          </w:p>
          <w:p w14:paraId="130BCD53" w14:textId="38F8A2F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5</w:t>
            </w:r>
            <w:r w:rsidRPr="00842D3D">
              <w:rPr>
                <w:rFonts w:eastAsia="Calibri" w:cs="Times New Roman"/>
                <w:szCs w:val="24"/>
              </w:rPr>
              <w:t xml:space="preserve"> (vehicle)</w:t>
            </w:r>
          </w:p>
        </w:tc>
      </w:tr>
      <w:tr w:rsidR="00842D3D" w:rsidRPr="00842D3D" w14:paraId="18462058" w14:textId="77777777" w:rsidTr="007149A6">
        <w:trPr>
          <w:cantSplit/>
        </w:trPr>
        <w:tc>
          <w:tcPr>
            <w:tcW w:w="2700" w:type="dxa"/>
            <w:vMerge/>
            <w:tcBorders>
              <w:top w:val="single" w:sz="6" w:space="0" w:color="000000"/>
              <w:left w:val="single" w:sz="6" w:space="0" w:color="000000"/>
              <w:bottom w:val="nil"/>
              <w:right w:val="nil"/>
            </w:tcBorders>
          </w:tcPr>
          <w:p w14:paraId="4D7FCDD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3B09828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76E08C4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Consent</w:t>
            </w:r>
          </w:p>
        </w:tc>
        <w:tc>
          <w:tcPr>
            <w:tcW w:w="1800" w:type="dxa"/>
            <w:tcBorders>
              <w:top w:val="single" w:sz="6" w:space="0" w:color="000000"/>
              <w:left w:val="single" w:sz="6" w:space="0" w:color="000000"/>
              <w:bottom w:val="nil"/>
              <w:right w:val="single" w:sz="6" w:space="0" w:color="000000"/>
            </w:tcBorders>
          </w:tcPr>
          <w:p w14:paraId="1F72F5A3" w14:textId="2A2D70A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6</w:t>
            </w:r>
          </w:p>
        </w:tc>
      </w:tr>
      <w:tr w:rsidR="00842D3D" w:rsidRPr="00842D3D" w14:paraId="1724848F" w14:textId="77777777" w:rsidTr="007149A6">
        <w:trPr>
          <w:cantSplit/>
        </w:trPr>
        <w:tc>
          <w:tcPr>
            <w:tcW w:w="2700" w:type="dxa"/>
            <w:vMerge/>
            <w:tcBorders>
              <w:top w:val="single" w:sz="6" w:space="0" w:color="000000"/>
              <w:left w:val="single" w:sz="6" w:space="0" w:color="000000"/>
              <w:bottom w:val="nil"/>
              <w:right w:val="nil"/>
            </w:tcBorders>
          </w:tcPr>
          <w:p w14:paraId="5553974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02E03BD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6F638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5874E290" w14:textId="5C5274B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7</w:t>
            </w:r>
          </w:p>
        </w:tc>
      </w:tr>
      <w:tr w:rsidR="00842D3D" w:rsidRPr="00842D3D" w14:paraId="6AC6837D" w14:textId="77777777" w:rsidTr="007149A6">
        <w:trPr>
          <w:cantSplit/>
        </w:trPr>
        <w:tc>
          <w:tcPr>
            <w:tcW w:w="2700" w:type="dxa"/>
            <w:vMerge/>
            <w:tcBorders>
              <w:top w:val="single" w:sz="6" w:space="0" w:color="000000"/>
              <w:left w:val="single" w:sz="6" w:space="0" w:color="000000"/>
              <w:bottom w:val="nil"/>
              <w:right w:val="nil"/>
            </w:tcBorders>
          </w:tcPr>
          <w:p w14:paraId="6EFE180B"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24ED63BF"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2185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3A29A5B2" w14:textId="608483A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8</w:t>
            </w:r>
          </w:p>
        </w:tc>
      </w:tr>
      <w:tr w:rsidR="00842D3D" w:rsidRPr="00842D3D" w14:paraId="702434D5" w14:textId="77777777" w:rsidTr="007149A6">
        <w:trPr>
          <w:cantSplit/>
        </w:trPr>
        <w:tc>
          <w:tcPr>
            <w:tcW w:w="2700" w:type="dxa"/>
            <w:vMerge/>
            <w:tcBorders>
              <w:top w:val="single" w:sz="6" w:space="0" w:color="000000"/>
              <w:left w:val="single" w:sz="6" w:space="0" w:color="000000"/>
              <w:bottom w:val="nil"/>
              <w:right w:val="nil"/>
            </w:tcBorders>
          </w:tcPr>
          <w:p w14:paraId="5CAF4CD7"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23CC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1475394E" w14:textId="141E279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9</w:t>
            </w:r>
          </w:p>
        </w:tc>
      </w:tr>
      <w:tr w:rsidR="00842D3D" w:rsidRPr="00842D3D" w14:paraId="23C56C94"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380BC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368C4B4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3F3163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64C2E483" w14:textId="7426B20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20</w:t>
            </w:r>
          </w:p>
        </w:tc>
      </w:tr>
      <w:tr w:rsidR="00842D3D" w:rsidRPr="00842D3D" w14:paraId="3E86AC0B" w14:textId="77777777" w:rsidTr="007149A6">
        <w:trPr>
          <w:cantSplit/>
        </w:trPr>
        <w:tc>
          <w:tcPr>
            <w:tcW w:w="2700" w:type="dxa"/>
            <w:vMerge/>
            <w:tcBorders>
              <w:top w:val="single" w:sz="6" w:space="0" w:color="000000"/>
              <w:left w:val="single" w:sz="6" w:space="0" w:color="000000"/>
              <w:bottom w:val="nil"/>
              <w:right w:val="nil"/>
            </w:tcBorders>
          </w:tcPr>
          <w:p w14:paraId="67E32E5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17507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51B597A0" w14:textId="7D8B41C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21</w:t>
            </w:r>
          </w:p>
        </w:tc>
      </w:tr>
      <w:tr w:rsidR="00842D3D" w:rsidRPr="00842D3D" w14:paraId="43DA0231"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4F82F0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6D4F26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107466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5C8DB808" w14:textId="5319B42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2</w:t>
            </w:r>
          </w:p>
        </w:tc>
      </w:tr>
      <w:tr w:rsidR="00842D3D" w:rsidRPr="00842D3D" w14:paraId="4FDFB40F" w14:textId="77777777" w:rsidTr="007149A6">
        <w:trPr>
          <w:cantSplit/>
        </w:trPr>
        <w:tc>
          <w:tcPr>
            <w:tcW w:w="2700" w:type="dxa"/>
            <w:vMerge/>
            <w:tcBorders>
              <w:top w:val="single" w:sz="6" w:space="0" w:color="000000"/>
              <w:left w:val="single" w:sz="6" w:space="0" w:color="000000"/>
              <w:bottom w:val="nil"/>
              <w:right w:val="nil"/>
            </w:tcBorders>
          </w:tcPr>
          <w:p w14:paraId="1D92F23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963B8DF"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Exception to Warrant Requirement—</w:t>
            </w:r>
            <w:r w:rsidRPr="00842D3D">
              <w:rPr>
                <w:rFonts w:eastAsia="Calibri"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71B80B04" w14:textId="40698D7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3</w:t>
            </w:r>
            <w:r w:rsidRPr="00842D3D">
              <w:rPr>
                <w:rFonts w:eastAsia="Calibri" w:cs="Times New Roman"/>
                <w:szCs w:val="24"/>
              </w:rPr>
              <w:t xml:space="preserve"> (stop)</w:t>
            </w:r>
          </w:p>
          <w:p w14:paraId="3C8B87A6" w14:textId="24DFF33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4</w:t>
            </w:r>
            <w:r w:rsidRPr="00842D3D">
              <w:rPr>
                <w:rFonts w:eastAsia="Calibri" w:cs="Times New Roman"/>
                <w:szCs w:val="24"/>
              </w:rPr>
              <w:t xml:space="preserve"> (frisk)</w:t>
            </w:r>
          </w:p>
        </w:tc>
      </w:tr>
      <w:tr w:rsidR="00842D3D" w:rsidRPr="00842D3D" w14:paraId="263654C7" w14:textId="77777777" w:rsidTr="007149A6">
        <w:trPr>
          <w:cantSplit/>
        </w:trPr>
        <w:tc>
          <w:tcPr>
            <w:tcW w:w="2700" w:type="dxa"/>
            <w:vMerge/>
            <w:tcBorders>
              <w:top w:val="single" w:sz="6" w:space="0" w:color="000000"/>
              <w:left w:val="single" w:sz="6" w:space="0" w:color="000000"/>
              <w:bottom w:val="nil"/>
              <w:right w:val="nil"/>
            </w:tcBorders>
          </w:tcPr>
          <w:p w14:paraId="540B8B9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9F758D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1188F19" w14:textId="5483ABE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5</w:t>
            </w:r>
          </w:p>
        </w:tc>
      </w:tr>
      <w:tr w:rsidR="00842D3D" w:rsidRPr="00842D3D" w14:paraId="6975CD01" w14:textId="77777777" w:rsidTr="007149A6">
        <w:trPr>
          <w:cantSplit/>
        </w:trPr>
        <w:tc>
          <w:tcPr>
            <w:tcW w:w="2700" w:type="dxa"/>
            <w:vMerge/>
            <w:tcBorders>
              <w:top w:val="single" w:sz="6" w:space="0" w:color="000000"/>
              <w:left w:val="single" w:sz="6" w:space="0" w:color="000000"/>
              <w:bottom w:val="nil"/>
              <w:right w:val="nil"/>
            </w:tcBorders>
          </w:tcPr>
          <w:p w14:paraId="0D5F0D98"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29941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1C64FE20" w14:textId="79D7244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6</w:t>
            </w:r>
          </w:p>
        </w:tc>
      </w:tr>
      <w:tr w:rsidR="00842D3D" w:rsidRPr="00842D3D" w14:paraId="402D3B69" w14:textId="77777777" w:rsidTr="007149A6">
        <w:trPr>
          <w:cantSplit/>
        </w:trPr>
        <w:tc>
          <w:tcPr>
            <w:tcW w:w="2700" w:type="dxa"/>
            <w:vMerge/>
            <w:tcBorders>
              <w:top w:val="single" w:sz="6" w:space="0" w:color="000000"/>
              <w:left w:val="single" w:sz="6" w:space="0" w:color="000000"/>
              <w:bottom w:val="nil"/>
              <w:right w:val="nil"/>
            </w:tcBorders>
          </w:tcPr>
          <w:p w14:paraId="67468A7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83B23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2FD60291" w14:textId="63186CF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7</w:t>
            </w:r>
          </w:p>
        </w:tc>
      </w:tr>
      <w:tr w:rsidR="00842D3D" w:rsidRPr="00842D3D" w14:paraId="1831FD72" w14:textId="77777777" w:rsidTr="007149A6">
        <w:trPr>
          <w:cantSplit/>
        </w:trPr>
        <w:tc>
          <w:tcPr>
            <w:tcW w:w="2700" w:type="dxa"/>
            <w:tcBorders>
              <w:top w:val="single" w:sz="6" w:space="0" w:color="000000"/>
              <w:left w:val="single" w:sz="6" w:space="0" w:color="000000"/>
              <w:bottom w:val="nil"/>
              <w:right w:val="nil"/>
            </w:tcBorders>
          </w:tcPr>
          <w:p w14:paraId="224CF09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Sixth Amendment</w:t>
            </w:r>
          </w:p>
        </w:tc>
        <w:tc>
          <w:tcPr>
            <w:tcW w:w="4860" w:type="dxa"/>
            <w:gridSpan w:val="2"/>
            <w:tcBorders>
              <w:top w:val="single" w:sz="6" w:space="0" w:color="000000"/>
              <w:left w:val="single" w:sz="6" w:space="0" w:color="000000"/>
              <w:bottom w:val="nil"/>
              <w:right w:val="nil"/>
            </w:tcBorders>
          </w:tcPr>
          <w:p w14:paraId="7CB72C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Witness</w:t>
            </w:r>
          </w:p>
        </w:tc>
        <w:tc>
          <w:tcPr>
            <w:tcW w:w="1800" w:type="dxa"/>
            <w:tcBorders>
              <w:top w:val="single" w:sz="6" w:space="0" w:color="000000"/>
              <w:left w:val="single" w:sz="6" w:space="0" w:color="000000"/>
              <w:bottom w:val="nil"/>
              <w:right w:val="single" w:sz="6" w:space="0" w:color="000000"/>
            </w:tcBorders>
          </w:tcPr>
          <w:p w14:paraId="1A2F007A" w14:textId="5C9848E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8</w:t>
            </w:r>
          </w:p>
        </w:tc>
      </w:tr>
      <w:tr w:rsidR="00842D3D" w:rsidRPr="00842D3D" w14:paraId="0EC4765E"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50D4CF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Eighth Amendment</w:t>
            </w:r>
          </w:p>
        </w:tc>
        <w:tc>
          <w:tcPr>
            <w:tcW w:w="4860" w:type="dxa"/>
            <w:gridSpan w:val="2"/>
            <w:tcBorders>
              <w:top w:val="single" w:sz="6" w:space="0" w:color="000000"/>
              <w:left w:val="single" w:sz="6" w:space="0" w:color="000000"/>
              <w:bottom w:val="nil"/>
              <w:right w:val="nil"/>
            </w:tcBorders>
          </w:tcPr>
          <w:p w14:paraId="0F39F5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3D916B0C" w14:textId="3D68F32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9</w:t>
            </w:r>
          </w:p>
        </w:tc>
      </w:tr>
      <w:tr w:rsidR="00842D3D" w:rsidRPr="00842D3D" w14:paraId="27D5FF46" w14:textId="77777777" w:rsidTr="007149A6">
        <w:trPr>
          <w:cantSplit/>
          <w:trHeight w:val="453"/>
        </w:trPr>
        <w:tc>
          <w:tcPr>
            <w:tcW w:w="2700" w:type="dxa"/>
            <w:vMerge/>
            <w:tcBorders>
              <w:top w:val="single" w:sz="6" w:space="0" w:color="000000"/>
              <w:left w:val="single" w:sz="6" w:space="0" w:color="000000"/>
              <w:bottom w:val="nil"/>
              <w:right w:val="nil"/>
            </w:tcBorders>
          </w:tcPr>
          <w:p w14:paraId="21FDA0CF"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A0EE29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4816A573" w14:textId="139B033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30</w:t>
            </w:r>
          </w:p>
        </w:tc>
      </w:tr>
      <w:tr w:rsidR="00842D3D" w:rsidRPr="00842D3D" w14:paraId="51A04043" w14:textId="77777777" w:rsidTr="007149A6">
        <w:trPr>
          <w:cantSplit/>
          <w:trHeight w:val="766"/>
        </w:trPr>
        <w:tc>
          <w:tcPr>
            <w:tcW w:w="2700" w:type="dxa"/>
            <w:vMerge/>
            <w:tcBorders>
              <w:top w:val="single" w:sz="6" w:space="0" w:color="000000"/>
              <w:left w:val="single" w:sz="6" w:space="0" w:color="000000"/>
              <w:bottom w:val="nil"/>
              <w:right w:val="nil"/>
            </w:tcBorders>
          </w:tcPr>
          <w:p w14:paraId="57AEF9BE"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6EAFDB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re Conditions of Confinement/Medical Care</w:t>
            </w:r>
            <w:r w:rsidRPr="00842D3D">
              <w:rPr>
                <w:rFonts w:eastAsia="Calibri" w:cs="Times New Roman"/>
                <w:szCs w:val="24"/>
              </w:rPr>
              <w:tab/>
            </w:r>
          </w:p>
        </w:tc>
        <w:tc>
          <w:tcPr>
            <w:tcW w:w="1800" w:type="dxa"/>
            <w:tcBorders>
              <w:top w:val="single" w:sz="6" w:space="0" w:color="000000"/>
              <w:left w:val="single" w:sz="6" w:space="0" w:color="000000"/>
              <w:bottom w:val="nil"/>
              <w:right w:val="single" w:sz="6" w:space="0" w:color="000000"/>
            </w:tcBorders>
          </w:tcPr>
          <w:p w14:paraId="6B8A18D0" w14:textId="0CFCCBB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31</w:t>
            </w:r>
          </w:p>
          <w:p w14:paraId="2BE6D5AE"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0020766C" w14:textId="77777777" w:rsidTr="007149A6">
        <w:trPr>
          <w:cantSplit/>
          <w:trHeight w:val="516"/>
        </w:trPr>
        <w:tc>
          <w:tcPr>
            <w:tcW w:w="2700" w:type="dxa"/>
            <w:vMerge/>
            <w:tcBorders>
              <w:top w:val="single" w:sz="6" w:space="0" w:color="000000"/>
              <w:left w:val="single" w:sz="6" w:space="0" w:color="000000"/>
              <w:bottom w:val="single" w:sz="6" w:space="0" w:color="000000"/>
              <w:right w:val="nil"/>
            </w:tcBorders>
          </w:tcPr>
          <w:p w14:paraId="0BCE3232"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006852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3D26448C" w14:textId="45D696F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32</w:t>
            </w:r>
          </w:p>
        </w:tc>
      </w:tr>
      <w:tr w:rsidR="00842D3D" w:rsidRPr="00842D3D" w14:paraId="56C78D4B" w14:textId="77777777" w:rsidTr="007149A6">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786BB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w:t>
            </w:r>
          </w:p>
        </w:tc>
        <w:tc>
          <w:tcPr>
            <w:tcW w:w="4860" w:type="dxa"/>
            <w:gridSpan w:val="2"/>
            <w:tcBorders>
              <w:top w:val="single" w:sz="6" w:space="0" w:color="000000"/>
              <w:left w:val="single" w:sz="6" w:space="0" w:color="000000"/>
              <w:bottom w:val="nil"/>
              <w:right w:val="nil"/>
            </w:tcBorders>
          </w:tcPr>
          <w:p w14:paraId="57E402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6137C717" w14:textId="03CE29A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33</w:t>
            </w:r>
          </w:p>
          <w:p w14:paraId="33DD95C6"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32EEAF13" w14:textId="77777777" w:rsidTr="007149A6">
        <w:trPr>
          <w:cantSplit/>
          <w:trHeight w:val="766"/>
        </w:trPr>
        <w:tc>
          <w:tcPr>
            <w:tcW w:w="2700" w:type="dxa"/>
            <w:vMerge/>
            <w:tcBorders>
              <w:top w:val="single" w:sz="6" w:space="0" w:color="000000"/>
              <w:left w:val="single" w:sz="6" w:space="0" w:color="000000"/>
              <w:bottom w:val="nil"/>
              <w:right w:val="nil"/>
            </w:tcBorders>
          </w:tcPr>
          <w:p w14:paraId="40845136"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F2C4B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5161E082" w14:textId="51C0F99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4</w:t>
            </w:r>
          </w:p>
        </w:tc>
      </w:tr>
      <w:tr w:rsidR="00842D3D" w:rsidRPr="00842D3D" w14:paraId="706CAB0E" w14:textId="77777777" w:rsidTr="007149A6">
        <w:trPr>
          <w:cantSplit/>
          <w:trHeight w:val="462"/>
        </w:trPr>
        <w:tc>
          <w:tcPr>
            <w:tcW w:w="2700" w:type="dxa"/>
            <w:vMerge/>
            <w:tcBorders>
              <w:top w:val="single" w:sz="6" w:space="0" w:color="000000"/>
              <w:left w:val="single" w:sz="6" w:space="0" w:color="000000"/>
              <w:bottom w:val="nil"/>
              <w:right w:val="nil"/>
            </w:tcBorders>
          </w:tcPr>
          <w:p w14:paraId="09BF293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059C2C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5375FCB6" w14:textId="435B730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5</w:t>
            </w:r>
          </w:p>
        </w:tc>
      </w:tr>
      <w:tr w:rsidR="00842D3D" w:rsidRPr="00842D3D" w14:paraId="205F0013" w14:textId="77777777" w:rsidTr="007149A6">
        <w:trPr>
          <w:cantSplit/>
          <w:trHeight w:val="525"/>
        </w:trPr>
        <w:tc>
          <w:tcPr>
            <w:tcW w:w="2700" w:type="dxa"/>
            <w:vMerge/>
            <w:tcBorders>
              <w:top w:val="single" w:sz="6" w:space="0" w:color="000000"/>
              <w:left w:val="single" w:sz="6" w:space="0" w:color="000000"/>
              <w:bottom w:val="nil"/>
              <w:right w:val="nil"/>
            </w:tcBorders>
          </w:tcPr>
          <w:p w14:paraId="13EB293B"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3F997A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7E04FCB1" w14:textId="17279B0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6</w:t>
            </w:r>
          </w:p>
        </w:tc>
      </w:tr>
      <w:tr w:rsidR="00842D3D" w:rsidRPr="00842D3D" w14:paraId="1BC1AC72" w14:textId="77777777" w:rsidTr="007149A6">
        <w:trPr>
          <w:cantSplit/>
          <w:trHeight w:val="525"/>
        </w:trPr>
        <w:tc>
          <w:tcPr>
            <w:tcW w:w="2700" w:type="dxa"/>
            <w:vMerge/>
            <w:tcBorders>
              <w:top w:val="single" w:sz="6" w:space="0" w:color="000000"/>
              <w:left w:val="single" w:sz="6" w:space="0" w:color="000000"/>
              <w:bottom w:val="nil"/>
              <w:right w:val="nil"/>
            </w:tcBorders>
          </w:tcPr>
          <w:p w14:paraId="7792906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BB6F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Civil Commitment</w:t>
            </w:r>
          </w:p>
        </w:tc>
        <w:tc>
          <w:tcPr>
            <w:tcW w:w="1800" w:type="dxa"/>
            <w:tcBorders>
              <w:top w:val="single" w:sz="6" w:space="0" w:color="000000"/>
              <w:left w:val="single" w:sz="6" w:space="0" w:color="000000"/>
              <w:bottom w:val="nil"/>
              <w:right w:val="single" w:sz="6" w:space="0" w:color="000000"/>
            </w:tcBorders>
          </w:tcPr>
          <w:p w14:paraId="4DC1B821" w14:textId="7395E69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7</w:t>
            </w:r>
          </w:p>
        </w:tc>
      </w:tr>
      <w:tr w:rsidR="00842D3D" w:rsidRPr="00842D3D" w14:paraId="71161A48" w14:textId="77777777" w:rsidTr="007149A6">
        <w:trPr>
          <w:cantSplit/>
          <w:trHeight w:val="525"/>
        </w:trPr>
        <w:tc>
          <w:tcPr>
            <w:tcW w:w="2700" w:type="dxa"/>
            <w:vMerge/>
            <w:tcBorders>
              <w:top w:val="single" w:sz="6" w:space="0" w:color="000000"/>
              <w:left w:val="single" w:sz="6" w:space="0" w:color="000000"/>
              <w:bottom w:val="nil"/>
              <w:right w:val="nil"/>
            </w:tcBorders>
          </w:tcPr>
          <w:p w14:paraId="70015ED0"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F9F4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1BF71610" w14:textId="4A4017E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8</w:t>
            </w:r>
          </w:p>
        </w:tc>
      </w:tr>
      <w:tr w:rsidR="00842D3D" w:rsidRPr="00842D3D" w14:paraId="3AAD7299" w14:textId="77777777" w:rsidTr="007149A6">
        <w:trPr>
          <w:cantSplit/>
          <w:trHeight w:val="525"/>
        </w:trPr>
        <w:tc>
          <w:tcPr>
            <w:tcW w:w="2700" w:type="dxa"/>
            <w:vMerge/>
            <w:tcBorders>
              <w:top w:val="single" w:sz="6" w:space="0" w:color="000000"/>
              <w:left w:val="single" w:sz="6" w:space="0" w:color="000000"/>
              <w:bottom w:val="nil"/>
              <w:right w:val="nil"/>
            </w:tcBorders>
          </w:tcPr>
          <w:p w14:paraId="77FB3E61"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C950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7BBDC7F8" w14:textId="025EF2E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9</w:t>
            </w:r>
          </w:p>
        </w:tc>
      </w:tr>
      <w:tr w:rsidR="00842D3D" w:rsidRPr="00842D3D" w14:paraId="5650ACBD" w14:textId="77777777" w:rsidTr="007149A6">
        <w:trPr>
          <w:cantSplit/>
          <w:trHeight w:val="525"/>
        </w:trPr>
        <w:tc>
          <w:tcPr>
            <w:tcW w:w="2700" w:type="dxa"/>
            <w:vMerge/>
            <w:tcBorders>
              <w:top w:val="single" w:sz="6" w:space="0" w:color="000000"/>
              <w:left w:val="single" w:sz="6" w:space="0" w:color="000000"/>
              <w:bottom w:val="single" w:sz="6" w:space="0" w:color="000000"/>
              <w:right w:val="nil"/>
            </w:tcBorders>
          </w:tcPr>
          <w:p w14:paraId="2B123B0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756EBD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346308AD" w14:textId="6080F61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40</w:t>
            </w:r>
          </w:p>
        </w:tc>
      </w:tr>
    </w:tbl>
    <w:p w14:paraId="6FFFAAF8" w14:textId="77777777" w:rsidR="00842D3D" w:rsidRPr="00842D3D" w:rsidRDefault="00842D3D" w:rsidP="00842D3D">
      <w:pPr>
        <w:autoSpaceDE w:val="0"/>
        <w:autoSpaceDN w:val="0"/>
        <w:adjustRightInd w:val="0"/>
        <w:rPr>
          <w:rFonts w:eastAsia="Calibri" w:cs="Times New Roman"/>
          <w:szCs w:val="24"/>
        </w:rPr>
      </w:pPr>
    </w:p>
    <w:p w14:paraId="3E4EE3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Person Subject to § 1983 Liability</w:t>
      </w:r>
    </w:p>
    <w:p w14:paraId="7389FFD6" w14:textId="77777777" w:rsidR="00842D3D" w:rsidRPr="00842D3D" w:rsidRDefault="00842D3D" w:rsidP="00842D3D">
      <w:pPr>
        <w:autoSpaceDE w:val="0"/>
        <w:autoSpaceDN w:val="0"/>
        <w:adjustRightInd w:val="0"/>
        <w:rPr>
          <w:rFonts w:eastAsia="Calibri" w:cs="Times New Roman"/>
          <w:szCs w:val="24"/>
        </w:rPr>
      </w:pPr>
    </w:p>
    <w:p w14:paraId="1028BC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It is well settled that a “person” subject to liability can be an individual sued in an individual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Devereaux v. Abbey</w:t>
      </w:r>
      <w:r w:rsidRPr="00842D3D">
        <w:rPr>
          <w:rFonts w:eastAsia="Calibri" w:cs="Times New Roman"/>
          <w:szCs w:val="24"/>
        </w:rPr>
        <w:t>, 263 F.3d 1070, 1074 (9th Cir. 2001) (en banc)) or in an official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Hartmann v. Cal. Dep’t of Corr. &amp; Rehab.</w:t>
      </w:r>
      <w:r w:rsidRPr="00842D3D">
        <w:rPr>
          <w:rFonts w:eastAsia="Calibri" w:cs="Times New Roman"/>
          <w:szCs w:val="24"/>
        </w:rPr>
        <w:t>, 707 F.3d 1114, 1127 (9th Cir. 2013)). A “person” subject to liability can also be a municipality, county, or other local governing body. (</w:t>
      </w:r>
      <w:r w:rsidRPr="00842D3D">
        <w:rPr>
          <w:rFonts w:eastAsia="Calibri" w:cs="Times New Roman"/>
          <w:i/>
          <w:iCs/>
          <w:szCs w:val="24"/>
        </w:rPr>
        <w:t>See Monell v. Dep’t of Soc. Servs. of City of N.Y.</w:t>
      </w:r>
      <w:r w:rsidRPr="00842D3D">
        <w:rPr>
          <w:rFonts w:eastAsia="Calibri" w:cs="Times New Roman"/>
          <w:szCs w:val="24"/>
        </w:rPr>
        <w:t xml:space="preserve">, 436 U.S. 658, 690 (1978); </w:t>
      </w:r>
      <w:r w:rsidRPr="00842D3D">
        <w:rPr>
          <w:rFonts w:eastAsia="Calibri" w:cs="Times New Roman"/>
          <w:i/>
          <w:iCs/>
          <w:szCs w:val="24"/>
        </w:rPr>
        <w:t>Waggy v. Spokane County</w:t>
      </w:r>
      <w:r w:rsidRPr="00842D3D">
        <w:rPr>
          <w:rFonts w:eastAsia="Calibri" w:cs="Times New Roman"/>
          <w:szCs w:val="24"/>
        </w:rPr>
        <w:t xml:space="preserve">, 594 F.3d 707, 713 (9th Cir. 2010) (“Municipalities are considered ‘persons’ under 42 U.S.C. § 1983.”); </w:t>
      </w:r>
      <w:r w:rsidRPr="00842D3D">
        <w:rPr>
          <w:rFonts w:eastAsia="Calibri" w:cs="Times New Roman"/>
          <w:i/>
          <w:iCs/>
          <w:szCs w:val="24"/>
        </w:rPr>
        <w:t>King v. County of Los Angeles</w:t>
      </w:r>
      <w:r w:rsidRPr="00842D3D">
        <w:rPr>
          <w:rFonts w:eastAsia="Calibri" w:cs="Times New Roman"/>
          <w:szCs w:val="24"/>
        </w:rPr>
        <w:t xml:space="preserve">, 885 F.3d 548, 558 (9th Cir. 2018) (“A county is subject to Section 1983 liability . . . .”)). </w:t>
      </w:r>
    </w:p>
    <w:p w14:paraId="05DA8C6B" w14:textId="77777777" w:rsidR="00842D3D" w:rsidRPr="00842D3D" w:rsidRDefault="00842D3D" w:rsidP="00842D3D">
      <w:pPr>
        <w:autoSpaceDE w:val="0"/>
        <w:autoSpaceDN w:val="0"/>
        <w:adjustRightInd w:val="0"/>
        <w:rPr>
          <w:rFonts w:eastAsia="Calibri" w:cs="Times New Roman"/>
          <w:szCs w:val="24"/>
        </w:rPr>
      </w:pPr>
    </w:p>
    <w:p w14:paraId="2C49A3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Local Governing Body Liability</w:t>
      </w:r>
    </w:p>
    <w:p w14:paraId="200CECFF" w14:textId="77777777" w:rsidR="00842D3D" w:rsidRPr="00842D3D" w:rsidRDefault="00842D3D" w:rsidP="00842D3D">
      <w:pPr>
        <w:autoSpaceDE w:val="0"/>
        <w:autoSpaceDN w:val="0"/>
        <w:adjustRightInd w:val="0"/>
        <w:rPr>
          <w:rFonts w:eastAsia="Calibri" w:cs="Times New Roman"/>
          <w:szCs w:val="24"/>
        </w:rPr>
      </w:pPr>
    </w:p>
    <w:p w14:paraId="2AECA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is not liable under § 1983 “unless action pursuant to official municipal policy of some nature caused a constitutional tort.” </w:t>
      </w:r>
      <w:r w:rsidRPr="00842D3D">
        <w:rPr>
          <w:rFonts w:eastAsia="Calibri" w:cs="Times New Roman"/>
          <w:i/>
          <w:iCs/>
          <w:szCs w:val="24"/>
        </w:rPr>
        <w:t>Monell</w:t>
      </w:r>
      <w:r w:rsidRPr="00842D3D">
        <w:rPr>
          <w:rFonts w:eastAsia="Calibri" w:cs="Times New Roman"/>
          <w:szCs w:val="24"/>
        </w:rPr>
        <w:t xml:space="preserve">, 436 U.S. at 691. </w:t>
      </w:r>
      <w:r w:rsidRPr="00842D3D">
        <w:rPr>
          <w:rFonts w:eastAsia="Calibri" w:cs="Times New Roman"/>
          <w:i/>
          <w:iCs/>
          <w:szCs w:val="24"/>
        </w:rPr>
        <w:t xml:space="preserve">But see </w:t>
      </w:r>
      <w:r w:rsidRPr="00842D3D">
        <w:rPr>
          <w:rFonts w:eastAsia="Calibri" w:cs="Times New Roman"/>
          <w:szCs w:val="24"/>
        </w:rPr>
        <w:t xml:space="preserve">Instruction 9.7 (Section 1983 Claim Against Local Governing Body Defendants Based on Ratification—Elements and Burden of Proof) (addressing ratification and causation). “[A] municipality cannot be held liable under §1983 on a </w:t>
      </w:r>
      <w:r w:rsidRPr="00842D3D">
        <w:rPr>
          <w:rFonts w:eastAsia="Calibri" w:cs="Times New Roman"/>
          <w:i/>
          <w:iCs/>
          <w:szCs w:val="24"/>
        </w:rPr>
        <w:t>respondeat superior</w:t>
      </w:r>
      <w:r w:rsidRPr="00842D3D">
        <w:rPr>
          <w:rFonts w:eastAsia="Calibri" w:cs="Times New Roman"/>
          <w:szCs w:val="24"/>
        </w:rPr>
        <w:t xml:space="preserve"> theory.” </w:t>
      </w:r>
      <w:r w:rsidRPr="00842D3D">
        <w:rPr>
          <w:rFonts w:eastAsia="Calibri" w:cs="Times New Roman"/>
          <w:i/>
          <w:iCs/>
          <w:szCs w:val="24"/>
        </w:rPr>
        <w:t>Monell</w:t>
      </w:r>
      <w:r w:rsidRPr="00842D3D">
        <w:rPr>
          <w:rFonts w:eastAsia="Calibri" w:cs="Times New Roman"/>
          <w:szCs w:val="24"/>
        </w:rPr>
        <w:t xml:space="preserve">, 436 U.S. at 691. </w:t>
      </w:r>
    </w:p>
    <w:p w14:paraId="54CFCB25" w14:textId="77777777" w:rsidR="00842D3D" w:rsidRPr="00842D3D" w:rsidRDefault="00842D3D" w:rsidP="00842D3D">
      <w:pPr>
        <w:autoSpaceDE w:val="0"/>
        <w:autoSpaceDN w:val="0"/>
        <w:adjustRightInd w:val="0"/>
        <w:rPr>
          <w:rFonts w:eastAsia="Calibri" w:cs="Times New Roman"/>
          <w:szCs w:val="24"/>
        </w:rPr>
      </w:pPr>
    </w:p>
    <w:p w14:paraId="42B129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defendant, such as a school district or municipality, is not entitled to qualified immunity. </w:t>
      </w:r>
      <w:r w:rsidRPr="00842D3D">
        <w:rPr>
          <w:rFonts w:eastAsia="Calibri" w:cs="Times New Roman"/>
          <w:i/>
          <w:iCs/>
          <w:szCs w:val="24"/>
        </w:rPr>
        <w:t>See Owen v. Independence</w:t>
      </w:r>
      <w:r w:rsidRPr="00842D3D">
        <w:rPr>
          <w:rFonts w:eastAsia="Calibri" w:cs="Times New Roman"/>
          <w:szCs w:val="24"/>
        </w:rPr>
        <w:t>, 445 U.S. 622, 638 (1980) (holding that “municipality may not assert the good faith of its officers or agents as a defense to liability under § 1983”).</w:t>
      </w:r>
    </w:p>
    <w:p w14:paraId="2195C6A6" w14:textId="77777777" w:rsidR="00842D3D" w:rsidRPr="00842D3D" w:rsidRDefault="00842D3D" w:rsidP="00842D3D">
      <w:pPr>
        <w:autoSpaceDE w:val="0"/>
        <w:autoSpaceDN w:val="0"/>
        <w:adjustRightInd w:val="0"/>
        <w:rPr>
          <w:rFonts w:eastAsia="Calibri" w:cs="Times New Roman"/>
          <w:szCs w:val="24"/>
        </w:rPr>
      </w:pPr>
    </w:p>
    <w:p w14:paraId="09F28F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‘official policy’ requirement ‘was intended to distinguish acts of the </w:t>
      </w:r>
      <w:r w:rsidRPr="00842D3D">
        <w:rPr>
          <w:rFonts w:eastAsia="Calibri" w:cs="Times New Roman"/>
          <w:i/>
          <w:iCs/>
          <w:szCs w:val="24"/>
        </w:rPr>
        <w:t>municipality</w:t>
      </w:r>
      <w:r w:rsidRPr="00842D3D">
        <w:rPr>
          <w:rFonts w:eastAsia="Calibri" w:cs="Times New Roman"/>
          <w:szCs w:val="24"/>
        </w:rPr>
        <w:t xml:space="preserve"> from acts of </w:t>
      </w:r>
      <w:r w:rsidRPr="00842D3D">
        <w:rPr>
          <w:rFonts w:eastAsia="Calibri" w:cs="Times New Roman"/>
          <w:i/>
          <w:iCs/>
          <w:szCs w:val="24"/>
        </w:rPr>
        <w:t>employees</w:t>
      </w:r>
      <w:r w:rsidRPr="00842D3D">
        <w:rPr>
          <w:rFonts w:eastAsia="Calibri" w:cs="Times New Roman"/>
          <w:szCs w:val="24"/>
        </w:rPr>
        <w:t xml:space="preserve"> of the municipality,’ and thereby make clear that municipal liability is limited to action for which the municipality is actually responsible.” </w:t>
      </w:r>
      <w:r w:rsidRPr="00842D3D">
        <w:rPr>
          <w:rFonts w:eastAsia="Calibri" w:cs="Times New Roman"/>
          <w:i/>
          <w:iCs/>
          <w:szCs w:val="24"/>
        </w:rPr>
        <w:t>Pembaur v. City of Cincinnati</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475 U.S. 469, 479 (1986) (emphasis in original). Because there are several ways to establish “</w:t>
      </w:r>
      <w:r w:rsidRPr="00842D3D">
        <w:rPr>
          <w:rFonts w:eastAsia="Calibri" w:cs="Times New Roman"/>
          <w:i/>
          <w:iCs/>
          <w:szCs w:val="24"/>
        </w:rPr>
        <w:t>Monell</w:t>
      </w:r>
      <w:r w:rsidRPr="00842D3D">
        <w:rPr>
          <w:rFonts w:eastAsia="Calibri" w:cs="Times New Roman"/>
          <w:szCs w:val="24"/>
        </w:rPr>
        <w:t xml:space="preserve"> liability,” </w:t>
      </w:r>
      <w:r w:rsidRPr="00842D3D">
        <w:rPr>
          <w:rFonts w:eastAsia="Calibri" w:cs="Times New Roman"/>
          <w:i/>
          <w:iCs/>
          <w:szCs w:val="24"/>
        </w:rPr>
        <w:t>see Christie v. Iopa</w:t>
      </w:r>
      <w:r w:rsidRPr="00842D3D">
        <w:rPr>
          <w:rFonts w:eastAsia="Calibri" w:cs="Times New Roman"/>
          <w:szCs w:val="24"/>
        </w:rPr>
        <w:t xml:space="preserve">, 176 F.3d 1231, 1235 (9th Cir. 1999); </w:t>
      </w:r>
      <w:r w:rsidRPr="00842D3D">
        <w:rPr>
          <w:rFonts w:eastAsia="Calibri" w:cs="Times New Roman"/>
          <w:i/>
          <w:iCs/>
          <w:szCs w:val="24"/>
        </w:rPr>
        <w:t>Webb v. Sloan</w:t>
      </w:r>
      <w:r w:rsidRPr="00842D3D">
        <w:rPr>
          <w:rFonts w:eastAsia="Calibri" w:cs="Times New Roman"/>
          <w:szCs w:val="24"/>
        </w:rPr>
        <w:t>, 330 F.3d 1158, 1164 (9th Cir. 2003), the Committee also includes in this chapter separate elements instructions for several bases of such liability (Instructions 9.5, 9.6, 9.7, and 9.8).</w:t>
      </w:r>
    </w:p>
    <w:p w14:paraId="397D6F67" w14:textId="77777777" w:rsidR="00842D3D" w:rsidRPr="00842D3D" w:rsidRDefault="00842D3D" w:rsidP="00842D3D">
      <w:pPr>
        <w:autoSpaceDE w:val="0"/>
        <w:autoSpaceDN w:val="0"/>
        <w:adjustRightInd w:val="0"/>
        <w:rPr>
          <w:rFonts w:eastAsia="Calibri" w:cs="Times New Roman"/>
          <w:szCs w:val="24"/>
        </w:rPr>
      </w:pPr>
    </w:p>
    <w:p w14:paraId="1C27A0AE" w14:textId="77777777" w:rsidR="00842D3D" w:rsidRPr="00842D3D" w:rsidRDefault="00842D3D" w:rsidP="00842D3D">
      <w:pPr>
        <w:rPr>
          <w:rFonts w:eastAsia="Calibri" w:cs="Times New Roman"/>
          <w:b/>
          <w:bCs/>
          <w:szCs w:val="24"/>
        </w:rPr>
      </w:pPr>
      <w:r w:rsidRPr="00842D3D">
        <w:rPr>
          <w:rFonts w:eastAsia="Calibri" w:cs="Times New Roman"/>
          <w:b/>
          <w:bCs/>
          <w:szCs w:val="24"/>
        </w:rPr>
        <w:t>Good-Faith Defense</w:t>
      </w:r>
    </w:p>
    <w:p w14:paraId="374BFA05" w14:textId="77777777" w:rsidR="00842D3D" w:rsidRPr="00842D3D" w:rsidRDefault="00842D3D" w:rsidP="00842D3D">
      <w:pPr>
        <w:rPr>
          <w:rFonts w:eastAsia="Calibri" w:cs="Times New Roman"/>
          <w:szCs w:val="24"/>
        </w:rPr>
      </w:pPr>
    </w:p>
    <w:p w14:paraId="78C35E3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Private parties and local governments “may invoke a good faith defense to liability under section 1983.” </w:t>
      </w:r>
      <w:r w:rsidRPr="00842D3D">
        <w:rPr>
          <w:rFonts w:eastAsia="Calibri" w:cs="Times New Roman"/>
          <w:i/>
          <w:iCs/>
          <w:szCs w:val="24"/>
        </w:rPr>
        <w:t>Danielson v. Inslee</w:t>
      </w:r>
      <w:r w:rsidRPr="00842D3D">
        <w:rPr>
          <w:rFonts w:eastAsia="Calibri" w:cs="Times New Roman"/>
          <w:szCs w:val="24"/>
        </w:rPr>
        <w:t xml:space="preserve">, 945 F.3d 1096, 1097 (9th Cir. 2019) (citing </w:t>
      </w:r>
      <w:r w:rsidRPr="00842D3D">
        <w:rPr>
          <w:rFonts w:eastAsia="Calibri" w:cs="Times New Roman"/>
          <w:i/>
          <w:iCs/>
          <w:szCs w:val="24"/>
        </w:rPr>
        <w:t xml:space="preserve">Clement v. City </w:t>
      </w:r>
      <w:r w:rsidRPr="00842D3D">
        <w:rPr>
          <w:rFonts w:eastAsia="Calibri" w:cs="Times New Roman"/>
          <w:i/>
          <w:iCs/>
          <w:szCs w:val="24"/>
        </w:rPr>
        <w:lastRenderedPageBreak/>
        <w:t>of Glendale</w:t>
      </w:r>
      <w:r w:rsidRPr="00842D3D">
        <w:rPr>
          <w:rFonts w:eastAsia="Calibri" w:cs="Times New Roman"/>
          <w:szCs w:val="24"/>
        </w:rPr>
        <w:t xml:space="preserve">, 518 F.3d 1090, 1096-97 (9th Cir. 2008)); </w:t>
      </w:r>
      <w:r w:rsidRPr="00842D3D">
        <w:rPr>
          <w:rFonts w:eastAsia="Calibri" w:cs="Times New Roman"/>
          <w:i/>
          <w:iCs/>
          <w:szCs w:val="24"/>
        </w:rPr>
        <w:t>see Allen v. Santa Clara Cnty. Corr. Peace Officers Ass’n</w:t>
      </w:r>
      <w:r w:rsidRPr="00842D3D">
        <w:rPr>
          <w:rFonts w:eastAsia="Calibri" w:cs="Times New Roman"/>
          <w:szCs w:val="24"/>
        </w:rPr>
        <w:t xml:space="preserve">, 38 F.4th 68, 71 (9th Cir. 2022) (holding that municipalities may also be entitled to a good faith defense). </w:t>
      </w:r>
    </w:p>
    <w:p w14:paraId="7A0354D9" w14:textId="77777777" w:rsidR="00842D3D" w:rsidRPr="00842D3D" w:rsidRDefault="00842D3D" w:rsidP="00842D3D">
      <w:pPr>
        <w:ind w:firstLine="720"/>
        <w:rPr>
          <w:rFonts w:eastAsia="Calibri" w:cs="Times New Roman"/>
          <w:szCs w:val="24"/>
        </w:rPr>
      </w:pPr>
    </w:p>
    <w:p w14:paraId="6CDB116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Specifically, both private parties and local governments “may invoke an affirmative defense of good faith to retrospective monetary liability under 42 U.S.C. § 1983, where they acted in direct reliance on then-binding Supreme Court precedent and presumptively-valid state law.” </w:t>
      </w:r>
      <w:r w:rsidRPr="00842D3D">
        <w:rPr>
          <w:rFonts w:eastAsia="Calibri" w:cs="Times New Roman"/>
          <w:i/>
          <w:iCs/>
          <w:szCs w:val="24"/>
        </w:rPr>
        <w:t>Danielson</w:t>
      </w:r>
      <w:r w:rsidRPr="00842D3D">
        <w:rPr>
          <w:rFonts w:eastAsia="Calibri" w:cs="Times New Roman"/>
          <w:szCs w:val="24"/>
        </w:rPr>
        <w:t xml:space="preserve">, 945 F.3d at 1097 (holding that public-sector unions could rely on good-faith defense to avoid liability for unlawful fees collected when binding precedent authorized such fees); </w:t>
      </w:r>
      <w:r w:rsidRPr="00842D3D">
        <w:rPr>
          <w:rFonts w:eastAsia="Calibri" w:cs="Times New Roman"/>
          <w:i/>
          <w:iCs/>
          <w:szCs w:val="24"/>
        </w:rPr>
        <w:t>see Allen</w:t>
      </w:r>
      <w:r w:rsidRPr="00842D3D">
        <w:rPr>
          <w:rFonts w:eastAsia="Calibri" w:cs="Times New Roman"/>
          <w:szCs w:val="24"/>
        </w:rPr>
        <w:t>, 38 F.4th at 75 (holding that county which assisted public-sector union’s efforts to collect unlawful fees could rely on same good-faith defense).</w:t>
      </w:r>
    </w:p>
    <w:p w14:paraId="2B386189" w14:textId="77777777" w:rsidR="00842D3D" w:rsidRPr="00842D3D" w:rsidRDefault="00842D3D" w:rsidP="00842D3D">
      <w:pPr>
        <w:rPr>
          <w:rFonts w:eastAsia="Calibri" w:cs="Times New Roman"/>
          <w:szCs w:val="24"/>
        </w:rPr>
      </w:pPr>
    </w:p>
    <w:p w14:paraId="2D027DA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private party that acted upon the instructions of a local police department may also invoke a good faith defense. </w:t>
      </w:r>
      <w:r w:rsidRPr="00842D3D">
        <w:rPr>
          <w:rFonts w:eastAsia="Calibri" w:cs="Times New Roman"/>
          <w:i/>
          <w:iCs/>
          <w:szCs w:val="24"/>
        </w:rPr>
        <w:t>Clement</w:t>
      </w:r>
      <w:r w:rsidRPr="00842D3D">
        <w:rPr>
          <w:rFonts w:eastAsia="Calibri" w:cs="Times New Roman"/>
          <w:szCs w:val="24"/>
        </w:rPr>
        <w:t>, 518 F.3d at 1096-97 (holding that a towing company that relied on a police officer’s authorization, towed vehicle under close police supervision, and did its best to follow the law could rely on a good-faith defense to liability even though the police officer’s decision to tow vehicle violated plaintiff’s due process rights).</w:t>
      </w:r>
    </w:p>
    <w:p w14:paraId="539AD13F" w14:textId="77777777" w:rsidR="00842D3D" w:rsidRPr="00842D3D" w:rsidRDefault="00842D3D" w:rsidP="00842D3D">
      <w:pPr>
        <w:autoSpaceDE w:val="0"/>
        <w:autoSpaceDN w:val="0"/>
        <w:adjustRightInd w:val="0"/>
        <w:ind w:left="4320" w:hanging="4320"/>
        <w:rPr>
          <w:rFonts w:eastAsia="Calibri" w:cs="Times New Roman"/>
          <w:b/>
          <w:bCs/>
          <w:szCs w:val="24"/>
        </w:rPr>
      </w:pPr>
    </w:p>
    <w:p w14:paraId="755A4177" w14:textId="77777777" w:rsidR="00842D3D" w:rsidRPr="00842D3D" w:rsidRDefault="00842D3D" w:rsidP="00842D3D">
      <w:pPr>
        <w:autoSpaceDE w:val="0"/>
        <w:autoSpaceDN w:val="0"/>
        <w:adjustRightInd w:val="0"/>
        <w:ind w:left="4320" w:hanging="4320"/>
        <w:rPr>
          <w:rFonts w:eastAsia="Calibri" w:cs="Times New Roman"/>
          <w:szCs w:val="24"/>
        </w:rPr>
      </w:pPr>
      <w:r w:rsidRPr="00842D3D">
        <w:rPr>
          <w:rFonts w:eastAsia="Calibri" w:cs="Times New Roman"/>
          <w:b/>
          <w:bCs/>
          <w:szCs w:val="24"/>
        </w:rPr>
        <w:t>Eleventh Amendment Immunity</w:t>
      </w:r>
    </w:p>
    <w:p w14:paraId="228E5B6F" w14:textId="77777777" w:rsidR="00842D3D" w:rsidRPr="00842D3D" w:rsidRDefault="00842D3D" w:rsidP="00842D3D">
      <w:pPr>
        <w:autoSpaceDE w:val="0"/>
        <w:autoSpaceDN w:val="0"/>
        <w:adjustRightInd w:val="0"/>
        <w:rPr>
          <w:rFonts w:eastAsia="Calibri" w:cs="Times New Roman"/>
          <w:szCs w:val="24"/>
        </w:rPr>
      </w:pPr>
    </w:p>
    <w:p w14:paraId="4A5665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Despite the language of § 1983, “every person” does not have a universal scope; it does</w:t>
      </w:r>
    </w:p>
    <w:p w14:paraId="6F885C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not encompass claims against a state or a state agency because the Eleventh Amendment bars</w:t>
      </w:r>
    </w:p>
    <w:p w14:paraId="5D5501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such encroachments on a state’s sovereignty. </w:t>
      </w:r>
      <w:r w:rsidRPr="00842D3D">
        <w:rPr>
          <w:rFonts w:eastAsia="Calibri" w:cs="Times New Roman"/>
          <w:i/>
          <w:iCs/>
          <w:szCs w:val="24"/>
        </w:rPr>
        <w:t>Doe v. Lawrence Livermore Nat’l Lab</w:t>
      </w:r>
      <w:r w:rsidRPr="00842D3D">
        <w:rPr>
          <w:rFonts w:eastAsia="Calibri" w:cs="Times New Roman"/>
          <w:szCs w:val="24"/>
        </w:rPr>
        <w:t>., 131 F.3d</w:t>
      </w:r>
    </w:p>
    <w:p w14:paraId="21281E1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836, 839 (9th Cir. 1997) (“States or governmental entities that are considered ‘arms of the State’ for Eleventh Amendment purposes are not ‘persons’ under § 1983,” quoting </w:t>
      </w:r>
      <w:r w:rsidRPr="00842D3D">
        <w:rPr>
          <w:rFonts w:eastAsia="Calibri" w:cs="Times New Roman"/>
          <w:i/>
          <w:iCs/>
          <w:szCs w:val="24"/>
        </w:rPr>
        <w:t>Will v. Mich. Dep’t of State Police</w:t>
      </w:r>
      <w:r w:rsidRPr="00842D3D">
        <w:rPr>
          <w:rFonts w:eastAsia="Calibri" w:cs="Times New Roman"/>
          <w:szCs w:val="24"/>
        </w:rPr>
        <w:t>, 491 U.S. 58, 70 (1989)). Even if a plaintiff seeks only injunctive relief, a state</w:t>
      </w:r>
    </w:p>
    <w:p w14:paraId="1B180D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that has not waived its Eleventh Amendment immunity cannot be sued in its own name under § 1983. </w:t>
      </w:r>
      <w:r w:rsidRPr="00842D3D">
        <w:rPr>
          <w:rFonts w:eastAsia="Calibri" w:cs="Times New Roman"/>
          <w:i/>
          <w:iCs/>
          <w:szCs w:val="24"/>
        </w:rPr>
        <w:t>Will</w:t>
      </w:r>
      <w:r w:rsidRPr="00842D3D">
        <w:rPr>
          <w:rFonts w:eastAsia="Calibri" w:cs="Times New Roman"/>
          <w:szCs w:val="24"/>
        </w:rPr>
        <w:t>, 491 U.S. at 64, 71, n.10.</w:t>
      </w:r>
    </w:p>
    <w:p w14:paraId="04C55F90" w14:textId="77777777" w:rsidR="00842D3D" w:rsidRPr="00842D3D" w:rsidRDefault="00842D3D" w:rsidP="00842D3D">
      <w:pPr>
        <w:autoSpaceDE w:val="0"/>
        <w:autoSpaceDN w:val="0"/>
        <w:adjustRightInd w:val="0"/>
        <w:rPr>
          <w:rFonts w:eastAsia="Calibri" w:cs="Times New Roman"/>
          <w:szCs w:val="24"/>
        </w:rPr>
      </w:pPr>
    </w:p>
    <w:p w14:paraId="22EFC25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842D3D">
        <w:rPr>
          <w:rFonts w:eastAsia="Calibri" w:cs="Times New Roman"/>
          <w:i/>
          <w:iCs/>
          <w:szCs w:val="24"/>
        </w:rPr>
        <w:t>Kohn v. State Bar of California,</w:t>
      </w:r>
      <w:r w:rsidRPr="00842D3D">
        <w:rPr>
          <w:rFonts w:eastAsia="Calibri" w:cs="Times New Roman"/>
          <w:szCs w:val="24"/>
        </w:rPr>
        <w:t xml:space="preserve"> 87 F.4th 1021, 1031 (9th Cir. 2023) (en banc) (adopting the D.C. Circuit’s three-factor test). The inquiry is an entity-based approach; the status of an entity does not change from one case to the next based on the nature of the suit. Waiver and abrogation are “second-stage inquiries as to whether, </w:t>
      </w:r>
      <w:r w:rsidRPr="00842D3D">
        <w:rPr>
          <w:rFonts w:eastAsia="Calibri" w:cs="Times New Roman"/>
          <w:i/>
          <w:iCs/>
          <w:szCs w:val="24"/>
        </w:rPr>
        <w:t>if</w:t>
      </w:r>
      <w:r w:rsidRPr="00842D3D">
        <w:rPr>
          <w:rFonts w:eastAsia="Calibri" w:cs="Times New Roman"/>
          <w:szCs w:val="24"/>
        </w:rPr>
        <w:t xml:space="preserve"> an entity is immune, that immunity may be overcome.” </w:t>
      </w:r>
      <w:r w:rsidRPr="00842D3D">
        <w:rPr>
          <w:rFonts w:eastAsia="Calibri" w:cs="Times New Roman"/>
          <w:i/>
          <w:iCs/>
          <w:szCs w:val="24"/>
        </w:rPr>
        <w:t>Id</w:t>
      </w:r>
      <w:r w:rsidRPr="00842D3D">
        <w:rPr>
          <w:rFonts w:eastAsia="Calibri" w:cs="Times New Roman"/>
          <w:szCs w:val="24"/>
        </w:rPr>
        <w:t xml:space="preserve">. (emphasis in original) (citations omitted); </w:t>
      </w:r>
      <w:r w:rsidRPr="00842D3D">
        <w:rPr>
          <w:rFonts w:eastAsia="Calibri" w:cs="Times New Roman"/>
          <w:i/>
          <w:iCs/>
          <w:szCs w:val="24"/>
        </w:rPr>
        <w:t>see also Kohn v. State Bar of California</w:t>
      </w:r>
      <w:r w:rsidRPr="00842D3D">
        <w:rPr>
          <w:rFonts w:eastAsia="Calibri" w:cs="Times New Roman"/>
          <w:szCs w:val="24"/>
        </w:rPr>
        <w:t>, 119 F.4th 693, 696 (9th Cir. 2024) (discussing the three-part inquiry for the abrogation analysis of Title II ADA claims).</w:t>
      </w:r>
    </w:p>
    <w:p w14:paraId="62FEA7AB" w14:textId="77777777" w:rsidR="00842D3D" w:rsidRPr="00842D3D" w:rsidRDefault="00842D3D" w:rsidP="00842D3D">
      <w:pPr>
        <w:autoSpaceDE w:val="0"/>
        <w:autoSpaceDN w:val="0"/>
        <w:adjustRightInd w:val="0"/>
        <w:rPr>
          <w:rFonts w:eastAsia="Calibri" w:cs="Times New Roman"/>
          <w:szCs w:val="24"/>
        </w:rPr>
      </w:pPr>
    </w:p>
    <w:p w14:paraId="5E7329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842D3D">
        <w:rPr>
          <w:rFonts w:eastAsia="Calibri" w:cs="Times New Roman"/>
          <w:i/>
          <w:iCs/>
          <w:szCs w:val="24"/>
        </w:rPr>
        <w:t>Will</w:t>
      </w:r>
      <w:r w:rsidRPr="00842D3D">
        <w:rPr>
          <w:rFonts w:eastAsia="Calibri" w:cs="Times New Roman"/>
          <w:szCs w:val="24"/>
        </w:rPr>
        <w:t xml:space="preserve">, 491 U.S. at 71 n.10. In </w:t>
      </w:r>
      <w:r w:rsidRPr="00842D3D">
        <w:rPr>
          <w:rFonts w:eastAsia="Calibri" w:cs="Times New Roman"/>
          <w:i/>
          <w:iCs/>
          <w:szCs w:val="24"/>
        </w:rPr>
        <w:t>Matsumoto v. Labrador</w:t>
      </w:r>
      <w:r w:rsidRPr="00842D3D">
        <w:rPr>
          <w:rFonts w:eastAsia="Calibri" w:cs="Times New Roman"/>
          <w:szCs w:val="24"/>
        </w:rPr>
        <w:t>, 122 F.4th 787, 802 (9th Cir. 2024), the court held that a p</w:t>
      </w:r>
      <w:r w:rsidRPr="00842D3D">
        <w:rPr>
          <w:rFonts w:eastAsia="Calibri" w:cs="Times New Roman"/>
          <w:bCs/>
          <w:szCs w:val="24"/>
        </w:rPr>
        <w:t xml:space="preserve">re-enforcement action brought by abortion rights advocacy organizations against the Idaho </w:t>
      </w:r>
      <w:r w:rsidRPr="00842D3D">
        <w:rPr>
          <w:rFonts w:eastAsia="Calibri" w:cs="Times New Roman"/>
          <w:bCs/>
          <w:szCs w:val="24"/>
        </w:rPr>
        <w:lastRenderedPageBreak/>
        <w:t>attorney general fell within an exception to </w:t>
      </w:r>
      <w:r w:rsidRPr="00842D3D">
        <w:rPr>
          <w:rFonts w:eastAsia="Calibri" w:cs="Times New Roman"/>
          <w:bCs/>
          <w:i/>
          <w:iCs/>
          <w:szCs w:val="24"/>
        </w:rPr>
        <w:t>Ex parte Young</w:t>
      </w:r>
      <w:r w:rsidRPr="00842D3D">
        <w:rPr>
          <w:rFonts w:eastAsia="Calibri" w:cs="Times New Roman"/>
          <w:bCs/>
          <w:szCs w:val="24"/>
        </w:rPr>
        <w:t xml:space="preserve"> 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bCs/>
          <w:i/>
          <w:iCs/>
          <w:szCs w:val="24"/>
        </w:rPr>
        <w:t>Id.</w:t>
      </w:r>
      <w:r w:rsidRPr="00842D3D">
        <w:rPr>
          <w:rFonts w:eastAsia="Calibri" w:cs="Times New Roman"/>
          <w:bCs/>
          <w:szCs w:val="24"/>
        </w:rPr>
        <w:t xml:space="preserve"> </w:t>
      </w:r>
      <w:r w:rsidRPr="00842D3D">
        <w:rPr>
          <w:rFonts w:eastAsia="Calibri" w:cs="Times New Roman"/>
          <w:bCs/>
          <w:i/>
          <w:iCs/>
          <w:szCs w:val="24"/>
        </w:rPr>
        <w:t>Accord Planned Parenthood Great Nw., Hawaii, Alaska, Indiana, Kentucky v. Labrador</w:t>
      </w:r>
      <w:r w:rsidRPr="00842D3D">
        <w:rPr>
          <w:rFonts w:eastAsia="Calibri" w:cs="Times New Roman"/>
          <w:bCs/>
          <w:szCs w:val="24"/>
        </w:rPr>
        <w:t xml:space="preserve">, 122 F.4th 825, 843 (9th Cir. 2024). </w:t>
      </w:r>
      <w:r w:rsidRPr="00842D3D">
        <w:rPr>
          <w:rFonts w:eastAsia="Calibri" w:cs="Times New Roman"/>
          <w:szCs w:val="24"/>
        </w:rPr>
        <w:t xml:space="preserve">A state official may be sued under § 1983 in his or her individual capacity for damages. </w:t>
      </w:r>
      <w:r w:rsidRPr="00842D3D">
        <w:rPr>
          <w:rFonts w:eastAsia="Calibri" w:cs="Times New Roman"/>
          <w:i/>
          <w:iCs/>
          <w:szCs w:val="24"/>
        </w:rPr>
        <w:t>Kentucky v. Graham</w:t>
      </w:r>
      <w:r w:rsidRPr="00842D3D">
        <w:rPr>
          <w:rFonts w:eastAsia="Calibri" w:cs="Times New Roman"/>
          <w:szCs w:val="24"/>
        </w:rPr>
        <w:t xml:space="preserve">, 473 U.S. 159, 165 (1985); </w:t>
      </w:r>
      <w:r w:rsidRPr="00842D3D">
        <w:rPr>
          <w:rFonts w:eastAsia="Calibri" w:cs="Times New Roman"/>
          <w:i/>
          <w:iCs/>
          <w:szCs w:val="24"/>
        </w:rPr>
        <w:t>but see Avalos v. Baca</w:t>
      </w:r>
      <w:r w:rsidRPr="00842D3D">
        <w:rPr>
          <w:rFonts w:eastAsia="Calibri" w:cs="Times New Roman"/>
          <w:szCs w:val="24"/>
        </w:rPr>
        <w:t>, 596 F.3d 583, 587 (9th Cir. 2010) (holding that in to be individually liable under § 1983, the individual must personally participate in alleged rights deprivation)</w:t>
      </w:r>
      <w:r w:rsidRPr="00842D3D">
        <w:rPr>
          <w:rFonts w:eastAsia="Times New Roman" w:cs="Times New Roman"/>
          <w:i/>
          <w:iCs/>
          <w:szCs w:val="24"/>
        </w:rPr>
        <w:t>.</w:t>
      </w:r>
      <w:r w:rsidRPr="00842D3D">
        <w:rPr>
          <w:rFonts w:eastAsia="Calibri" w:cs="Times New Roman"/>
          <w:i/>
          <w:iCs/>
          <w:szCs w:val="24"/>
        </w:rPr>
        <w:t xml:space="preserve"> K. J. v. Jackson</w:t>
      </w:r>
      <w:r w:rsidRPr="00842D3D">
        <w:rPr>
          <w:rFonts w:eastAsia="Calibri" w:cs="Times New Roman"/>
          <w:szCs w:val="24"/>
        </w:rPr>
        <w:t xml:space="preserve">, 127 F.4th 1239, 1251 (9th Cir. 2025) (holding that the plaintiff could sue a public school superintendent for expungement of information from school records because such expungement was a form of prospective relief that the plaintiff could receive under the </w:t>
      </w:r>
      <w:r w:rsidRPr="00842D3D">
        <w:rPr>
          <w:rFonts w:eastAsia="Calibri" w:cs="Times New Roman"/>
          <w:i/>
          <w:iCs/>
          <w:szCs w:val="24"/>
        </w:rPr>
        <w:t>Ex parte Young</w:t>
      </w:r>
      <w:r w:rsidRPr="00842D3D">
        <w:rPr>
          <w:rFonts w:eastAsia="Calibri" w:cs="Times New Roman"/>
          <w:szCs w:val="24"/>
        </w:rPr>
        <w:t xml:space="preserve"> doctrine). </w:t>
      </w:r>
    </w:p>
    <w:p w14:paraId="03189AA3" w14:textId="77777777" w:rsidR="00842D3D" w:rsidRPr="00842D3D" w:rsidRDefault="00842D3D" w:rsidP="00842D3D">
      <w:pPr>
        <w:autoSpaceDE w:val="0"/>
        <w:autoSpaceDN w:val="0"/>
        <w:adjustRightInd w:val="0"/>
        <w:rPr>
          <w:rFonts w:eastAsia="Calibri" w:cs="Times New Roman"/>
          <w:szCs w:val="24"/>
        </w:rPr>
      </w:pPr>
    </w:p>
    <w:p w14:paraId="61F112EA" w14:textId="77777777" w:rsidR="00842D3D" w:rsidRPr="00842D3D" w:rsidRDefault="00842D3D" w:rsidP="00842D3D">
      <w:pPr>
        <w:autoSpaceDE w:val="0"/>
        <w:autoSpaceDN w:val="0"/>
        <w:adjustRightInd w:val="0"/>
        <w:rPr>
          <w:rFonts w:eastAsia="Calibri" w:cs="Times New Roman"/>
          <w:b/>
          <w:bCs/>
        </w:rPr>
      </w:pPr>
      <w:r w:rsidRPr="00842D3D">
        <w:rPr>
          <w:rFonts w:eastAsia="Calibri" w:cs="Times New Roman"/>
          <w:b/>
          <w:bCs/>
        </w:rPr>
        <w:t>Exhaustion under the Prison Litigation Reform Act</w:t>
      </w:r>
    </w:p>
    <w:p w14:paraId="786F8195" w14:textId="77777777" w:rsidR="00842D3D" w:rsidRPr="00842D3D" w:rsidRDefault="00842D3D" w:rsidP="00842D3D">
      <w:pPr>
        <w:autoSpaceDE w:val="0"/>
        <w:autoSpaceDN w:val="0"/>
        <w:adjustRightInd w:val="0"/>
        <w:rPr>
          <w:rFonts w:eastAsia="Calibri" w:cs="Times New Roman"/>
        </w:rPr>
      </w:pPr>
    </w:p>
    <w:p w14:paraId="68CB3B8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Prison Litigation Reform Act of 1995 (PLRA) requires prisoners with complaints about prison conditions to exhaust available grievance procedures before bringing suit in federal court.” </w:t>
      </w:r>
      <w:r w:rsidRPr="00842D3D">
        <w:rPr>
          <w:rFonts w:eastAsia="Calibri" w:cs="Times New Roman"/>
          <w:i/>
          <w:iCs/>
        </w:rPr>
        <w:t>Perttu v. Richards</w:t>
      </w:r>
      <w:r w:rsidRPr="00842D3D">
        <w:rPr>
          <w:rFonts w:eastAsia="Calibri" w:cs="Times New Roman"/>
        </w:rPr>
        <w:t xml:space="preserve">, 605 U.S. 460, 464 (2025) (citing 42 U.S.C. § 1997e(a)). In </w:t>
      </w:r>
      <w:r w:rsidRPr="00842D3D">
        <w:rPr>
          <w:rFonts w:eastAsia="Calibri" w:cs="Times New Roman"/>
          <w:i/>
          <w:iCs/>
        </w:rPr>
        <w:t>Perttu</w:t>
      </w:r>
      <w:r w:rsidRPr="00842D3D">
        <w:rPr>
          <w:rFonts w:eastAsia="Calibri" w:cs="Times New Roman"/>
        </w:rPr>
        <w:t xml:space="preserve">, Richards, a prisoner in Michigan, alleged that he was sexually abused by Thomas Perttu, a prison employee. </w:t>
      </w:r>
      <w:r w:rsidRPr="00842D3D">
        <w:rPr>
          <w:rFonts w:eastAsia="Calibri" w:cs="Times New Roman"/>
          <w:i/>
          <w:iCs/>
        </w:rPr>
        <w:t>Id.</w:t>
      </w:r>
      <w:r w:rsidRPr="00842D3D">
        <w:rPr>
          <w:rFonts w:eastAsia="Calibri" w:cs="Times New Roman"/>
        </w:rPr>
        <w:t xml:space="preserve"> Richards also alleged that when he tried to file grievances about the abuse, Perttu destroyed them and threatened to kill him if he filed more. </w:t>
      </w:r>
      <w:r w:rsidRPr="00842D3D">
        <w:rPr>
          <w:rFonts w:eastAsia="Calibri" w:cs="Times New Roman"/>
          <w:i/>
          <w:iCs/>
        </w:rPr>
        <w:t>Id.</w:t>
      </w:r>
      <w:r w:rsidRPr="00842D3D">
        <w:rPr>
          <w:rFonts w:eastAsia="Calibri" w:cs="Times New Roman"/>
        </w:rPr>
        <w:t xml:space="preserve"> Richards sued Perttu for violating his First Amendment right to file grievances, and Perttu responded that Richards had failed to exhaust available grievance procedures as required by the PLRA. </w:t>
      </w:r>
      <w:r w:rsidRPr="00842D3D">
        <w:rPr>
          <w:rFonts w:eastAsia="Calibri" w:cs="Times New Roman"/>
          <w:i/>
          <w:iCs/>
        </w:rPr>
        <w:t>Id.</w:t>
      </w:r>
      <w:r w:rsidRPr="00842D3D">
        <w:rPr>
          <w:rFonts w:eastAsia="Calibri" w:cs="Times New Roman"/>
        </w:rPr>
        <w:t xml:space="preserve"> The parties agreed that the exhaustion and First Amendment issues were intertwined, as both depended on whether Perttu did in fact destroy Richards’s grievances and retaliate against him. </w:t>
      </w:r>
      <w:r w:rsidRPr="00842D3D">
        <w:rPr>
          <w:rFonts w:eastAsia="Calibri" w:cs="Times New Roman"/>
          <w:i/>
          <w:iCs/>
        </w:rPr>
        <w:t>Id.</w:t>
      </w:r>
      <w:r w:rsidRPr="00842D3D">
        <w:rPr>
          <w:rFonts w:eastAsia="Calibri" w:cs="Times New Roman"/>
        </w:rPr>
        <w:t xml:space="preserve"> The Supreme Court held that “parties are entitled to a jury trial on PLRA exhaustion when that issue is intertwined with the merits of a claim protected by the Seventh Amendment.” </w:t>
      </w:r>
      <w:r w:rsidRPr="00842D3D">
        <w:rPr>
          <w:rFonts w:eastAsia="Calibri" w:cs="Times New Roman"/>
          <w:i/>
          <w:iCs/>
        </w:rPr>
        <w:t>Id.</w:t>
      </w:r>
      <w:r w:rsidRPr="00842D3D">
        <w:rPr>
          <w:rFonts w:eastAsia="Calibri" w:cs="Times New Roman"/>
        </w:rPr>
        <w:t xml:space="preserve"> at 1807.</w:t>
      </w:r>
    </w:p>
    <w:p w14:paraId="57B74A09" w14:textId="77777777" w:rsidR="00842D3D" w:rsidRPr="00842D3D" w:rsidRDefault="00842D3D" w:rsidP="00842D3D">
      <w:pPr>
        <w:autoSpaceDE w:val="0"/>
        <w:autoSpaceDN w:val="0"/>
        <w:adjustRightInd w:val="0"/>
        <w:rPr>
          <w:rFonts w:eastAsia="Calibri" w:cs="Times New Roman"/>
          <w:szCs w:val="24"/>
        </w:rPr>
      </w:pPr>
    </w:p>
    <w:p w14:paraId="2DA02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Committee also recommends the Section 1983 Outline prepared by the Office of Staff Attorneys, United States Court of Appeals for the Ninth Circuit, available at: </w:t>
      </w:r>
      <w:hyperlink r:id="rId15" w:history="1">
        <w:r w:rsidRPr="00842D3D">
          <w:rPr>
            <w:rFonts w:eastAsia="Calibri" w:cs="Times New Roman"/>
            <w:color w:val="0563C1"/>
            <w:u w:val="single"/>
          </w:rPr>
          <w:t>https://www.ca9.uscourts.gov/guides/section-1983-outline/</w:t>
        </w:r>
      </w:hyperlink>
      <w:r w:rsidRPr="00842D3D">
        <w:rPr>
          <w:rFonts w:eastAsia="Calibri" w:cs="Times New Roman"/>
          <w:szCs w:val="24"/>
        </w:rPr>
        <w:t xml:space="preserve"> or </w:t>
      </w:r>
      <w:hyperlink r:id="rId16" w:history="1">
        <w:r w:rsidRPr="00842D3D">
          <w:rPr>
            <w:rFonts w:eastAsia="Calibri" w:cs="Times New Roman"/>
            <w:color w:val="467886"/>
            <w:szCs w:val="24"/>
            <w:u w:val="single"/>
          </w:rPr>
          <w:t>https://perma.cc/GHB2-93XS</w:t>
        </w:r>
      </w:hyperlink>
      <w:r w:rsidRPr="00842D3D">
        <w:rPr>
          <w:rFonts w:eastAsia="Calibri" w:cs="Times New Roman"/>
          <w:szCs w:val="24"/>
        </w:rPr>
        <w:t xml:space="preserve"> </w:t>
      </w:r>
    </w:p>
    <w:p w14:paraId="748F9FB9" w14:textId="77777777" w:rsidR="00842D3D" w:rsidRPr="00842D3D" w:rsidRDefault="00842D3D" w:rsidP="00842D3D">
      <w:pPr>
        <w:autoSpaceDE w:val="0"/>
        <w:autoSpaceDN w:val="0"/>
        <w:adjustRightInd w:val="0"/>
        <w:rPr>
          <w:rFonts w:eastAsia="Calibri" w:cs="Times New Roman"/>
          <w:szCs w:val="24"/>
        </w:rPr>
      </w:pPr>
    </w:p>
    <w:p w14:paraId="44EF827B" w14:textId="77777777" w:rsidR="00842D3D" w:rsidRPr="00842D3D" w:rsidRDefault="00842D3D" w:rsidP="00842D3D">
      <w:pPr>
        <w:autoSpaceDE w:val="0"/>
        <w:autoSpaceDN w:val="0"/>
        <w:adjustRightInd w:val="0"/>
        <w:rPr>
          <w:rFonts w:eastAsia="Calibri" w:cs="Times New Roman"/>
          <w:szCs w:val="24"/>
        </w:rPr>
      </w:pPr>
    </w:p>
    <w:p w14:paraId="336D6F58" w14:textId="637980B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w:t>
      </w:r>
      <w:r w:rsidR="00C94949">
        <w:rPr>
          <w:rFonts w:eastAsia="Calibri" w:cs="Times New Roman"/>
          <w:i/>
          <w:iCs/>
          <w:szCs w:val="24"/>
        </w:rPr>
        <w:t xml:space="preserve"> </w:t>
      </w:r>
      <w:r w:rsidRPr="00842D3D">
        <w:rPr>
          <w:rFonts w:eastAsia="Calibri" w:cs="Times New Roman"/>
          <w:i/>
          <w:iCs/>
          <w:szCs w:val="24"/>
        </w:rPr>
        <w:t>2025</w:t>
      </w:r>
    </w:p>
    <w:bookmarkEnd w:id="131"/>
    <w:p w14:paraId="08554176"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szCs w:val="24"/>
        </w:rPr>
        <w:br w:type="page"/>
      </w:r>
    </w:p>
    <w:p w14:paraId="49BD1213" w14:textId="77777777" w:rsidR="00842D3D" w:rsidRPr="00842D3D" w:rsidRDefault="00842D3D" w:rsidP="00FF121D">
      <w:pPr>
        <w:pStyle w:val="Heading2"/>
      </w:pPr>
      <w:bookmarkStart w:id="132" w:name="_Toc65157298"/>
      <w:bookmarkStart w:id="133" w:name="_Hlk115100114"/>
      <w:bookmarkStart w:id="134" w:name="_Toc221525165"/>
      <w:r w:rsidRPr="00842D3D">
        <w:lastRenderedPageBreak/>
        <w:t xml:space="preserve">9.1 </w:t>
      </w:r>
      <w:bookmarkStart w:id="135" w:name="_Hlk123892688"/>
      <w:r w:rsidRPr="00842D3D">
        <w:t>Section 1983 Claim—Introductory Instruction</w:t>
      </w:r>
      <w:bookmarkEnd w:id="132"/>
      <w:bookmarkEnd w:id="133"/>
      <w:bookmarkEnd w:id="134"/>
      <w:bookmarkEnd w:id="135"/>
    </w:p>
    <w:p w14:paraId="756B444E" w14:textId="77777777" w:rsidR="00842D3D" w:rsidRPr="00842D3D" w:rsidRDefault="00842D3D" w:rsidP="00842D3D">
      <w:pPr>
        <w:autoSpaceDE w:val="0"/>
        <w:autoSpaceDN w:val="0"/>
        <w:adjustRightInd w:val="0"/>
        <w:rPr>
          <w:rFonts w:eastAsia="Calibri" w:cs="Times New Roman"/>
          <w:szCs w:val="24"/>
        </w:rPr>
      </w:pPr>
    </w:p>
    <w:p w14:paraId="2F2869A2"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xml:space="preserve">]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3C694B16" w14:textId="77777777" w:rsidR="00842D3D" w:rsidRPr="00842D3D" w:rsidRDefault="00842D3D" w:rsidP="00842D3D">
      <w:pPr>
        <w:rPr>
          <w:rFonts w:eastAsia="Calibri" w:cs="Times New Roman"/>
        </w:rPr>
      </w:pPr>
    </w:p>
    <w:p w14:paraId="2E725FAA"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4CCB9F9" w14:textId="77777777" w:rsidR="00842D3D" w:rsidRPr="00842D3D" w:rsidRDefault="00842D3D" w:rsidP="00842D3D">
      <w:pPr>
        <w:autoSpaceDE w:val="0"/>
        <w:autoSpaceDN w:val="0"/>
        <w:adjustRightInd w:val="0"/>
        <w:rPr>
          <w:rFonts w:eastAsia="Calibri" w:cs="Times New Roman"/>
          <w:b/>
          <w:bCs/>
          <w:szCs w:val="24"/>
        </w:rPr>
      </w:pPr>
    </w:p>
    <w:p w14:paraId="6D076EA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Past decisions of the Supreme Court and the Ninth Circuit used the phrases “under color of law” and “under color of state law” interchangeably. </w:t>
      </w:r>
      <w:r w:rsidRPr="00842D3D">
        <w:rPr>
          <w:rFonts w:eastAsia="Calibri" w:cs="Times New Roman"/>
          <w:i/>
          <w:iCs/>
          <w:szCs w:val="24"/>
        </w:rPr>
        <w:t>Compare, e.g.</w:t>
      </w:r>
      <w:r w:rsidRPr="00842D3D">
        <w:rPr>
          <w:rFonts w:eastAsia="Calibri" w:cs="Times New Roman"/>
          <w:szCs w:val="24"/>
        </w:rPr>
        <w:t>,</w:t>
      </w:r>
      <w:r w:rsidRPr="00842D3D">
        <w:rPr>
          <w:rFonts w:eastAsia="Calibri" w:cs="Times New Roman"/>
          <w:i/>
          <w:iCs/>
          <w:szCs w:val="24"/>
        </w:rPr>
        <w:t xml:space="preserve"> Livadas v. Bradshaw</w:t>
      </w:r>
      <w:r w:rsidRPr="00842D3D">
        <w:rPr>
          <w:rFonts w:eastAsia="Calibri" w:cs="Times New Roman"/>
          <w:szCs w:val="24"/>
        </w:rPr>
        <w:t xml:space="preserve">, 512 U.S. 107, 132 (1994), and </w:t>
      </w:r>
      <w:r w:rsidRPr="00842D3D">
        <w:rPr>
          <w:rFonts w:eastAsia="Calibri" w:cs="Times New Roman"/>
          <w:i/>
          <w:iCs/>
          <w:szCs w:val="24"/>
        </w:rPr>
        <w:t>Benavidez v. County of San Diego</w:t>
      </w:r>
      <w:r w:rsidRPr="00842D3D">
        <w:rPr>
          <w:rFonts w:eastAsia="Calibri" w:cs="Times New Roman"/>
          <w:szCs w:val="24"/>
        </w:rPr>
        <w:t xml:space="preserve">, 993 F.3d 1134, 1144 (9th Cir. 2021) (using phrase “under color of law”), </w:t>
      </w:r>
      <w:r w:rsidRPr="00842D3D">
        <w:rPr>
          <w:rFonts w:eastAsia="Calibri" w:cs="Times New Roman"/>
          <w:i/>
          <w:iCs/>
          <w:szCs w:val="24"/>
        </w:rPr>
        <w:t>with Health &amp; Hosp. Corp. of Marion Cnty. v. Talevski</w:t>
      </w:r>
      <w:r w:rsidRPr="00842D3D">
        <w:rPr>
          <w:rFonts w:eastAsia="Calibri" w:cs="Times New Roman"/>
          <w:szCs w:val="24"/>
        </w:rPr>
        <w:t xml:space="preserve">, 599 U.S. 166, 171 (2023), and </w:t>
      </w:r>
      <w:r w:rsidRPr="00842D3D">
        <w:rPr>
          <w:rFonts w:eastAsia="Calibri" w:cs="Times New Roman"/>
          <w:i/>
          <w:iCs/>
          <w:szCs w:val="24"/>
        </w:rPr>
        <w:t>Chaudhry v. Aragon</w:t>
      </w:r>
      <w:r w:rsidRPr="00842D3D">
        <w:rPr>
          <w:rFonts w:eastAsia="Calibri" w:cs="Times New Roman"/>
          <w:szCs w:val="24"/>
        </w:rPr>
        <w:t>, 68 F.4th 1161, 1171 (9th Cir. 2023)</w:t>
      </w:r>
      <w:r w:rsidRPr="00842D3D" w:rsidDel="00447E9C">
        <w:rPr>
          <w:rFonts w:eastAsia="Calibri" w:cs="Times New Roman"/>
          <w:szCs w:val="24"/>
        </w:rPr>
        <w:t xml:space="preserve"> </w:t>
      </w:r>
      <w:r w:rsidRPr="00842D3D">
        <w:rPr>
          <w:rFonts w:eastAsia="Calibri" w:cs="Times New Roman"/>
          <w:szCs w:val="24"/>
        </w:rPr>
        <w:t xml:space="preserve">(using phrase “under color of state law”). </w:t>
      </w:r>
    </w:p>
    <w:p w14:paraId="512CFDC5" w14:textId="77777777" w:rsidR="00842D3D" w:rsidRPr="00842D3D" w:rsidRDefault="00842D3D" w:rsidP="00842D3D">
      <w:pPr>
        <w:autoSpaceDE w:val="0"/>
        <w:autoSpaceDN w:val="0"/>
        <w:adjustRightInd w:val="0"/>
        <w:rPr>
          <w:rFonts w:eastAsia="Calibri" w:cs="Times New Roman"/>
          <w:szCs w:val="24"/>
        </w:rPr>
      </w:pPr>
    </w:p>
    <w:p w14:paraId="461047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Because recent Supreme Court and Ninth Circuit cases more frequently use the phrase “under color of state law,” rather than “under color of law,” the Committee uses the phrase “under color of state law.” </w:t>
      </w:r>
      <w:r w:rsidRPr="00842D3D">
        <w:rPr>
          <w:rFonts w:eastAsia="Calibri" w:cs="Times New Roman"/>
          <w:i/>
          <w:iCs/>
          <w:szCs w:val="24"/>
        </w:rPr>
        <w:t>See</w:t>
      </w:r>
      <w:r w:rsidRPr="00842D3D">
        <w:rPr>
          <w:rFonts w:eastAsia="Calibri" w:cs="Times New Roman"/>
          <w:szCs w:val="24"/>
        </w:rPr>
        <w:t>,</w:t>
      </w:r>
      <w:r w:rsidRPr="00842D3D">
        <w:rPr>
          <w:rFonts w:eastAsia="Calibri" w:cs="Times New Roman"/>
          <w:i/>
          <w:iCs/>
          <w:szCs w:val="24"/>
        </w:rPr>
        <w:t xml:space="preserve"> e.g.</w:t>
      </w:r>
      <w:r w:rsidRPr="00842D3D">
        <w:rPr>
          <w:rFonts w:eastAsia="Calibri" w:cs="Times New Roman"/>
          <w:szCs w:val="24"/>
        </w:rPr>
        <w:t xml:space="preserve">, </w:t>
      </w:r>
      <w:r w:rsidRPr="00842D3D">
        <w:rPr>
          <w:rFonts w:eastAsia="Calibri" w:cs="Times New Roman"/>
          <w:i/>
          <w:iCs/>
          <w:szCs w:val="24"/>
        </w:rPr>
        <w:t>Talevski</w:t>
      </w:r>
      <w:r w:rsidRPr="00842D3D">
        <w:rPr>
          <w:rFonts w:eastAsia="Calibri" w:cs="Times New Roman"/>
          <w:szCs w:val="24"/>
        </w:rPr>
        <w:t xml:space="preserve">, 599 U.S. at 171 (using phrase “color of state law”); </w:t>
      </w:r>
      <w:r w:rsidRPr="00842D3D">
        <w:rPr>
          <w:rFonts w:eastAsia="Calibri" w:cs="Times New Roman"/>
          <w:i/>
          <w:iCs/>
          <w:szCs w:val="24"/>
        </w:rPr>
        <w:t>Torres v. Madrid</w:t>
      </w:r>
      <w:r w:rsidRPr="00842D3D">
        <w:rPr>
          <w:rFonts w:eastAsia="Calibri" w:cs="Times New Roman"/>
          <w:szCs w:val="24"/>
        </w:rPr>
        <w:t xml:space="preserve">, 592 U.S. 306, 319 (2021) (same); </w:t>
      </w:r>
      <w:r w:rsidRPr="00842D3D">
        <w:rPr>
          <w:rFonts w:eastAsia="Calibri" w:cs="Times New Roman"/>
          <w:i/>
          <w:iCs/>
          <w:szCs w:val="24"/>
        </w:rPr>
        <w:t>Chaudhry</w:t>
      </w:r>
      <w:r w:rsidRPr="00842D3D">
        <w:rPr>
          <w:rFonts w:eastAsia="Calibri" w:cs="Times New Roman"/>
          <w:szCs w:val="24"/>
        </w:rPr>
        <w:t xml:space="preserve">, 68 F.4th at 1171 (same); </w:t>
      </w:r>
      <w:r w:rsidRPr="00842D3D">
        <w:rPr>
          <w:rFonts w:eastAsia="Calibri" w:cs="Times New Roman"/>
          <w:i/>
          <w:iCs/>
          <w:szCs w:val="24"/>
        </w:rPr>
        <w:t>Roberts v. Springfield Util. Bd.</w:t>
      </w:r>
      <w:r w:rsidRPr="00842D3D">
        <w:rPr>
          <w:rFonts w:eastAsia="Calibri" w:cs="Times New Roman"/>
          <w:szCs w:val="24"/>
        </w:rPr>
        <w:t>, 68 F.4th 470, 474 n.2 (9th Cir. 2023) (same).</w:t>
      </w:r>
    </w:p>
    <w:p w14:paraId="79889185" w14:textId="77777777" w:rsidR="00842D3D" w:rsidRPr="00842D3D" w:rsidRDefault="00842D3D" w:rsidP="00842D3D">
      <w:pPr>
        <w:autoSpaceDE w:val="0"/>
        <w:autoSpaceDN w:val="0"/>
        <w:adjustRightInd w:val="0"/>
        <w:rPr>
          <w:rFonts w:eastAsia="Calibri" w:cs="Times New Roman"/>
          <w:szCs w:val="24"/>
        </w:rPr>
      </w:pPr>
    </w:p>
    <w:p w14:paraId="0743904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Generally, “a public employee acts under color of state law while acting in his official capacity or while exercising his responsibilities pursuant to state law.” </w:t>
      </w:r>
      <w:r w:rsidRPr="00842D3D">
        <w:rPr>
          <w:rFonts w:eastAsia="Calibri" w:cs="Times New Roman"/>
          <w:i/>
          <w:iCs/>
          <w:szCs w:val="24"/>
        </w:rPr>
        <w:t>Paeste v. Government of Guam</w:t>
      </w:r>
      <w:r w:rsidRPr="00842D3D">
        <w:rPr>
          <w:rFonts w:eastAsia="Calibri" w:cs="Times New Roman"/>
          <w:szCs w:val="24"/>
        </w:rPr>
        <w:t xml:space="preserve">, 798 F.3d 1228, 1238 (9th Cir. 2015) (quoting </w:t>
      </w:r>
      <w:r w:rsidRPr="00842D3D">
        <w:rPr>
          <w:rFonts w:eastAsia="Calibri" w:cs="Times New Roman"/>
          <w:i/>
          <w:iCs/>
          <w:szCs w:val="24"/>
        </w:rPr>
        <w:t>West v. Atkins</w:t>
      </w:r>
      <w:r w:rsidRPr="00842D3D">
        <w:rPr>
          <w:rFonts w:eastAsia="Calibri" w:cs="Times New Roman"/>
          <w:szCs w:val="24"/>
        </w:rPr>
        <w:t xml:space="preserve">, 487 U.S. 42, 50 (1988)); </w:t>
      </w:r>
      <w:r w:rsidRPr="00842D3D">
        <w:rPr>
          <w:rFonts w:eastAsia="Calibri" w:cs="Times New Roman"/>
          <w:i/>
          <w:iCs/>
          <w:szCs w:val="24"/>
        </w:rPr>
        <w:t>but see Thai v. County of Los Angeles</w:t>
      </w:r>
      <w:r w:rsidRPr="00842D3D">
        <w:rPr>
          <w:rFonts w:eastAsia="Calibri" w:cs="Times New Roman"/>
          <w:szCs w:val="24"/>
        </w:rPr>
        <w:t xml:space="preserve">,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 </w:t>
      </w:r>
    </w:p>
    <w:p w14:paraId="4602E276" w14:textId="77777777" w:rsidR="00842D3D" w:rsidRPr="00842D3D" w:rsidRDefault="00842D3D" w:rsidP="00842D3D">
      <w:pPr>
        <w:autoSpaceDE w:val="0"/>
        <w:autoSpaceDN w:val="0"/>
        <w:adjustRightInd w:val="0"/>
        <w:ind w:firstLine="720"/>
        <w:rPr>
          <w:rFonts w:eastAsia="Calibri" w:cs="Times New Roman"/>
          <w:szCs w:val="24"/>
        </w:rPr>
      </w:pPr>
    </w:p>
    <w:p w14:paraId="77B6AD9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color of law inquiry and the state action inquiry are the same. </w:t>
      </w:r>
      <w:r w:rsidRPr="00842D3D">
        <w:rPr>
          <w:rFonts w:eastAsia="Calibri" w:cs="Times New Roman"/>
          <w:i/>
          <w:iCs/>
          <w:szCs w:val="24"/>
        </w:rPr>
        <w:t>Rawson v. Recovery Innovations, Inc.</w:t>
      </w:r>
      <w:r w:rsidRPr="00842D3D">
        <w:rPr>
          <w:rFonts w:eastAsia="Calibri" w:cs="Times New Roman"/>
          <w:szCs w:val="24"/>
        </w:rPr>
        <w:t xml:space="preserve">, 975 F.3d 742, 747 (9th Cir. 2020). When a private actor’s conduct is challenged as “state action” under § 1983, a court looks to two requirements that the private actor must meet: (1) the state policy requirement; and (2) the state actor requirement. </w:t>
      </w:r>
      <w:r w:rsidRPr="00842D3D">
        <w:rPr>
          <w:rFonts w:eastAsia="Calibri" w:cs="Times New Roman"/>
          <w:i/>
          <w:iCs/>
          <w:szCs w:val="24"/>
        </w:rPr>
        <w:t>Wright v. Serv. Emps. Int’l Union Loc</w:t>
      </w:r>
      <w:r w:rsidRPr="00842D3D">
        <w:rPr>
          <w:rFonts w:eastAsia="Calibri" w:cs="Times New Roman"/>
          <w:szCs w:val="24"/>
        </w:rPr>
        <w:t xml:space="preserve">. </w:t>
      </w:r>
      <w:r w:rsidRPr="00842D3D">
        <w:rPr>
          <w:rFonts w:eastAsia="Calibri" w:cs="Times New Roman"/>
          <w:i/>
          <w:iCs/>
          <w:szCs w:val="24"/>
        </w:rPr>
        <w:t>503</w:t>
      </w:r>
      <w:r w:rsidRPr="00842D3D">
        <w:rPr>
          <w:rFonts w:eastAsia="Calibri" w:cs="Times New Roman"/>
          <w:szCs w:val="24"/>
        </w:rPr>
        <w:t xml:space="preserve">, 48 F.4th 1112, 1121 (9th Cir. 2022). Under the first requirement, the question is whether the claimed constitutional deprivation resulted from the exercise of some right or privilege created by the state or by a rule of conduct imposed by the state or by a person for whom the state is responsible. </w:t>
      </w:r>
      <w:r w:rsidRPr="00842D3D">
        <w:rPr>
          <w:rFonts w:eastAsia="Calibri" w:cs="Times New Roman"/>
          <w:i/>
          <w:iCs/>
          <w:szCs w:val="24"/>
        </w:rPr>
        <w:t>Id</w:t>
      </w:r>
      <w:r w:rsidRPr="00842D3D">
        <w:rPr>
          <w:rFonts w:eastAsia="Calibri"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Pr="00842D3D">
        <w:rPr>
          <w:rFonts w:eastAsia="Calibri" w:cs="Times New Roman"/>
          <w:i/>
          <w:iCs/>
          <w:szCs w:val="24"/>
        </w:rPr>
        <w:t xml:space="preserve">Id. </w:t>
      </w:r>
      <w:r w:rsidRPr="00842D3D">
        <w:rPr>
          <w:rFonts w:eastAsia="Calibri" w:cs="Times New Roman"/>
          <w:szCs w:val="24"/>
        </w:rPr>
        <w:t xml:space="preserve">at 1122. Those tests are the public function test, the joint action test, the state compulsion test, and the governmental nexus test.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Rawson v. Recovery Innovations, Inc.</w:t>
      </w:r>
      <w:r w:rsidRPr="00842D3D">
        <w:rPr>
          <w:rFonts w:eastAsia="Calibri" w:cs="Times New Roman"/>
          <w:szCs w:val="24"/>
        </w:rPr>
        <w:t>, 975 F.3d 742, 747 (9th Cir. 2020).</w:t>
      </w:r>
    </w:p>
    <w:p w14:paraId="362D98AD" w14:textId="77777777" w:rsidR="00842D3D" w:rsidRPr="00842D3D" w:rsidRDefault="00842D3D" w:rsidP="00842D3D">
      <w:pPr>
        <w:autoSpaceDE w:val="0"/>
        <w:autoSpaceDN w:val="0"/>
        <w:adjustRightInd w:val="0"/>
        <w:rPr>
          <w:rFonts w:eastAsia="Calibri" w:cs="Times New Roman"/>
          <w:szCs w:val="24"/>
        </w:rPr>
      </w:pPr>
    </w:p>
    <w:p w14:paraId="0E46E836" w14:textId="77777777" w:rsidR="00842D3D" w:rsidRPr="00842D3D" w:rsidRDefault="00842D3D" w:rsidP="00842D3D">
      <w:pPr>
        <w:ind w:firstLine="720"/>
        <w:rPr>
          <w:rFonts w:eastAsia="Calibri" w:cs="Times New Roman"/>
          <w:szCs w:val="24"/>
        </w:rPr>
      </w:pPr>
      <w:r w:rsidRPr="00842D3D">
        <w:rPr>
          <w:rFonts w:eastAsia="Calibri" w:cs="Times New Roman"/>
          <w:szCs w:val="24"/>
        </w:rPr>
        <w:lastRenderedPageBreak/>
        <w:t xml:space="preserve">For a discussion of whether a public official’s social media activity constitutes action under color of state law, </w:t>
      </w:r>
      <w:bookmarkStart w:id="136" w:name="Instruction_9.1"/>
      <w:bookmarkEnd w:id="136"/>
      <w:r w:rsidRPr="00842D3D">
        <w:rPr>
          <w:rFonts w:eastAsia="Calibri" w:cs="Times New Roman"/>
        </w:rPr>
        <w:t xml:space="preserve">see </w:t>
      </w:r>
      <w:r w:rsidRPr="00842D3D">
        <w:rPr>
          <w:rFonts w:eastAsia="Calibri" w:cs="Times New Roman"/>
          <w:i/>
          <w:iCs/>
        </w:rPr>
        <w:t>Lindke v. Freed</w:t>
      </w:r>
      <w:r w:rsidRPr="00842D3D">
        <w:rPr>
          <w:rFonts w:eastAsia="Calibri" w:cs="Times New Roman"/>
        </w:rPr>
        <w:t>,</w:t>
      </w:r>
      <w:r w:rsidRPr="00842D3D">
        <w:rPr>
          <w:rFonts w:eastAsia="Calibri" w:cs="Times New Roman"/>
          <w:i/>
          <w:iCs/>
        </w:rPr>
        <w:t xml:space="preserve"> </w:t>
      </w:r>
      <w:r w:rsidRPr="00842D3D">
        <w:rPr>
          <w:rFonts w:eastAsia="Calibri" w:cs="Times New Roman"/>
          <w:szCs w:val="24"/>
        </w:rPr>
        <w:t>601 U.S. 187, 199 (2024) (</w:t>
      </w:r>
      <w:r w:rsidRPr="00842D3D">
        <w:rPr>
          <w:rFonts w:eastAsia="Calibri" w:cs="Times New Roman"/>
        </w:rPr>
        <w:t xml:space="preserve">holding that where a </w:t>
      </w:r>
      <w:r w:rsidRPr="00842D3D">
        <w:rPr>
          <w:rFonts w:eastAsia="Calibri" w:cs="Times New Roman"/>
          <w:szCs w:val="24"/>
        </w:rPr>
        <w:t>city manager deleted comments from posts on his individual social media page and blocked the commenter, a showing of state action would require a plaintiff to show that the city manager “(1) had actual authority to speak on behalf of the State on a particular matter, and</w:t>
      </w:r>
      <w:r w:rsidRPr="00842D3D">
        <w:rPr>
          <w:rFonts w:eastAsia="Calibri" w:cs="Times New Roman"/>
        </w:rPr>
        <w:t xml:space="preserve"> </w:t>
      </w:r>
      <w:r w:rsidRPr="00842D3D">
        <w:rPr>
          <w:rFonts w:eastAsia="Calibri" w:cs="Times New Roman"/>
          <w:szCs w:val="24"/>
        </w:rPr>
        <w:t>(2) purported to exercise that authority in the relevant posts”)</w:t>
      </w:r>
      <w:r w:rsidRPr="00842D3D">
        <w:rPr>
          <w:rFonts w:eastAsia="Calibri" w:cs="Times New Roman"/>
        </w:rPr>
        <w:t xml:space="preserve">; </w:t>
      </w:r>
      <w:r w:rsidRPr="00842D3D">
        <w:rPr>
          <w:rFonts w:eastAsia="Calibri" w:cs="Times New Roman"/>
          <w:i/>
          <w:iCs/>
        </w:rPr>
        <w:t>Garnier v. O’onnor-Ratcliff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r w:rsidRPr="00842D3D">
        <w:rPr>
          <w:rFonts w:eastAsia="Calibri" w:cs="Times New Roman"/>
          <w:szCs w:val="24"/>
        </w:rPr>
        <w:t>.</w:t>
      </w:r>
    </w:p>
    <w:p w14:paraId="51471E68" w14:textId="77777777" w:rsidR="00842D3D" w:rsidRPr="00842D3D" w:rsidRDefault="00842D3D" w:rsidP="00842D3D">
      <w:pPr>
        <w:autoSpaceDE w:val="0"/>
        <w:autoSpaceDN w:val="0"/>
        <w:adjustRightInd w:val="0"/>
        <w:rPr>
          <w:rFonts w:eastAsia="Calibri" w:cs="Times New Roman"/>
          <w:szCs w:val="24"/>
        </w:rPr>
      </w:pPr>
    </w:p>
    <w:p w14:paraId="30665DDD"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622BB835" w14:textId="77777777" w:rsidR="00842D3D" w:rsidRPr="00842D3D" w:rsidRDefault="00842D3D" w:rsidP="00FF121D">
      <w:pPr>
        <w:pStyle w:val="Heading2"/>
      </w:pPr>
      <w:r w:rsidRPr="00842D3D">
        <w:br w:type="page"/>
      </w:r>
      <w:bookmarkStart w:id="137" w:name="_Toc221525166"/>
      <w:r w:rsidRPr="00842D3D">
        <w:lastRenderedPageBreak/>
        <w:t>9.2 Causation</w:t>
      </w:r>
      <w:bookmarkEnd w:id="137"/>
    </w:p>
    <w:p w14:paraId="4246A9B0" w14:textId="77777777" w:rsidR="00842D3D" w:rsidRPr="00842D3D" w:rsidRDefault="00842D3D" w:rsidP="00842D3D">
      <w:pPr>
        <w:jc w:val="center"/>
        <w:rPr>
          <w:rFonts w:eastAsia="Calibri" w:cs="Times New Roman"/>
          <w:szCs w:val="24"/>
        </w:rPr>
      </w:pPr>
    </w:p>
    <w:p w14:paraId="2BE8960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4CFB919" w14:textId="77777777" w:rsidR="00842D3D" w:rsidRPr="00842D3D" w:rsidRDefault="00842D3D" w:rsidP="00842D3D">
      <w:pPr>
        <w:jc w:val="center"/>
        <w:rPr>
          <w:rFonts w:eastAsia="Calibri" w:cs="Times New Roman"/>
          <w:szCs w:val="24"/>
        </w:rPr>
      </w:pPr>
    </w:p>
    <w:p w14:paraId="7FFCBCE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General Principles</w:t>
      </w:r>
    </w:p>
    <w:p w14:paraId="1DE825C4" w14:textId="77777777" w:rsidR="00842D3D" w:rsidRPr="00842D3D" w:rsidRDefault="00842D3D" w:rsidP="00842D3D">
      <w:pPr>
        <w:jc w:val="center"/>
        <w:rPr>
          <w:rFonts w:eastAsia="Calibri" w:cs="Times New Roman"/>
          <w:szCs w:val="24"/>
        </w:rPr>
      </w:pPr>
    </w:p>
    <w:p w14:paraId="6DFD921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a § 1983 action, the plaintiff must also demonstrate that the defendant’s conduct was the actionable cause of the claimed injury.” </w:t>
      </w:r>
      <w:r w:rsidRPr="00842D3D">
        <w:rPr>
          <w:rFonts w:eastAsia="Calibri" w:cs="Times New Roman"/>
          <w:i/>
          <w:iCs/>
          <w:szCs w:val="24"/>
        </w:rPr>
        <w:t>Bearchild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533 F.3d 1010, 1026 (9th Cir. 2008)). “To meet this causation requirement, the plaintiff must establish both causation-in-fact and proximate causation.”</w:t>
      </w:r>
      <w:r w:rsidRPr="00842D3D">
        <w:rPr>
          <w:rFonts w:eastAsia="Calibri" w:cs="Times New Roman"/>
          <w:i/>
          <w:iCs/>
          <w:szCs w:val="24"/>
        </w:rPr>
        <w:t xml:space="preserve"> Id</w:t>
      </w:r>
      <w:r w:rsidRPr="00842D3D">
        <w:rPr>
          <w:rFonts w:eastAsia="Calibri" w:cs="Times New Roman"/>
          <w:szCs w:val="24"/>
        </w:rPr>
        <w:t xml:space="preserve">. A defendant’s conduct is an “actual cause,” or “cause-in-fact,” of a plaintiff’s injury only if the injury would not have occurred but for that conduct. </w:t>
      </w:r>
      <w:r w:rsidRPr="00842D3D">
        <w:rPr>
          <w:rFonts w:eastAsia="Calibri" w:cs="Times New Roman"/>
          <w:i/>
          <w:iCs/>
          <w:szCs w:val="24"/>
        </w:rPr>
        <w:t>Chaudhry v. Aragon</w:t>
      </w:r>
      <w:r w:rsidRPr="00842D3D">
        <w:rPr>
          <w:rFonts w:eastAsia="Calibri" w:cs="Times New Roman"/>
          <w:szCs w:val="24"/>
        </w:rPr>
        <w:t xml:space="preserve">, 68 F.4th 1161, 1170 n.11 (9th Cir. 2023). For a general discussion of “but for causation,” see Civil Instruction 10.3 (Civil Rights—Title VII—Disparate Treatment—“Because of” Defined). </w:t>
      </w:r>
    </w:p>
    <w:p w14:paraId="33D9630E" w14:textId="77777777" w:rsidR="00842D3D" w:rsidRPr="00842D3D" w:rsidRDefault="00842D3D" w:rsidP="00842D3D">
      <w:pPr>
        <w:ind w:firstLine="720"/>
        <w:rPr>
          <w:rFonts w:eastAsia="Calibri" w:cs="Times New Roman"/>
          <w:szCs w:val="24"/>
        </w:rPr>
      </w:pPr>
    </w:p>
    <w:p w14:paraId="35B9D1A6" w14:textId="77777777"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defendant’s conduct is a ‘proximate cause’ of a plaintiff’s injury if ‘it was not just any cause, but one with a sufficient connection to the result.’” </w:t>
      </w:r>
      <w:r w:rsidRPr="00842D3D">
        <w:rPr>
          <w:rFonts w:eastAsia="Calibri" w:cs="Times New Roman"/>
          <w:i/>
          <w:iCs/>
          <w:szCs w:val="24"/>
        </w:rPr>
        <w:t>Chaudhry</w:t>
      </w:r>
      <w:r w:rsidRPr="00842D3D">
        <w:rPr>
          <w:rFonts w:eastAsia="Calibri" w:cs="Times New Roman"/>
          <w:szCs w:val="24"/>
        </w:rPr>
        <w:t xml:space="preserve">, 68 F.4th at 1170 n.12 (quoting </w:t>
      </w:r>
      <w:r w:rsidRPr="00842D3D">
        <w:rPr>
          <w:rFonts w:eastAsia="Calibri" w:cs="Times New Roman"/>
          <w:i/>
          <w:iCs/>
          <w:szCs w:val="24"/>
        </w:rPr>
        <w:t>Paroline v. United States</w:t>
      </w:r>
      <w:r w:rsidRPr="00842D3D">
        <w:rPr>
          <w:rFonts w:eastAsia="Calibri" w:cs="Times New Roman"/>
          <w:szCs w:val="24"/>
        </w:rPr>
        <w:t xml:space="preserve">, 572 U.S. 434, 444 (2014)). “‘Proximate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Paroline</w:t>
      </w:r>
      <w:r w:rsidRPr="00842D3D">
        <w:rPr>
          <w:rFonts w:eastAsia="Calibri" w:cs="Times New Roman"/>
          <w:szCs w:val="24"/>
        </w:rPr>
        <w:t>, 572 U.S. at 445)</w:t>
      </w:r>
    </w:p>
    <w:p w14:paraId="34ACA4AC" w14:textId="77777777" w:rsidR="00842D3D" w:rsidRPr="00842D3D" w:rsidRDefault="00842D3D" w:rsidP="00842D3D">
      <w:pPr>
        <w:ind w:firstLine="720"/>
        <w:rPr>
          <w:rFonts w:eastAsia="Calibri" w:cs="Times New Roman"/>
          <w:strike/>
          <w:szCs w:val="24"/>
        </w:rPr>
      </w:pPr>
    </w:p>
    <w:p w14:paraId="5E362C6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842D3D">
        <w:rPr>
          <w:rFonts w:eastAsia="Calibri" w:cs="Times New Roman"/>
          <w:i/>
          <w:iCs/>
          <w:szCs w:val="24"/>
        </w:rPr>
        <w:t>Lacey v. Maricopa County</w:t>
      </w:r>
      <w:r w:rsidRPr="00842D3D">
        <w:rPr>
          <w:rFonts w:eastAsia="Calibri" w:cs="Times New Roman"/>
          <w:szCs w:val="24"/>
        </w:rPr>
        <w:t xml:space="preserve">, 693 F.3d 896, 915 (9th Cir. 2012) (quoting </w:t>
      </w:r>
      <w:r w:rsidRPr="00842D3D">
        <w:rPr>
          <w:rFonts w:eastAsia="Calibri" w:cs="Times New Roman"/>
          <w:i/>
          <w:iCs/>
          <w:szCs w:val="24"/>
        </w:rPr>
        <w:t>Johnson v. Duffy</w:t>
      </w:r>
      <w:r w:rsidRPr="00842D3D">
        <w:rPr>
          <w:rFonts w:eastAsia="Calibri" w:cs="Times New Roman"/>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842D3D">
        <w:rPr>
          <w:rFonts w:eastAsia="Calibri" w:cs="Times New Roman"/>
          <w:i/>
          <w:iCs/>
          <w:szCs w:val="24"/>
        </w:rPr>
        <w:t>Chaudhry</w:t>
      </w:r>
      <w:r w:rsidRPr="00842D3D">
        <w:rPr>
          <w:rFonts w:eastAsia="Calibri" w:cs="Times New Roman"/>
          <w:szCs w:val="24"/>
        </w:rPr>
        <w:t xml:space="preserve">, 68 F.4th at 1169. A police officer’s liability under section 1983 is predicated on his integral participation in the alleged violation.” </w:t>
      </w:r>
      <w:r w:rsidRPr="00842D3D">
        <w:rPr>
          <w:rFonts w:eastAsia="Calibri" w:cs="Times New Roman"/>
          <w:i/>
          <w:iCs/>
          <w:szCs w:val="24"/>
        </w:rPr>
        <w:t>Nicholson v. City of Los Angeles</w:t>
      </w:r>
      <w:r w:rsidRPr="00842D3D">
        <w:rPr>
          <w:rFonts w:eastAsia="Calibri" w:cs="Times New Roman"/>
          <w:szCs w:val="24"/>
        </w:rPr>
        <w:t xml:space="preserve">, 935 F.3d 685, 691 (9th Cir. 2019) (quoting </w:t>
      </w:r>
      <w:r w:rsidRPr="00842D3D">
        <w:rPr>
          <w:rFonts w:eastAsia="Calibri" w:cs="Times New Roman"/>
          <w:i/>
          <w:iCs/>
          <w:szCs w:val="24"/>
        </w:rPr>
        <w:t>Blankenhorn v. City of Orange</w:t>
      </w:r>
      <w:r w:rsidRPr="00842D3D">
        <w:rPr>
          <w:rFonts w:eastAsia="Calibri"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842D3D">
        <w:rPr>
          <w:rFonts w:eastAsia="Calibri" w:cs="Times New Roman"/>
          <w:i/>
          <w:iCs/>
          <w:szCs w:val="24"/>
        </w:rPr>
        <w:t>Nicholson</w:t>
      </w:r>
      <w:r w:rsidRPr="00842D3D">
        <w:rPr>
          <w:rFonts w:eastAsia="Calibri" w:cs="Times New Roman"/>
          <w:szCs w:val="24"/>
        </w:rPr>
        <w:t xml:space="preserve">, 935 F.3d at 692; </w:t>
      </w:r>
      <w:r w:rsidRPr="00842D3D">
        <w:rPr>
          <w:rFonts w:eastAsia="Calibri" w:cs="Times New Roman"/>
          <w:i/>
          <w:iCs/>
          <w:szCs w:val="24"/>
        </w:rPr>
        <w:t>but see Felarca v. Birgeneau</w:t>
      </w:r>
      <w:r w:rsidRPr="00842D3D">
        <w:rPr>
          <w:rFonts w:eastAsia="Calibri" w:cs="Times New Roman"/>
          <w:szCs w:val="24"/>
        </w:rPr>
        <w:t>, 891 F.3d 809, 820 (9th Cir. 2018) (“Officers may not be held liable merely for being present at the scene of a constitutional violation or for being a member of the same operational unit as a wrongdoer.”).</w:t>
      </w:r>
    </w:p>
    <w:p w14:paraId="5F517388" w14:textId="77777777" w:rsidR="00842D3D" w:rsidRPr="00842D3D" w:rsidRDefault="00842D3D" w:rsidP="00842D3D">
      <w:pPr>
        <w:ind w:firstLine="720"/>
        <w:rPr>
          <w:rFonts w:eastAsia="Calibri" w:cs="Times New Roman"/>
          <w:szCs w:val="24"/>
        </w:rPr>
      </w:pPr>
    </w:p>
    <w:p w14:paraId="52CA10A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inquiry into causation must be individualized and focus on the duties and responsibilities of each individual defendant whose acts or omissions are alleged to have caused a constitutional deprivation.” </w:t>
      </w:r>
      <w:r w:rsidRPr="00842D3D">
        <w:rPr>
          <w:rFonts w:eastAsia="Calibri" w:cs="Times New Roman"/>
          <w:i/>
          <w:iCs/>
          <w:szCs w:val="24"/>
        </w:rPr>
        <w:t>Leer v. Murphy</w:t>
      </w:r>
      <w:r w:rsidRPr="00842D3D">
        <w:rPr>
          <w:rFonts w:eastAsia="Calibri" w:cs="Times New Roman"/>
          <w:szCs w:val="24"/>
        </w:rPr>
        <w:t xml:space="preserve">, 844 F.2d 628, 633 (9th Cir. 1988); </w:t>
      </w:r>
      <w:r w:rsidRPr="00842D3D">
        <w:rPr>
          <w:rFonts w:eastAsia="Calibri" w:cs="Times New Roman"/>
          <w:i/>
          <w:iCs/>
          <w:szCs w:val="24"/>
        </w:rPr>
        <w:t>see also Hines v. Youseff</w:t>
      </w:r>
      <w:r w:rsidRPr="00842D3D">
        <w:rPr>
          <w:rFonts w:eastAsia="Calibri" w:cs="Times New Roman"/>
          <w:szCs w:val="24"/>
        </w:rPr>
        <w:t>, 914 F.3d 1218, 1228 (9th Cir. 2019) (“[Plaintiff] must show that each defendant personally played a role in violating the Constitution. An official is liable under § 1983 only if ‘culpable action, or inaction, is directly attributed to them.’” (footnote omitted)).</w:t>
      </w:r>
    </w:p>
    <w:p w14:paraId="2CECE3BB" w14:textId="77777777" w:rsidR="00842D3D" w:rsidRPr="00842D3D" w:rsidRDefault="00842D3D" w:rsidP="00842D3D">
      <w:pPr>
        <w:ind w:firstLine="720"/>
        <w:jc w:val="both"/>
        <w:rPr>
          <w:rFonts w:eastAsia="Calibri" w:cs="Times New Roman"/>
          <w:szCs w:val="24"/>
        </w:rPr>
      </w:pPr>
    </w:p>
    <w:p w14:paraId="16E93E59" w14:textId="77777777" w:rsidR="00842D3D" w:rsidRPr="00842D3D" w:rsidRDefault="00842D3D" w:rsidP="00842D3D">
      <w:pPr>
        <w:ind w:firstLine="720"/>
        <w:jc w:val="both"/>
        <w:rPr>
          <w:rFonts w:eastAsia="Calibri"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0D09A5C4" w14:textId="77777777" w:rsidR="00842D3D" w:rsidRPr="00842D3D" w:rsidRDefault="00842D3D" w:rsidP="00842D3D">
      <w:pPr>
        <w:ind w:firstLine="720"/>
        <w:rPr>
          <w:rFonts w:eastAsia="Calibri" w:cs="Times New Roman"/>
          <w:szCs w:val="24"/>
        </w:rPr>
      </w:pPr>
    </w:p>
    <w:p w14:paraId="462903F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Supervisor Liability</w:t>
      </w:r>
    </w:p>
    <w:p w14:paraId="2E8A7B5E" w14:textId="77777777" w:rsidR="00842D3D" w:rsidRPr="00842D3D" w:rsidRDefault="00842D3D" w:rsidP="00842D3D">
      <w:pPr>
        <w:rPr>
          <w:rFonts w:eastAsia="Calibri" w:cs="Times New Roman"/>
          <w:szCs w:val="24"/>
        </w:rPr>
      </w:pPr>
    </w:p>
    <w:p w14:paraId="11AB8E0F" w14:textId="77777777" w:rsidR="00842D3D" w:rsidRPr="00842D3D" w:rsidRDefault="00842D3D" w:rsidP="00842D3D">
      <w:pPr>
        <w:rPr>
          <w:rFonts w:eastAsia="Calibri" w:cs="Times New Roman"/>
          <w:szCs w:val="24"/>
        </w:rPr>
      </w:pPr>
      <w:r w:rsidRPr="00842D3D">
        <w:rPr>
          <w:rFonts w:eastAsia="Calibri"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842D3D">
        <w:rPr>
          <w:rFonts w:eastAsia="Calibri" w:cs="Times New Roman"/>
          <w:i/>
          <w:iCs/>
          <w:szCs w:val="24"/>
        </w:rPr>
        <w:t>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646 (9th Cir. 1989); </w:t>
      </w:r>
      <w:r w:rsidRPr="00842D3D">
        <w:rPr>
          <w:rFonts w:eastAsia="Calibri" w:cs="Times New Roman"/>
          <w:i/>
          <w:iCs/>
          <w:szCs w:val="24"/>
        </w:rPr>
        <w:t>see also Lacey</w:t>
      </w:r>
      <w:r w:rsidRPr="00842D3D">
        <w:rPr>
          <w:rFonts w:eastAsia="Calibri" w:cs="Times New Roman"/>
          <w:szCs w:val="24"/>
        </w:rPr>
        <w:t xml:space="preserve">, 693 F.3d at 915-16 (discussing culpability and intent of supervisors). 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23 F.4th 863, 874 (9th Cir. 2022); s</w:t>
      </w:r>
      <w:r w:rsidRPr="00842D3D">
        <w:rPr>
          <w:rFonts w:eastAsia="Calibri" w:cs="Times New Roman"/>
          <w:i/>
          <w:iCs/>
          <w:szCs w:val="24"/>
        </w:rPr>
        <w:t>ee Starr</w:t>
      </w:r>
      <w:r w:rsidRPr="00842D3D">
        <w:rPr>
          <w:rFonts w:eastAsia="Calibri" w:cs="Times New Roman"/>
          <w:szCs w:val="24"/>
        </w:rPr>
        <w:t xml:space="preserve">, 652 F.3d at 1207-08; </w:t>
      </w:r>
      <w:r w:rsidRPr="00842D3D">
        <w:rPr>
          <w:rFonts w:eastAsia="Calibri" w:cs="Times New Roman"/>
          <w:i/>
          <w:iCs/>
          <w:szCs w:val="24"/>
        </w:rPr>
        <w:t>see also OSU Student All. v. Ray</w:t>
      </w:r>
      <w:r w:rsidRPr="00842D3D">
        <w:rPr>
          <w:rFonts w:eastAsia="Calibri" w:cs="Times New Roman"/>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r w:rsidRPr="00842D3D">
        <w:rPr>
          <w:rFonts w:eastAsia="Calibri" w:cs="Times New Roman"/>
          <w:i/>
          <w:iCs/>
          <w:szCs w:val="24"/>
        </w:rPr>
        <w:t>respondeat superior</w:t>
      </w:r>
      <w:r w:rsidRPr="00842D3D">
        <w:rPr>
          <w:rFonts w:eastAsia="Calibri" w:cs="Times New Roman"/>
          <w:szCs w:val="24"/>
        </w:rPr>
        <w:t xml:space="preserve">. </w:t>
      </w:r>
      <w:r w:rsidRPr="00842D3D">
        <w:rPr>
          <w:rFonts w:eastAsia="Calibri" w:cs="Times New Roman"/>
          <w:i/>
          <w:iCs/>
          <w:szCs w:val="24"/>
        </w:rPr>
        <w:t>Ashcroft v. Iqbal</w:t>
      </w:r>
      <w:r w:rsidRPr="00842D3D">
        <w:rPr>
          <w:rFonts w:eastAsia="Calibri" w:cs="Times New Roman"/>
          <w:szCs w:val="24"/>
        </w:rPr>
        <w:t xml:space="preserve">, 556 U.S. 662, 676 (2009). There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w:t>
      </w:r>
    </w:p>
    <w:p w14:paraId="7D757ECE" w14:textId="77777777" w:rsidR="00842D3D" w:rsidRPr="00842D3D" w:rsidRDefault="00842D3D" w:rsidP="00842D3D">
      <w:pPr>
        <w:jc w:val="both"/>
        <w:rPr>
          <w:rFonts w:eastAsia="Calibri" w:cs="Times New Roman"/>
          <w:szCs w:val="24"/>
        </w:rPr>
      </w:pPr>
    </w:p>
    <w:p w14:paraId="1F8EAF3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Integral Participant Doctrine</w:t>
      </w:r>
    </w:p>
    <w:p w14:paraId="3FE530CB" w14:textId="77777777" w:rsidR="00842D3D" w:rsidRPr="00842D3D" w:rsidRDefault="00842D3D" w:rsidP="00842D3D">
      <w:pPr>
        <w:jc w:val="both"/>
        <w:rPr>
          <w:rFonts w:eastAsia="Calibri" w:cs="Times New Roman"/>
          <w:szCs w:val="24"/>
        </w:rPr>
      </w:pPr>
    </w:p>
    <w:p w14:paraId="568DA4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842D3D">
        <w:rPr>
          <w:rFonts w:eastAsia="Calibri" w:cs="Times New Roman"/>
          <w:i/>
          <w:iCs/>
          <w:szCs w:val="24"/>
        </w:rPr>
        <w:t>Peck v. Montoya</w:t>
      </w:r>
      <w:r w:rsidRPr="00842D3D">
        <w:rPr>
          <w:rFonts w:eastAsia="Calibri" w:cs="Times New Roman"/>
          <w:szCs w:val="24"/>
        </w:rPr>
        <w:t xml:space="preserve">, 51 F.4th 877, 889 (9th Cir. 2022) (quoting </w:t>
      </w:r>
      <w:r w:rsidRPr="00842D3D">
        <w:rPr>
          <w:rFonts w:eastAsia="Calibri" w:cs="Times New Roman"/>
          <w:i/>
          <w:iCs/>
          <w:szCs w:val="24"/>
        </w:rPr>
        <w:t>Reynaga Hernandez v. Skinner</w:t>
      </w:r>
      <w:r w:rsidRPr="00842D3D">
        <w:rPr>
          <w:rFonts w:eastAsia="Calibri" w:cs="Times New Roman"/>
          <w:szCs w:val="24"/>
        </w:rPr>
        <w:t>, 969 F.3d 930, 941 (9th</w:t>
      </w:r>
      <w:r w:rsidRPr="00842D3D">
        <w:rPr>
          <w:rFonts w:eastAsia="Calibri" w:cs="Times New Roman"/>
          <w:szCs w:val="24"/>
          <w:vertAlign w:val="superscript"/>
        </w:rPr>
        <w:t xml:space="preserve"> </w:t>
      </w:r>
      <w:r w:rsidRPr="00842D3D">
        <w:rPr>
          <w:rFonts w:eastAsia="Calibri" w:cs="Times New Roman"/>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xml:space="preserve"> at 891</w:t>
      </w:r>
      <w:bookmarkStart w:id="138" w:name="_Hlk186442789"/>
      <w:r w:rsidRPr="00842D3D">
        <w:rPr>
          <w:rFonts w:eastAsia="Calibri" w:cs="Times New Roman"/>
          <w:szCs w:val="24"/>
        </w:rPr>
        <w:t>;</w:t>
      </w:r>
      <w:r w:rsidRPr="00842D3D">
        <w:rPr>
          <w:rFonts w:eastAsia="Calibri" w:cs="Times New Roman"/>
          <w:i/>
          <w:iCs/>
          <w:szCs w:val="24"/>
        </w:rPr>
        <w:t xml:space="preserve"> see Spencer v. Pew</w:t>
      </w:r>
      <w:r w:rsidRPr="00842D3D">
        <w:rPr>
          <w:rFonts w:eastAsia="Calibri" w:cs="Times New Roman"/>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w:t>
      </w:r>
      <w:r w:rsidRPr="00842D3D">
        <w:rPr>
          <w:rFonts w:eastAsia="Calibri" w:cs="Times New Roman"/>
          <w:szCs w:val="24"/>
        </w:rPr>
        <w:lastRenderedPageBreak/>
        <w:t xml:space="preserve">or evidence that the two officers’ conduct set in motion acts that they reasonably should have known would cause the third officer to engage in unlawful conduct). </w:t>
      </w:r>
      <w:bookmarkEnd w:id="138"/>
      <w:r w:rsidRPr="00842D3D">
        <w:rPr>
          <w:rFonts w:eastAsia="Calibri" w:cs="Times New Roman"/>
          <w:szCs w:val="24"/>
        </w:rPr>
        <w:t>When liability is alleged against a defendant as an integral participant on this basis, the model instruction stated above will need to be modified.</w:t>
      </w:r>
    </w:p>
    <w:p w14:paraId="12F54A44" w14:textId="77777777" w:rsidR="00842D3D" w:rsidRPr="00842D3D" w:rsidRDefault="00842D3D" w:rsidP="00842D3D">
      <w:pPr>
        <w:rPr>
          <w:rFonts w:eastAsia="Calibri" w:cs="Times New Roman"/>
          <w:szCs w:val="24"/>
        </w:rPr>
      </w:pPr>
    </w:p>
    <w:p w14:paraId="672ECC3F"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Deliberate Fabrication</w:t>
      </w:r>
    </w:p>
    <w:p w14:paraId="095E79E9" w14:textId="77777777" w:rsidR="00842D3D" w:rsidRPr="00842D3D" w:rsidRDefault="00842D3D" w:rsidP="00842D3D">
      <w:pPr>
        <w:jc w:val="center"/>
        <w:rPr>
          <w:rFonts w:eastAsia="Calibri" w:cs="Times New Roman"/>
          <w:szCs w:val="24"/>
        </w:rPr>
      </w:pPr>
    </w:p>
    <w:p w14:paraId="08779E2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842D3D">
        <w:rPr>
          <w:rFonts w:eastAsia="Calibri" w:cs="Times New Roman"/>
          <w:i/>
          <w:iCs/>
          <w:szCs w:val="24"/>
        </w:rPr>
        <w:t>Caldwell v. City &amp; Cnty. of San Francisco</w:t>
      </w:r>
      <w:r w:rsidRPr="00842D3D">
        <w:rPr>
          <w:rFonts w:eastAsia="Calibri" w:cs="Times New Roman"/>
          <w:szCs w:val="24"/>
        </w:rPr>
        <w:t xml:space="preserve">, 889 F.3d 1105, 1115 (9th Cir. 2018) (quoting </w:t>
      </w:r>
      <w:r w:rsidRPr="00842D3D">
        <w:rPr>
          <w:rFonts w:eastAsia="Calibri" w:cs="Times New Roman"/>
          <w:i/>
          <w:iCs/>
          <w:szCs w:val="24"/>
        </w:rPr>
        <w:t>Smiddy v. Varney</w:t>
      </w:r>
      <w:r w:rsidRPr="00842D3D">
        <w:rPr>
          <w:rFonts w:eastAsia="Calibri" w:cs="Times New Roman"/>
          <w:szCs w:val="24"/>
        </w:rPr>
        <w:t xml:space="preserve">, 665 F.2d 261, 266 (9th Cir. 1981), </w:t>
      </w:r>
      <w:r w:rsidRPr="00842D3D">
        <w:rPr>
          <w:rFonts w:eastAsia="Calibri" w:cs="Times New Roman"/>
          <w:i/>
          <w:iCs/>
          <w:szCs w:val="24"/>
        </w:rPr>
        <w:t>overruled on other grounds by Beck v. City of Upland</w:t>
      </w:r>
      <w:r w:rsidRPr="00842D3D">
        <w:rPr>
          <w:rFonts w:eastAsia="Calibri" w:cs="Times New Roman"/>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Pr="00842D3D">
        <w:rPr>
          <w:rFonts w:eastAsia="Calibri" w:cs="Times New Roman"/>
          <w:i/>
          <w:iCs/>
          <w:szCs w:val="24"/>
        </w:rPr>
        <w:t>Caldwell</w:t>
      </w:r>
      <w:r w:rsidRPr="00842D3D">
        <w:rPr>
          <w:rFonts w:eastAsia="Calibri" w:cs="Times New Roman"/>
          <w:szCs w:val="24"/>
        </w:rPr>
        <w:t xml:space="preserve">, 889 F.3d at 1116. At that point, “the analysis reverts back to a normal causation question” and the issue again becomes whether the fabricated evidence was the cause in fact and proximate cause of the plaintiff’s injury. </w:t>
      </w:r>
      <w:r w:rsidRPr="00842D3D">
        <w:rPr>
          <w:rFonts w:eastAsia="Calibri" w:cs="Times New Roman"/>
          <w:i/>
          <w:iCs/>
          <w:szCs w:val="24"/>
        </w:rPr>
        <w:t>Id</w:t>
      </w:r>
      <w:r w:rsidRPr="00842D3D">
        <w:rPr>
          <w:rFonts w:eastAsia="Calibri" w:cs="Times New Roman"/>
          <w:szCs w:val="24"/>
        </w:rPr>
        <w:t>. at 1115-16.</w:t>
      </w:r>
    </w:p>
    <w:p w14:paraId="6FFA6AEC" w14:textId="77777777" w:rsidR="00842D3D" w:rsidRPr="00842D3D" w:rsidRDefault="00842D3D" w:rsidP="00842D3D">
      <w:pPr>
        <w:ind w:firstLine="720"/>
        <w:jc w:val="both"/>
        <w:rPr>
          <w:rFonts w:eastAsia="Calibri" w:cs="Times New Roman"/>
          <w:szCs w:val="24"/>
        </w:rPr>
      </w:pPr>
    </w:p>
    <w:p w14:paraId="74E4C12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First Amendment Retaliation Claims</w:t>
      </w:r>
    </w:p>
    <w:p w14:paraId="06D26104" w14:textId="77777777" w:rsidR="00842D3D" w:rsidRPr="00842D3D" w:rsidRDefault="00842D3D" w:rsidP="00842D3D">
      <w:pPr>
        <w:jc w:val="center"/>
        <w:rPr>
          <w:rFonts w:eastAsia="Calibri" w:cs="Times New Roman"/>
          <w:szCs w:val="24"/>
        </w:rPr>
      </w:pPr>
    </w:p>
    <w:p w14:paraId="4FE08F53" w14:textId="77777777" w:rsidR="00842D3D" w:rsidRPr="00842D3D" w:rsidRDefault="00842D3D" w:rsidP="00842D3D">
      <w:pPr>
        <w:ind w:firstLine="720"/>
        <w:rPr>
          <w:rFonts w:eastAsia="Calibri" w:cs="Times New Roman"/>
          <w:szCs w:val="24"/>
        </w:rPr>
      </w:pPr>
      <w:r w:rsidRPr="00842D3D">
        <w:rPr>
          <w:rFonts w:eastAsia="Calibri" w:cs="Times New Roman"/>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Amendment—“Citizen” Plaintiff).</w:t>
      </w:r>
    </w:p>
    <w:p w14:paraId="74E737D2" w14:textId="77777777" w:rsidR="00842D3D" w:rsidRPr="00842D3D" w:rsidRDefault="00842D3D" w:rsidP="00842D3D">
      <w:pPr>
        <w:ind w:firstLine="720"/>
        <w:jc w:val="both"/>
        <w:rPr>
          <w:rFonts w:eastAsia="Calibri" w:cs="Times New Roman"/>
          <w:szCs w:val="24"/>
        </w:rPr>
      </w:pPr>
    </w:p>
    <w:p w14:paraId="655556DE" w14:textId="77777777" w:rsidR="00842D3D" w:rsidRPr="00842D3D" w:rsidRDefault="00842D3D" w:rsidP="00842D3D">
      <w:pPr>
        <w:jc w:val="center"/>
        <w:rPr>
          <w:rFonts w:eastAsia="Calibri" w:cs="Times New Roman"/>
          <w:b/>
          <w:bCs/>
          <w:szCs w:val="24"/>
        </w:rPr>
      </w:pPr>
      <w:r w:rsidRPr="00842D3D">
        <w:rPr>
          <w:rFonts w:eastAsia="Calibri" w:cs="Times New Roman"/>
          <w:b/>
          <w:bCs/>
          <w:i/>
          <w:iCs/>
          <w:szCs w:val="24"/>
        </w:rPr>
        <w:t>Monell</w:t>
      </w:r>
      <w:r w:rsidRPr="00842D3D">
        <w:rPr>
          <w:rFonts w:eastAsia="Calibri" w:cs="Times New Roman"/>
          <w:b/>
          <w:bCs/>
          <w:szCs w:val="24"/>
        </w:rPr>
        <w:t xml:space="preserve"> Claims</w:t>
      </w:r>
    </w:p>
    <w:p w14:paraId="15F26BED" w14:textId="77777777" w:rsidR="00842D3D" w:rsidRPr="00842D3D" w:rsidRDefault="00842D3D" w:rsidP="00842D3D">
      <w:pPr>
        <w:jc w:val="center"/>
        <w:rPr>
          <w:rFonts w:eastAsia="Calibri" w:cs="Times New Roman"/>
          <w:szCs w:val="24"/>
        </w:rPr>
      </w:pPr>
    </w:p>
    <w:p w14:paraId="10231E7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w:t>
      </w:r>
      <w:r w:rsidRPr="00842D3D">
        <w:rPr>
          <w:rFonts w:eastAsia="Calibri" w:cs="Times New Roman"/>
          <w:i/>
          <w:iCs/>
          <w:szCs w:val="24"/>
        </w:rPr>
        <w:t>Monell</w:t>
      </w:r>
      <w:r w:rsidRPr="00842D3D">
        <w:rPr>
          <w:rFonts w:eastAsia="Calibri" w:cs="Times New Roman"/>
          <w:szCs w:val="24"/>
        </w:rPr>
        <w:t xml:space="preserve">, a plaintiff must also show that the policy at issue was the ‘actionable cause’ of the constitutional violation, which requires showing both but for and proximate causation.” </w:t>
      </w:r>
      <w:r w:rsidRPr="00842D3D">
        <w:rPr>
          <w:rFonts w:eastAsia="Calibri" w:cs="Times New Roman"/>
          <w:i/>
          <w:iCs/>
          <w:szCs w:val="24"/>
        </w:rPr>
        <w:t>Tsao v. Desert Palace, Inc.</w:t>
      </w:r>
      <w:r w:rsidRPr="00842D3D">
        <w:rPr>
          <w:rFonts w:eastAsia="Calibri" w:cs="Times New Roman"/>
          <w:szCs w:val="24"/>
        </w:rPr>
        <w:t xml:space="preserve">, 698 F.3d 1128, 1146 (9th Cir. 2012) (citing </w:t>
      </w:r>
      <w:r w:rsidRPr="00842D3D">
        <w:rPr>
          <w:rFonts w:eastAsia="Calibri" w:cs="Times New Roman"/>
          <w:i/>
          <w:iCs/>
          <w:szCs w:val="24"/>
        </w:rPr>
        <w:t>Harper</w:t>
      </w:r>
      <w:r w:rsidRPr="00842D3D">
        <w:rPr>
          <w:rFonts w:eastAsia="Calibri" w:cs="Times New Roman"/>
          <w:szCs w:val="24"/>
        </w:rPr>
        <w:t>, 533 F.3d at 1026). Regardless of what theory the plaintiff employs to establish municipal liability—policy, custom, or failure to train—the plaintiff must establish that the policy or custom is the “moving force” behind the constitutional violation.</w:t>
      </w:r>
      <w:r w:rsidRPr="00842D3D">
        <w:rPr>
          <w:rFonts w:eastAsia="Calibri" w:cs="Times New Roman"/>
          <w:i/>
          <w:iCs/>
          <w:szCs w:val="24"/>
        </w:rPr>
        <w:t xml:space="preserve"> City of Canton v. Harris</w:t>
      </w:r>
      <w:r w:rsidRPr="00842D3D">
        <w:rPr>
          <w:rFonts w:eastAsia="Calibri" w:cs="Times New Roman"/>
          <w:szCs w:val="24"/>
        </w:rPr>
        <w:t xml:space="preserve">, 489 U.S. 378, 389 (1989); </w:t>
      </w:r>
      <w:r w:rsidRPr="00842D3D">
        <w:rPr>
          <w:rFonts w:eastAsia="Calibri" w:cs="Times New Roman"/>
          <w:i/>
          <w:iCs/>
          <w:szCs w:val="24"/>
        </w:rPr>
        <w:t>see Gravelet-Blondin v. Shelton</w:t>
      </w:r>
      <w:r w:rsidRPr="00842D3D">
        <w:rPr>
          <w:rFonts w:eastAsia="Calibri" w:cs="Times New Roman"/>
          <w:szCs w:val="24"/>
        </w:rPr>
        <w:t xml:space="preserve">, 728 F.3d 1086, 1096 (9th Cir. 2013). To meet the moving force requirement, “the plaintiff must show both causation-in-fact and proximate causation.” </w:t>
      </w:r>
      <w:r w:rsidRPr="00842D3D">
        <w:rPr>
          <w:rFonts w:eastAsia="Calibri" w:cs="Times New Roman"/>
          <w:i/>
          <w:iCs/>
          <w:szCs w:val="24"/>
        </w:rPr>
        <w:t>Gravelet-Blondin</w:t>
      </w:r>
      <w:r w:rsidRPr="00842D3D">
        <w:rPr>
          <w:rFonts w:eastAsia="Calibri" w:cs="Times New Roman"/>
          <w:szCs w:val="24"/>
        </w:rPr>
        <w:t>, 728 F.3d at 1096. If the plaintiff relies on the theory of ratification, see Instruction 9.7 (Section 1983 Claim Against Local Governing Body Defendants Based on Ratification—Elements and Burden of Proof), which discusses ratification and causation.</w:t>
      </w:r>
    </w:p>
    <w:p w14:paraId="2E53A97F" w14:textId="77777777" w:rsidR="00842D3D" w:rsidRPr="00842D3D" w:rsidRDefault="00842D3D" w:rsidP="00842D3D">
      <w:pPr>
        <w:ind w:firstLine="720"/>
        <w:rPr>
          <w:rFonts w:eastAsia="Calibri" w:cs="Times New Roman"/>
          <w:szCs w:val="24"/>
        </w:rPr>
      </w:pPr>
    </w:p>
    <w:p w14:paraId="5A9A3BC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Oviatt v. Pearce</w:t>
      </w:r>
      <w:r w:rsidRPr="00842D3D">
        <w:rPr>
          <w:rFonts w:eastAsia="Calibri" w:cs="Times New Roman"/>
          <w:szCs w:val="24"/>
        </w:rPr>
        <w:t xml:space="preserve">, 954 F.2d 1470, 1481 (9th Cir. 1992), the Ninth Circuit approved the trial court’s “moving force” instruction on causation in a § 1983 </w:t>
      </w:r>
      <w:r w:rsidRPr="00842D3D">
        <w:rPr>
          <w:rFonts w:eastAsia="Calibri" w:cs="Times New Roman"/>
          <w:i/>
          <w:iCs/>
          <w:szCs w:val="24"/>
        </w:rPr>
        <w:t>Monell</w:t>
      </w:r>
      <w:r w:rsidRPr="00842D3D">
        <w:rPr>
          <w:rFonts w:eastAsia="Calibri" w:cs="Times New Roman"/>
          <w:szCs w:val="24"/>
        </w:rPr>
        <w:t xml:space="preserve"> claim as follows: </w:t>
      </w:r>
    </w:p>
    <w:p w14:paraId="69F569C2" w14:textId="77777777" w:rsidR="00842D3D" w:rsidRPr="00842D3D" w:rsidRDefault="00842D3D" w:rsidP="00842D3D">
      <w:pPr>
        <w:jc w:val="both"/>
        <w:rPr>
          <w:rFonts w:eastAsia="Calibri" w:cs="Times New Roman"/>
          <w:szCs w:val="24"/>
        </w:rPr>
      </w:pPr>
    </w:p>
    <w:p w14:paraId="06E73775"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lastRenderedPageBreak/>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842D3D">
        <w:rPr>
          <w:rFonts w:eastAsia="Calibri" w:cs="Times New Roman"/>
          <w:i/>
          <w:iCs/>
          <w:szCs w:val="24"/>
        </w:rPr>
        <w:t>City of Canton</w:t>
      </w:r>
      <w:r w:rsidRPr="00842D3D">
        <w:rPr>
          <w:rFonts w:eastAsia="Calibri" w:cs="Times New Roman"/>
          <w:szCs w:val="24"/>
        </w:rPr>
        <w:t xml:space="preserve">, we find that it correctly stated the law and adequately covered the issue of causation. </w:t>
      </w:r>
      <w:r w:rsidRPr="00842D3D">
        <w:rPr>
          <w:rFonts w:eastAsia="Calibri" w:cs="Times New Roman"/>
          <w:i/>
          <w:iCs/>
          <w:szCs w:val="24"/>
        </w:rPr>
        <w:t>See City of Canton</w:t>
      </w:r>
      <w:r w:rsidRPr="00842D3D">
        <w:rPr>
          <w:rFonts w:eastAsia="Calibri" w:cs="Times New Roman"/>
          <w:szCs w:val="24"/>
        </w:rPr>
        <w:t xml:space="preserve">, 489 U.S. at 391 (“the identified deficiency in a city’s training program must be </w:t>
      </w:r>
      <w:r w:rsidRPr="00842D3D">
        <w:rPr>
          <w:rFonts w:eastAsia="Calibri" w:cs="Times New Roman"/>
          <w:i/>
          <w:iCs/>
          <w:szCs w:val="24"/>
        </w:rPr>
        <w:t>closely related to the ultimate injury</w:t>
      </w:r>
      <w:r w:rsidRPr="00842D3D">
        <w:rPr>
          <w:rFonts w:eastAsia="Calibri" w:cs="Times New Roman"/>
          <w:szCs w:val="24"/>
        </w:rPr>
        <w:t>.”) (emphasis in original).</w:t>
      </w:r>
    </w:p>
    <w:p w14:paraId="6F474045" w14:textId="77777777" w:rsidR="00842D3D" w:rsidRPr="00842D3D" w:rsidRDefault="00842D3D" w:rsidP="00842D3D">
      <w:pPr>
        <w:ind w:left="720" w:right="720" w:firstLine="720"/>
        <w:jc w:val="both"/>
        <w:rPr>
          <w:rFonts w:eastAsia="Calibri" w:cs="Times New Roman"/>
          <w:szCs w:val="24"/>
        </w:rPr>
      </w:pPr>
    </w:p>
    <w:p w14:paraId="1B797CD2"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Concurrent Cause</w:t>
      </w:r>
    </w:p>
    <w:p w14:paraId="1EB6518B" w14:textId="77777777" w:rsidR="00842D3D" w:rsidRPr="00842D3D" w:rsidRDefault="00842D3D" w:rsidP="00842D3D">
      <w:pPr>
        <w:jc w:val="center"/>
        <w:rPr>
          <w:rFonts w:eastAsia="Calibri" w:cs="Times New Roman"/>
          <w:szCs w:val="24"/>
        </w:rPr>
      </w:pPr>
    </w:p>
    <w:p w14:paraId="5362FF6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Jones v. Williams</w:t>
      </w:r>
      <w:r w:rsidRPr="00842D3D">
        <w:rPr>
          <w:rFonts w:eastAsia="Calibri"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842D3D">
        <w:rPr>
          <w:rFonts w:eastAsia="Calibri" w:cs="Times New Roman"/>
          <w:i/>
          <w:iCs/>
          <w:szCs w:val="24"/>
        </w:rPr>
        <w:t>Jones v. Williams</w:t>
      </w:r>
      <w:r w:rsidRPr="00842D3D">
        <w:rPr>
          <w:rFonts w:eastAsia="Calibri" w:cs="Times New Roman"/>
          <w:szCs w:val="24"/>
        </w:rPr>
        <w:t>, 297 F.3d 930, 937 n.6 (9th Cir. 2002).</w:t>
      </w:r>
    </w:p>
    <w:p w14:paraId="17EC5428"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065382E" w14:textId="77777777" w:rsidR="00842D3D" w:rsidRPr="00842D3D" w:rsidRDefault="00842D3D" w:rsidP="00842D3D">
      <w:pPr>
        <w:jc w:val="right"/>
        <w:rPr>
          <w:rFonts w:eastAsia="Calibri" w:cs="Times New Roman"/>
          <w:i/>
          <w:iCs/>
          <w:szCs w:val="24"/>
        </w:rPr>
      </w:pPr>
    </w:p>
    <w:p w14:paraId="262918A6" w14:textId="77777777" w:rsidR="00842D3D" w:rsidRPr="00842D3D" w:rsidRDefault="00842D3D" w:rsidP="00FF121D">
      <w:pPr>
        <w:pStyle w:val="Heading2"/>
      </w:pPr>
      <w:r w:rsidRPr="00842D3D">
        <w:br w:type="page"/>
      </w:r>
      <w:bookmarkStart w:id="139" w:name="_Toc221525167"/>
      <w:r w:rsidRPr="00842D3D">
        <w:lastRenderedPageBreak/>
        <w:t>9.3 Section 1983 Claim Against Defendant in Individual Capacity—Elements and Burden of Proof</w:t>
      </w:r>
      <w:bookmarkEnd w:id="139"/>
    </w:p>
    <w:p w14:paraId="11A36D47" w14:textId="77777777" w:rsidR="00842D3D" w:rsidRPr="00842D3D" w:rsidRDefault="00842D3D" w:rsidP="00842D3D">
      <w:pPr>
        <w:rPr>
          <w:rFonts w:eastAsia="Calibri" w:cs="Times New Roman"/>
          <w:szCs w:val="24"/>
        </w:rPr>
      </w:pPr>
    </w:p>
    <w:p w14:paraId="45A3EF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a § 1983 claim against the defendant [</w:t>
      </w:r>
      <w:r w:rsidRPr="00842D3D">
        <w:rPr>
          <w:rFonts w:eastAsia="Calibri" w:cs="Times New Roman"/>
          <w:i/>
          <w:iCs/>
          <w:szCs w:val="24"/>
          <w:u w:val="single"/>
        </w:rPr>
        <w:t>name of individual defendant</w:t>
      </w:r>
      <w:r w:rsidRPr="00842D3D">
        <w:rPr>
          <w:rFonts w:eastAsia="Calibri" w:cs="Times New Roman"/>
          <w:szCs w:val="24"/>
        </w:rPr>
        <w:t>], the plaintiff must prove each of the following elements by a preponderance of the evidence:</w:t>
      </w:r>
      <w:r w:rsidRPr="00842D3D">
        <w:rPr>
          <w:rFonts w:eastAsia="Calibri" w:cs="Times New Roman"/>
          <w:szCs w:val="24"/>
        </w:rPr>
        <w:tab/>
      </w:r>
    </w:p>
    <w:p w14:paraId="3D289A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9AA0124"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 xml:space="preserve">First, the defendant </w:t>
      </w:r>
      <w:bookmarkStart w:id="140" w:name="_Hlk204160823"/>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bookmarkEnd w:id="140"/>
      <w:r w:rsidRPr="00842D3D">
        <w:rPr>
          <w:rFonts w:eastAsia="Calibri" w:cs="Times New Roman"/>
          <w:szCs w:val="24"/>
        </w:rPr>
        <w:t>acted under color of state law; and</w:t>
      </w:r>
    </w:p>
    <w:p w14:paraId="69FAB2EB"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51AED057"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and </w:t>
      </w:r>
    </w:p>
    <w:p w14:paraId="3A7B73D2"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p>
    <w:p w14:paraId="2D170D71"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]’s conduct was an actual cause of the claimed injury.</w:t>
      </w:r>
    </w:p>
    <w:p w14:paraId="686B6CD5" w14:textId="77777777" w:rsidR="00842D3D" w:rsidRPr="00842D3D" w:rsidRDefault="00842D3D" w:rsidP="00842D3D">
      <w:pPr>
        <w:autoSpaceDE w:val="0"/>
        <w:autoSpaceDN w:val="0"/>
        <w:adjustRightInd w:val="0"/>
        <w:rPr>
          <w:rFonts w:eastAsia="Calibri" w:cs="Times New Roman"/>
          <w:szCs w:val="24"/>
        </w:rPr>
      </w:pPr>
    </w:p>
    <w:p w14:paraId="7C3B1D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[I instruct you] that the defendant [</w:t>
      </w:r>
      <w:r w:rsidRPr="00842D3D">
        <w:rPr>
          <w:rFonts w:eastAsia="Calibri" w:cs="Times New Roman"/>
          <w:i/>
          <w:iCs/>
          <w:szCs w:val="24"/>
          <w:u w:val="single"/>
        </w:rPr>
        <w:t>name</w:t>
      </w:r>
      <w:r w:rsidRPr="00842D3D">
        <w:rPr>
          <w:rFonts w:eastAsia="Calibri" w:cs="Times New Roman"/>
          <w:szCs w:val="24"/>
        </w:rPr>
        <w:t>] acted under color of state law.]</w:t>
      </w:r>
    </w:p>
    <w:p w14:paraId="02F4A19E" w14:textId="77777777" w:rsidR="00842D3D" w:rsidRPr="00842D3D" w:rsidRDefault="00842D3D" w:rsidP="00842D3D">
      <w:pPr>
        <w:autoSpaceDE w:val="0"/>
        <w:autoSpaceDN w:val="0"/>
        <w:adjustRightInd w:val="0"/>
        <w:rPr>
          <w:rFonts w:eastAsia="Calibri" w:cs="Times New Roman"/>
          <w:szCs w:val="24"/>
        </w:rPr>
      </w:pPr>
    </w:p>
    <w:p w14:paraId="7DE8DC1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Cs/>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bCs/>
          <w:szCs w:val="24"/>
        </w:rPr>
        <w:t xml:space="preserve">’s conduct is an actual cause </w:t>
      </w:r>
      <w:r w:rsidRPr="00842D3D">
        <w:rPr>
          <w:rFonts w:eastAsia="Calibri" w:cs="Times New Roman"/>
          <w:szCs w:val="24"/>
        </w:rPr>
        <w:t>of a plaintiff [</w:t>
      </w:r>
      <w:r w:rsidRPr="00842D3D">
        <w:rPr>
          <w:rFonts w:eastAsia="Calibri" w:cs="Times New Roman"/>
          <w:i/>
          <w:iCs/>
          <w:szCs w:val="24"/>
          <w:u w:val="single"/>
        </w:rPr>
        <w:t>name</w:t>
      </w:r>
      <w:r w:rsidRPr="00842D3D">
        <w:rPr>
          <w:rFonts w:eastAsia="Calibri" w:cs="Times New Roman"/>
          <w:szCs w:val="24"/>
        </w:rPr>
        <w:t>]'s injury only if the injury would not have occurred ‘but for' that conduct, and the conduct has a sufficient connection to the result.</w:t>
      </w:r>
    </w:p>
    <w:p w14:paraId="694FAF27" w14:textId="77777777" w:rsidR="00842D3D" w:rsidRPr="00842D3D" w:rsidRDefault="00842D3D" w:rsidP="00842D3D">
      <w:pPr>
        <w:autoSpaceDE w:val="0"/>
        <w:autoSpaceDN w:val="0"/>
        <w:adjustRightInd w:val="0"/>
        <w:rPr>
          <w:rFonts w:eastAsia="Calibri" w:cs="Times New Roman"/>
          <w:szCs w:val="24"/>
        </w:rPr>
      </w:pPr>
    </w:p>
    <w:p w14:paraId="30FF4B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the plaintiff has proved each of these elements, and if you find that the plaintiff has proved all the elements the plaintiff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4CFE644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5659C8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4D5C161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60C7CD10" w14:textId="35C60680"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Such an instruction should set forth the additional elements a plaintiff must establish to prove the violation of the particular constitutional right or federal law at issue.</w:t>
      </w:r>
    </w:p>
    <w:p w14:paraId="6C12C9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27D4F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Calibri" w:cs="Times New Roman"/>
          <w:szCs w:val="24"/>
        </w:rPr>
        <w:lastRenderedPageBreak/>
        <w:t xml:space="preserve">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2F708C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B8ED2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rPr>
      </w:pPr>
      <w:r w:rsidRPr="00842D3D">
        <w:rPr>
          <w:rFonts w:eastAsia="Calibri" w:cs="Times New Roman"/>
          <w:szCs w:val="24"/>
        </w:rPr>
        <w:tab/>
        <w:t>The elements of a § 1983 claim are (1) the action was committed by a person acting</w:t>
      </w:r>
      <w:r w:rsidRPr="00842D3D" w:rsidDel="00895340">
        <w:rPr>
          <w:rFonts w:eastAsia="Calibri" w:cs="Times New Roman"/>
          <w:szCs w:val="24"/>
        </w:rPr>
        <w:t xml:space="preserve"> </w:t>
      </w:r>
      <w:r w:rsidRPr="00842D3D">
        <w:rPr>
          <w:rFonts w:eastAsia="Calibri" w:cs="Times New Roman"/>
          <w:szCs w:val="24"/>
        </w:rPr>
        <w:t xml:space="preserve">“under color of state law” and (2) the action resulted in the deprivation of a constitutional right or federal statutory right. </w:t>
      </w:r>
      <w:r w:rsidRPr="00842D3D">
        <w:rPr>
          <w:rFonts w:eastAsia="Calibri" w:cs="Times New Roman"/>
          <w:i/>
          <w:iCs/>
          <w:szCs w:val="24"/>
        </w:rPr>
        <w:t>Ochoa v. Pub. Consulting Grp., Inc.</w:t>
      </w:r>
      <w:r w:rsidRPr="00842D3D">
        <w:rPr>
          <w:rFonts w:eastAsia="Calibri" w:cs="Times New Roman"/>
          <w:szCs w:val="24"/>
        </w:rPr>
        <w:t>, 48 F.4th 1102, 1107 (9th Cir. 2022) (quoting</w:t>
      </w:r>
      <w:r w:rsidRPr="00842D3D">
        <w:rPr>
          <w:rFonts w:eastAsia="Calibri" w:cs="Times New Roman"/>
          <w:i/>
          <w:iCs/>
          <w:szCs w:val="24"/>
        </w:rPr>
        <w:t xml:space="preserve"> West v. Atkins</w:t>
      </w:r>
      <w:r w:rsidRPr="00842D3D">
        <w:rPr>
          <w:rFonts w:eastAsia="Calibri" w:cs="Times New Roman"/>
          <w:szCs w:val="24"/>
        </w:rPr>
        <w:t xml:space="preserve">, 487 U.S. 42, 48 (1988)). To be individually liable under § 1983, an individual must personally participate in an alleged rights deprivation. </w:t>
      </w:r>
      <w:r w:rsidRPr="00842D3D">
        <w:rPr>
          <w:rFonts w:eastAsia="Calibri" w:cs="Times New Roman"/>
          <w:i/>
          <w:iCs/>
          <w:szCs w:val="24"/>
        </w:rPr>
        <w:t>Avalos v. Baca</w:t>
      </w:r>
      <w:r w:rsidRPr="00842D3D">
        <w:rPr>
          <w:rFonts w:eastAsia="Calibri" w:cs="Times New Roman"/>
          <w:szCs w:val="24"/>
        </w:rPr>
        <w:t xml:space="preserve">, 596 F.3d 583, 587 </w:t>
      </w:r>
      <w:r w:rsidRPr="00842D3D">
        <w:rPr>
          <w:rFonts w:eastAsia="Calibri" w:cs="Times New Roman"/>
        </w:rPr>
        <w:t xml:space="preserve">(9th Cir. 2010). In </w:t>
      </w:r>
      <w:r w:rsidRPr="00842D3D">
        <w:rPr>
          <w:rFonts w:eastAsia="Calibri" w:cs="Times New Roman"/>
          <w:i/>
          <w:iCs/>
        </w:rPr>
        <w:t>Damiano v. Grants Pass School District No. 7</w:t>
      </w:r>
      <w:r w:rsidRPr="00842D3D">
        <w:rPr>
          <w:rFonts w:eastAsia="Calibri" w:cs="Times New Roman"/>
        </w:rPr>
        <w:t xml:space="preserve">, 140 F.4th 1117, 1153 (9th Cir. 2025), the Ninth Circuit held that individual board members may be personally liable for board decisions that require a majority vote. </w:t>
      </w:r>
    </w:p>
    <w:p w14:paraId="506F516D" w14:textId="77777777" w:rsidR="00842D3D" w:rsidRPr="00842D3D" w:rsidRDefault="00842D3D" w:rsidP="00842D3D">
      <w:pPr>
        <w:ind w:firstLine="720"/>
        <w:rPr>
          <w:rFonts w:eastAsia="Calibri" w:cs="Times New Roman"/>
        </w:rPr>
      </w:pPr>
    </w:p>
    <w:p w14:paraId="5993B56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rPr>
        <w:tab/>
        <w:t xml:space="preserve">For a discussion of whether a public official's social media activity constitutes action under color of state law, see </w:t>
      </w:r>
      <w:r w:rsidRPr="00842D3D">
        <w:rPr>
          <w:rFonts w:eastAsia="Calibri" w:cs="Times New Roman"/>
          <w:i/>
          <w:iCs/>
        </w:rPr>
        <w:t>Lindke v. Freed</w:t>
      </w:r>
      <w:r w:rsidRPr="00842D3D">
        <w:rPr>
          <w:rFonts w:eastAsia="Calibri" w:cs="Times New Roman"/>
        </w:rPr>
        <w:t xml:space="preserve">, 601 U.S. 187, 199 (2024) (holding that where a city manager deleted comments from posts on his individual social media page and blocked the commenter, a showing of state action would require a plaintiff to show that the city manager “(1) had actual authority to speak on behalf of the State on a particular matter, and (2) purported to exercise that authority in the relevant posts”); </w:t>
      </w:r>
      <w:r w:rsidRPr="00842D3D">
        <w:rPr>
          <w:rFonts w:eastAsia="Calibri" w:cs="Times New Roman"/>
          <w:i/>
          <w:iCs/>
        </w:rPr>
        <w:t>Garnier v. O'Connor-Ratcliff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p>
    <w:p w14:paraId="12A27B4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7E60CE6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 1983 action, the plaintiff must also demonstrate that the defendant’s conduct was the actionable cause of the claimed injury.” </w:t>
      </w:r>
      <w:r w:rsidRPr="00842D3D">
        <w:rPr>
          <w:rFonts w:eastAsia="Calibri" w:cs="Times New Roman"/>
          <w:i/>
          <w:iCs/>
          <w:szCs w:val="24"/>
        </w:rPr>
        <w:t>Bearchild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Chaudhry v. Aragon</w:t>
      </w:r>
      <w:r w:rsidRPr="00842D3D">
        <w:rPr>
          <w:rFonts w:eastAsia="Calibri" w:cs="Times New Roman"/>
          <w:szCs w:val="24"/>
        </w:rPr>
        <w:t>, 68 F.4th 1161, 1169 nn.11-12 (9th Cir. 2023) (defining causation-in-fact and proximate causation).</w:t>
      </w:r>
    </w:p>
    <w:p w14:paraId="62DB1D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003C1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Reynaga Hernandez v. Skinner</w:t>
      </w:r>
      <w:r w:rsidRPr="00842D3D">
        <w:rPr>
          <w:rFonts w:eastAsia="Calibri" w:cs="Times New Roman"/>
          <w:szCs w:val="24"/>
        </w:rPr>
        <w:t xml:space="preserve">, 969 F.3d 930, 941-42 (9th Cir. 2020), the Ninth Circuit discussed, for the first time, the minimum level of involvement needed for § 1983 liability under the integral-participant doctrine. </w:t>
      </w:r>
      <w:bookmarkStart w:id="141" w:name="_Hlk126231110"/>
      <w:r w:rsidRPr="00842D3D">
        <w:rPr>
          <w:rFonts w:eastAsia="Calibri" w:cs="Times New Roman"/>
          <w:szCs w:val="24"/>
        </w:rPr>
        <w:t xml:space="preserve">An actor may be deemed to have caused a constitutional violation under the “integral-participant doctrine,”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Peck v. Montoya</w:t>
      </w:r>
      <w:r w:rsidRPr="00842D3D">
        <w:rPr>
          <w:rFonts w:eastAsia="Calibri" w:cs="Times New Roman"/>
          <w:szCs w:val="24"/>
        </w:rPr>
        <w:t xml:space="preserve">, 51 F.4th 877, 891 (9th Cir. 2022); </w:t>
      </w:r>
      <w:r w:rsidRPr="00842D3D">
        <w:rPr>
          <w:rFonts w:eastAsia="Calibri" w:cs="Times New Roman"/>
          <w:i/>
          <w:iCs/>
          <w:szCs w:val="24"/>
        </w:rPr>
        <w:t xml:space="preserve">see id. </w:t>
      </w:r>
      <w:r w:rsidRPr="00842D3D">
        <w:rPr>
          <w:rFonts w:eastAsia="Calibri" w:cs="Times New Roman"/>
          <w:szCs w:val="24"/>
        </w:rPr>
        <w:t>at 889-92 (holding that when non shooting officers did not form a plan with shooting officers to shoot suspect, did not set in motion acts by shooting officers, and did not know or should have known constitutional violation would occur, non-shooting officers were not integral participants in constitutional violation);</w:t>
      </w:r>
      <w:r w:rsidRPr="00842D3D">
        <w:rPr>
          <w:rFonts w:eastAsia="Calibri" w:cs="Times New Roman"/>
          <w:i/>
          <w:iCs/>
          <w:szCs w:val="24"/>
        </w:rPr>
        <w:t xml:space="preserve"> see Spencer v. Pew</w:t>
      </w:r>
      <w:r w:rsidRPr="00842D3D">
        <w:rPr>
          <w:rFonts w:eastAsia="Calibri" w:cs="Times New Roman"/>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w:t>
      </w:r>
      <w:r w:rsidRPr="00842D3D">
        <w:rPr>
          <w:rFonts w:eastAsia="Calibri" w:cs="Times New Roman"/>
          <w:szCs w:val="24"/>
        </w:rPr>
        <w:lastRenderedPageBreak/>
        <w:t>cause the third officer to engage in unlawful conduct).</w:t>
      </w:r>
      <w:bookmarkEnd w:id="141"/>
      <w:r w:rsidRPr="00842D3D">
        <w:rPr>
          <w:rFonts w:eastAsia="Calibri" w:cs="Times New Roman"/>
          <w:szCs w:val="24"/>
        </w:rPr>
        <w:t xml:space="preserve"> When liability is alleged against a defendant on this basis, the model instruction stated above will need to be modified. </w:t>
      </w:r>
    </w:p>
    <w:p w14:paraId="230DF06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8CCAC81"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0F02D231" w14:textId="77777777" w:rsidR="00842D3D" w:rsidRPr="00842D3D" w:rsidRDefault="00842D3D" w:rsidP="00FF121D">
      <w:pPr>
        <w:pStyle w:val="Heading2"/>
      </w:pPr>
      <w:r w:rsidRPr="00842D3D">
        <w:br w:type="page"/>
      </w:r>
      <w:bookmarkStart w:id="142" w:name="_Toc221525168"/>
      <w:r w:rsidRPr="00842D3D">
        <w:lastRenderedPageBreak/>
        <w:t>9.4 Section 1983 Claim Against Supervisory Defendant In Individual Capacity—Elements and Burden of Proof</w:t>
      </w:r>
      <w:bookmarkEnd w:id="142"/>
    </w:p>
    <w:p w14:paraId="7A4668E8" w14:textId="77777777" w:rsidR="00842D3D" w:rsidRPr="00842D3D" w:rsidRDefault="00842D3D" w:rsidP="00842D3D">
      <w:pPr>
        <w:rPr>
          <w:rFonts w:eastAsia="Calibri" w:cs="Times New Roman"/>
          <w:szCs w:val="24"/>
        </w:rPr>
      </w:pPr>
    </w:p>
    <w:p w14:paraId="7A33749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 [</w:t>
      </w:r>
      <w:r w:rsidRPr="00842D3D">
        <w:rPr>
          <w:rFonts w:eastAsia="Calibri" w:cs="Times New Roman"/>
          <w:i/>
          <w:iCs/>
          <w:szCs w:val="24"/>
          <w:u w:val="single"/>
        </w:rPr>
        <w:t>name</w:t>
      </w:r>
      <w:r w:rsidRPr="00842D3D">
        <w:rPr>
          <w:rFonts w:eastAsia="Calibri" w:cs="Times New Roman"/>
          <w:szCs w:val="24"/>
        </w:rPr>
        <w:t>]’s § 1983 claim against the supervisory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230C4BFA" w14:textId="77777777" w:rsidR="00842D3D" w:rsidRPr="00842D3D" w:rsidRDefault="00842D3D" w:rsidP="00842D3D">
      <w:pPr>
        <w:autoSpaceDE w:val="0"/>
        <w:autoSpaceDN w:val="0"/>
        <w:adjustRightInd w:val="0"/>
        <w:rPr>
          <w:rFonts w:eastAsia="Calibri" w:cs="Times New Roman"/>
          <w:szCs w:val="24"/>
        </w:rPr>
      </w:pPr>
    </w:p>
    <w:p w14:paraId="29CB733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supervisory defendant [</w:t>
      </w:r>
      <w:r w:rsidRPr="00842D3D">
        <w:rPr>
          <w:rFonts w:eastAsia="Calibri" w:cs="Times New Roman"/>
          <w:i/>
          <w:iCs/>
          <w:szCs w:val="24"/>
          <w:u w:val="single"/>
        </w:rPr>
        <w:t>name</w:t>
      </w:r>
      <w:r w:rsidRPr="00842D3D">
        <w:rPr>
          <w:rFonts w:eastAsia="Calibri" w:cs="Times New Roman"/>
          <w:szCs w:val="24"/>
        </w:rPr>
        <w:t>] acted under color of state law;</w:t>
      </w:r>
    </w:p>
    <w:p w14:paraId="7D0EC935" w14:textId="77777777" w:rsidR="00842D3D" w:rsidRPr="00842D3D" w:rsidRDefault="00842D3D" w:rsidP="00842D3D">
      <w:pPr>
        <w:tabs>
          <w:tab w:val="left" w:pos="1350"/>
        </w:tabs>
        <w:autoSpaceDE w:val="0"/>
        <w:autoSpaceDN w:val="0"/>
        <w:adjustRightInd w:val="0"/>
        <w:rPr>
          <w:rFonts w:eastAsia="Calibri" w:cs="Times New Roman"/>
          <w:szCs w:val="24"/>
        </w:rPr>
      </w:pPr>
    </w:p>
    <w:p w14:paraId="3B49EF1D"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[act[s]] [failure to act] of the supervisory defendant [</w:t>
      </w:r>
      <w:r w:rsidRPr="00842D3D">
        <w:rPr>
          <w:rFonts w:eastAsia="Calibri" w:cs="Times New Roman"/>
          <w:i/>
          <w:iCs/>
          <w:szCs w:val="24"/>
          <w:u w:val="single"/>
        </w:rPr>
        <w:t>name</w:t>
      </w:r>
      <w:r w:rsidRPr="00842D3D">
        <w:rPr>
          <w:rFonts w:eastAsia="Calibri" w:cs="Times New Roman"/>
          <w:szCs w:val="24"/>
        </w:rPr>
        <w:t>]’s subordinate[s]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1E6704ED" w14:textId="77777777" w:rsidR="00842D3D" w:rsidRPr="00842D3D" w:rsidRDefault="00842D3D" w:rsidP="00842D3D">
      <w:pPr>
        <w:tabs>
          <w:tab w:val="left" w:pos="1350"/>
        </w:tabs>
        <w:autoSpaceDE w:val="0"/>
        <w:autoSpaceDN w:val="0"/>
        <w:adjustRightInd w:val="0"/>
        <w:rPr>
          <w:rFonts w:eastAsia="Calibri" w:cs="Times New Roman"/>
          <w:szCs w:val="24"/>
        </w:rPr>
      </w:pPr>
    </w:p>
    <w:p w14:paraId="7134C652"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supervisory defendant [</w:t>
      </w:r>
      <w:r w:rsidRPr="00842D3D">
        <w:rPr>
          <w:rFonts w:eastAsia="Calibri" w:cs="Times New Roman"/>
          <w:i/>
          <w:iCs/>
          <w:szCs w:val="24"/>
          <w:u w:val="single"/>
        </w:rPr>
        <w:t>name</w:t>
      </w:r>
      <w:r w:rsidRPr="00842D3D">
        <w:rPr>
          <w:rFonts w:eastAsia="Calibri" w:cs="Times New Roman"/>
          <w:szCs w:val="24"/>
        </w:rPr>
        <w:t>] directed subordinate[s] in the [act[s]] [failure to act] that deprived the plaintiff [</w:t>
      </w:r>
      <w:r w:rsidRPr="00842D3D">
        <w:rPr>
          <w:rFonts w:eastAsia="Calibri" w:cs="Times New Roman"/>
          <w:i/>
          <w:iCs/>
          <w:szCs w:val="24"/>
          <w:u w:val="single"/>
        </w:rPr>
        <w:t>name</w:t>
      </w:r>
      <w:r w:rsidRPr="00842D3D">
        <w:rPr>
          <w:rFonts w:eastAsia="Calibri" w:cs="Times New Roman"/>
          <w:szCs w:val="24"/>
        </w:rPr>
        <w:t>] of these rights;]</w:t>
      </w:r>
    </w:p>
    <w:p w14:paraId="10A929E8" w14:textId="77777777" w:rsidR="00842D3D" w:rsidRPr="00842D3D" w:rsidRDefault="00842D3D" w:rsidP="00842D3D">
      <w:pPr>
        <w:tabs>
          <w:tab w:val="left" w:pos="1350"/>
        </w:tabs>
        <w:autoSpaceDE w:val="0"/>
        <w:autoSpaceDN w:val="0"/>
        <w:adjustRightInd w:val="0"/>
        <w:rPr>
          <w:rFonts w:eastAsia="Calibri" w:cs="Times New Roman"/>
          <w:szCs w:val="24"/>
        </w:rPr>
      </w:pPr>
    </w:p>
    <w:p w14:paraId="44B97555" w14:textId="77777777" w:rsidR="00842D3D" w:rsidRPr="00842D3D" w:rsidRDefault="00842D3D" w:rsidP="00842D3D">
      <w:pPr>
        <w:tabs>
          <w:tab w:val="left" w:pos="1350"/>
        </w:tabs>
        <w:autoSpaceDE w:val="0"/>
        <w:autoSpaceDN w:val="0"/>
        <w:adjustRightInd w:val="0"/>
        <w:jc w:val="center"/>
        <w:rPr>
          <w:rFonts w:eastAsia="Calibri" w:cs="Times New Roman"/>
          <w:szCs w:val="24"/>
        </w:rPr>
      </w:pPr>
      <w:r w:rsidRPr="00842D3D">
        <w:rPr>
          <w:rFonts w:eastAsia="Calibri" w:cs="Times New Roman"/>
          <w:i/>
          <w:iCs/>
          <w:szCs w:val="24"/>
        </w:rPr>
        <w:t>or</w:t>
      </w:r>
    </w:p>
    <w:p w14:paraId="19D725BB" w14:textId="77777777" w:rsidR="00842D3D" w:rsidRPr="00842D3D" w:rsidRDefault="00842D3D" w:rsidP="00842D3D">
      <w:pPr>
        <w:tabs>
          <w:tab w:val="left" w:pos="1350"/>
        </w:tabs>
        <w:autoSpaceDE w:val="0"/>
        <w:autoSpaceDN w:val="0"/>
        <w:adjustRightInd w:val="0"/>
        <w:rPr>
          <w:rFonts w:eastAsia="Calibri" w:cs="Times New Roman"/>
          <w:szCs w:val="24"/>
        </w:rPr>
      </w:pPr>
    </w:p>
    <w:p w14:paraId="6DCF4754"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r w:rsidRPr="00842D3D">
        <w:rPr>
          <w:rFonts w:eastAsia="Calibri" w:cs="Times New Roman"/>
          <w:szCs w:val="24"/>
        </w:rPr>
        <w:t>[the supervisory defendant [</w:t>
      </w:r>
      <w:r w:rsidRPr="00842D3D">
        <w:rPr>
          <w:rFonts w:eastAsia="Calibri" w:cs="Times New Roman"/>
          <w:i/>
          <w:iCs/>
          <w:szCs w:val="24"/>
          <w:u w:val="single"/>
        </w:rPr>
        <w:t>name</w:t>
      </w:r>
      <w:r w:rsidRPr="00842D3D">
        <w:rPr>
          <w:rFonts w:eastAsia="Calibri" w:cs="Times New Roman"/>
          <w:szCs w:val="24"/>
        </w:rPr>
        <w:t>] set in motion a series of acts by subordinate[s], or knowingly refused to terminate a series of acts by subordinate[s], that the supervisor knew or reasonably should have known would cause the subordinate[s] to deprive the plaintiff [</w:t>
      </w:r>
      <w:r w:rsidRPr="00842D3D">
        <w:rPr>
          <w:rFonts w:eastAsia="Calibri" w:cs="Times New Roman"/>
          <w:i/>
          <w:iCs/>
          <w:szCs w:val="24"/>
          <w:u w:val="single"/>
        </w:rPr>
        <w:t>name</w:t>
      </w:r>
      <w:r w:rsidRPr="00842D3D">
        <w:rPr>
          <w:rFonts w:eastAsia="Calibri" w:cs="Times New Roman"/>
          <w:szCs w:val="24"/>
        </w:rPr>
        <w:t>] of these rights;]</w:t>
      </w:r>
    </w:p>
    <w:p w14:paraId="43F05DE6" w14:textId="77777777" w:rsidR="00842D3D" w:rsidRPr="00842D3D" w:rsidRDefault="00842D3D" w:rsidP="00842D3D">
      <w:pPr>
        <w:autoSpaceDE w:val="0"/>
        <w:autoSpaceDN w:val="0"/>
        <w:adjustRightInd w:val="0"/>
        <w:rPr>
          <w:rFonts w:eastAsia="Calibri" w:cs="Times New Roman"/>
          <w:szCs w:val="24"/>
        </w:rPr>
      </w:pPr>
    </w:p>
    <w:p w14:paraId="774F081C"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2DF705EC" w14:textId="77777777" w:rsidR="00842D3D" w:rsidRPr="00842D3D" w:rsidRDefault="00842D3D" w:rsidP="00842D3D">
      <w:pPr>
        <w:autoSpaceDE w:val="0"/>
        <w:autoSpaceDN w:val="0"/>
        <w:adjustRightInd w:val="0"/>
        <w:rPr>
          <w:rFonts w:eastAsia="Calibri" w:cs="Times New Roman"/>
          <w:szCs w:val="24"/>
        </w:rPr>
      </w:pPr>
    </w:p>
    <w:p w14:paraId="78AAEA00"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knew that the subordinate[s] were engaging in these act[s] and knew or reasonably should have known that the subordinate[’s][s’] conduct would deprive the plaintiff [</w:t>
      </w:r>
      <w:r w:rsidRPr="00842D3D">
        <w:rPr>
          <w:rFonts w:eastAsia="Calibri" w:cs="Times New Roman"/>
          <w:i/>
          <w:iCs/>
          <w:szCs w:val="24"/>
          <w:u w:val="single"/>
        </w:rPr>
        <w:t>name</w:t>
      </w:r>
      <w:r w:rsidRPr="00842D3D">
        <w:rPr>
          <w:rFonts w:eastAsia="Calibri" w:cs="Times New Roman"/>
          <w:szCs w:val="24"/>
        </w:rPr>
        <w:t>] of these rights; and</w:t>
      </w:r>
    </w:p>
    <w:p w14:paraId="4FDFF5D7" w14:textId="77777777" w:rsidR="00842D3D" w:rsidRPr="00842D3D" w:rsidRDefault="00842D3D" w:rsidP="00842D3D">
      <w:pPr>
        <w:tabs>
          <w:tab w:val="left" w:pos="1260"/>
          <w:tab w:val="left" w:pos="2070"/>
        </w:tabs>
        <w:autoSpaceDE w:val="0"/>
        <w:autoSpaceDN w:val="0"/>
        <w:adjustRightInd w:val="0"/>
        <w:ind w:firstLine="720"/>
        <w:rPr>
          <w:rFonts w:eastAsia="Calibri" w:cs="Times New Roman"/>
          <w:szCs w:val="24"/>
        </w:rPr>
      </w:pPr>
    </w:p>
    <w:p w14:paraId="5DE70C0D"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(b)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failed to act to prevent the subordinate[s] from engaging in such conduct;]</w:t>
      </w:r>
    </w:p>
    <w:p w14:paraId="03C62B7D" w14:textId="77777777" w:rsidR="00842D3D" w:rsidRPr="00842D3D" w:rsidRDefault="00842D3D" w:rsidP="00842D3D">
      <w:pPr>
        <w:tabs>
          <w:tab w:val="left" w:pos="2070"/>
        </w:tabs>
        <w:autoSpaceDE w:val="0"/>
        <w:autoSpaceDN w:val="0"/>
        <w:adjustRightInd w:val="0"/>
        <w:ind w:left="1440" w:hanging="720"/>
        <w:rPr>
          <w:rFonts w:eastAsia="Calibri" w:cs="Times New Roman"/>
          <w:szCs w:val="24"/>
        </w:rPr>
      </w:pPr>
    </w:p>
    <w:p w14:paraId="647F08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7886D7AB" w14:textId="77777777" w:rsidR="00842D3D" w:rsidRPr="00842D3D" w:rsidRDefault="00842D3D" w:rsidP="00842D3D">
      <w:pPr>
        <w:autoSpaceDE w:val="0"/>
        <w:autoSpaceDN w:val="0"/>
        <w:adjustRightInd w:val="0"/>
        <w:rPr>
          <w:rFonts w:eastAsia="Calibri" w:cs="Times New Roman"/>
          <w:szCs w:val="24"/>
        </w:rPr>
      </w:pPr>
    </w:p>
    <w:p w14:paraId="680CBE52"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disregarded the known or obvious consequence that a particular training deficiency or omission would cause [his] [her] [</w:t>
      </w:r>
      <w:r w:rsidRPr="00842D3D">
        <w:rPr>
          <w:rFonts w:eastAsia="Calibri" w:cs="Times New Roman"/>
          <w:i/>
          <w:iCs/>
          <w:szCs w:val="24"/>
          <w:u w:val="single"/>
        </w:rPr>
        <w:t>other pronoun</w:t>
      </w:r>
      <w:r w:rsidRPr="00842D3D">
        <w:rPr>
          <w:rFonts w:eastAsia="Calibri" w:cs="Times New Roman"/>
          <w:szCs w:val="24"/>
        </w:rPr>
        <w:t>] subordinate[s] to violate the plaintiff [</w:t>
      </w:r>
      <w:r w:rsidRPr="00842D3D">
        <w:rPr>
          <w:rFonts w:eastAsia="Calibri" w:cs="Times New Roman"/>
          <w:i/>
          <w:iCs/>
          <w:szCs w:val="24"/>
          <w:u w:val="single"/>
        </w:rPr>
        <w:t>name</w:t>
      </w:r>
      <w:r w:rsidRPr="00842D3D">
        <w:rPr>
          <w:rFonts w:eastAsia="Calibri" w:cs="Times New Roman"/>
          <w:szCs w:val="24"/>
        </w:rPr>
        <w:t>]’s constitutional rights; and</w:t>
      </w:r>
    </w:p>
    <w:p w14:paraId="4BEE2BBA" w14:textId="77777777" w:rsidR="00842D3D" w:rsidRPr="00842D3D" w:rsidRDefault="00842D3D" w:rsidP="00842D3D">
      <w:pPr>
        <w:tabs>
          <w:tab w:val="left" w:pos="1260"/>
          <w:tab w:val="left" w:pos="1980"/>
        </w:tabs>
        <w:autoSpaceDE w:val="0"/>
        <w:autoSpaceDN w:val="0"/>
        <w:adjustRightInd w:val="0"/>
        <w:ind w:firstLine="720"/>
        <w:rPr>
          <w:rFonts w:eastAsia="Calibri" w:cs="Times New Roman"/>
          <w:szCs w:val="24"/>
        </w:rPr>
      </w:pPr>
    </w:p>
    <w:p w14:paraId="0B10538B"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(b)</w:t>
      </w:r>
      <w:r w:rsidRPr="00842D3D">
        <w:rPr>
          <w:rFonts w:eastAsia="Calibri" w:cs="Times New Roman"/>
          <w:szCs w:val="24"/>
        </w:rPr>
        <w:tab/>
        <w:t>that deficiency or omission actually caused the subordinates to deprive the plaintiff [</w:t>
      </w:r>
      <w:r w:rsidRPr="00842D3D">
        <w:rPr>
          <w:rFonts w:eastAsia="Calibri" w:cs="Times New Roman"/>
          <w:i/>
          <w:iCs/>
          <w:szCs w:val="24"/>
          <w:u w:val="single"/>
        </w:rPr>
        <w:t>name</w:t>
      </w:r>
      <w:r w:rsidRPr="00842D3D">
        <w:rPr>
          <w:rFonts w:eastAsia="Calibri" w:cs="Times New Roman"/>
          <w:szCs w:val="24"/>
        </w:rPr>
        <w:t>] of plaintiff [</w:t>
      </w:r>
      <w:r w:rsidRPr="00842D3D">
        <w:rPr>
          <w:rFonts w:eastAsia="Calibri" w:cs="Times New Roman"/>
          <w:i/>
          <w:iCs/>
          <w:szCs w:val="24"/>
          <w:u w:val="single"/>
        </w:rPr>
        <w:t>name</w:t>
      </w:r>
      <w:r w:rsidRPr="00842D3D">
        <w:rPr>
          <w:rFonts w:eastAsia="Calibri" w:cs="Times New Roman"/>
          <w:szCs w:val="24"/>
        </w:rPr>
        <w:t>]’s constitutional rights;]</w:t>
      </w:r>
    </w:p>
    <w:p w14:paraId="0C61AE3A" w14:textId="77777777" w:rsidR="00842D3D" w:rsidRPr="00842D3D" w:rsidRDefault="00842D3D" w:rsidP="00842D3D">
      <w:pPr>
        <w:autoSpaceDE w:val="0"/>
        <w:autoSpaceDN w:val="0"/>
        <w:adjustRightInd w:val="0"/>
        <w:rPr>
          <w:rFonts w:eastAsia="Calibri" w:cs="Times New Roman"/>
          <w:szCs w:val="24"/>
        </w:rPr>
      </w:pPr>
    </w:p>
    <w:p w14:paraId="1A65996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46BBA079" w14:textId="77777777" w:rsidR="00842D3D" w:rsidRPr="00842D3D" w:rsidRDefault="00842D3D" w:rsidP="00842D3D">
      <w:pPr>
        <w:autoSpaceDE w:val="0"/>
        <w:autoSpaceDN w:val="0"/>
        <w:adjustRightInd w:val="0"/>
        <w:rPr>
          <w:rFonts w:eastAsia="Calibri" w:cs="Times New Roman"/>
          <w:szCs w:val="24"/>
        </w:rPr>
      </w:pPr>
    </w:p>
    <w:p w14:paraId="27080C70" w14:textId="77777777" w:rsidR="00842D3D" w:rsidRPr="00842D3D" w:rsidRDefault="00842D3D" w:rsidP="00842D3D">
      <w:pPr>
        <w:tabs>
          <w:tab w:val="left" w:pos="630"/>
        </w:tabs>
        <w:autoSpaceDE w:val="0"/>
        <w:autoSpaceDN w:val="0"/>
        <w:adjustRightInd w:val="0"/>
        <w:ind w:firstLine="720"/>
        <w:rPr>
          <w:rFonts w:eastAsia="Calibri" w:cs="Times New Roman"/>
          <w:szCs w:val="24"/>
        </w:rPr>
      </w:pPr>
      <w:r w:rsidRPr="00842D3D">
        <w:rPr>
          <w:rFonts w:eastAsia="Calibri" w:cs="Times New Roman"/>
          <w:szCs w:val="24"/>
        </w:rPr>
        <w:t>[the supervisory defendant engaged in conduct that showed a reckless or callous indifference to the deprivation by the subordinate of the rights of others;]</w:t>
      </w:r>
    </w:p>
    <w:p w14:paraId="7AD1ED4A" w14:textId="77777777" w:rsidR="00842D3D" w:rsidRPr="00842D3D" w:rsidRDefault="00842D3D" w:rsidP="00842D3D">
      <w:pPr>
        <w:tabs>
          <w:tab w:val="left" w:pos="720"/>
        </w:tabs>
        <w:autoSpaceDE w:val="0"/>
        <w:autoSpaceDN w:val="0"/>
        <w:adjustRightInd w:val="0"/>
        <w:ind w:firstLine="720"/>
        <w:rPr>
          <w:rFonts w:eastAsia="Calibri" w:cs="Times New Roman"/>
          <w:szCs w:val="24"/>
        </w:rPr>
      </w:pPr>
    </w:p>
    <w:p w14:paraId="6289307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and</w:t>
      </w:r>
    </w:p>
    <w:p w14:paraId="4414ED04" w14:textId="77777777" w:rsidR="00842D3D" w:rsidRPr="00842D3D" w:rsidRDefault="00842D3D" w:rsidP="00842D3D">
      <w:pPr>
        <w:autoSpaceDE w:val="0"/>
        <w:autoSpaceDN w:val="0"/>
        <w:adjustRightInd w:val="0"/>
        <w:rPr>
          <w:rFonts w:eastAsia="Calibri" w:cs="Times New Roman"/>
          <w:szCs w:val="24"/>
        </w:rPr>
      </w:pPr>
    </w:p>
    <w:p w14:paraId="71D59D99"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supervisory defendant [</w:t>
      </w:r>
      <w:r w:rsidRPr="00842D3D">
        <w:rPr>
          <w:rFonts w:eastAsia="Calibri" w:cs="Times New Roman"/>
          <w:i/>
          <w:iCs/>
          <w:szCs w:val="24"/>
          <w:u w:val="single"/>
        </w:rPr>
        <w:t>name</w:t>
      </w:r>
      <w:r w:rsidRPr="00842D3D">
        <w:rPr>
          <w:rFonts w:eastAsia="Calibri" w:cs="Times New Roman"/>
          <w:szCs w:val="24"/>
        </w:rPr>
        <w:t>]’s conduct was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2B0BED0C" w14:textId="77777777" w:rsidR="00842D3D" w:rsidRPr="00842D3D" w:rsidRDefault="00842D3D" w:rsidP="00842D3D">
      <w:pPr>
        <w:autoSpaceDE w:val="0"/>
        <w:autoSpaceDN w:val="0"/>
        <w:adjustRightInd w:val="0"/>
        <w:rPr>
          <w:rFonts w:eastAsia="Calibri" w:cs="Times New Roman"/>
          <w:szCs w:val="24"/>
        </w:rPr>
      </w:pPr>
    </w:p>
    <w:p w14:paraId="03919F9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w:t>
      </w:r>
    </w:p>
    <w:p w14:paraId="04A3CFC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parties have stipulated that] [I instruct you that] the defendant [</w:t>
      </w:r>
      <w:r w:rsidRPr="00842D3D">
        <w:rPr>
          <w:rFonts w:eastAsia="Calibri" w:cs="Times New Roman"/>
          <w:i/>
          <w:iCs/>
          <w:szCs w:val="24"/>
          <w:u w:val="single"/>
        </w:rPr>
        <w:t>name</w:t>
      </w:r>
      <w:r w:rsidRPr="00842D3D">
        <w:rPr>
          <w:rFonts w:eastAsia="Calibri" w:cs="Times New Roman"/>
          <w:szCs w:val="24"/>
        </w:rPr>
        <w:t>] acted under color of state</w:t>
      </w:r>
    </w:p>
    <w:p w14:paraId="1B66C5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law.]</w:t>
      </w:r>
    </w:p>
    <w:p w14:paraId="50A29A07" w14:textId="77777777" w:rsidR="00842D3D" w:rsidRPr="00842D3D" w:rsidRDefault="00842D3D" w:rsidP="00842D3D">
      <w:pPr>
        <w:autoSpaceDE w:val="0"/>
        <w:autoSpaceDN w:val="0"/>
        <w:adjustRightInd w:val="0"/>
        <w:rPr>
          <w:rFonts w:eastAsia="Calibri" w:cs="Times New Roman"/>
          <w:szCs w:val="24"/>
        </w:rPr>
      </w:pPr>
    </w:p>
    <w:p w14:paraId="08FBE69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w:t>
      </w:r>
    </w:p>
    <w:p w14:paraId="42CB20B4" w14:textId="77777777" w:rsidR="00842D3D" w:rsidRPr="00842D3D" w:rsidRDefault="00842D3D" w:rsidP="00842D3D">
      <w:pPr>
        <w:autoSpaceDE w:val="0"/>
        <w:autoSpaceDN w:val="0"/>
        <w:adjustRightInd w:val="0"/>
        <w:rPr>
          <w:rFonts w:eastAsia="Calibri" w:cs="Times New Roman"/>
          <w:szCs w:val="24"/>
        </w:rPr>
      </w:pPr>
    </w:p>
    <w:p w14:paraId="05B2630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278E8C0B" w14:textId="77777777" w:rsidR="00842D3D" w:rsidRPr="00842D3D" w:rsidRDefault="00842D3D" w:rsidP="00842D3D">
      <w:pPr>
        <w:autoSpaceDE w:val="0"/>
        <w:autoSpaceDN w:val="0"/>
        <w:adjustRightInd w:val="0"/>
        <w:rPr>
          <w:rFonts w:eastAsia="Calibri" w:cs="Times New Roman"/>
          <w:szCs w:val="24"/>
        </w:rPr>
      </w:pPr>
    </w:p>
    <w:p w14:paraId="229F3C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51ECE7F4" w14:textId="77777777" w:rsidR="00842D3D" w:rsidRPr="00842D3D" w:rsidRDefault="00842D3D" w:rsidP="00842D3D">
      <w:pPr>
        <w:autoSpaceDE w:val="0"/>
        <w:autoSpaceDN w:val="0"/>
        <w:adjustRightInd w:val="0"/>
        <w:jc w:val="center"/>
        <w:rPr>
          <w:rFonts w:eastAsia="Calibri" w:cs="Times New Roman"/>
          <w:szCs w:val="24"/>
        </w:rPr>
      </w:pPr>
    </w:p>
    <w:p w14:paraId="088B67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under § 1983 only if (1)</w:t>
      </w:r>
    </w:p>
    <w:p w14:paraId="670182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supervisor personally participated in the constitutional violation, or (2) there is a “sufficient causal connection between the supervisor’s wrongful conduct and the constitutional violation.”</w:t>
      </w:r>
      <w:r w:rsidRPr="00842D3D">
        <w:rPr>
          <w:rFonts w:eastAsia="Calibri" w:cs="Times New Roman"/>
          <w:i/>
          <w:iCs/>
          <w:szCs w:val="24"/>
        </w:rPr>
        <w:t xml:space="preserve"> 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645-46 (9th Cir. 1989)). Moreover, for liability to attach, supervisors must have actual supervisory authority over the government actor who committed the alleged violations. </w:t>
      </w:r>
      <w:r w:rsidRPr="00842D3D">
        <w:rPr>
          <w:rFonts w:eastAsia="Calibri" w:cs="Times New Roman"/>
          <w:i/>
          <w:iCs/>
          <w:szCs w:val="24"/>
        </w:rPr>
        <w:t>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Olson v. County of Grant</w:t>
      </w:r>
      <w:r w:rsidRPr="00842D3D">
        <w:rPr>
          <w:rFonts w:eastAsia="Calibri" w:cs="Times New Roman"/>
          <w:szCs w:val="24"/>
        </w:rPr>
        <w:t xml:space="preserve">, 127 F.4th 1193, 1998 (9th Cir. 2025) (declining “to impose supervisory liability for a constitutional violation where, at best, there was a cooperative relationship between [law enforcement] colleagues”). There also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400517A5" w14:textId="77777777" w:rsidR="00842D3D" w:rsidRPr="00842D3D" w:rsidRDefault="00842D3D" w:rsidP="00842D3D">
      <w:pPr>
        <w:autoSpaceDE w:val="0"/>
        <w:autoSpaceDN w:val="0"/>
        <w:adjustRightInd w:val="0"/>
        <w:rPr>
          <w:rFonts w:eastAsia="Calibri" w:cs="Times New Roman"/>
          <w:szCs w:val="24"/>
        </w:rPr>
      </w:pPr>
    </w:p>
    <w:p w14:paraId="1E68EE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there is a factual dispute concerning whether an individual is a supervisor for</w:t>
      </w:r>
    </w:p>
    <w:p w14:paraId="3AA0203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purposes of § 1983 liability, the court should also instruct the jury on the plaintiff’s burden to</w:t>
      </w:r>
    </w:p>
    <w:p w14:paraId="2C0019C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prove the defendant’s supervisory status.</w:t>
      </w:r>
    </w:p>
    <w:p w14:paraId="1AEA75B6" w14:textId="77777777" w:rsidR="00842D3D" w:rsidRPr="00842D3D" w:rsidRDefault="00842D3D" w:rsidP="00842D3D">
      <w:pPr>
        <w:autoSpaceDE w:val="0"/>
        <w:autoSpaceDN w:val="0"/>
        <w:adjustRightInd w:val="0"/>
        <w:rPr>
          <w:rFonts w:eastAsia="Calibri" w:cs="Times New Roman"/>
          <w:szCs w:val="24"/>
        </w:rPr>
      </w:pPr>
    </w:p>
    <w:p w14:paraId="2FB28F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w:t>
      </w:r>
    </w:p>
    <w:p w14:paraId="70322711" w14:textId="1A4BAAF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instruction, such as Instructions 9.9-9.3</w:t>
      </w:r>
      <w:r w:rsidR="000F1EF1">
        <w:rPr>
          <w:rFonts w:eastAsia="Calibri" w:cs="Times New Roman"/>
          <w:szCs w:val="24"/>
        </w:rPr>
        <w:t>8</w:t>
      </w:r>
      <w:r w:rsidRPr="00842D3D">
        <w:rPr>
          <w:rFonts w:eastAsia="Calibri" w:cs="Times New Roman"/>
          <w:szCs w:val="24"/>
        </w:rPr>
        <w:t>. Such an instruction should set forth the additional</w:t>
      </w:r>
    </w:p>
    <w:p w14:paraId="4F1199E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elements a plaintiff must establish to prove the violation of the particular constitutional right or</w:t>
      </w:r>
    </w:p>
    <w:p w14:paraId="714B28E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federal law at issue.</w:t>
      </w:r>
    </w:p>
    <w:p w14:paraId="6B6C55BE" w14:textId="77777777" w:rsidR="00842D3D" w:rsidRPr="00842D3D" w:rsidRDefault="00842D3D" w:rsidP="00842D3D">
      <w:pPr>
        <w:autoSpaceDE w:val="0"/>
        <w:autoSpaceDN w:val="0"/>
        <w:adjustRightInd w:val="0"/>
        <w:rPr>
          <w:rFonts w:eastAsia="Calibri" w:cs="Times New Roman"/>
          <w:szCs w:val="24"/>
        </w:rPr>
      </w:pPr>
    </w:p>
    <w:p w14:paraId="36224CB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Element 3 of this instruction aims to include the principal formulations to establish a supervisor’s § 1983 liability based on Ninth Circuit decisions.</w:t>
      </w:r>
    </w:p>
    <w:p w14:paraId="5CE6CC18" w14:textId="77777777" w:rsidR="00842D3D" w:rsidRPr="00842D3D" w:rsidRDefault="00842D3D" w:rsidP="00842D3D">
      <w:pPr>
        <w:autoSpaceDE w:val="0"/>
        <w:autoSpaceDN w:val="0"/>
        <w:adjustRightInd w:val="0"/>
        <w:rPr>
          <w:rFonts w:eastAsia="Calibri" w:cs="Times New Roman"/>
          <w:szCs w:val="24"/>
        </w:rPr>
      </w:pPr>
    </w:p>
    <w:p w14:paraId="1D30A1F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xml:space="preserve">, 23 F.4th 863, 874 (9th Cir. 2022); </w:t>
      </w:r>
      <w:r w:rsidRPr="00842D3D">
        <w:rPr>
          <w:rFonts w:eastAsia="Calibri" w:cs="Times New Roman"/>
          <w:i/>
          <w:iCs/>
          <w:szCs w:val="24"/>
        </w:rPr>
        <w:t>see Starr</w:t>
      </w:r>
      <w:r w:rsidRPr="00842D3D">
        <w:rPr>
          <w:rFonts w:eastAsia="Calibri" w:cs="Times New Roman"/>
          <w:szCs w:val="24"/>
        </w:rPr>
        <w:t>, 652 F.3d at 1207-08.</w:t>
      </w:r>
      <w:r w:rsidRPr="00842D3D">
        <w:rPr>
          <w:rFonts w:eastAsia="Calibri" w:cs="Times New Roman"/>
          <w:i/>
          <w:iCs/>
          <w:szCs w:val="24"/>
        </w:rPr>
        <w:t xml:space="preserve"> </w:t>
      </w:r>
    </w:p>
    <w:p w14:paraId="6DC25420" w14:textId="77777777" w:rsidR="00842D3D" w:rsidRPr="00842D3D" w:rsidRDefault="00842D3D" w:rsidP="00842D3D">
      <w:pPr>
        <w:autoSpaceDE w:val="0"/>
        <w:autoSpaceDN w:val="0"/>
        <w:adjustRightInd w:val="0"/>
        <w:rPr>
          <w:rFonts w:eastAsia="Calibri" w:cs="Times New Roman"/>
          <w:szCs w:val="24"/>
        </w:rPr>
      </w:pPr>
    </w:p>
    <w:p w14:paraId="53222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supervisor is liable for the acts of his subordinates if the supervisor participated in or directed the violations. </w:t>
      </w:r>
      <w:r w:rsidRPr="00842D3D">
        <w:rPr>
          <w:rFonts w:eastAsia="Calibri" w:cs="Times New Roman"/>
          <w:i/>
          <w:iCs/>
          <w:szCs w:val="24"/>
        </w:rPr>
        <w:t>Vazquez v. County of Kern</w:t>
      </w:r>
      <w:r w:rsidRPr="00842D3D">
        <w:rPr>
          <w:rFonts w:eastAsia="Calibri" w:cs="Times New Roman"/>
          <w:szCs w:val="24"/>
        </w:rPr>
        <w:t>, 949 F.3d 1153, 1166 (9th Cir. 2020).</w:t>
      </w:r>
    </w:p>
    <w:p w14:paraId="6191E0E8" w14:textId="77777777" w:rsidR="00842D3D" w:rsidRPr="00842D3D" w:rsidRDefault="00842D3D" w:rsidP="00842D3D">
      <w:pPr>
        <w:autoSpaceDE w:val="0"/>
        <w:autoSpaceDN w:val="0"/>
        <w:adjustRightInd w:val="0"/>
        <w:rPr>
          <w:rFonts w:eastAsia="Calibri" w:cs="Times New Roman"/>
          <w:szCs w:val="24"/>
        </w:rPr>
      </w:pPr>
    </w:p>
    <w:p w14:paraId="346E1F0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Larez v. City of Los Angeles</w:t>
      </w:r>
      <w:r w:rsidRPr="00842D3D">
        <w:rPr>
          <w:rFonts w:eastAsia="Calibri" w:cs="Times New Roman"/>
          <w:szCs w:val="24"/>
        </w:rPr>
        <w:t xml:space="preserve">, 946 F.2d 630 (9th Cir. 1991), the Ninth Circuit approved the district court’s instruction that the jury could find a police chief liable in his individual capacity if he “set[ ] in motion a series of acts by others, or knowingly refused to terminate a series of acts by others, which he kn[e]w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at 646 (citations omitted).</w:t>
      </w:r>
    </w:p>
    <w:p w14:paraId="7FA8A428" w14:textId="77777777" w:rsidR="00842D3D" w:rsidRPr="00842D3D" w:rsidRDefault="00842D3D" w:rsidP="00842D3D">
      <w:pPr>
        <w:autoSpaceDE w:val="0"/>
        <w:autoSpaceDN w:val="0"/>
        <w:adjustRightInd w:val="0"/>
        <w:rPr>
          <w:rFonts w:eastAsia="Calibri" w:cs="Times New Roman"/>
          <w:szCs w:val="24"/>
        </w:rPr>
      </w:pPr>
    </w:p>
    <w:p w14:paraId="03AE8C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if he or she “knew of the</w:t>
      </w:r>
    </w:p>
    <w:p w14:paraId="5A45F3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violations and failed to act to prevent them.” </w:t>
      </w:r>
      <w:r w:rsidRPr="00842D3D">
        <w:rPr>
          <w:rFonts w:eastAsia="Calibri" w:cs="Times New Roman"/>
          <w:i/>
          <w:iCs/>
          <w:szCs w:val="24"/>
        </w:rPr>
        <w:t>Maxwell v. County of San Diego</w:t>
      </w:r>
      <w:r w:rsidRPr="00842D3D">
        <w:rPr>
          <w:rFonts w:eastAsia="Calibri" w:cs="Times New Roman"/>
          <w:szCs w:val="24"/>
        </w:rPr>
        <w:t>, 708 F.3d 1075,</w:t>
      </w:r>
    </w:p>
    <w:p w14:paraId="489091F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1086 (9th Cir. 2013); </w:t>
      </w:r>
      <w:r w:rsidRPr="00842D3D">
        <w:rPr>
          <w:rFonts w:eastAsia="Calibri" w:cs="Times New Roman"/>
          <w:i/>
          <w:iCs/>
          <w:szCs w:val="24"/>
        </w:rPr>
        <w:t>accord Vazquez</w:t>
      </w:r>
      <w:r w:rsidRPr="00842D3D">
        <w:rPr>
          <w:rFonts w:eastAsia="Calibri" w:cs="Times New Roman"/>
          <w:szCs w:val="24"/>
        </w:rPr>
        <w:t>, 949 F.3d at 1166.</w:t>
      </w:r>
    </w:p>
    <w:p w14:paraId="6D3DB7A1" w14:textId="77777777" w:rsidR="00842D3D" w:rsidRPr="00842D3D" w:rsidRDefault="00842D3D" w:rsidP="00842D3D">
      <w:pPr>
        <w:autoSpaceDE w:val="0"/>
        <w:autoSpaceDN w:val="0"/>
        <w:adjustRightInd w:val="0"/>
        <w:rPr>
          <w:rFonts w:eastAsia="Calibri" w:cs="Times New Roman"/>
          <w:szCs w:val="24"/>
        </w:rPr>
      </w:pPr>
    </w:p>
    <w:p w14:paraId="73BA8D1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Flores v. County of Los Angeles</w:t>
      </w:r>
      <w:r w:rsidRPr="00842D3D">
        <w:rPr>
          <w:rFonts w:eastAsia="Calibri" w:cs="Times New Roman"/>
          <w:szCs w:val="24"/>
        </w:rPr>
        <w:t>, 758 F.3d 1154, 1159 (9th Cir. 2014), the court held</w:t>
      </w:r>
    </w:p>
    <w:p w14:paraId="56C320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that plaintiffs must show that the supervisory defendant “was deliberately indifferent to the need</w:t>
      </w:r>
    </w:p>
    <w:p w14:paraId="16B6CF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to train subordinates, and the lack of training actually caused the constitutional harm or</w:t>
      </w:r>
    </w:p>
    <w:p w14:paraId="7E3956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deprivation of rights.” Under this standard, the supervisor must have “disregarded the known</w:t>
      </w:r>
    </w:p>
    <w:p w14:paraId="78B3FE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or obvious consequences that a particular omission in their training program would cause . . .</w:t>
      </w:r>
    </w:p>
    <w:p w14:paraId="2C296D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employees to violate citizens’ constitutional rights.”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Connick v. Thompson</w:t>
      </w:r>
      <w:r w:rsidRPr="00842D3D">
        <w:rPr>
          <w:rFonts w:eastAsia="Calibri" w:cs="Times New Roman"/>
          <w:szCs w:val="24"/>
        </w:rPr>
        <w:t>, 563</w:t>
      </w:r>
    </w:p>
    <w:p w14:paraId="4C5665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U.S. 51, 51-52 (2011)). Also, a plaintiff “may state a claim against a supervisor for deliberate indifference based upon the supervisor’s knowledge of and acquiescence in unconstitutional conduct by his or her subordinates.” </w:t>
      </w:r>
      <w:r w:rsidRPr="00842D3D">
        <w:rPr>
          <w:rFonts w:eastAsia="Calibri" w:cs="Times New Roman"/>
          <w:i/>
          <w:iCs/>
          <w:szCs w:val="24"/>
        </w:rPr>
        <w:t>Starr</w:t>
      </w:r>
      <w:r w:rsidRPr="00842D3D">
        <w:rPr>
          <w:rFonts w:eastAsia="Calibri" w:cs="Times New Roman"/>
          <w:szCs w:val="24"/>
        </w:rPr>
        <w:t>, 652 F.3d at 1207.</w:t>
      </w:r>
    </w:p>
    <w:p w14:paraId="29896697" w14:textId="77777777" w:rsidR="00842D3D" w:rsidRPr="00842D3D" w:rsidRDefault="00842D3D" w:rsidP="00842D3D">
      <w:pPr>
        <w:autoSpaceDE w:val="0"/>
        <w:autoSpaceDN w:val="0"/>
        <w:adjustRightInd w:val="0"/>
        <w:rPr>
          <w:rFonts w:eastAsia="Calibri" w:cs="Times New Roman"/>
          <w:szCs w:val="24"/>
        </w:rPr>
      </w:pPr>
    </w:p>
    <w:p w14:paraId="1731766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 1983 suits do not allow for the imposition of vicarious liability and a plaintiff</w:t>
      </w:r>
    </w:p>
    <w:p w14:paraId="5F9885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must prove that each supervisory defendant, through that defendant’s own actions, has violated</w:t>
      </w:r>
    </w:p>
    <w:p w14:paraId="79555D4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the Constitution, the factors that a plaintiff must prove to establish a claim for supervisory liability depend on the alleged underlying constitutional deprivation. </w:t>
      </w:r>
      <w:r w:rsidRPr="00842D3D">
        <w:rPr>
          <w:rFonts w:eastAsia="Calibri" w:cs="Times New Roman"/>
          <w:i/>
          <w:iCs/>
          <w:szCs w:val="24"/>
        </w:rPr>
        <w:t>See Ashcroft v. Iqbal</w:t>
      </w:r>
      <w:r w:rsidRPr="00842D3D">
        <w:rPr>
          <w:rFonts w:eastAsia="Calibri" w:cs="Times New Roman"/>
          <w:szCs w:val="24"/>
        </w:rPr>
        <w:t xml:space="preserve">, 556 U.S. 662, 675-77 (2009) (explaining that the plaintiff needed to plead and prove that supervisors acted with discriminatory purpose or intent to state claim for supervisory liability for invidious discrimination in contravention of the First and Fifth Amendments); </w:t>
      </w:r>
      <w:r w:rsidRPr="00842D3D">
        <w:rPr>
          <w:rFonts w:eastAsia="Calibri" w:cs="Times New Roman"/>
          <w:i/>
          <w:iCs/>
          <w:szCs w:val="24"/>
        </w:rPr>
        <w:t>Starr</w:t>
      </w:r>
      <w:r w:rsidRPr="00842D3D">
        <w:rPr>
          <w:rFonts w:eastAsia="Calibri" w:cs="Times New Roman"/>
          <w:szCs w:val="24"/>
        </w:rPr>
        <w:t xml:space="preserve">, 652 F.3d at 1206-07 (explaining that because a claim of unconstitutional conditions of confinement may be based on a theory of deliberate indifference, unlike a claim of unconstitutional discrimination, the plaintiff </w:t>
      </w:r>
      <w:r w:rsidRPr="00842D3D">
        <w:rPr>
          <w:rFonts w:eastAsia="Calibri" w:cs="Times New Roman"/>
          <w:szCs w:val="24"/>
        </w:rPr>
        <w:lastRenderedPageBreak/>
        <w:t>need only show that the supervisor acted or failed to act in a manner that was deliberately indifferent to the inmate’s Eighth Amendment rights to hold a supervisor liable for his or her own culpable actions).</w:t>
      </w:r>
    </w:p>
    <w:p w14:paraId="5AE9859A" w14:textId="77777777" w:rsidR="00842D3D" w:rsidRPr="00842D3D" w:rsidRDefault="00842D3D" w:rsidP="00842D3D">
      <w:pPr>
        <w:autoSpaceDE w:val="0"/>
        <w:autoSpaceDN w:val="0"/>
        <w:adjustRightInd w:val="0"/>
        <w:rPr>
          <w:rFonts w:eastAsia="Calibri" w:cs="Times New Roman"/>
          <w:szCs w:val="24"/>
        </w:rPr>
      </w:pPr>
    </w:p>
    <w:p w14:paraId="4BB73FFC"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2025</w:t>
      </w:r>
    </w:p>
    <w:p w14:paraId="501E749F" w14:textId="77777777" w:rsidR="00842D3D" w:rsidRPr="00842D3D" w:rsidRDefault="00842D3D" w:rsidP="00FF121D">
      <w:pPr>
        <w:pStyle w:val="Heading2"/>
      </w:pPr>
      <w:r w:rsidRPr="00842D3D">
        <w:br w:type="page"/>
      </w:r>
      <w:bookmarkStart w:id="143" w:name="_Toc65157302"/>
      <w:bookmarkStart w:id="144" w:name="_Toc221525169"/>
      <w:r w:rsidRPr="00842D3D">
        <w:lastRenderedPageBreak/>
        <w:t xml:space="preserve">9.5 </w:t>
      </w:r>
      <w:bookmarkEnd w:id="143"/>
      <w:r w:rsidRPr="00842D3D">
        <w:t xml:space="preserve">Section 1983 Claim Against Local Governing Body Defendants </w:t>
      </w:r>
      <w:r w:rsidRPr="00842D3D">
        <w:br/>
        <w:t>Based on Unlawful Official Policy, Practice, or Custom—Elements and Burden of Proof</w:t>
      </w:r>
      <w:bookmarkEnd w:id="144"/>
    </w:p>
    <w:p w14:paraId="3B6CDBF1" w14:textId="77777777" w:rsidR="00842D3D" w:rsidRPr="00842D3D" w:rsidRDefault="00842D3D" w:rsidP="00842D3D">
      <w:pPr>
        <w:rPr>
          <w:rFonts w:eastAsia="Calibri" w:cs="Times New Roman"/>
          <w:szCs w:val="24"/>
        </w:rPr>
      </w:pPr>
    </w:p>
    <w:p w14:paraId="5A3E80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xml:space="preserve">] alleging liability based on an official policy, practice, or custom, the plaintiff </w:t>
      </w:r>
      <w:bookmarkStart w:id="145" w:name="_Hlk204160860"/>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145"/>
      <w:r w:rsidRPr="00842D3D">
        <w:rPr>
          <w:rFonts w:eastAsia="Calibri" w:cs="Times New Roman"/>
          <w:szCs w:val="24"/>
        </w:rPr>
        <w:t xml:space="preserve"> must prove each of the following elements by a preponderance of the evidence:</w:t>
      </w:r>
    </w:p>
    <w:p w14:paraId="2ADEE5B3" w14:textId="77777777" w:rsidR="00842D3D" w:rsidRPr="00842D3D" w:rsidRDefault="00842D3D" w:rsidP="00842D3D">
      <w:pPr>
        <w:autoSpaceDE w:val="0"/>
        <w:autoSpaceDN w:val="0"/>
        <w:adjustRightInd w:val="0"/>
        <w:rPr>
          <w:rFonts w:eastAsia="Calibri" w:cs="Times New Roman"/>
          <w:szCs w:val="24"/>
        </w:rPr>
      </w:pPr>
    </w:p>
    <w:p w14:paraId="441EDF97"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6F747C58"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62D329A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 xml:space="preserve">Second, the act[s] of </w:t>
      </w:r>
      <w:r w:rsidRPr="00842D3D">
        <w:rPr>
          <w:rFonts w:eastAsia="Calibri" w:cs="Times New Roman"/>
          <w:szCs w:val="24"/>
          <w:u w:val="single"/>
        </w:rPr>
        <w:t>[</w:t>
      </w:r>
      <w:r w:rsidRPr="00842D3D">
        <w:rPr>
          <w:rFonts w:eastAsia="Calibri" w:cs="Times New Roman"/>
          <w:i/>
          <w:iCs/>
          <w:szCs w:val="24"/>
          <w:u w:val="single"/>
        </w:rPr>
        <w:t>name of defendant’s official or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w:t>
      </w:r>
    </w:p>
    <w:p w14:paraId="59F2359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3BFF1C6D"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defendant’s official or employee</w:t>
      </w:r>
      <w:r w:rsidRPr="00842D3D">
        <w:rPr>
          <w:rFonts w:eastAsia="Calibri" w:cs="Times New Roman"/>
          <w:szCs w:val="24"/>
        </w:rPr>
        <w:t>] acted pursuant to an expressly adopted official policy or a widespread or longstanding practice or custom of the defendant [</w:t>
      </w:r>
      <w:r w:rsidRPr="00842D3D">
        <w:rPr>
          <w:rFonts w:eastAsia="Calibri" w:cs="Times New Roman"/>
          <w:i/>
          <w:iCs/>
          <w:szCs w:val="24"/>
          <w:u w:val="single"/>
        </w:rPr>
        <w:t>name of local governing body</w:t>
      </w:r>
      <w:r w:rsidRPr="00842D3D">
        <w:rPr>
          <w:rFonts w:eastAsia="Calibri" w:cs="Times New Roman"/>
          <w:szCs w:val="24"/>
        </w:rPr>
        <w:t>]; and</w:t>
      </w:r>
    </w:p>
    <w:p w14:paraId="44F26660"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224E567B"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caused the deprivation of the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 official or employee</w:t>
      </w:r>
      <w:r w:rsidRPr="00842D3D">
        <w:rPr>
          <w:rFonts w:eastAsia="Calibri" w:cs="Times New Roman"/>
          <w:szCs w:val="24"/>
        </w:rPr>
        <w:t>]; that is, the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is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r w:rsidRPr="00842D3D">
        <w:rPr>
          <w:rFonts w:eastAsia="Calibri" w:cs="Times New Roman"/>
          <w:i/>
          <w:iCs/>
          <w:szCs w:val="24"/>
        </w:rPr>
        <w:t>.</w:t>
      </w:r>
    </w:p>
    <w:p w14:paraId="32586BD9" w14:textId="77777777" w:rsidR="00842D3D" w:rsidRPr="00842D3D" w:rsidRDefault="00842D3D" w:rsidP="00842D3D">
      <w:pPr>
        <w:autoSpaceDE w:val="0"/>
        <w:autoSpaceDN w:val="0"/>
        <w:adjustRightInd w:val="0"/>
        <w:rPr>
          <w:rFonts w:eastAsia="Calibri" w:cs="Times New Roman"/>
          <w:szCs w:val="24"/>
        </w:rPr>
      </w:pPr>
    </w:p>
    <w:p w14:paraId="052E426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5AB5D902" w14:textId="77777777" w:rsidR="00842D3D" w:rsidRPr="00842D3D" w:rsidRDefault="00842D3D" w:rsidP="00842D3D">
      <w:pPr>
        <w:autoSpaceDE w:val="0"/>
        <w:autoSpaceDN w:val="0"/>
        <w:adjustRightInd w:val="0"/>
        <w:rPr>
          <w:rFonts w:eastAsia="Calibri" w:cs="Times New Roman"/>
          <w:b/>
          <w:bCs/>
          <w:szCs w:val="24"/>
        </w:rPr>
      </w:pPr>
    </w:p>
    <w:p w14:paraId="0D5304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“Official policy” means a formal policy, such as a rule or regulation adopted by the defendant [</w:t>
      </w:r>
      <w:r w:rsidRPr="00842D3D">
        <w:rPr>
          <w:rFonts w:eastAsia="Calibri" w:cs="Times New Roman"/>
          <w:i/>
          <w:iCs/>
          <w:szCs w:val="24"/>
          <w:u w:val="single"/>
        </w:rPr>
        <w:t>name of local governing body</w:t>
      </w:r>
      <w:r w:rsidRPr="00842D3D">
        <w:rPr>
          <w:rFonts w:eastAsia="Calibri" w:cs="Times New Roman"/>
          <w:szCs w:val="24"/>
        </w:rPr>
        <w:t>], resulting from a deliberate choice to follow a course of action made from among various alternatives by the official or officials responsible for establishing final policy with respect to the subject matter in question.</w:t>
      </w:r>
    </w:p>
    <w:p w14:paraId="44CE8CBC" w14:textId="77777777" w:rsidR="00842D3D" w:rsidRPr="00842D3D" w:rsidRDefault="00842D3D" w:rsidP="00842D3D">
      <w:pPr>
        <w:autoSpaceDE w:val="0"/>
        <w:autoSpaceDN w:val="0"/>
        <w:adjustRightInd w:val="0"/>
        <w:rPr>
          <w:rFonts w:eastAsia="Calibri" w:cs="Times New Roman"/>
          <w:szCs w:val="24"/>
        </w:rPr>
      </w:pPr>
    </w:p>
    <w:p w14:paraId="42F9DC5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“Practice or custom” means any longstanding, widespread, or well-settled practice or custom that constitutes a standard operating procedure of the defendant [</w:t>
      </w:r>
      <w:r w:rsidRPr="00842D3D">
        <w:rPr>
          <w:rFonts w:eastAsia="Calibri" w:cs="Times New Roman"/>
          <w:i/>
          <w:iCs/>
          <w:szCs w:val="24"/>
          <w:u w:val="single"/>
        </w:rPr>
        <w:t>name of local governing body</w:t>
      </w:r>
      <w:r w:rsidRPr="00842D3D">
        <w:rPr>
          <w:rFonts w:eastAsia="Calibri" w:cs="Times New Roman"/>
          <w:szCs w:val="24"/>
        </w:rPr>
        <w:t>]. [A practice or custom can be established by repeated constitutional violations that were not properly investigated and for which the violator[s] [was] [were] not disciplined, reprimanded or punished.]</w:t>
      </w:r>
    </w:p>
    <w:p w14:paraId="0687D459" w14:textId="77777777" w:rsidR="00842D3D" w:rsidRPr="00842D3D" w:rsidRDefault="00842D3D" w:rsidP="00842D3D">
      <w:pPr>
        <w:autoSpaceDE w:val="0"/>
        <w:autoSpaceDN w:val="0"/>
        <w:adjustRightInd w:val="0"/>
        <w:rPr>
          <w:rFonts w:eastAsia="Calibri" w:cs="Times New Roman"/>
          <w:szCs w:val="24"/>
        </w:rPr>
      </w:pPr>
    </w:p>
    <w:p w14:paraId="23EA17C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the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Calibri" w:cs="Times New Roman"/>
          <w:szCs w:val="24"/>
        </w:rPr>
        <w:lastRenderedPageBreak/>
        <w:t>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669EDEAB" w14:textId="77777777" w:rsidR="00842D3D" w:rsidRPr="00842D3D" w:rsidRDefault="00842D3D" w:rsidP="00842D3D">
      <w:pPr>
        <w:autoSpaceDE w:val="0"/>
        <w:autoSpaceDN w:val="0"/>
        <w:adjustRightInd w:val="0"/>
        <w:rPr>
          <w:rFonts w:eastAsia="Calibri" w:cs="Times New Roman"/>
          <w:szCs w:val="24"/>
        </w:rPr>
      </w:pPr>
    </w:p>
    <w:p w14:paraId="77D13AD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0CBE39D" w14:textId="77777777" w:rsidR="00842D3D" w:rsidRPr="00842D3D" w:rsidRDefault="00842D3D" w:rsidP="00842D3D">
      <w:pPr>
        <w:autoSpaceDE w:val="0"/>
        <w:autoSpaceDN w:val="0"/>
        <w:adjustRightInd w:val="0"/>
        <w:rPr>
          <w:rFonts w:eastAsia="Calibri" w:cs="Times New Roman"/>
          <w:szCs w:val="24"/>
        </w:rPr>
      </w:pPr>
    </w:p>
    <w:p w14:paraId="18E7C1D9" w14:textId="6744578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0E046412" w14:textId="77777777" w:rsidR="00842D3D" w:rsidRPr="00842D3D" w:rsidRDefault="00842D3D" w:rsidP="00842D3D">
      <w:pPr>
        <w:autoSpaceDE w:val="0"/>
        <w:autoSpaceDN w:val="0"/>
        <w:adjustRightInd w:val="0"/>
        <w:rPr>
          <w:rFonts w:eastAsia="Calibri" w:cs="Times New Roman"/>
          <w:szCs w:val="24"/>
        </w:rPr>
      </w:pPr>
    </w:p>
    <w:p w14:paraId="597FCF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842D3D">
        <w:rPr>
          <w:rFonts w:eastAsia="Calibri" w:cs="Times New Roman"/>
          <w:i/>
          <w:iCs/>
          <w:szCs w:val="24"/>
        </w:rPr>
        <w:t xml:space="preserve"> See, e.g.</w:t>
      </w:r>
      <w:r w:rsidRPr="00842D3D">
        <w:rPr>
          <w:rFonts w:eastAsia="Calibri" w:cs="Times New Roman"/>
          <w:szCs w:val="24"/>
        </w:rPr>
        <w:t>,</w:t>
      </w:r>
      <w:r w:rsidRPr="00842D3D">
        <w:rPr>
          <w:rFonts w:eastAsia="Calibri" w:cs="Times New Roman"/>
          <w:i/>
          <w:iCs/>
          <w:szCs w:val="24"/>
        </w:rPr>
        <w:t xml:space="preserve"> Endy v. County of Los Angeles</w:t>
      </w:r>
      <w:r w:rsidRPr="00842D3D">
        <w:rPr>
          <w:rFonts w:eastAsia="Calibri" w:cs="Times New Roman"/>
          <w:szCs w:val="24"/>
        </w:rPr>
        <w:t xml:space="preserve">, 975 F.3d 757, 769 (9th Cir. 2020); </w:t>
      </w:r>
      <w:r w:rsidRPr="00842D3D">
        <w:rPr>
          <w:rFonts w:eastAsia="Calibri" w:cs="Times New Roman"/>
          <w:i/>
          <w:iCs/>
          <w:szCs w:val="24"/>
        </w:rPr>
        <w:t>Jackson v. Barnes</w:t>
      </w:r>
      <w:r w:rsidRPr="00842D3D">
        <w:rPr>
          <w:rFonts w:eastAsia="Calibri" w:cs="Times New Roman"/>
          <w:szCs w:val="24"/>
        </w:rPr>
        <w:t xml:space="preserve">, 749 F.3d 755, 763 (9th Cir. 2014). For other bases of </w:t>
      </w:r>
      <w:r w:rsidRPr="00842D3D">
        <w:rPr>
          <w:rFonts w:eastAsia="Calibri" w:cs="Times New Roman"/>
          <w:i/>
          <w:iCs/>
          <w:szCs w:val="24"/>
        </w:rPr>
        <w:t xml:space="preserve">Monell </w:t>
      </w:r>
      <w:r w:rsidRPr="00842D3D">
        <w:rPr>
          <w:rFonts w:eastAsia="Calibri" w:cs="Times New Roman"/>
          <w:szCs w:val="24"/>
        </w:rPr>
        <w:t>liability, see Instructions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Failure to Prevent Violations of Law or a Failure to Train—Elements and Burden of Proof).</w:t>
      </w:r>
      <w:r w:rsidRPr="00842D3D">
        <w:rPr>
          <w:rFonts w:eastAsia="Calibri" w:cs="Times New Roman"/>
          <w:i/>
          <w:iCs/>
          <w:szCs w:val="24"/>
        </w:rPr>
        <w:t xml:space="preserve"> </w:t>
      </w:r>
    </w:p>
    <w:p w14:paraId="1757575D" w14:textId="77777777" w:rsidR="00842D3D" w:rsidRPr="00842D3D" w:rsidRDefault="00842D3D" w:rsidP="00842D3D">
      <w:pPr>
        <w:autoSpaceDE w:val="0"/>
        <w:autoSpaceDN w:val="0"/>
        <w:adjustRightInd w:val="0"/>
        <w:rPr>
          <w:rFonts w:eastAsia="Calibri" w:cs="Times New Roman"/>
          <w:szCs w:val="24"/>
        </w:rPr>
      </w:pPr>
    </w:p>
    <w:p w14:paraId="0CBF5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Such liability may attach when an employee committed a constitutional violation pursuant to an expressly adopted official policy. </w:t>
      </w:r>
      <w:r w:rsidRPr="00842D3D">
        <w:rPr>
          <w:rFonts w:eastAsia="Calibri" w:cs="Times New Roman"/>
          <w:i/>
          <w:iCs/>
          <w:szCs w:val="24"/>
        </w:rPr>
        <w:t>Ellins v. City of Sierra Madre</w:t>
      </w:r>
      <w:r w:rsidRPr="00842D3D">
        <w:rPr>
          <w:rFonts w:eastAsia="Calibri" w:cs="Times New Roman"/>
          <w:szCs w:val="24"/>
        </w:rPr>
        <w:t xml:space="preserve">, 710 F.3d 1049, 1066 (9th Cir. 2013). “Official municipal policy includes the decisions of a government’s lawmakers, the acts of its policymaking officials, and practices so persistent and widespread as to practically have the force of law.” </w:t>
      </w:r>
      <w:r w:rsidRPr="00842D3D">
        <w:rPr>
          <w:rFonts w:eastAsia="Calibri" w:cs="Times New Roman"/>
          <w:i/>
          <w:iCs/>
          <w:szCs w:val="24"/>
        </w:rPr>
        <w:t>Endy</w:t>
      </w:r>
      <w:r w:rsidRPr="00842D3D">
        <w:rPr>
          <w:rFonts w:eastAsia="Calibri" w:cs="Times New Roman"/>
          <w:szCs w:val="24"/>
        </w:rPr>
        <w:t xml:space="preserve">, 975 F.3d at 769 (quoting </w:t>
      </w:r>
      <w:r w:rsidRPr="00842D3D">
        <w:rPr>
          <w:rFonts w:eastAsia="Calibri" w:cs="Times New Roman"/>
          <w:i/>
          <w:iCs/>
          <w:szCs w:val="24"/>
        </w:rPr>
        <w:t>Connick v. Thompson</w:t>
      </w:r>
      <w:r w:rsidRPr="00842D3D">
        <w:rPr>
          <w:rFonts w:eastAsia="Calibri" w:cs="Times New Roman"/>
          <w:szCs w:val="24"/>
        </w:rPr>
        <w:t xml:space="preserve">, 563 U.S. 51, 61 (2011)). “[A] rule or regulation promulgated, adopted, or ratified by a local governmental entity’s legislative body unquestionably satisfies </w:t>
      </w:r>
      <w:r w:rsidRPr="00842D3D">
        <w:rPr>
          <w:rFonts w:eastAsia="Calibri" w:cs="Times New Roman"/>
          <w:i/>
          <w:iCs/>
          <w:szCs w:val="24"/>
        </w:rPr>
        <w:t>Monell</w:t>
      </w:r>
      <w:r w:rsidRPr="00842D3D">
        <w:rPr>
          <w:rFonts w:eastAsia="Calibri" w:cs="Times New Roman"/>
          <w:szCs w:val="24"/>
        </w:rPr>
        <w:t>’s policy requirement[.]” Thompson</w:t>
      </w:r>
      <w:r w:rsidRPr="00842D3D">
        <w:rPr>
          <w:rFonts w:eastAsia="Calibri" w:cs="Times New Roman"/>
          <w:i/>
          <w:iCs/>
          <w:szCs w:val="24"/>
        </w:rPr>
        <w:t xml:space="preserve"> v. City of Los Angeles</w:t>
      </w:r>
      <w:r w:rsidRPr="00842D3D">
        <w:rPr>
          <w:rFonts w:eastAsia="Calibri" w:cs="Times New Roman"/>
          <w:szCs w:val="24"/>
        </w:rPr>
        <w:t xml:space="preserve">, 885 F.2d 1439, 1443 (9th Cir. 1989), </w:t>
      </w:r>
      <w:r w:rsidRPr="00842D3D">
        <w:rPr>
          <w:rFonts w:eastAsia="Calibri" w:cs="Times New Roman"/>
          <w:i/>
          <w:iCs/>
          <w:szCs w:val="24"/>
        </w:rPr>
        <w:t>overruled on other grounds by Bull v. City &amp; County of San Francisco</w:t>
      </w:r>
      <w:r w:rsidRPr="00842D3D">
        <w:rPr>
          <w:rFonts w:eastAsia="Calibri" w:cs="Times New Roman"/>
          <w:szCs w:val="24"/>
        </w:rPr>
        <w:t xml:space="preserve">, 595 F.3d 964 (9th Cir. 2010) (en banc). Whether a municipal policy or custom exists is a question of fact. </w:t>
      </w:r>
      <w:r w:rsidRPr="00842D3D">
        <w:rPr>
          <w:rFonts w:eastAsia="Calibri" w:cs="Times New Roman"/>
          <w:i/>
          <w:iCs/>
          <w:szCs w:val="24"/>
        </w:rPr>
        <w:t>Trevino v. Gates</w:t>
      </w:r>
      <w:r w:rsidRPr="00842D3D">
        <w:rPr>
          <w:rFonts w:eastAsia="Calibri" w:cs="Times New Roman"/>
          <w:szCs w:val="24"/>
        </w:rPr>
        <w:t xml:space="preserve">, 99 F.3d 911, 920 (9th Cir. 1996) (“Normally, the question of whether a policy or custom exists would be a jury question. However, when there are no genuine issues of material fact and the plaintiff has failed to establish a prima facie case, disposition by summary judgment is appropriate.”).  </w:t>
      </w:r>
    </w:p>
    <w:p w14:paraId="235678E3" w14:textId="77777777" w:rsidR="00842D3D" w:rsidRPr="00842D3D" w:rsidRDefault="00842D3D" w:rsidP="00842D3D">
      <w:pPr>
        <w:autoSpaceDE w:val="0"/>
        <w:autoSpaceDN w:val="0"/>
        <w:adjustRightInd w:val="0"/>
        <w:rPr>
          <w:rFonts w:eastAsia="Calibri" w:cs="Times New Roman"/>
          <w:szCs w:val="24"/>
        </w:rPr>
      </w:pPr>
    </w:p>
    <w:p w14:paraId="47686FB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r w:rsidRPr="00842D3D">
        <w:rPr>
          <w:rFonts w:eastAsia="Calibri" w:cs="Times New Roman"/>
          <w:i/>
          <w:iCs/>
          <w:szCs w:val="24"/>
        </w:rPr>
        <w:t>Pembaur v. City of Cincinnati</w:t>
      </w:r>
      <w:r w:rsidRPr="00842D3D">
        <w:rPr>
          <w:rFonts w:eastAsia="Calibri" w:cs="Times New Roman"/>
          <w:szCs w:val="24"/>
        </w:rPr>
        <w:t xml:space="preserve">, 475 U.S. 469, 483-84 (1986); </w:t>
      </w:r>
      <w:r w:rsidRPr="00842D3D">
        <w:rPr>
          <w:rFonts w:eastAsia="Calibri" w:cs="Times New Roman"/>
          <w:i/>
          <w:iCs/>
          <w:szCs w:val="24"/>
        </w:rPr>
        <w:t>accord Benavidez v. Cnty. of San Diego</w:t>
      </w:r>
      <w:r w:rsidRPr="00842D3D">
        <w:rPr>
          <w:rFonts w:eastAsia="Calibri" w:cs="Times New Roman"/>
          <w:szCs w:val="24"/>
        </w:rPr>
        <w:t xml:space="preserve">, 993 F.3d 1134, 1153 (9th Cir. 2021).  </w:t>
      </w:r>
    </w:p>
    <w:p w14:paraId="0C926B64" w14:textId="77777777" w:rsidR="00842D3D" w:rsidRPr="00842D3D" w:rsidRDefault="00842D3D" w:rsidP="00842D3D">
      <w:pPr>
        <w:autoSpaceDE w:val="0"/>
        <w:autoSpaceDN w:val="0"/>
        <w:adjustRightInd w:val="0"/>
        <w:rPr>
          <w:rFonts w:eastAsia="Calibri" w:cs="Times New Roman"/>
          <w:szCs w:val="24"/>
        </w:rPr>
      </w:pPr>
    </w:p>
    <w:p w14:paraId="682E9FB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Such liability may also attach when an employee committed a constitutional violation pursuant to a widespread practice or custom. </w:t>
      </w:r>
      <w:r w:rsidRPr="00842D3D">
        <w:rPr>
          <w:rFonts w:eastAsia="Calibri" w:cs="Times New Roman"/>
          <w:i/>
          <w:iCs/>
          <w:szCs w:val="24"/>
        </w:rPr>
        <w:t>Bd. of Cnty. Comm’rs of Bryan Cnty., Okl. v. Brown</w:t>
      </w:r>
      <w:r w:rsidRPr="00842D3D">
        <w:rPr>
          <w:rFonts w:eastAsia="Calibri" w:cs="Times New Roman"/>
          <w:szCs w:val="24"/>
        </w:rPr>
        <w:t xml:space="preserve">, 520 U.S. 397, 404 (1997); </w:t>
      </w:r>
      <w:r w:rsidRPr="00842D3D">
        <w:rPr>
          <w:rFonts w:eastAsia="Calibri" w:cs="Times New Roman"/>
          <w:i/>
          <w:iCs/>
          <w:szCs w:val="24"/>
        </w:rPr>
        <w:t>Benavidez</w:t>
      </w:r>
      <w:r w:rsidRPr="00842D3D">
        <w:rPr>
          <w:rFonts w:eastAsia="Calibri" w:cs="Times New Roman"/>
          <w:szCs w:val="24"/>
        </w:rPr>
        <w:t xml:space="preserve">, 993 F.3d at 1153. A widespread “custom or practice” must be so “persistent” that it constitutes a “permanent and well settled city policy.”  </w:t>
      </w:r>
      <w:r w:rsidRPr="00842D3D">
        <w:rPr>
          <w:rFonts w:eastAsia="Calibri" w:cs="Times New Roman"/>
          <w:i/>
          <w:iCs/>
          <w:szCs w:val="24"/>
        </w:rPr>
        <w:t>Trevino</w:t>
      </w:r>
      <w:r w:rsidRPr="00842D3D">
        <w:rPr>
          <w:rFonts w:eastAsia="Calibri" w:cs="Times New Roman"/>
          <w:szCs w:val="24"/>
        </w:rPr>
        <w:t>, 99 F.3d</w:t>
      </w:r>
      <w:r w:rsidRPr="00842D3D">
        <w:rPr>
          <w:rFonts w:eastAsia="Calibri" w:cs="Times New Roman"/>
          <w:i/>
          <w:iCs/>
          <w:szCs w:val="24"/>
        </w:rPr>
        <w:t xml:space="preserve"> </w:t>
      </w:r>
      <w:r w:rsidRPr="00842D3D">
        <w:rPr>
          <w:rFonts w:eastAsia="Calibri" w:cs="Times New Roman"/>
          <w:szCs w:val="24"/>
        </w:rPr>
        <w:t xml:space="preserve">at 918 (quoting </w:t>
      </w:r>
      <w:r w:rsidRPr="00842D3D">
        <w:rPr>
          <w:rFonts w:eastAsia="Calibri" w:cs="Times New Roman"/>
          <w:i/>
          <w:iCs/>
          <w:szCs w:val="24"/>
        </w:rPr>
        <w:t>Monell</w:t>
      </w:r>
      <w:r w:rsidRPr="00842D3D">
        <w:rPr>
          <w:rFonts w:eastAsia="Calibri" w:cs="Times New Roman"/>
          <w:szCs w:val="24"/>
        </w:rPr>
        <w:t>, 436 U.S. at 691);</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Ulrich v. City &amp; Cnty. of S.F.</w:t>
      </w:r>
      <w:r w:rsidRPr="00842D3D">
        <w:rPr>
          <w:rFonts w:eastAsia="Calibri" w:cs="Times New Roman"/>
          <w:szCs w:val="24"/>
        </w:rPr>
        <w:t xml:space="preserve">, 308 F.3d 968, 984 (9th Cir. 2002) (“Showing a ‘longstanding practice or custom which constitutes the “standard operating procedure” of the local government entity’ is one way to establish municipal liability.” (quoting </w:t>
      </w:r>
      <w:r w:rsidRPr="00842D3D">
        <w:rPr>
          <w:rFonts w:eastAsia="Calibri" w:cs="Times New Roman"/>
          <w:i/>
          <w:iCs/>
          <w:szCs w:val="24"/>
        </w:rPr>
        <w:t>Jett v. Dallas Indep. Sch. Dist.</w:t>
      </w:r>
      <w:r w:rsidRPr="00842D3D">
        <w:rPr>
          <w:rFonts w:eastAsia="Calibri" w:cs="Times New Roman"/>
          <w:szCs w:val="24"/>
        </w:rPr>
        <w:t xml:space="preserve">, 491 U.S. 701, 737 (1989))). A widespread custom or practice cannot be based on “isolated or sporadic incidents; [liability] must be founded upon practices of sufficient duration, frequency and consistency that the conduct has become a traditional method of carrying out policy.” </w:t>
      </w:r>
      <w:r w:rsidRPr="00842D3D">
        <w:rPr>
          <w:rFonts w:eastAsia="Calibri" w:cs="Times New Roman"/>
          <w:i/>
          <w:iCs/>
          <w:szCs w:val="24"/>
        </w:rPr>
        <w:t>Sabra v. Maricopa Cnty. Cmty. Coll. Dist.</w:t>
      </w:r>
      <w:r w:rsidRPr="00842D3D">
        <w:rPr>
          <w:rFonts w:eastAsia="Calibri" w:cs="Times New Roman"/>
          <w:szCs w:val="24"/>
        </w:rPr>
        <w:t xml:space="preserve">, 44 F.4th 867, 884 (9th Cir. 2022) (quoting </w:t>
      </w:r>
      <w:r w:rsidRPr="00842D3D">
        <w:rPr>
          <w:rFonts w:eastAsia="Calibri" w:cs="Times New Roman"/>
          <w:i/>
          <w:iCs/>
          <w:szCs w:val="24"/>
        </w:rPr>
        <w:t>Trevino</w:t>
      </w:r>
      <w:r w:rsidRPr="00842D3D">
        <w:rPr>
          <w:rFonts w:eastAsia="Calibri" w:cs="Times New Roman"/>
          <w:szCs w:val="24"/>
        </w:rPr>
        <w:t>, 99 F.3d at 918).</w:t>
      </w:r>
    </w:p>
    <w:p w14:paraId="5FB2E947" w14:textId="77777777" w:rsidR="00842D3D" w:rsidRPr="00842D3D" w:rsidRDefault="00842D3D" w:rsidP="00842D3D">
      <w:pPr>
        <w:autoSpaceDE w:val="0"/>
        <w:autoSpaceDN w:val="0"/>
        <w:adjustRightInd w:val="0"/>
        <w:rPr>
          <w:rFonts w:eastAsia="Calibri" w:cs="Times New Roman"/>
          <w:szCs w:val="24"/>
        </w:rPr>
      </w:pPr>
    </w:p>
    <w:p w14:paraId="6DAC3DE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“[A] custom or practice can be supported by evidence of repeated constitutional violations which went uninvestigated and for which the errant municipal officers went unpunished.” </w:t>
      </w:r>
      <w:r w:rsidRPr="00842D3D">
        <w:rPr>
          <w:rFonts w:eastAsia="Calibri" w:cs="Times New Roman"/>
          <w:i/>
          <w:iCs/>
          <w:szCs w:val="24"/>
        </w:rPr>
        <w:t>Hunter v. County of Sacramento</w:t>
      </w:r>
      <w:r w:rsidRPr="00842D3D">
        <w:rPr>
          <w:rFonts w:eastAsia="Calibri" w:cs="Times New Roman"/>
          <w:szCs w:val="24"/>
        </w:rPr>
        <w:t xml:space="preserve">, 652 F.3d 1225, 1236 (9th Cir. 2011); </w:t>
      </w:r>
      <w:r w:rsidRPr="00842D3D">
        <w:rPr>
          <w:rFonts w:eastAsia="Calibri" w:cs="Times New Roman"/>
          <w:i/>
          <w:iCs/>
          <w:szCs w:val="24"/>
        </w:rPr>
        <w:t>see also Nehad v. Browder</w:t>
      </w:r>
      <w:r w:rsidRPr="00842D3D">
        <w:rPr>
          <w:rFonts w:eastAsia="Calibri" w:cs="Times New Roman"/>
          <w:szCs w:val="24"/>
        </w:rPr>
        <w:t xml:space="preserve">, 929 F.3d 1125, 1141-42 (9th Cir. 2019) (citing evidence sufficient to create triable issue regarding informal practice or policy). The Ninth Circuit has used the term “longstanding” practice or custom interchangeably with the Supreme Court’s more frequent usage of “widespread.”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w:t>
      </w:r>
      <w:r w:rsidRPr="00842D3D">
        <w:rPr>
          <w:rFonts w:eastAsia="Calibri" w:cs="Times New Roman"/>
          <w:i/>
          <w:iCs/>
          <w:szCs w:val="24"/>
        </w:rPr>
        <w:t xml:space="preserve"> Sabra</w:t>
      </w:r>
      <w:r w:rsidRPr="00842D3D">
        <w:rPr>
          <w:rFonts w:eastAsia="Calibri" w:cs="Times New Roman"/>
          <w:szCs w:val="24"/>
        </w:rPr>
        <w:t xml:space="preserve">, 44 F.4th at 883; </w:t>
      </w:r>
      <w:r w:rsidRPr="00842D3D">
        <w:rPr>
          <w:rFonts w:eastAsia="Calibri" w:cs="Times New Roman"/>
          <w:i/>
          <w:iCs/>
          <w:szCs w:val="24"/>
        </w:rPr>
        <w:t>Christie v. Iopa</w:t>
      </w:r>
      <w:r w:rsidRPr="00842D3D">
        <w:rPr>
          <w:rFonts w:eastAsia="Calibri" w:cs="Times New Roman"/>
          <w:szCs w:val="24"/>
        </w:rPr>
        <w:t xml:space="preserve">, 176 F.3d 1231, 1235 (9th Cir. 1999); </w:t>
      </w:r>
      <w:r w:rsidRPr="00842D3D">
        <w:rPr>
          <w:rFonts w:eastAsia="Calibri" w:cs="Times New Roman"/>
          <w:i/>
          <w:iCs/>
          <w:szCs w:val="24"/>
        </w:rPr>
        <w:t>Connick v. Thompson</w:t>
      </w:r>
      <w:r w:rsidRPr="00842D3D">
        <w:rPr>
          <w:rFonts w:eastAsia="Calibri" w:cs="Times New Roman"/>
          <w:szCs w:val="24"/>
        </w:rPr>
        <w:t xml:space="preserve">, 563 U.S. 51, 61 (2011). Use the bracketed language in the last sentence of the penultimate paragraph of the instruction only when the plaintiff has presented substantial evidence of a failure to investigate or discipline and that theory is central to the plaintiff’s case. </w:t>
      </w:r>
      <w:r w:rsidRPr="00842D3D">
        <w:rPr>
          <w:rFonts w:eastAsia="Calibri" w:cs="Times New Roman"/>
          <w:i/>
          <w:iCs/>
          <w:szCs w:val="24"/>
        </w:rPr>
        <w:t>See Hunter</w:t>
      </w:r>
      <w:r w:rsidRPr="00842D3D">
        <w:rPr>
          <w:rFonts w:eastAsia="Calibri" w:cs="Times New Roman"/>
          <w:szCs w:val="24"/>
        </w:rPr>
        <w:t>, 652 F.3d at 1235.</w:t>
      </w:r>
      <w:r w:rsidRPr="00842D3D">
        <w:rPr>
          <w:rFonts w:eastAsia="Times New Roman" w:cs="Times New Roman"/>
          <w:szCs w:val="24"/>
        </w:rPr>
        <w:t xml:space="preserve"> </w:t>
      </w:r>
      <w:r w:rsidRPr="00842D3D">
        <w:rPr>
          <w:rFonts w:eastAsia="Calibri" w:cs="Times New Roman"/>
          <w:szCs w:val="24"/>
        </w:rPr>
        <w:t xml:space="preserve">“Official nonfeasance can constitute a </w:t>
      </w:r>
      <w:r w:rsidRPr="00842D3D">
        <w:rPr>
          <w:rFonts w:eastAsia="Calibri" w:cs="Times New Roman"/>
          <w:i/>
          <w:iCs/>
          <w:szCs w:val="24"/>
        </w:rPr>
        <w:t>Monell</w:t>
      </w:r>
      <w:r w:rsidRPr="00842D3D">
        <w:rPr>
          <w:rFonts w:eastAsia="Calibri" w:cs="Times New Roman"/>
          <w:szCs w:val="24"/>
        </w:rPr>
        <w:t xml:space="preserve"> violation when the municipality in effect ‘has a policy of inaction and such inaction amounts to a failure to protect constitutional rights.’” </w:t>
      </w:r>
      <w:r w:rsidRPr="00842D3D">
        <w:rPr>
          <w:rFonts w:eastAsia="Calibri" w:cs="Times New Roman"/>
          <w:i/>
          <w:iCs/>
          <w:szCs w:val="24"/>
        </w:rPr>
        <w:t>Scanlon v. County of Los Angeles</w:t>
      </w:r>
      <w:r w:rsidRPr="00842D3D">
        <w:rPr>
          <w:rFonts w:eastAsia="Calibri" w:cs="Times New Roman"/>
          <w:szCs w:val="24"/>
        </w:rPr>
        <w:t xml:space="preserve">, 92 F.4th 781, 812 (9th Cir. 2024) (quoting </w:t>
      </w:r>
      <w:r w:rsidRPr="00842D3D">
        <w:rPr>
          <w:rFonts w:eastAsia="Calibri" w:cs="Times New Roman"/>
          <w:i/>
          <w:iCs/>
          <w:szCs w:val="24"/>
        </w:rPr>
        <w:t>Mortimer v. Baca</w:t>
      </w:r>
      <w:r w:rsidRPr="00842D3D">
        <w:rPr>
          <w:rFonts w:eastAsia="Calibri" w:cs="Times New Roman"/>
          <w:szCs w:val="24"/>
        </w:rPr>
        <w:t>, 594 F3d 714, 722 (9th Cir. 2010)).</w:t>
      </w:r>
    </w:p>
    <w:p w14:paraId="03CFC374" w14:textId="77777777" w:rsidR="00842D3D" w:rsidRPr="00842D3D" w:rsidRDefault="00842D3D" w:rsidP="00842D3D">
      <w:pPr>
        <w:autoSpaceDE w:val="0"/>
        <w:autoSpaceDN w:val="0"/>
        <w:adjustRightInd w:val="0"/>
        <w:rPr>
          <w:rFonts w:eastAsia="Calibri" w:cs="Times New Roman"/>
          <w:szCs w:val="24"/>
        </w:rPr>
      </w:pPr>
    </w:p>
    <w:p w14:paraId="5489E86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must demonstrate that the government “had a deliberate policy, custom, or practice that was the ‘moving force’ behind the constitutional violation he suffered.”</w:t>
      </w:r>
      <w:r w:rsidRPr="00842D3D">
        <w:rPr>
          <w:rFonts w:eastAsia="Calibri" w:cs="Times New Roman"/>
          <w:i/>
          <w:iCs/>
          <w:szCs w:val="24"/>
        </w:rPr>
        <w:t xml:space="preserve"> Gravelet-Blondin v. Shelton</w:t>
      </w:r>
      <w:r w:rsidRPr="00842D3D">
        <w:rPr>
          <w:rFonts w:eastAsia="Calibri" w:cs="Times New Roman"/>
          <w:szCs w:val="24"/>
        </w:rPr>
        <w:t xml:space="preserve">, 728 F.3d 1086, 1096 (9th Cir. 2013) (citations and quotations omitted). “To meet this requirement, the plaintiff must show both causation-in-fact and proximate causation.” </w:t>
      </w:r>
      <w:r w:rsidRPr="00842D3D">
        <w:rPr>
          <w:rFonts w:eastAsia="Calibri" w:cs="Times New Roman"/>
          <w:i/>
          <w:iCs/>
          <w:szCs w:val="24"/>
        </w:rPr>
        <w:t>Id.</w:t>
      </w:r>
    </w:p>
    <w:p w14:paraId="49A64250" w14:textId="77777777" w:rsidR="00842D3D" w:rsidRPr="00842D3D" w:rsidRDefault="00842D3D" w:rsidP="00842D3D">
      <w:pPr>
        <w:autoSpaceDE w:val="0"/>
        <w:autoSpaceDN w:val="0"/>
        <w:adjustRightInd w:val="0"/>
        <w:rPr>
          <w:rFonts w:eastAsia="Calibri" w:cs="Times New Roman"/>
          <w:szCs w:val="24"/>
        </w:rPr>
      </w:pPr>
    </w:p>
    <w:p w14:paraId="0A4AD10E" w14:textId="77777777" w:rsidR="00842D3D" w:rsidRPr="00842D3D" w:rsidRDefault="00842D3D" w:rsidP="00842D3D">
      <w:pPr>
        <w:autoSpaceDE w:val="0"/>
        <w:autoSpaceDN w:val="0"/>
        <w:adjustRightInd w:val="0"/>
        <w:rPr>
          <w:rFonts w:eastAsia="Calibri" w:cs="Times New Roman"/>
          <w:szCs w:val="24"/>
        </w:rPr>
      </w:pPr>
    </w:p>
    <w:p w14:paraId="7342BF54"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March 2024</w:t>
      </w:r>
    </w:p>
    <w:p w14:paraId="62B2F106" w14:textId="77777777" w:rsidR="00842D3D" w:rsidRPr="00842D3D" w:rsidRDefault="00842D3D" w:rsidP="00FF121D">
      <w:pPr>
        <w:pStyle w:val="Heading2"/>
      </w:pPr>
      <w:r w:rsidRPr="00842D3D">
        <w:br w:type="page"/>
      </w:r>
      <w:bookmarkStart w:id="146" w:name="_Toc221525170"/>
      <w:r w:rsidRPr="00842D3D">
        <w:lastRenderedPageBreak/>
        <w:t>9.6 Section 1983 Claim Against Local Governing Body Defendants Based on Act of Final Policymaker—Elements and Burden of Proof</w:t>
      </w:r>
      <w:bookmarkEnd w:id="146"/>
    </w:p>
    <w:p w14:paraId="05D56899" w14:textId="77777777" w:rsidR="00842D3D" w:rsidRPr="00842D3D" w:rsidRDefault="00842D3D" w:rsidP="00842D3D">
      <w:pPr>
        <w:rPr>
          <w:rFonts w:eastAsia="Calibri" w:cs="Times New Roman"/>
          <w:szCs w:val="24"/>
        </w:rPr>
      </w:pPr>
    </w:p>
    <w:p w14:paraId="671A5A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the act of a final policymaker,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791DEE8F" w14:textId="77777777" w:rsidR="00842D3D" w:rsidRPr="00842D3D" w:rsidRDefault="00842D3D" w:rsidP="00842D3D">
      <w:pPr>
        <w:autoSpaceDE w:val="0"/>
        <w:autoSpaceDN w:val="0"/>
        <w:adjustRightInd w:val="0"/>
        <w:ind w:firstLine="720"/>
        <w:rPr>
          <w:rFonts w:eastAsia="Calibri" w:cs="Times New Roman"/>
          <w:szCs w:val="24"/>
        </w:rPr>
      </w:pPr>
    </w:p>
    <w:p w14:paraId="0C55EF52"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7CACA92" w14:textId="77777777" w:rsidR="00842D3D" w:rsidRPr="00842D3D" w:rsidRDefault="00842D3D" w:rsidP="00842D3D">
      <w:pPr>
        <w:autoSpaceDE w:val="0"/>
        <w:autoSpaceDN w:val="0"/>
        <w:adjustRightInd w:val="0"/>
        <w:ind w:firstLine="720"/>
        <w:rPr>
          <w:rFonts w:eastAsia="Calibri" w:cs="Times New Roman"/>
          <w:szCs w:val="24"/>
        </w:rPr>
      </w:pPr>
    </w:p>
    <w:p w14:paraId="19CA1C35"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Second, the act[s] of [</w:t>
      </w:r>
      <w:r w:rsidRPr="00842D3D">
        <w:rPr>
          <w:rFonts w:eastAsia="Calibri" w:cs="Times New Roman"/>
          <w:i/>
          <w:iCs/>
          <w:szCs w:val="24"/>
          <w:u w:val="single"/>
        </w:rPr>
        <w:t>name of final policymaker</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79A8D692" w14:textId="77777777" w:rsidR="00842D3D" w:rsidRPr="00842D3D" w:rsidRDefault="00842D3D" w:rsidP="00842D3D">
      <w:pPr>
        <w:autoSpaceDE w:val="0"/>
        <w:autoSpaceDN w:val="0"/>
        <w:adjustRightInd w:val="0"/>
        <w:ind w:firstLine="720"/>
        <w:rPr>
          <w:rFonts w:eastAsia="Calibri" w:cs="Times New Roman"/>
          <w:szCs w:val="24"/>
        </w:rPr>
      </w:pPr>
    </w:p>
    <w:p w14:paraId="5D3C9D84"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these act[s];</w:t>
      </w:r>
    </w:p>
    <w:p w14:paraId="7973C22B" w14:textId="77777777" w:rsidR="00842D3D" w:rsidRPr="00842D3D" w:rsidRDefault="00842D3D" w:rsidP="00842D3D">
      <w:pPr>
        <w:autoSpaceDE w:val="0"/>
        <w:autoSpaceDN w:val="0"/>
        <w:adjustRightInd w:val="0"/>
        <w:ind w:firstLine="720"/>
        <w:rPr>
          <w:rFonts w:eastAsia="Calibri" w:cs="Times New Roman"/>
          <w:szCs w:val="24"/>
        </w:rPr>
      </w:pPr>
    </w:p>
    <w:p w14:paraId="68ECD711"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Fourth, when [</w:t>
      </w:r>
      <w:r w:rsidRPr="00842D3D">
        <w:rPr>
          <w:rFonts w:eastAsia="Calibri" w:cs="Times New Roman"/>
          <w:i/>
          <w:iCs/>
          <w:szCs w:val="24"/>
          <w:u w:val="single"/>
        </w:rPr>
        <w:t>name of final policymaker</w:t>
      </w:r>
      <w:r w:rsidRPr="00842D3D">
        <w:rPr>
          <w:rFonts w:eastAsia="Calibri" w:cs="Times New Roman"/>
          <w:szCs w:val="24"/>
        </w:rPr>
        <w:t>] engaged in these act[s], [</w:t>
      </w:r>
      <w:r w:rsidRPr="00842D3D">
        <w:rPr>
          <w:rFonts w:eastAsia="Calibri" w:cs="Times New Roman"/>
          <w:i/>
          <w:iCs/>
          <w:szCs w:val="24"/>
          <w:u w:val="single"/>
        </w:rPr>
        <w:t>name of final policymaker</w:t>
      </w:r>
      <w:r w:rsidRPr="00842D3D">
        <w:rPr>
          <w:rFonts w:eastAsia="Calibri" w:cs="Times New Roman"/>
          <w:szCs w:val="24"/>
        </w:rPr>
        <w:t>] was acting as a final policymaker for defendant [</w:t>
      </w:r>
      <w:r w:rsidRPr="00842D3D">
        <w:rPr>
          <w:rFonts w:eastAsia="Calibri" w:cs="Times New Roman"/>
          <w:i/>
          <w:iCs/>
          <w:szCs w:val="24"/>
          <w:u w:val="single"/>
        </w:rPr>
        <w:t>name of local governing body</w:t>
      </w:r>
      <w:r w:rsidRPr="00842D3D">
        <w:rPr>
          <w:rFonts w:eastAsia="Calibri" w:cs="Times New Roman"/>
          <w:szCs w:val="24"/>
        </w:rPr>
        <w:t>]; and</w:t>
      </w:r>
    </w:p>
    <w:p w14:paraId="6103934C" w14:textId="77777777" w:rsidR="00842D3D" w:rsidRPr="00842D3D" w:rsidRDefault="00842D3D" w:rsidP="00842D3D">
      <w:pPr>
        <w:autoSpaceDE w:val="0"/>
        <w:autoSpaceDN w:val="0"/>
        <w:adjustRightInd w:val="0"/>
        <w:ind w:firstLine="720"/>
        <w:rPr>
          <w:rFonts w:eastAsia="Calibri" w:cs="Times New Roman"/>
          <w:szCs w:val="24"/>
        </w:rPr>
      </w:pPr>
    </w:p>
    <w:p w14:paraId="6136A891"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Fifth, the act[s] of [</w:t>
      </w:r>
      <w:r w:rsidRPr="00842D3D">
        <w:rPr>
          <w:rFonts w:eastAsia="Calibri" w:cs="Times New Roman"/>
          <w:i/>
          <w:iCs/>
          <w:szCs w:val="24"/>
          <w:u w:val="single"/>
        </w:rPr>
        <w:t>name of final policymaker</w:t>
      </w:r>
      <w:r w:rsidRPr="00842D3D">
        <w:rPr>
          <w:rFonts w:eastAsia="Calibri" w:cs="Times New Roman"/>
          <w:szCs w:val="24"/>
        </w:rPr>
        <w:t>] caused the deprivation of plaintiff [</w:t>
      </w:r>
      <w:r w:rsidRPr="00842D3D">
        <w:rPr>
          <w:rFonts w:eastAsia="Calibri" w:cs="Times New Roman"/>
          <w:i/>
          <w:iCs/>
          <w:szCs w:val="24"/>
          <w:u w:val="single"/>
        </w:rPr>
        <w:t>name</w:t>
      </w:r>
      <w:r w:rsidRPr="00842D3D">
        <w:rPr>
          <w:rFonts w:eastAsia="Calibri" w:cs="Times New Roman"/>
          <w:szCs w:val="24"/>
        </w:rPr>
        <w:t xml:space="preserve">]’s rights; that is, the </w:t>
      </w:r>
      <w:r w:rsidRPr="00842D3D">
        <w:rPr>
          <w:rFonts w:eastAsia="Calibri" w:cs="Times New Roman"/>
          <w:szCs w:val="24"/>
          <w:u w:val="single"/>
        </w:rPr>
        <w:t>[</w:t>
      </w:r>
      <w:r w:rsidRPr="00842D3D">
        <w:rPr>
          <w:rFonts w:eastAsia="Calibri" w:cs="Times New Roman"/>
          <w:i/>
          <w:iCs/>
          <w:szCs w:val="24"/>
          <w:u w:val="single"/>
        </w:rPr>
        <w:t>name of final policymaker</w:t>
      </w:r>
      <w:r w:rsidRPr="00842D3D">
        <w:rPr>
          <w:rFonts w:eastAsia="Calibri" w:cs="Times New Roman"/>
          <w:szCs w:val="24"/>
        </w:rPr>
        <w:t>]’s act[s] [was] [were] so closely related to the deprivation of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08EDBA57" w14:textId="77777777" w:rsidR="00842D3D" w:rsidRPr="00842D3D" w:rsidRDefault="00842D3D" w:rsidP="00842D3D">
      <w:pPr>
        <w:autoSpaceDE w:val="0"/>
        <w:autoSpaceDN w:val="0"/>
        <w:adjustRightInd w:val="0"/>
        <w:rPr>
          <w:rFonts w:eastAsia="Calibri" w:cs="Times New Roman"/>
          <w:szCs w:val="24"/>
        </w:rPr>
      </w:pPr>
    </w:p>
    <w:p w14:paraId="2312522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defendant [</w:t>
      </w:r>
      <w:r w:rsidRPr="00842D3D">
        <w:rPr>
          <w:rFonts w:eastAsia="Calibri" w:cs="Times New Roman"/>
          <w:i/>
          <w:iCs/>
          <w:szCs w:val="24"/>
          <w:u w:val="single"/>
        </w:rPr>
        <w:t>name</w:t>
      </w:r>
      <w:r w:rsidRPr="00842D3D">
        <w:rPr>
          <w:rFonts w:eastAsia="Calibri" w:cs="Times New Roman"/>
          <w:szCs w:val="24"/>
        </w:rPr>
        <w:t>]’s [official] [employee] acted under color of state law.]</w:t>
      </w:r>
    </w:p>
    <w:p w14:paraId="10E68500" w14:textId="77777777" w:rsidR="00842D3D" w:rsidRPr="00842D3D" w:rsidRDefault="00842D3D" w:rsidP="00842D3D">
      <w:pPr>
        <w:autoSpaceDE w:val="0"/>
        <w:autoSpaceDN w:val="0"/>
        <w:adjustRightInd w:val="0"/>
        <w:rPr>
          <w:rFonts w:eastAsia="Calibri" w:cs="Times New Roman"/>
          <w:szCs w:val="24"/>
        </w:rPr>
      </w:pPr>
    </w:p>
    <w:p w14:paraId="76891A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third element requires no proof. </w:t>
      </w:r>
    </w:p>
    <w:p w14:paraId="04D90754" w14:textId="77777777" w:rsidR="00842D3D" w:rsidRPr="00842D3D" w:rsidRDefault="00842D3D" w:rsidP="00842D3D">
      <w:pPr>
        <w:autoSpaceDE w:val="0"/>
        <w:autoSpaceDN w:val="0"/>
        <w:adjustRightInd w:val="0"/>
        <w:rPr>
          <w:rFonts w:eastAsia="Calibri" w:cs="Times New Roman"/>
          <w:szCs w:val="24"/>
        </w:rPr>
      </w:pPr>
    </w:p>
    <w:p w14:paraId="14FAD00D"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name of local governing body</w:t>
      </w:r>
      <w:r w:rsidRPr="00842D3D">
        <w:rPr>
          <w:rFonts w:eastAsia="Calibri" w:cs="Times New Roman"/>
          <w:szCs w:val="24"/>
        </w:rPr>
        <w:t>].</w:t>
      </w:r>
    </w:p>
    <w:p w14:paraId="750C2E7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0018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eastAsia="Calibri" w:cs="Times New Roman"/>
          <w:b/>
          <w:bCs/>
          <w:szCs w:val="24"/>
        </w:rPr>
      </w:pPr>
      <w:r w:rsidRPr="00842D3D">
        <w:rPr>
          <w:rFonts w:eastAsia="Calibri" w:cs="Times New Roman"/>
          <w:b/>
          <w:bCs/>
          <w:szCs w:val="24"/>
        </w:rPr>
        <w:t>Comment</w:t>
      </w:r>
    </w:p>
    <w:p w14:paraId="5127274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6619BDA8" w14:textId="46C2595D"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w:t>
      </w:r>
      <w:r w:rsidRPr="00842D3D">
        <w:rPr>
          <w:rFonts w:eastAsia="Calibri" w:cs="Times New Roman"/>
          <w:szCs w:val="24"/>
        </w:rPr>
        <w:lastRenderedPageBreak/>
        <w:t xml:space="preserve">plaintiff must establish to prove the violation of the particular constitutional right or federal law at issue. </w:t>
      </w:r>
    </w:p>
    <w:p w14:paraId="048DB61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B8F64F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the acts of a final policymaker. </w:t>
      </w:r>
      <w:r w:rsidRPr="00842D3D">
        <w:rPr>
          <w:rFonts w:eastAsia="Calibri" w:cs="Times New Roman"/>
          <w:i/>
          <w:iCs/>
          <w:szCs w:val="24"/>
        </w:rPr>
        <w:t>See Hartzell v. Marana Unified Sch. Dist.</w:t>
      </w:r>
      <w:r w:rsidRPr="00842D3D">
        <w:rPr>
          <w:rFonts w:eastAsia="Calibri" w:cs="Times New Roman"/>
          <w:szCs w:val="24"/>
        </w:rPr>
        <w:t xml:space="preserve">, 130 F.4th 722, 735 (9th Cir. 2025) (noting that “the ‘final policymaker’ theory [is] a separate theory from the ‘policy, practice, or custom’ theory” for purposes of establishing </w:t>
      </w:r>
      <w:r w:rsidRPr="00842D3D">
        <w:rPr>
          <w:rFonts w:eastAsia="Calibri" w:cs="Times New Roman"/>
          <w:i/>
          <w:iCs/>
          <w:szCs w:val="24"/>
        </w:rPr>
        <w:t>Monell</w:t>
      </w:r>
      <w:r w:rsidRPr="00842D3D">
        <w:rPr>
          <w:rFonts w:eastAsia="Calibri" w:cs="Times New Roman"/>
          <w:szCs w:val="24"/>
        </w:rPr>
        <w:t xml:space="preserve"> liability (citation omitted)). For other bases of </w:t>
      </w:r>
      <w:r w:rsidRPr="00842D3D">
        <w:rPr>
          <w:rFonts w:eastAsia="Calibri" w:cs="Times New Roman"/>
          <w:i/>
          <w:iCs/>
          <w:szCs w:val="24"/>
        </w:rPr>
        <w:t xml:space="preserve">Monell </w:t>
      </w:r>
      <w:r w:rsidRPr="00842D3D">
        <w:rPr>
          <w:rFonts w:eastAsia="Calibri" w:cs="Times New Roman"/>
          <w:szCs w:val="24"/>
        </w:rPr>
        <w:t>liability, see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57209A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18E2E3C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Such liability may attach when the official or employee who caused a constitutional violation was acting as a “final policymaker.” </w:t>
      </w:r>
      <w:r w:rsidRPr="00842D3D">
        <w:rPr>
          <w:rFonts w:eastAsia="Calibri" w:cs="Times New Roman"/>
          <w:i/>
          <w:iCs/>
          <w:szCs w:val="24"/>
        </w:rPr>
        <w:t>Barone v. City of Springfield</w:t>
      </w:r>
      <w:r w:rsidRPr="00842D3D">
        <w:rPr>
          <w:rFonts w:eastAsia="Calibri" w:cs="Times New Roman"/>
          <w:szCs w:val="24"/>
        </w:rPr>
        <w:t xml:space="preserve">, 902 F.3d 1091, 1107 (9th Cir. 2018) (citing </w:t>
      </w:r>
      <w:r w:rsidRPr="00842D3D">
        <w:rPr>
          <w:rFonts w:eastAsia="Calibri" w:cs="Times New Roman"/>
          <w:i/>
          <w:iCs/>
          <w:szCs w:val="24"/>
        </w:rPr>
        <w:t>Lytle v. Carl</w:t>
      </w:r>
      <w:r w:rsidRPr="00842D3D">
        <w:rPr>
          <w:rFonts w:eastAsia="Calibri" w:cs="Times New Roman"/>
          <w:szCs w:val="24"/>
        </w:rPr>
        <w:t xml:space="preserve">, 382 F.3d 978, 981 (9th Cir. 2004)). “To hold a local governing body liable for an official’s conduct, a plaintiff must first show that the official (1) had final policymaking authority concerning the action . . . at issue; and (2) was the policymaker for the local governing body for the purposes of the particular act.” </w:t>
      </w:r>
      <w:r w:rsidRPr="00842D3D">
        <w:rPr>
          <w:rFonts w:eastAsia="Calibri" w:cs="Times New Roman"/>
          <w:i/>
          <w:iCs/>
          <w:szCs w:val="24"/>
        </w:rPr>
        <w:t>Goldstein v. City of Long Beach</w:t>
      </w:r>
      <w:r w:rsidRPr="00842D3D">
        <w:rPr>
          <w:rFonts w:eastAsia="Calibri" w:cs="Times New Roman"/>
          <w:szCs w:val="24"/>
        </w:rPr>
        <w:t>, 715 F.3d 750, 753 (9th Cir. 2013);</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xml:space="preserve">, 123 F.4th 1035, 1065-66 (9th Cir. 2024) (rejecting the argument that the police chief was the final policy maker sufficient to establish municipal liability because even assuming that the police chief  “established municipal policy for the overall management of the event,” there was no evidence that the police chief “caused the situation-specific use of force against” an individual).  </w:t>
      </w:r>
    </w:p>
    <w:p w14:paraId="5349706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3693BB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Whether an official is a policymaker for </w:t>
      </w:r>
      <w:r w:rsidRPr="00842D3D">
        <w:rPr>
          <w:rFonts w:eastAsia="Calibri" w:cs="Times New Roman"/>
          <w:i/>
          <w:iCs/>
          <w:szCs w:val="24"/>
        </w:rPr>
        <w:t xml:space="preserve">Monell </w:t>
      </w:r>
      <w:r w:rsidRPr="00842D3D">
        <w:rPr>
          <w:rFonts w:eastAsia="Calibri" w:cs="Times New Roman"/>
          <w:szCs w:val="24"/>
        </w:rPr>
        <w:t xml:space="preserve">purposes is a question of state law for the court, rather than the jury, to decide. </w:t>
      </w:r>
      <w:r w:rsidRPr="00842D3D">
        <w:rPr>
          <w:rFonts w:eastAsia="Calibri" w:cs="Times New Roman"/>
          <w:i/>
          <w:iCs/>
          <w:szCs w:val="24"/>
        </w:rPr>
        <w:t>City of St. Louis v. Praprotnik</w:t>
      </w:r>
      <w:r w:rsidRPr="00842D3D">
        <w:rPr>
          <w:rFonts w:eastAsia="Calibri" w:cs="Times New Roman"/>
          <w:szCs w:val="24"/>
        </w:rPr>
        <w:t xml:space="preserve">, 485 U.S. 112, 123 (1988);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Ellins v. City of Sierra Madre</w:t>
      </w:r>
      <w:r w:rsidRPr="00842D3D">
        <w:rPr>
          <w:rFonts w:eastAsia="Calibri" w:cs="Times New Roman"/>
          <w:szCs w:val="24"/>
        </w:rPr>
        <w:t xml:space="preserve">, 710 F.3d 1049, 1066 (9th Cir. 2013). The determination is made on a function-by-function approach analyzed under the state organizational structure. </w:t>
      </w:r>
      <w:r w:rsidRPr="00842D3D">
        <w:rPr>
          <w:rFonts w:eastAsia="Calibri" w:cs="Times New Roman"/>
          <w:i/>
          <w:iCs/>
          <w:szCs w:val="24"/>
        </w:rPr>
        <w:t>Goldstein</w:t>
      </w:r>
      <w:r w:rsidRPr="00842D3D">
        <w:rPr>
          <w:rFonts w:eastAsia="Calibri" w:cs="Times New Roman"/>
          <w:szCs w:val="24"/>
        </w:rPr>
        <w:t>, 715 F.3d at 753. A “policy” is a deliberate choice to follow a course of action made from among various alternatives by the official or officials responsible for establishing final policy with respect to the subject matter in question.</w:t>
      </w:r>
      <w:r w:rsidRPr="00842D3D">
        <w:rPr>
          <w:rFonts w:eastAsia="Calibri" w:cs="Times New Roman"/>
          <w:i/>
          <w:iCs/>
          <w:szCs w:val="24"/>
        </w:rPr>
        <w:t xml:space="preserve"> Brown v. Lynch</w:t>
      </w:r>
      <w:r w:rsidRPr="00842D3D">
        <w:rPr>
          <w:rFonts w:eastAsia="Calibri" w:cs="Times New Roman"/>
          <w:szCs w:val="24"/>
        </w:rPr>
        <w:t xml:space="preserve">, 831 F.3d 1146, 1152 (9th Cir. 2016)  </w:t>
      </w:r>
    </w:p>
    <w:p w14:paraId="3723B1D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A7C5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under this theory must demonstrate that an action of the final policymaker “was the ‘moving force’ behind the constitutional violation he suffered.”</w:t>
      </w:r>
      <w:r w:rsidRPr="00842D3D">
        <w:rPr>
          <w:rFonts w:eastAsia="Calibri" w:cs="Times New Roman"/>
          <w:i/>
          <w:iCs/>
          <w:szCs w:val="24"/>
        </w:rPr>
        <w:t xml:space="preserve"> Gravelet-Blondin v. Shelton</w:t>
      </w:r>
      <w:r w:rsidRPr="00842D3D">
        <w:rPr>
          <w:rFonts w:eastAsia="Calibri" w:cs="Times New Roman"/>
          <w:szCs w:val="24"/>
        </w:rPr>
        <w:t xml:space="preserve">, 728 F.3d 1086, 1096 (9th Cir. 2013) (citing </w:t>
      </w:r>
      <w:r w:rsidRPr="00842D3D">
        <w:rPr>
          <w:rFonts w:eastAsia="Calibri" w:cs="Times New Roman"/>
          <w:i/>
          <w:iCs/>
          <w:szCs w:val="24"/>
        </w:rPr>
        <w:t>Monell</w:t>
      </w:r>
      <w:r w:rsidRPr="00842D3D">
        <w:rPr>
          <w:rFonts w:eastAsia="Calibri" w:cs="Times New Roman"/>
          <w:szCs w:val="24"/>
        </w:rPr>
        <w:t xml:space="preserve">, 436 U.S. at 694-95). “To meet this requirement, the plaintiff must show both causation-in-fact and proximate causation.” </w:t>
      </w:r>
      <w:r w:rsidRPr="00842D3D">
        <w:rPr>
          <w:rFonts w:eastAsia="Calibri" w:cs="Times New Roman"/>
          <w:i/>
          <w:iCs/>
          <w:szCs w:val="24"/>
        </w:rPr>
        <w:t>Id.</w:t>
      </w:r>
      <w:r w:rsidRPr="00842D3D">
        <w:rPr>
          <w:rFonts w:eastAsia="Calibri" w:cs="Times New Roman"/>
          <w:szCs w:val="24"/>
        </w:rPr>
        <w:t xml:space="preserve"> </w:t>
      </w:r>
    </w:p>
    <w:p w14:paraId="633008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4D1E82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municipality may be liable for the acts of a final policymaker if these acts caused a constitutional violation, even if the constitutional violation occurs only once.</w:t>
      </w:r>
      <w:r w:rsidRPr="00842D3D">
        <w:rPr>
          <w:rFonts w:eastAsia="Calibri" w:cs="Times New Roman"/>
          <w:i/>
          <w:iCs/>
          <w:szCs w:val="24"/>
        </w:rPr>
        <w:t xml:space="preserve"> Pembaur v. City of </w:t>
      </w:r>
      <w:r w:rsidRPr="00842D3D">
        <w:rPr>
          <w:rFonts w:eastAsia="Calibri" w:cs="Times New Roman"/>
          <w:i/>
          <w:iCs/>
          <w:szCs w:val="24"/>
        </w:rPr>
        <w:lastRenderedPageBreak/>
        <w:t>Cincinnati</w:t>
      </w:r>
      <w:r w:rsidRPr="00842D3D">
        <w:rPr>
          <w:rFonts w:eastAsia="Calibri" w:cs="Times New Roman"/>
          <w:szCs w:val="24"/>
        </w:rPr>
        <w:t xml:space="preserve">, 475 U.S. 469, 478 &amp; n.6 (1986); </w:t>
      </w:r>
      <w:r w:rsidRPr="00842D3D">
        <w:rPr>
          <w:rFonts w:eastAsia="Calibri" w:cs="Times New Roman"/>
          <w:i/>
          <w:iCs/>
          <w:szCs w:val="24"/>
        </w:rPr>
        <w:t>see Sabra v. Maricopa Cnty. Cmty. Coll. Dist.</w:t>
      </w:r>
      <w:r w:rsidRPr="00842D3D">
        <w:rPr>
          <w:rFonts w:eastAsia="Calibri" w:cs="Times New Roman"/>
          <w:szCs w:val="24"/>
        </w:rPr>
        <w:t xml:space="preserve">, 44 F.4th 867, 885 (9th Cir. 2022). In certain situations, a municipality is also liable if a policymaking official fully delegates his or her discretionary authority to a subordinate, and the subordinate uses that discretion. </w:t>
      </w:r>
      <w:r w:rsidRPr="00842D3D">
        <w:rPr>
          <w:rFonts w:eastAsia="Calibri" w:cs="Times New Roman"/>
          <w:i/>
          <w:iCs/>
          <w:szCs w:val="24"/>
        </w:rPr>
        <w:t>Fogel v. Collins</w:t>
      </w:r>
      <w:r w:rsidRPr="00842D3D">
        <w:rPr>
          <w:rFonts w:eastAsia="Calibri" w:cs="Times New Roman"/>
          <w:szCs w:val="24"/>
        </w:rPr>
        <w:t xml:space="preserve">, 531 F.3d 824, 834 (9th Cir. 2008); </w:t>
      </w:r>
      <w:r w:rsidRPr="00842D3D">
        <w:rPr>
          <w:rFonts w:eastAsia="Calibri" w:cs="Times New Roman"/>
          <w:i/>
          <w:iCs/>
          <w:szCs w:val="24"/>
        </w:rPr>
        <w:t>see also Praprotnik</w:t>
      </w:r>
      <w:r w:rsidRPr="00842D3D">
        <w:rPr>
          <w:rFonts w:eastAsia="Calibri" w:cs="Times New Roman"/>
          <w:szCs w:val="24"/>
        </w:rPr>
        <w:t xml:space="preserve">, 485 U.S. at 124. An official may be found to have been delegated final policymaking authority when the official’s discretionary decision is unconstrained by policies not of that official’s making and unreviewable by the municipality’s authorized policymakers. </w:t>
      </w:r>
      <w:r w:rsidRPr="00842D3D">
        <w:rPr>
          <w:rFonts w:eastAsia="Calibri" w:cs="Times New Roman"/>
          <w:i/>
          <w:iCs/>
          <w:szCs w:val="24"/>
        </w:rPr>
        <w:t>Lytle v. Carl</w:t>
      </w:r>
      <w:r w:rsidRPr="00842D3D">
        <w:rPr>
          <w:rFonts w:eastAsia="Calibri" w:cs="Times New Roman"/>
          <w:szCs w:val="24"/>
        </w:rPr>
        <w:t xml:space="preserve">, 382 F.3d 978, 984 (9th Cir. 2004) (citing </w:t>
      </w:r>
      <w:r w:rsidRPr="00842D3D">
        <w:rPr>
          <w:rFonts w:eastAsia="Calibri" w:cs="Times New Roman"/>
          <w:i/>
          <w:iCs/>
          <w:szCs w:val="24"/>
        </w:rPr>
        <w:t>Christie v. Iopa</w:t>
      </w:r>
      <w:r w:rsidRPr="00842D3D">
        <w:rPr>
          <w:rFonts w:eastAsia="Calibri" w:cs="Times New Roman"/>
          <w:szCs w:val="24"/>
        </w:rPr>
        <w:t xml:space="preserve">, 176 F.3d 1231, 1236-37 (9th Cir. 1999)). </w:t>
      </w:r>
    </w:p>
    <w:p w14:paraId="43C4B58D" w14:textId="77777777" w:rsidR="00842D3D" w:rsidRPr="00842D3D" w:rsidRDefault="00842D3D" w:rsidP="00842D3D">
      <w:pPr>
        <w:rPr>
          <w:rFonts w:eastAsia="Calibri" w:cs="Times New Roman"/>
          <w:szCs w:val="24"/>
        </w:rPr>
      </w:pPr>
    </w:p>
    <w:p w14:paraId="6C75CC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7E3AA6C5" w14:textId="77777777" w:rsidR="00842D3D" w:rsidRPr="00842D3D" w:rsidRDefault="00842D3D" w:rsidP="00842D3D">
      <w:pPr>
        <w:jc w:val="right"/>
        <w:rPr>
          <w:rFonts w:eastAsia="Calibri" w:cs="Times New Roman"/>
          <w:i/>
          <w:iCs/>
          <w:szCs w:val="24"/>
        </w:rPr>
      </w:pPr>
    </w:p>
    <w:p w14:paraId="2B1CD92A" w14:textId="77777777" w:rsidR="00842D3D" w:rsidRPr="00842D3D" w:rsidRDefault="00842D3D" w:rsidP="00842D3D">
      <w:pPr>
        <w:jc w:val="right"/>
        <w:rPr>
          <w:rFonts w:eastAsia="Calibri" w:cs="Times New Roman"/>
          <w:i/>
          <w:iCs/>
          <w:szCs w:val="24"/>
        </w:rPr>
      </w:pPr>
    </w:p>
    <w:p w14:paraId="0CC3F501" w14:textId="77777777" w:rsidR="00842D3D" w:rsidRPr="00842D3D" w:rsidRDefault="00842D3D" w:rsidP="00842D3D">
      <w:pPr>
        <w:jc w:val="right"/>
        <w:rPr>
          <w:rFonts w:eastAsia="Calibri" w:cs="Times New Roman"/>
          <w:i/>
          <w:iCs/>
          <w:szCs w:val="24"/>
        </w:rPr>
      </w:pPr>
    </w:p>
    <w:p w14:paraId="549AEB8C" w14:textId="77777777" w:rsidR="00842D3D" w:rsidRPr="00842D3D" w:rsidRDefault="00842D3D" w:rsidP="00842D3D">
      <w:pPr>
        <w:jc w:val="right"/>
        <w:rPr>
          <w:rFonts w:eastAsia="Calibri" w:cs="Times New Roman"/>
          <w:i/>
          <w:iCs/>
          <w:szCs w:val="24"/>
        </w:rPr>
      </w:pPr>
    </w:p>
    <w:p w14:paraId="564B3EF0" w14:textId="77777777" w:rsidR="00842D3D" w:rsidRPr="00842D3D" w:rsidRDefault="00842D3D" w:rsidP="00842D3D">
      <w:pPr>
        <w:jc w:val="right"/>
        <w:rPr>
          <w:rFonts w:eastAsia="Calibri" w:cs="Times New Roman"/>
          <w:i/>
          <w:iCs/>
          <w:szCs w:val="24"/>
        </w:rPr>
      </w:pPr>
    </w:p>
    <w:p w14:paraId="1FBA584D" w14:textId="77777777" w:rsidR="00842D3D" w:rsidRPr="00842D3D" w:rsidRDefault="00842D3D" w:rsidP="00842D3D">
      <w:pPr>
        <w:jc w:val="right"/>
        <w:rPr>
          <w:rFonts w:eastAsia="Calibri" w:cs="Times New Roman"/>
          <w:i/>
          <w:iCs/>
          <w:szCs w:val="24"/>
        </w:rPr>
      </w:pPr>
    </w:p>
    <w:p w14:paraId="4ADA5704" w14:textId="77777777" w:rsidR="00842D3D" w:rsidRPr="00842D3D" w:rsidRDefault="00842D3D" w:rsidP="00842D3D">
      <w:pPr>
        <w:jc w:val="right"/>
        <w:rPr>
          <w:rFonts w:eastAsia="Calibri" w:cs="Times New Roman"/>
          <w:i/>
          <w:iCs/>
          <w:szCs w:val="24"/>
        </w:rPr>
      </w:pPr>
    </w:p>
    <w:p w14:paraId="35491483" w14:textId="77777777" w:rsidR="00842D3D" w:rsidRPr="00842D3D" w:rsidRDefault="00842D3D" w:rsidP="00842D3D">
      <w:pPr>
        <w:jc w:val="right"/>
        <w:rPr>
          <w:rFonts w:eastAsia="Calibri" w:cs="Times New Roman"/>
          <w:i/>
          <w:iCs/>
          <w:szCs w:val="24"/>
        </w:rPr>
      </w:pPr>
    </w:p>
    <w:p w14:paraId="4FA4BA2F" w14:textId="77777777" w:rsidR="00842D3D" w:rsidRPr="00842D3D" w:rsidRDefault="00842D3D" w:rsidP="00842D3D">
      <w:pPr>
        <w:jc w:val="right"/>
        <w:rPr>
          <w:rFonts w:eastAsia="Calibri" w:cs="Times New Roman"/>
          <w:i/>
          <w:iCs/>
          <w:szCs w:val="24"/>
        </w:rPr>
      </w:pPr>
    </w:p>
    <w:p w14:paraId="7D8779AF" w14:textId="77777777" w:rsidR="00842D3D" w:rsidRPr="00842D3D" w:rsidRDefault="00842D3D" w:rsidP="00842D3D">
      <w:pPr>
        <w:jc w:val="right"/>
        <w:rPr>
          <w:rFonts w:eastAsia="Calibri" w:cs="Times New Roman"/>
          <w:i/>
          <w:iCs/>
          <w:szCs w:val="24"/>
        </w:rPr>
      </w:pPr>
    </w:p>
    <w:p w14:paraId="51541BE5" w14:textId="77777777" w:rsidR="00842D3D" w:rsidRPr="00842D3D" w:rsidRDefault="00842D3D" w:rsidP="00842D3D">
      <w:pPr>
        <w:jc w:val="right"/>
        <w:rPr>
          <w:rFonts w:eastAsia="Calibri" w:cs="Times New Roman"/>
          <w:i/>
          <w:iCs/>
          <w:szCs w:val="24"/>
        </w:rPr>
      </w:pPr>
    </w:p>
    <w:p w14:paraId="22BEFAA2" w14:textId="77777777" w:rsidR="00842D3D" w:rsidRPr="00842D3D" w:rsidRDefault="00842D3D" w:rsidP="00842D3D">
      <w:pPr>
        <w:jc w:val="right"/>
        <w:rPr>
          <w:rFonts w:eastAsia="Calibri" w:cs="Times New Roman"/>
          <w:i/>
          <w:iCs/>
          <w:szCs w:val="24"/>
        </w:rPr>
      </w:pPr>
    </w:p>
    <w:p w14:paraId="13A1D58C" w14:textId="77777777" w:rsidR="00842D3D" w:rsidRPr="00842D3D" w:rsidRDefault="00842D3D" w:rsidP="00842D3D">
      <w:pPr>
        <w:jc w:val="right"/>
        <w:rPr>
          <w:rFonts w:eastAsia="Calibri" w:cs="Times New Roman"/>
          <w:i/>
          <w:iCs/>
          <w:szCs w:val="24"/>
        </w:rPr>
      </w:pPr>
    </w:p>
    <w:p w14:paraId="428A1448" w14:textId="77777777" w:rsidR="00842D3D" w:rsidRPr="00842D3D" w:rsidRDefault="00842D3D" w:rsidP="00842D3D">
      <w:pPr>
        <w:jc w:val="right"/>
        <w:rPr>
          <w:rFonts w:eastAsia="Calibri" w:cs="Times New Roman"/>
          <w:i/>
          <w:iCs/>
          <w:szCs w:val="24"/>
        </w:rPr>
      </w:pPr>
    </w:p>
    <w:p w14:paraId="4638DF61" w14:textId="77777777" w:rsidR="00842D3D" w:rsidRPr="00842D3D" w:rsidRDefault="00842D3D" w:rsidP="00842D3D">
      <w:pPr>
        <w:jc w:val="right"/>
        <w:rPr>
          <w:rFonts w:eastAsia="Calibri" w:cs="Times New Roman"/>
          <w:i/>
          <w:iCs/>
          <w:szCs w:val="24"/>
        </w:rPr>
      </w:pPr>
    </w:p>
    <w:p w14:paraId="0EDE622F" w14:textId="77777777" w:rsidR="00842D3D" w:rsidRPr="00842D3D" w:rsidRDefault="00842D3D" w:rsidP="00842D3D">
      <w:pPr>
        <w:jc w:val="right"/>
        <w:rPr>
          <w:rFonts w:eastAsia="Calibri" w:cs="Times New Roman"/>
          <w:i/>
          <w:iCs/>
          <w:szCs w:val="24"/>
        </w:rPr>
      </w:pPr>
    </w:p>
    <w:p w14:paraId="046965AB" w14:textId="77777777" w:rsidR="00842D3D" w:rsidRPr="00842D3D" w:rsidRDefault="00842D3D" w:rsidP="00842D3D">
      <w:pPr>
        <w:jc w:val="right"/>
        <w:rPr>
          <w:rFonts w:eastAsia="Calibri" w:cs="Times New Roman"/>
          <w:i/>
          <w:iCs/>
          <w:szCs w:val="24"/>
        </w:rPr>
      </w:pPr>
    </w:p>
    <w:p w14:paraId="5A6DF443" w14:textId="77777777" w:rsidR="00842D3D" w:rsidRPr="00842D3D" w:rsidRDefault="00842D3D" w:rsidP="00842D3D">
      <w:pPr>
        <w:jc w:val="right"/>
        <w:rPr>
          <w:rFonts w:eastAsia="Calibri" w:cs="Times New Roman"/>
          <w:i/>
          <w:iCs/>
          <w:szCs w:val="24"/>
        </w:rPr>
      </w:pPr>
    </w:p>
    <w:p w14:paraId="47408F72" w14:textId="77777777" w:rsidR="00842D3D" w:rsidRPr="00842D3D" w:rsidRDefault="00842D3D" w:rsidP="00842D3D">
      <w:pPr>
        <w:jc w:val="right"/>
        <w:rPr>
          <w:rFonts w:eastAsia="Calibri" w:cs="Times New Roman"/>
          <w:i/>
          <w:iCs/>
          <w:szCs w:val="24"/>
        </w:rPr>
      </w:pPr>
    </w:p>
    <w:p w14:paraId="12CBF1D7" w14:textId="77777777" w:rsidR="00842D3D" w:rsidRPr="00842D3D" w:rsidRDefault="00842D3D" w:rsidP="00842D3D">
      <w:pPr>
        <w:jc w:val="right"/>
        <w:rPr>
          <w:rFonts w:eastAsia="Calibri" w:cs="Times New Roman"/>
          <w:i/>
          <w:iCs/>
          <w:szCs w:val="24"/>
        </w:rPr>
      </w:pPr>
    </w:p>
    <w:p w14:paraId="35098E63" w14:textId="77777777" w:rsidR="00842D3D" w:rsidRPr="00842D3D" w:rsidRDefault="00842D3D" w:rsidP="00842D3D">
      <w:pPr>
        <w:jc w:val="right"/>
        <w:rPr>
          <w:rFonts w:eastAsia="Calibri" w:cs="Times New Roman"/>
          <w:i/>
          <w:iCs/>
          <w:szCs w:val="24"/>
        </w:rPr>
      </w:pPr>
    </w:p>
    <w:p w14:paraId="4AA8382B" w14:textId="77777777" w:rsidR="00842D3D" w:rsidRPr="00842D3D" w:rsidRDefault="00842D3D" w:rsidP="00842D3D">
      <w:pPr>
        <w:jc w:val="right"/>
        <w:rPr>
          <w:rFonts w:eastAsia="Calibri" w:cs="Times New Roman"/>
          <w:i/>
          <w:iCs/>
          <w:szCs w:val="24"/>
        </w:rPr>
      </w:pPr>
    </w:p>
    <w:p w14:paraId="327F990C" w14:textId="77777777" w:rsidR="00842D3D" w:rsidRPr="00842D3D" w:rsidRDefault="00842D3D" w:rsidP="00842D3D">
      <w:pPr>
        <w:jc w:val="right"/>
        <w:rPr>
          <w:rFonts w:eastAsia="Calibri" w:cs="Times New Roman"/>
          <w:i/>
          <w:iCs/>
          <w:szCs w:val="24"/>
        </w:rPr>
      </w:pPr>
    </w:p>
    <w:p w14:paraId="641F2983" w14:textId="77777777" w:rsidR="00842D3D" w:rsidRPr="00842D3D" w:rsidRDefault="00842D3D" w:rsidP="00842D3D">
      <w:pPr>
        <w:jc w:val="right"/>
        <w:rPr>
          <w:rFonts w:eastAsia="Calibri" w:cs="Times New Roman"/>
          <w:i/>
          <w:iCs/>
          <w:szCs w:val="24"/>
        </w:rPr>
      </w:pPr>
    </w:p>
    <w:p w14:paraId="1A8883B9" w14:textId="77777777" w:rsidR="00842D3D" w:rsidRPr="00842D3D" w:rsidRDefault="00842D3D" w:rsidP="00842D3D">
      <w:pPr>
        <w:jc w:val="right"/>
        <w:rPr>
          <w:rFonts w:eastAsia="Calibri" w:cs="Times New Roman"/>
          <w:i/>
          <w:iCs/>
          <w:szCs w:val="24"/>
        </w:rPr>
      </w:pPr>
    </w:p>
    <w:p w14:paraId="023210B9" w14:textId="77777777" w:rsidR="00842D3D" w:rsidRPr="00842D3D" w:rsidRDefault="00842D3D" w:rsidP="00842D3D">
      <w:pPr>
        <w:jc w:val="right"/>
        <w:rPr>
          <w:rFonts w:eastAsia="Calibri" w:cs="Times New Roman"/>
          <w:i/>
          <w:iCs/>
          <w:szCs w:val="24"/>
        </w:rPr>
      </w:pPr>
    </w:p>
    <w:p w14:paraId="55B84BBE" w14:textId="77777777" w:rsidR="00842D3D" w:rsidRPr="00842D3D" w:rsidRDefault="00842D3D" w:rsidP="00842D3D">
      <w:pPr>
        <w:jc w:val="right"/>
        <w:rPr>
          <w:rFonts w:eastAsia="Calibri" w:cs="Times New Roman"/>
          <w:i/>
          <w:iCs/>
          <w:szCs w:val="24"/>
        </w:rPr>
      </w:pPr>
    </w:p>
    <w:p w14:paraId="1A3E9D42" w14:textId="77777777" w:rsidR="00842D3D" w:rsidRPr="00842D3D" w:rsidRDefault="00842D3D" w:rsidP="00842D3D">
      <w:pPr>
        <w:jc w:val="right"/>
        <w:rPr>
          <w:rFonts w:eastAsia="Calibri" w:cs="Times New Roman"/>
          <w:i/>
          <w:iCs/>
          <w:szCs w:val="24"/>
        </w:rPr>
      </w:pPr>
    </w:p>
    <w:p w14:paraId="6F23A04D" w14:textId="77777777" w:rsidR="00842D3D" w:rsidRPr="00842D3D" w:rsidRDefault="00842D3D" w:rsidP="00842D3D">
      <w:pPr>
        <w:jc w:val="right"/>
        <w:rPr>
          <w:rFonts w:eastAsia="Calibri" w:cs="Times New Roman"/>
          <w:i/>
          <w:iCs/>
          <w:szCs w:val="24"/>
        </w:rPr>
      </w:pPr>
    </w:p>
    <w:p w14:paraId="44C99412" w14:textId="77777777" w:rsidR="00842D3D" w:rsidRPr="00842D3D" w:rsidRDefault="00842D3D" w:rsidP="00842D3D">
      <w:pPr>
        <w:jc w:val="right"/>
        <w:rPr>
          <w:rFonts w:eastAsia="Calibri" w:cs="Times New Roman"/>
          <w:i/>
          <w:iCs/>
          <w:szCs w:val="24"/>
        </w:rPr>
      </w:pPr>
    </w:p>
    <w:p w14:paraId="0442582D" w14:textId="77777777" w:rsidR="00842D3D" w:rsidRPr="00842D3D" w:rsidRDefault="00842D3D" w:rsidP="00842D3D">
      <w:pPr>
        <w:jc w:val="right"/>
        <w:rPr>
          <w:rFonts w:eastAsia="Calibri" w:cs="Times New Roman"/>
          <w:i/>
          <w:iCs/>
          <w:szCs w:val="24"/>
        </w:rPr>
      </w:pPr>
    </w:p>
    <w:p w14:paraId="003D5D77" w14:textId="77777777" w:rsidR="00842D3D" w:rsidRPr="00842D3D" w:rsidRDefault="00842D3D" w:rsidP="00842D3D">
      <w:pPr>
        <w:jc w:val="right"/>
        <w:rPr>
          <w:rFonts w:eastAsia="Calibri" w:cs="Times New Roman"/>
          <w:i/>
          <w:iCs/>
          <w:szCs w:val="24"/>
        </w:rPr>
      </w:pPr>
    </w:p>
    <w:p w14:paraId="4D374AAA" w14:textId="77777777" w:rsidR="00842D3D" w:rsidRPr="00842D3D" w:rsidRDefault="00842D3D" w:rsidP="00842D3D">
      <w:pPr>
        <w:autoSpaceDE w:val="0"/>
        <w:autoSpaceDN w:val="0"/>
        <w:adjustRightInd w:val="0"/>
        <w:rPr>
          <w:rFonts w:eastAsia="Calibri" w:cs="Times New Roman"/>
          <w:szCs w:val="24"/>
        </w:rPr>
      </w:pPr>
    </w:p>
    <w:p w14:paraId="5D382A95" w14:textId="77777777" w:rsidR="00842D3D" w:rsidRPr="00842D3D" w:rsidRDefault="00842D3D" w:rsidP="00FF121D">
      <w:pPr>
        <w:pStyle w:val="Heading2"/>
      </w:pPr>
      <w:bookmarkStart w:id="147" w:name="_Toc221525171"/>
      <w:r w:rsidRPr="00842D3D">
        <w:lastRenderedPageBreak/>
        <w:t>9.7 Section 1983 Claim Against Local Governing Body Defendants Based On Ratification—Elements and Burden of Proof</w:t>
      </w:r>
      <w:bookmarkEnd w:id="147"/>
    </w:p>
    <w:p w14:paraId="4EC681A7" w14:textId="77777777" w:rsidR="00842D3D" w:rsidRPr="00842D3D" w:rsidRDefault="00842D3D" w:rsidP="00842D3D">
      <w:pPr>
        <w:autoSpaceDE w:val="0"/>
        <w:autoSpaceDN w:val="0"/>
        <w:adjustRightInd w:val="0"/>
        <w:rPr>
          <w:rFonts w:eastAsia="Calibri" w:cs="Times New Roman"/>
          <w:szCs w:val="24"/>
        </w:rPr>
      </w:pPr>
    </w:p>
    <w:p w14:paraId="3068B0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ratification by a final policymaker,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3B3E2CCA" w14:textId="77777777" w:rsidR="00842D3D" w:rsidRPr="00842D3D" w:rsidRDefault="00842D3D" w:rsidP="00842D3D">
      <w:pPr>
        <w:autoSpaceDE w:val="0"/>
        <w:autoSpaceDN w:val="0"/>
        <w:adjustRightInd w:val="0"/>
        <w:rPr>
          <w:rFonts w:eastAsia="Calibri" w:cs="Times New Roman"/>
          <w:szCs w:val="24"/>
        </w:rPr>
      </w:pPr>
    </w:p>
    <w:p w14:paraId="5B491B4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First, [</w:t>
      </w:r>
      <w:r w:rsidRPr="00842D3D">
        <w:rPr>
          <w:rFonts w:eastAsia="Calibri" w:cs="Times New Roman"/>
          <w:i/>
          <w:iCs/>
          <w:szCs w:val="24"/>
          <w:u w:val="single"/>
        </w:rPr>
        <w:t>name of defendant’s employee</w:t>
      </w:r>
      <w:r w:rsidRPr="00842D3D">
        <w:rPr>
          <w:rFonts w:eastAsia="Calibri" w:cs="Times New Roman"/>
          <w:szCs w:val="24"/>
        </w:rPr>
        <w:t>] acted under color of state law;</w:t>
      </w:r>
    </w:p>
    <w:p w14:paraId="1EA90B40" w14:textId="77777777" w:rsidR="00842D3D" w:rsidRPr="00842D3D" w:rsidRDefault="00842D3D" w:rsidP="00842D3D">
      <w:pPr>
        <w:tabs>
          <w:tab w:val="left" w:pos="990"/>
        </w:tabs>
        <w:autoSpaceDE w:val="0"/>
        <w:autoSpaceDN w:val="0"/>
        <w:adjustRightInd w:val="0"/>
        <w:rPr>
          <w:rFonts w:eastAsia="Calibri" w:cs="Times New Roman"/>
          <w:szCs w:val="24"/>
        </w:rPr>
      </w:pPr>
    </w:p>
    <w:p w14:paraId="56216B84"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Second, the [act[s]] [failure to act] of [</w:t>
      </w:r>
      <w:r w:rsidRPr="00842D3D">
        <w:rPr>
          <w:rFonts w:eastAsia="Calibri" w:cs="Times New Roman"/>
          <w:i/>
          <w:iCs/>
          <w:szCs w:val="24"/>
          <w:u w:val="single"/>
        </w:rPr>
        <w:t>name of defendant’s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5B269BEA" w14:textId="77777777" w:rsidR="00842D3D" w:rsidRPr="00842D3D" w:rsidRDefault="00842D3D" w:rsidP="00842D3D">
      <w:pPr>
        <w:tabs>
          <w:tab w:val="left" w:pos="990"/>
        </w:tabs>
        <w:autoSpaceDE w:val="0"/>
        <w:autoSpaceDN w:val="0"/>
        <w:adjustRightInd w:val="0"/>
        <w:rPr>
          <w:rFonts w:eastAsia="Calibri" w:cs="Times New Roman"/>
          <w:szCs w:val="24"/>
        </w:rPr>
      </w:pPr>
    </w:p>
    <w:p w14:paraId="73384E99"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Third,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22C47AE" w14:textId="77777777" w:rsidR="00842D3D" w:rsidRPr="00842D3D" w:rsidRDefault="00842D3D" w:rsidP="00842D3D">
      <w:pPr>
        <w:tabs>
          <w:tab w:val="left" w:pos="990"/>
        </w:tabs>
        <w:autoSpaceDE w:val="0"/>
        <w:autoSpaceDN w:val="0"/>
        <w:adjustRightInd w:val="0"/>
        <w:rPr>
          <w:rFonts w:eastAsia="Calibri" w:cs="Times New Roman"/>
          <w:szCs w:val="24"/>
        </w:rPr>
      </w:pPr>
    </w:p>
    <w:p w14:paraId="07C6C10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Fourth,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 [act[s]] [failure to act] of [</w:t>
      </w:r>
      <w:r w:rsidRPr="00842D3D">
        <w:rPr>
          <w:rFonts w:eastAsia="Calibri" w:cs="Times New Roman"/>
          <w:i/>
          <w:iCs/>
          <w:szCs w:val="24"/>
          <w:u w:val="single"/>
        </w:rPr>
        <w:t>name of defendant’s employee</w:t>
      </w:r>
      <w:r w:rsidRPr="00842D3D">
        <w:rPr>
          <w:rFonts w:eastAsia="Calibri" w:cs="Times New Roman"/>
          <w:szCs w:val="24"/>
        </w:rPr>
        <w:t>]; and</w:t>
      </w:r>
    </w:p>
    <w:p w14:paraId="6EE88CDF" w14:textId="77777777" w:rsidR="00842D3D" w:rsidRPr="00842D3D" w:rsidRDefault="00842D3D" w:rsidP="00842D3D">
      <w:pPr>
        <w:tabs>
          <w:tab w:val="left" w:pos="990"/>
        </w:tabs>
        <w:autoSpaceDE w:val="0"/>
        <w:autoSpaceDN w:val="0"/>
        <w:adjustRightInd w:val="0"/>
        <w:rPr>
          <w:rFonts w:eastAsia="Calibri" w:cs="Times New Roman"/>
          <w:szCs w:val="24"/>
        </w:rPr>
      </w:pPr>
    </w:p>
    <w:p w14:paraId="6A714AF5" w14:textId="77777777" w:rsidR="00842D3D" w:rsidRPr="00842D3D" w:rsidRDefault="00842D3D" w:rsidP="00842D3D">
      <w:pPr>
        <w:tabs>
          <w:tab w:val="left" w:pos="720"/>
          <w:tab w:val="left" w:pos="990"/>
        </w:tabs>
        <w:autoSpaceDE w:val="0"/>
        <w:autoSpaceDN w:val="0"/>
        <w:adjustRightInd w:val="0"/>
        <w:rPr>
          <w:rFonts w:eastAsia="Calibri" w:cs="Times New Roman"/>
          <w:b/>
          <w:bCs/>
          <w:szCs w:val="24"/>
        </w:rPr>
      </w:pPr>
      <w:r w:rsidRPr="00842D3D">
        <w:rPr>
          <w:rFonts w:eastAsia="Calibri" w:cs="Times New Roman"/>
          <w:szCs w:val="24"/>
        </w:rPr>
        <w:tab/>
        <w:t>Fifth, [</w:t>
      </w:r>
      <w:r w:rsidRPr="00842D3D">
        <w:rPr>
          <w:rFonts w:eastAsia="Calibri" w:cs="Times New Roman"/>
          <w:i/>
          <w:iCs/>
          <w:szCs w:val="24"/>
          <w:u w:val="single"/>
        </w:rPr>
        <w:t>name of final policymaker</w:t>
      </w:r>
      <w:r w:rsidRPr="00842D3D">
        <w:rPr>
          <w:rFonts w:eastAsia="Calibri" w:cs="Times New Roman"/>
          <w:szCs w:val="24"/>
        </w:rPr>
        <w:t>] ratified [</w:t>
      </w:r>
      <w:r w:rsidRPr="00842D3D">
        <w:rPr>
          <w:rFonts w:eastAsia="Calibri" w:cs="Times New Roman"/>
          <w:i/>
          <w:iCs/>
          <w:szCs w:val="24"/>
          <w:u w:val="single"/>
        </w:rPr>
        <w:t>name of defendant’s employee</w:t>
      </w:r>
      <w:r w:rsidRPr="00842D3D">
        <w:rPr>
          <w:rFonts w:eastAsia="Calibri" w:cs="Times New Roman"/>
          <w:szCs w:val="24"/>
        </w:rPr>
        <w:t>]’s [act[s] [failure to act], that is, [</w:t>
      </w:r>
      <w:r w:rsidRPr="00842D3D">
        <w:rPr>
          <w:rFonts w:eastAsia="Calibri" w:cs="Times New Roman"/>
          <w:i/>
          <w:iCs/>
          <w:szCs w:val="24"/>
          <w:u w:val="single"/>
        </w:rPr>
        <w:t>name of alleged final policymaker</w:t>
      </w:r>
      <w:r w:rsidRPr="00842D3D">
        <w:rPr>
          <w:rFonts w:eastAsia="Calibri" w:cs="Times New Roman"/>
          <w:szCs w:val="24"/>
        </w:rPr>
        <w:t>] knew of and specifically made a deliberate choice to approve [</w:t>
      </w:r>
      <w:r w:rsidRPr="00842D3D">
        <w:rPr>
          <w:rFonts w:eastAsia="Calibri" w:cs="Times New Roman"/>
          <w:i/>
          <w:iCs/>
          <w:szCs w:val="24"/>
          <w:u w:val="single"/>
        </w:rPr>
        <w:t>name of defendant’s employee</w:t>
      </w:r>
      <w:r w:rsidRPr="00842D3D">
        <w:rPr>
          <w:rFonts w:eastAsia="Calibri" w:cs="Times New Roman"/>
          <w:szCs w:val="24"/>
        </w:rPr>
        <w:t>]’s [act[s]] [failure to act] and the basis for it.</w:t>
      </w:r>
      <w:r w:rsidRPr="00842D3D">
        <w:rPr>
          <w:rFonts w:eastAsia="Calibri" w:cs="Times New Roman"/>
          <w:szCs w:val="24"/>
        </w:rPr>
        <w:tab/>
      </w:r>
    </w:p>
    <w:p w14:paraId="17559444" w14:textId="77777777" w:rsidR="00842D3D" w:rsidRPr="00842D3D" w:rsidRDefault="00842D3D" w:rsidP="00842D3D">
      <w:pPr>
        <w:autoSpaceDE w:val="0"/>
        <w:autoSpaceDN w:val="0"/>
        <w:adjustRightInd w:val="0"/>
        <w:rPr>
          <w:rFonts w:eastAsia="Calibri" w:cs="Times New Roman"/>
          <w:b/>
          <w:bCs/>
          <w:szCs w:val="24"/>
        </w:rPr>
      </w:pPr>
    </w:p>
    <w:p w14:paraId="4925A07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the defendant’s [employee] [official] acted under color of state law.]</w:t>
      </w:r>
    </w:p>
    <w:p w14:paraId="4389ABB4" w14:textId="77777777" w:rsidR="00842D3D" w:rsidRPr="00842D3D" w:rsidRDefault="00842D3D" w:rsidP="00842D3D">
      <w:pPr>
        <w:autoSpaceDE w:val="0"/>
        <w:autoSpaceDN w:val="0"/>
        <w:adjustRightInd w:val="0"/>
        <w:rPr>
          <w:rFonts w:eastAsia="Calibri" w:cs="Times New Roman"/>
          <w:szCs w:val="24"/>
        </w:rPr>
      </w:pPr>
    </w:p>
    <w:p w14:paraId="138CF4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fourth element requires no proof. </w:t>
      </w:r>
    </w:p>
    <w:p w14:paraId="21832F9E" w14:textId="77777777" w:rsidR="00842D3D" w:rsidRPr="00842D3D" w:rsidRDefault="00842D3D" w:rsidP="00842D3D">
      <w:pPr>
        <w:autoSpaceDE w:val="0"/>
        <w:autoSpaceDN w:val="0"/>
        <w:adjustRightInd w:val="0"/>
        <w:rPr>
          <w:rFonts w:eastAsia="Calibri" w:cs="Times New Roman"/>
          <w:szCs w:val="24"/>
        </w:rPr>
      </w:pPr>
    </w:p>
    <w:p w14:paraId="40C6773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the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18D9843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BB284D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3A9E981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713DE440" w14:textId="61D9F113"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w:t>
      </w:r>
      <w:r w:rsidRPr="00842D3D">
        <w:rPr>
          <w:rFonts w:eastAsia="Calibri" w:cs="Times New Roman"/>
          <w:szCs w:val="24"/>
        </w:rPr>
        <w:lastRenderedPageBreak/>
        <w:t xml:space="preserve">plaintiff must establish to prove the violation of the particular constitutional right or federal law at issue. </w:t>
      </w:r>
    </w:p>
    <w:p w14:paraId="6E6A5E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1A689F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 xml:space="preserve">liability is based on ratification by a final policymaker. For other bases of </w:t>
      </w:r>
      <w:r w:rsidRPr="00842D3D">
        <w:rPr>
          <w:rFonts w:eastAsia="Calibri" w:cs="Times New Roman"/>
          <w:i/>
          <w:iCs/>
          <w:szCs w:val="24"/>
        </w:rPr>
        <w:t xml:space="preserve">Monell </w:t>
      </w:r>
      <w:r w:rsidRPr="00842D3D">
        <w:rPr>
          <w:rFonts w:eastAsia="Calibri" w:cs="Times New Roman"/>
          <w:szCs w:val="24"/>
        </w:rPr>
        <w:t xml:space="preserve">liability, see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6D07849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5476C07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lies when “action pursuant to official municipal policy of some nature caused a constitutional tort,” and not on the basis of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A municipality can be liable for an isolated constitutional violation if a final policymaker “ratified” a subordinate’s actions. </w:t>
      </w:r>
      <w:r w:rsidRPr="00842D3D">
        <w:rPr>
          <w:rFonts w:eastAsia="Calibri" w:cs="Times New Roman"/>
          <w:i/>
          <w:iCs/>
          <w:szCs w:val="24"/>
        </w:rPr>
        <w:t>Sabra v. Maricopa Cnty. Cmty. Coll. Dist.</w:t>
      </w:r>
      <w:r w:rsidRPr="00842D3D">
        <w:rPr>
          <w:rFonts w:eastAsia="Calibri" w:cs="Times New Roman"/>
          <w:szCs w:val="24"/>
        </w:rPr>
        <w:t xml:space="preserve">, 44 F.4th 867, 885 (9th Cir. 2022); </w:t>
      </w:r>
      <w:r w:rsidRPr="00842D3D">
        <w:rPr>
          <w:rFonts w:eastAsia="Calibri" w:cs="Times New Roman"/>
          <w:i/>
          <w:iCs/>
          <w:szCs w:val="24"/>
        </w:rPr>
        <w:t>Christie v. Iopa</w:t>
      </w:r>
      <w:r w:rsidRPr="00842D3D">
        <w:rPr>
          <w:rFonts w:eastAsia="Calibri" w:cs="Times New Roman"/>
          <w:szCs w:val="24"/>
        </w:rPr>
        <w:t xml:space="preserve">, 176 F.3d 1231, 1238 (9th Cir. 1999);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City of St. Louis v. Praprotnik</w:t>
      </w:r>
      <w:r w:rsidRPr="00842D3D">
        <w:rPr>
          <w:rFonts w:eastAsia="Calibri" w:cs="Times New Roman"/>
          <w:szCs w:val="24"/>
        </w:rPr>
        <w:t xml:space="preserve">, 485 U.S. 112, 127 (1988). To show ratification, a plaintiff must prove that the authorized policymaker approved a subordinate’s decision and the basis for it. </w:t>
      </w:r>
      <w:r w:rsidRPr="00842D3D">
        <w:rPr>
          <w:rFonts w:eastAsia="Calibri" w:cs="Times New Roman"/>
          <w:i/>
          <w:iCs/>
          <w:szCs w:val="24"/>
        </w:rPr>
        <w:t>Sabra</w:t>
      </w:r>
      <w:r w:rsidRPr="00842D3D">
        <w:rPr>
          <w:rFonts w:eastAsia="Calibri" w:cs="Times New Roman"/>
          <w:szCs w:val="24"/>
        </w:rPr>
        <w:t xml:space="preserve">, 44 F.4th at 885. </w:t>
      </w:r>
      <w:r w:rsidRPr="00842D3D">
        <w:rPr>
          <w:rFonts w:eastAsia="Calibri" w:cs="Times New Roman"/>
          <w:i/>
          <w:iCs/>
          <w:szCs w:val="24"/>
        </w:rPr>
        <w:t>See also Lytle v. Carl</w:t>
      </w:r>
      <w:r w:rsidRPr="00842D3D">
        <w:rPr>
          <w:rFonts w:eastAsia="Calibri" w:cs="Times New Roman"/>
          <w:szCs w:val="24"/>
        </w:rPr>
        <w:t xml:space="preserve">, 382 F.3d 978, 987 (9th Cir. 2004) (“The policymaker must have knowledge of the constitutional violation and actually approve of it.” (citing </w:t>
      </w:r>
      <w:r w:rsidRPr="00842D3D">
        <w:rPr>
          <w:rFonts w:eastAsia="Calibri" w:cs="Times New Roman"/>
          <w:i/>
          <w:iCs/>
          <w:szCs w:val="24"/>
        </w:rPr>
        <w:t>Praprotnik</w:t>
      </w:r>
      <w:r w:rsidRPr="00842D3D">
        <w:rPr>
          <w:rFonts w:eastAsia="Calibri" w:cs="Times New Roman"/>
          <w:szCs w:val="24"/>
        </w:rPr>
        <w:t>, 485 U.S. at 127)).</w:t>
      </w:r>
    </w:p>
    <w:p w14:paraId="6AC192C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1F28D36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The policymaker must have knowledge (actual or constructive) of the constitutional violation and actually approve of it. </w:t>
      </w:r>
      <w:r w:rsidRPr="00842D3D">
        <w:rPr>
          <w:rFonts w:eastAsia="Calibri" w:cs="Times New Roman"/>
          <w:i/>
          <w:iCs/>
          <w:szCs w:val="24"/>
        </w:rPr>
        <w:t>Lytle</w:t>
      </w:r>
      <w:r w:rsidRPr="00842D3D">
        <w:rPr>
          <w:rFonts w:eastAsia="Calibri" w:cs="Times New Roman"/>
          <w:szCs w:val="24"/>
        </w:rPr>
        <w:t xml:space="preserve">, 382 F.3d at 987; </w:t>
      </w:r>
      <w:r w:rsidRPr="00842D3D">
        <w:rPr>
          <w:rFonts w:eastAsia="Calibri" w:cs="Times New Roman"/>
          <w:i/>
          <w:iCs/>
          <w:szCs w:val="24"/>
        </w:rPr>
        <w:t>Sabra</w:t>
      </w:r>
      <w:r w:rsidRPr="00842D3D">
        <w:rPr>
          <w:rFonts w:eastAsia="Calibri" w:cs="Times New Roman"/>
          <w:szCs w:val="24"/>
        </w:rPr>
        <w:t xml:space="preserve">, 44 F.4th at 885. Ratification generally requires more than acquiescence. </w:t>
      </w:r>
      <w:r w:rsidRPr="00842D3D">
        <w:rPr>
          <w:rFonts w:eastAsia="Calibri" w:cs="Times New Roman"/>
          <w:i/>
          <w:iCs/>
          <w:szCs w:val="24"/>
        </w:rPr>
        <w:t>Dodge</w:t>
      </w:r>
      <w:r w:rsidRPr="00842D3D">
        <w:rPr>
          <w:rFonts w:eastAsia="Calibri" w:cs="Times New Roman"/>
          <w:szCs w:val="24"/>
        </w:rPr>
        <w:t xml:space="preserve">, 56 F.4th at 788 (“a mere failure to discipline . . . does not amount to ratification”). A mere failure to overrule a subordinate’s actions, without more, is insufficient to support a § 1983 ratification claim. </w:t>
      </w:r>
      <w:r w:rsidRPr="00842D3D">
        <w:rPr>
          <w:rFonts w:eastAsia="Calibri" w:cs="Times New Roman"/>
          <w:i/>
          <w:iCs/>
          <w:szCs w:val="24"/>
        </w:rPr>
        <w:t>Lytle</w:t>
      </w:r>
      <w:r w:rsidRPr="00842D3D">
        <w:rPr>
          <w:rFonts w:eastAsia="Calibri" w:cs="Times New Roman"/>
          <w:szCs w:val="24"/>
        </w:rPr>
        <w:t xml:space="preserve">, 382 F.3d at 987-88 (“[R]atification requires both knowledge of the alleged constitutional violation, and proof that the policymaker specifically approved of the subordinate’s act.”); </w:t>
      </w:r>
      <w:r w:rsidRPr="00842D3D">
        <w:rPr>
          <w:rFonts w:eastAsia="Calibri" w:cs="Times New Roman"/>
          <w:i/>
          <w:iCs/>
          <w:szCs w:val="24"/>
        </w:rPr>
        <w:t>Christie</w:t>
      </w:r>
      <w:r w:rsidRPr="00842D3D">
        <w:rPr>
          <w:rFonts w:eastAsia="Calibri" w:cs="Times New Roman"/>
          <w:szCs w:val="24"/>
        </w:rPr>
        <w:t xml:space="preserve">, 176 F.3d at 1239; </w:t>
      </w:r>
      <w:r w:rsidRPr="00842D3D">
        <w:rPr>
          <w:rFonts w:eastAsia="Calibri" w:cs="Times New Roman"/>
          <w:i/>
          <w:iCs/>
          <w:szCs w:val="24"/>
        </w:rPr>
        <w:t>Puente v. City of Phoenix</w:t>
      </w:r>
      <w:r w:rsidRPr="00842D3D">
        <w:rPr>
          <w:rFonts w:eastAsia="Calibri" w:cs="Times New Roman"/>
          <w:szCs w:val="24"/>
        </w:rPr>
        <w:t>, 123 F.4th 1035, 1066 (9th Cir. 2024) (rejecting a ratification argument absent evidence final policy maker “knew and approved” of a subordinate’s decision and the “basis for it”).</w:t>
      </w:r>
    </w:p>
    <w:p w14:paraId="7C43F5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62C62D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court must determine as a matter of state law whether certain employees or officials have the power to make official or final policy on a particular issue or subject area. </w:t>
      </w:r>
      <w:r w:rsidRPr="00842D3D">
        <w:rPr>
          <w:rFonts w:eastAsia="Calibri" w:cs="Times New Roman"/>
          <w:i/>
          <w:iCs/>
          <w:szCs w:val="24"/>
        </w:rPr>
        <w:t>Jett</w:t>
      </w:r>
      <w:r w:rsidRPr="00842D3D">
        <w:rPr>
          <w:rFonts w:eastAsia="Calibri" w:cs="Times New Roman"/>
          <w:szCs w:val="24"/>
        </w:rPr>
        <w:t xml:space="preserve"> </w:t>
      </w:r>
      <w:r w:rsidRPr="00842D3D">
        <w:rPr>
          <w:rFonts w:eastAsia="Calibri" w:cs="Times New Roman"/>
          <w:i/>
          <w:iCs/>
          <w:szCs w:val="24"/>
        </w:rPr>
        <w:t>v. Dallas Indep. Sch. Dist</w:t>
      </w:r>
      <w:r w:rsidRPr="00842D3D">
        <w:rPr>
          <w:rFonts w:eastAsia="Calibri" w:cs="Times New Roman"/>
          <w:szCs w:val="24"/>
        </w:rPr>
        <w:t xml:space="preserve">., 491 U.S. 701, 737-38 (1989);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 xml:space="preserve">Lytle, </w:t>
      </w:r>
      <w:r w:rsidRPr="00842D3D">
        <w:rPr>
          <w:rFonts w:eastAsia="Calibri" w:cs="Times New Roman"/>
          <w:szCs w:val="24"/>
        </w:rPr>
        <w:t>382 F.3d at 983 (“For a person to be a final policymaker, he or she must be in a position of authority such that a final decision by that person may appropriately be attributed to the [defendant public body].”)</w:t>
      </w:r>
      <w:r w:rsidRPr="00842D3D">
        <w:rPr>
          <w:rFonts w:eastAsia="Calibri" w:cs="Times New Roman"/>
          <w:i/>
          <w:iCs/>
          <w:szCs w:val="24"/>
        </w:rPr>
        <w:t xml:space="preserve"> Sabra</w:t>
      </w:r>
      <w:r w:rsidRPr="00842D3D">
        <w:rPr>
          <w:rFonts w:eastAsia="Calibri" w:cs="Times New Roman"/>
          <w:szCs w:val="24"/>
        </w:rPr>
        <w:t>, 44 F.4th at 885 (rejecting contention that “a professor becomes a ‘final policymaker’ for an entire community college district simply by assuming administrative responsibilities within his department”).</w:t>
      </w:r>
    </w:p>
    <w:p w14:paraId="7FD7D98B" w14:textId="77777777" w:rsidR="00842D3D" w:rsidRPr="00842D3D" w:rsidRDefault="00842D3D" w:rsidP="00842D3D">
      <w:pPr>
        <w:rPr>
          <w:rFonts w:eastAsia="Calibri" w:cs="Times New Roman"/>
          <w:szCs w:val="24"/>
        </w:rPr>
      </w:pPr>
    </w:p>
    <w:p w14:paraId="16C19FBC"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March 2025</w:t>
      </w:r>
    </w:p>
    <w:p w14:paraId="1D19BB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7F29ADB2" w14:textId="77777777" w:rsidR="00842D3D" w:rsidRPr="00842D3D" w:rsidRDefault="00842D3D" w:rsidP="00FF121D">
      <w:pPr>
        <w:pStyle w:val="Heading2"/>
      </w:pPr>
      <w:r w:rsidRPr="00842D3D">
        <w:br w:type="page"/>
      </w:r>
      <w:bookmarkStart w:id="148" w:name="_Toc221525172"/>
      <w:r w:rsidRPr="00842D3D">
        <w:lastRenderedPageBreak/>
        <w:t xml:space="preserve">9.8 Section 1983 Claim Against Local Governing Body Defendants Based </w:t>
      </w:r>
      <w:r w:rsidRPr="00842D3D">
        <w:br/>
        <w:t xml:space="preserve">on a Policy That Fails to Prevent Violations of Law or a Policy </w:t>
      </w:r>
      <w:r w:rsidRPr="00842D3D">
        <w:br/>
        <w:t>of Failure to Train—Elements and Burden of Proof</w:t>
      </w:r>
      <w:bookmarkEnd w:id="148"/>
    </w:p>
    <w:p w14:paraId="7CF98CE8" w14:textId="77777777" w:rsidR="00842D3D" w:rsidRPr="00842D3D" w:rsidRDefault="00842D3D" w:rsidP="00842D3D">
      <w:pPr>
        <w:autoSpaceDE w:val="0"/>
        <w:autoSpaceDN w:val="0"/>
        <w:adjustRightInd w:val="0"/>
        <w:rPr>
          <w:rFonts w:eastAsia="Calibri" w:cs="Times New Roman"/>
          <w:b/>
          <w:bCs/>
          <w:szCs w:val="24"/>
        </w:rPr>
      </w:pPr>
    </w:p>
    <w:p w14:paraId="0C9F9B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a policy [[that fails to prevent violations of law by its] [of a failure to train its]] [[police officers] [employees]],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62134FD8" w14:textId="77777777" w:rsidR="00842D3D" w:rsidRPr="00842D3D" w:rsidRDefault="00842D3D" w:rsidP="00842D3D">
      <w:pPr>
        <w:autoSpaceDE w:val="0"/>
        <w:autoSpaceDN w:val="0"/>
        <w:adjustRightInd w:val="0"/>
        <w:rPr>
          <w:rFonts w:eastAsia="Calibri" w:cs="Times New Roman"/>
          <w:szCs w:val="24"/>
        </w:rPr>
      </w:pPr>
    </w:p>
    <w:p w14:paraId="19EB05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[act[s]] [failure to act] of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6848B9B8" w14:textId="77777777" w:rsidR="00842D3D" w:rsidRPr="00842D3D" w:rsidRDefault="00842D3D" w:rsidP="00842D3D">
      <w:pPr>
        <w:autoSpaceDE w:val="0"/>
        <w:autoSpaceDN w:val="0"/>
        <w:adjustRightInd w:val="0"/>
        <w:ind w:firstLine="720"/>
        <w:rPr>
          <w:rFonts w:eastAsia="Calibri" w:cs="Times New Roman"/>
          <w:szCs w:val="24"/>
        </w:rPr>
      </w:pPr>
    </w:p>
    <w:p w14:paraId="4909A44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i/>
          <w:iCs/>
          <w:szCs w:val="24"/>
        </w:rPr>
        <w:t>]</w:t>
      </w:r>
      <w:r w:rsidRPr="00842D3D">
        <w:rPr>
          <w:rFonts w:eastAsia="Calibri" w:cs="Times New Roman"/>
          <w:szCs w:val="24"/>
        </w:rPr>
        <w:t xml:space="preserve">]] acted under color of state law; </w:t>
      </w:r>
    </w:p>
    <w:p w14:paraId="11F123B9" w14:textId="77777777" w:rsidR="00842D3D" w:rsidRPr="00842D3D" w:rsidRDefault="00842D3D" w:rsidP="00842D3D">
      <w:pPr>
        <w:autoSpaceDE w:val="0"/>
        <w:autoSpaceDN w:val="0"/>
        <w:adjustRightInd w:val="0"/>
        <w:ind w:firstLine="720"/>
        <w:rPr>
          <w:rFonts w:eastAsia="Calibri" w:cs="Times New Roman"/>
          <w:szCs w:val="24"/>
        </w:rPr>
      </w:pPr>
    </w:p>
    <w:p w14:paraId="6AF42C7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[training] policies of the defendant [</w:t>
      </w:r>
      <w:r w:rsidRPr="00842D3D">
        <w:rPr>
          <w:rFonts w:eastAsia="Calibri" w:cs="Times New Roman"/>
          <w:i/>
          <w:iCs/>
          <w:szCs w:val="24"/>
          <w:u w:val="single"/>
        </w:rPr>
        <w:t>name of local governing body</w:t>
      </w:r>
      <w:r w:rsidRPr="00842D3D">
        <w:rPr>
          <w:rFonts w:eastAsia="Calibri" w:cs="Times New Roman"/>
          <w:szCs w:val="24"/>
        </w:rPr>
        <w:t>] were not adequate to [prevent violations of law by its employees] [train its [police officers] [employees] to handle the usual and recurring situations with which they must deal];</w:t>
      </w:r>
    </w:p>
    <w:p w14:paraId="345A131E" w14:textId="77777777" w:rsidR="00842D3D" w:rsidRPr="00842D3D" w:rsidRDefault="00842D3D" w:rsidP="00842D3D">
      <w:pPr>
        <w:autoSpaceDE w:val="0"/>
        <w:autoSpaceDN w:val="0"/>
        <w:adjustRightInd w:val="0"/>
        <w:ind w:firstLine="720"/>
        <w:rPr>
          <w:rFonts w:eastAsia="Calibri" w:cs="Times New Roman"/>
          <w:szCs w:val="24"/>
        </w:rPr>
      </w:pPr>
    </w:p>
    <w:p w14:paraId="7E9C298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47F32D9D" w14:textId="77777777" w:rsidR="00842D3D" w:rsidRPr="00842D3D" w:rsidRDefault="00842D3D" w:rsidP="00842D3D">
      <w:pPr>
        <w:autoSpaceDE w:val="0"/>
        <w:autoSpaceDN w:val="0"/>
        <w:adjustRightInd w:val="0"/>
        <w:ind w:firstLine="720"/>
        <w:rPr>
          <w:rFonts w:eastAsia="Calibri" w:cs="Times New Roman"/>
          <w:szCs w:val="24"/>
        </w:rPr>
      </w:pPr>
    </w:p>
    <w:p w14:paraId="5729B1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Fifth, the failure of the defendant [</w:t>
      </w:r>
      <w:r w:rsidRPr="00842D3D">
        <w:rPr>
          <w:rFonts w:eastAsia="Calibri" w:cs="Times New Roman"/>
          <w:i/>
          <w:iCs/>
          <w:szCs w:val="24"/>
          <w:u w:val="single"/>
        </w:rPr>
        <w:t>name of local governing body</w:t>
      </w:r>
      <w:r w:rsidRPr="00842D3D">
        <w:rPr>
          <w:rFonts w:eastAsia="Calibri" w:cs="Times New Roman"/>
          <w:szCs w:val="24"/>
        </w:rPr>
        <w:t>] [to prevent violations of law by its employees] [to provide adequate training] caused the deprivation of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u w:val="single"/>
        </w:rPr>
        <w:t>]</w:t>
      </w:r>
      <w:r w:rsidRPr="00842D3D">
        <w:rPr>
          <w:rFonts w:eastAsia="Calibri" w:cs="Times New Roman"/>
          <w:i/>
          <w:iCs/>
          <w:szCs w:val="24"/>
          <w:u w:val="single"/>
        </w:rPr>
        <w:t xml:space="preserve"> </w:t>
      </w:r>
      <w:r w:rsidRPr="00842D3D">
        <w:rPr>
          <w:rFonts w:eastAsia="Calibri" w:cs="Times New Roman"/>
          <w:szCs w:val="24"/>
          <w:u w:val="single"/>
        </w:rPr>
        <w:t>[</w:t>
      </w:r>
      <w:r w:rsidRPr="00842D3D">
        <w:rPr>
          <w:rFonts w:eastAsia="Calibri" w:cs="Times New Roman"/>
          <w:i/>
          <w:iCs/>
          <w:szCs w:val="24"/>
          <w:u w:val="single"/>
        </w:rPr>
        <w:t>employee[s]</w:t>
      </w:r>
      <w:r w:rsidRPr="00842D3D">
        <w:rPr>
          <w:rFonts w:eastAsia="Calibri" w:cs="Times New Roman"/>
          <w:szCs w:val="24"/>
        </w:rPr>
        <w:t>]]; that is, defendant [</w:t>
      </w:r>
      <w:r w:rsidRPr="00842D3D">
        <w:rPr>
          <w:rFonts w:eastAsia="Calibri" w:cs="Times New Roman"/>
          <w:i/>
          <w:iCs/>
          <w:szCs w:val="24"/>
          <w:u w:val="single"/>
        </w:rPr>
        <w:t>name of local governing body</w:t>
      </w:r>
      <w:r w:rsidRPr="00842D3D" w:rsidDel="00B81810">
        <w:rPr>
          <w:rFonts w:eastAsia="Calibri" w:cs="Times New Roman"/>
          <w:i/>
          <w:iCs/>
          <w:szCs w:val="24"/>
          <w:u w:val="single"/>
        </w:rPr>
        <w:t xml:space="preserve"> </w:t>
      </w:r>
      <w:r w:rsidRPr="00842D3D">
        <w:rPr>
          <w:rFonts w:eastAsia="Calibri" w:cs="Times New Roman"/>
          <w:szCs w:val="24"/>
        </w:rPr>
        <w:t>]’s failure [to prevent violations of law by its employees] [to train] played a substantial part in bringing about or actually causing the injury or damage to plaintiff [</w:t>
      </w:r>
      <w:r w:rsidRPr="00842D3D">
        <w:rPr>
          <w:rFonts w:eastAsia="Calibri" w:cs="Times New Roman"/>
          <w:i/>
          <w:iCs/>
          <w:szCs w:val="24"/>
          <w:u w:val="single"/>
        </w:rPr>
        <w:t>name</w:t>
      </w:r>
      <w:r w:rsidRPr="00842D3D">
        <w:rPr>
          <w:rFonts w:eastAsia="Calibri" w:cs="Times New Roman"/>
          <w:szCs w:val="24"/>
        </w:rPr>
        <w:t>].</w:t>
      </w:r>
    </w:p>
    <w:p w14:paraId="75962603" w14:textId="77777777" w:rsidR="00842D3D" w:rsidRPr="00842D3D" w:rsidRDefault="00842D3D" w:rsidP="00842D3D">
      <w:pPr>
        <w:autoSpaceDE w:val="0"/>
        <w:autoSpaceDN w:val="0"/>
        <w:adjustRightInd w:val="0"/>
        <w:rPr>
          <w:rFonts w:eastAsia="Calibri" w:cs="Times New Roman"/>
          <w:szCs w:val="24"/>
        </w:rPr>
      </w:pPr>
    </w:p>
    <w:p w14:paraId="1C3D31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acted under color of state law.]</w:t>
      </w:r>
    </w:p>
    <w:p w14:paraId="72A30726" w14:textId="77777777" w:rsidR="00842D3D" w:rsidRPr="00842D3D" w:rsidRDefault="00842D3D" w:rsidP="00842D3D">
      <w:pPr>
        <w:autoSpaceDE w:val="0"/>
        <w:autoSpaceDN w:val="0"/>
        <w:adjustRightInd w:val="0"/>
        <w:rPr>
          <w:rFonts w:eastAsia="Calibri" w:cs="Times New Roman"/>
          <w:szCs w:val="24"/>
        </w:rPr>
      </w:pPr>
    </w:p>
    <w:p w14:paraId="735632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plaintiff [</w:t>
      </w:r>
      <w:r w:rsidRPr="00842D3D">
        <w:rPr>
          <w:rFonts w:eastAsia="Calibri" w:cs="Times New Roman"/>
          <w:i/>
          <w:iCs/>
          <w:szCs w:val="24"/>
          <w:u w:val="single"/>
        </w:rPr>
        <w:t>name</w:t>
      </w:r>
      <w:r w:rsidRPr="00842D3D">
        <w:rPr>
          <w:rFonts w:eastAsia="Calibri" w:cs="Times New Roman"/>
          <w:szCs w:val="24"/>
        </w:rPr>
        <w:t>] must show, in addition to a constitutional violation, that this policy amounts to deliberate indifference to plaintiff [</w:t>
      </w:r>
      <w:r w:rsidRPr="00842D3D">
        <w:rPr>
          <w:rFonts w:eastAsia="Calibri" w:cs="Times New Roman"/>
          <w:i/>
          <w:iCs/>
          <w:szCs w:val="24"/>
          <w:u w:val="single"/>
        </w:rPr>
        <w:t>name</w:t>
      </w:r>
      <w:r w:rsidRPr="00842D3D">
        <w:rPr>
          <w:rFonts w:eastAsia="Calibri" w:cs="Times New Roman"/>
          <w:szCs w:val="24"/>
        </w:rPr>
        <w:t>]’s constitutional rights, and that the policy caused the violation, in the sense that the municipality could have prevented the violation with an appropriate policy.]</w:t>
      </w:r>
    </w:p>
    <w:p w14:paraId="4CDFB96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“Deliberate indifference” is the conscious choice to disregard a known or obvious consequences of one’s acts or omissions. Plaintiff [</w:t>
      </w:r>
      <w:r w:rsidRPr="00842D3D">
        <w:rPr>
          <w:rFonts w:eastAsia="Calibri" w:cs="Times New Roman"/>
          <w:i/>
          <w:iCs/>
          <w:szCs w:val="24"/>
          <w:u w:val="single"/>
        </w:rPr>
        <w:t>name</w:t>
      </w:r>
      <w:r w:rsidRPr="00842D3D">
        <w:rPr>
          <w:rFonts w:eastAsia="Calibri" w:cs="Times New Roman"/>
          <w:szCs w:val="24"/>
        </w:rPr>
        <w:t>] may prove deliberate indifference in this case by showing that the facts available to defendant [</w:t>
      </w:r>
      <w:r w:rsidRPr="00842D3D">
        <w:rPr>
          <w:rFonts w:eastAsia="Calibri" w:cs="Times New Roman"/>
          <w:i/>
          <w:iCs/>
          <w:szCs w:val="24"/>
          <w:u w:val="single"/>
        </w:rPr>
        <w:t>name of local governing body</w:t>
      </w:r>
      <w:r w:rsidRPr="00842D3D">
        <w:rPr>
          <w:rFonts w:eastAsia="Calibri" w:cs="Times New Roman"/>
          <w:szCs w:val="24"/>
        </w:rPr>
        <w:t>] put it on actual or constructive notice that its [failure to implement adequate policies] [failure to train adequately] was substantially certain to result in the violation of the constitutional rights of persons such as plaintiff [</w:t>
      </w:r>
      <w:r w:rsidRPr="00842D3D">
        <w:rPr>
          <w:rFonts w:eastAsia="Calibri" w:cs="Times New Roman"/>
          <w:i/>
          <w:iCs/>
          <w:szCs w:val="24"/>
          <w:u w:val="single"/>
        </w:rPr>
        <w:t>name</w:t>
      </w:r>
      <w:r w:rsidRPr="00842D3D">
        <w:rPr>
          <w:rFonts w:eastAsia="Calibri" w:cs="Times New Roman"/>
          <w:szCs w:val="24"/>
        </w:rPr>
        <w:t xml:space="preserve">] due to [police officer[s]] [employee[s]]’s conduct. </w:t>
      </w:r>
    </w:p>
    <w:p w14:paraId="3DD76EB8" w14:textId="77777777" w:rsidR="00842D3D" w:rsidRPr="00842D3D" w:rsidRDefault="00842D3D" w:rsidP="00842D3D">
      <w:pPr>
        <w:autoSpaceDE w:val="0"/>
        <w:autoSpaceDN w:val="0"/>
        <w:adjustRightInd w:val="0"/>
        <w:rPr>
          <w:rFonts w:eastAsia="Calibri" w:cs="Times New Roman"/>
          <w:szCs w:val="24"/>
        </w:rPr>
      </w:pPr>
    </w:p>
    <w:p w14:paraId="0CBF50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name of local governing body</w:t>
      </w:r>
      <w:r w:rsidRPr="00842D3D" w:rsidDel="00B81810">
        <w:rPr>
          <w:rFonts w:eastAsia="Calibri" w:cs="Times New Roman"/>
          <w:i/>
          <w:iCs/>
          <w:szCs w:val="24"/>
          <w:u w:val="single"/>
        </w:rPr>
        <w:t xml:space="preserve"> </w:t>
      </w:r>
      <w:r w:rsidRPr="00842D3D">
        <w:rPr>
          <w:rFonts w:eastAsia="Calibri" w:cs="Times New Roman"/>
          <w:szCs w:val="24"/>
        </w:rPr>
        <w:t>].</w:t>
      </w:r>
    </w:p>
    <w:p w14:paraId="227964EF" w14:textId="77777777" w:rsidR="00842D3D" w:rsidRPr="00842D3D" w:rsidRDefault="00842D3D" w:rsidP="00842D3D">
      <w:pPr>
        <w:autoSpaceDE w:val="0"/>
        <w:autoSpaceDN w:val="0"/>
        <w:adjustRightInd w:val="0"/>
        <w:rPr>
          <w:rFonts w:eastAsia="Calibri" w:cs="Times New Roman"/>
          <w:szCs w:val="24"/>
        </w:rPr>
      </w:pPr>
    </w:p>
    <w:p w14:paraId="2621E41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D371F56" w14:textId="77777777" w:rsidR="00842D3D" w:rsidRPr="00842D3D" w:rsidRDefault="00842D3D" w:rsidP="00842D3D">
      <w:pPr>
        <w:autoSpaceDE w:val="0"/>
        <w:autoSpaceDN w:val="0"/>
        <w:adjustRightInd w:val="0"/>
        <w:rPr>
          <w:rFonts w:eastAsia="Calibri" w:cs="Times New Roman"/>
          <w:b/>
          <w:bCs/>
          <w:szCs w:val="24"/>
        </w:rPr>
      </w:pPr>
    </w:p>
    <w:p w14:paraId="46BA2B2A" w14:textId="52FD180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6F16CD16" w14:textId="77777777" w:rsidR="00842D3D" w:rsidRPr="00842D3D" w:rsidRDefault="00842D3D" w:rsidP="00842D3D">
      <w:pPr>
        <w:autoSpaceDE w:val="0"/>
        <w:autoSpaceDN w:val="0"/>
        <w:adjustRightInd w:val="0"/>
        <w:rPr>
          <w:rFonts w:eastAsia="Calibri" w:cs="Times New Roman"/>
          <w:szCs w:val="24"/>
        </w:rPr>
      </w:pPr>
    </w:p>
    <w:p w14:paraId="58C6B53C"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liability is based on a local governing body’s policy of inaction, such as a failure to train its police officers.</w:t>
      </w:r>
    </w:p>
    <w:p w14:paraId="5A239C88" w14:textId="77777777" w:rsidR="00842D3D" w:rsidRPr="00842D3D" w:rsidRDefault="00842D3D" w:rsidP="00842D3D">
      <w:pPr>
        <w:autoSpaceDE w:val="0"/>
        <w:autoSpaceDN w:val="0"/>
        <w:adjustRightInd w:val="0"/>
        <w:ind w:firstLine="720"/>
        <w:rPr>
          <w:rFonts w:eastAsia="Calibri" w:cs="Times New Roman"/>
          <w:szCs w:val="24"/>
        </w:rPr>
      </w:pPr>
    </w:p>
    <w:p w14:paraId="2338F02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5A623E2B" w14:textId="77777777" w:rsidR="00842D3D" w:rsidRPr="00842D3D" w:rsidRDefault="00842D3D" w:rsidP="00842D3D">
      <w:pPr>
        <w:autoSpaceDE w:val="0"/>
        <w:autoSpaceDN w:val="0"/>
        <w:adjustRightInd w:val="0"/>
        <w:rPr>
          <w:rFonts w:eastAsia="Calibri" w:cs="Times New Roman"/>
          <w:b/>
          <w:bCs/>
          <w:szCs w:val="24"/>
        </w:rPr>
      </w:pPr>
    </w:p>
    <w:p w14:paraId="05F7D95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Instead, a plaintiff must establish a “direct causal link” between the municipal policy or custom and the alleged constitutional violation. </w:t>
      </w:r>
      <w:r w:rsidRPr="00842D3D">
        <w:rPr>
          <w:rFonts w:eastAsia="Calibri" w:cs="Times New Roman"/>
          <w:i/>
          <w:iCs/>
          <w:szCs w:val="24"/>
        </w:rPr>
        <w:t>See City of Canton v. Harris</w:t>
      </w:r>
      <w:r w:rsidRPr="00842D3D">
        <w:rPr>
          <w:rFonts w:eastAsia="Calibri" w:cs="Times New Roman"/>
          <w:szCs w:val="24"/>
        </w:rPr>
        <w:t xml:space="preserve">, 489 U.S. 378, 385 (1989); </w:t>
      </w:r>
      <w:r w:rsidRPr="00842D3D">
        <w:rPr>
          <w:rFonts w:eastAsia="Calibri" w:cs="Times New Roman"/>
          <w:i/>
          <w:iCs/>
          <w:szCs w:val="24"/>
        </w:rPr>
        <w:t>Sandoval v. Cnty. of San Diego</w:t>
      </w:r>
      <w:r w:rsidRPr="00842D3D">
        <w:rPr>
          <w:rFonts w:eastAsia="Calibri" w:cs="Times New Roman"/>
          <w:szCs w:val="24"/>
        </w:rPr>
        <w:t xml:space="preserve">, 985 F.3d 657, 681 (9th Cir. 2021). This “requires showing both but for and proximate causation.” </w:t>
      </w:r>
      <w:r w:rsidRPr="00842D3D">
        <w:rPr>
          <w:rFonts w:eastAsia="Calibri" w:cs="Times New Roman"/>
          <w:i/>
          <w:iCs/>
          <w:szCs w:val="24"/>
        </w:rPr>
        <w:t>Tsao v. Desert Palace</w:t>
      </w:r>
      <w:r w:rsidRPr="00842D3D">
        <w:rPr>
          <w:rFonts w:eastAsia="Calibri" w:cs="Times New Roman"/>
          <w:szCs w:val="24"/>
        </w:rPr>
        <w:t xml:space="preserve">, </w:t>
      </w:r>
      <w:r w:rsidRPr="00842D3D">
        <w:rPr>
          <w:rFonts w:eastAsia="Calibri" w:cs="Times New Roman"/>
          <w:i/>
          <w:iCs/>
          <w:szCs w:val="24"/>
        </w:rPr>
        <w:t>Inc</w:t>
      </w:r>
      <w:r w:rsidRPr="00842D3D">
        <w:rPr>
          <w:rFonts w:eastAsia="Calibri" w:cs="Times New Roman"/>
          <w:szCs w:val="24"/>
        </w:rPr>
        <w:t xml:space="preserve">., 698 F.3d 1128, 1146 (9th Cir. 2012)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In </w:t>
      </w:r>
      <w:r w:rsidRPr="00842D3D">
        <w:rPr>
          <w:rFonts w:eastAsia="Calibri" w:cs="Times New Roman"/>
          <w:i/>
          <w:iCs/>
          <w:szCs w:val="24"/>
        </w:rPr>
        <w:t>Harper</w:t>
      </w:r>
      <w:r w:rsidRPr="00842D3D">
        <w:rPr>
          <w:rFonts w:eastAsia="Calibri" w:cs="Times New Roman"/>
          <w:szCs w:val="24"/>
        </w:rPr>
        <w:t xml:space="preserve">, the Ninth Circuit approved of a jury instruction that explained that “proximate cause exists where ‘an act or omission played a substantial part in bringing about or actually causing the injury or damage to plaintiffs.’” </w:t>
      </w:r>
      <w:r w:rsidRPr="00842D3D">
        <w:rPr>
          <w:rFonts w:eastAsia="Calibri" w:cs="Times New Roman"/>
          <w:i/>
          <w:iCs/>
          <w:szCs w:val="24"/>
        </w:rPr>
        <w:t>Harper</w:t>
      </w:r>
      <w:r w:rsidRPr="00842D3D">
        <w:rPr>
          <w:rFonts w:eastAsia="Calibri" w:cs="Times New Roman"/>
          <w:szCs w:val="24"/>
        </w:rPr>
        <w:t>, 533 F.3d at 1026;</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xml:space="preserve">, 123 F.4th 1035, 1067 (9th Cir. 2024) (noting that “failure to train” claim rests on </w:t>
      </w:r>
      <w:r w:rsidRPr="00842D3D">
        <w:rPr>
          <w:rFonts w:eastAsia="Calibri" w:cs="Times New Roman"/>
          <w:szCs w:val="24"/>
        </w:rPr>
        <w:lastRenderedPageBreak/>
        <w:t>showing that the plaintiff’s injury “</w:t>
      </w:r>
      <w:r w:rsidRPr="00842D3D">
        <w:rPr>
          <w:rFonts w:eastAsia="Calibri" w:cs="Times New Roman"/>
          <w:i/>
          <w:iCs/>
          <w:szCs w:val="24"/>
        </w:rPr>
        <w:t>in particular</w:t>
      </w:r>
      <w:r w:rsidRPr="00842D3D">
        <w:rPr>
          <w:rFonts w:eastAsia="Calibri" w:cs="Times New Roman"/>
          <w:szCs w:val="24"/>
        </w:rPr>
        <w:t xml:space="preserve"> was the obvious result of the allegedly inadequate training” and that the plaintiff failed to show that the particular constitutional injury was such an obvious consequence of “the failure to more thoroughly train its officers on the use of chemical agents that it amounted to ‘deliberate indifference’ toward her rights”) (emphasis in original).</w:t>
      </w:r>
    </w:p>
    <w:p w14:paraId="10593FF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4AF78F0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of inaction or omission may be based on failure to implement procedural</w:t>
      </w:r>
    </w:p>
    <w:p w14:paraId="1637683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safeguards to prevent constitutional violations.” </w:t>
      </w:r>
      <w:r w:rsidRPr="00842D3D">
        <w:rPr>
          <w:rFonts w:eastAsia="Calibri" w:cs="Times New Roman"/>
          <w:i/>
          <w:iCs/>
          <w:szCs w:val="24"/>
        </w:rPr>
        <w:t>Tsao</w:t>
      </w:r>
      <w:r w:rsidRPr="00842D3D">
        <w:rPr>
          <w:rFonts w:eastAsia="Calibri" w:cs="Times New Roman"/>
          <w:szCs w:val="24"/>
        </w:rPr>
        <w:t xml:space="preserve">, 698 F.3d at 1143. A local government’s failure to train its employees “may serve as the basis for § 1983 liability . . . where the failure to train amounts to deliberate indifference to the rights of persons with whom the [employees] come into contact.” </w:t>
      </w:r>
      <w:r w:rsidRPr="00842D3D">
        <w:rPr>
          <w:rFonts w:eastAsia="Calibri" w:cs="Times New Roman"/>
          <w:i/>
          <w:iCs/>
          <w:szCs w:val="24"/>
        </w:rPr>
        <w:t>City of Canton</w:t>
      </w:r>
      <w:r w:rsidRPr="00842D3D">
        <w:rPr>
          <w:rFonts w:eastAsia="Calibri" w:cs="Times New Roman"/>
          <w:szCs w:val="24"/>
        </w:rPr>
        <w:t xml:space="preserve">, 489 U.S. at 388;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Connick v. Thompson</w:t>
      </w:r>
      <w:r w:rsidRPr="00842D3D">
        <w:rPr>
          <w:rFonts w:eastAsia="Calibri" w:cs="Times New Roman"/>
          <w:szCs w:val="24"/>
        </w:rPr>
        <w:t xml:space="preserve">, 563 U.S. 51, 61 (2011). The elements of a failure to train </w:t>
      </w:r>
      <w:r w:rsidRPr="00842D3D">
        <w:rPr>
          <w:rFonts w:eastAsia="Calibri" w:cs="Times New Roman"/>
          <w:i/>
          <w:iCs/>
          <w:szCs w:val="24"/>
        </w:rPr>
        <w:t>Monell</w:t>
      </w:r>
      <w:r w:rsidRPr="00842D3D">
        <w:rPr>
          <w:rFonts w:eastAsia="Calibri" w:cs="Times New Roman"/>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Pr="00842D3D">
        <w:rPr>
          <w:rFonts w:eastAsia="Calibri" w:cs="Times New Roman"/>
          <w:i/>
          <w:iCs/>
          <w:szCs w:val="24"/>
        </w:rPr>
        <w:t>Benavidez v. Cnty. of San Diego</w:t>
      </w:r>
      <w:r w:rsidRPr="00842D3D">
        <w:rPr>
          <w:rFonts w:eastAsia="Calibri" w:cs="Times New Roman"/>
          <w:szCs w:val="24"/>
        </w:rPr>
        <w:t>, 993 F.3d 1134, 1153-54 (9th Cir. 2021).</w:t>
      </w:r>
    </w:p>
    <w:p w14:paraId="66A51FC7" w14:textId="77777777" w:rsidR="00842D3D" w:rsidRPr="00842D3D" w:rsidRDefault="00842D3D" w:rsidP="00842D3D">
      <w:pPr>
        <w:autoSpaceDE w:val="0"/>
        <w:autoSpaceDN w:val="0"/>
        <w:adjustRightInd w:val="0"/>
        <w:rPr>
          <w:rFonts w:eastAsia="Calibri" w:cs="Times New Roman"/>
          <w:szCs w:val="24"/>
        </w:rPr>
      </w:pPr>
    </w:p>
    <w:p w14:paraId="67C0F86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“Deliberate indifference” requires proof that a municipal actor disregarded a known or obvious consequence of his action. </w:t>
      </w:r>
      <w:r w:rsidRPr="00842D3D">
        <w:rPr>
          <w:rFonts w:eastAsia="Calibri" w:cs="Times New Roman"/>
          <w:i/>
          <w:iCs/>
          <w:szCs w:val="24"/>
        </w:rPr>
        <w:t>Connick</w:t>
      </w:r>
      <w:r w:rsidRPr="00842D3D">
        <w:rPr>
          <w:rFonts w:eastAsia="Calibri"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842D3D">
        <w:rPr>
          <w:rFonts w:eastAsia="Calibri" w:cs="Times New Roman"/>
          <w:i/>
          <w:iCs/>
          <w:szCs w:val="24"/>
        </w:rPr>
        <w:t xml:space="preserve"> see also Castro v. County of Los Angeles</w:t>
      </w:r>
      <w:r w:rsidRPr="00842D3D">
        <w:rPr>
          <w:rFonts w:eastAsia="Calibri" w:cs="Times New Roman"/>
          <w:szCs w:val="24"/>
        </w:rPr>
        <w:t xml:space="preserve">, 833 F.3d 1060, 1077 (9th Cir. 2016) (en banc) (“Where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Pr="00842D3D">
        <w:rPr>
          <w:rFonts w:eastAsia="Calibri" w:cs="Times New Roman"/>
          <w:i/>
          <w:iCs/>
          <w:szCs w:val="24"/>
        </w:rPr>
        <w:t>City of Canton</w:t>
      </w:r>
      <w:r w:rsidRPr="00842D3D">
        <w:rPr>
          <w:rFonts w:eastAsia="Calibri" w:cs="Times New Roman"/>
          <w:szCs w:val="24"/>
        </w:rPr>
        <w:t>, 489 U.S. at 396)).</w:t>
      </w:r>
      <w:r w:rsidRPr="00842D3D">
        <w:rPr>
          <w:rFonts w:eastAsia="Calibri" w:cs="Times New Roman"/>
          <w:i/>
          <w:iCs/>
          <w:szCs w:val="24"/>
        </w:rPr>
        <w:t xml:space="preserve"> </w:t>
      </w: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833 F.3d at 1076 (9th Cir. 2016) (en banc), the Ninth Circuit held that the deliberate indifference inquiry is objective for pretrial detainees’ failure-to-protect claims. “A pattern of similar constitutional violations by untrained employees is ‘ordinarily necessary’ to demonstrate deliberate indifference for purposes of failure to train.”</w:t>
      </w:r>
      <w:r w:rsidRPr="00842D3D">
        <w:rPr>
          <w:rFonts w:eastAsia="Calibri" w:cs="Times New Roman"/>
          <w:i/>
          <w:iCs/>
          <w:szCs w:val="24"/>
        </w:rPr>
        <w:t xml:space="preserve"> Connick</w:t>
      </w:r>
      <w:r w:rsidRPr="00842D3D">
        <w:rPr>
          <w:rFonts w:eastAsia="Calibri" w:cs="Times New Roman"/>
          <w:szCs w:val="24"/>
        </w:rPr>
        <w:t xml:space="preserve">, 563 U.S. at 62; </w:t>
      </w:r>
      <w:r w:rsidRPr="00842D3D">
        <w:rPr>
          <w:rFonts w:eastAsia="Calibri" w:cs="Times New Roman"/>
          <w:i/>
          <w:iCs/>
          <w:szCs w:val="24"/>
        </w:rPr>
        <w:t>see also Hyde v. City of Willcox</w:t>
      </w:r>
      <w:r w:rsidRPr="00842D3D">
        <w:rPr>
          <w:rFonts w:eastAsia="Calibri" w:cs="Times New Roman"/>
          <w:szCs w:val="24"/>
        </w:rPr>
        <w:t>, 23 F.4th 863, 874-75 (9th Cir. 2022) (holding that “[w]hile deliberate indifference can be inferred from a single incident when the unconstitutional consequences of failing to train are patently obvious, an inadequate training policy itself cannot be inferred from a single incident.”) (quotation marks and citation omitted);</w:t>
      </w:r>
      <w:r w:rsidRPr="00842D3D">
        <w:rPr>
          <w:rFonts w:eastAsia="Calibri" w:cs="Times New Roman"/>
          <w:i/>
          <w:iCs/>
          <w:szCs w:val="24"/>
        </w:rPr>
        <w:t xml:space="preserve"> Flores v. County of Los Angeles</w:t>
      </w:r>
      <w:r w:rsidRPr="00842D3D">
        <w:rPr>
          <w:rFonts w:eastAsia="Calibri" w:cs="Times New Roman"/>
          <w:szCs w:val="24"/>
        </w:rPr>
        <w:t xml:space="preserve">, 758 F.3d 1154, 1159-60 (9th Cir. 2014) (holding that, absent pattern of sexual assaults by deputies, alleged failure to train officers not to commit sexual assault did not constitute deliberate indifference); </w:t>
      </w:r>
      <w:r w:rsidRPr="00842D3D">
        <w:rPr>
          <w:rFonts w:eastAsia="Calibri" w:cs="Times New Roman"/>
          <w:i/>
          <w:iCs/>
          <w:szCs w:val="24"/>
        </w:rPr>
        <w:t>Marsh v. County of San Diego</w:t>
      </w:r>
      <w:r w:rsidRPr="00842D3D">
        <w:rPr>
          <w:rFonts w:eastAsia="Calibri" w:cs="Times New Roman"/>
          <w:szCs w:val="24"/>
        </w:rPr>
        <w:t xml:space="preserve">, 680 F.3d 1148, 1159 (9th Cir. 2012) (holding that practice must be “widespread” and proof of single inadequately-trained employee was insufficient); </w:t>
      </w:r>
      <w:r w:rsidRPr="00842D3D">
        <w:rPr>
          <w:rFonts w:eastAsia="Calibri" w:cs="Times New Roman"/>
          <w:i/>
          <w:iCs/>
          <w:szCs w:val="24"/>
        </w:rPr>
        <w:t>Doughtery v. City of Covina</w:t>
      </w:r>
      <w:r w:rsidRPr="00842D3D">
        <w:rPr>
          <w:rFonts w:eastAsia="Calibri" w:cs="Times New Roman"/>
          <w:szCs w:val="24"/>
        </w:rPr>
        <w:t xml:space="preserve">, 654 F.3d 892, 900 (9th Cir. 2011) (“Mere negligence in training or supervision . . . does not give rise to a </w:t>
      </w:r>
      <w:r w:rsidRPr="00842D3D">
        <w:rPr>
          <w:rFonts w:eastAsia="Calibri" w:cs="Times New Roman"/>
          <w:i/>
          <w:iCs/>
          <w:szCs w:val="24"/>
        </w:rPr>
        <w:t>Monell</w:t>
      </w:r>
      <w:r w:rsidRPr="00842D3D">
        <w:rPr>
          <w:rFonts w:eastAsia="Calibri" w:cs="Times New Roman"/>
          <w:szCs w:val="24"/>
        </w:rPr>
        <w:t xml:space="preserve"> claim.”). </w:t>
      </w:r>
    </w:p>
    <w:p w14:paraId="71072CFC" w14:textId="77777777" w:rsidR="00842D3D" w:rsidRPr="00842D3D" w:rsidRDefault="00842D3D" w:rsidP="00842D3D">
      <w:pPr>
        <w:autoSpaceDE w:val="0"/>
        <w:autoSpaceDN w:val="0"/>
        <w:adjustRightInd w:val="0"/>
        <w:rPr>
          <w:rFonts w:eastAsia="Calibri" w:cs="Times New Roman"/>
          <w:szCs w:val="24"/>
        </w:rPr>
      </w:pPr>
    </w:p>
    <w:p w14:paraId="3B55B30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842D3D">
        <w:rPr>
          <w:rFonts w:eastAsia="Calibri" w:cs="Times New Roman"/>
          <w:i/>
          <w:iCs/>
          <w:szCs w:val="24"/>
        </w:rPr>
        <w:t>Connick</w:t>
      </w:r>
      <w:r w:rsidRPr="00842D3D">
        <w:rPr>
          <w:rFonts w:eastAsia="Calibri" w:cs="Times New Roman"/>
          <w:szCs w:val="24"/>
        </w:rPr>
        <w:t>, 563 U.S. at 63-64 (quoting</w:t>
      </w:r>
      <w:r w:rsidRPr="00842D3D">
        <w:rPr>
          <w:rFonts w:eastAsia="Calibri" w:cs="Times New Roman"/>
          <w:i/>
          <w:iCs/>
          <w:szCs w:val="24"/>
        </w:rPr>
        <w:t xml:space="preserve"> Bd. of Cnty. Comm’rs v. Brown</w:t>
      </w:r>
      <w:r w:rsidRPr="00842D3D">
        <w:rPr>
          <w:rFonts w:eastAsia="Calibri" w:cs="Times New Roman"/>
          <w:szCs w:val="24"/>
        </w:rPr>
        <w:t xml:space="preserve">, 520 U.S. 397, 409 (1997), and citing </w:t>
      </w:r>
      <w:r w:rsidRPr="00842D3D">
        <w:rPr>
          <w:rFonts w:eastAsia="Calibri" w:cs="Times New Roman"/>
          <w:i/>
          <w:iCs/>
          <w:szCs w:val="24"/>
        </w:rPr>
        <w:t>Canton</w:t>
      </w:r>
      <w:r w:rsidRPr="00842D3D">
        <w:rPr>
          <w:rFonts w:eastAsia="Calibri" w:cs="Times New Roman"/>
          <w:szCs w:val="24"/>
        </w:rPr>
        <w:t xml:space="preserve">, 489 </w:t>
      </w:r>
      <w:r w:rsidRPr="00842D3D">
        <w:rPr>
          <w:rFonts w:eastAsia="Calibri" w:cs="Times New Roman"/>
          <w:szCs w:val="24"/>
        </w:rPr>
        <w:lastRenderedPageBreak/>
        <w:t xml:space="preserve">U.S. at 389-90). In </w:t>
      </w:r>
      <w:r w:rsidRPr="00842D3D">
        <w:rPr>
          <w:rFonts w:eastAsia="Calibri" w:cs="Times New Roman"/>
          <w:i/>
          <w:iCs/>
          <w:szCs w:val="24"/>
        </w:rPr>
        <w:t>Kirkpatrick v. Washoe County</w:t>
      </w:r>
      <w:r w:rsidRPr="00842D3D">
        <w:rPr>
          <w:rFonts w:eastAsia="Calibri" w:cs="Times New Roman"/>
          <w:szCs w:val="24"/>
        </w:rPr>
        <w:t xml:space="preserve">, 843 F.3d 784 (9th Cir. 2016) (en banc), the Ninth Circuit held that a county social services agency’s complete failure to train its social workers on the procedures for obtaining a warrant and when a warrant is required before taking a child from a parent was just such a “narrow circumstance” in which evidence of a pattern of similar violations was unnecessary. </w:t>
      </w:r>
      <w:r w:rsidRPr="00842D3D">
        <w:rPr>
          <w:rFonts w:eastAsia="Calibri" w:cs="Times New Roman"/>
          <w:i/>
          <w:iCs/>
          <w:szCs w:val="24"/>
        </w:rPr>
        <w:t xml:space="preserve">See id. </w:t>
      </w:r>
      <w:r w:rsidRPr="00842D3D">
        <w:rPr>
          <w:rFonts w:eastAsia="Calibri" w:cs="Times New Roman"/>
          <w:szCs w:val="24"/>
        </w:rPr>
        <w:t xml:space="preserve">at 796-97. In </w:t>
      </w:r>
      <w:r w:rsidRPr="00842D3D">
        <w:rPr>
          <w:rFonts w:eastAsia="Calibri" w:cs="Times New Roman"/>
          <w:i/>
          <w:iCs/>
          <w:szCs w:val="24"/>
        </w:rPr>
        <w:t>Sandoval v. County of San Diego</w:t>
      </w:r>
      <w:r w:rsidRPr="00842D3D">
        <w:rPr>
          <w:rFonts w:eastAsia="Calibri" w:cs="Times New Roman"/>
          <w:szCs w:val="24"/>
        </w:rPr>
        <w:t xml:space="preserve">, 985 F.3d 657, 682 (9th Cir. 2021), the Ninth Circuit applied an objective deliberate indifference standard to the county’s 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842D3D">
        <w:rPr>
          <w:rFonts w:eastAsia="Calibri" w:cs="Times New Roman"/>
          <w:i/>
          <w:iCs/>
          <w:szCs w:val="24"/>
        </w:rPr>
        <w:t>Id</w:t>
      </w:r>
      <w:r w:rsidRPr="00842D3D">
        <w:rPr>
          <w:rFonts w:eastAsia="Calibri" w:cs="Times New Roman"/>
          <w:szCs w:val="24"/>
        </w:rPr>
        <w:t xml:space="preserve">. (footnote omitted) (quoting </w:t>
      </w:r>
      <w:r w:rsidRPr="00842D3D">
        <w:rPr>
          <w:rFonts w:eastAsia="Calibri" w:cs="Times New Roman"/>
          <w:i/>
          <w:iCs/>
          <w:szCs w:val="24"/>
        </w:rPr>
        <w:t>Castro</w:t>
      </w:r>
      <w:r w:rsidRPr="00842D3D">
        <w:rPr>
          <w:rFonts w:eastAsia="Calibri" w:cs="Times New Roman"/>
          <w:szCs w:val="24"/>
        </w:rPr>
        <w:t>, 833 F.3d at 1076).</w:t>
      </w:r>
    </w:p>
    <w:p w14:paraId="61C1507B" w14:textId="77777777" w:rsidR="00842D3D" w:rsidRPr="00842D3D" w:rsidRDefault="00842D3D" w:rsidP="00842D3D">
      <w:pPr>
        <w:autoSpaceDE w:val="0"/>
        <w:autoSpaceDN w:val="0"/>
        <w:adjustRightInd w:val="0"/>
        <w:rPr>
          <w:rFonts w:eastAsia="Calibri" w:cs="Times New Roman"/>
          <w:szCs w:val="24"/>
        </w:rPr>
      </w:pPr>
    </w:p>
    <w:p w14:paraId="5039691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is alleging inadequate hiring or screening of employees, inadequate supervision, or failure to adopt a needed policy, elements 3 through 5 of this instruction should be modified accordingly.</w:t>
      </w:r>
      <w:r w:rsidRPr="00842D3D">
        <w:rPr>
          <w:rFonts w:eastAsia="Calibri" w:cs="Times New Roman"/>
          <w:i/>
          <w:iCs/>
          <w:szCs w:val="24"/>
        </w:rPr>
        <w:t xml:space="preserve"> See Brown</w:t>
      </w:r>
      <w:r w:rsidRPr="00842D3D">
        <w:rPr>
          <w:rFonts w:eastAsia="Calibri" w:cs="Times New Roman"/>
          <w:szCs w:val="24"/>
        </w:rPr>
        <w:t xml:space="preserve">, 520 U.S. at 409-11 (addressing failure to screen candidates); </w:t>
      </w:r>
      <w:r w:rsidRPr="00842D3D">
        <w:rPr>
          <w:rFonts w:eastAsia="Calibri" w:cs="Times New Roman"/>
          <w:i/>
          <w:iCs/>
          <w:szCs w:val="24"/>
        </w:rPr>
        <w:t>Jackson v. Barnes</w:t>
      </w:r>
      <w:r w:rsidRPr="00842D3D">
        <w:rPr>
          <w:rFonts w:eastAsia="Calibri" w:cs="Times New Roman"/>
          <w:szCs w:val="24"/>
        </w:rPr>
        <w:t xml:space="preserve">, 749 F.3d 755, 763-64 (9th Cir. 2014) (addressing failure to supervise); </w:t>
      </w:r>
      <w:r w:rsidRPr="00842D3D">
        <w:rPr>
          <w:rFonts w:eastAsia="Calibri" w:cs="Times New Roman"/>
          <w:i/>
          <w:iCs/>
          <w:szCs w:val="24"/>
        </w:rPr>
        <w:t>Tsao</w:t>
      </w:r>
      <w:r w:rsidRPr="00842D3D">
        <w:rPr>
          <w:rFonts w:eastAsia="Calibri" w:cs="Times New Roman"/>
          <w:szCs w:val="24"/>
        </w:rPr>
        <w:t xml:space="preserve">, 698 F.3d at 1143 (addressing failure to implement policy). As with a failure to train claim, the plaintiff must show that the failure to properly hire, supervise, or adopt a policy amounted to deliberate indifference by the governing body.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Brown</w:t>
      </w:r>
      <w:r w:rsidRPr="00842D3D">
        <w:rPr>
          <w:rFonts w:eastAsia="Calibri" w:cs="Times New Roman"/>
          <w:szCs w:val="24"/>
        </w:rPr>
        <w:t xml:space="preserve">, 520 U.S. at 407; </w:t>
      </w:r>
      <w:r w:rsidRPr="00842D3D">
        <w:rPr>
          <w:rFonts w:eastAsia="Calibri" w:cs="Times New Roman"/>
          <w:i/>
          <w:iCs/>
          <w:szCs w:val="24"/>
        </w:rPr>
        <w:t>Tsao</w:t>
      </w:r>
      <w:r w:rsidRPr="00842D3D">
        <w:rPr>
          <w:rFonts w:eastAsia="Calibri" w:cs="Times New Roman"/>
          <w:szCs w:val="24"/>
        </w:rPr>
        <w:t xml:space="preserve">, 698 F.3d at 1143, 1145. For other bases of </w:t>
      </w:r>
      <w:r w:rsidRPr="00842D3D">
        <w:rPr>
          <w:rFonts w:eastAsia="Calibri" w:cs="Times New Roman"/>
          <w:i/>
          <w:iCs/>
          <w:szCs w:val="24"/>
        </w:rPr>
        <w:t>Monell</w:t>
      </w:r>
      <w:r w:rsidRPr="00842D3D">
        <w:rPr>
          <w:rFonts w:eastAsia="Calibri" w:cs="Times New Roman"/>
          <w:szCs w:val="24"/>
        </w:rPr>
        <w:t xml:space="preserve"> liability, see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458121C5" w14:textId="77777777" w:rsidR="00842D3D" w:rsidRPr="00842D3D" w:rsidRDefault="00842D3D" w:rsidP="00842D3D">
      <w:pPr>
        <w:autoSpaceDE w:val="0"/>
        <w:autoSpaceDN w:val="0"/>
        <w:adjustRightInd w:val="0"/>
        <w:ind w:firstLine="720"/>
        <w:rPr>
          <w:rFonts w:eastAsia="Calibri" w:cs="Times New Roman"/>
          <w:szCs w:val="24"/>
        </w:rPr>
      </w:pPr>
    </w:p>
    <w:p w14:paraId="05F965E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Bell v. Williams</w:t>
      </w:r>
      <w:r w:rsidRPr="00842D3D">
        <w:rPr>
          <w:rFonts w:eastAsia="Calibri" w:cs="Times New Roman"/>
          <w:szCs w:val="24"/>
        </w:rPr>
        <w:t xml:space="preserve">, 108 F.4th 809 (9th Cir. 2024), the Ninth Circuit reiterated that, under </w:t>
      </w:r>
      <w:r w:rsidRPr="00842D3D">
        <w:rPr>
          <w:rFonts w:eastAsia="Calibri" w:cs="Times New Roman"/>
          <w:i/>
          <w:iCs/>
          <w:szCs w:val="24"/>
        </w:rPr>
        <w:t>Monell</w:t>
      </w:r>
      <w:r w:rsidRPr="00842D3D">
        <w:rPr>
          <w:rFonts w:eastAsia="Calibri" w:cs="Times New Roman"/>
          <w:szCs w:val="24"/>
        </w:rPr>
        <w:t xml:space="preserve">, a plaintiff “must show a direct causal link between a municipal policy or custom and the alleged constitutional deprivation.” </w:t>
      </w:r>
      <w:r w:rsidRPr="00842D3D">
        <w:rPr>
          <w:rFonts w:eastAsia="Calibri" w:cs="Times New Roman"/>
          <w:i/>
          <w:iCs/>
          <w:szCs w:val="24"/>
        </w:rPr>
        <w:t>Id</w:t>
      </w:r>
      <w:r w:rsidRPr="00842D3D">
        <w:rPr>
          <w:rFonts w:eastAsia="Calibri" w:cs="Times New Roman"/>
          <w:szCs w:val="24"/>
        </w:rPr>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842D3D">
        <w:rPr>
          <w:rFonts w:eastAsia="Calibri" w:cs="Times New Roman"/>
          <w:i/>
          <w:iCs/>
          <w:szCs w:val="24"/>
        </w:rPr>
        <w:t>Id</w:t>
      </w:r>
      <w:r w:rsidRPr="00842D3D">
        <w:rPr>
          <w:rFonts w:eastAsia="Calibri" w:cs="Times New Roman"/>
          <w:szCs w:val="24"/>
        </w:rPr>
        <w:t xml:space="preserve">. Where “the training program for jail officers . . . covered the relevant topics with reasonable specificity,” the program “does not demonstrate deliberate indifference to a known risk” for purposes of </w:t>
      </w:r>
      <w:r w:rsidRPr="00842D3D">
        <w:rPr>
          <w:rFonts w:eastAsia="Calibri" w:cs="Times New Roman"/>
          <w:i/>
          <w:iCs/>
          <w:szCs w:val="24"/>
        </w:rPr>
        <w:t xml:space="preserve">Monell </w:t>
      </w:r>
      <w:r w:rsidRPr="00842D3D">
        <w:rPr>
          <w:rFonts w:eastAsia="Calibri" w:cs="Times New Roman"/>
          <w:szCs w:val="24"/>
        </w:rPr>
        <w:t xml:space="preserve">liability even if there are “narrow gaps” in the training. </w:t>
      </w:r>
      <w:r w:rsidRPr="00842D3D">
        <w:rPr>
          <w:rFonts w:eastAsia="Calibri" w:cs="Times New Roman"/>
          <w:i/>
          <w:iCs/>
          <w:szCs w:val="24"/>
        </w:rPr>
        <w:t xml:space="preserve">Id. </w:t>
      </w:r>
      <w:r w:rsidRPr="00842D3D">
        <w:rPr>
          <w:rFonts w:eastAsia="Calibri" w:cs="Times New Roman"/>
          <w:szCs w:val="24"/>
        </w:rPr>
        <w:t>at 825-26.</w:t>
      </w:r>
    </w:p>
    <w:p w14:paraId="4BC7E307" w14:textId="77777777" w:rsidR="00842D3D" w:rsidRPr="00842D3D" w:rsidRDefault="00842D3D" w:rsidP="00842D3D">
      <w:pPr>
        <w:autoSpaceDE w:val="0"/>
        <w:autoSpaceDN w:val="0"/>
        <w:adjustRightInd w:val="0"/>
        <w:ind w:firstLine="720"/>
        <w:rPr>
          <w:rFonts w:eastAsia="Calibri" w:cs="Times New Roman"/>
          <w:szCs w:val="24"/>
        </w:rPr>
      </w:pPr>
    </w:p>
    <w:p w14:paraId="4E5D6AA5" w14:textId="77777777" w:rsidR="00842D3D" w:rsidRPr="00842D3D" w:rsidRDefault="00842D3D" w:rsidP="00842D3D">
      <w:pPr>
        <w:autoSpaceDE w:val="0"/>
        <w:autoSpaceDN w:val="0"/>
        <w:adjustRightInd w:val="0"/>
        <w:rPr>
          <w:rFonts w:eastAsia="Calibri" w:cs="Times New Roman"/>
          <w:i/>
          <w:iCs/>
          <w:szCs w:val="24"/>
        </w:rPr>
      </w:pPr>
    </w:p>
    <w:p w14:paraId="70D11361"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r w:rsidRPr="00842D3D">
        <w:rPr>
          <w:rFonts w:eastAsia="Calibri" w:cs="Times New Roman"/>
          <w:szCs w:val="24"/>
        </w:rPr>
        <w:br w:type="page"/>
      </w:r>
    </w:p>
    <w:p w14:paraId="1FE16F78" w14:textId="77777777" w:rsidR="00842D3D" w:rsidRPr="00842D3D" w:rsidRDefault="00842D3D" w:rsidP="00FF121D">
      <w:pPr>
        <w:pStyle w:val="Heading2"/>
      </w:pPr>
      <w:bookmarkStart w:id="149" w:name="_Toc221525173"/>
      <w:r w:rsidRPr="00842D3D">
        <w:lastRenderedPageBreak/>
        <w:t>9.9 Particular Rights—First Amendment—Public Employees—Speech</w:t>
      </w:r>
      <w:bookmarkEnd w:id="149"/>
    </w:p>
    <w:p w14:paraId="267E128E" w14:textId="77777777" w:rsidR="00842D3D" w:rsidRPr="00842D3D" w:rsidRDefault="00842D3D" w:rsidP="00842D3D">
      <w:pPr>
        <w:rPr>
          <w:rFonts w:eastAsia="Calibri" w:cs="Times New Roman"/>
          <w:szCs w:val="24"/>
        </w:rPr>
      </w:pPr>
    </w:p>
    <w:p w14:paraId="4D9AA1C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u w:val="single"/>
        </w:rPr>
        <w:t xml:space="preserve">]. </w:t>
      </w:r>
    </w:p>
    <w:p w14:paraId="403C76F4" w14:textId="77777777" w:rsidR="00842D3D" w:rsidRPr="00842D3D" w:rsidRDefault="00842D3D" w:rsidP="00842D3D">
      <w:pPr>
        <w:autoSpaceDE w:val="0"/>
        <w:autoSpaceDN w:val="0"/>
        <w:adjustRightInd w:val="0"/>
        <w:rPr>
          <w:rFonts w:eastAsia="Calibri" w:cs="Times New Roman"/>
          <w:szCs w:val="24"/>
        </w:rPr>
      </w:pPr>
    </w:p>
    <w:p w14:paraId="6AAC42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public employee has a qualified right to speak on matters of public concern. I instruct you that the plaintiff [</w:t>
      </w:r>
      <w:r w:rsidRPr="00842D3D">
        <w:rPr>
          <w:rFonts w:eastAsia="Calibri" w:cs="Times New Roman"/>
          <w:i/>
          <w:iCs/>
          <w:szCs w:val="24"/>
          <w:u w:val="single"/>
        </w:rPr>
        <w:t>name</w:t>
      </w:r>
      <w:r w:rsidRPr="00842D3D">
        <w:rPr>
          <w:rFonts w:eastAsia="Calibri" w:cs="Times New Roman"/>
          <w:szCs w:val="24"/>
        </w:rPr>
        <w:t>]’s speech was on a matter of public concern. To prove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D825292" w14:textId="77777777" w:rsidR="00842D3D" w:rsidRPr="00842D3D" w:rsidRDefault="00842D3D" w:rsidP="00842D3D">
      <w:pPr>
        <w:autoSpaceDE w:val="0"/>
        <w:autoSpaceDN w:val="0"/>
        <w:adjustRightInd w:val="0"/>
        <w:rPr>
          <w:rFonts w:eastAsia="Calibri" w:cs="Times New Roman"/>
          <w:szCs w:val="24"/>
        </w:rPr>
      </w:pPr>
    </w:p>
    <w:p w14:paraId="3BA69716"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spoke as a private citizen and not as part of [his] [her] [</w:t>
      </w:r>
      <w:r w:rsidRPr="00842D3D">
        <w:rPr>
          <w:rFonts w:eastAsia="Calibri" w:cs="Times New Roman"/>
          <w:i/>
          <w:iCs/>
          <w:szCs w:val="24"/>
          <w:u w:val="single"/>
        </w:rPr>
        <w:t>other pronoun</w:t>
      </w:r>
      <w:r w:rsidRPr="00842D3D">
        <w:rPr>
          <w:rFonts w:eastAsia="Calibri" w:cs="Times New Roman"/>
          <w:szCs w:val="24"/>
        </w:rPr>
        <w:t>] official duties as a public employee;</w:t>
      </w:r>
    </w:p>
    <w:p w14:paraId="00FEFE23" w14:textId="77777777" w:rsidR="00842D3D" w:rsidRPr="00842D3D" w:rsidRDefault="00842D3D" w:rsidP="00842D3D">
      <w:pPr>
        <w:tabs>
          <w:tab w:val="left" w:pos="1260"/>
        </w:tabs>
        <w:autoSpaceDE w:val="0"/>
        <w:autoSpaceDN w:val="0"/>
        <w:adjustRightInd w:val="0"/>
        <w:rPr>
          <w:rFonts w:eastAsia="Calibri" w:cs="Times New Roman"/>
          <w:szCs w:val="24"/>
        </w:rPr>
      </w:pPr>
    </w:p>
    <w:p w14:paraId="516841B5"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 took an adverse employment action against the plaintiff; and</w:t>
      </w:r>
    </w:p>
    <w:p w14:paraId="27AD910D" w14:textId="77777777" w:rsidR="00842D3D" w:rsidRPr="00842D3D" w:rsidRDefault="00842D3D" w:rsidP="00842D3D">
      <w:pPr>
        <w:tabs>
          <w:tab w:val="left" w:pos="1260"/>
        </w:tabs>
        <w:autoSpaceDE w:val="0"/>
        <w:autoSpaceDN w:val="0"/>
        <w:adjustRightInd w:val="0"/>
        <w:rPr>
          <w:rFonts w:eastAsia="Calibri" w:cs="Times New Roman"/>
          <w:szCs w:val="24"/>
        </w:rPr>
      </w:pPr>
    </w:p>
    <w:p w14:paraId="48A26BED"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Third, the plaintiff [</w:t>
      </w:r>
      <w:r w:rsidRPr="00842D3D">
        <w:rPr>
          <w:rFonts w:eastAsia="Calibri" w:cs="Times New Roman"/>
          <w:i/>
          <w:iCs/>
          <w:szCs w:val="24"/>
          <w:u w:val="single"/>
        </w:rPr>
        <w:t>name</w:t>
      </w:r>
      <w:r w:rsidRPr="00842D3D">
        <w:rPr>
          <w:rFonts w:eastAsia="Calibri" w:cs="Times New Roman"/>
          <w:szCs w:val="24"/>
        </w:rPr>
        <w:t>]’s speech was a substantial or motivating factor for the adverse employment action.</w:t>
      </w:r>
    </w:p>
    <w:p w14:paraId="1A133286" w14:textId="77777777" w:rsidR="00842D3D" w:rsidRPr="00842D3D" w:rsidRDefault="00842D3D" w:rsidP="00842D3D">
      <w:pPr>
        <w:autoSpaceDE w:val="0"/>
        <w:autoSpaceDN w:val="0"/>
        <w:adjustRightInd w:val="0"/>
        <w:rPr>
          <w:rFonts w:eastAsia="Calibri" w:cs="Times New Roman"/>
          <w:szCs w:val="24"/>
        </w:rPr>
      </w:pPr>
    </w:p>
    <w:p w14:paraId="6D8606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action is an adverse employment action if a reasonable employee would have found the action materially adverse, which means it might have dissuaded a reasonable worker from engaging in protected activity.</w:t>
      </w:r>
    </w:p>
    <w:p w14:paraId="49C11682" w14:textId="77777777" w:rsidR="00842D3D" w:rsidRPr="00842D3D" w:rsidRDefault="00842D3D" w:rsidP="00842D3D">
      <w:pPr>
        <w:autoSpaceDE w:val="0"/>
        <w:autoSpaceDN w:val="0"/>
        <w:adjustRightInd w:val="0"/>
        <w:rPr>
          <w:rFonts w:eastAsia="Calibri" w:cs="Times New Roman"/>
          <w:szCs w:val="24"/>
        </w:rPr>
      </w:pPr>
    </w:p>
    <w:p w14:paraId="0F89604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substantial or motivating factor is a significant factor, though not necessarily the only factor. </w:t>
      </w:r>
    </w:p>
    <w:p w14:paraId="243E6E17" w14:textId="77777777" w:rsidR="00842D3D" w:rsidRPr="00842D3D" w:rsidRDefault="00842D3D" w:rsidP="00842D3D">
      <w:pPr>
        <w:autoSpaceDE w:val="0"/>
        <w:autoSpaceDN w:val="0"/>
        <w:adjustRightInd w:val="0"/>
        <w:rPr>
          <w:rFonts w:eastAsia="Calibri" w:cs="Times New Roman"/>
          <w:szCs w:val="24"/>
        </w:rPr>
      </w:pPr>
    </w:p>
    <w:p w14:paraId="0A121EFB"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Calibri" w:cs="Times New Roman"/>
        </w:rPr>
        <w:t>establishes each of the foregoing elements, the burden shifts to the defendant [</w:t>
      </w:r>
      <w:r w:rsidRPr="00842D3D">
        <w:rPr>
          <w:rFonts w:eastAsia="Calibri" w:cs="Times New Roman"/>
          <w:i/>
          <w:iCs/>
          <w:u w:val="single"/>
        </w:rPr>
        <w:t>name</w:t>
      </w:r>
      <w:r w:rsidRPr="00842D3D">
        <w:rPr>
          <w:rFonts w:eastAsia="Calibri" w:cs="Times New Roman"/>
        </w:rPr>
        <w:t>] to prove by a preponderance of the evidence that [the defendant [</w:t>
      </w:r>
      <w:r w:rsidRPr="00842D3D">
        <w:rPr>
          <w:rFonts w:eastAsia="Calibri" w:cs="Times New Roman"/>
          <w:i/>
          <w:iCs/>
          <w:u w:val="single"/>
        </w:rPr>
        <w:t>name</w:t>
      </w:r>
      <w:r w:rsidRPr="00842D3D">
        <w:rPr>
          <w:rFonts w:eastAsia="Calibri" w:cs="Times New Roman"/>
        </w:rPr>
        <w:t>] would have taken the action(s) in question, even in the absence of any motive to retaliate against the plaintiff [</w:t>
      </w:r>
      <w:r w:rsidRPr="00842D3D">
        <w:rPr>
          <w:rFonts w:eastAsia="Calibri" w:cs="Times New Roman"/>
          <w:i/>
          <w:iCs/>
          <w:u w:val="single"/>
        </w:rPr>
        <w:t>name</w:t>
      </w:r>
      <w:r w:rsidRPr="00842D3D">
        <w:rPr>
          <w:rFonts w:eastAsia="Calibri" w:cs="Times New Roman"/>
        </w:rPr>
        <w:t>]] [legitimate administrative interests in promoting efficient service-delivery and avoiding workplace disruption outweigh the plaintiff’s First Amendment interests]. If you find that the defendant [</w:t>
      </w:r>
      <w:r w:rsidRPr="00842D3D">
        <w:rPr>
          <w:rFonts w:eastAsia="Calibri" w:cs="Times New Roman"/>
          <w:i/>
          <w:iCs/>
          <w:u w:val="single"/>
        </w:rPr>
        <w:t>name</w:t>
      </w:r>
      <w:r w:rsidRPr="00842D3D">
        <w:rPr>
          <w:rFonts w:eastAsia="Calibri" w:cs="Times New Roman"/>
        </w:rPr>
        <w:t>] is able to demonstrate this, you must find for the defendant [</w:t>
      </w:r>
      <w:r w:rsidRPr="00842D3D">
        <w:rPr>
          <w:rFonts w:eastAsia="Calibri" w:cs="Times New Roman"/>
          <w:i/>
          <w:iCs/>
          <w:u w:val="single"/>
        </w:rPr>
        <w:t>name</w:t>
      </w:r>
      <w:r w:rsidRPr="00842D3D">
        <w:rPr>
          <w:rFonts w:eastAsia="Calibri" w:cs="Times New Roman"/>
        </w:rPr>
        <w:t>]. If you find that the defendant is not able to demonstrate this, you must find for the plaintiff [</w:t>
      </w:r>
      <w:r w:rsidRPr="00842D3D">
        <w:rPr>
          <w:rFonts w:eastAsia="Calibri" w:cs="Times New Roman"/>
          <w:i/>
          <w:iCs/>
          <w:u w:val="single"/>
        </w:rPr>
        <w:t>name</w:t>
      </w:r>
      <w:r w:rsidRPr="00842D3D">
        <w:rPr>
          <w:rFonts w:eastAsia="Calibri" w:cs="Times New Roman"/>
        </w:rPr>
        <w:t>].</w:t>
      </w:r>
    </w:p>
    <w:p w14:paraId="743B469E" w14:textId="77777777" w:rsidR="00842D3D" w:rsidRPr="00842D3D" w:rsidRDefault="00842D3D" w:rsidP="00842D3D">
      <w:pPr>
        <w:autoSpaceDE w:val="0"/>
        <w:autoSpaceDN w:val="0"/>
        <w:adjustRightInd w:val="0"/>
        <w:rPr>
          <w:rFonts w:eastAsia="Calibri" w:cs="Times New Roman"/>
          <w:szCs w:val="24"/>
        </w:rPr>
      </w:pPr>
    </w:p>
    <w:p w14:paraId="2111078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255A575A" w14:textId="77777777" w:rsidR="00842D3D" w:rsidRPr="00842D3D" w:rsidRDefault="00842D3D" w:rsidP="00842D3D">
      <w:pPr>
        <w:autoSpaceDE w:val="0"/>
        <w:autoSpaceDN w:val="0"/>
        <w:adjustRightInd w:val="0"/>
        <w:jc w:val="center"/>
        <w:rPr>
          <w:rFonts w:eastAsia="Calibri" w:cs="Times New Roman"/>
          <w:b/>
          <w:bCs/>
          <w:szCs w:val="24"/>
        </w:rPr>
      </w:pPr>
    </w:p>
    <w:p w14:paraId="15D5EFF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Use this instruction only in conjunction with the applicable elements instruction, Instructions 9.3-9.8, and when the plaintiff is a private citizen, use Instruction 9.11 (Particular Rights—First Amendment—“Citizen” Plaintiff).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 xml:space="preserve">See </w:t>
      </w:r>
      <w:r w:rsidRPr="00842D3D">
        <w:rPr>
          <w:rFonts w:eastAsia="Calibri" w:cs="Times New Roman"/>
          <w:i/>
          <w:iCs/>
          <w:szCs w:val="24"/>
        </w:rPr>
        <w:lastRenderedPageBreak/>
        <w:t>Clem v. Lomeli</w:t>
      </w:r>
      <w:r w:rsidRPr="00842D3D">
        <w:rPr>
          <w:rFonts w:eastAsia="Calibri" w:cs="Times New Roman"/>
          <w:szCs w:val="24"/>
        </w:rPr>
        <w:t xml:space="preserve">, 566 F.3d 1177, 1181-82 (9th Cir. 2009). If there is a dispute about whether the public employee was speaking as a private citizen, use Instruction 9.10 (Particular Rights—First Amendment—Public Employees—Speaking as a Private Citizen). </w:t>
      </w:r>
    </w:p>
    <w:p w14:paraId="4B638928" w14:textId="77777777" w:rsidR="00842D3D" w:rsidRPr="00842D3D" w:rsidRDefault="00842D3D" w:rsidP="00842D3D">
      <w:pPr>
        <w:widowControl w:val="0"/>
        <w:ind w:firstLine="720"/>
        <w:rPr>
          <w:rFonts w:eastAsia="Calibri" w:cs="Times New Roman"/>
          <w:szCs w:val="24"/>
        </w:rPr>
      </w:pPr>
    </w:p>
    <w:p w14:paraId="4491A6B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As to whether a public employee’s speech is protected under the First Amendment, the Supreme Court has “made clear that public employees do not surrender all their First Amendment rights by reason of their employment. Rather, the First Amendment protects a public employee’s right, in certain circumstances, to speak as a citizen addressing matters of public concern.” </w:t>
      </w:r>
      <w:r w:rsidRPr="00842D3D">
        <w:rPr>
          <w:rFonts w:eastAsia="Calibri" w:cs="Times New Roman"/>
          <w:i/>
          <w:iCs/>
          <w:szCs w:val="24"/>
        </w:rPr>
        <w:t>Garcetti v. Ceballos</w:t>
      </w:r>
      <w:r w:rsidRPr="00842D3D">
        <w:rPr>
          <w:rFonts w:eastAsia="Calibri" w:cs="Times New Roman"/>
          <w:szCs w:val="24"/>
        </w:rPr>
        <w:t xml:space="preserve">, 547 U.S. 410, 417 (2006); </w:t>
      </w:r>
      <w:r w:rsidRPr="00842D3D">
        <w:rPr>
          <w:rFonts w:eastAsia="Calibri" w:cs="Times New Roman"/>
          <w:i/>
          <w:iCs/>
          <w:szCs w:val="24"/>
        </w:rPr>
        <w:t>see also Borough of Duryea v. Guarnieri</w:t>
      </w:r>
      <w:r w:rsidRPr="00842D3D">
        <w:rPr>
          <w:rFonts w:eastAsia="Calibri" w:cs="Times New Roman"/>
          <w:szCs w:val="24"/>
        </w:rPr>
        <w:t xml:space="preserve">, 564 U.S. 379, 398 (2011) (applying </w:t>
      </w:r>
      <w:r w:rsidRPr="00842D3D">
        <w:rPr>
          <w:rFonts w:eastAsia="Calibri" w:cs="Times New Roman"/>
          <w:i/>
          <w:iCs/>
          <w:szCs w:val="24"/>
        </w:rPr>
        <w:t xml:space="preserve">Garcetti </w:t>
      </w:r>
      <w:r w:rsidRPr="00842D3D">
        <w:rPr>
          <w:rFonts w:eastAsia="Calibri" w:cs="Times New Roman"/>
          <w:szCs w:val="24"/>
        </w:rPr>
        <w:t xml:space="preserve">public concern test to public employee’s First Amendment Petition Clause claims). </w:t>
      </w:r>
    </w:p>
    <w:p w14:paraId="22B66705" w14:textId="77777777" w:rsidR="00842D3D" w:rsidRPr="00842D3D" w:rsidRDefault="00842D3D" w:rsidP="00842D3D">
      <w:pPr>
        <w:widowControl w:val="0"/>
        <w:ind w:firstLine="720"/>
        <w:rPr>
          <w:rFonts w:eastAsia="Calibri" w:cs="Times New Roman"/>
          <w:szCs w:val="24"/>
        </w:rPr>
      </w:pPr>
    </w:p>
    <w:p w14:paraId="4A9AF3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Hernandez v. City of Phoenix</w:t>
      </w:r>
      <w:r w:rsidRPr="00842D3D">
        <w:rPr>
          <w:rFonts w:eastAsia="Calibri" w:cs="Times New Roman"/>
          <w:szCs w:val="24"/>
        </w:rPr>
        <w:t>, 43 F.4th 966, 976 (9th Cir. 2022), the Ninth Circuit reiterated that the “five sequential steps to analyze First Amendment retaliation claims brought by government employees,” require considering</w:t>
      </w:r>
    </w:p>
    <w:p w14:paraId="3587AFCD" w14:textId="77777777" w:rsidR="00842D3D" w:rsidRPr="00842D3D" w:rsidRDefault="00842D3D" w:rsidP="00842D3D">
      <w:pPr>
        <w:widowControl w:val="0"/>
        <w:ind w:firstLine="720"/>
        <w:rPr>
          <w:rFonts w:eastAsia="Calibri" w:cs="Times New Roman"/>
          <w:szCs w:val="24"/>
        </w:rPr>
      </w:pPr>
    </w:p>
    <w:p w14:paraId="31702B62"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 </w:t>
      </w:r>
    </w:p>
    <w:p w14:paraId="373D1543" w14:textId="77777777" w:rsidR="00842D3D" w:rsidRPr="00842D3D" w:rsidRDefault="00842D3D" w:rsidP="00842D3D">
      <w:pPr>
        <w:widowControl w:val="0"/>
        <w:ind w:firstLine="720"/>
        <w:rPr>
          <w:rFonts w:eastAsia="Calibri" w:cs="Times New Roman"/>
          <w:szCs w:val="24"/>
        </w:rPr>
      </w:pPr>
    </w:p>
    <w:p w14:paraId="3D6569D5" w14:textId="77777777" w:rsidR="00842D3D" w:rsidRPr="00842D3D" w:rsidRDefault="00842D3D" w:rsidP="00842D3D">
      <w:pPr>
        <w:widowControl w:val="0"/>
        <w:rPr>
          <w:rFonts w:eastAsia="Calibri" w:cs="Times New Roman"/>
          <w:szCs w:val="24"/>
        </w:rPr>
      </w:pP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 xml:space="preserve">Eng v. Cooley, </w:t>
      </w:r>
      <w:r w:rsidRPr="00842D3D">
        <w:rPr>
          <w:rFonts w:eastAsia="Calibri" w:cs="Times New Roman"/>
          <w:szCs w:val="24"/>
        </w:rPr>
        <w:t xml:space="preserve">552 F.3d 1062, 1070 (9th Cir. 2009)); </w:t>
      </w:r>
      <w:r w:rsidRPr="00842D3D">
        <w:rPr>
          <w:rFonts w:eastAsia="Calibri" w:cs="Times New Roman"/>
          <w:i/>
          <w:iCs/>
          <w:szCs w:val="24"/>
        </w:rPr>
        <w:t>see Mt. Healthy City Sch. Dist. Bd. of Educ. v. Doyle</w:t>
      </w:r>
      <w:r w:rsidRPr="00842D3D">
        <w:rPr>
          <w:rFonts w:eastAsia="Calibri" w:cs="Times New Roman"/>
          <w:szCs w:val="24"/>
        </w:rPr>
        <w:t xml:space="preserve">, 429 U.S. 274, 276 (1977); </w:t>
      </w:r>
      <w:r w:rsidRPr="00842D3D">
        <w:rPr>
          <w:rFonts w:eastAsia="Calibri" w:cs="Times New Roman"/>
          <w:i/>
          <w:iCs/>
          <w:szCs w:val="24"/>
        </w:rPr>
        <w:t>Pickering v. Board of Education</w:t>
      </w:r>
      <w:r w:rsidRPr="00842D3D">
        <w:rPr>
          <w:rFonts w:eastAsia="Calibri" w:cs="Times New Roman"/>
          <w:szCs w:val="24"/>
        </w:rPr>
        <w:t xml:space="preserve">, 391 U.S. 563, 568 (1968); </w:t>
      </w:r>
      <w:r w:rsidRPr="00842D3D">
        <w:rPr>
          <w:rFonts w:eastAsia="Calibri" w:cs="Times New Roman"/>
          <w:i/>
          <w:iCs/>
          <w:szCs w:val="24"/>
        </w:rPr>
        <w:t>see also Dodge v. Evergreen Sch. Dist. #114</w:t>
      </w:r>
      <w:r w:rsidRPr="00842D3D">
        <w:rPr>
          <w:rFonts w:eastAsia="Calibri" w:cs="Times New Roman"/>
          <w:szCs w:val="24"/>
        </w:rPr>
        <w:t xml:space="preserve">, 56 F.4th 767, 776-77 (9th Cir. 2022) (setting forth legal standard for public employee First Amendment retaliation claims); </w:t>
      </w:r>
      <w:r w:rsidRPr="00842D3D">
        <w:rPr>
          <w:rFonts w:eastAsia="Calibri" w:cs="Times New Roman"/>
          <w:i/>
          <w:iCs/>
          <w:szCs w:val="24"/>
        </w:rPr>
        <w:t>Riley’s Am. Heritage Farms v. Elsasser</w:t>
      </w:r>
      <w:r w:rsidRPr="00842D3D">
        <w:rPr>
          <w:rFonts w:eastAsia="Calibri" w:cs="Times New Roman"/>
          <w:szCs w:val="24"/>
        </w:rPr>
        <w:t xml:space="preserve">, 32 F.4th 707, 721 (9th Cir. 2022) (same). </w:t>
      </w:r>
    </w:p>
    <w:p w14:paraId="7699D695" w14:textId="77777777" w:rsidR="00842D3D" w:rsidRPr="00842D3D" w:rsidRDefault="00842D3D" w:rsidP="00842D3D">
      <w:pPr>
        <w:widowControl w:val="0"/>
        <w:ind w:firstLine="720"/>
        <w:rPr>
          <w:rFonts w:eastAsia="Calibri" w:cs="Times New Roman"/>
          <w:szCs w:val="24"/>
        </w:rPr>
      </w:pPr>
    </w:p>
    <w:p w14:paraId="06CA19E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Under the framework above, the government employee bears the burden of proving the first three steps of the test. </w:t>
      </w:r>
      <w:r w:rsidRPr="00842D3D">
        <w:rPr>
          <w:rFonts w:eastAsia="Calibri" w:cs="Times New Roman"/>
          <w:i/>
          <w:iCs/>
          <w:szCs w:val="24"/>
        </w:rPr>
        <w:t>See Moser v. L.V. Metro. Police Dep’t</w:t>
      </w:r>
      <w:r w:rsidRPr="00842D3D">
        <w:rPr>
          <w:rFonts w:eastAsia="Calibri" w:cs="Times New Roman"/>
          <w:szCs w:val="24"/>
        </w:rPr>
        <w:t xml:space="preserve">, 984 F.3d 900, 904 (9th Cir. 2021). If the employee succeeds in making that threshold showing, the burden then shifts to the government to prove steps four and five. </w:t>
      </w:r>
      <w:r w:rsidRPr="00842D3D">
        <w:rPr>
          <w:rFonts w:eastAsia="Calibri" w:cs="Times New Roman"/>
          <w:i/>
          <w:iCs/>
          <w:szCs w:val="24"/>
        </w:rPr>
        <w:t>See id.</w:t>
      </w:r>
      <w:r w:rsidRPr="00842D3D">
        <w:rPr>
          <w:rFonts w:eastAsia="Calibri" w:cs="Times New Roman"/>
          <w:szCs w:val="24"/>
        </w:rPr>
        <w:t xml:space="preserve">; </w:t>
      </w:r>
      <w:r w:rsidRPr="00842D3D">
        <w:rPr>
          <w:rFonts w:eastAsia="Calibri" w:cs="Times New Roman"/>
          <w:i/>
          <w:iCs/>
          <w:szCs w:val="24"/>
        </w:rPr>
        <w:t>Ohlson v. Brady</w:t>
      </w:r>
      <w:r w:rsidRPr="00842D3D">
        <w:rPr>
          <w:rFonts w:eastAsia="Calibri" w:cs="Times New Roman"/>
          <w:szCs w:val="24"/>
        </w:rPr>
        <w:t xml:space="preserve">, 9 F.4th 1156, 1162 (9th Cir. 2021); </w:t>
      </w:r>
      <w:r w:rsidRPr="00842D3D">
        <w:rPr>
          <w:rFonts w:eastAsia="Calibri" w:cs="Times New Roman"/>
          <w:i/>
          <w:iCs/>
          <w:szCs w:val="24"/>
        </w:rPr>
        <w:t>see also Kennedy v. Bremerton Sch. Dist.</w:t>
      </w:r>
      <w:r w:rsidRPr="00842D3D">
        <w:rPr>
          <w:rFonts w:eastAsia="Calibri" w:cs="Times New Roman"/>
          <w:szCs w:val="24"/>
        </w:rPr>
        <w:t xml:space="preserve">, 597 U.S. 507, 531 (2022) (discussing the burden shifting framework of the </w:t>
      </w:r>
      <w:r w:rsidRPr="00842D3D">
        <w:rPr>
          <w:rFonts w:eastAsia="Calibri" w:cs="Times New Roman"/>
          <w:i/>
          <w:iCs/>
          <w:szCs w:val="24"/>
        </w:rPr>
        <w:t>Pickering</w:t>
      </w:r>
      <w:r w:rsidRPr="00842D3D">
        <w:rPr>
          <w:rFonts w:eastAsia="Calibri" w:cs="Times New Roman"/>
          <w:szCs w:val="24"/>
        </w:rPr>
        <w:t>-</w:t>
      </w:r>
      <w:r w:rsidRPr="00842D3D">
        <w:rPr>
          <w:rFonts w:eastAsia="Calibri" w:cs="Times New Roman"/>
          <w:i/>
          <w:iCs/>
          <w:szCs w:val="24"/>
        </w:rPr>
        <w:t xml:space="preserve">Garcetti </w:t>
      </w:r>
      <w:r w:rsidRPr="00842D3D">
        <w:rPr>
          <w:rFonts w:eastAsia="Calibri" w:cs="Times New Roman"/>
        </w:rPr>
        <w:t xml:space="preserve">analysis); </w:t>
      </w:r>
      <w:r w:rsidRPr="00842D3D">
        <w:rPr>
          <w:rFonts w:eastAsia="Calibri" w:cs="Times New Roman"/>
          <w:i/>
          <w:iCs/>
        </w:rPr>
        <w:t>Damiano v. Grants Pass Sch. Dist. No. 7</w:t>
      </w:r>
      <w:r w:rsidRPr="00842D3D">
        <w:rPr>
          <w:rFonts w:eastAsia="Calibri" w:cs="Times New Roman"/>
        </w:rPr>
        <w:t xml:space="preserve">, 140 F.4th 1117, 1147 (9th Cir. 2025) (reversing summary judgment for defendants on the application of </w:t>
      </w:r>
      <w:r w:rsidRPr="00842D3D">
        <w:rPr>
          <w:rFonts w:eastAsia="Calibri" w:cs="Times New Roman"/>
          <w:i/>
          <w:iCs/>
        </w:rPr>
        <w:t xml:space="preserve">Pickering </w:t>
      </w:r>
      <w:r w:rsidRPr="00842D3D">
        <w:rPr>
          <w:rFonts w:eastAsia="Calibri" w:cs="Times New Roman"/>
        </w:rPr>
        <w:t xml:space="preserve">when, viewing the facts in the light most favorable to the plaintiffs, the defendants had not “shown the actual or reasonably predicted disruption [was] so substantial they prevail under </w:t>
      </w:r>
      <w:r w:rsidRPr="00842D3D">
        <w:rPr>
          <w:rFonts w:eastAsia="Calibri" w:cs="Times New Roman"/>
          <w:i/>
          <w:iCs/>
        </w:rPr>
        <w:t xml:space="preserve">Pickering </w:t>
      </w:r>
      <w:r w:rsidRPr="00842D3D">
        <w:rPr>
          <w:rFonts w:eastAsia="Calibri" w:cs="Times New Roman"/>
        </w:rPr>
        <w:t>as a matter of law”).</w:t>
      </w:r>
    </w:p>
    <w:p w14:paraId="12506B7E" w14:textId="77777777" w:rsidR="00842D3D" w:rsidRPr="00842D3D" w:rsidRDefault="00842D3D" w:rsidP="00842D3D">
      <w:pPr>
        <w:widowControl w:val="0"/>
        <w:ind w:firstLine="720"/>
        <w:rPr>
          <w:rFonts w:eastAsia="Calibri" w:cs="Times New Roman"/>
          <w:szCs w:val="24"/>
        </w:rPr>
      </w:pPr>
    </w:p>
    <w:p w14:paraId="3238799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“public concern inquiry is purely a question of law,” </w:t>
      </w:r>
      <w:r w:rsidRPr="00842D3D">
        <w:rPr>
          <w:rFonts w:eastAsia="Calibri" w:cs="Times New Roman"/>
          <w:i/>
          <w:iCs/>
          <w:szCs w:val="24"/>
        </w:rPr>
        <w:t>Eng</w:t>
      </w:r>
      <w:r w:rsidRPr="00842D3D">
        <w:rPr>
          <w:rFonts w:eastAsia="Calibri" w:cs="Times New Roman"/>
          <w:szCs w:val="24"/>
        </w:rPr>
        <w:t xml:space="preserve">, 552 F.3d at 1070, that depends on the “content, form, and context of a given statement, as revealed by the whole record.” </w:t>
      </w:r>
      <w:r w:rsidRPr="00842D3D">
        <w:rPr>
          <w:rFonts w:eastAsia="Calibri" w:cs="Times New Roman"/>
          <w:i/>
          <w:iCs/>
          <w:szCs w:val="24"/>
        </w:rPr>
        <w:t>Moser</w:t>
      </w:r>
      <w:r w:rsidRPr="00842D3D">
        <w:rPr>
          <w:rFonts w:eastAsia="Calibri" w:cs="Times New Roman"/>
          <w:szCs w:val="24"/>
        </w:rPr>
        <w:t xml:space="preserve">, 984 F.3d at 905 (quoting </w:t>
      </w:r>
      <w:r w:rsidRPr="00842D3D">
        <w:rPr>
          <w:rFonts w:eastAsia="Calibri" w:cs="Times New Roman"/>
          <w:i/>
          <w:iCs/>
          <w:szCs w:val="24"/>
        </w:rPr>
        <w:t>Connick v. Myers</w:t>
      </w:r>
      <w:r w:rsidRPr="00842D3D">
        <w:rPr>
          <w:rFonts w:eastAsia="Calibri" w:cs="Times New Roman"/>
          <w:szCs w:val="24"/>
        </w:rPr>
        <w:t xml:space="preserve">, 461 U.S. 138, 147-48 (1983)); </w:t>
      </w:r>
      <w:r w:rsidRPr="00842D3D">
        <w:rPr>
          <w:rFonts w:eastAsia="Calibri" w:cs="Times New Roman"/>
          <w:i/>
          <w:iCs/>
          <w:szCs w:val="24"/>
        </w:rPr>
        <w:t xml:space="preserve">see also Adams v. </w:t>
      </w:r>
      <w:r w:rsidRPr="00842D3D">
        <w:rPr>
          <w:rFonts w:eastAsia="Calibri" w:cs="Times New Roman"/>
          <w:i/>
          <w:iCs/>
        </w:rPr>
        <w:t>County of Sacramento</w:t>
      </w:r>
      <w:r w:rsidRPr="00842D3D">
        <w:rPr>
          <w:rFonts w:eastAsia="Calibri" w:cs="Times New Roman"/>
        </w:rPr>
        <w:t>, 143 F.4th 1027, 1034-37</w:t>
      </w:r>
      <w:r w:rsidRPr="00842D3D" w:rsidDel="009E7C68">
        <w:rPr>
          <w:rFonts w:eastAsia="Calibri" w:cs="Times New Roman"/>
        </w:rPr>
        <w:t xml:space="preserve"> </w:t>
      </w:r>
      <w:r w:rsidRPr="00842D3D">
        <w:rPr>
          <w:rFonts w:eastAsia="Calibri" w:cs="Times New Roman"/>
        </w:rPr>
        <w:t xml:space="preserve">(9th Cir. 2025) (amended opinion) (holding that private text exchange related to offensive images did not involve a matter </w:t>
      </w:r>
      <w:r w:rsidRPr="00842D3D">
        <w:rPr>
          <w:rFonts w:eastAsia="Calibri" w:cs="Times New Roman"/>
        </w:rPr>
        <w:lastRenderedPageBreak/>
        <w:t>of public concern).</w:t>
      </w:r>
    </w:p>
    <w:p w14:paraId="3B9CA3BE" w14:textId="77777777" w:rsidR="00842D3D" w:rsidRPr="00842D3D" w:rsidRDefault="00842D3D" w:rsidP="00842D3D">
      <w:pPr>
        <w:widowControl w:val="0"/>
        <w:ind w:firstLine="720"/>
        <w:rPr>
          <w:rFonts w:eastAsia="Calibri" w:cs="Times New Roman"/>
          <w:szCs w:val="24"/>
        </w:rPr>
      </w:pPr>
    </w:p>
    <w:p w14:paraId="0342715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Garcetti</w:t>
      </w:r>
      <w:r w:rsidRPr="00842D3D">
        <w:rPr>
          <w:rFonts w:eastAsia="Calibri" w:cs="Times New Roman"/>
          <w:szCs w:val="24"/>
        </w:rPr>
        <w:t xml:space="preserve">, the Supreme Court held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842D3D">
        <w:rPr>
          <w:rFonts w:eastAsia="Calibri" w:cs="Times New Roman"/>
          <w:i/>
          <w:iCs/>
          <w:szCs w:val="24"/>
        </w:rPr>
        <w:t>Id</w:t>
      </w:r>
      <w:r w:rsidRPr="00842D3D">
        <w:rPr>
          <w:rFonts w:eastAsia="Calibri" w:cs="Times New Roman"/>
          <w:szCs w:val="24"/>
        </w:rPr>
        <w:t xml:space="preserve">. at 424-25. Second, the Court recognized that </w:t>
      </w:r>
    </w:p>
    <w:p w14:paraId="2703BF40" w14:textId="77777777" w:rsidR="00842D3D" w:rsidRPr="00842D3D" w:rsidRDefault="00842D3D" w:rsidP="00842D3D">
      <w:pPr>
        <w:widowControl w:val="0"/>
        <w:ind w:firstLine="720"/>
        <w:rPr>
          <w:rFonts w:eastAsia="Calibri" w:cs="Times New Roman"/>
          <w:szCs w:val="24"/>
        </w:rPr>
      </w:pPr>
    </w:p>
    <w:p w14:paraId="55CCB226"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not[] decide whether the analysis we conduct today would apply in the same manner to a case involving speech related to scholarship or teaching. </w:t>
      </w:r>
    </w:p>
    <w:p w14:paraId="28DB399E" w14:textId="77777777" w:rsidR="00842D3D" w:rsidRPr="00842D3D" w:rsidRDefault="00842D3D" w:rsidP="00842D3D">
      <w:pPr>
        <w:widowControl w:val="0"/>
        <w:ind w:left="720" w:right="720" w:firstLine="720"/>
        <w:jc w:val="both"/>
        <w:rPr>
          <w:rFonts w:eastAsia="Calibri" w:cs="Times New Roman"/>
          <w:szCs w:val="24"/>
        </w:rPr>
      </w:pPr>
    </w:p>
    <w:p w14:paraId="7D3E25C1" w14:textId="77777777" w:rsidR="00842D3D" w:rsidRPr="00842D3D" w:rsidRDefault="00842D3D" w:rsidP="00842D3D">
      <w:pPr>
        <w:widowControl w:val="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at 425. </w:t>
      </w:r>
    </w:p>
    <w:p w14:paraId="543B68A1" w14:textId="77777777" w:rsidR="00842D3D" w:rsidRPr="00842D3D" w:rsidRDefault="00842D3D" w:rsidP="00842D3D">
      <w:pPr>
        <w:widowControl w:val="0"/>
        <w:ind w:firstLine="720"/>
        <w:rPr>
          <w:rFonts w:eastAsia="Calibri" w:cs="Times New Roman"/>
          <w:szCs w:val="24"/>
        </w:rPr>
      </w:pPr>
    </w:p>
    <w:p w14:paraId="437876F7" w14:textId="77777777" w:rsidR="00CE480C" w:rsidRPr="00792133" w:rsidRDefault="00CE480C" w:rsidP="00CE480C">
      <w:pPr>
        <w:widowControl w:val="0"/>
        <w:ind w:firstLine="720"/>
        <w:rPr>
          <w:rFonts w:eastAsia="Calibri" w:cs="Times New Roman"/>
        </w:rPr>
      </w:pPr>
      <w:r w:rsidRPr="00792133">
        <w:rPr>
          <w:rFonts w:eastAsia="Calibri" w:cs="Times New Roman"/>
        </w:rPr>
        <w:t xml:space="preserve">In </w:t>
      </w:r>
      <w:r w:rsidRPr="00792133">
        <w:rPr>
          <w:rFonts w:eastAsia="Calibri" w:cs="Times New Roman"/>
          <w:i/>
          <w:iCs/>
        </w:rPr>
        <w:t>Demers v. Austin</w:t>
      </w:r>
      <w:r w:rsidRPr="00792133">
        <w:rPr>
          <w:rFonts w:eastAsia="Calibri" w:cs="Times New Roman"/>
        </w:rPr>
        <w:t>, 746 F.3d 402, 406 (9th Cir. 2014), however, the Ninth Circuit answered the latter question and held that “</w:t>
      </w:r>
      <w:r w:rsidRPr="00792133">
        <w:rPr>
          <w:rFonts w:eastAsia="Calibri" w:cs="Times New Roman"/>
          <w:i/>
          <w:iCs/>
        </w:rPr>
        <w:t xml:space="preserve">Garcetti </w:t>
      </w:r>
      <w:r w:rsidRPr="00792133">
        <w:rPr>
          <w:rFonts w:eastAsia="Calibri" w:cs="Times New Roman"/>
        </w:rPr>
        <w:t xml:space="preserve">does not apply to ‘speech related to scholarship or teaching.’” Rather, the Ninth Circuit held that such speech is governed by </w:t>
      </w:r>
      <w:bookmarkStart w:id="150" w:name="_Hlk199187439"/>
      <w:r w:rsidRPr="00792133">
        <w:rPr>
          <w:rFonts w:eastAsia="Calibri" w:cs="Times New Roman"/>
          <w:i/>
          <w:iCs/>
        </w:rPr>
        <w:t>Pickering v. Board of Education</w:t>
      </w:r>
      <w:r w:rsidRPr="00792133">
        <w:rPr>
          <w:rFonts w:eastAsia="Calibri" w:cs="Times New Roman"/>
        </w:rPr>
        <w:t xml:space="preserve">, 391 U.S. 563 (1968) </w:t>
      </w:r>
      <w:bookmarkEnd w:id="150"/>
      <w:r w:rsidRPr="00792133">
        <w:rPr>
          <w:rFonts w:eastAsia="Calibri" w:cs="Times New Roman"/>
        </w:rPr>
        <w:t xml:space="preserve">(considering speech by public school teacher critical of school board). </w:t>
      </w:r>
      <w:r w:rsidRPr="00792133">
        <w:rPr>
          <w:rFonts w:eastAsia="Calibri" w:cs="Times New Roman"/>
          <w:i/>
          <w:iCs/>
        </w:rPr>
        <w:t>Id</w:t>
      </w:r>
      <w:r w:rsidRPr="00792133">
        <w:rPr>
          <w:rFonts w:eastAsia="Calibri" w:cs="Times New Roman"/>
        </w:rPr>
        <w:t xml:space="preserve">. In </w:t>
      </w:r>
      <w:r w:rsidRPr="00792133">
        <w:rPr>
          <w:rFonts w:eastAsia="Calibri" w:cs="Times New Roman"/>
          <w:i/>
          <w:iCs/>
        </w:rPr>
        <w:t>Demers</w:t>
      </w:r>
      <w:r w:rsidRPr="00792133">
        <w:rPr>
          <w:rFonts w:eastAsia="Calibri" w:cs="Times New Roman"/>
        </w:rPr>
        <w:t>,</w:t>
      </w:r>
      <w:r w:rsidRPr="00792133">
        <w:rPr>
          <w:rFonts w:eastAsia="Calibri" w:cs="Times New Roman"/>
          <w:i/>
          <w:iCs/>
        </w:rPr>
        <w:t xml:space="preserve"> </w:t>
      </w:r>
      <w:r w:rsidRPr="00792133">
        <w:rPr>
          <w:rFonts w:eastAsia="Calibri" w:cs="Times New Roman"/>
        </w:rPr>
        <w:t>the</w:t>
      </w:r>
      <w:r w:rsidRPr="00792133">
        <w:rPr>
          <w:rFonts w:eastAsia="Calibri" w:cs="Times New Roman"/>
          <w:i/>
          <w:iCs/>
        </w:rPr>
        <w:t xml:space="preserve"> </w:t>
      </w:r>
      <w:r w:rsidRPr="00792133">
        <w:rPr>
          <w:rFonts w:eastAsia="Calibri" w:cs="Times New Roman"/>
        </w:rPr>
        <w:t xml:space="preserve">court went on to conclude that a state university professor’s plan for changes in his department addressed a matter of public concern under </w:t>
      </w:r>
      <w:r w:rsidRPr="00792133">
        <w:rPr>
          <w:rFonts w:eastAsia="Calibri" w:cs="Times New Roman"/>
          <w:i/>
          <w:iCs/>
        </w:rPr>
        <w:t>Pickering</w:t>
      </w:r>
      <w:r w:rsidRPr="00792133">
        <w:rPr>
          <w:rFonts w:eastAsia="Calibri" w:cs="Times New Roman"/>
        </w:rPr>
        <w:t xml:space="preserve">. </w:t>
      </w:r>
      <w:r w:rsidRPr="00792133">
        <w:rPr>
          <w:rFonts w:eastAsia="Calibri" w:cs="Times New Roman"/>
          <w:i/>
          <w:iCs/>
        </w:rPr>
        <w:t>Id</w:t>
      </w:r>
      <w:r w:rsidRPr="00792133">
        <w:rPr>
          <w:rFonts w:eastAsia="Calibri" w:cs="Times New Roman"/>
        </w:rPr>
        <w:t xml:space="preserve">. at 414-17; </w:t>
      </w:r>
      <w:r w:rsidRPr="00792133">
        <w:rPr>
          <w:rFonts w:eastAsia="Calibri" w:cs="Times New Roman"/>
          <w:i/>
        </w:rPr>
        <w:t>see also Jensen v. Brown</w:t>
      </w:r>
      <w:r w:rsidRPr="00792133">
        <w:rPr>
          <w:rFonts w:eastAsia="Calibri" w:cs="Times New Roman"/>
        </w:rPr>
        <w:t xml:space="preserve">, 131 F.4th 677, 688-89, 694 (9th Cir. 2025) (relying on </w:t>
      </w:r>
      <w:r w:rsidRPr="00792133">
        <w:rPr>
          <w:rFonts w:eastAsia="Calibri" w:cs="Times New Roman"/>
          <w:i/>
          <w:iCs/>
        </w:rPr>
        <w:t>Demers</w:t>
      </w:r>
      <w:r w:rsidRPr="00792133">
        <w:rPr>
          <w:rFonts w:eastAsia="Calibri" w:cs="Times New Roman"/>
        </w:rPr>
        <w:t xml:space="preserve"> to apply the </w:t>
      </w:r>
      <w:r w:rsidRPr="00792133">
        <w:rPr>
          <w:rFonts w:eastAsia="Calibri" w:cs="Times New Roman"/>
          <w:i/>
        </w:rPr>
        <w:t>Pickering</w:t>
      </w:r>
      <w:r w:rsidRPr="00792133">
        <w:rPr>
          <w:rFonts w:eastAsia="Calibri" w:cs="Times New Roman"/>
        </w:rPr>
        <w:t xml:space="preserve"> test to a community college professor’s First Amendment retaliation claim against his employer based on his criticism of curriculum changes)</w:t>
      </w:r>
      <w:r>
        <w:rPr>
          <w:rFonts w:eastAsia="Calibri" w:cs="Times New Roman"/>
        </w:rPr>
        <w:t>;</w:t>
      </w:r>
      <w:r w:rsidRPr="005F0D79">
        <w:rPr>
          <w:rFonts w:eastAsia="Calibri" w:cs="Times New Roman"/>
          <w:i/>
          <w:iCs/>
        </w:rPr>
        <w:t xml:space="preserve"> Reges v. Cauce</w:t>
      </w:r>
      <w:r w:rsidRPr="005F0D79">
        <w:rPr>
          <w:rFonts w:eastAsia="Calibri" w:cs="Times New Roman"/>
        </w:rPr>
        <w:t>, 162 F.4th 979 (9th Cir. 2025) (</w:t>
      </w:r>
      <w:r>
        <w:rPr>
          <w:rFonts w:eastAsia="Calibri" w:cs="Times New Roman"/>
        </w:rPr>
        <w:t xml:space="preserve">analyzing, </w:t>
      </w:r>
      <w:r w:rsidRPr="005F0D79">
        <w:rPr>
          <w:rFonts w:eastAsia="Calibri" w:cs="Times New Roman"/>
        </w:rPr>
        <w:t xml:space="preserve">under </w:t>
      </w:r>
      <w:r w:rsidRPr="005F0D79">
        <w:rPr>
          <w:rFonts w:eastAsia="Calibri" w:cs="Times New Roman"/>
          <w:i/>
          <w:iCs/>
        </w:rPr>
        <w:t xml:space="preserve">Pickering, </w:t>
      </w:r>
      <w:r w:rsidRPr="005F0D79">
        <w:rPr>
          <w:rFonts w:eastAsia="Calibri" w:cs="Times New Roman"/>
        </w:rPr>
        <w:t xml:space="preserve">professor’s statement about and refusal to adopt “land acknowledgment” of university recognizing ownership of university’s lands by Native American tribe). In the university setting, which is a “special niche” deserving of heightened protection for professors’ speech under the First Amendment, the university’s goal of creating an inclusive environment, maintaining harmony among staff, and quelling students’ unrest did not justify restricting professor’s speech on a matter of public interest. </w:t>
      </w:r>
      <w:r w:rsidRPr="005F0D79">
        <w:rPr>
          <w:rFonts w:eastAsia="Calibri" w:cs="Times New Roman"/>
          <w:i/>
          <w:iCs/>
        </w:rPr>
        <w:t>Reges</w:t>
      </w:r>
      <w:r w:rsidRPr="005F0D79">
        <w:rPr>
          <w:rFonts w:eastAsia="Calibri" w:cs="Times New Roman"/>
        </w:rPr>
        <w:t xml:space="preserve">, 162 F.4th at 997-1002. But in </w:t>
      </w:r>
      <w:r w:rsidRPr="005F0D79">
        <w:rPr>
          <w:rFonts w:eastAsia="Aptos" w:cs="Times New Roman"/>
          <w:i/>
          <w:iCs/>
        </w:rPr>
        <w:t>Thompson v. Central Valley School Dist</w:t>
      </w:r>
      <w:r>
        <w:rPr>
          <w:rFonts w:eastAsia="Aptos" w:cs="Times New Roman"/>
          <w:i/>
          <w:iCs/>
        </w:rPr>
        <w:t>rict</w:t>
      </w:r>
      <w:r w:rsidRPr="005F0D79">
        <w:rPr>
          <w:rFonts w:eastAsia="Aptos" w:cs="Times New Roman"/>
          <w:i/>
          <w:iCs/>
        </w:rPr>
        <w:t xml:space="preserve"> No. 365</w:t>
      </w:r>
      <w:r w:rsidRPr="005F0D79">
        <w:rPr>
          <w:rFonts w:eastAsia="Aptos" w:cs="Times New Roman"/>
        </w:rPr>
        <w:t xml:space="preserve">, 163 F.4th 654, 666 (9th Cir. 2026), the Ninth Circuit held under the </w:t>
      </w:r>
      <w:r w:rsidRPr="005F0D79">
        <w:rPr>
          <w:rFonts w:eastAsia="Aptos" w:cs="Times New Roman"/>
          <w:i/>
          <w:iCs/>
        </w:rPr>
        <w:t>Pickering</w:t>
      </w:r>
      <w:r w:rsidRPr="005F0D79">
        <w:rPr>
          <w:rFonts w:eastAsia="Aptos" w:cs="Times New Roman"/>
        </w:rPr>
        <w:t xml:space="preserve"> test that the employer, a school district, “sufficiently showed a reasonable prediction of disruption” by th</w:t>
      </w:r>
      <w:r>
        <w:rPr>
          <w:rFonts w:eastAsia="Aptos" w:cs="Times New Roman"/>
        </w:rPr>
        <w:t>e</w:t>
      </w:r>
      <w:r w:rsidRPr="005F0D79">
        <w:rPr>
          <w:rFonts w:eastAsia="Aptos" w:cs="Times New Roman"/>
        </w:rPr>
        <w:t xml:space="preserve"> </w:t>
      </w:r>
      <w:r>
        <w:rPr>
          <w:rFonts w:eastAsia="Aptos" w:cs="Times New Roman"/>
        </w:rPr>
        <w:t xml:space="preserve">middle school </w:t>
      </w:r>
      <w:r w:rsidRPr="005F0D79">
        <w:rPr>
          <w:rFonts w:eastAsia="Aptos" w:cs="Times New Roman"/>
        </w:rPr>
        <w:t xml:space="preserve">administrator in a public-facing role. The court gave little weight to </w:t>
      </w:r>
      <w:r>
        <w:rPr>
          <w:rFonts w:eastAsia="Aptos" w:cs="Times New Roman"/>
        </w:rPr>
        <w:t>the administrator</w:t>
      </w:r>
      <w:r w:rsidRPr="005F0D79">
        <w:rPr>
          <w:rFonts w:eastAsia="Aptos" w:cs="Times New Roman"/>
        </w:rPr>
        <w:t xml:space="preserve">’s speech and, thus, determined that the District’s interest in “creating a safe and inclusive school environment outweigh[ed] the public interest commentary of </w:t>
      </w:r>
      <w:r>
        <w:rPr>
          <w:rFonts w:eastAsia="Aptos" w:cs="Times New Roman"/>
        </w:rPr>
        <w:t>[the administrator’s]</w:t>
      </w:r>
      <w:r w:rsidRPr="005F0D79">
        <w:rPr>
          <w:rFonts w:eastAsia="Aptos" w:cs="Times New Roman"/>
        </w:rPr>
        <w:t xml:space="preserve"> speech.” </w:t>
      </w:r>
      <w:r w:rsidRPr="005F0D79">
        <w:rPr>
          <w:rFonts w:eastAsia="Aptos" w:cs="Times New Roman"/>
          <w:i/>
          <w:iCs/>
        </w:rPr>
        <w:t>Id</w:t>
      </w:r>
      <w:r w:rsidRPr="00792133">
        <w:rPr>
          <w:rFonts w:eastAsia="Calibri" w:cs="Times New Roman"/>
        </w:rPr>
        <w:t xml:space="preserve">. By contrast, in </w:t>
      </w:r>
      <w:r w:rsidRPr="00792133">
        <w:rPr>
          <w:rFonts w:eastAsia="Calibri" w:cs="Times New Roman"/>
          <w:i/>
          <w:iCs/>
        </w:rPr>
        <w:t>Kennedy v. Bremerton School District</w:t>
      </w:r>
      <w:r w:rsidRPr="00792133">
        <w:rPr>
          <w:rFonts w:eastAsia="Calibri" w:cs="Times New Roman"/>
        </w:rPr>
        <w:t xml:space="preserve">, the Supreme Court held that a football coach spoke not as a public employee, but as a private citizen, when he decided “to persist in praying quietly without his players after three games in October 2015,” 597 </w:t>
      </w:r>
      <w:r w:rsidRPr="00792133">
        <w:rPr>
          <w:rFonts w:eastAsia="Calibri" w:cs="Times New Roman"/>
        </w:rPr>
        <w:lastRenderedPageBreak/>
        <w:t xml:space="preserve">U.S. 507, 525-26 (2022), which were “the three prayers that resulted in his suspension,” </w:t>
      </w:r>
      <w:r w:rsidRPr="00792133">
        <w:rPr>
          <w:rFonts w:eastAsia="Calibri" w:cs="Times New Roman"/>
          <w:i/>
          <w:iCs/>
        </w:rPr>
        <w:t xml:space="preserve">id. </w:t>
      </w:r>
      <w:r w:rsidRPr="00792133">
        <w:rPr>
          <w:rFonts w:eastAsia="Calibri" w:cs="Times New Roman"/>
        </w:rPr>
        <w:t xml:space="preserve">at 529. </w:t>
      </w:r>
    </w:p>
    <w:p w14:paraId="0C52D3B5" w14:textId="77777777" w:rsidR="00842D3D" w:rsidRPr="00842D3D" w:rsidRDefault="00842D3D" w:rsidP="00842D3D">
      <w:pPr>
        <w:widowControl w:val="0"/>
        <w:ind w:firstLine="720"/>
        <w:rPr>
          <w:rFonts w:eastAsia="Calibri" w:cs="Times New Roman"/>
          <w:szCs w:val="24"/>
        </w:rPr>
      </w:pPr>
    </w:p>
    <w:p w14:paraId="60907894" w14:textId="6754F9EC"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definition of “adverse employment action” in this instruction is substantially the same as that in Instruction 10.1</w:t>
      </w:r>
      <w:r w:rsidR="000F1EF1">
        <w:rPr>
          <w:rFonts w:eastAsia="Calibri" w:cs="Times New Roman"/>
          <w:szCs w:val="24"/>
        </w:rPr>
        <w:t>2</w:t>
      </w:r>
      <w:r w:rsidRPr="00842D3D">
        <w:rPr>
          <w:rFonts w:eastAsia="Calibri" w:cs="Times New Roman"/>
          <w:szCs w:val="24"/>
        </w:rPr>
        <w:t xml:space="preserve"> (Civil Rights—Title VII—“Adverse Employment Action” in Retaliation Cases). See the Comment to that instruction for supporting authorities. </w:t>
      </w:r>
    </w:p>
    <w:p w14:paraId="216EBDF4" w14:textId="77777777" w:rsidR="00842D3D" w:rsidRPr="00842D3D" w:rsidRDefault="00842D3D" w:rsidP="00842D3D">
      <w:pPr>
        <w:widowControl w:val="0"/>
        <w:ind w:firstLine="720"/>
        <w:rPr>
          <w:rFonts w:eastAsia="Calibri" w:cs="Times New Roman"/>
          <w:szCs w:val="24"/>
        </w:rPr>
      </w:pPr>
    </w:p>
    <w:p w14:paraId="3079FA9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With respect to </w:t>
      </w:r>
      <w:r w:rsidRPr="00842D3D">
        <w:rPr>
          <w:rFonts w:eastAsia="Calibri" w:cs="Times New Roman"/>
        </w:rPr>
        <w:t xml:space="preserve">causation, “[i]t is clear . . . that the causation is understood to be but-for causation, without which the adverse action would not have been taken.” </w:t>
      </w:r>
      <w:r w:rsidRPr="00842D3D">
        <w:rPr>
          <w:rFonts w:eastAsia="Calibri" w:cs="Times New Roman"/>
          <w:i/>
          <w:iCs/>
        </w:rPr>
        <w:t>Hartman v. Moore</w:t>
      </w:r>
      <w:r w:rsidRPr="00842D3D">
        <w:rPr>
          <w:rFonts w:eastAsia="Calibri" w:cs="Times New Roman"/>
        </w:rPr>
        <w:t xml:space="preserve">, 547 U.S. 250, 260 (2006). Proximity in time can support a causal connection between speech and an adverse employment action.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 v. City of Chubbuck</w:t>
      </w:r>
      <w:r w:rsidRPr="00842D3D">
        <w:rPr>
          <w:rFonts w:eastAsia="Calibri" w:cs="Times New Roman"/>
        </w:rPr>
        <w:t xml:space="preserve">, 146 F.4th 822, 838 (9th Cir. 2025). Thus, “upon a prima facie showing of retaliatory harm, the burden shifts to the defendant official to demonstrate that even without the impetus to retaliate he would have taken the action complained of (such as firing the employee).”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w:t>
      </w:r>
      <w:r w:rsidRPr="00842D3D">
        <w:rPr>
          <w:rFonts w:eastAsia="Calibri" w:cs="Times New Roman"/>
        </w:rPr>
        <w:t>, 146 F.4th at 839-40 (holding that there was no genuine dispute of fact that defendants had an adequate justification for the adverse employment actions or would have reached the same adverse employment actions even in the absence of the protected action speech, which in this case was plaintiff’s placement of a yard sign supporting his superior’s election opponent).</w:t>
      </w:r>
    </w:p>
    <w:p w14:paraId="528FD24A" w14:textId="77777777" w:rsidR="00842D3D" w:rsidRPr="00842D3D" w:rsidRDefault="00842D3D" w:rsidP="00842D3D">
      <w:pPr>
        <w:widowControl w:val="0"/>
        <w:ind w:firstLine="720"/>
        <w:rPr>
          <w:rFonts w:eastAsia="Calibri" w:cs="Times New Roman"/>
          <w:szCs w:val="24"/>
        </w:rPr>
      </w:pPr>
    </w:p>
    <w:p w14:paraId="728353B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842D3D">
        <w:rPr>
          <w:rFonts w:eastAsia="Calibri" w:cs="Times New Roman"/>
          <w:i/>
          <w:iCs/>
          <w:szCs w:val="24"/>
        </w:rPr>
        <w:t>Lakeside-Scott v. Multnomah County</w:t>
      </w:r>
      <w:r w:rsidRPr="00842D3D">
        <w:rPr>
          <w:rFonts w:eastAsia="Calibri" w:cs="Times New Roman"/>
          <w:szCs w:val="24"/>
        </w:rPr>
        <w:t xml:space="preserve">, 556 F.3d 797, 799 (9th Cir. 2009); </w:t>
      </w:r>
      <w:r w:rsidRPr="00842D3D">
        <w:rPr>
          <w:rFonts w:eastAsia="Calibri" w:cs="Times New Roman"/>
          <w:i/>
          <w:iCs/>
          <w:szCs w:val="24"/>
        </w:rPr>
        <w:t>see also Greisen v. Hanken</w:t>
      </w:r>
      <w:r w:rsidRPr="00842D3D">
        <w:rPr>
          <w:rFonts w:eastAsia="Calibri" w:cs="Times New Roman"/>
          <w:szCs w:val="24"/>
        </w:rPr>
        <w:t xml:space="preserve">, 925 F.3d 1097, 1115-17 (9th Cir. 2019) (holding substantial evidence supported proximate causation conclusion even though plaintiff was terminated by defendant’s successor because “[defendant]’s actions were a causal factor in [the successor]’s decision”). </w:t>
      </w:r>
    </w:p>
    <w:p w14:paraId="3330B1AF" w14:textId="77777777" w:rsidR="00842D3D" w:rsidRPr="00842D3D" w:rsidRDefault="00842D3D" w:rsidP="00842D3D">
      <w:pPr>
        <w:widowControl w:val="0"/>
        <w:ind w:firstLine="720"/>
        <w:rPr>
          <w:rFonts w:eastAsia="Calibri" w:cs="Times New Roman"/>
          <w:szCs w:val="24"/>
        </w:rPr>
      </w:pPr>
    </w:p>
    <w:p w14:paraId="6E1D649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motive, the defendant’s actions must have been substantially motivated by a desire to deter or chill the employee’s speech. </w:t>
      </w:r>
      <w:r w:rsidRPr="00842D3D">
        <w:rPr>
          <w:rFonts w:eastAsia="Calibri" w:cs="Times New Roman"/>
          <w:i/>
          <w:iCs/>
          <w:szCs w:val="24"/>
        </w:rPr>
        <w:t>Awabdy v. City of Adelanto</w:t>
      </w:r>
      <w:r w:rsidRPr="00842D3D">
        <w:rPr>
          <w:rFonts w:eastAsia="Calibri" w:cs="Times New Roman"/>
          <w:szCs w:val="24"/>
        </w:rPr>
        <w:t xml:space="preserve">, 368 F.3d 1062, 1071 (9th Cir. 2004); </w:t>
      </w:r>
      <w:r w:rsidRPr="00842D3D">
        <w:rPr>
          <w:rFonts w:eastAsia="Calibri" w:cs="Times New Roman"/>
          <w:i/>
          <w:iCs/>
          <w:szCs w:val="24"/>
        </w:rPr>
        <w:t>see Dodge</w:t>
      </w:r>
      <w:r w:rsidRPr="00842D3D">
        <w:rPr>
          <w:rFonts w:eastAsia="Calibri" w:cs="Times New Roman"/>
          <w:szCs w:val="24"/>
        </w:rPr>
        <w:t xml:space="preserve">, 56 F.4th at 781. Defining “substantial or motivating factor” as a “significant factor” does not misstate the law. </w:t>
      </w:r>
      <w:r w:rsidRPr="00842D3D">
        <w:rPr>
          <w:rFonts w:eastAsia="Calibri" w:cs="Times New Roman"/>
          <w:i/>
          <w:iCs/>
          <w:szCs w:val="24"/>
        </w:rPr>
        <w:t>Ostad v. Or. Health Scis.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xml:space="preserve">, 940 F.3d 1046, 1056 (9th Cir. 2019) (explaining that retaliatory intent may still be one substantial or motivating factor for retaliatory conduct even if other, non-retaliatory reasons exist). </w:t>
      </w:r>
    </w:p>
    <w:p w14:paraId="78A98CEF" w14:textId="77777777" w:rsidR="00842D3D" w:rsidRPr="00842D3D" w:rsidRDefault="00842D3D" w:rsidP="00842D3D">
      <w:pPr>
        <w:widowControl w:val="0"/>
        <w:ind w:firstLine="720"/>
        <w:rPr>
          <w:rFonts w:eastAsia="Calibri" w:cs="Times New Roman"/>
          <w:szCs w:val="24"/>
        </w:rPr>
      </w:pPr>
    </w:p>
    <w:p w14:paraId="1B90AC2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should be modified when an employee was allegedly subjected to an adverse employment action based on an employer’s erroneous belief that the employee engaged in protected speech. In such cases, it is the employer’s motive for taking the adverse action that triggers the employee’s right to bring an action. </w:t>
      </w:r>
      <w:r w:rsidRPr="00842D3D">
        <w:rPr>
          <w:rFonts w:eastAsia="Calibri" w:cs="Times New Roman"/>
          <w:i/>
          <w:iCs/>
          <w:szCs w:val="24"/>
        </w:rPr>
        <w:t>See Heffernan v. City of Paterson</w:t>
      </w:r>
      <w:r w:rsidRPr="00842D3D">
        <w:rPr>
          <w:rFonts w:eastAsia="Calibri" w:cs="Times New Roman"/>
          <w:szCs w:val="24"/>
        </w:rPr>
        <w:t xml:space="preserve">, 578 U.S. 266, 273 (2016) (“When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 </w:t>
      </w:r>
    </w:p>
    <w:p w14:paraId="182838D8" w14:textId="77777777" w:rsidR="00842D3D" w:rsidRPr="00842D3D" w:rsidRDefault="00842D3D" w:rsidP="00842D3D">
      <w:pPr>
        <w:widowControl w:val="0"/>
        <w:ind w:firstLine="720"/>
        <w:rPr>
          <w:rFonts w:eastAsia="Calibri" w:cs="Times New Roman"/>
          <w:szCs w:val="24"/>
        </w:rPr>
      </w:pPr>
    </w:p>
    <w:p w14:paraId="5A197B8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842D3D">
        <w:rPr>
          <w:rFonts w:eastAsia="Calibri" w:cs="Times New Roman"/>
          <w:i/>
          <w:iCs/>
          <w:szCs w:val="24"/>
        </w:rPr>
        <w:t>See Barone v. City of Springfield</w:t>
      </w:r>
      <w:r w:rsidRPr="00842D3D">
        <w:rPr>
          <w:rFonts w:eastAsia="Calibri" w:cs="Times New Roman"/>
          <w:szCs w:val="24"/>
        </w:rPr>
        <w:t xml:space="preserve">, 902 F.3d 1091, 1101-06 (9th Cir. 2018). </w:t>
      </w:r>
    </w:p>
    <w:p w14:paraId="1EA5BC32" w14:textId="77777777" w:rsidR="00842D3D" w:rsidRPr="00842D3D" w:rsidRDefault="00842D3D" w:rsidP="00842D3D">
      <w:pPr>
        <w:widowControl w:val="0"/>
        <w:ind w:firstLine="720"/>
        <w:rPr>
          <w:rFonts w:eastAsia="Calibri" w:cs="Times New Roman"/>
          <w:szCs w:val="24"/>
        </w:rPr>
      </w:pPr>
    </w:p>
    <w:p w14:paraId="57319A3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842D3D">
        <w:rPr>
          <w:rFonts w:eastAsia="Calibri" w:cs="Times New Roman"/>
          <w:i/>
          <w:iCs/>
          <w:szCs w:val="24"/>
        </w:rPr>
        <w:t>Riley’s Am. Heritage Farms</w:t>
      </w:r>
      <w:r w:rsidRPr="00842D3D">
        <w:rPr>
          <w:rFonts w:eastAsia="Calibri" w:cs="Times New Roman"/>
          <w:szCs w:val="24"/>
        </w:rPr>
        <w:t xml:space="preserve">, 32 F.4th at 720 (quoting </w:t>
      </w:r>
      <w:r w:rsidRPr="00842D3D">
        <w:rPr>
          <w:rFonts w:eastAsia="Calibri" w:cs="Times New Roman"/>
          <w:i/>
          <w:iCs/>
          <w:szCs w:val="24"/>
        </w:rPr>
        <w:t>Bd. of Cnty. Comm’rs</w:t>
      </w:r>
      <w:r w:rsidRPr="00842D3D">
        <w:rPr>
          <w:rFonts w:eastAsia="Calibri" w:cs="Times New Roman"/>
          <w:i/>
          <w:strike/>
          <w:szCs w:val="24"/>
        </w:rPr>
        <w:t xml:space="preserve"> </w:t>
      </w:r>
      <w:r w:rsidRPr="00842D3D">
        <w:rPr>
          <w:rFonts w:eastAsia="Calibri" w:cs="Times New Roman"/>
          <w:i/>
          <w:iCs/>
          <w:szCs w:val="24"/>
        </w:rPr>
        <w:t>v. Umbehr</w:t>
      </w:r>
      <w:r w:rsidRPr="00842D3D">
        <w:rPr>
          <w:rFonts w:eastAsia="Calibri" w:cs="Times New Roman"/>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contract with the government for weatherization services,” “a domestic violence counselor employed by a private company that performed counseling services for a municipal court,” and “a volunteer probation officer.” </w:t>
      </w:r>
      <w:r w:rsidRPr="00842D3D">
        <w:rPr>
          <w:rFonts w:eastAsia="Calibri" w:cs="Times New Roman"/>
          <w:i/>
          <w:iCs/>
          <w:szCs w:val="24"/>
        </w:rPr>
        <w:t xml:space="preserve">Id. </w:t>
      </w:r>
      <w:r w:rsidRPr="00842D3D">
        <w:rPr>
          <w:rFonts w:eastAsia="Calibri" w:cs="Times New Roman"/>
          <w:szCs w:val="24"/>
        </w:rPr>
        <w:t xml:space="preserve">at 720-21. The Ninth Circuit has also extended this framework to a case in which a school district relied on a private company to provide educational services for public school students. </w:t>
      </w:r>
      <w:r w:rsidRPr="00842D3D">
        <w:rPr>
          <w:rFonts w:eastAsia="Calibri" w:cs="Times New Roman"/>
          <w:i/>
          <w:iCs/>
          <w:szCs w:val="24"/>
        </w:rPr>
        <w:t xml:space="preserve">Id. </w:t>
      </w:r>
      <w:r w:rsidRPr="00842D3D">
        <w:rPr>
          <w:rFonts w:eastAsia="Calibri" w:cs="Times New Roman"/>
          <w:szCs w:val="24"/>
        </w:rPr>
        <w:t xml:space="preserve">at 722. </w:t>
      </w:r>
    </w:p>
    <w:p w14:paraId="24F4FCFB" w14:textId="77777777" w:rsidR="00842D3D" w:rsidRPr="00842D3D" w:rsidRDefault="00842D3D" w:rsidP="00842D3D">
      <w:pPr>
        <w:widowControl w:val="0"/>
        <w:ind w:firstLine="720"/>
        <w:rPr>
          <w:rFonts w:eastAsia="Calibri" w:cs="Times New Roman"/>
          <w:szCs w:val="24"/>
        </w:rPr>
      </w:pPr>
    </w:p>
    <w:p w14:paraId="6599DEF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842D3D">
        <w:rPr>
          <w:rFonts w:eastAsia="Calibri" w:cs="Times New Roman"/>
          <w:i/>
          <w:iCs/>
          <w:szCs w:val="24"/>
        </w:rPr>
        <w:t>See Boquist v. Courtney</w:t>
      </w:r>
      <w:r w:rsidRPr="00842D3D">
        <w:rPr>
          <w:rFonts w:eastAsia="Calibri" w:cs="Times New Roman"/>
          <w:szCs w:val="24"/>
        </w:rPr>
        <w:t xml:space="preserve">, 32 F.4th 764, 780 (9th Cir. 2022) (quoting </w:t>
      </w:r>
      <w:r w:rsidRPr="00842D3D">
        <w:rPr>
          <w:rFonts w:eastAsia="Calibri" w:cs="Times New Roman"/>
          <w:i/>
          <w:iCs/>
          <w:szCs w:val="24"/>
        </w:rPr>
        <w:t>Garcetti</w:t>
      </w:r>
      <w:r w:rsidRPr="00842D3D">
        <w:rPr>
          <w:rFonts w:eastAsia="Calibri" w:cs="Times New Roman"/>
          <w:szCs w:val="24"/>
        </w:rPr>
        <w:t xml:space="preserve">, 547 U.S. at 418). </w:t>
      </w:r>
    </w:p>
    <w:p w14:paraId="5B0C2D0E" w14:textId="77777777" w:rsidR="00842D3D" w:rsidRPr="00842D3D" w:rsidRDefault="00842D3D" w:rsidP="00842D3D">
      <w:pPr>
        <w:widowControl w:val="0"/>
        <w:ind w:firstLine="720"/>
        <w:rPr>
          <w:rFonts w:eastAsia="Calibri" w:cs="Times New Roman"/>
          <w:szCs w:val="24"/>
        </w:rPr>
      </w:pPr>
    </w:p>
    <w:p w14:paraId="7D29652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After a plaintiff establishes the first three steps, he or she has made out a prima facie case, and at step four the burden shifts to the government “to show that ‘under the balancing test established by </w:t>
      </w:r>
      <w:r w:rsidRPr="00842D3D">
        <w:rPr>
          <w:rFonts w:eastAsia="Calibri" w:cs="Times New Roman"/>
          <w:i/>
          <w:iCs/>
          <w:szCs w:val="24"/>
        </w:rPr>
        <w:t>Pickering</w:t>
      </w:r>
      <w:r w:rsidRPr="00842D3D">
        <w:rPr>
          <w:rFonts w:eastAsia="Calibri" w:cs="Times New Roman"/>
          <w:szCs w:val="24"/>
        </w:rPr>
        <w:t xml:space="preserve">, [the government’s] legitimate administrative interests outweigh the employee’s First Amendment rights.’” </w:t>
      </w:r>
      <w:r w:rsidRPr="00842D3D">
        <w:rPr>
          <w:rFonts w:eastAsia="Calibri" w:cs="Times New Roman"/>
          <w:i/>
          <w:iCs/>
          <w:szCs w:val="24"/>
        </w:rPr>
        <w:t>Moser</w:t>
      </w:r>
      <w:r w:rsidRPr="00842D3D">
        <w:rPr>
          <w:rFonts w:eastAsia="Calibri" w:cs="Times New Roman"/>
          <w:szCs w:val="24"/>
        </w:rPr>
        <w:t xml:space="preserve">, 984 F.3d at 906 (quoting </w:t>
      </w:r>
      <w:r w:rsidRPr="00842D3D">
        <w:rPr>
          <w:rFonts w:eastAsia="Calibri" w:cs="Times New Roman"/>
          <w:i/>
          <w:iCs/>
          <w:szCs w:val="24"/>
        </w:rPr>
        <w:t>Eng</w:t>
      </w:r>
      <w:r w:rsidRPr="00842D3D">
        <w:rPr>
          <w:rFonts w:eastAsia="Calibri" w:cs="Times New Roman"/>
          <w:szCs w:val="24"/>
        </w:rPr>
        <w:t xml:space="preserve">, 552 F.3d at 1071) (holding the government failed to satisfy its step four burden because it did not produce any evidence indicating the speech at issue caused or would cause disruption). “[T]he </w:t>
      </w:r>
      <w:r w:rsidRPr="00842D3D">
        <w:rPr>
          <w:rFonts w:eastAsia="Calibri" w:cs="Times New Roman"/>
          <w:i/>
          <w:iCs/>
          <w:szCs w:val="24"/>
        </w:rPr>
        <w:t xml:space="preserve">Pickering </w:t>
      </w:r>
      <w:r w:rsidRPr="00842D3D">
        <w:rPr>
          <w:rFonts w:eastAsia="Calibri" w:cs="Times New Roman"/>
          <w:szCs w:val="24"/>
        </w:rPr>
        <w:t xml:space="preserve">balancing test is a legal question, but its resolution often entails underlying factual disputes that need to be resolved by a fact-finder.” </w:t>
      </w:r>
      <w:r w:rsidRPr="00842D3D">
        <w:rPr>
          <w:rFonts w:eastAsia="Calibri" w:cs="Times New Roman"/>
          <w:i/>
          <w:iCs/>
          <w:szCs w:val="24"/>
        </w:rPr>
        <w:t>Id</w:t>
      </w:r>
      <w:r w:rsidRPr="00842D3D">
        <w:rPr>
          <w:rFonts w:eastAsia="Calibri" w:cs="Times New Roman"/>
          <w:szCs w:val="24"/>
        </w:rPr>
        <w:t xml:space="preserve">. at 911 (quoting </w:t>
      </w:r>
      <w:r w:rsidRPr="00842D3D">
        <w:rPr>
          <w:rFonts w:eastAsia="Calibri" w:cs="Times New Roman"/>
          <w:i/>
          <w:iCs/>
          <w:szCs w:val="24"/>
        </w:rPr>
        <w:t>Eng</w:t>
      </w:r>
      <w:r w:rsidRPr="00842D3D">
        <w:rPr>
          <w:rFonts w:eastAsia="Calibri" w:cs="Times New Roman"/>
          <w:szCs w:val="24"/>
        </w:rPr>
        <w:t xml:space="preserve">, 552 F.3d at 1071). </w:t>
      </w:r>
    </w:p>
    <w:p w14:paraId="381B4930" w14:textId="77777777" w:rsidR="00842D3D" w:rsidRPr="00842D3D" w:rsidRDefault="00842D3D" w:rsidP="00842D3D">
      <w:pPr>
        <w:widowControl w:val="0"/>
        <w:ind w:firstLine="720"/>
        <w:rPr>
          <w:rFonts w:eastAsia="Calibri" w:cs="Times New Roman"/>
          <w:szCs w:val="24"/>
        </w:rPr>
      </w:pPr>
    </w:p>
    <w:p w14:paraId="09D38830" w14:textId="02333D75" w:rsidR="00842D3D" w:rsidRPr="00842D3D" w:rsidRDefault="00842D3D" w:rsidP="00842D3D">
      <w:pPr>
        <w:widowControl w:val="0"/>
        <w:ind w:firstLine="720"/>
        <w:jc w:val="right"/>
        <w:rPr>
          <w:rFonts w:eastAsia="Calibri" w:cs="Times New Roman"/>
          <w:szCs w:val="24"/>
        </w:rPr>
      </w:pPr>
      <w:r w:rsidRPr="00842D3D">
        <w:rPr>
          <w:rFonts w:eastAsia="Calibri" w:cs="Times New Roman"/>
          <w:i/>
          <w:iCs/>
          <w:szCs w:val="24"/>
        </w:rPr>
        <w:t xml:space="preserve">Revised </w:t>
      </w:r>
      <w:r w:rsidR="00CE480C">
        <w:rPr>
          <w:rFonts w:eastAsia="Calibri" w:cs="Times New Roman"/>
          <w:i/>
          <w:szCs w:val="24"/>
        </w:rPr>
        <w:t>March 2026</w:t>
      </w:r>
    </w:p>
    <w:p w14:paraId="131C536F" w14:textId="77777777" w:rsidR="00842D3D" w:rsidRPr="00842D3D" w:rsidRDefault="00842D3D" w:rsidP="00842D3D">
      <w:pPr>
        <w:autoSpaceDE w:val="0"/>
        <w:autoSpaceDN w:val="0"/>
        <w:adjustRightInd w:val="0"/>
        <w:rPr>
          <w:rFonts w:eastAsia="Calibri" w:cs="Times New Roman"/>
          <w:szCs w:val="24"/>
        </w:rPr>
      </w:pPr>
    </w:p>
    <w:p w14:paraId="40B9936E" w14:textId="77777777" w:rsidR="00842D3D" w:rsidRPr="00842D3D" w:rsidRDefault="00842D3D" w:rsidP="00842D3D">
      <w:pPr>
        <w:autoSpaceDE w:val="0"/>
        <w:autoSpaceDN w:val="0"/>
        <w:adjustRightInd w:val="0"/>
        <w:rPr>
          <w:rFonts w:eastAsia="Calibri" w:cs="Times New Roman"/>
          <w:szCs w:val="24"/>
        </w:rPr>
      </w:pPr>
    </w:p>
    <w:p w14:paraId="2A59AF17" w14:textId="77777777" w:rsidR="00842D3D" w:rsidRPr="00842D3D" w:rsidRDefault="00842D3D" w:rsidP="00842D3D">
      <w:pPr>
        <w:autoSpaceDE w:val="0"/>
        <w:autoSpaceDN w:val="0"/>
        <w:adjustRightInd w:val="0"/>
        <w:jc w:val="right"/>
        <w:rPr>
          <w:rFonts w:eastAsia="Calibri" w:cs="Times New Roman"/>
          <w:szCs w:val="24"/>
        </w:rPr>
      </w:pPr>
    </w:p>
    <w:p w14:paraId="4D9ECDD0" w14:textId="77777777" w:rsidR="00842D3D" w:rsidRPr="00842D3D" w:rsidRDefault="00842D3D" w:rsidP="00842D3D">
      <w:pPr>
        <w:autoSpaceDE w:val="0"/>
        <w:autoSpaceDN w:val="0"/>
        <w:adjustRightInd w:val="0"/>
        <w:rPr>
          <w:rFonts w:eastAsia="Calibri" w:cs="Times New Roman"/>
          <w:szCs w:val="24"/>
        </w:rPr>
      </w:pPr>
    </w:p>
    <w:p w14:paraId="604A70D6" w14:textId="77777777" w:rsidR="00842D3D" w:rsidRPr="00842D3D" w:rsidRDefault="00842D3D" w:rsidP="00FF121D">
      <w:pPr>
        <w:pStyle w:val="Heading2"/>
      </w:pPr>
      <w:r w:rsidRPr="00842D3D">
        <w:br w:type="page"/>
      </w:r>
      <w:bookmarkStart w:id="151" w:name="_Toc221525174"/>
      <w:r w:rsidRPr="00842D3D">
        <w:lastRenderedPageBreak/>
        <w:t>9.10 Particular Rights—First Amendment—Public Employees—Speaking as a Private Citizen</w:t>
      </w:r>
      <w:bookmarkEnd w:id="151"/>
    </w:p>
    <w:p w14:paraId="22D7BE80" w14:textId="77777777" w:rsidR="00842D3D" w:rsidRPr="00842D3D" w:rsidRDefault="00842D3D" w:rsidP="00842D3D">
      <w:pPr>
        <w:autoSpaceDE w:val="0"/>
        <w:autoSpaceDN w:val="0"/>
        <w:adjustRightInd w:val="0"/>
        <w:rPr>
          <w:rFonts w:eastAsia="Calibri" w:cs="Times New Roman"/>
          <w:b/>
          <w:bCs/>
          <w:szCs w:val="24"/>
        </w:rPr>
      </w:pPr>
    </w:p>
    <w:p w14:paraId="49B3F88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185276EA" w14:textId="77777777" w:rsidR="00842D3D" w:rsidRPr="00842D3D" w:rsidRDefault="00842D3D" w:rsidP="00842D3D">
      <w:pPr>
        <w:autoSpaceDE w:val="0"/>
        <w:autoSpaceDN w:val="0"/>
        <w:adjustRightInd w:val="0"/>
        <w:rPr>
          <w:rFonts w:eastAsia="Calibri" w:cs="Times New Roman"/>
          <w:szCs w:val="24"/>
        </w:rPr>
      </w:pPr>
    </w:p>
    <w:p w14:paraId="2EA8AC0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17DB504C" w14:textId="77777777" w:rsidR="00842D3D" w:rsidRPr="00842D3D" w:rsidRDefault="00842D3D" w:rsidP="00842D3D">
      <w:pPr>
        <w:autoSpaceDE w:val="0"/>
        <w:autoSpaceDN w:val="0"/>
        <w:adjustRightInd w:val="0"/>
        <w:rPr>
          <w:rFonts w:eastAsia="Calibri" w:cs="Times New Roman"/>
          <w:szCs w:val="24"/>
        </w:rPr>
      </w:pPr>
    </w:p>
    <w:p w14:paraId="53A434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(1)</w:t>
      </w:r>
      <w:r w:rsidRPr="00842D3D">
        <w:rPr>
          <w:rFonts w:eastAsia="Calibri" w:cs="Times New Roman"/>
          <w:szCs w:val="24"/>
        </w:rPr>
        <w:tab/>
        <w:t>Did the plaintiff confine the communications to the plaintiff’s chain of command? If so, then such speech may fall within the plaintiff’s official duties. If not, then such speech may fall outside of the plaintiff’s official duties.</w:t>
      </w:r>
    </w:p>
    <w:p w14:paraId="5D7911C6" w14:textId="77777777" w:rsidR="00842D3D" w:rsidRPr="00842D3D" w:rsidRDefault="00842D3D" w:rsidP="00842D3D">
      <w:pPr>
        <w:autoSpaceDE w:val="0"/>
        <w:autoSpaceDN w:val="0"/>
        <w:adjustRightInd w:val="0"/>
        <w:rPr>
          <w:rFonts w:eastAsia="Calibri" w:cs="Times New Roman"/>
          <w:szCs w:val="24"/>
        </w:rPr>
      </w:pPr>
    </w:p>
    <w:p w14:paraId="08ABB1C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(2)</w:t>
      </w:r>
      <w:r w:rsidRPr="00842D3D">
        <w:rPr>
          <w:rFonts w:eastAsia="Calibri"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3DD0A2EC" w14:textId="77777777" w:rsidR="00842D3D" w:rsidRPr="00842D3D" w:rsidRDefault="00842D3D" w:rsidP="00842D3D">
      <w:pPr>
        <w:autoSpaceDE w:val="0"/>
        <w:autoSpaceDN w:val="0"/>
        <w:adjustRightInd w:val="0"/>
        <w:rPr>
          <w:rFonts w:eastAsia="Calibri" w:cs="Times New Roman"/>
          <w:szCs w:val="24"/>
        </w:rPr>
      </w:pPr>
    </w:p>
    <w:p w14:paraId="0806F9F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(3)</w:t>
      </w:r>
      <w:r w:rsidRPr="00842D3D">
        <w:rPr>
          <w:rFonts w:eastAsia="Calibri" w:cs="Times New Roman"/>
          <w:szCs w:val="24"/>
        </w:rPr>
        <w:tab/>
        <w:t>Did the plaintiff speak in direct contravention to the plaintiff’s supervisor’s orders? If so, then such speech may fall outside of the plaintiff’s official duties. If not, then such speech may fall within the plaintiff’s official duties.</w:t>
      </w:r>
    </w:p>
    <w:p w14:paraId="0EB08ED1" w14:textId="77777777" w:rsidR="00842D3D" w:rsidRPr="00842D3D" w:rsidRDefault="00842D3D" w:rsidP="00842D3D">
      <w:pPr>
        <w:autoSpaceDE w:val="0"/>
        <w:autoSpaceDN w:val="0"/>
        <w:adjustRightInd w:val="0"/>
        <w:rPr>
          <w:rFonts w:eastAsia="Calibri" w:cs="Times New Roman"/>
          <w:szCs w:val="24"/>
        </w:rPr>
      </w:pPr>
    </w:p>
    <w:p w14:paraId="266394B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(4)</w:t>
      </w:r>
      <w:r w:rsidRPr="00842D3D">
        <w:rPr>
          <w:rFonts w:eastAsia="Calibri"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554DBB99" w14:textId="77777777" w:rsidR="00842D3D" w:rsidRPr="00842D3D" w:rsidRDefault="00842D3D" w:rsidP="00842D3D">
      <w:pPr>
        <w:autoSpaceDE w:val="0"/>
        <w:autoSpaceDN w:val="0"/>
        <w:adjustRightInd w:val="0"/>
        <w:rPr>
          <w:rFonts w:eastAsia="Calibri" w:cs="Times New Roman"/>
          <w:szCs w:val="24"/>
        </w:rPr>
      </w:pPr>
    </w:p>
    <w:p w14:paraId="2222CB7A"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BE4DA91" w14:textId="77777777" w:rsidR="00842D3D" w:rsidRPr="00842D3D" w:rsidRDefault="00842D3D" w:rsidP="00842D3D">
      <w:pPr>
        <w:autoSpaceDE w:val="0"/>
        <w:autoSpaceDN w:val="0"/>
        <w:adjustRightInd w:val="0"/>
        <w:rPr>
          <w:rFonts w:eastAsia="Calibri" w:cs="Times New Roman"/>
          <w:i/>
          <w:iCs/>
          <w:szCs w:val="24"/>
        </w:rPr>
      </w:pPr>
    </w:p>
    <w:p w14:paraId="05A1BEF3" w14:textId="2E363F93"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ab/>
      </w:r>
      <w:r w:rsidRPr="00842D3D">
        <w:rPr>
          <w:rFonts w:eastAsia="Calibri" w:cs="Times New Roman"/>
          <w:szCs w:val="24"/>
        </w:rPr>
        <w:t xml:space="preserve">“Speech made by public employees in their official capacity is not insulated from employer discipline by the First Amendment but speech made in their private capacity as a citizen is.” </w:t>
      </w:r>
      <w:r w:rsidRPr="00842D3D">
        <w:rPr>
          <w:rFonts w:eastAsia="Calibri" w:cs="Times New Roman"/>
          <w:i/>
          <w:iCs/>
          <w:szCs w:val="24"/>
        </w:rPr>
        <w:t>Brandon v. Maricopa Cnty.</w:t>
      </w:r>
      <w:r w:rsidRPr="00842D3D">
        <w:rPr>
          <w:rFonts w:eastAsia="Calibri" w:cs="Times New Roman"/>
          <w:szCs w:val="24"/>
        </w:rPr>
        <w:t xml:space="preserve">, 849 F.3d 837, 843 (9th Cir. 2017) (citing </w:t>
      </w:r>
      <w:r w:rsidRPr="00842D3D">
        <w:rPr>
          <w:rFonts w:eastAsia="Calibri" w:cs="Times New Roman"/>
          <w:i/>
          <w:iCs/>
          <w:szCs w:val="24"/>
        </w:rPr>
        <w:t>Garcetti v. Ceballos</w:t>
      </w:r>
      <w:r w:rsidRPr="00842D3D">
        <w:rPr>
          <w:rFonts w:eastAsia="Calibri" w:cs="Times New Roman"/>
          <w:szCs w:val="24"/>
        </w:rPr>
        <w:t xml:space="preserve">, 547 U.S. 410, 421 (2006)); </w:t>
      </w:r>
      <w:r w:rsidRPr="00842D3D">
        <w:rPr>
          <w:rFonts w:eastAsia="Calibri" w:cs="Times New Roman"/>
          <w:i/>
          <w:iCs/>
          <w:szCs w:val="24"/>
        </w:rPr>
        <w:t>see also Kennedy v. Bremerton Sch. Dist.</w:t>
      </w:r>
      <w:r w:rsidRPr="00842D3D">
        <w:rPr>
          <w:rFonts w:eastAsia="Calibri" w:cs="Times New Roman"/>
          <w:szCs w:val="24"/>
        </w:rPr>
        <w:t xml:space="preserve">, 597 U.S. 507, 527 (2022) (“If a public employee speaks ‘pursuant to [his or her] official duties,’ this Court has said the Free Speech Clause generally will not shield the individual from an employer’s control and discipline . . . .”). The Ninth Circuit has described the inquiry into whether the employee’s speech is protected as “fact-intensive” and explained that “no single formulation of factors can encompass the full set of inquiries relevant to determining the scope of a plaintiff’s job duties.”  </w:t>
      </w:r>
      <w:r w:rsidRPr="00842D3D">
        <w:rPr>
          <w:rFonts w:eastAsia="Calibri" w:cs="Times New Roman"/>
          <w:i/>
          <w:iCs/>
          <w:szCs w:val="24"/>
        </w:rPr>
        <w:t>Dahlia v. Rodriguez</w:t>
      </w:r>
      <w:r w:rsidRPr="00842D3D">
        <w:rPr>
          <w:rFonts w:eastAsia="Calibri" w:cs="Times New Roman"/>
          <w:szCs w:val="24"/>
        </w:rPr>
        <w:t>, 735 F.3d 1060, 1074-76 (9th Cir. 2013) (en banc)</w:t>
      </w:r>
      <w:bookmarkStart w:id="152" w:name="Instruction_9.10"/>
      <w:bookmarkEnd w:id="152"/>
      <w:r w:rsidRPr="00842D3D">
        <w:rPr>
          <w:rFonts w:eastAsia="Calibri" w:cs="Times New Roman"/>
          <w:szCs w:val="24"/>
        </w:rPr>
        <w:t xml:space="preserv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Lindke v. Freed</w:t>
      </w:r>
      <w:r w:rsidRPr="00842D3D">
        <w:rPr>
          <w:rFonts w:eastAsia="Calibri" w:cs="Times New Roman"/>
          <w:szCs w:val="24"/>
        </w:rPr>
        <w:t>, 601 U.S. 187, 203 (2024) (noting that, in the context of analyzing whether a public official’s social media activity is speech pursuant to their official duties or in their personal capacity, a court ought to engage in a fact-specific undertaking in which each post’s “content and function are the most important considerations”)</w:t>
      </w:r>
      <w:r w:rsidR="00E54E76">
        <w:rPr>
          <w:rFonts w:eastAsia="Calibri" w:cs="Times New Roman"/>
          <w:szCs w:val="24"/>
        </w:rPr>
        <w:t xml:space="preserve">. </w:t>
      </w:r>
      <w:r w:rsidRPr="00842D3D">
        <w:rPr>
          <w:rFonts w:eastAsia="Calibri" w:cs="Times New Roman"/>
          <w:szCs w:val="24"/>
        </w:rPr>
        <w:t xml:space="preserve">For a discussion of “guiding principles for undertaking </w:t>
      </w:r>
      <w:r w:rsidRPr="00842D3D">
        <w:rPr>
          <w:rFonts w:eastAsia="Calibri" w:cs="Times New Roman"/>
          <w:szCs w:val="24"/>
        </w:rPr>
        <w:lastRenderedPageBreak/>
        <w:t xml:space="preserve">the practical factual inquiry,” see </w:t>
      </w:r>
      <w:r w:rsidRPr="00842D3D">
        <w:rPr>
          <w:rFonts w:eastAsia="Calibri" w:cs="Times New Roman"/>
          <w:i/>
          <w:iCs/>
          <w:szCs w:val="24"/>
        </w:rPr>
        <w:t>Brandon</w:t>
      </w:r>
      <w:r w:rsidRPr="00842D3D">
        <w:rPr>
          <w:rFonts w:eastAsia="Calibri" w:cs="Times New Roman"/>
          <w:szCs w:val="24"/>
        </w:rPr>
        <w:t xml:space="preserve">, 849 F.3d at 843 (citing </w:t>
      </w:r>
      <w:r w:rsidRPr="00842D3D">
        <w:rPr>
          <w:rFonts w:eastAsia="Calibri" w:cs="Times New Roman"/>
          <w:i/>
          <w:iCs/>
          <w:szCs w:val="24"/>
        </w:rPr>
        <w:t>Dahlia</w:t>
      </w:r>
      <w:r w:rsidRPr="00842D3D">
        <w:rPr>
          <w:rFonts w:eastAsia="Calibri" w:cs="Times New Roman"/>
          <w:szCs w:val="24"/>
        </w:rPr>
        <w:t xml:space="preserve">, 735 F.3d at 1074-76); </w:t>
      </w:r>
      <w:r w:rsidRPr="00842D3D">
        <w:rPr>
          <w:rFonts w:eastAsia="Calibri" w:cs="Times New Roman"/>
          <w:i/>
          <w:iCs/>
          <w:szCs w:val="24"/>
        </w:rPr>
        <w:t>see also Kennedy</w:t>
      </w:r>
      <w:r w:rsidRPr="00842D3D">
        <w:rPr>
          <w:rFonts w:eastAsia="Calibri" w:cs="Times New Roman"/>
          <w:szCs w:val="24"/>
        </w:rPr>
        <w:t>, 597 U.S. at 528</w:t>
      </w:r>
      <w:r w:rsidRPr="00842D3D" w:rsidDel="006D5E26">
        <w:rPr>
          <w:rFonts w:eastAsia="Calibri" w:cs="Times New Roman"/>
          <w:szCs w:val="24"/>
        </w:rPr>
        <w:t xml:space="preserve"> </w:t>
      </w:r>
      <w:r w:rsidRPr="00842D3D">
        <w:rPr>
          <w:rFonts w:eastAsia="Calibri" w:cs="Times New Roman"/>
          <w:szCs w:val="24"/>
        </w:rPr>
        <w:t xml:space="preserve">(describing </w:t>
      </w:r>
      <w:r w:rsidRPr="00842D3D">
        <w:rPr>
          <w:rFonts w:eastAsia="Calibri" w:cs="Times New Roman"/>
          <w:i/>
          <w:iCs/>
          <w:szCs w:val="24"/>
        </w:rPr>
        <w:t>Garcetti</w:t>
      </w:r>
      <w:r w:rsidRPr="00842D3D">
        <w:rPr>
          <w:rFonts w:eastAsia="Calibri" w:cs="Times New Roman"/>
          <w:szCs w:val="24"/>
        </w:rPr>
        <w:t xml:space="preserve"> and explaining that the prosecutor’s memorandum at issue in that case was government speech because it was speech the government itself had commissioned or created and speech the employee was expected to deliver in the course of carrying out his job).</w:t>
      </w:r>
    </w:p>
    <w:p w14:paraId="292734B0" w14:textId="77777777" w:rsidR="00842D3D" w:rsidRPr="00842D3D" w:rsidRDefault="00842D3D" w:rsidP="00842D3D">
      <w:pPr>
        <w:autoSpaceDE w:val="0"/>
        <w:autoSpaceDN w:val="0"/>
        <w:adjustRightInd w:val="0"/>
        <w:rPr>
          <w:rFonts w:eastAsia="Calibri" w:cs="Times New Roman"/>
          <w:szCs w:val="24"/>
        </w:rPr>
      </w:pPr>
    </w:p>
    <w:p w14:paraId="601D178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Kennedy v. Bremerton School District</w:t>
      </w:r>
      <w:r w:rsidRPr="00842D3D">
        <w:rPr>
          <w:rFonts w:eastAsia="Calibri" w:cs="Times New Roman"/>
          <w:szCs w:val="24"/>
        </w:rPr>
        <w:t xml:space="preserve">, the Supreme Court held that a public high school football coach spoke not as a public employee, but as a private citizen, when he decided “to persist in praying quietly without his players after three games in October 2015,” 597 U.S. at 525-26, which were “the three prayers that resulted in his suspension,” </w:t>
      </w:r>
      <w:r w:rsidRPr="00842D3D">
        <w:rPr>
          <w:rFonts w:eastAsia="Calibri" w:cs="Times New Roman"/>
          <w:i/>
          <w:iCs/>
          <w:szCs w:val="24"/>
        </w:rPr>
        <w:t xml:space="preserve">id. </w:t>
      </w:r>
      <w:r w:rsidRPr="00842D3D">
        <w:rPr>
          <w:rFonts w:eastAsia="Calibri" w:cs="Times New Roman"/>
          <w:szCs w:val="24"/>
        </w:rPr>
        <w:t>at 2424. The Supreme Court explained:</w:t>
      </w:r>
    </w:p>
    <w:p w14:paraId="571D97B3" w14:textId="77777777" w:rsidR="00842D3D" w:rsidRPr="00842D3D" w:rsidRDefault="00842D3D" w:rsidP="00842D3D">
      <w:pPr>
        <w:autoSpaceDE w:val="0"/>
        <w:autoSpaceDN w:val="0"/>
        <w:adjustRightInd w:val="0"/>
        <w:rPr>
          <w:rFonts w:eastAsia="Calibri" w:cs="Times New Roman"/>
          <w:szCs w:val="24"/>
        </w:rPr>
      </w:pPr>
    </w:p>
    <w:p w14:paraId="25518432"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[The coach] did not speak pursuant to government policy. He was not seeking to convey a government-created message. He was not instructing players, discussing strategy, encouraging better on-field performance, or engaged in any other speech the District paid him to produce as a coach. Simply put: Mr. Kennedy’s prayers did not “ow[e their] existence” to Mr. Kennedy’s responsibilities as a public employee.</w:t>
      </w:r>
    </w:p>
    <w:p w14:paraId="434947A8" w14:textId="77777777" w:rsidR="00842D3D" w:rsidRPr="00842D3D" w:rsidRDefault="00842D3D" w:rsidP="00842D3D">
      <w:pPr>
        <w:autoSpaceDE w:val="0"/>
        <w:autoSpaceDN w:val="0"/>
        <w:adjustRightInd w:val="0"/>
        <w:ind w:firstLine="720"/>
        <w:rPr>
          <w:rFonts w:eastAsia="Calibri" w:cs="Times New Roman"/>
          <w:szCs w:val="24"/>
        </w:rPr>
      </w:pPr>
    </w:p>
    <w:p w14:paraId="6D4EDB8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(citations omitted); </w:t>
      </w:r>
      <w:r w:rsidRPr="00842D3D">
        <w:rPr>
          <w:rFonts w:eastAsia="Calibri" w:cs="Times New Roman"/>
          <w:i/>
          <w:iCs/>
          <w:szCs w:val="24"/>
        </w:rPr>
        <w:t>see also Moonin v. Tice</w:t>
      </w:r>
      <w:r w:rsidRPr="00842D3D">
        <w:rPr>
          <w:rFonts w:eastAsia="Calibri" w:cs="Times New Roman"/>
          <w:szCs w:val="24"/>
        </w:rPr>
        <w:t xml:space="preserve">, 868 F.3d 853 (9th Cir. 2017) (holding that prior restraint prohibiting highway patrol officers from speaking about controversial canine drug interdiction program with anyone outside of law enforcement violates the First Amendment); </w:t>
      </w:r>
      <w:r w:rsidRPr="00842D3D">
        <w:rPr>
          <w:rFonts w:eastAsia="Calibri" w:cs="Times New Roman"/>
          <w:i/>
          <w:iCs/>
          <w:szCs w:val="24"/>
        </w:rPr>
        <w:t>Barone v. City of Springfield</w:t>
      </w:r>
      <w:r w:rsidRPr="00842D3D">
        <w:rPr>
          <w:rFonts w:eastAsia="Calibri" w:cs="Times New Roman"/>
          <w:szCs w:val="24"/>
        </w:rPr>
        <w:t xml:space="preserve">, 902 F.3d 1091, 1101-06 (9th Cir. 2018) (holding that prior restraint prohibiting a police officer from speaking or writing “anything of a disparaging or negative manner related to the Department/Organization/City of Springfield or its Employees” violated the First Amendment); </w:t>
      </w:r>
      <w:r w:rsidRPr="00842D3D">
        <w:rPr>
          <w:rFonts w:eastAsia="Calibri" w:cs="Times New Roman"/>
          <w:i/>
          <w:iCs/>
          <w:szCs w:val="24"/>
        </w:rPr>
        <w:t>Ohlson v. Brady</w:t>
      </w:r>
      <w:r w:rsidRPr="00842D3D">
        <w:rPr>
          <w:rFonts w:eastAsia="Calibri" w:cs="Times New Roman"/>
          <w:szCs w:val="24"/>
        </w:rPr>
        <w:t xml:space="preserve">, 9 F.4th 1156 (9th Cir. 2021) (concluding that a forensic scientist who testified in court as part of his job duties spoke as an employee rather than a private citizen entitled to First Amendment protection); </w:t>
      </w:r>
      <w:r w:rsidRPr="00842D3D">
        <w:rPr>
          <w:rFonts w:eastAsia="Calibri" w:cs="Times New Roman"/>
          <w:i/>
          <w:iCs/>
          <w:szCs w:val="24"/>
        </w:rPr>
        <w:t>Dodge v. Evergreen School District</w:t>
      </w:r>
      <w:r w:rsidRPr="00842D3D">
        <w:rPr>
          <w:rFonts w:eastAsia="Calibri" w:cs="Times New Roman"/>
          <w:szCs w:val="24"/>
        </w:rPr>
        <w:t>, 56 F.4th 767, 778 (9th Cir. 2022) (concluding that a teacher engaged in expression as a private citizen entitled to First Amendment protection rather than an employee when he “display[ed] a message on a personal item while attending a teacher-only training”);</w:t>
      </w:r>
      <w:r w:rsidRPr="00842D3D">
        <w:rPr>
          <w:rFonts w:ascii="TimesNewRomanPSMT,Italic" w:eastAsia="Calibri" w:hAnsi="TimesNewRomanPSMT,Italic" w:cs="TimesNewRomanPSMT,Italic"/>
          <w:i/>
          <w:iCs/>
          <w:color w:val="000000"/>
          <w:sz w:val="28"/>
          <w:szCs w:val="28"/>
        </w:rPr>
        <w:t xml:space="preserve"> </w:t>
      </w:r>
      <w:r w:rsidRPr="00842D3D">
        <w:rPr>
          <w:rFonts w:eastAsia="Calibri" w:cs="Times New Roman"/>
          <w:i/>
          <w:iCs/>
          <w:szCs w:val="24"/>
        </w:rPr>
        <w:t>Burch v. City of Chubbuck</w:t>
      </w:r>
      <w:r w:rsidRPr="00842D3D">
        <w:rPr>
          <w:rFonts w:eastAsia="Calibri" w:cs="Times New Roman"/>
          <w:szCs w:val="24"/>
        </w:rPr>
        <w:t>, 146 F.4th 822, 833-35 (9th Cir. 2025) (holding that city public works director spoke as a private citizen in placing a sign in his yard showing support for an individual opposing his supervisor—the mayor—in an upcoming election, but that his criticisms of the mayor’s policies and performance and his proposal and advocacy for adding a city administrator were not made as a private citizen).</w:t>
      </w:r>
    </w:p>
    <w:p w14:paraId="0548F901" w14:textId="77777777" w:rsidR="00842D3D" w:rsidRPr="00842D3D" w:rsidRDefault="00842D3D" w:rsidP="00842D3D">
      <w:pPr>
        <w:autoSpaceDE w:val="0"/>
        <w:autoSpaceDN w:val="0"/>
        <w:adjustRightInd w:val="0"/>
        <w:rPr>
          <w:rFonts w:eastAsia="Calibri" w:cs="Times New Roman"/>
          <w:szCs w:val="24"/>
        </w:rPr>
      </w:pPr>
    </w:p>
    <w:p w14:paraId="5B8553E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On the other hand, in </w:t>
      </w:r>
      <w:r w:rsidRPr="00842D3D">
        <w:rPr>
          <w:rFonts w:eastAsia="Calibri" w:cs="Times New Roman"/>
          <w:i/>
          <w:iCs/>
          <w:szCs w:val="24"/>
        </w:rPr>
        <w:t>Linthicum v. Wagner</w:t>
      </w:r>
      <w:r w:rsidRPr="00842D3D">
        <w:rPr>
          <w:rFonts w:eastAsia="Calibri" w:cs="Times New Roman"/>
          <w:szCs w:val="24"/>
        </w:rPr>
        <w:t>, 94 F.4th 887 (9th Cir. 2024) the Ninth Circuit</w:t>
      </w:r>
    </w:p>
    <w:p w14:paraId="24F1D6FC" w14:textId="64D83DF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determined that senators who staged a walkout in protest of a legislative assembly and were subsequently disqualified from appearing on the next election ballot due to a prohibited number of unexcused absences were not engaging in protected speech. The court based their reasoning on </w:t>
      </w:r>
      <w:r w:rsidRPr="00842D3D">
        <w:rPr>
          <w:rFonts w:eastAsia="Calibri" w:cs="Times New Roman"/>
          <w:i/>
          <w:iCs/>
          <w:szCs w:val="24"/>
        </w:rPr>
        <w:t>Nevada Commission on Ethics v. Carrigan</w:t>
      </w:r>
      <w:r w:rsidRPr="00842D3D">
        <w:rPr>
          <w:rFonts w:eastAsia="Calibri" w:cs="Times New Roman"/>
          <w:szCs w:val="24"/>
        </w:rPr>
        <w:t xml:space="preserve">, 564 U.S. 117 (2011), a Supreme Court case that addressed the interplay between legislative power and the First Amendment and concluded that the senators’ right to walk out was an exercise of legislative power rather than personal expressive speech. </w:t>
      </w:r>
      <w:r w:rsidRPr="00842D3D">
        <w:rPr>
          <w:rFonts w:eastAsia="Calibri" w:cs="Times New Roman"/>
          <w:i/>
          <w:iCs/>
          <w:szCs w:val="24"/>
        </w:rPr>
        <w:t>Linthicum</w:t>
      </w:r>
      <w:r w:rsidRPr="00842D3D">
        <w:rPr>
          <w:rFonts w:eastAsia="Calibri" w:cs="Times New Roman"/>
          <w:szCs w:val="24"/>
        </w:rPr>
        <w:t xml:space="preserve">, 94 F.4th at 893 (“No private citizen enjoys the privilege to advance or frustrate legislative action directly in the legislature . . . . The use of that power [(the </w:t>
      </w:r>
      <w:r w:rsidRPr="00842D3D">
        <w:rPr>
          <w:rFonts w:eastAsia="Calibri" w:cs="Times New Roman"/>
          <w:szCs w:val="24"/>
        </w:rPr>
        <w:lastRenderedPageBreak/>
        <w:t xml:space="preserve">walk out)] therefore implicates the ‘governmental mechanics’ of the legislative process, and </w:t>
      </w:r>
      <w:r w:rsidRPr="00842D3D">
        <w:rPr>
          <w:rFonts w:eastAsia="Calibri" w:cs="Times New Roman"/>
          <w:i/>
          <w:iCs/>
          <w:szCs w:val="24"/>
        </w:rPr>
        <w:t xml:space="preserve">Carrigan </w:t>
      </w:r>
      <w:r w:rsidRPr="00842D3D">
        <w:rPr>
          <w:rFonts w:eastAsia="Calibri" w:cs="Times New Roman"/>
          <w:szCs w:val="24"/>
        </w:rPr>
        <w:t xml:space="preserve">makes clear that a legislator has no right under the First Amendment to use that official power for expressive purposes.”) (quoting </w:t>
      </w:r>
      <w:r w:rsidRPr="00842D3D">
        <w:rPr>
          <w:rFonts w:eastAsia="Calibri" w:cs="Times New Roman"/>
          <w:i/>
          <w:iCs/>
          <w:szCs w:val="24"/>
        </w:rPr>
        <w:t>Carrigan</w:t>
      </w:r>
      <w:r w:rsidRPr="00842D3D">
        <w:rPr>
          <w:rFonts w:eastAsia="Calibri" w:cs="Times New Roman"/>
          <w:szCs w:val="24"/>
        </w:rPr>
        <w:t xml:space="preserve">, 564 U.S. at 127));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Sullivan v. Univ. of Washington</w:t>
      </w:r>
      <w:r w:rsidRPr="00842D3D">
        <w:rPr>
          <w:rFonts w:eastAsia="Calibri" w:cs="Times New Roman"/>
          <w:szCs w:val="24"/>
        </w:rPr>
        <w:t>, 60 F.4th 574, 581-82 (9th Cir. 2023)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holding that the First Amendment right of expressive association did not protect the work of committee members individually or collectively when they were appointed to serve a public function and their work fell within the scope of their official duties on a university committee).</w:t>
      </w:r>
    </w:p>
    <w:p w14:paraId="6CD14F3F" w14:textId="77777777" w:rsidR="00842D3D" w:rsidRPr="00842D3D" w:rsidRDefault="00842D3D" w:rsidP="00842D3D">
      <w:pPr>
        <w:autoSpaceDE w:val="0"/>
        <w:autoSpaceDN w:val="0"/>
        <w:adjustRightInd w:val="0"/>
        <w:jc w:val="right"/>
        <w:rPr>
          <w:rFonts w:eastAsia="Calibri" w:cs="Times New Roman"/>
          <w:i/>
          <w:iCs/>
          <w:szCs w:val="24"/>
        </w:rPr>
      </w:pPr>
    </w:p>
    <w:p w14:paraId="34DA0B97"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2BFB6252" w14:textId="77777777" w:rsidR="00842D3D" w:rsidRPr="00842D3D" w:rsidRDefault="00842D3D" w:rsidP="00FF121D">
      <w:pPr>
        <w:pStyle w:val="Heading2"/>
      </w:pPr>
      <w:r w:rsidRPr="00842D3D">
        <w:br w:type="page"/>
      </w:r>
      <w:bookmarkStart w:id="153" w:name="_Toc65157308"/>
      <w:bookmarkStart w:id="154" w:name="_Toc221525175"/>
      <w:r w:rsidRPr="00842D3D">
        <w:lastRenderedPageBreak/>
        <w:t xml:space="preserve">9.11 </w:t>
      </w:r>
      <w:bookmarkStart w:id="155" w:name="_Hlk147388620"/>
      <w:r w:rsidRPr="00842D3D">
        <w:t>Particular Rights—First Amendment—“Citizen” P</w:t>
      </w:r>
      <w:bookmarkEnd w:id="153"/>
      <w:r w:rsidRPr="00842D3D">
        <w:t>laintiff</w:t>
      </w:r>
      <w:bookmarkEnd w:id="154"/>
      <w:bookmarkEnd w:id="155"/>
    </w:p>
    <w:p w14:paraId="65F79BAF" w14:textId="77777777" w:rsidR="00842D3D" w:rsidRPr="00842D3D" w:rsidRDefault="00842D3D" w:rsidP="00842D3D">
      <w:pPr>
        <w:autoSpaceDE w:val="0"/>
        <w:autoSpaceDN w:val="0"/>
        <w:adjustRightInd w:val="0"/>
        <w:rPr>
          <w:rFonts w:eastAsia="Calibri" w:cs="Times New Roman"/>
          <w:szCs w:val="24"/>
        </w:rPr>
      </w:pPr>
    </w:p>
    <w:p w14:paraId="671C75BE" w14:textId="77777777" w:rsidR="00842D3D" w:rsidRPr="00842D3D" w:rsidRDefault="00842D3D" w:rsidP="00842D3D">
      <w:pPr>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w:t>
      </w:r>
    </w:p>
    <w:p w14:paraId="49DDECD0" w14:textId="77777777" w:rsidR="00842D3D" w:rsidRPr="00842D3D" w:rsidRDefault="00842D3D" w:rsidP="00842D3D">
      <w:pPr>
        <w:autoSpaceDE w:val="0"/>
        <w:autoSpaceDN w:val="0"/>
        <w:adjustRightInd w:val="0"/>
        <w:rPr>
          <w:rFonts w:eastAsia="Calibri" w:cs="Times New Roman"/>
          <w:szCs w:val="24"/>
        </w:rPr>
      </w:pPr>
    </w:p>
    <w:p w14:paraId="61D2CB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citizen has the right [to free expression] [to petition the government] [to access the courts] [</w:t>
      </w:r>
      <w:r w:rsidRPr="00842D3D">
        <w:rPr>
          <w:rFonts w:eastAsia="Calibri" w:cs="Times New Roman"/>
          <w:i/>
          <w:iCs/>
          <w:szCs w:val="24"/>
          <w:u w:val="single"/>
        </w:rPr>
        <w:t>other applicable right</w:t>
      </w:r>
      <w:r w:rsidRPr="00842D3D">
        <w:rPr>
          <w:rFonts w:eastAsia="Calibri" w:cs="Times New Roman"/>
          <w:szCs w:val="24"/>
        </w:rPr>
        <w:t>]. To establish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EE4CBFB" w14:textId="77777777" w:rsidR="00842D3D" w:rsidRPr="00842D3D" w:rsidRDefault="00842D3D" w:rsidP="00842D3D">
      <w:pPr>
        <w:ind w:firstLine="720"/>
        <w:rPr>
          <w:rFonts w:eastAsia="Calibri" w:cs="Times New Roman"/>
          <w:szCs w:val="24"/>
        </w:rPr>
      </w:pPr>
    </w:p>
    <w:p w14:paraId="5A725A7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plaintiff [</w:t>
      </w:r>
      <w:r w:rsidRPr="00842D3D">
        <w:rPr>
          <w:rFonts w:eastAsia="Calibri" w:cs="Times New Roman"/>
          <w:i/>
          <w:iCs/>
          <w:szCs w:val="24"/>
          <w:u w:val="single"/>
        </w:rPr>
        <w:t>name</w:t>
      </w:r>
      <w:r w:rsidRPr="00842D3D">
        <w:rPr>
          <w:rFonts w:eastAsia="Calibri" w:cs="Times New Roman"/>
          <w:szCs w:val="24"/>
        </w:rPr>
        <w:t>] was engaged in a constitutionally protected activity;</w:t>
      </w:r>
    </w:p>
    <w:p w14:paraId="70045712" w14:textId="77777777" w:rsidR="00842D3D" w:rsidRPr="00842D3D" w:rsidRDefault="00842D3D" w:rsidP="00842D3D">
      <w:pPr>
        <w:autoSpaceDE w:val="0"/>
        <w:autoSpaceDN w:val="0"/>
        <w:adjustRightInd w:val="0"/>
        <w:ind w:firstLine="720"/>
        <w:rPr>
          <w:rFonts w:eastAsia="Calibri" w:cs="Times New Roman"/>
          <w:szCs w:val="24"/>
        </w:rPr>
      </w:pPr>
    </w:p>
    <w:p w14:paraId="718D4C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]’s actions against the plaintiff [</w:t>
      </w:r>
      <w:r w:rsidRPr="00842D3D">
        <w:rPr>
          <w:rFonts w:eastAsia="Calibri" w:cs="Times New Roman"/>
          <w:i/>
          <w:iCs/>
          <w:szCs w:val="24"/>
          <w:u w:val="single"/>
        </w:rPr>
        <w:t>name</w:t>
      </w:r>
      <w:r w:rsidRPr="00842D3D">
        <w:rPr>
          <w:rFonts w:eastAsia="Calibri" w:cs="Times New Roman"/>
          <w:szCs w:val="24"/>
        </w:rPr>
        <w:t xml:space="preserve">] would chill a person of ordinary firmness from continuing to engage in the protected activity; and </w:t>
      </w:r>
    </w:p>
    <w:p w14:paraId="54B5A627" w14:textId="77777777" w:rsidR="00842D3D" w:rsidRPr="00842D3D" w:rsidRDefault="00842D3D" w:rsidP="00842D3D">
      <w:pPr>
        <w:autoSpaceDE w:val="0"/>
        <w:autoSpaceDN w:val="0"/>
        <w:adjustRightInd w:val="0"/>
        <w:ind w:firstLine="720"/>
        <w:rPr>
          <w:rFonts w:eastAsia="Calibri" w:cs="Times New Roman"/>
          <w:szCs w:val="24"/>
        </w:rPr>
      </w:pPr>
    </w:p>
    <w:p w14:paraId="57B4013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]’s protected activity was a substantial or motivating factor in the defendant [</w:t>
      </w:r>
      <w:r w:rsidRPr="00842D3D">
        <w:rPr>
          <w:rFonts w:eastAsia="Calibri" w:cs="Times New Roman"/>
          <w:i/>
          <w:iCs/>
          <w:szCs w:val="24"/>
          <w:u w:val="single"/>
        </w:rPr>
        <w:t>name</w:t>
      </w:r>
      <w:r w:rsidRPr="00842D3D">
        <w:rPr>
          <w:rFonts w:eastAsia="Calibri" w:cs="Times New Roman"/>
          <w:szCs w:val="24"/>
        </w:rPr>
        <w:t>]’s conduct.</w:t>
      </w:r>
    </w:p>
    <w:p w14:paraId="2F9F1C55" w14:textId="77777777" w:rsidR="00842D3D" w:rsidRPr="00842D3D" w:rsidRDefault="00842D3D" w:rsidP="00842D3D">
      <w:pPr>
        <w:autoSpaceDE w:val="0"/>
        <w:autoSpaceDN w:val="0"/>
        <w:adjustRightInd w:val="0"/>
        <w:rPr>
          <w:rFonts w:eastAsia="Calibri" w:cs="Times New Roman"/>
          <w:szCs w:val="24"/>
        </w:rPr>
      </w:pPr>
    </w:p>
    <w:p w14:paraId="060EA6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plaintiff [</w:t>
      </w:r>
      <w:r w:rsidRPr="00842D3D">
        <w:rPr>
          <w:rFonts w:eastAsia="Calibri" w:cs="Times New Roman"/>
          <w:i/>
          <w:iCs/>
          <w:szCs w:val="24"/>
          <w:u w:val="single"/>
        </w:rPr>
        <w:t>name</w:t>
      </w:r>
      <w:r w:rsidRPr="00842D3D">
        <w:rPr>
          <w:rFonts w:eastAsia="Calibri" w:cs="Times New Roman"/>
          <w:szCs w:val="24"/>
        </w:rPr>
        <w:t>]’s [speech in this case about [</w:t>
      </w:r>
      <w:r w:rsidRPr="00842D3D">
        <w:rPr>
          <w:rFonts w:eastAsia="Calibri" w:cs="Times New Roman"/>
          <w:i/>
          <w:iCs/>
          <w:szCs w:val="24"/>
          <w:u w:val="single"/>
        </w:rPr>
        <w:t>specify</w:t>
      </w:r>
      <w:r w:rsidRPr="00842D3D">
        <w:rPr>
          <w:rFonts w:eastAsia="Calibri" w:cs="Times New Roman"/>
          <w:szCs w:val="24"/>
        </w:rPr>
        <w:t>]] [</w:t>
      </w:r>
      <w:r w:rsidRPr="00842D3D">
        <w:rPr>
          <w:rFonts w:eastAsia="Calibri" w:cs="Times New Roman"/>
          <w:i/>
          <w:iCs/>
          <w:szCs w:val="24"/>
          <w:u w:val="single"/>
        </w:rPr>
        <w:t>specify conduct</w:t>
      </w:r>
      <w:r w:rsidRPr="00842D3D">
        <w:rPr>
          <w:rFonts w:eastAsia="Calibri" w:cs="Times New Roman"/>
          <w:szCs w:val="24"/>
        </w:rPr>
        <w:t>] was protected under the First Amendment and, therefore, the first element requires no proof.]</w:t>
      </w:r>
    </w:p>
    <w:p w14:paraId="7B1DCEE1" w14:textId="77777777" w:rsidR="00842D3D" w:rsidRPr="00842D3D" w:rsidRDefault="00842D3D" w:rsidP="00842D3D">
      <w:pPr>
        <w:autoSpaceDE w:val="0"/>
        <w:autoSpaceDN w:val="0"/>
        <w:adjustRightInd w:val="0"/>
        <w:rPr>
          <w:rFonts w:eastAsia="Calibri" w:cs="Times New Roman"/>
          <w:szCs w:val="24"/>
        </w:rPr>
      </w:pPr>
    </w:p>
    <w:p w14:paraId="41969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substantial or motivating factor is a significant factor, though not necessarily the only factor.</w:t>
      </w:r>
    </w:p>
    <w:p w14:paraId="48C19D6F" w14:textId="77777777" w:rsidR="00842D3D" w:rsidRPr="00842D3D" w:rsidRDefault="00842D3D" w:rsidP="00842D3D">
      <w:pPr>
        <w:autoSpaceDE w:val="0"/>
        <w:autoSpaceDN w:val="0"/>
        <w:adjustRightInd w:val="0"/>
        <w:rPr>
          <w:rFonts w:eastAsia="Calibri" w:cs="Times New Roman"/>
          <w:szCs w:val="24"/>
        </w:rPr>
      </w:pPr>
    </w:p>
    <w:p w14:paraId="46C18A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establishes each of the foregoing elements, the burden shifts to the</w:t>
      </w:r>
    </w:p>
    <w:p w14:paraId="09F60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 to prove by a preponderance of the evidence that the defendant [</w:t>
      </w:r>
      <w:r w:rsidRPr="00842D3D">
        <w:rPr>
          <w:rFonts w:eastAsia="Calibri" w:cs="Times New Roman"/>
          <w:i/>
          <w:iCs/>
          <w:szCs w:val="24"/>
          <w:u w:val="single"/>
        </w:rPr>
        <w:t>name</w:t>
      </w:r>
      <w:r w:rsidRPr="00842D3D">
        <w:rPr>
          <w:rFonts w:eastAsia="Calibri" w:cs="Times New Roman"/>
          <w:szCs w:val="24"/>
        </w:rPr>
        <w:t>] would have taken the action(s) in question, even in the absence of any motive to retaliate against the plaintiff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able to demonstrate this, you must find for the defendant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not able to demonstrate this, you must find for the plaintiff [</w:t>
      </w:r>
      <w:r w:rsidRPr="00842D3D">
        <w:rPr>
          <w:rFonts w:eastAsia="Calibri" w:cs="Times New Roman"/>
          <w:i/>
          <w:iCs/>
          <w:szCs w:val="24"/>
          <w:u w:val="single"/>
        </w:rPr>
        <w:t>name</w:t>
      </w:r>
      <w:r w:rsidRPr="00842D3D">
        <w:rPr>
          <w:rFonts w:eastAsia="Calibri" w:cs="Times New Roman"/>
          <w:szCs w:val="24"/>
        </w:rPr>
        <w:t>].</w:t>
      </w:r>
    </w:p>
    <w:p w14:paraId="3E0D22A7" w14:textId="77777777" w:rsidR="00842D3D" w:rsidRPr="00842D3D" w:rsidRDefault="00842D3D" w:rsidP="00842D3D">
      <w:pPr>
        <w:autoSpaceDE w:val="0"/>
        <w:autoSpaceDN w:val="0"/>
        <w:adjustRightInd w:val="0"/>
        <w:rPr>
          <w:rFonts w:eastAsia="Calibri" w:cs="Times New Roman"/>
          <w:szCs w:val="24"/>
        </w:rPr>
      </w:pPr>
    </w:p>
    <w:p w14:paraId="18F724A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C4504A9" w14:textId="77777777" w:rsidR="00842D3D" w:rsidRPr="00842D3D" w:rsidRDefault="00842D3D" w:rsidP="00842D3D">
      <w:pPr>
        <w:autoSpaceDE w:val="0"/>
        <w:autoSpaceDN w:val="0"/>
        <w:adjustRightInd w:val="0"/>
        <w:rPr>
          <w:rFonts w:eastAsia="Calibri" w:cs="Times New Roman"/>
          <w:szCs w:val="24"/>
        </w:rPr>
      </w:pPr>
    </w:p>
    <w:p w14:paraId="5ED0AE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private citizen. Use Instruction 9.9 (Particular Rights—First Amendment—Public Employees—Speech</w:t>
      </w:r>
      <w:r w:rsidRPr="00842D3D">
        <w:rPr>
          <w:rFonts w:eastAsia="Calibri" w:cs="Times New Roman"/>
          <w:b/>
          <w:bCs/>
          <w:szCs w:val="24"/>
        </w:rPr>
        <w:t xml:space="preserve">) </w:t>
      </w:r>
      <w:r w:rsidRPr="00842D3D">
        <w:rPr>
          <w:rFonts w:eastAsia="Calibri"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See Clem v. Lomeli</w:t>
      </w:r>
      <w:r w:rsidRPr="00842D3D">
        <w:rPr>
          <w:rFonts w:eastAsia="Calibri" w:cs="Times New Roman"/>
          <w:szCs w:val="24"/>
        </w:rPr>
        <w:t>, 566 F.3d 1177, 1181-82 (9th Cir. 2009).</w:t>
      </w:r>
    </w:p>
    <w:p w14:paraId="06D174EF" w14:textId="77777777" w:rsidR="00842D3D" w:rsidRPr="00842D3D" w:rsidRDefault="00842D3D" w:rsidP="00842D3D">
      <w:pPr>
        <w:autoSpaceDE w:val="0"/>
        <w:autoSpaceDN w:val="0"/>
        <w:adjustRightInd w:val="0"/>
        <w:rPr>
          <w:rFonts w:eastAsia="Calibri" w:cs="Times New Roman"/>
          <w:szCs w:val="24"/>
        </w:rPr>
      </w:pPr>
    </w:p>
    <w:p w14:paraId="2C7FB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842D3D">
        <w:rPr>
          <w:rFonts w:eastAsia="Calibri" w:cs="Times New Roman"/>
          <w:i/>
          <w:iCs/>
          <w:szCs w:val="24"/>
        </w:rPr>
        <w:t>Sloman v. Tadlock</w:t>
      </w:r>
      <w:r w:rsidRPr="00842D3D">
        <w:rPr>
          <w:rFonts w:eastAsia="Calibri" w:cs="Times New Roman"/>
          <w:szCs w:val="24"/>
        </w:rPr>
        <w:t xml:space="preserve">, 21 F.3d 1462, 1469-70 (9th Cir. 1994);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Hartzell v. Marana Unified Sch. Dist</w:t>
      </w:r>
      <w:r w:rsidRPr="00842D3D">
        <w:rPr>
          <w:rFonts w:eastAsia="Calibri" w:cs="Times New Roman"/>
          <w:szCs w:val="24"/>
        </w:rPr>
        <w:t xml:space="preserve">., 130 F.4th 722, 737 (9th Cir. 2025) (concluding that a policy that allowed “the District to prohibit speech that it finds ‘offensive or inappropriate’” violated the “bedrock principle underlying the First Amendment . . . that the government may not prohibit the expression of an idea simply because society finds the idea itself offensive or disagreeable”) (citation omitted). “Although officials may constitutionally impose time, place, and manner restrictions on political expression carried out on sidewalks and median strips, they may not ‘discriminate in the regulation of expression on the basis of content of that expression.’ ‘State action designed to retaliate against, and chill political expression strikes at the very heart of the First Amendment.’” </w:t>
      </w:r>
      <w:r w:rsidRPr="00842D3D">
        <w:rPr>
          <w:rFonts w:eastAsia="Calibri" w:cs="Times New Roman"/>
          <w:i/>
          <w:iCs/>
          <w:szCs w:val="24"/>
        </w:rPr>
        <w:t>Id</w:t>
      </w:r>
      <w:r w:rsidRPr="00842D3D">
        <w:rPr>
          <w:rFonts w:eastAsia="Calibri" w:cs="Times New Roman"/>
          <w:szCs w:val="24"/>
        </w:rPr>
        <w:t xml:space="preserve">. at 1469 (citations omitted). </w:t>
      </w:r>
    </w:p>
    <w:p w14:paraId="3AEC46AD" w14:textId="77777777" w:rsidR="00842D3D" w:rsidRPr="00842D3D" w:rsidRDefault="00842D3D" w:rsidP="00842D3D">
      <w:pPr>
        <w:widowControl w:val="0"/>
        <w:ind w:firstLine="720"/>
        <w:rPr>
          <w:rFonts w:eastAsia="Calibri" w:cs="Times New Roman"/>
          <w:szCs w:val="24"/>
        </w:rPr>
      </w:pPr>
    </w:p>
    <w:p w14:paraId="156031D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However, “members of the public do not have a constitutional right to force the government to listen to their views . . . [a]nd the First Amendment does not compel the government to respond to speech directed toward it.” </w:t>
      </w:r>
      <w:r w:rsidRPr="00842D3D">
        <w:rPr>
          <w:rFonts w:eastAsia="Calibri" w:cs="Times New Roman"/>
          <w:i/>
          <w:iCs/>
          <w:szCs w:val="24"/>
        </w:rPr>
        <w:t>L.F. v. Lake Washington School Dist. #414</w:t>
      </w:r>
      <w:r w:rsidRPr="00842D3D">
        <w:rPr>
          <w:rFonts w:eastAsia="Calibri" w:cs="Times New Roman"/>
          <w:szCs w:val="24"/>
        </w:rPr>
        <w:t xml:space="preserve">, 947 F.3d 621, 626 (9th Cir. 2020) (citing </w:t>
      </w:r>
      <w:r w:rsidRPr="00842D3D">
        <w:rPr>
          <w:rFonts w:eastAsia="Calibri" w:cs="Times New Roman"/>
          <w:i/>
          <w:iCs/>
          <w:szCs w:val="24"/>
        </w:rPr>
        <w:t>Minn. State Bd. for Cmty. Colleges v. Knight</w:t>
      </w:r>
      <w:r w:rsidRPr="00842D3D">
        <w:rPr>
          <w:rFonts w:eastAsia="Calibri" w:cs="Times New Roman"/>
          <w:szCs w:val="24"/>
        </w:rPr>
        <w:t xml:space="preserve">, 465 U.S. 271, 283 (1984); </w:t>
      </w:r>
      <w:r w:rsidRPr="00842D3D">
        <w:rPr>
          <w:rFonts w:eastAsia="Calibri" w:cs="Times New Roman"/>
          <w:i/>
          <w:iCs/>
          <w:szCs w:val="24"/>
        </w:rPr>
        <w:t>Smith v. Ark. State Highway Emps., Local 1315</w:t>
      </w:r>
      <w:r w:rsidRPr="00842D3D">
        <w:rPr>
          <w:rFonts w:eastAsia="Calibri" w:cs="Times New Roman"/>
          <w:szCs w:val="24"/>
        </w:rPr>
        <w:t>, 441 U.S. 463, 465 (1979) (per curiam)).</w:t>
      </w:r>
    </w:p>
    <w:p w14:paraId="2664DA87" w14:textId="77777777" w:rsidR="00842D3D" w:rsidRPr="00842D3D" w:rsidRDefault="00842D3D" w:rsidP="00842D3D">
      <w:pPr>
        <w:widowControl w:val="0"/>
        <w:ind w:firstLine="720"/>
        <w:rPr>
          <w:rFonts w:eastAsia="Calibri" w:cs="Times New Roman"/>
          <w:szCs w:val="24"/>
        </w:rPr>
      </w:pPr>
    </w:p>
    <w:p w14:paraId="062023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plaintiff may bring a [§] 1983 claim alleging that public officials, acting in their official capacity, took action with the intent to retaliate against, obstruct, or chill the plaintiff’s First Amendment rights.” </w:t>
      </w:r>
      <w:r w:rsidRPr="00842D3D">
        <w:rPr>
          <w:rFonts w:eastAsia="Calibri" w:cs="Times New Roman"/>
          <w:i/>
          <w:iCs/>
          <w:szCs w:val="24"/>
        </w:rPr>
        <w:t>Ariz. Students’ Ass’n v. Ariz. Bd. of Regents</w:t>
      </w:r>
      <w:r w:rsidRPr="00842D3D">
        <w:rPr>
          <w:rFonts w:eastAsia="Calibri" w:cs="Times New Roman"/>
          <w:szCs w:val="24"/>
        </w:rPr>
        <w:t xml:space="preserve">, 824 F.3d 858, 867 (9th Cir. 2016). In </w:t>
      </w:r>
      <w:r w:rsidRPr="00842D3D">
        <w:rPr>
          <w:rFonts w:eastAsia="Calibri" w:cs="Times New Roman"/>
          <w:i/>
          <w:iCs/>
          <w:szCs w:val="24"/>
        </w:rPr>
        <w:t>Matsumoto v. Labrador</w:t>
      </w:r>
      <w:r w:rsidRPr="00842D3D">
        <w:rPr>
          <w:rFonts w:eastAsia="Calibri" w:cs="Times New Roman"/>
          <w:szCs w:val="24"/>
        </w:rPr>
        <w:t xml:space="preserve">, 122 F.4th 787, 802 (9th Cir. 2024), the court held that a pre-enforcement action brought by abortion rights advocacy organizations against the Idaho attorney general fell within an exception to </w:t>
      </w:r>
      <w:r w:rsidRPr="00842D3D">
        <w:rPr>
          <w:rFonts w:eastAsia="Calibri" w:cs="Times New Roman"/>
          <w:i/>
          <w:iCs/>
          <w:szCs w:val="24"/>
        </w:rPr>
        <w:t xml:space="preserve">Ex parte Young </w:t>
      </w:r>
      <w:r w:rsidRPr="00842D3D">
        <w:rPr>
          <w:rFonts w:eastAsia="Calibri" w:cs="Times New Roman"/>
          <w:szCs w:val="24"/>
        </w:rPr>
        <w:t xml:space="preserve">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i/>
          <w:iCs/>
          <w:szCs w:val="24"/>
        </w:rPr>
        <w:t xml:space="preserve">Id. </w:t>
      </w:r>
      <w:r w:rsidRPr="00842D3D">
        <w:rPr>
          <w:rFonts w:eastAsia="Calibri" w:cs="Times New Roman"/>
          <w:szCs w:val="24"/>
        </w:rPr>
        <w:t xml:space="preserve">“To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w:t>
      </w:r>
      <w:r w:rsidRPr="00842D3D">
        <w:rPr>
          <w:rFonts w:eastAsia="Calibri" w:cs="Times New Roman"/>
          <w:i/>
          <w:iCs/>
          <w:szCs w:val="24"/>
        </w:rPr>
        <w:t>Ariz. Students’ Ass’n</w:t>
      </w:r>
      <w:r w:rsidRPr="00842D3D">
        <w:rPr>
          <w:rFonts w:eastAsia="Calibri" w:cs="Times New Roman"/>
          <w:szCs w:val="24"/>
        </w:rPr>
        <w:t xml:space="preserve">, 824 F.3d at 867; </w:t>
      </w:r>
      <w:r w:rsidRPr="00842D3D">
        <w:rPr>
          <w:rFonts w:eastAsia="Calibri" w:cs="Times New Roman"/>
          <w:i/>
          <w:iCs/>
          <w:szCs w:val="24"/>
        </w:rPr>
        <w:t>Sanderlin v. Dwyer</w:t>
      </w:r>
      <w:r w:rsidRPr="00842D3D">
        <w:rPr>
          <w:rFonts w:eastAsia="Calibri" w:cs="Times New Roman"/>
          <w:szCs w:val="24"/>
        </w:rPr>
        <w:t xml:space="preserve">, 116 F.4th 905, 910-11 (9th Cir. 2024); </w:t>
      </w:r>
      <w:r w:rsidRPr="00842D3D">
        <w:rPr>
          <w:rFonts w:eastAsia="Calibri" w:cs="Times New Roman"/>
          <w:i/>
          <w:iCs/>
          <w:szCs w:val="24"/>
        </w:rPr>
        <w:t>Koala v. Khosla</w:t>
      </w:r>
      <w:r w:rsidRPr="00842D3D">
        <w:rPr>
          <w:rFonts w:eastAsia="Calibri" w:cs="Times New Roman"/>
          <w:szCs w:val="24"/>
        </w:rPr>
        <w:t>, 931 F.3d 887, 905 (9th Cir. 2019).</w:t>
      </w:r>
    </w:p>
    <w:p w14:paraId="19F3DB56" w14:textId="77777777" w:rsidR="00842D3D" w:rsidRPr="00842D3D" w:rsidRDefault="00842D3D" w:rsidP="00842D3D">
      <w:pPr>
        <w:widowControl w:val="0"/>
        <w:ind w:firstLine="720"/>
        <w:rPr>
          <w:rFonts w:eastAsia="Calibri" w:cs="Times New Roman"/>
          <w:szCs w:val="24"/>
        </w:rPr>
      </w:pPr>
    </w:p>
    <w:p w14:paraId="3B322A5D"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 xml:space="preserve">As to the third element, “[w]hether an officer was motivated by discriminatory animus ‘involves questions of fact that normally should be left for trial.’” </w:t>
      </w:r>
      <w:r w:rsidRPr="00842D3D">
        <w:rPr>
          <w:rFonts w:eastAsia="Calibri" w:cs="Times New Roman"/>
          <w:i/>
          <w:iCs/>
        </w:rPr>
        <w:t>Cheairs v. City of Seattle</w:t>
      </w:r>
      <w:r w:rsidRPr="00842D3D">
        <w:rPr>
          <w:rFonts w:eastAsia="Calibri" w:cs="Times New Roman"/>
        </w:rPr>
        <w:t xml:space="preserve">, 145 F.4th 1233, 1246 (9th Cir. 2025) (holding that the plaintiff failed to show retaliation where the plaintiff presented no evidence that the defendant was aware of underlying protected conduct (filming protest)) (quoting </w:t>
      </w:r>
      <w:r w:rsidRPr="00842D3D">
        <w:rPr>
          <w:rFonts w:eastAsia="Calibri" w:cs="Times New Roman"/>
          <w:i/>
          <w:iCs/>
        </w:rPr>
        <w:t>Index Newspapers LLC v. U.S. Marshals Serv</w:t>
      </w:r>
      <w:r w:rsidRPr="00842D3D">
        <w:rPr>
          <w:rFonts w:eastAsia="Calibri" w:cs="Times New Roman"/>
        </w:rPr>
        <w:t xml:space="preserve">., 977 F.3d 817, 827 (9th Cir. 2020)). </w:t>
      </w:r>
      <w:r w:rsidRPr="00842D3D">
        <w:rPr>
          <w:rFonts w:eastAsia="Calibri" w:cs="Times New Roman"/>
          <w:szCs w:val="24"/>
        </w:rPr>
        <w:t xml:space="preserve">Defining “substantial or motivating factor” as a “significant factor” does not </w:t>
      </w:r>
      <w:r w:rsidRPr="00842D3D">
        <w:rPr>
          <w:rFonts w:eastAsia="Calibri" w:cs="Times New Roman"/>
          <w:szCs w:val="24"/>
        </w:rPr>
        <w:lastRenderedPageBreak/>
        <w:t xml:space="preserve">misstate the law. </w:t>
      </w:r>
      <w:r w:rsidRPr="00842D3D">
        <w:rPr>
          <w:rFonts w:eastAsia="Calibri" w:cs="Times New Roman"/>
          <w:i/>
          <w:iCs/>
          <w:szCs w:val="24"/>
        </w:rPr>
        <w:t>Ostad v. Or. Health Scis.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xml:space="preserve">, 940 F.3d 1046, 1056 (9th Cir. 2019) (explaining that retaliatory intent may still be one substantial or motivating factor for retaliatory conduct even if other, non-retaliatory reasons exist). And “[i]f a factfinder concludes that there was no legitimate justification for [the defendant’s] actions, they could reasonably infer that those actions were motivated by retaliatory animus.” </w:t>
      </w:r>
      <w:r w:rsidRPr="00842D3D">
        <w:rPr>
          <w:rFonts w:eastAsia="Calibri" w:cs="Times New Roman"/>
          <w:i/>
          <w:iCs/>
          <w:szCs w:val="24"/>
        </w:rPr>
        <w:t>Sanderlin</w:t>
      </w:r>
      <w:r w:rsidRPr="00842D3D">
        <w:rPr>
          <w:rFonts w:eastAsia="Calibri" w:cs="Times New Roman"/>
          <w:szCs w:val="24"/>
        </w:rPr>
        <w:t xml:space="preserve">, 116 F.4th at 911. A plaintiff need not prove, however, that “his speech was actually inhibited or suppressed.” </w:t>
      </w:r>
      <w:r w:rsidRPr="00842D3D">
        <w:rPr>
          <w:rFonts w:eastAsia="Calibri" w:cs="Times New Roman"/>
          <w:i/>
          <w:iCs/>
          <w:szCs w:val="24"/>
        </w:rPr>
        <w:t>Mendocino Env’t Ctr. v. Mendocino County</w:t>
      </w:r>
      <w:r w:rsidRPr="00842D3D">
        <w:rPr>
          <w:rFonts w:eastAsia="Calibri" w:cs="Times New Roman"/>
          <w:szCs w:val="24"/>
        </w:rPr>
        <w:t xml:space="preserve">, 192 F.3d 1283, 1300 (9th Cir. 1999); </w:t>
      </w:r>
      <w:r w:rsidRPr="00842D3D">
        <w:rPr>
          <w:rFonts w:eastAsia="Calibri" w:cs="Times New Roman"/>
          <w:i/>
          <w:iCs/>
          <w:szCs w:val="24"/>
        </w:rPr>
        <w:t>Ariz. Students’ Ass’n</w:t>
      </w:r>
      <w:r w:rsidRPr="00842D3D">
        <w:rPr>
          <w:rFonts w:eastAsia="Calibri" w:cs="Times New Roman"/>
          <w:szCs w:val="24"/>
        </w:rPr>
        <w:t>, 824 F.3d at 867.</w:t>
      </w:r>
    </w:p>
    <w:p w14:paraId="0E900D80" w14:textId="77777777" w:rsidR="00842D3D" w:rsidRPr="00842D3D" w:rsidRDefault="00842D3D" w:rsidP="00842D3D">
      <w:pPr>
        <w:widowControl w:val="0"/>
        <w:ind w:firstLine="720"/>
        <w:rPr>
          <w:rFonts w:eastAsia="Calibri" w:cs="Times New Roman"/>
          <w:szCs w:val="24"/>
        </w:rPr>
      </w:pPr>
    </w:p>
    <w:p w14:paraId="4762A790" w14:textId="77777777" w:rsidR="00842D3D" w:rsidRPr="00842D3D" w:rsidRDefault="00842D3D" w:rsidP="00842D3D">
      <w:pPr>
        <w:widowControl w:val="0"/>
        <w:ind w:firstLine="720"/>
        <w:rPr>
          <w:rFonts w:eastAsia="Calibri" w:cs="Times New Roman"/>
          <w:szCs w:val="24"/>
        </w:rPr>
      </w:pPr>
      <w:r w:rsidRPr="00842D3D">
        <w:rPr>
          <w:rFonts w:eastAsia="Calibri" w:cs="Times New Roman"/>
          <w:i/>
          <w:iCs/>
          <w:szCs w:val="24"/>
        </w:rPr>
        <w:t>But see Sharp v. County of Orange</w:t>
      </w:r>
      <w:r w:rsidRPr="00842D3D">
        <w:rPr>
          <w:rFonts w:eastAsia="Calibri" w:cs="Times New Roman"/>
          <w:szCs w:val="24"/>
        </w:rPr>
        <w:t xml:space="preserve">, 871 F.3d 901, 919 (9th Cir. 2017) (applying but-for causation standard in summary judgment context); </w:t>
      </w:r>
      <w:r w:rsidRPr="00842D3D">
        <w:rPr>
          <w:rFonts w:eastAsia="Calibri" w:cs="Times New Roman"/>
          <w:i/>
          <w:iCs/>
          <w:szCs w:val="24"/>
        </w:rPr>
        <w:t>see also Skoog v. County of Clackamas</w:t>
      </w:r>
      <w:r w:rsidRPr="00842D3D">
        <w:rPr>
          <w:rFonts w:eastAsia="Calibri" w:cs="Times New Roman"/>
          <w:szCs w:val="24"/>
        </w:rPr>
        <w:t>, 469 F.3d 1221, 1231-32 (9th Cir. 2006).</w:t>
      </w:r>
    </w:p>
    <w:p w14:paraId="2EC324C4" w14:textId="77777777" w:rsidR="00842D3D" w:rsidRPr="00842D3D" w:rsidRDefault="00842D3D" w:rsidP="00842D3D">
      <w:pPr>
        <w:widowControl w:val="0"/>
        <w:rPr>
          <w:rFonts w:eastAsia="Calibri" w:cs="Times New Roman"/>
          <w:szCs w:val="24"/>
        </w:rPr>
      </w:pPr>
    </w:p>
    <w:p w14:paraId="0F664A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determining whether the First Amendment protects student speech in a public school, it is error to use the “public concern” standard applicable to actions brought by governmental employees. </w:t>
      </w:r>
      <w:r w:rsidRPr="00842D3D">
        <w:rPr>
          <w:rFonts w:eastAsia="Calibri" w:cs="Times New Roman"/>
          <w:i/>
          <w:iCs/>
          <w:szCs w:val="24"/>
        </w:rPr>
        <w:t>Pinard v. Clatskanie Sch. Dist. 6J</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467 F.3d 755, 759 (9th Cir. 2006). Instead, the proper standard to apply to on campus student speech is set forth in </w:t>
      </w:r>
      <w:r w:rsidRPr="00842D3D">
        <w:rPr>
          <w:rFonts w:eastAsia="Calibri" w:cs="Times New Roman"/>
          <w:i/>
          <w:iCs/>
          <w:szCs w:val="24"/>
        </w:rPr>
        <w:t>Tinker v. Des Moines Independent Community School District</w:t>
      </w:r>
      <w:r w:rsidRPr="00842D3D">
        <w:rPr>
          <w:rFonts w:eastAsia="Calibri" w:cs="Times New Roman"/>
          <w:szCs w:val="24"/>
        </w:rPr>
        <w:t xml:space="preserve">, 393 U.S. 503, 514 (1969). </w:t>
      </w:r>
      <w:r w:rsidRPr="00842D3D">
        <w:rPr>
          <w:rFonts w:eastAsia="Calibri" w:cs="Times New Roman"/>
          <w:i/>
          <w:iCs/>
          <w:szCs w:val="24"/>
        </w:rPr>
        <w:t>Pinard</w:t>
      </w:r>
      <w:r w:rsidRPr="00842D3D">
        <w:rPr>
          <w:rFonts w:eastAsia="Calibri" w:cs="Times New Roman"/>
          <w:szCs w:val="24"/>
        </w:rPr>
        <w:t>, 467 F.3d at 759</w:t>
      </w:r>
      <w:r w:rsidRPr="00842D3D">
        <w:rPr>
          <w:rFonts w:eastAsia="Calibri" w:cs="Times New Roman"/>
          <w:i/>
          <w:iCs/>
          <w:szCs w:val="24"/>
        </w:rPr>
        <w:t>; see Mahanoy Area Sch. Dist. v. B.L. ex rel. Levy</w:t>
      </w:r>
      <w:r w:rsidRPr="00842D3D">
        <w:rPr>
          <w:rFonts w:eastAsia="Calibri" w:cs="Times New Roman"/>
          <w:szCs w:val="24"/>
        </w:rPr>
        <w:t xml:space="preserve">, 594 U.S. 180, 188 (2021) (noting the Court’s prior applications of </w:t>
      </w:r>
      <w:r w:rsidRPr="00842D3D">
        <w:rPr>
          <w:rFonts w:eastAsia="Calibri" w:cs="Times New Roman"/>
          <w:i/>
          <w:iCs/>
          <w:szCs w:val="24"/>
        </w:rPr>
        <w:t xml:space="preserve">Tinker </w:t>
      </w:r>
      <w:r w:rsidRPr="00842D3D">
        <w:rPr>
          <w:rFonts w:eastAsia="Calibri" w:cs="Times New Roman"/>
          <w:szCs w:val="24"/>
        </w:rPr>
        <w:t xml:space="preserve">standard as recognizing schools’ “special interest in regulating speech that ‘materially disrupts classwork or involves substantial disorder or invasion of the rights of others’” (citation omitted)); </w:t>
      </w:r>
      <w:r w:rsidRPr="00842D3D">
        <w:rPr>
          <w:rFonts w:eastAsia="Calibri" w:cs="Times New Roman"/>
          <w:i/>
          <w:iCs/>
          <w:szCs w:val="24"/>
        </w:rPr>
        <w:t>see also Waln v. Dysart School District</w:t>
      </w:r>
      <w:r w:rsidRPr="00842D3D">
        <w:rPr>
          <w:rFonts w:eastAsia="Calibri" w:cs="Times New Roman"/>
          <w:szCs w:val="24"/>
        </w:rPr>
        <w:t>, 54 F.4th 1152, 1161-63 (9th Cir. 2022).</w:t>
      </w:r>
    </w:p>
    <w:p w14:paraId="6250348C" w14:textId="77777777" w:rsidR="00842D3D" w:rsidRPr="00842D3D" w:rsidRDefault="00842D3D" w:rsidP="00842D3D">
      <w:pPr>
        <w:widowControl w:val="0"/>
        <w:ind w:firstLine="720"/>
        <w:rPr>
          <w:rFonts w:eastAsia="Calibri" w:cs="Times New Roman"/>
          <w:szCs w:val="24"/>
        </w:rPr>
      </w:pPr>
    </w:p>
    <w:p w14:paraId="39FCC0C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Relevant considerations into whether speech bears a sufficient nexus to the school include: “(1) the degree and likelihood of harm to the school caused or augured by the speech, (2) whether it was reasonably foreseeable that the speech would reach and impact the school, and (3) the relation between the content and context of the speech and the school.” </w:t>
      </w:r>
      <w:r w:rsidRPr="00842D3D">
        <w:rPr>
          <w:rFonts w:eastAsia="Calibri" w:cs="Times New Roman"/>
          <w:i/>
          <w:iCs/>
          <w:szCs w:val="24"/>
        </w:rPr>
        <w:t>Chen v. Albany Unified Sch. Dist.</w:t>
      </w:r>
      <w:r w:rsidRPr="00842D3D">
        <w:rPr>
          <w:rFonts w:eastAsia="Calibri" w:cs="Times New Roman"/>
          <w:szCs w:val="24"/>
        </w:rPr>
        <w:t xml:space="preserve">, 56 F.4th 708, 720 (9th Cir. 2022); </w:t>
      </w:r>
      <w:r w:rsidRPr="00842D3D">
        <w:rPr>
          <w:rFonts w:eastAsia="Calibri" w:cs="Times New Roman"/>
          <w:i/>
          <w:iCs/>
          <w:szCs w:val="24"/>
        </w:rPr>
        <w:t>see also C.R. v. Eugene Sch. Dist. 4J</w:t>
      </w:r>
      <w:r w:rsidRPr="00842D3D">
        <w:rPr>
          <w:rFonts w:eastAsia="Calibri" w:cs="Times New Roman"/>
          <w:szCs w:val="24"/>
        </w:rPr>
        <w:t xml:space="preserve">, 835 F.3d 1142, 1150-52 (9th Cir. 2016); </w:t>
      </w:r>
      <w:r w:rsidRPr="00842D3D">
        <w:rPr>
          <w:rFonts w:eastAsia="Calibri" w:cs="Times New Roman"/>
          <w:i/>
          <w:iCs/>
          <w:szCs w:val="24"/>
        </w:rPr>
        <w:t>Wynar v. Douglas Cnty. Sch. Dist.</w:t>
      </w:r>
      <w:r w:rsidRPr="00842D3D">
        <w:rPr>
          <w:rFonts w:eastAsia="Calibri" w:cs="Times New Roman"/>
          <w:szCs w:val="24"/>
        </w:rPr>
        <w:t>, 728 F. 3d. 1062, 1069 (9th Cir. 2013).</w:t>
      </w:r>
    </w:p>
    <w:p w14:paraId="307CEEBC" w14:textId="77777777" w:rsidR="00842D3D" w:rsidRPr="00842D3D" w:rsidRDefault="00842D3D" w:rsidP="00842D3D">
      <w:pPr>
        <w:widowControl w:val="0"/>
        <w:ind w:firstLine="720"/>
        <w:rPr>
          <w:rFonts w:eastAsia="Calibri" w:cs="Times New Roman"/>
          <w:szCs w:val="24"/>
        </w:rPr>
      </w:pPr>
    </w:p>
    <w:p w14:paraId="43DF649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842D3D">
        <w:rPr>
          <w:rFonts w:eastAsia="Calibri" w:cs="Times New Roman"/>
          <w:i/>
          <w:iCs/>
          <w:szCs w:val="24"/>
        </w:rPr>
        <w:t>Mahanoy</w:t>
      </w:r>
      <w:r w:rsidRPr="00842D3D">
        <w:rPr>
          <w:rFonts w:eastAsia="Calibri" w:cs="Times New Roman"/>
          <w:szCs w:val="24"/>
        </w:rPr>
        <w:t xml:space="preserve">, 594 U.S. at 189. First, “a school, in relation to off-campus speech, will rarely stand </w:t>
      </w:r>
      <w:r w:rsidRPr="00842D3D">
        <w:rPr>
          <w:rFonts w:eastAsia="Calibri" w:cs="Times New Roman"/>
          <w:i/>
          <w:iCs/>
          <w:szCs w:val="24"/>
        </w:rPr>
        <w:t>in loco parentis</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Second, regulation of off-campus speech coupled with regulation of on-campus speech, encompasses the entirety of the speech a student utters in a day. </w:t>
      </w:r>
      <w:r w:rsidRPr="00842D3D">
        <w:rPr>
          <w:rFonts w:eastAsia="Calibri" w:cs="Times New Roman"/>
          <w:i/>
          <w:iCs/>
          <w:szCs w:val="24"/>
        </w:rPr>
        <w:t xml:space="preserve">Id. </w:t>
      </w:r>
      <w:r w:rsidRPr="00842D3D">
        <w:rPr>
          <w:rFonts w:eastAsia="Calibri" w:cs="Times New Roman"/>
          <w:szCs w:val="24"/>
        </w:rPr>
        <w:t xml:space="preserve">at 189-90. Third, schools must be mindful of their own interest in protecting students’ unpopular expression, particularly when that expression occurs off-campus, consistent with the role of America’s public schools as “nurseries of democracy.” </w:t>
      </w:r>
      <w:r w:rsidRPr="00842D3D">
        <w:rPr>
          <w:rFonts w:eastAsia="Calibri" w:cs="Times New Roman"/>
          <w:i/>
          <w:iCs/>
          <w:szCs w:val="24"/>
        </w:rPr>
        <w:t xml:space="preserve">Id. </w:t>
      </w:r>
      <w:r w:rsidRPr="00842D3D">
        <w:rPr>
          <w:rFonts w:eastAsia="Calibri" w:cs="Times New Roman"/>
          <w:szCs w:val="24"/>
        </w:rPr>
        <w:t>at 190.</w:t>
      </w:r>
    </w:p>
    <w:p w14:paraId="6C2384FE" w14:textId="77777777" w:rsidR="00842D3D" w:rsidRPr="00842D3D" w:rsidRDefault="00842D3D" w:rsidP="00842D3D">
      <w:pPr>
        <w:widowControl w:val="0"/>
        <w:ind w:firstLine="720"/>
        <w:rPr>
          <w:rFonts w:eastAsia="Calibri" w:cs="Times New Roman"/>
          <w:szCs w:val="24"/>
        </w:rPr>
      </w:pPr>
    </w:p>
    <w:p w14:paraId="29B1F9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additional considerations articulated in </w:t>
      </w:r>
      <w:r w:rsidRPr="00842D3D">
        <w:rPr>
          <w:rFonts w:eastAsia="Calibri" w:cs="Times New Roman"/>
          <w:i/>
          <w:iCs/>
          <w:szCs w:val="24"/>
        </w:rPr>
        <w:t xml:space="preserve">Mahanoy </w:t>
      </w:r>
      <w:r w:rsidRPr="00842D3D">
        <w:rPr>
          <w:rFonts w:eastAsia="Calibri" w:cs="Times New Roman"/>
          <w:szCs w:val="24"/>
        </w:rPr>
        <w:t xml:space="preserve">are not inconsistent with the sufficient-nexus test articulated in </w:t>
      </w:r>
      <w:r w:rsidRPr="00842D3D">
        <w:rPr>
          <w:rFonts w:eastAsia="Calibri" w:cs="Times New Roman"/>
          <w:i/>
          <w:iCs/>
          <w:szCs w:val="24"/>
        </w:rPr>
        <w:t>McNeil. Chen</w:t>
      </w:r>
      <w:r w:rsidRPr="00842D3D">
        <w:rPr>
          <w:rFonts w:eastAsia="Calibri" w:cs="Times New Roman"/>
          <w:szCs w:val="24"/>
        </w:rPr>
        <w:t xml:space="preserve">, 56 F.4th at 720. Thus, the proper inquiry “must apply the </w:t>
      </w:r>
      <w:r w:rsidRPr="00842D3D">
        <w:rPr>
          <w:rFonts w:eastAsia="Calibri" w:cs="Times New Roman"/>
          <w:i/>
          <w:iCs/>
          <w:szCs w:val="24"/>
        </w:rPr>
        <w:t xml:space="preserve">McNeil </w:t>
      </w:r>
      <w:r w:rsidRPr="00842D3D">
        <w:rPr>
          <w:rFonts w:eastAsia="Calibri" w:cs="Times New Roman"/>
          <w:szCs w:val="24"/>
        </w:rPr>
        <w:t xml:space="preserve">sufficient-nexus test to the speech at issue . . . , keeping in mind the additional </w:t>
      </w:r>
      <w:r w:rsidRPr="00842D3D">
        <w:rPr>
          <w:rFonts w:eastAsia="Calibri" w:cs="Times New Roman"/>
          <w:szCs w:val="24"/>
        </w:rPr>
        <w:lastRenderedPageBreak/>
        <w:t xml:space="preserve">considerations identified in </w:t>
      </w:r>
      <w:r w:rsidRPr="00842D3D">
        <w:rPr>
          <w:rFonts w:eastAsia="Calibri" w:cs="Times New Roman"/>
          <w:i/>
          <w:iCs/>
          <w:szCs w:val="24"/>
        </w:rPr>
        <w:t>Mahanoy</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w:t>
      </w:r>
    </w:p>
    <w:p w14:paraId="2BC4A0B1" w14:textId="77777777" w:rsidR="00842D3D" w:rsidRPr="00842D3D" w:rsidRDefault="00842D3D" w:rsidP="00842D3D">
      <w:pPr>
        <w:widowControl w:val="0"/>
        <w:ind w:firstLine="720"/>
        <w:rPr>
          <w:rFonts w:eastAsia="Calibri" w:cs="Times New Roman"/>
          <w:szCs w:val="24"/>
        </w:rPr>
      </w:pPr>
    </w:p>
    <w:p w14:paraId="3155724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speech restriction cannot satisfy the time, place, manner test if the restriction does not contain clear standards.” </w:t>
      </w:r>
      <w:r w:rsidRPr="00842D3D">
        <w:rPr>
          <w:rFonts w:eastAsia="Calibri" w:cs="Times New Roman"/>
          <w:i/>
          <w:iCs/>
          <w:szCs w:val="24"/>
        </w:rPr>
        <w:t>OSU Student All. v. Ray</w:t>
      </w:r>
      <w:r w:rsidRPr="00842D3D">
        <w:rPr>
          <w:rFonts w:eastAsia="Calibri" w:cs="Times New Roman"/>
          <w:szCs w:val="24"/>
        </w:rPr>
        <w:t xml:space="preserve">, 699 F.3d 1053, 1066 (9th Cir. 2012); </w:t>
      </w:r>
      <w:r w:rsidRPr="00842D3D">
        <w:rPr>
          <w:rFonts w:eastAsia="Calibri" w:cs="Times New Roman"/>
          <w:i/>
          <w:iCs/>
          <w:szCs w:val="24"/>
        </w:rPr>
        <w:t>see also City of Lakewood v. Plain Dealer Pub. Co.</w:t>
      </w:r>
      <w:r w:rsidRPr="00842D3D">
        <w:rPr>
          <w:rFonts w:eastAsia="Calibri" w:cs="Times New Roman"/>
          <w:szCs w:val="24"/>
        </w:rPr>
        <w:t xml:space="preserve">, 486 U.S. 750, 758 (1988) (“[T]he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 protected under the First Amendment when, based on the totality of the circumstances, the speech bears a sufficient nexus to the school. </w:t>
      </w:r>
      <w:r w:rsidRPr="00842D3D">
        <w:rPr>
          <w:rFonts w:eastAsia="Calibri" w:cs="Times New Roman"/>
          <w:i/>
          <w:iCs/>
          <w:szCs w:val="24"/>
        </w:rPr>
        <w:t>McNeil v. Sherwood Sch. Dist. 88J</w:t>
      </w:r>
      <w:r w:rsidRPr="00842D3D">
        <w:rPr>
          <w:rFonts w:eastAsia="Calibri" w:cs="Times New Roman"/>
          <w:szCs w:val="24"/>
        </w:rPr>
        <w:t>, 918 F.3d 700, 707 (9th Cir. 2019).</w:t>
      </w:r>
    </w:p>
    <w:p w14:paraId="360DEEAD" w14:textId="77777777" w:rsidR="00842D3D" w:rsidRPr="00842D3D" w:rsidRDefault="00842D3D" w:rsidP="00842D3D">
      <w:pPr>
        <w:widowControl w:val="0"/>
        <w:ind w:firstLine="720"/>
        <w:rPr>
          <w:rFonts w:eastAsia="Calibri" w:cs="Times New Roman"/>
          <w:szCs w:val="24"/>
        </w:rPr>
      </w:pPr>
    </w:p>
    <w:p w14:paraId="4F8A375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boundaries between First Amendment protected expression and unprotected business activity by a street performer, see </w:t>
      </w:r>
      <w:r w:rsidRPr="00842D3D">
        <w:rPr>
          <w:rFonts w:eastAsia="Calibri" w:cs="Times New Roman"/>
          <w:i/>
          <w:iCs/>
          <w:szCs w:val="24"/>
        </w:rPr>
        <w:t>Santopietro v. Howell</w:t>
      </w:r>
      <w:r w:rsidRPr="00842D3D">
        <w:rPr>
          <w:rFonts w:eastAsia="Calibri" w:cs="Times New Roman"/>
          <w:szCs w:val="24"/>
        </w:rPr>
        <w:t xml:space="preserve">, 857 F.3d 980 (9th Cir. 2017).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szCs w:val="24"/>
        </w:rPr>
        <w:t>Rhodes v. Robinson</w:t>
      </w:r>
      <w:r w:rsidRPr="00842D3D">
        <w:rPr>
          <w:rFonts w:eastAsia="Calibri" w:cs="Times New Roman"/>
          <w:szCs w:val="24"/>
        </w:rPr>
        <w:t xml:space="preserve">, 408 F.3d 559, 567-68 (9th Cir. 2005) (footnote omitted); </w:t>
      </w:r>
      <w:r w:rsidRPr="00842D3D">
        <w:rPr>
          <w:rFonts w:eastAsia="Calibri" w:cs="Times New Roman"/>
          <w:i/>
          <w:iCs/>
          <w:szCs w:val="24"/>
        </w:rPr>
        <w:t>accord Chavez v. Robinson</w:t>
      </w:r>
      <w:r w:rsidRPr="00842D3D">
        <w:rPr>
          <w:rFonts w:eastAsia="Calibri" w:cs="Times New Roman"/>
          <w:szCs w:val="24"/>
        </w:rPr>
        <w:t xml:space="preserve">, 12 F.4th 978, 1001 (9th Cir. 2021); </w:t>
      </w:r>
      <w:r w:rsidRPr="00842D3D">
        <w:rPr>
          <w:rFonts w:eastAsia="Calibri" w:cs="Times New Roman"/>
          <w:i/>
          <w:szCs w:val="24"/>
          <w:lang w:val="en-CA"/>
        </w:rPr>
        <w:t>Bird v. Dzurenda</w:t>
      </w:r>
      <w:r w:rsidRPr="00842D3D">
        <w:rPr>
          <w:rFonts w:eastAsia="Calibri" w:cs="Times New Roman"/>
          <w:i/>
          <w:szCs w:val="24"/>
        </w:rPr>
        <w:t>,</w:t>
      </w:r>
      <w:r w:rsidRPr="00842D3D">
        <w:rPr>
          <w:rFonts w:eastAsia="Calibri" w:cs="Times New Roman"/>
          <w:szCs w:val="24"/>
        </w:rPr>
        <w:t xml:space="preserve"> 131 F.4th 787, 790-91 (9th Cir. 2025) (concluding that “grievances </w:t>
      </w:r>
      <w:r w:rsidRPr="00842D3D">
        <w:rPr>
          <w:rFonts w:eastAsia="Calibri" w:cs="Times New Roman"/>
          <w:i/>
          <w:iCs/>
          <w:szCs w:val="24"/>
        </w:rPr>
        <w:t>against other prisoners</w:t>
      </w:r>
      <w:r w:rsidRPr="00842D3D">
        <w:rPr>
          <w:rFonts w:eastAsia="Calibri" w:cs="Times New Roman"/>
          <w:szCs w:val="24"/>
        </w:rPr>
        <w:t xml:space="preserve"> implicate different penological interests than grievances </w:t>
      </w:r>
      <w:r w:rsidRPr="00842D3D">
        <w:rPr>
          <w:rFonts w:eastAsia="Calibri" w:cs="Times New Roman"/>
          <w:i/>
          <w:iCs/>
          <w:szCs w:val="24"/>
        </w:rPr>
        <w:t>against prison officials</w:t>
      </w:r>
      <w:r w:rsidRPr="00842D3D">
        <w:rPr>
          <w:rFonts w:eastAsia="Calibri" w:cs="Times New Roman"/>
          <w:szCs w:val="24"/>
        </w:rPr>
        <w:t xml:space="preserve">”). The filing of a grievance or complaint, whether it be verbal or written, formal or informal, is protected conduct. </w:t>
      </w:r>
      <w:r w:rsidRPr="00842D3D">
        <w:rPr>
          <w:rFonts w:eastAsia="Calibri" w:cs="Times New Roman"/>
          <w:i/>
          <w:iCs/>
          <w:szCs w:val="24"/>
        </w:rPr>
        <w:t>Entler v. Gregoire</w:t>
      </w:r>
      <w:r w:rsidRPr="00842D3D">
        <w:rPr>
          <w:rFonts w:eastAsia="Calibri" w:cs="Times New Roman"/>
          <w:szCs w:val="24"/>
        </w:rPr>
        <w:t xml:space="preserve">, 872 F.3d 1031, 1039 (9th Cir. 2017). Threats to sue and/or pursue criminal charges fall within the purview of the constitutionally protected right to file grievances. </w:t>
      </w:r>
      <w:r w:rsidRPr="00842D3D">
        <w:rPr>
          <w:rFonts w:eastAsia="Calibri" w:cs="Times New Roman"/>
          <w:i/>
          <w:iCs/>
          <w:szCs w:val="24"/>
        </w:rPr>
        <w:t xml:space="preserve">Id. </w:t>
      </w:r>
      <w:r w:rsidRPr="00842D3D">
        <w:rPr>
          <w:rFonts w:eastAsia="Calibri" w:cs="Times New Roman"/>
          <w:szCs w:val="24"/>
        </w:rPr>
        <w:t>at 1044</w:t>
      </w:r>
      <w:r w:rsidRPr="00842D3D">
        <w:rPr>
          <w:rFonts w:eastAsia="Calibri" w:cs="Times New Roman"/>
          <w:i/>
          <w:iCs/>
          <w:szCs w:val="24"/>
        </w:rPr>
        <w:t xml:space="preserve">. </w:t>
      </w:r>
      <w:r w:rsidRPr="00842D3D">
        <w:rPr>
          <w:rFonts w:eastAsia="Calibri" w:cs="Times New Roman"/>
          <w:szCs w:val="24"/>
        </w:rPr>
        <w:t xml:space="preserve">“Prisoners have a First Amendment right to receive information while incarcerated,” but this right must be balanced against a prison’s need for effective administration and reform. </w:t>
      </w:r>
      <w:r w:rsidRPr="00842D3D">
        <w:rPr>
          <w:rFonts w:eastAsia="Calibri" w:cs="Times New Roman"/>
          <w:i/>
          <w:iCs/>
          <w:szCs w:val="24"/>
        </w:rPr>
        <w:t>Jones v. Slade</w:t>
      </w:r>
      <w:r w:rsidRPr="00842D3D">
        <w:rPr>
          <w:rFonts w:eastAsia="Calibri" w:cs="Times New Roman"/>
          <w:szCs w:val="24"/>
        </w:rPr>
        <w:t xml:space="preserve">, 23 F.4th 1124, 1134 (9th Cir. 2022). Prison regulations that affect information or mailings available to inmates are reviewed pursuant to the four-factor deferential standard set forth in </w:t>
      </w:r>
      <w:r w:rsidRPr="00842D3D">
        <w:rPr>
          <w:rFonts w:eastAsia="Calibri" w:cs="Times New Roman"/>
          <w:i/>
          <w:iCs/>
          <w:szCs w:val="24"/>
        </w:rPr>
        <w:t>Turner v. Safley</w:t>
      </w:r>
      <w:r w:rsidRPr="00842D3D">
        <w:rPr>
          <w:rFonts w:eastAsia="Calibri" w:cs="Times New Roman"/>
          <w:szCs w:val="24"/>
        </w:rPr>
        <w:t xml:space="preserve">, 482 U.S. 78 (1987). </w:t>
      </w:r>
      <w:r w:rsidRPr="00842D3D">
        <w:rPr>
          <w:rFonts w:eastAsia="Calibri" w:cs="Times New Roman"/>
          <w:i/>
          <w:iCs/>
          <w:szCs w:val="24"/>
        </w:rPr>
        <w:t xml:space="preserve">Id. </w:t>
      </w:r>
      <w:r w:rsidRPr="00842D3D">
        <w:rPr>
          <w:rFonts w:eastAsia="Calibri" w:cs="Times New Roman"/>
          <w:szCs w:val="24"/>
        </w:rPr>
        <w:t xml:space="preserve">at 1134-35 (applying </w:t>
      </w:r>
      <w:r w:rsidRPr="00842D3D">
        <w:rPr>
          <w:rFonts w:eastAsia="Calibri" w:cs="Times New Roman"/>
          <w:i/>
          <w:iCs/>
          <w:szCs w:val="24"/>
        </w:rPr>
        <w:t xml:space="preserve">Turner </w:t>
      </w:r>
      <w:r w:rsidRPr="00842D3D">
        <w:rPr>
          <w:rFonts w:eastAsia="Calibri" w:cs="Times New Roman"/>
          <w:szCs w:val="24"/>
        </w:rPr>
        <w:t xml:space="preserve">standard to music CDs confiscated as contraband per prison regulations); </w:t>
      </w:r>
      <w:r w:rsidRPr="00842D3D">
        <w:rPr>
          <w:rFonts w:eastAsia="Calibri" w:cs="Times New Roman"/>
          <w:i/>
          <w:iCs/>
          <w:szCs w:val="24"/>
        </w:rPr>
        <w:t>see also Prison Legal News v. Ryan</w:t>
      </w:r>
      <w:r w:rsidRPr="00842D3D">
        <w:rPr>
          <w:rFonts w:eastAsia="Calibri" w:cs="Times New Roman"/>
          <w:szCs w:val="24"/>
        </w:rPr>
        <w:t xml:space="preserve">, 39 F.4th 1121, 1131-35 (9th Cir. 2022) (applying </w:t>
      </w:r>
      <w:r w:rsidRPr="00842D3D">
        <w:rPr>
          <w:rFonts w:eastAsia="Calibri" w:cs="Times New Roman"/>
          <w:i/>
          <w:iCs/>
          <w:szCs w:val="24"/>
        </w:rPr>
        <w:t xml:space="preserve">Turner </w:t>
      </w:r>
      <w:r w:rsidRPr="00842D3D">
        <w:rPr>
          <w:rFonts w:eastAsia="Calibri" w:cs="Times New Roman"/>
          <w:szCs w:val="24"/>
        </w:rPr>
        <w:t>standard to prison rule prohibiting inmates from receiving mail containing sexually explicit material).</w:t>
      </w:r>
    </w:p>
    <w:p w14:paraId="047AE6CC" w14:textId="77777777" w:rsidR="00842D3D" w:rsidRPr="00842D3D" w:rsidRDefault="00842D3D" w:rsidP="00842D3D">
      <w:pPr>
        <w:widowControl w:val="0"/>
        <w:rPr>
          <w:rFonts w:eastAsia="Calibri" w:cs="Times New Roman"/>
          <w:szCs w:val="24"/>
        </w:rPr>
      </w:pPr>
    </w:p>
    <w:p w14:paraId="79F4C4D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Within the context of First Amendment retaliatory arrest claims, plaintiffs “must generally ‘plead and prove the absence of probable cause,’ because the presence of probable cause generally ‘speaks to the objective reasonableness of an arrest’ and suggests that the ‘officer’s animus’ is not what caused the arrest.” </w:t>
      </w:r>
      <w:r w:rsidRPr="00842D3D">
        <w:rPr>
          <w:rFonts w:eastAsia="Calibri" w:cs="Times New Roman"/>
          <w:i/>
          <w:iCs/>
          <w:szCs w:val="24"/>
        </w:rPr>
        <w:t>Ballentine v. Tucker</w:t>
      </w:r>
      <w:r w:rsidRPr="00842D3D">
        <w:rPr>
          <w:rFonts w:eastAsia="Calibri" w:cs="Times New Roman"/>
          <w:szCs w:val="24"/>
        </w:rPr>
        <w:t xml:space="preserve">, 28 F.4th 54, 62 (9th Cir. 2022) (quoting </w:t>
      </w:r>
      <w:r w:rsidRPr="00842D3D">
        <w:rPr>
          <w:rFonts w:eastAsia="Calibri" w:cs="Times New Roman"/>
          <w:i/>
          <w:iCs/>
          <w:szCs w:val="24"/>
        </w:rPr>
        <w:t>Nieves v. Bartlett</w:t>
      </w:r>
      <w:r w:rsidRPr="00842D3D">
        <w:rPr>
          <w:rFonts w:eastAsia="Calibri" w:cs="Times New Roman"/>
          <w:szCs w:val="24"/>
        </w:rPr>
        <w:t xml:space="preserve">, 587 U.S. 391, 400 (2019)). However, the Supreme Court has “carved out a ‘narrow’ exception for cases where ‘officers have probable cause to make arrests, but typically exercise their discretion not to do so,’” </w:t>
      </w:r>
      <w:r w:rsidRPr="00842D3D">
        <w:rPr>
          <w:rFonts w:eastAsia="Calibri" w:cs="Times New Roman"/>
          <w:i/>
          <w:iCs/>
          <w:szCs w:val="24"/>
        </w:rPr>
        <w:t>Ballentine</w:t>
      </w:r>
      <w:r w:rsidRPr="00842D3D">
        <w:rPr>
          <w:rFonts w:eastAsia="Calibri" w:cs="Times New Roman"/>
          <w:szCs w:val="24"/>
        </w:rPr>
        <w:t xml:space="preserve">, 28 F.4th at 62 (quoting </w:t>
      </w:r>
      <w:r w:rsidRPr="00842D3D">
        <w:rPr>
          <w:rFonts w:eastAsia="Calibri" w:cs="Times New Roman"/>
          <w:i/>
          <w:iCs/>
          <w:szCs w:val="24"/>
        </w:rPr>
        <w:t>Nieves</w:t>
      </w:r>
      <w:r w:rsidRPr="00842D3D">
        <w:rPr>
          <w:rFonts w:eastAsia="Calibri" w:cs="Times New Roman"/>
          <w:szCs w:val="24"/>
        </w:rPr>
        <w:t xml:space="preserve">, 587 U.S. at 406). In such cases, which involve offenses like jaywalking and defacing public property with chalk, “the </w:t>
      </w:r>
      <w:r w:rsidRPr="00842D3D">
        <w:rPr>
          <w:rFonts w:eastAsia="Calibri" w:cs="Times New Roman"/>
          <w:i/>
          <w:iCs/>
          <w:szCs w:val="24"/>
        </w:rPr>
        <w:t xml:space="preserve">Nieves </w:t>
      </w:r>
      <w:r w:rsidRPr="00842D3D">
        <w:rPr>
          <w:rFonts w:eastAsia="Calibri" w:cs="Times New Roman"/>
          <w:szCs w:val="24"/>
        </w:rPr>
        <w:t xml:space="preserve">exception only applies ‘when a plaintiff presents objective evidence that he was arrested when otherwise similarly situated individuals not engaged in the </w:t>
      </w:r>
      <w:r w:rsidRPr="00842D3D">
        <w:rPr>
          <w:rFonts w:eastAsia="Calibri" w:cs="Times New Roman"/>
          <w:szCs w:val="24"/>
        </w:rPr>
        <w:lastRenderedPageBreak/>
        <w:t xml:space="preserve">same sort of protected speech had not been.’” </w:t>
      </w:r>
      <w:r w:rsidRPr="00842D3D">
        <w:rPr>
          <w:rFonts w:eastAsia="Calibri" w:cs="Times New Roman"/>
          <w:i/>
          <w:iCs/>
          <w:szCs w:val="24"/>
        </w:rPr>
        <w:t xml:space="preserve">Id. </w:t>
      </w:r>
      <w:r w:rsidRPr="00842D3D">
        <w:rPr>
          <w:rFonts w:eastAsia="Calibri" w:cs="Times New Roman"/>
          <w:szCs w:val="24"/>
        </w:rPr>
        <w:t xml:space="preserve">at 407; </w:t>
      </w:r>
      <w:r w:rsidRPr="00842D3D">
        <w:rPr>
          <w:rFonts w:eastAsia="Calibri" w:cs="Times New Roman"/>
          <w:i/>
          <w:iCs/>
          <w:szCs w:val="24"/>
        </w:rPr>
        <w:t>see also Gonzalez v. Trevino</w:t>
      </w:r>
      <w:r w:rsidRPr="00842D3D">
        <w:rPr>
          <w:rFonts w:eastAsia="Calibri" w:cs="Times New Roman"/>
          <w:szCs w:val="24"/>
        </w:rPr>
        <w:t xml:space="preserve">, 602 U.S. 653, 658 (2024) (reversing the Fifth Circuit’s “overly cramped view of </w:t>
      </w:r>
      <w:r w:rsidRPr="00842D3D">
        <w:rPr>
          <w:rFonts w:eastAsia="Calibri" w:cs="Times New Roman"/>
          <w:i/>
          <w:iCs/>
          <w:szCs w:val="24"/>
        </w:rPr>
        <w:t>Nieves</w:t>
      </w:r>
      <w:r w:rsidRPr="00842D3D">
        <w:rPr>
          <w:rFonts w:eastAsia="Calibri" w:cs="Times New Roman"/>
          <w:szCs w:val="24"/>
        </w:rPr>
        <w:t xml:space="preserve">” and explaining that to fall within the </w:t>
      </w:r>
      <w:r w:rsidRPr="00842D3D">
        <w:rPr>
          <w:rFonts w:eastAsia="Calibri" w:cs="Times New Roman"/>
          <w:i/>
          <w:iCs/>
          <w:szCs w:val="24"/>
        </w:rPr>
        <w:t xml:space="preserve">Nieves </w:t>
      </w:r>
      <w:r w:rsidRPr="00842D3D">
        <w:rPr>
          <w:rFonts w:eastAsia="Calibri" w:cs="Times New Roman"/>
          <w:szCs w:val="24"/>
        </w:rPr>
        <w:t>exception a plaintiff must produce objective evidence showing that in circumstances where officers have probable cause to make arrests, they “typically exercise their discretion not to do so”).</w:t>
      </w:r>
    </w:p>
    <w:p w14:paraId="3E2FACA4" w14:textId="77777777" w:rsidR="00842D3D" w:rsidRPr="00842D3D" w:rsidRDefault="00842D3D" w:rsidP="00842D3D">
      <w:pPr>
        <w:widowControl w:val="0"/>
        <w:ind w:firstLine="720"/>
        <w:rPr>
          <w:rFonts w:eastAsia="Calibri" w:cs="Times New Roman"/>
          <w:szCs w:val="24"/>
        </w:rPr>
      </w:pPr>
    </w:p>
    <w:p w14:paraId="45FEEF4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a plaintiff bringing a retaliatory arrest claim establishes that protected conduct was a substantial or motivating factor behind the plaintiff’s arrest, then “the defendant can prevail only by a showing that the [arrest] would have been initiated without respect to retaliation.” </w:t>
      </w:r>
      <w:r w:rsidRPr="00842D3D">
        <w:rPr>
          <w:rFonts w:eastAsia="Calibri" w:cs="Times New Roman"/>
          <w:i/>
          <w:iCs/>
          <w:szCs w:val="24"/>
        </w:rPr>
        <w:t>Ballentine</w:t>
      </w:r>
      <w:r w:rsidRPr="00842D3D">
        <w:rPr>
          <w:rFonts w:eastAsia="Calibri" w:cs="Times New Roman"/>
          <w:szCs w:val="24"/>
        </w:rPr>
        <w:t xml:space="preserve">, 28 F.4th at 63 (quoting </w:t>
      </w:r>
      <w:r w:rsidRPr="00842D3D">
        <w:rPr>
          <w:rFonts w:eastAsia="Calibri" w:cs="Times New Roman"/>
          <w:i/>
          <w:iCs/>
          <w:szCs w:val="24"/>
        </w:rPr>
        <w:t>Nieves</w:t>
      </w:r>
      <w:r w:rsidRPr="00842D3D">
        <w:rPr>
          <w:rFonts w:eastAsia="Calibri" w:cs="Times New Roman"/>
          <w:szCs w:val="24"/>
        </w:rPr>
        <w:t xml:space="preserve">, 587 U.S. at 404, 406-07). If a plaintiff has established 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842D3D">
        <w:rPr>
          <w:rFonts w:eastAsia="Calibri" w:cs="Times New Roman"/>
          <w:i/>
          <w:iCs/>
          <w:szCs w:val="24"/>
        </w:rPr>
        <w:t>Hill v. City of Fountain Valley</w:t>
      </w:r>
      <w:r w:rsidRPr="00842D3D">
        <w:rPr>
          <w:rFonts w:eastAsia="Calibri" w:cs="Times New Roman"/>
          <w:szCs w:val="24"/>
        </w:rPr>
        <w:t xml:space="preserve">, 70 F.4th 507, 518-19 (9th Cir. 2023) (relying on test set out in </w:t>
      </w:r>
      <w:r w:rsidRPr="00842D3D">
        <w:rPr>
          <w:rFonts w:eastAsia="Calibri" w:cs="Times New Roman"/>
          <w:i/>
          <w:iCs/>
          <w:szCs w:val="24"/>
        </w:rPr>
        <w:t>Mt. Healthy City Sch. Dist. Bd. of Educ. v. Doyle</w:t>
      </w:r>
      <w:r w:rsidRPr="00842D3D">
        <w:rPr>
          <w:rFonts w:eastAsia="Calibri" w:cs="Times New Roman"/>
          <w:szCs w:val="24"/>
        </w:rPr>
        <w:t>, 429 U.S. 274 (1977)).</w:t>
      </w:r>
    </w:p>
    <w:p w14:paraId="602DB574" w14:textId="77777777" w:rsidR="00842D3D" w:rsidRPr="00842D3D" w:rsidRDefault="00842D3D" w:rsidP="00842D3D">
      <w:pPr>
        <w:widowControl w:val="0"/>
        <w:ind w:firstLine="720"/>
        <w:rPr>
          <w:rFonts w:eastAsia="Calibri" w:cs="Times New Roman"/>
          <w:szCs w:val="24"/>
        </w:rPr>
      </w:pPr>
    </w:p>
    <w:p w14:paraId="5497145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properly applies to First Amendment claims concerning speech by elected officials. </w:t>
      </w:r>
      <w:r w:rsidRPr="00842D3D">
        <w:rPr>
          <w:rFonts w:eastAsia="Calibri" w:cs="Times New Roman"/>
          <w:i/>
          <w:iCs/>
          <w:szCs w:val="24"/>
        </w:rPr>
        <w:t>See Boquist v. Courtney</w:t>
      </w:r>
      <w:r w:rsidRPr="00842D3D">
        <w:rPr>
          <w:rFonts w:eastAsia="Calibri" w:cs="Times New Roman"/>
          <w:szCs w:val="24"/>
        </w:rPr>
        <w:t xml:space="preserve">, 32 F.4th 764, 774 (9th Cir. 2022) (citing </w:t>
      </w:r>
      <w:r w:rsidRPr="00842D3D">
        <w:rPr>
          <w:rFonts w:eastAsia="Calibri" w:cs="Times New Roman"/>
          <w:i/>
          <w:iCs/>
          <w:szCs w:val="24"/>
        </w:rPr>
        <w:t>Blair v. Bethel Sch. Dist.</w:t>
      </w:r>
      <w:r w:rsidRPr="00842D3D">
        <w:rPr>
          <w:rFonts w:eastAsia="Calibri" w:cs="Times New Roman"/>
          <w:szCs w:val="24"/>
        </w:rPr>
        <w:t xml:space="preserve">, 608 F.3d 540, 542-43 (9th Cir. 2010)). The first element in Instruction 9.11 “is readily met when elected officials express their views and opinions.” </w:t>
      </w:r>
      <w:r w:rsidRPr="00842D3D">
        <w:rPr>
          <w:rFonts w:eastAsia="Calibri" w:cs="Times New Roman"/>
          <w:i/>
          <w:iCs/>
          <w:szCs w:val="24"/>
        </w:rPr>
        <w:t xml:space="preserve">Id. </w:t>
      </w:r>
      <w:r w:rsidRPr="00842D3D">
        <w:rPr>
          <w:rFonts w:eastAsia="Calibri" w:cs="Times New Roman"/>
          <w:szCs w:val="24"/>
        </w:rPr>
        <w:t xml:space="preserve">at 775. However, the second element is more difficult for elected officials to establish. </w:t>
      </w:r>
      <w:r w:rsidRPr="00842D3D">
        <w:rPr>
          <w:rFonts w:eastAsia="Calibri" w:cs="Times New Roman"/>
          <w:i/>
          <w:iCs/>
          <w:szCs w:val="24"/>
        </w:rPr>
        <w:t xml:space="preserve">Id. </w:t>
      </w:r>
      <w:r w:rsidRPr="00842D3D">
        <w:rPr>
          <w:rFonts w:eastAsia="Calibri" w:cs="Times New Roman"/>
          <w:szCs w:val="24"/>
        </w:rPr>
        <w:t xml:space="preserve">at 776. This is because “the First Amendment . . . ‘doesn’t shield public figures from the give-and-take of the political process.’” </w:t>
      </w:r>
      <w:r w:rsidRPr="00842D3D">
        <w:rPr>
          <w:rFonts w:eastAsia="Calibri" w:cs="Times New Roman"/>
          <w:i/>
          <w:iCs/>
          <w:szCs w:val="24"/>
        </w:rPr>
        <w:t xml:space="preserve">Id. </w:t>
      </w:r>
      <w:r w:rsidRPr="00842D3D">
        <w:rPr>
          <w:rFonts w:eastAsia="Calibri" w:cs="Times New Roman"/>
          <w:szCs w:val="24"/>
        </w:rPr>
        <w:t xml:space="preserve">(citing </w:t>
      </w:r>
      <w:r w:rsidRPr="00842D3D">
        <w:rPr>
          <w:rFonts w:eastAsia="Calibri" w:cs="Times New Roman"/>
          <w:i/>
          <w:iCs/>
          <w:szCs w:val="24"/>
        </w:rPr>
        <w:t>Blair</w:t>
      </w:r>
      <w:r w:rsidRPr="00842D3D">
        <w:rPr>
          <w:rFonts w:eastAsia="Calibri" w:cs="Times New Roman"/>
          <w:szCs w:val="24"/>
        </w:rPr>
        <w:t xml:space="preserve">, 608 F.3d at 543-44) (“‘more is fair in electoral politics than in other contexts’”). To establish the second element, an elected official would have to show that the adverse action in question either (i) prevented her from doing her job, (ii) deprived her of authority she enjoyed by virtue of her popular election, or (iii) otherwise prevented her from enjoying the full range of rights and prerogatives that came with being elected. </w:t>
      </w:r>
      <w:r w:rsidRPr="00842D3D">
        <w:rPr>
          <w:rFonts w:eastAsia="Calibri" w:cs="Times New Roman"/>
          <w:i/>
          <w:iCs/>
          <w:szCs w:val="24"/>
        </w:rPr>
        <w:t xml:space="preserve">See Id. </w:t>
      </w:r>
      <w:r w:rsidRPr="00842D3D">
        <w:rPr>
          <w:rFonts w:eastAsia="Calibri" w:cs="Times New Roman"/>
          <w:szCs w:val="24"/>
        </w:rPr>
        <w:t xml:space="preserve">at 777 (citing </w:t>
      </w:r>
      <w:r w:rsidRPr="00842D3D">
        <w:rPr>
          <w:rFonts w:eastAsia="Calibri" w:cs="Times New Roman"/>
          <w:i/>
          <w:iCs/>
          <w:szCs w:val="24"/>
        </w:rPr>
        <w:t>Houston Cmty. Coll. Sys. v. Wilson</w:t>
      </w:r>
      <w:r w:rsidRPr="00842D3D">
        <w:rPr>
          <w:rFonts w:eastAsia="Calibri" w:cs="Times New Roman"/>
          <w:szCs w:val="24"/>
        </w:rPr>
        <w:t xml:space="preserve">, 598 U.S. 468, 479 (2022); </w:t>
      </w:r>
      <w:r w:rsidRPr="00842D3D">
        <w:rPr>
          <w:rFonts w:eastAsia="Calibri" w:cs="Times New Roman"/>
          <w:i/>
          <w:iCs/>
          <w:szCs w:val="24"/>
        </w:rPr>
        <w:t>Blair</w:t>
      </w:r>
      <w:r w:rsidRPr="00842D3D">
        <w:rPr>
          <w:rFonts w:eastAsia="Calibri" w:cs="Times New Roman"/>
          <w:szCs w:val="24"/>
        </w:rPr>
        <w:t>, 608 F.3d at 544 &amp; n.4).</w:t>
      </w:r>
    </w:p>
    <w:p w14:paraId="42F4D282" w14:textId="77777777" w:rsidR="00842D3D" w:rsidRPr="00842D3D" w:rsidRDefault="00842D3D" w:rsidP="00842D3D">
      <w:pPr>
        <w:widowControl w:val="0"/>
        <w:ind w:firstLine="720"/>
        <w:rPr>
          <w:rFonts w:eastAsia="Calibri" w:cs="Times New Roman"/>
          <w:szCs w:val="24"/>
        </w:rPr>
      </w:pPr>
    </w:p>
    <w:p w14:paraId="453C8AD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“commonality of political purpose” inquiry that applies to First Amendment claims made by, </w:t>
      </w:r>
      <w:r w:rsidRPr="00842D3D">
        <w:rPr>
          <w:rFonts w:eastAsia="Calibri" w:cs="Times New Roman"/>
          <w:i/>
          <w:iCs/>
          <w:szCs w:val="24"/>
        </w:rPr>
        <w:t xml:space="preserve">inter alia, </w:t>
      </w:r>
      <w:r w:rsidRPr="00842D3D">
        <w:rPr>
          <w:rFonts w:eastAsia="Calibri" w:cs="Times New Roman"/>
          <w:szCs w:val="24"/>
        </w:rPr>
        <w:t>an appointed volunteer in public service, see</w:t>
      </w:r>
      <w:r w:rsidRPr="00842D3D">
        <w:rPr>
          <w:rFonts w:eastAsia="Calibri" w:cs="Times New Roman"/>
          <w:i/>
          <w:iCs/>
          <w:szCs w:val="24"/>
        </w:rPr>
        <w:t xml:space="preserve"> Lathus v. City of Huntington Beach</w:t>
      </w:r>
      <w:r w:rsidRPr="00842D3D">
        <w:rPr>
          <w:rFonts w:eastAsia="Calibri" w:cs="Times New Roman"/>
          <w:szCs w:val="24"/>
        </w:rPr>
        <w:t xml:space="preserve">, 56 F.4th 1238, 1241 (9th Cir. 2023) (quoting </w:t>
      </w:r>
      <w:r w:rsidRPr="00842D3D">
        <w:rPr>
          <w:rFonts w:eastAsia="Calibri" w:cs="Times New Roman"/>
          <w:i/>
          <w:iCs/>
          <w:szCs w:val="24"/>
        </w:rPr>
        <w:t>Walker v. City of Lakewood</w:t>
      </w:r>
      <w:r w:rsidRPr="00842D3D">
        <w:rPr>
          <w:rFonts w:eastAsia="Calibri" w:cs="Times New Roman"/>
          <w:szCs w:val="24"/>
        </w:rPr>
        <w:t xml:space="preserve">, 272 F.3d 1114, 1132 (9th Cir. 2001). </w:t>
      </w:r>
    </w:p>
    <w:p w14:paraId="3EA703C4" w14:textId="77777777" w:rsidR="00842D3D" w:rsidRPr="00842D3D" w:rsidRDefault="00842D3D" w:rsidP="00842D3D">
      <w:pPr>
        <w:widowControl w:val="0"/>
        <w:ind w:firstLine="720"/>
        <w:rPr>
          <w:rFonts w:eastAsia="Calibri" w:cs="Times New Roman"/>
          <w:szCs w:val="24"/>
        </w:rPr>
      </w:pPr>
    </w:p>
    <w:p w14:paraId="28484FBF"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If the plaintiff establishes a prima facie case of retaliation, “the burden shifts to the defendant official to demonstrate that even without the impetus to retaliate he would have taken the action complained of.” </w:t>
      </w:r>
      <w:r w:rsidRPr="00842D3D">
        <w:rPr>
          <w:rFonts w:eastAsia="Calibri" w:cs="Times New Roman"/>
          <w:i/>
          <w:iCs/>
          <w:szCs w:val="24"/>
        </w:rPr>
        <w:t>Hartman v. Moore</w:t>
      </w:r>
      <w:r w:rsidRPr="00842D3D">
        <w:rPr>
          <w:rFonts w:eastAsia="Calibri" w:cs="Times New Roman"/>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842D3D">
        <w:rPr>
          <w:rFonts w:eastAsia="Calibri" w:cs="Times New Roman"/>
          <w:i/>
          <w:iCs/>
          <w:szCs w:val="24"/>
        </w:rPr>
        <w:t>Boquist</w:t>
      </w:r>
      <w:r w:rsidRPr="00842D3D">
        <w:rPr>
          <w:rFonts w:eastAsia="Calibri" w:cs="Times New Roman"/>
          <w:szCs w:val="24"/>
        </w:rPr>
        <w:t xml:space="preserve">, 32 F.4th at 778 (quoting </w:t>
      </w:r>
      <w:r w:rsidRPr="00842D3D">
        <w:rPr>
          <w:rFonts w:eastAsia="Calibri" w:cs="Times New Roman"/>
          <w:i/>
          <w:iCs/>
          <w:szCs w:val="24"/>
        </w:rPr>
        <w:t>Bostock v. Clayton County</w:t>
      </w:r>
      <w:r w:rsidRPr="00842D3D">
        <w:rPr>
          <w:rFonts w:eastAsia="Calibri" w:cs="Times New Roman"/>
          <w:szCs w:val="24"/>
        </w:rPr>
        <w:t xml:space="preserve">, 590 U.S. 644, 656 (2020)). “If there is a finding that retaliation was not the but-for cause of the [adverse action], the claim fails for lack of causal connection between unconstitutional motive and resulting harm, despite proof of some retaliatory animus in the official’s mind.” </w:t>
      </w:r>
      <w:r w:rsidRPr="00842D3D">
        <w:rPr>
          <w:rFonts w:eastAsia="Calibri" w:cs="Times New Roman"/>
          <w:i/>
          <w:iCs/>
          <w:szCs w:val="24"/>
        </w:rPr>
        <w:t>Hartman</w:t>
      </w:r>
      <w:r w:rsidRPr="00842D3D">
        <w:rPr>
          <w:rFonts w:eastAsia="Calibri" w:cs="Times New Roman"/>
          <w:szCs w:val="24"/>
        </w:rPr>
        <w:t xml:space="preserve">, 547 U.S. at 260. “Conversely, </w:t>
      </w:r>
      <w:r w:rsidRPr="00842D3D">
        <w:rPr>
          <w:rFonts w:eastAsia="Calibri" w:cs="Times New Roman"/>
          <w:szCs w:val="24"/>
        </w:rPr>
        <w:lastRenderedPageBreak/>
        <w:t xml:space="preserve">if the government officials would have taken the same adverse action even in the absence of their animus or retaliatory motive arising from the plaintiff’s speech, then the officials’ animus was not a but-for cause of the adverse action, and there was no violation of the plaintiff’s constitutional rights.” </w:t>
      </w:r>
      <w:r w:rsidRPr="00842D3D">
        <w:rPr>
          <w:rFonts w:eastAsia="Calibri" w:cs="Times New Roman"/>
          <w:i/>
          <w:iCs/>
          <w:szCs w:val="24"/>
        </w:rPr>
        <w:t>Boquist</w:t>
      </w:r>
      <w:r w:rsidRPr="00842D3D">
        <w:rPr>
          <w:rFonts w:eastAsia="Calibri" w:cs="Times New Roman"/>
          <w:szCs w:val="24"/>
        </w:rPr>
        <w:t xml:space="preserve">, 32 F.4th at 778. If state officials can show that they had “an objectively legitimate need to implement security measures in response to information conveyed by the plaintiff’s speech, and would have implemented the same security measures in the absence of any retaliatory motive . . . any unconstitutional motivation would not be a but-for cause of the officials’ action.” </w:t>
      </w:r>
      <w:r w:rsidRPr="00842D3D">
        <w:rPr>
          <w:rFonts w:eastAsia="Calibri" w:cs="Times New Roman"/>
          <w:i/>
          <w:iCs/>
          <w:szCs w:val="24"/>
        </w:rPr>
        <w:t>Id.</w:t>
      </w:r>
    </w:p>
    <w:p w14:paraId="7928082F" w14:textId="77777777" w:rsidR="00842D3D" w:rsidRPr="00842D3D" w:rsidRDefault="00842D3D" w:rsidP="00842D3D">
      <w:pPr>
        <w:widowControl w:val="0"/>
        <w:rPr>
          <w:rFonts w:eastAsia="Calibri" w:cs="Times New Roman"/>
          <w:szCs w:val="24"/>
        </w:rPr>
      </w:pPr>
    </w:p>
    <w:p w14:paraId="0FCEDCF3" w14:textId="77777777" w:rsidR="00842D3D" w:rsidRPr="00842D3D" w:rsidRDefault="00842D3D" w:rsidP="00842D3D">
      <w:pPr>
        <w:widowControl w:val="0"/>
        <w:jc w:val="right"/>
        <w:rPr>
          <w:rFonts w:eastAsia="Calibri" w:cs="Times New Roman"/>
          <w:i/>
          <w:iCs/>
          <w:szCs w:val="24"/>
        </w:rPr>
      </w:pPr>
      <w:r w:rsidRPr="00842D3D">
        <w:rPr>
          <w:rFonts w:eastAsia="Calibri" w:cs="Times New Roman"/>
          <w:i/>
          <w:iCs/>
          <w:szCs w:val="24"/>
        </w:rPr>
        <w:t xml:space="preserve">Revised </w:t>
      </w:r>
      <w:r w:rsidRPr="00842D3D">
        <w:rPr>
          <w:rFonts w:eastAsia="Calibri" w:cs="Times New Roman"/>
          <w:i/>
          <w:szCs w:val="24"/>
        </w:rPr>
        <w:t>September</w:t>
      </w:r>
      <w:r w:rsidRPr="00842D3D">
        <w:rPr>
          <w:rFonts w:eastAsia="Calibri" w:cs="Times New Roman"/>
          <w:i/>
          <w:iCs/>
          <w:szCs w:val="24"/>
        </w:rPr>
        <w:t xml:space="preserve"> 2025</w:t>
      </w:r>
    </w:p>
    <w:p w14:paraId="0DFF2315" w14:textId="77777777" w:rsidR="00842D3D" w:rsidRPr="00842D3D" w:rsidRDefault="00842D3D" w:rsidP="00842D3D">
      <w:pPr>
        <w:autoSpaceDE w:val="0"/>
        <w:autoSpaceDN w:val="0"/>
        <w:adjustRightInd w:val="0"/>
        <w:rPr>
          <w:rFonts w:eastAsia="Calibri" w:cs="Times New Roman"/>
          <w:szCs w:val="24"/>
        </w:rPr>
      </w:pPr>
    </w:p>
    <w:p w14:paraId="0FF19714" w14:textId="701EA469" w:rsidR="00842D3D" w:rsidRPr="00842D3D" w:rsidRDefault="00842D3D" w:rsidP="00FF121D">
      <w:pPr>
        <w:pStyle w:val="Heading2"/>
      </w:pPr>
      <w:r w:rsidRPr="00842D3D">
        <w:br w:type="page"/>
      </w:r>
      <w:bookmarkStart w:id="156" w:name="_Toc221525176"/>
      <w:r w:rsidRPr="00842D3D">
        <w:lastRenderedPageBreak/>
        <w:t>9.1</w:t>
      </w:r>
      <w:r w:rsidR="00312126">
        <w:t>2</w:t>
      </w:r>
      <w:r w:rsidRPr="00842D3D">
        <w:t xml:space="preserve"> Particular Rights—First Amendment—Convicted Prisoner/Pretrial Detainee’s Claim of Retaliation</w:t>
      </w:r>
      <w:bookmarkEnd w:id="156"/>
    </w:p>
    <w:p w14:paraId="423D8174" w14:textId="77777777" w:rsidR="00842D3D" w:rsidRPr="00842D3D" w:rsidRDefault="00842D3D" w:rsidP="00842D3D">
      <w:pPr>
        <w:widowControl w:val="0"/>
        <w:rPr>
          <w:rFonts w:eastAsia="Calibri" w:cs="Times New Roman"/>
          <w:szCs w:val="24"/>
        </w:rPr>
      </w:pPr>
    </w:p>
    <w:p w14:paraId="4C9C18E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As </w:t>
      </w:r>
      <w:r w:rsidRPr="00842D3D">
        <w:rPr>
          <w:rFonts w:eastAsia="Calibri" w:cs="Times New Roman"/>
        </w:rPr>
        <w:t>previously explained, the plaintiff</w:t>
      </w:r>
      <w:bookmarkStart w:id="157" w:name="_Hlk204165103"/>
      <w:r w:rsidRPr="00842D3D">
        <w:rPr>
          <w:rFonts w:eastAsia="Calibri" w:cs="Times New Roman"/>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157"/>
      <w:r w:rsidRPr="00842D3D">
        <w:rPr>
          <w:rFonts w:eastAsia="Calibri" w:cs="Times New Roman"/>
        </w:rPr>
        <w:t xml:space="preserve"> has the burden of proving that the [act[s]] [failure to act]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of particular rights under the United States Constitution. In this case,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alleges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rights under the First Amendment to the Constitution when [</w:t>
      </w:r>
      <w:r w:rsidRPr="00842D3D">
        <w:rPr>
          <w:rFonts w:eastAsia="Calibri" w:cs="Times New Roman"/>
          <w:i/>
          <w:iCs/>
          <w:u w:val="single"/>
        </w:rPr>
        <w:t>insert factual basis of the plaintiff’s claims</w:t>
      </w:r>
      <w:r w:rsidRPr="00842D3D">
        <w:rPr>
          <w:rFonts w:eastAsia="Calibri" w:cs="Times New Roman"/>
        </w:rPr>
        <w:t>].</w:t>
      </w:r>
    </w:p>
    <w:p w14:paraId="1B7446FD" w14:textId="77777777" w:rsidR="00842D3D" w:rsidRPr="00842D3D" w:rsidRDefault="00842D3D" w:rsidP="00842D3D">
      <w:pPr>
        <w:widowControl w:val="0"/>
        <w:ind w:firstLine="720"/>
        <w:rPr>
          <w:rFonts w:eastAsia="Calibri" w:cs="Times New Roman"/>
        </w:rPr>
      </w:pPr>
    </w:p>
    <w:p w14:paraId="56D40F0E" w14:textId="77777777" w:rsidR="00842D3D" w:rsidRPr="00842D3D" w:rsidRDefault="00842D3D" w:rsidP="00842D3D">
      <w:pPr>
        <w:widowControl w:val="0"/>
        <w:rPr>
          <w:rFonts w:eastAsia="Calibri" w:cs="Times New Roman"/>
        </w:rPr>
      </w:pPr>
      <w:r w:rsidRPr="00842D3D">
        <w:rPr>
          <w:rFonts w:eastAsia="Calibri" w:cs="Times New Roman"/>
        </w:rPr>
        <w:tab/>
        <w:t>Under the First Amendment, a [prisoner] [pretrial detainee] has the right to access the courts and petition the government for redress of grievances. This includes the right to [file prison grievances] [pursue civil rights litigation against prison officials] [</w:t>
      </w:r>
      <w:r w:rsidRPr="00842D3D">
        <w:rPr>
          <w:rFonts w:eastAsia="Calibri" w:cs="Times New Roman"/>
          <w:i/>
          <w:iCs/>
          <w:u w:val="single"/>
        </w:rPr>
        <w:t>specify particular constitutional interest</w:t>
      </w:r>
      <w:r w:rsidRPr="00842D3D">
        <w:rPr>
          <w:rFonts w:eastAsia="Calibri" w:cs="Times New Roman"/>
        </w:rPr>
        <w:t>]. To establish the defendant deprived the plaintiff of this First Amendment right, the plaintiff must prove the following additional elements by a preponderance of the evidence:</w:t>
      </w:r>
    </w:p>
    <w:p w14:paraId="2052804D" w14:textId="77777777" w:rsidR="00842D3D" w:rsidRPr="00842D3D" w:rsidRDefault="00842D3D" w:rsidP="00842D3D">
      <w:pPr>
        <w:widowControl w:val="0"/>
        <w:rPr>
          <w:rFonts w:eastAsia="Calibri" w:cs="Times New Roman"/>
        </w:rPr>
      </w:pPr>
    </w:p>
    <w:p w14:paraId="1810D94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First,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was engaged in conduct protected under the First Amendment;</w:t>
      </w:r>
    </w:p>
    <w:p w14:paraId="596B2678" w14:textId="77777777" w:rsidR="00842D3D" w:rsidRPr="00842D3D" w:rsidRDefault="00842D3D" w:rsidP="00842D3D">
      <w:pPr>
        <w:widowControl w:val="0"/>
        <w:ind w:firstLine="720"/>
        <w:rPr>
          <w:rFonts w:eastAsia="Calibri" w:cs="Times New Roman"/>
        </w:rPr>
      </w:pPr>
    </w:p>
    <w:p w14:paraId="7EAFA89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Second,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w:t>
      </w:r>
    </w:p>
    <w:p w14:paraId="33E40213" w14:textId="77777777" w:rsidR="00842D3D" w:rsidRPr="00842D3D" w:rsidRDefault="00842D3D" w:rsidP="00842D3D">
      <w:pPr>
        <w:widowControl w:val="0"/>
        <w:ind w:firstLine="720"/>
        <w:rPr>
          <w:rFonts w:eastAsia="Calibri" w:cs="Times New Roman"/>
        </w:rPr>
      </w:pPr>
    </w:p>
    <w:p w14:paraId="4D305C8E"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Third,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because of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535BA2A1" w14:textId="77777777" w:rsidR="00842D3D" w:rsidRPr="00842D3D" w:rsidRDefault="00842D3D" w:rsidP="00842D3D">
      <w:pPr>
        <w:widowControl w:val="0"/>
        <w:ind w:firstLine="720"/>
        <w:rPr>
          <w:rFonts w:eastAsia="Calibri" w:cs="Times New Roman"/>
        </w:rPr>
      </w:pPr>
    </w:p>
    <w:p w14:paraId="7D7ADBAB"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Fourth, the adverse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chilled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exercise 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First Amendment rights; and</w:t>
      </w:r>
    </w:p>
    <w:p w14:paraId="6D4A1F83" w14:textId="77777777" w:rsidR="00842D3D" w:rsidRPr="00842D3D" w:rsidRDefault="00842D3D" w:rsidP="00842D3D">
      <w:pPr>
        <w:widowControl w:val="0"/>
        <w:ind w:firstLine="720"/>
        <w:rPr>
          <w:rFonts w:eastAsia="Calibri" w:cs="Times New Roman"/>
        </w:rPr>
      </w:pPr>
    </w:p>
    <w:p w14:paraId="4FA7D01C"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Fifth, the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did not reasonably advance a legitimate correctional goal.</w:t>
      </w:r>
    </w:p>
    <w:p w14:paraId="73E7B52F" w14:textId="77777777" w:rsidR="00842D3D" w:rsidRPr="00842D3D" w:rsidRDefault="00842D3D" w:rsidP="00842D3D">
      <w:pPr>
        <w:widowControl w:val="0"/>
        <w:rPr>
          <w:rFonts w:eastAsia="Calibri" w:cs="Times New Roman"/>
        </w:rPr>
      </w:pPr>
    </w:p>
    <w:p w14:paraId="1B1EC550" w14:textId="77777777" w:rsidR="00842D3D" w:rsidRPr="00842D3D" w:rsidRDefault="00842D3D" w:rsidP="00842D3D">
      <w:pPr>
        <w:widowControl w:val="0"/>
        <w:ind w:firstLine="720"/>
        <w:rPr>
          <w:rFonts w:eastAsia="Calibri" w:cs="Times New Roman"/>
        </w:rPr>
      </w:pPr>
      <w:r w:rsidRPr="00842D3D">
        <w:rPr>
          <w:rFonts w:eastAsia="Calibri" w:cs="Times New Roman"/>
        </w:rPr>
        <w:t>For this type of claim, adverse action is action that would chill or silence a person of ordinary firmness from engaging in that activity.</w:t>
      </w:r>
    </w:p>
    <w:p w14:paraId="06843DA5" w14:textId="77777777" w:rsidR="00842D3D" w:rsidRPr="00842D3D" w:rsidRDefault="00842D3D" w:rsidP="00842D3D">
      <w:pPr>
        <w:widowControl w:val="0"/>
        <w:ind w:firstLine="720"/>
        <w:rPr>
          <w:rFonts w:eastAsia="Calibri" w:cs="Times New Roman"/>
        </w:rPr>
      </w:pPr>
    </w:p>
    <w:p w14:paraId="1A3DA388"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To prevail,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must show that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protected conduct was the substantial or motivating factor behind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conduct. A substantial or motivating factor is a significant factor. [The chronology of events may be considered as circumstantial evidence of a causal connection between the adverse action and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49B761E9" w14:textId="77777777" w:rsidR="00842D3D" w:rsidRPr="00842D3D" w:rsidRDefault="00842D3D" w:rsidP="00842D3D">
      <w:pPr>
        <w:widowControl w:val="0"/>
        <w:rPr>
          <w:rFonts w:eastAsia="Calibri" w:cs="Times New Roman"/>
        </w:rPr>
      </w:pPr>
    </w:p>
    <w:p w14:paraId="1B3408C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640972D" w14:textId="77777777" w:rsidR="00842D3D" w:rsidRPr="00842D3D" w:rsidRDefault="00842D3D" w:rsidP="00842D3D">
      <w:pPr>
        <w:autoSpaceDE w:val="0"/>
        <w:autoSpaceDN w:val="0"/>
        <w:adjustRightInd w:val="0"/>
        <w:rPr>
          <w:rFonts w:eastAsia="Calibri" w:cs="Times New Roman"/>
          <w:b/>
          <w:bCs/>
          <w:szCs w:val="24"/>
        </w:rPr>
      </w:pPr>
    </w:p>
    <w:p w14:paraId="66F462A0" w14:textId="77777777" w:rsidR="00842D3D" w:rsidRPr="00842D3D" w:rsidRDefault="00842D3D" w:rsidP="00842D3D">
      <w:pPr>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convicted prisoner or a pretrial detainee.</w:t>
      </w:r>
    </w:p>
    <w:p w14:paraId="487886B1" w14:textId="77777777" w:rsidR="00842D3D" w:rsidRPr="00842D3D" w:rsidRDefault="00842D3D" w:rsidP="00842D3D">
      <w:pPr>
        <w:rPr>
          <w:rFonts w:eastAsia="Calibri" w:cs="Times New Roman"/>
          <w:szCs w:val="24"/>
        </w:rPr>
      </w:pPr>
    </w:p>
    <w:p w14:paraId="52D403B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Allegations of retaliation against a prisoner’s First Amendment rights to speech or to petition the government may support a section 1983 claim. </w:t>
      </w:r>
      <w:r w:rsidRPr="00842D3D">
        <w:rPr>
          <w:rFonts w:eastAsia="Calibri" w:cs="Times New Roman"/>
          <w:i/>
          <w:iCs/>
        </w:rPr>
        <w:t>Pratt v. Rowland</w:t>
      </w:r>
      <w:r w:rsidRPr="00842D3D">
        <w:rPr>
          <w:rFonts w:eastAsia="Calibri" w:cs="Times New Roman"/>
        </w:rPr>
        <w:t xml:space="preserve">, 65 F.3d 802, 807 </w:t>
      </w:r>
      <w:r w:rsidRPr="00842D3D">
        <w:rPr>
          <w:rFonts w:eastAsia="Calibri" w:cs="Times New Roman"/>
        </w:rPr>
        <w:lastRenderedPageBreak/>
        <w:t xml:space="preserve">(9th Cir. 1995); </w:t>
      </w:r>
      <w:r w:rsidRPr="00842D3D">
        <w:rPr>
          <w:rFonts w:eastAsia="Calibri" w:cs="Times New Roman"/>
          <w:i/>
          <w:iCs/>
        </w:rPr>
        <w:t>Valandingham v. Bojorquez</w:t>
      </w:r>
      <w:r w:rsidRPr="00842D3D">
        <w:rPr>
          <w:rFonts w:eastAsia="Calibri" w:cs="Times New Roman"/>
        </w:rPr>
        <w:t xml:space="preserve">, 866 F.2d 1135, 1138 (9th Cir. 1989) (holding that labeling a prisoner a snitch in retaliation for petitioning prison and government officials for redress of grievances states a viable claim); </w:t>
      </w:r>
      <w:r w:rsidRPr="00842D3D">
        <w:rPr>
          <w:rFonts w:eastAsia="Calibri" w:cs="Times New Roman"/>
          <w:i/>
          <w:iCs/>
        </w:rPr>
        <w:t>Rizzo v. Dawson</w:t>
      </w:r>
      <w:r w:rsidRPr="00842D3D">
        <w:rPr>
          <w:rFonts w:eastAsia="Calibri" w:cs="Times New Roman"/>
        </w:rPr>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rPr>
        <w:t>Rhodes v. Robinson</w:t>
      </w:r>
      <w:r w:rsidRPr="00842D3D">
        <w:rPr>
          <w:rFonts w:eastAsia="Calibri" w:cs="Times New Roman"/>
        </w:rPr>
        <w:t xml:space="preserve">, 408 F.3d 559, 567-68 (9th Cir. 2005); </w:t>
      </w:r>
      <w:r w:rsidRPr="00842D3D">
        <w:rPr>
          <w:rFonts w:eastAsia="Calibri" w:cs="Times New Roman"/>
          <w:i/>
          <w:iCs/>
        </w:rPr>
        <w:t xml:space="preserve">accord </w:t>
      </w:r>
      <w:r w:rsidRPr="00842D3D">
        <w:rPr>
          <w:rFonts w:eastAsia="Calibri" w:cs="Times New Roman"/>
          <w:i/>
          <w:lang w:val="en-CA"/>
        </w:rPr>
        <w:t>Bird v. Dzurenda</w:t>
      </w:r>
      <w:r w:rsidRPr="00842D3D">
        <w:rPr>
          <w:rFonts w:eastAsia="Calibri" w:cs="Times New Roman"/>
          <w:iCs/>
        </w:rPr>
        <w:t>,</w:t>
      </w:r>
      <w:r w:rsidRPr="00842D3D">
        <w:rPr>
          <w:rFonts w:eastAsia="Calibri" w:cs="Times New Roman"/>
        </w:rPr>
        <w:t xml:space="preserve"> 131 F.4th 787, 790 (9th Cir. 2025) (identifying same elements).</w:t>
      </w:r>
    </w:p>
    <w:p w14:paraId="2A9FBEBA" w14:textId="77777777" w:rsidR="00842D3D" w:rsidRPr="00842D3D" w:rsidRDefault="00842D3D" w:rsidP="00842D3D">
      <w:pPr>
        <w:widowControl w:val="0"/>
        <w:ind w:firstLine="720"/>
        <w:rPr>
          <w:rFonts w:eastAsia="Calibri" w:cs="Times New Roman"/>
        </w:rPr>
      </w:pPr>
    </w:p>
    <w:p w14:paraId="4D64BC56"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The filing of grievances and the pursuit of civil rights litigation against prison officials are both protected activities. </w:t>
      </w:r>
      <w:r w:rsidRPr="00842D3D">
        <w:rPr>
          <w:rFonts w:eastAsia="Calibri" w:cs="Times New Roman"/>
          <w:i/>
          <w:iCs/>
        </w:rPr>
        <w:t>Rhodes</w:t>
      </w:r>
      <w:r w:rsidRPr="00842D3D">
        <w:rPr>
          <w:rFonts w:eastAsia="Calibri" w:cs="Times New Roman"/>
        </w:rPr>
        <w:t xml:space="preserve">, 408 F.3d at 567-68; </w:t>
      </w:r>
      <w:r w:rsidRPr="00842D3D">
        <w:rPr>
          <w:rFonts w:eastAsia="Calibri" w:cs="Times New Roman"/>
          <w:i/>
          <w:iCs/>
        </w:rPr>
        <w:t>see also Blaisdell v. Frappiea</w:t>
      </w:r>
      <w:r w:rsidRPr="00842D3D">
        <w:rPr>
          <w:rFonts w:eastAsia="Calibri" w:cs="Times New Roman"/>
        </w:rPr>
        <w:t xml:space="preserve">, 729 F.3d 1237, 1243 (9th Cir. 2013) (“Prisoners have the right to litigate without active interference, a guarantee that exists so prisoners have a viable mechanism to remedy prison injustices.”) (internal quotation marks, brackets, and citation omitted). However, the Ninth Circuit has not recognized a prisoner’s filing of a grievance against another prisoner as a protected activity. </w:t>
      </w:r>
      <w:r w:rsidRPr="00842D3D">
        <w:rPr>
          <w:rFonts w:eastAsia="Calibri" w:cs="Times New Roman"/>
          <w:i/>
        </w:rPr>
        <w:t xml:space="preserve">See </w:t>
      </w:r>
      <w:r w:rsidRPr="00842D3D">
        <w:rPr>
          <w:rFonts w:eastAsia="Calibri" w:cs="Times New Roman"/>
          <w:i/>
          <w:lang w:val="en-CA"/>
        </w:rPr>
        <w:t>Bird</w:t>
      </w:r>
      <w:r w:rsidRPr="00842D3D">
        <w:rPr>
          <w:rFonts w:eastAsia="Calibri" w:cs="Times New Roman"/>
          <w:iCs/>
        </w:rPr>
        <w:t xml:space="preserve">, </w:t>
      </w:r>
      <w:r w:rsidRPr="00842D3D">
        <w:rPr>
          <w:rFonts w:eastAsia="Calibri" w:cs="Times New Roman"/>
        </w:rPr>
        <w:t>131 F.4th at 791-92 (concluding that “neither the Supreme Court nor the Ninth Circuit has ever held that retaliation for complaints against other prisoners violates the First Amendment right to petition for redress of grievances” and thus that such a claim did not rest on a violation of “clearly established law” for purposes of the defendants’ qualified immunity defense).</w:t>
      </w:r>
    </w:p>
    <w:p w14:paraId="2C9A161F" w14:textId="77777777" w:rsidR="00842D3D" w:rsidRPr="00842D3D" w:rsidRDefault="00842D3D" w:rsidP="00842D3D">
      <w:pPr>
        <w:widowControl w:val="0"/>
        <w:ind w:firstLine="720"/>
        <w:rPr>
          <w:rFonts w:eastAsia="Calibri" w:cs="Times New Roman"/>
        </w:rPr>
      </w:pPr>
    </w:p>
    <w:p w14:paraId="2E4F65CD"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Adverse action taken against a prisoner “need not be an independent constitutional violation. The mere threat of harm can be an adverse action.” </w:t>
      </w:r>
      <w:r w:rsidRPr="00842D3D">
        <w:rPr>
          <w:rFonts w:eastAsia="Calibri" w:cs="Times New Roman"/>
          <w:i/>
          <w:iCs/>
        </w:rPr>
        <w:t>Watison v. Carter</w:t>
      </w:r>
      <w:r w:rsidRPr="00842D3D">
        <w:rPr>
          <w:rFonts w:eastAsia="Calibri" w:cs="Times New Roman"/>
        </w:rPr>
        <w:t xml:space="preserve">, 668 F.3d 1108, 1114 (9th Cir. 2012) (internal brackets and citations omitted). Adverse actions include threats of discipline, transfer, or harm and do not need to be an independent constitutional violation. </w:t>
      </w:r>
      <w:r w:rsidRPr="00842D3D">
        <w:rPr>
          <w:rFonts w:eastAsia="Calibri" w:cs="Times New Roman"/>
          <w:i/>
          <w:iCs/>
        </w:rPr>
        <w:t>Brodheim v. Cry</w:t>
      </w:r>
      <w:r w:rsidRPr="00842D3D">
        <w:rPr>
          <w:rFonts w:eastAsia="Calibri" w:cs="Times New Roman"/>
        </w:rPr>
        <w:t xml:space="preserve">, 584 F.3d 1262, 1269-70 (9th Cir. 2009) (holding that an inmate may prevail on a First Amendment claim against an officer where the officer threatens to transfer the inmate in retaliation for persistent use of the prison grievance system); </w:t>
      </w:r>
      <w:r w:rsidRPr="00842D3D">
        <w:rPr>
          <w:rFonts w:eastAsia="Calibri" w:cs="Times New Roman"/>
          <w:i/>
          <w:iCs/>
        </w:rPr>
        <w:t>see Austin v. Terhune</w:t>
      </w:r>
      <w:r w:rsidRPr="00842D3D">
        <w:rPr>
          <w:rFonts w:eastAsia="Calibri" w:cs="Times New Roman"/>
        </w:rPr>
        <w:t>, 367 F.3d 1167, 1171 (9th Cir. 2004) (stating that a false accusation may constitute retaliation where deprivation of a benefit “was the natural and proximate result of” the false accusation and one can infer based on the facts alleged that the accuser “intended that result”).</w:t>
      </w:r>
    </w:p>
    <w:p w14:paraId="37012857" w14:textId="77777777" w:rsidR="00842D3D" w:rsidRPr="00842D3D" w:rsidRDefault="00842D3D" w:rsidP="00842D3D">
      <w:pPr>
        <w:ind w:firstLine="720"/>
        <w:rPr>
          <w:rFonts w:eastAsia="Calibri" w:cs="Times New Roman"/>
        </w:rPr>
      </w:pPr>
    </w:p>
    <w:p w14:paraId="4275544B" w14:textId="77777777" w:rsidR="00842D3D" w:rsidRPr="00842D3D" w:rsidRDefault="00842D3D" w:rsidP="00842D3D">
      <w:pPr>
        <w:ind w:firstLine="720"/>
        <w:rPr>
          <w:rFonts w:eastAsia="Calibri" w:cs="Times New Roman"/>
        </w:rPr>
      </w:pPr>
      <w:r w:rsidRPr="00842D3D">
        <w:rPr>
          <w:rFonts w:eastAsia="Calibri" w:cs="Times New Roman"/>
        </w:rPr>
        <w:t xml:space="preserve">To establish a retaliatory motive, an inmate “must show that his protected conduct was the substantial or motivating factor behind the defendant’s conduct.” </w:t>
      </w:r>
      <w:r w:rsidRPr="00842D3D">
        <w:rPr>
          <w:rFonts w:eastAsia="Calibri" w:cs="Times New Roman"/>
          <w:i/>
          <w:iCs/>
        </w:rPr>
        <w:t>Johnson v. Ryan</w:t>
      </w:r>
      <w:r w:rsidRPr="00842D3D">
        <w:rPr>
          <w:rFonts w:eastAsia="Calibri" w:cs="Times New Roman"/>
        </w:rPr>
        <w:t>, 55 F.4th 1167, 1201-02 (9th Cir. 2022) (citing</w:t>
      </w:r>
      <w:r w:rsidRPr="00842D3D">
        <w:rPr>
          <w:rFonts w:eastAsia="Calibri" w:cs="Times New Roman"/>
          <w:i/>
          <w:iCs/>
        </w:rPr>
        <w:t xml:space="preserve"> Brodheim</w:t>
      </w:r>
      <w:r w:rsidRPr="00842D3D">
        <w:rPr>
          <w:rFonts w:eastAsia="Calibri" w:cs="Times New Roman"/>
        </w:rPr>
        <w:t xml:space="preserve">, 584 F.3d at 1271). A plaintiff may offer “either direct evidence of retaliatory motive or at least one of three general types of circumstantial evidence [of that motive].” </w:t>
      </w:r>
      <w:r w:rsidRPr="00842D3D">
        <w:rPr>
          <w:rFonts w:eastAsia="Calibri" w:cs="Times New Roman"/>
          <w:i/>
          <w:iCs/>
        </w:rPr>
        <w:t>McCollum v. Cal. Dep’t of Corr. &amp; Rehab.</w:t>
      </w:r>
      <w:r w:rsidRPr="00842D3D">
        <w:rPr>
          <w:rFonts w:eastAsia="Calibri" w:cs="Times New Roman"/>
        </w:rPr>
        <w:t xml:space="preserve">, 647 F.3d 870, 882 (9th Cir. 2011) (quoting </w:t>
      </w:r>
      <w:r w:rsidRPr="00842D3D">
        <w:rPr>
          <w:rFonts w:eastAsia="Calibri" w:cs="Times New Roman"/>
          <w:i/>
          <w:iCs/>
        </w:rPr>
        <w:t>Allen v. Iranon</w:t>
      </w:r>
      <w:r w:rsidRPr="00842D3D">
        <w:rPr>
          <w:rFonts w:eastAsia="Calibri" w:cs="Times New Roman"/>
        </w:rPr>
        <w:t xml:space="preserve">, 283 F.3d 1070, 1077 (9th Cir. 2002)). Circumstantial evidence of motive includes: (1) proximity in time between the protected conduct and the alleged retaliation, (2) the defendant’s expressed opposition to the conduct, or (3) other evidence that the reasons proffered by the defendant for the adverse action were false and pretextual. </w:t>
      </w:r>
      <w:r w:rsidRPr="00842D3D">
        <w:rPr>
          <w:rFonts w:eastAsia="Calibri" w:cs="Times New Roman"/>
          <w:i/>
          <w:iCs/>
        </w:rPr>
        <w:t>McCollum</w:t>
      </w:r>
      <w:r w:rsidRPr="00842D3D">
        <w:rPr>
          <w:rFonts w:eastAsia="Calibri" w:cs="Times New Roman"/>
        </w:rPr>
        <w:t xml:space="preserve">, 647 F.3d at 882 (citing </w:t>
      </w:r>
      <w:r w:rsidRPr="00842D3D">
        <w:rPr>
          <w:rFonts w:eastAsia="Calibri" w:cs="Times New Roman"/>
          <w:i/>
          <w:iCs/>
        </w:rPr>
        <w:t>Allen</w:t>
      </w:r>
      <w:r w:rsidRPr="00842D3D">
        <w:rPr>
          <w:rFonts w:eastAsia="Calibri" w:cs="Times New Roman"/>
        </w:rPr>
        <w:t xml:space="preserve">, 283 F.3d at 1077). A causal connection between the adverse action and the protected conduct can be shown by a chronology of events from which retaliation can be </w:t>
      </w:r>
      <w:r w:rsidRPr="00842D3D">
        <w:rPr>
          <w:rFonts w:eastAsia="Calibri" w:cs="Times New Roman"/>
        </w:rPr>
        <w:lastRenderedPageBreak/>
        <w:t xml:space="preserve">inferred. </w:t>
      </w:r>
      <w:r w:rsidRPr="00842D3D">
        <w:rPr>
          <w:rFonts w:eastAsia="Calibri" w:cs="Times New Roman"/>
          <w:i/>
          <w:iCs/>
        </w:rPr>
        <w:t>Watison</w:t>
      </w:r>
      <w:r w:rsidRPr="00842D3D">
        <w:rPr>
          <w:rFonts w:eastAsia="Calibri" w:cs="Times New Roman"/>
        </w:rPr>
        <w:t xml:space="preserve">, 668 F.3d at 1114; </w:t>
      </w:r>
      <w:r w:rsidRPr="00842D3D">
        <w:rPr>
          <w:rFonts w:eastAsia="Calibri" w:cs="Times New Roman"/>
          <w:i/>
          <w:iCs/>
        </w:rPr>
        <w:t>Pratt</w:t>
      </w:r>
      <w:r w:rsidRPr="00842D3D">
        <w:rPr>
          <w:rFonts w:eastAsia="Calibri" w:cs="Times New Roman"/>
        </w:rPr>
        <w:t xml:space="preserve">, 65 F.3d at 808 (“[T]iming can properly be considered as circumstantial evidence of retaliatory intent.”). Mere speculation that the defendants acted out of retaliation is not sufficient. </w:t>
      </w:r>
      <w:r w:rsidRPr="00842D3D">
        <w:rPr>
          <w:rFonts w:eastAsia="Calibri" w:cs="Times New Roman"/>
          <w:i/>
          <w:iCs/>
        </w:rPr>
        <w:t>Wood v. Yordy</w:t>
      </w:r>
      <w:r w:rsidRPr="00842D3D">
        <w:rPr>
          <w:rFonts w:eastAsia="Calibri" w:cs="Times New Roman"/>
        </w:rPr>
        <w:t>, 753 F.3d 899, 905 (9th Cir. 2014).</w:t>
      </w:r>
    </w:p>
    <w:p w14:paraId="2A2F8E0D" w14:textId="77777777" w:rsidR="00842D3D" w:rsidRPr="00842D3D" w:rsidRDefault="00842D3D" w:rsidP="00842D3D">
      <w:pPr>
        <w:ind w:firstLine="720"/>
        <w:rPr>
          <w:rFonts w:eastAsia="Calibri" w:cs="Times New Roman"/>
        </w:rPr>
      </w:pPr>
    </w:p>
    <w:p w14:paraId="7D69432A" w14:textId="77777777" w:rsidR="00842D3D" w:rsidRPr="00842D3D" w:rsidRDefault="00842D3D" w:rsidP="00842D3D">
      <w:pPr>
        <w:ind w:firstLine="720"/>
        <w:rPr>
          <w:rFonts w:eastAsia="Calibri" w:cs="Times New Roman"/>
        </w:rPr>
      </w:pPr>
      <w:r w:rsidRPr="00842D3D">
        <w:rPr>
          <w:rFonts w:eastAsia="Calibri" w:cs="Times New Roman"/>
          <w:iCs/>
        </w:rPr>
        <w:t xml:space="preserve">The plaintiff must also show that the exercise of First Amendment rights was chilled, though not necessarily silenced, by the alleged retaliatory conduct. </w:t>
      </w:r>
      <w:r w:rsidRPr="00842D3D">
        <w:rPr>
          <w:rFonts w:eastAsia="Calibri" w:cs="Times New Roman"/>
          <w:i/>
        </w:rPr>
        <w:t>Rhodes</w:t>
      </w:r>
      <w:r w:rsidRPr="00842D3D">
        <w:rPr>
          <w:rFonts w:eastAsia="Calibri" w:cs="Times New Roman"/>
          <w:iCs/>
        </w:rPr>
        <w:t xml:space="preserve">, 408 F.3d at 569. </w:t>
      </w:r>
      <w:r w:rsidRPr="00842D3D">
        <w:rPr>
          <w:rFonts w:eastAsia="Calibri" w:cs="Times New Roman"/>
        </w:rPr>
        <w:t xml:space="preserve">The plaintiff must allege either a chilling effect on future First Amendment activities, or that he suffered some other harm that is “more than minimal.” </w:t>
      </w:r>
      <w:r w:rsidRPr="00842D3D">
        <w:rPr>
          <w:rFonts w:eastAsia="Calibri" w:cs="Times New Roman"/>
          <w:i/>
          <w:iCs/>
        </w:rPr>
        <w:t>Watison</w:t>
      </w:r>
      <w:r w:rsidRPr="00842D3D">
        <w:rPr>
          <w:rFonts w:eastAsia="Calibri" w:cs="Times New Roman"/>
        </w:rPr>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842D3D">
        <w:rPr>
          <w:rFonts w:eastAsia="Calibri" w:cs="Times New Roman"/>
          <w:i/>
          <w:iCs/>
        </w:rPr>
        <w:t>Gomez v. Vernon</w:t>
      </w:r>
      <w:r w:rsidRPr="00842D3D">
        <w:rPr>
          <w:rFonts w:eastAsia="Calibri" w:cs="Times New Roman"/>
        </w:rPr>
        <w:t xml:space="preserve">, 255 F.3d 1118, 1127 (9th Cir. 2001) (“[A] retaliation claim may assert an injury no more tangible than a chilling effect on First Amendment rights.”). </w:t>
      </w:r>
      <w:r w:rsidRPr="00842D3D">
        <w:rPr>
          <w:rFonts w:eastAsia="Calibri" w:cs="Times New Roman"/>
          <w:iCs/>
        </w:rPr>
        <w:t xml:space="preserve">The plaintiff does not have to demonstrate that his speech was “actually inhibited or suppressed.” </w:t>
      </w:r>
      <w:r w:rsidRPr="00842D3D">
        <w:rPr>
          <w:rFonts w:eastAsia="Calibri" w:cs="Times New Roman"/>
          <w:i/>
        </w:rPr>
        <w:t>Rhodes</w:t>
      </w:r>
      <w:r w:rsidRPr="00842D3D">
        <w:rPr>
          <w:rFonts w:eastAsia="Calibri" w:cs="Times New Roman"/>
          <w:iCs/>
        </w:rPr>
        <w:t xml:space="preserve">, 408 F.3d at 569. “That the retaliatory conduct did not chill the plaintiff from suing the alleged retaliator does not defeat the retaliation claim at the motion to dismiss stage.” </w:t>
      </w:r>
      <w:r w:rsidRPr="00842D3D">
        <w:rPr>
          <w:rFonts w:eastAsia="Calibri" w:cs="Times New Roman"/>
          <w:i/>
        </w:rPr>
        <w:t>Watison</w:t>
      </w:r>
      <w:r w:rsidRPr="00842D3D">
        <w:rPr>
          <w:rFonts w:eastAsia="Calibri" w:cs="Times New Roman"/>
          <w:iCs/>
        </w:rPr>
        <w:t>, 668 F.3d at 1114.</w:t>
      </w:r>
    </w:p>
    <w:p w14:paraId="4A42962C" w14:textId="77777777" w:rsidR="00842D3D" w:rsidRPr="00842D3D" w:rsidRDefault="00842D3D" w:rsidP="00842D3D">
      <w:pPr>
        <w:ind w:firstLine="720"/>
        <w:rPr>
          <w:rFonts w:eastAsia="Calibri" w:cs="Times New Roman"/>
        </w:rPr>
      </w:pPr>
    </w:p>
    <w:p w14:paraId="7787EFD2" w14:textId="77777777" w:rsidR="00842D3D" w:rsidRPr="00842D3D" w:rsidRDefault="00842D3D" w:rsidP="00842D3D">
      <w:pPr>
        <w:ind w:firstLine="720"/>
        <w:rPr>
          <w:rFonts w:eastAsia="Calibri" w:cs="Times New Roman"/>
        </w:rPr>
      </w:pPr>
      <w:r w:rsidRPr="00842D3D">
        <w:rPr>
          <w:rFonts w:eastAsia="Calibri" w:cs="Times New Roman"/>
        </w:rPr>
        <w:t xml:space="preserve">The plaintiff bears the burden of proving the absence of a legitimate correctional goal for the adverse action. </w:t>
      </w:r>
      <w:r w:rsidRPr="00842D3D">
        <w:rPr>
          <w:rFonts w:eastAsia="Calibri" w:cs="Times New Roman"/>
          <w:i/>
          <w:iCs/>
        </w:rPr>
        <w:t>Johnson</w:t>
      </w:r>
      <w:r w:rsidRPr="00842D3D">
        <w:rPr>
          <w:rFonts w:eastAsia="Calibri" w:cs="Times New Roman"/>
        </w:rPr>
        <w:t xml:space="preserve">, 55 F.4th at 1202 (citing </w:t>
      </w:r>
      <w:r w:rsidRPr="00842D3D">
        <w:rPr>
          <w:rFonts w:eastAsia="Calibri" w:cs="Times New Roman"/>
          <w:i/>
          <w:iCs/>
        </w:rPr>
        <w:t>Pratt</w:t>
      </w:r>
      <w:r w:rsidRPr="00842D3D">
        <w:rPr>
          <w:rFonts w:eastAsia="Calibri" w:cs="Times New Roman"/>
        </w:rPr>
        <w:t xml:space="preserve">, 65 F.3d at 806). With respect to this fifth factor, the Supreme Court has cautioned that “‘federal courts ought to afford appropriate deference and flexibility to state officials trying to manage a volatile environment,’ especially with regard to ‘the fine-tuning of the ordinary incidents of prison life, a common subject of prisoner claims.’” </w:t>
      </w:r>
      <w:r w:rsidRPr="00842D3D">
        <w:rPr>
          <w:rFonts w:eastAsia="Calibri" w:cs="Times New Roman"/>
          <w:i/>
          <w:iCs/>
        </w:rPr>
        <w:t>Pratt</w:t>
      </w:r>
      <w:r w:rsidRPr="00842D3D">
        <w:rPr>
          <w:rFonts w:eastAsia="Calibri" w:cs="Times New Roman"/>
        </w:rPr>
        <w:t xml:space="preserve">, 65 F.3d at 807 (quoting </w:t>
      </w:r>
      <w:r w:rsidRPr="00842D3D">
        <w:rPr>
          <w:rFonts w:eastAsia="Calibri" w:cs="Times New Roman"/>
          <w:i/>
          <w:iCs/>
        </w:rPr>
        <w:t>Sandin v. Conner</w:t>
      </w:r>
      <w:r w:rsidRPr="00842D3D">
        <w:rPr>
          <w:rFonts w:eastAsia="Calibri" w:cs="Times New Roman"/>
        </w:rPr>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r w:rsidRPr="00842D3D">
        <w:rPr>
          <w:rFonts w:eastAsia="Calibri" w:cs="Times New Roman"/>
          <w:i/>
          <w:iCs/>
        </w:rPr>
        <w:t>Watison</w:t>
      </w:r>
      <w:r w:rsidRPr="00842D3D">
        <w:rPr>
          <w:rFonts w:eastAsia="Calibri" w:cs="Times New Roman"/>
        </w:rPr>
        <w:t>, 668 F.3d at 1114-15.</w:t>
      </w:r>
    </w:p>
    <w:p w14:paraId="35084353" w14:textId="77777777" w:rsidR="00842D3D" w:rsidRPr="00842D3D" w:rsidRDefault="00842D3D" w:rsidP="00842D3D">
      <w:pPr>
        <w:jc w:val="right"/>
        <w:rPr>
          <w:rFonts w:eastAsia="Calibri" w:cs="Times New Roman"/>
          <w:i/>
          <w:iCs/>
          <w:szCs w:val="24"/>
        </w:rPr>
      </w:pPr>
    </w:p>
    <w:p w14:paraId="190BA0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E208276" w14:textId="77777777" w:rsidR="00842D3D" w:rsidRPr="00842D3D" w:rsidRDefault="00842D3D" w:rsidP="00842D3D">
      <w:pPr>
        <w:widowControl w:val="0"/>
        <w:rPr>
          <w:rFonts w:eastAsia="Calibri" w:cs="Times New Roman"/>
          <w:i/>
          <w:iCs/>
          <w:szCs w:val="24"/>
        </w:rPr>
      </w:pPr>
      <w:r w:rsidRPr="00842D3D">
        <w:rPr>
          <w:rFonts w:eastAsia="Calibri" w:cs="Times New Roman"/>
          <w:i/>
          <w:iCs/>
          <w:szCs w:val="24"/>
        </w:rPr>
        <w:br w:type="page"/>
      </w:r>
    </w:p>
    <w:p w14:paraId="7039D2BD" w14:textId="25E4C475" w:rsidR="00842D3D" w:rsidRPr="00842D3D" w:rsidRDefault="00842D3D" w:rsidP="00FF121D">
      <w:pPr>
        <w:pStyle w:val="Heading2"/>
      </w:pPr>
      <w:bookmarkStart w:id="158" w:name="_Toc221525177"/>
      <w:r w:rsidRPr="00842D3D">
        <w:lastRenderedPageBreak/>
        <w:t>9.1</w:t>
      </w:r>
      <w:r w:rsidR="005F1850">
        <w:t>3</w:t>
      </w:r>
      <w:r w:rsidRPr="00842D3D">
        <w:t xml:space="preserve"> Particular Rights—Fourth Amendment—Unreasonable Search—Generally</w:t>
      </w:r>
      <w:bookmarkEnd w:id="158"/>
    </w:p>
    <w:p w14:paraId="75568FD2" w14:textId="77777777" w:rsidR="00842D3D" w:rsidRPr="00842D3D" w:rsidRDefault="00842D3D" w:rsidP="00842D3D">
      <w:pPr>
        <w:autoSpaceDE w:val="0"/>
        <w:autoSpaceDN w:val="0"/>
        <w:adjustRightInd w:val="0"/>
        <w:rPr>
          <w:rFonts w:eastAsia="Calibri" w:cs="Times New Roman"/>
          <w:szCs w:val="24"/>
        </w:rPr>
      </w:pPr>
    </w:p>
    <w:p w14:paraId="14D8728A"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As previously explained, plaintiff [</w:t>
      </w:r>
      <w:r w:rsidRPr="00842D3D">
        <w:rPr>
          <w:rFonts w:eastAsia="Times New Roman" w:cs="Times New Roman"/>
          <w:i/>
          <w:iCs/>
          <w:szCs w:val="24"/>
          <w:u w:val="single"/>
        </w:rPr>
        <w:t>name</w:t>
      </w:r>
      <w:r w:rsidRPr="00842D3D">
        <w:rPr>
          <w:rFonts w:eastAsia="Times New Roman" w:cs="Times New Roman"/>
          <w:szCs w:val="24"/>
        </w:rPr>
        <w:t>] has the burden of proving that the act[s] of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particular rights under the United States Constitution. In this case, plaintiff [</w:t>
      </w:r>
      <w:r w:rsidRPr="00842D3D">
        <w:rPr>
          <w:rFonts w:eastAsia="Times New Roman" w:cs="Times New Roman"/>
          <w:i/>
          <w:iCs/>
          <w:szCs w:val="24"/>
          <w:u w:val="single"/>
        </w:rPr>
        <w:t>name</w:t>
      </w:r>
      <w:r w:rsidRPr="00842D3D">
        <w:rPr>
          <w:rFonts w:eastAsia="Times New Roman" w:cs="Times New Roman"/>
          <w:szCs w:val="24"/>
        </w:rPr>
        <w:t>] alleges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rights under the Fourth Amendment to the Constitution when [</w:t>
      </w:r>
      <w:r w:rsidRPr="00842D3D">
        <w:rPr>
          <w:rFonts w:eastAsia="Times New Roman" w:cs="Times New Roman"/>
          <w:i/>
          <w:szCs w:val="24"/>
          <w:u w:val="single"/>
        </w:rPr>
        <w:t>insert factual basis of the</w:t>
      </w:r>
      <w:r w:rsidRPr="00842D3D">
        <w:rPr>
          <w:rFonts w:eastAsia="Times New Roman" w:cs="Times New Roman"/>
          <w:i/>
          <w:szCs w:val="24"/>
        </w:rPr>
        <w:t xml:space="preserve"> </w:t>
      </w:r>
      <w:r w:rsidRPr="00842D3D">
        <w:rPr>
          <w:rFonts w:eastAsia="Times New Roman" w:cs="Times New Roman"/>
          <w:i/>
          <w:szCs w:val="24"/>
          <w:u w:val="single"/>
        </w:rPr>
        <w:t>plaintiff’s claim</w:t>
      </w:r>
      <w:r w:rsidRPr="00842D3D">
        <w:rPr>
          <w:rFonts w:eastAsia="Times New Roman" w:cs="Times New Roman"/>
          <w:szCs w:val="24"/>
        </w:rPr>
        <w:t>].</w:t>
      </w:r>
    </w:p>
    <w:p w14:paraId="4EAEC65D" w14:textId="77777777" w:rsidR="00842D3D" w:rsidRPr="00842D3D" w:rsidRDefault="00842D3D" w:rsidP="00842D3D">
      <w:pPr>
        <w:widowControl w:val="0"/>
        <w:autoSpaceDE w:val="0"/>
        <w:autoSpaceDN w:val="0"/>
        <w:rPr>
          <w:rFonts w:eastAsia="Times New Roman" w:cs="Times New Roman"/>
          <w:szCs w:val="24"/>
        </w:rPr>
      </w:pPr>
    </w:p>
    <w:p w14:paraId="21FCBA66"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Under the Fourth Amendment, a person has the right to be free from an unreasonable search of [[his] [her] [</w:t>
      </w:r>
      <w:r w:rsidRPr="00842D3D">
        <w:rPr>
          <w:rFonts w:eastAsia="Times New Roman" w:cs="Times New Roman"/>
          <w:i/>
          <w:iCs/>
          <w:szCs w:val="24"/>
          <w:u w:val="single"/>
        </w:rPr>
        <w:t>other pronoun</w:t>
      </w:r>
      <w:r w:rsidRPr="00842D3D">
        <w:rPr>
          <w:rFonts w:eastAsia="Times New Roman" w:cs="Times New Roman"/>
          <w:szCs w:val="24"/>
        </w:rPr>
        <w:t>]] [[person] [residence] [vehicle] [</w:t>
      </w:r>
      <w:r w:rsidRPr="00842D3D">
        <w:rPr>
          <w:rFonts w:eastAsia="Times New Roman" w:cs="Times New Roman"/>
          <w:i/>
          <w:szCs w:val="24"/>
          <w:u w:val="single"/>
        </w:rPr>
        <w:t>other object of search</w:t>
      </w:r>
      <w:r w:rsidRPr="00842D3D">
        <w:rPr>
          <w:rFonts w:eastAsia="Times New Roman" w:cs="Times New Roman"/>
          <w:szCs w:val="24"/>
        </w:rPr>
        <w:t>]]. To prove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this Fourth Amendment right, plaintiff [</w:t>
      </w:r>
      <w:r w:rsidRPr="00842D3D">
        <w:rPr>
          <w:rFonts w:eastAsia="Times New Roman" w:cs="Times New Roman"/>
          <w:i/>
          <w:iCs/>
          <w:szCs w:val="24"/>
          <w:u w:val="single"/>
        </w:rPr>
        <w:t>name</w:t>
      </w:r>
      <w:r w:rsidRPr="00842D3D">
        <w:rPr>
          <w:rFonts w:eastAsia="Times New Roman" w:cs="Times New Roman"/>
          <w:szCs w:val="24"/>
        </w:rPr>
        <w:t>] must prove the following additional elements by a preponderance of the evidence:</w:t>
      </w:r>
    </w:p>
    <w:p w14:paraId="7787A202" w14:textId="77777777" w:rsidR="00842D3D" w:rsidRPr="00842D3D" w:rsidRDefault="00842D3D" w:rsidP="00842D3D">
      <w:pPr>
        <w:widowControl w:val="0"/>
        <w:autoSpaceDE w:val="0"/>
        <w:autoSpaceDN w:val="0"/>
        <w:rPr>
          <w:rFonts w:eastAsia="Times New Roman" w:cs="Times New Roman"/>
          <w:szCs w:val="24"/>
        </w:rPr>
      </w:pPr>
    </w:p>
    <w:p w14:paraId="295F2775" w14:textId="77777777" w:rsidR="00842D3D" w:rsidRPr="00842D3D" w:rsidRDefault="00842D3D" w:rsidP="00842D3D">
      <w:pPr>
        <w:tabs>
          <w:tab w:val="left" w:pos="810"/>
        </w:tabs>
        <w:ind w:right="161"/>
        <w:rPr>
          <w:rFonts w:eastAsia="Calibri" w:cs="Times New Roman"/>
          <w:szCs w:val="24"/>
        </w:rPr>
      </w:pPr>
      <w:r w:rsidRPr="00842D3D">
        <w:rPr>
          <w:rFonts w:eastAsia="Calibri" w:cs="Times New Roman"/>
          <w:szCs w:val="24"/>
        </w:rPr>
        <w:tab/>
        <w:t>First, [</w:t>
      </w:r>
      <w:r w:rsidRPr="00842D3D">
        <w:rPr>
          <w:rFonts w:eastAsia="Calibri" w:cs="Times New Roman"/>
          <w:i/>
          <w:szCs w:val="24"/>
          <w:u w:val="single"/>
        </w:rPr>
        <w:t>name[s] of applicable defendant[s]</w:t>
      </w:r>
      <w:r w:rsidRPr="00842D3D">
        <w:rPr>
          <w:rFonts w:eastAsia="Calibri" w:cs="Times New Roman"/>
          <w:szCs w:val="24"/>
        </w:rPr>
        <w:t>] searched  plaintiff [</w:t>
      </w:r>
      <w:r w:rsidRPr="00842D3D">
        <w:rPr>
          <w:rFonts w:eastAsia="Calibri" w:cs="Times New Roman"/>
          <w:i/>
          <w:iCs/>
          <w:szCs w:val="24"/>
          <w:u w:val="single"/>
        </w:rPr>
        <w:t>name</w:t>
      </w:r>
      <w:r w:rsidRPr="00842D3D">
        <w:rPr>
          <w:rFonts w:eastAsia="Calibri" w:cs="Times New Roman"/>
          <w:szCs w:val="24"/>
        </w:rPr>
        <w:t>]’s [person] [residence] [vehicle] [</w:t>
      </w:r>
      <w:r w:rsidRPr="00842D3D">
        <w:rPr>
          <w:rFonts w:eastAsia="Calibri" w:cs="Times New Roman"/>
          <w:i/>
          <w:szCs w:val="24"/>
          <w:u w:val="single"/>
        </w:rPr>
        <w:t>other object of</w:t>
      </w:r>
      <w:r w:rsidRPr="00842D3D">
        <w:rPr>
          <w:rFonts w:eastAsia="Calibri" w:cs="Times New Roman"/>
          <w:i/>
          <w:spacing w:val="-2"/>
          <w:szCs w:val="24"/>
          <w:u w:val="single"/>
        </w:rPr>
        <w:t xml:space="preserve"> </w:t>
      </w:r>
      <w:r w:rsidRPr="00842D3D">
        <w:rPr>
          <w:rFonts w:eastAsia="Calibri" w:cs="Times New Roman"/>
          <w:i/>
          <w:szCs w:val="24"/>
          <w:u w:val="single"/>
        </w:rPr>
        <w:t>search</w:t>
      </w:r>
      <w:r w:rsidRPr="00842D3D">
        <w:rPr>
          <w:rFonts w:eastAsia="Calibri" w:cs="Times New Roman"/>
          <w:szCs w:val="24"/>
        </w:rPr>
        <w:t>];</w:t>
      </w:r>
    </w:p>
    <w:p w14:paraId="42796961" w14:textId="77777777" w:rsidR="00842D3D" w:rsidRPr="00842D3D" w:rsidRDefault="00842D3D" w:rsidP="00842D3D">
      <w:pPr>
        <w:widowControl w:val="0"/>
        <w:autoSpaceDE w:val="0"/>
        <w:autoSpaceDN w:val="0"/>
        <w:rPr>
          <w:rFonts w:eastAsia="Times New Roman" w:cs="Times New Roman"/>
          <w:szCs w:val="24"/>
        </w:rPr>
      </w:pPr>
    </w:p>
    <w:p w14:paraId="46CC78B8"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Second, in conducting the search, [</w:t>
      </w:r>
      <w:r w:rsidRPr="00842D3D">
        <w:rPr>
          <w:rFonts w:eastAsia="Calibri" w:cs="Times New Roman"/>
          <w:i/>
          <w:szCs w:val="24"/>
          <w:u w:val="single"/>
        </w:rPr>
        <w:t>name[s]</w:t>
      </w:r>
      <w:r w:rsidRPr="00842D3D">
        <w:rPr>
          <w:rFonts w:eastAsia="Calibri" w:cs="Times New Roman"/>
          <w:szCs w:val="24"/>
        </w:rPr>
        <w:t>] acted intentionally;</w:t>
      </w:r>
      <w:r w:rsidRPr="00842D3D">
        <w:rPr>
          <w:rFonts w:eastAsia="Calibri" w:cs="Times New Roman"/>
          <w:spacing w:val="-3"/>
          <w:szCs w:val="24"/>
        </w:rPr>
        <w:t xml:space="preserve"> </w:t>
      </w:r>
      <w:r w:rsidRPr="00842D3D">
        <w:rPr>
          <w:rFonts w:eastAsia="Calibri" w:cs="Times New Roman"/>
          <w:szCs w:val="24"/>
        </w:rPr>
        <w:t>and</w:t>
      </w:r>
    </w:p>
    <w:p w14:paraId="2D3FF373" w14:textId="77777777" w:rsidR="00842D3D" w:rsidRPr="00842D3D" w:rsidRDefault="00842D3D" w:rsidP="00842D3D">
      <w:pPr>
        <w:widowControl w:val="0"/>
        <w:tabs>
          <w:tab w:val="left" w:pos="810"/>
        </w:tabs>
        <w:autoSpaceDE w:val="0"/>
        <w:autoSpaceDN w:val="0"/>
        <w:rPr>
          <w:rFonts w:eastAsia="Times New Roman" w:cs="Times New Roman"/>
          <w:szCs w:val="24"/>
        </w:rPr>
      </w:pPr>
    </w:p>
    <w:p w14:paraId="096B5CFF"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Third, the search was unreasonable.</w:t>
      </w:r>
    </w:p>
    <w:p w14:paraId="76DB4A6C" w14:textId="77777777" w:rsidR="00842D3D" w:rsidRPr="00842D3D" w:rsidRDefault="00842D3D" w:rsidP="00842D3D">
      <w:pPr>
        <w:widowControl w:val="0"/>
        <w:autoSpaceDE w:val="0"/>
        <w:autoSpaceDN w:val="0"/>
        <w:rPr>
          <w:rFonts w:eastAsia="Times New Roman" w:cs="Times New Roman"/>
          <w:szCs w:val="24"/>
        </w:rPr>
      </w:pPr>
    </w:p>
    <w:p w14:paraId="55C2FC61"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[A person acts “intentionally” when the person acts with a conscious objective to engage in particular conduct. Therefore, plaintiff [</w:t>
      </w:r>
      <w:r w:rsidRPr="00842D3D">
        <w:rPr>
          <w:rFonts w:eastAsia="Times New Roman" w:cs="Times New Roman"/>
          <w:i/>
          <w:iCs/>
          <w:szCs w:val="24"/>
          <w:u w:val="single"/>
        </w:rPr>
        <w:t>name</w:t>
      </w:r>
      <w:r w:rsidRPr="00842D3D">
        <w:rPr>
          <w:rFonts w:eastAsia="Times New Roman" w:cs="Times New Roman"/>
          <w:szCs w:val="24"/>
        </w:rPr>
        <w:t>] must prove defendant [</w:t>
      </w:r>
      <w:r w:rsidRPr="00842D3D">
        <w:rPr>
          <w:rFonts w:eastAsia="Times New Roman" w:cs="Times New Roman"/>
          <w:i/>
          <w:iCs/>
          <w:szCs w:val="24"/>
          <w:u w:val="single"/>
        </w:rPr>
        <w:t>name</w:t>
      </w:r>
      <w:r w:rsidRPr="00842D3D">
        <w:rPr>
          <w:rFonts w:eastAsia="Times New Roman" w:cs="Times New Roman"/>
          <w:szCs w:val="24"/>
        </w:rPr>
        <w:t>] intended to search plaintiff [</w:t>
      </w:r>
      <w:r w:rsidRPr="00842D3D">
        <w:rPr>
          <w:rFonts w:eastAsia="Times New Roman" w:cs="Times New Roman"/>
          <w:i/>
          <w:iCs/>
          <w:szCs w:val="24"/>
          <w:u w:val="single"/>
        </w:rPr>
        <w:t>name</w:t>
      </w:r>
      <w:r w:rsidRPr="00842D3D">
        <w:rPr>
          <w:rFonts w:eastAsia="Times New Roman" w:cs="Times New Roman"/>
          <w:szCs w:val="24"/>
        </w:rPr>
        <w:t>]’s [person] [residence] [vehicle] [</w:t>
      </w:r>
      <w:r w:rsidRPr="00842D3D">
        <w:rPr>
          <w:rFonts w:eastAsia="Times New Roman" w:cs="Times New Roman"/>
          <w:i/>
          <w:szCs w:val="24"/>
          <w:u w:val="single"/>
        </w:rPr>
        <w:t>other object of search</w:t>
      </w:r>
      <w:r w:rsidRPr="00842D3D">
        <w:rPr>
          <w:rFonts w:eastAsia="Times New Roman" w:cs="Times New Roman"/>
          <w:szCs w:val="24"/>
        </w:rPr>
        <w:t>]. It is not enough if plaintiff [</w:t>
      </w:r>
      <w:r w:rsidRPr="00842D3D">
        <w:rPr>
          <w:rFonts w:eastAsia="Times New Roman" w:cs="Times New Roman"/>
          <w:i/>
          <w:iCs/>
          <w:szCs w:val="24"/>
          <w:u w:val="single"/>
        </w:rPr>
        <w:t>name</w:t>
      </w:r>
      <w:r w:rsidRPr="00842D3D">
        <w:rPr>
          <w:rFonts w:eastAsia="Times New Roman" w:cs="Times New Roman"/>
          <w:szCs w:val="24"/>
        </w:rPr>
        <w:t>] only proves defendant [</w:t>
      </w:r>
      <w:r w:rsidRPr="00842D3D">
        <w:rPr>
          <w:rFonts w:eastAsia="Times New Roman" w:cs="Times New Roman"/>
          <w:i/>
          <w:iCs/>
          <w:szCs w:val="24"/>
          <w:u w:val="single"/>
        </w:rPr>
        <w:t>name</w:t>
      </w:r>
      <w:r w:rsidRPr="00842D3D">
        <w:rPr>
          <w:rFonts w:eastAsia="Times New Roman" w:cs="Times New Roman"/>
          <w:szCs w:val="24"/>
        </w:rPr>
        <w:t>] acted negligently, accidentally or inadvertently in conducting the search. However, plaintiff [</w:t>
      </w:r>
      <w:r w:rsidRPr="00842D3D">
        <w:rPr>
          <w:rFonts w:eastAsia="Times New Roman" w:cs="Times New Roman"/>
          <w:i/>
          <w:iCs/>
          <w:szCs w:val="24"/>
          <w:u w:val="single"/>
        </w:rPr>
        <w:t>name</w:t>
      </w:r>
      <w:r w:rsidRPr="00842D3D">
        <w:rPr>
          <w:rFonts w:eastAsia="Times New Roman" w:cs="Times New Roman"/>
          <w:szCs w:val="24"/>
        </w:rPr>
        <w:t>] does not need to prove defendant [</w:t>
      </w:r>
      <w:r w:rsidRPr="00842D3D">
        <w:rPr>
          <w:rFonts w:eastAsia="Times New Roman" w:cs="Times New Roman"/>
          <w:i/>
          <w:iCs/>
          <w:szCs w:val="24"/>
          <w:u w:val="single"/>
        </w:rPr>
        <w:t>name</w:t>
      </w:r>
      <w:r w:rsidRPr="00842D3D">
        <w:rPr>
          <w:rFonts w:eastAsia="Times New Roman" w:cs="Times New Roman"/>
          <w:szCs w:val="24"/>
        </w:rPr>
        <w:t>] intended to violate plaintiff [</w:t>
      </w:r>
      <w:r w:rsidRPr="00842D3D">
        <w:rPr>
          <w:rFonts w:eastAsia="Times New Roman" w:cs="Times New Roman"/>
          <w:i/>
          <w:iCs/>
          <w:szCs w:val="24"/>
          <w:u w:val="single"/>
        </w:rPr>
        <w:t>name</w:t>
      </w:r>
      <w:r w:rsidRPr="00842D3D">
        <w:rPr>
          <w:rFonts w:eastAsia="Times New Roman" w:cs="Times New Roman"/>
          <w:szCs w:val="24"/>
        </w:rPr>
        <w:t>]’s Fourth Amendment rights.]</w:t>
      </w:r>
    </w:p>
    <w:p w14:paraId="34590BDA" w14:textId="77777777" w:rsidR="00842D3D" w:rsidRPr="00842D3D" w:rsidRDefault="00842D3D" w:rsidP="00842D3D">
      <w:pPr>
        <w:widowControl w:val="0"/>
        <w:autoSpaceDE w:val="0"/>
        <w:autoSpaceDN w:val="0"/>
        <w:rPr>
          <w:rFonts w:eastAsia="Times New Roman" w:cs="Times New Roman"/>
          <w:szCs w:val="24"/>
        </w:rPr>
      </w:pPr>
    </w:p>
    <w:p w14:paraId="57287246"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[In determining whether the search was unreasonable, consider all of the circumstances, including:</w:t>
      </w:r>
    </w:p>
    <w:p w14:paraId="45B4DD97" w14:textId="77777777" w:rsidR="00842D3D" w:rsidRPr="00842D3D" w:rsidRDefault="00842D3D" w:rsidP="00842D3D">
      <w:pPr>
        <w:widowControl w:val="0"/>
        <w:autoSpaceDE w:val="0"/>
        <w:autoSpaceDN w:val="0"/>
        <w:rPr>
          <w:rFonts w:eastAsia="Times New Roman" w:cs="Times New Roman"/>
          <w:szCs w:val="24"/>
        </w:rPr>
      </w:pPr>
    </w:p>
    <w:p w14:paraId="46A5D4DA"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scope of the particular intrusion;</w:t>
      </w:r>
    </w:p>
    <w:p w14:paraId="62E397B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manner in which it was conducted;</w:t>
      </w:r>
    </w:p>
    <w:p w14:paraId="5040569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justification for initiating it;</w:t>
      </w:r>
      <w:r w:rsidRPr="00842D3D">
        <w:rPr>
          <w:rFonts w:eastAsia="Calibri" w:cs="Times New Roman"/>
          <w:spacing w:val="-2"/>
          <w:szCs w:val="24"/>
        </w:rPr>
        <w:t xml:space="preserve"> </w:t>
      </w:r>
      <w:r w:rsidRPr="00842D3D">
        <w:rPr>
          <w:rFonts w:eastAsia="Calibri" w:cs="Times New Roman"/>
          <w:szCs w:val="24"/>
        </w:rPr>
        <w:t>and</w:t>
      </w:r>
    </w:p>
    <w:p w14:paraId="4F46DC82"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place in which it was conducted.]</w:t>
      </w:r>
    </w:p>
    <w:p w14:paraId="6C865884" w14:textId="77777777" w:rsidR="00842D3D" w:rsidRPr="00842D3D" w:rsidRDefault="00842D3D" w:rsidP="00842D3D">
      <w:pPr>
        <w:tabs>
          <w:tab w:val="left" w:pos="1539"/>
          <w:tab w:val="left" w:pos="1540"/>
        </w:tabs>
        <w:ind w:left="720"/>
        <w:contextualSpacing/>
        <w:rPr>
          <w:rFonts w:eastAsia="Calibri" w:cs="Times New Roman"/>
          <w:szCs w:val="24"/>
        </w:rPr>
      </w:pPr>
    </w:p>
    <w:p w14:paraId="78FEB25E"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[If the search was conducted pursuant to a search warrant, then also consider whether the actual search conducted exceeded the terms of the warrant.]</w:t>
      </w:r>
    </w:p>
    <w:p w14:paraId="5E0DA813" w14:textId="77777777" w:rsidR="00842D3D" w:rsidRPr="00842D3D" w:rsidRDefault="00842D3D" w:rsidP="00842D3D">
      <w:pPr>
        <w:widowControl w:val="0"/>
        <w:autoSpaceDE w:val="0"/>
        <w:autoSpaceDN w:val="0"/>
        <w:ind w:firstLine="720"/>
        <w:rPr>
          <w:rFonts w:eastAsia="Times New Roman" w:cs="Times New Roman"/>
          <w:szCs w:val="24"/>
        </w:rPr>
      </w:pPr>
    </w:p>
    <w:p w14:paraId="4CF5B858"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9ADE0D6" w14:textId="77777777" w:rsidR="00842D3D" w:rsidRPr="00842D3D" w:rsidRDefault="00842D3D" w:rsidP="00842D3D">
      <w:pPr>
        <w:widowControl w:val="0"/>
        <w:autoSpaceDE w:val="0"/>
        <w:autoSpaceDN w:val="0"/>
        <w:rPr>
          <w:rFonts w:eastAsia="Times New Roman" w:cs="Times New Roman"/>
          <w:b/>
          <w:szCs w:val="24"/>
        </w:rPr>
      </w:pPr>
    </w:p>
    <w:p w14:paraId="6E97358D" w14:textId="1255148A" w:rsidR="00842D3D" w:rsidRPr="00842D3D" w:rsidRDefault="00842D3D" w:rsidP="00842D3D">
      <w:pPr>
        <w:widowControl w:val="0"/>
        <w:autoSpaceDE w:val="0"/>
        <w:autoSpaceDN w:val="0"/>
        <w:ind w:left="100" w:right="116" w:firstLine="720"/>
        <w:rPr>
          <w:rFonts w:eastAsia="Times New Roman" w:cs="Times New Roman"/>
          <w:szCs w:val="24"/>
        </w:rPr>
      </w:pPr>
      <w:r w:rsidRPr="00842D3D">
        <w:rPr>
          <w:rFonts w:eastAsia="Times New Roman" w:cs="Times New Roman"/>
          <w:szCs w:val="24"/>
        </w:rPr>
        <w:t xml:space="preserve">Use this instruction in conjunction with the applicable elements instructions, </w:t>
      </w:r>
      <w:r w:rsidRPr="00842D3D">
        <w:rPr>
          <w:rFonts w:eastAsia="Times New Roman" w:cs="Times New Roman"/>
          <w:szCs w:val="24"/>
        </w:rPr>
        <w:lastRenderedPageBreak/>
        <w:t>Instructions 9.3-9.8, and an applicable definition of an unreasonable search, such as Instruction 9.1</w:t>
      </w:r>
      <w:r w:rsidR="000F1EF1">
        <w:rPr>
          <w:rFonts w:eastAsia="Times New Roman" w:cs="Times New Roman"/>
          <w:szCs w:val="24"/>
        </w:rPr>
        <w:t>4</w:t>
      </w:r>
      <w:r w:rsidRPr="00842D3D">
        <w:rPr>
          <w:rFonts w:eastAsia="Times New Roman" w:cs="Times New Roman"/>
          <w:szCs w:val="24"/>
        </w:rPr>
        <w:t xml:space="preserve"> (Particular Rights—Fourth Amendment—Unreasonable Search—Exception to Warrant Requirement—Search Incident to Arrest) and Instruction 9.1</w:t>
      </w:r>
      <w:r w:rsidR="000F1EF1">
        <w:rPr>
          <w:rFonts w:eastAsia="Times New Roman" w:cs="Times New Roman"/>
          <w:szCs w:val="24"/>
        </w:rPr>
        <w:t>6</w:t>
      </w:r>
      <w:r w:rsidRPr="00842D3D">
        <w:rPr>
          <w:rFonts w:eastAsia="Times New Roman" w:cs="Times New Roman"/>
          <w:szCs w:val="24"/>
        </w:rPr>
        <w:t xml:space="preserve"> (Particular Rights—Fourth 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842D3D">
        <w:rPr>
          <w:rFonts w:eastAsia="Times New Roman" w:cs="Times New Roman"/>
          <w:i/>
          <w:szCs w:val="24"/>
        </w:rPr>
        <w:t>Bell v. Wolfish</w:t>
      </w:r>
      <w:r w:rsidRPr="00842D3D">
        <w:rPr>
          <w:rFonts w:eastAsia="Times New Roman" w:cs="Times New Roman"/>
          <w:szCs w:val="24"/>
        </w:rPr>
        <w:t xml:space="preserve">, 441 U.S. 520, 559 (1979); </w:t>
      </w:r>
      <w:r w:rsidRPr="00842D3D">
        <w:rPr>
          <w:rFonts w:eastAsia="Times New Roman" w:cs="Times New Roman"/>
          <w:i/>
          <w:szCs w:val="24"/>
        </w:rPr>
        <w:t>see also Byrd v. Maricopa Cnty. Sherriff’s Dep’t</w:t>
      </w:r>
      <w:r w:rsidRPr="00842D3D">
        <w:rPr>
          <w:rFonts w:eastAsia="Times New Roman" w:cs="Times New Roman"/>
          <w:szCs w:val="24"/>
        </w:rPr>
        <w:t>, 629 F.3d 1135, 1141 (9th Cir. 2011) (en banc).</w:t>
      </w:r>
    </w:p>
    <w:p w14:paraId="39EE4AD3" w14:textId="77777777" w:rsidR="00842D3D" w:rsidRPr="00842D3D" w:rsidRDefault="00842D3D" w:rsidP="00842D3D">
      <w:pPr>
        <w:widowControl w:val="0"/>
        <w:autoSpaceDE w:val="0"/>
        <w:autoSpaceDN w:val="0"/>
        <w:ind w:left="100" w:right="116" w:firstLine="720"/>
        <w:rPr>
          <w:rFonts w:eastAsia="Times New Roman" w:cs="Times New Roman"/>
          <w:szCs w:val="24"/>
        </w:rPr>
      </w:pPr>
    </w:p>
    <w:p w14:paraId="05B94A03" w14:textId="77777777" w:rsidR="00842D3D" w:rsidRPr="00842D3D" w:rsidRDefault="00842D3D" w:rsidP="00842D3D">
      <w:pPr>
        <w:widowControl w:val="0"/>
        <w:autoSpaceDE w:val="0"/>
        <w:autoSpaceDN w:val="0"/>
        <w:spacing w:line="247" w:lineRule="auto"/>
        <w:ind w:left="100" w:right="116" w:firstLine="620"/>
        <w:rPr>
          <w:rFonts w:eastAsia="Times New Roman" w:cs="Times New Roman"/>
          <w:szCs w:val="24"/>
        </w:rPr>
      </w:pPr>
      <w:r w:rsidRPr="00842D3D">
        <w:rPr>
          <w:rFonts w:eastAsia="Times New Roman" w:cs="Times New Roman"/>
          <w:szCs w:val="24"/>
        </w:rPr>
        <w:t xml:space="preserve">In a multi-plaintiff or multi-defendant case, the trial judge should consider naming each individual specifically in lieu of using the generic term “officers” or “defendants.” In </w:t>
      </w:r>
      <w:r w:rsidRPr="00842D3D">
        <w:rPr>
          <w:rFonts w:eastAsia="Times New Roman" w:cs="Times New Roman"/>
          <w:i/>
          <w:iCs/>
          <w:szCs w:val="24"/>
        </w:rPr>
        <w:t>Chinaryan</w:t>
      </w:r>
      <w:r w:rsidRPr="00842D3D">
        <w:rPr>
          <w:rFonts w:eastAsia="Times New Roman"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Times New Roman" w:cs="Times New Roman"/>
          <w:i/>
          <w:iCs/>
          <w:szCs w:val="24"/>
          <w:u w:val="single"/>
        </w:rPr>
        <w:t>s</w:t>
      </w:r>
      <w:r w:rsidRPr="00842D3D">
        <w:rPr>
          <w:rFonts w:eastAsia="Times New Roman" w:cs="Times New Roman"/>
          <w:szCs w:val="24"/>
        </w:rPr>
        <w:t xml:space="preserve">”—plural—“used excessive force.” </w:t>
      </w:r>
      <w:r w:rsidRPr="00842D3D">
        <w:rPr>
          <w:rFonts w:eastAsia="Times New Roman" w:cs="Times New Roman"/>
          <w:i/>
          <w:iCs/>
          <w:szCs w:val="24"/>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i/>
          <w:iCs/>
          <w:szCs w:val="24"/>
          <w:u w:val="single"/>
        </w:rPr>
        <w:t>s</w:t>
      </w:r>
      <w:r w:rsidRPr="00842D3D">
        <w:rPr>
          <w:rFonts w:eastAsia="Times New Roman"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rPr>
        <w:t>Chinaryan</w:t>
      </w:r>
      <w:r w:rsidRPr="00842D3D">
        <w:rPr>
          <w:rFonts w:eastAsia="Times New Roman" w:cs="Times New Roman"/>
          <w:szCs w:val="24"/>
        </w:rPr>
        <w:t>, the trial judge may consider using a special verdict to identify the specific findings as to each plaintiff and defendant.</w:t>
      </w:r>
    </w:p>
    <w:p w14:paraId="305901E6" w14:textId="77777777" w:rsidR="00842D3D" w:rsidRPr="00842D3D" w:rsidRDefault="00842D3D" w:rsidP="00842D3D">
      <w:pPr>
        <w:widowControl w:val="0"/>
        <w:autoSpaceDE w:val="0"/>
        <w:autoSpaceDN w:val="0"/>
        <w:ind w:left="100" w:right="116" w:firstLine="720"/>
        <w:rPr>
          <w:rFonts w:eastAsia="Times New Roman" w:cs="Times New Roman"/>
          <w:szCs w:val="24"/>
        </w:rPr>
      </w:pPr>
    </w:p>
    <w:p w14:paraId="61AA9FD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“When the Government obtains information by physically intruding on persons, houses, papers, or effects, a ‘search’ within the original meaning of the Fourth Amendment has undoubtedly occurred.” </w:t>
      </w:r>
      <w:r w:rsidRPr="00842D3D">
        <w:rPr>
          <w:rFonts w:eastAsia="Times New Roman" w:cs="Times New Roman"/>
          <w:i/>
          <w:iCs/>
          <w:szCs w:val="24"/>
        </w:rPr>
        <w:t>United States v. Ngumezi</w:t>
      </w:r>
      <w:r w:rsidRPr="00842D3D">
        <w:rPr>
          <w:rFonts w:eastAsia="Times New Roman" w:cs="Times New Roman"/>
          <w:szCs w:val="24"/>
        </w:rPr>
        <w:t xml:space="preserve">, 980 F.3d 1285, 1289 (9th Cir. 2020) (quoting </w:t>
      </w:r>
      <w:r w:rsidRPr="00842D3D">
        <w:rPr>
          <w:rFonts w:eastAsia="Times New Roman" w:cs="Times New Roman"/>
          <w:i/>
          <w:iCs/>
          <w:szCs w:val="24"/>
        </w:rPr>
        <w:t>Florida v. Jardines</w:t>
      </w:r>
      <w:r w:rsidRPr="00842D3D">
        <w:rPr>
          <w:rFonts w:eastAsia="Times New Roman" w:cs="Times New Roman"/>
          <w:szCs w:val="24"/>
        </w:rPr>
        <w:t xml:space="preserve">, 569 U.S. 1, 5 (2013)); </w:t>
      </w:r>
      <w:r w:rsidRPr="00842D3D">
        <w:rPr>
          <w:rFonts w:eastAsia="Times New Roman" w:cs="Times New Roman"/>
          <w:i/>
          <w:iCs/>
          <w:szCs w:val="24"/>
        </w:rPr>
        <w:t>see also United States v. Dixon</w:t>
      </w:r>
      <w:r w:rsidRPr="00842D3D">
        <w:rPr>
          <w:rFonts w:eastAsia="Times New Roman" w:cs="Times New Roman"/>
          <w:szCs w:val="24"/>
        </w:rPr>
        <w:t xml:space="preserve">, 984 F.3d 814, 820 (9th Cir. 2020) (“[A] search occurs when the government ‘physically occup[ies] private property for the purpose of obtaining information.’” (quoting </w:t>
      </w:r>
      <w:r w:rsidRPr="00842D3D">
        <w:rPr>
          <w:rFonts w:eastAsia="Times New Roman" w:cs="Times New Roman"/>
          <w:i/>
          <w:iCs/>
          <w:szCs w:val="24"/>
        </w:rPr>
        <w:t>United States v. Jones</w:t>
      </w:r>
      <w:r w:rsidRPr="00842D3D">
        <w:rPr>
          <w:rFonts w:eastAsia="Times New Roman" w:cs="Times New Roman"/>
          <w:szCs w:val="24"/>
        </w:rPr>
        <w:t xml:space="preserve">, 565 U.S. 400, 404 (2012))); </w:t>
      </w:r>
      <w:r w:rsidRPr="00842D3D">
        <w:rPr>
          <w:rFonts w:eastAsia="Times New Roman" w:cs="Times New Roman"/>
          <w:i/>
          <w:iCs/>
          <w:szCs w:val="24"/>
        </w:rPr>
        <w:t>Jardines</w:t>
      </w:r>
      <w:r w:rsidRPr="00842D3D">
        <w:rPr>
          <w:rFonts w:eastAsia="Times New Roman" w:cs="Times New Roman"/>
          <w:szCs w:val="24"/>
        </w:rPr>
        <w:t xml:space="preserve">, 569 U.S. at 11-12 (holding that the government’s use of a drug dog within the curtilage of a home used “to investigate the home and its immediate surroundings” was a search within meaning of the Fourth Amendment); </w:t>
      </w:r>
      <w:r w:rsidRPr="00842D3D">
        <w:rPr>
          <w:rFonts w:eastAsia="Times New Roman" w:cs="Times New Roman"/>
          <w:i/>
          <w:iCs/>
          <w:szCs w:val="24"/>
        </w:rPr>
        <w:t>Jones</w:t>
      </w:r>
      <w:r w:rsidRPr="00842D3D">
        <w:rPr>
          <w:rFonts w:eastAsia="Times New Roman" w:cs="Times New Roman"/>
          <w:szCs w:val="24"/>
        </w:rPr>
        <w:t xml:space="preserve">, 565 U.S. at 404 (holding installation of GPS device tracking device on underside of vehicle to monitor vehicle’s movements constitutes search within meaning of Fourth Amendment); </w:t>
      </w:r>
      <w:r w:rsidRPr="00842D3D">
        <w:rPr>
          <w:rFonts w:eastAsia="Times New Roman" w:cs="Times New Roman"/>
          <w:i/>
          <w:iCs/>
          <w:szCs w:val="24"/>
        </w:rPr>
        <w:t>Olson v. County of Grant</w:t>
      </w:r>
      <w:r w:rsidRPr="00842D3D">
        <w:rPr>
          <w:rFonts w:eastAsia="Times New Roman" w:cs="Times New Roman"/>
          <w:szCs w:val="24"/>
        </w:rPr>
        <w:t xml:space="preserve">, 127 F.4th 1193, 1998 (9th Cir. 2025) (holding that the county attorney’s review, without consent, without a warrant, and without suspicion of further criminal activity, of a cell phone extraction obtained by another state’s law enforcement agency with the plaintiff’s consent, was an unreasonable search violating the plaintiff’s Fourth Amendment rights); </w:t>
      </w:r>
      <w:r w:rsidRPr="00842D3D">
        <w:rPr>
          <w:rFonts w:eastAsia="Times New Roman" w:cs="Times New Roman"/>
          <w:i/>
          <w:iCs/>
          <w:szCs w:val="24"/>
        </w:rPr>
        <w:t>cf.</w:t>
      </w:r>
      <w:r w:rsidRPr="00842D3D">
        <w:rPr>
          <w:rFonts w:eastAsia="Calibri" w:cs="Times New Roman"/>
          <w:i/>
          <w:iCs/>
          <w:szCs w:val="24"/>
        </w:rPr>
        <w:t xml:space="preserve"> </w:t>
      </w:r>
      <w:r w:rsidRPr="00842D3D">
        <w:rPr>
          <w:rFonts w:eastAsia="Times New Roman" w:cs="Times New Roman"/>
          <w:i/>
          <w:iCs/>
          <w:szCs w:val="24"/>
        </w:rPr>
        <w:t>United States v. Esqueda</w:t>
      </w:r>
      <w:r w:rsidRPr="00842D3D">
        <w:rPr>
          <w:rFonts w:eastAsia="Times New Roman" w:cs="Times New Roman"/>
          <w:szCs w:val="24"/>
        </w:rPr>
        <w:t xml:space="preserve">, 88 F.4th 818 (9th Cir. 2023) (holding that when “an officer enters a premises with express consent, and secretly uses recording equipment to capture only what he can see and hear by virtue of that consented entry, no Fourth Amendment search occurs under the trespassory, unlicensed physical intrusion framework as articulated in </w:t>
      </w:r>
      <w:r w:rsidRPr="00842D3D">
        <w:rPr>
          <w:rFonts w:eastAsia="Times New Roman" w:cs="Times New Roman"/>
          <w:i/>
          <w:iCs/>
          <w:szCs w:val="24"/>
        </w:rPr>
        <w:t>Jones</w:t>
      </w:r>
      <w:r w:rsidRPr="00842D3D">
        <w:rPr>
          <w:rFonts w:eastAsia="Times New Roman" w:cs="Times New Roman"/>
          <w:szCs w:val="24"/>
        </w:rPr>
        <w:t xml:space="preserve"> and </w:t>
      </w:r>
      <w:r w:rsidRPr="00842D3D">
        <w:rPr>
          <w:rFonts w:eastAsia="Times New Roman" w:cs="Times New Roman"/>
          <w:i/>
          <w:iCs/>
          <w:szCs w:val="24"/>
        </w:rPr>
        <w:t>Jardines</w:t>
      </w:r>
      <w:r w:rsidRPr="00842D3D">
        <w:rPr>
          <w:rFonts w:eastAsia="Times New Roman" w:cs="Times New Roman"/>
          <w:szCs w:val="24"/>
        </w:rPr>
        <w:t xml:space="preserve">”). In addition to cabining physical intrusions on a constitutionally protected area, “the Fourth Amendment protects ‘certain expectations of privacy.’” </w:t>
      </w:r>
      <w:r w:rsidRPr="00842D3D">
        <w:rPr>
          <w:rFonts w:eastAsia="Times New Roman" w:cs="Times New Roman"/>
          <w:i/>
          <w:iCs/>
          <w:szCs w:val="24"/>
        </w:rPr>
        <w:t>United States v. Rosenow</w:t>
      </w:r>
      <w:r w:rsidRPr="00842D3D">
        <w:rPr>
          <w:rFonts w:eastAsia="Times New Roman" w:cs="Times New Roman"/>
          <w:szCs w:val="24"/>
        </w:rPr>
        <w:t xml:space="preserve">, 50 F.4th 715, 737 (9th Cir. 2022) (quoting </w:t>
      </w:r>
      <w:r w:rsidRPr="00842D3D">
        <w:rPr>
          <w:rFonts w:eastAsia="Times New Roman" w:cs="Times New Roman"/>
          <w:i/>
          <w:iCs/>
          <w:szCs w:val="24"/>
        </w:rPr>
        <w:t>Carpenter v. United States</w:t>
      </w:r>
      <w:r w:rsidRPr="00842D3D">
        <w:rPr>
          <w:rFonts w:eastAsia="Times New Roman" w:cs="Times New Roman"/>
          <w:szCs w:val="24"/>
        </w:rPr>
        <w:t xml:space="preserve">, 585 U.S. 296, 304 (2018)). “When an individual seeks to preserve something as private, and his expectation of privacy is one that society is prepared to recognize as reasonable, </w:t>
      </w:r>
      <w:r w:rsidRPr="00842D3D">
        <w:rPr>
          <w:rFonts w:eastAsia="Times New Roman" w:cs="Times New Roman"/>
          <w:szCs w:val="24"/>
        </w:rPr>
        <w:lastRenderedPageBreak/>
        <w:t xml:space="preserve">we have held that official intrusion into that private sphere generally qualifies as a search and requires a warrant supported by probable cause.” </w:t>
      </w:r>
      <w:r w:rsidRPr="00842D3D">
        <w:rPr>
          <w:rFonts w:eastAsia="Times New Roman" w:cs="Times New Roman"/>
          <w:i/>
          <w:iCs/>
          <w:szCs w:val="24"/>
        </w:rPr>
        <w:t>Id.</w:t>
      </w:r>
      <w:r w:rsidRPr="00842D3D">
        <w:rPr>
          <w:rFonts w:eastAsia="Times New Roman" w:cs="Times New Roman"/>
          <w:szCs w:val="24"/>
        </w:rPr>
        <w:t xml:space="preserve">; </w:t>
      </w:r>
      <w:r w:rsidRPr="00842D3D">
        <w:rPr>
          <w:rFonts w:eastAsia="Times New Roman" w:cs="Times New Roman"/>
          <w:i/>
          <w:iCs/>
          <w:szCs w:val="24"/>
        </w:rPr>
        <w:t>see also</w:t>
      </w:r>
      <w:r w:rsidRPr="00842D3D">
        <w:rPr>
          <w:rFonts w:eastAsia="Times New Roman" w:cs="Times New Roman"/>
          <w:szCs w:val="24"/>
        </w:rPr>
        <w:t xml:space="preserve"> </w:t>
      </w:r>
      <w:r w:rsidRPr="00842D3D">
        <w:rPr>
          <w:rFonts w:eastAsia="Times New Roman" w:cs="Times New Roman"/>
          <w:i/>
          <w:iCs/>
          <w:szCs w:val="24"/>
        </w:rPr>
        <w:t>Carpenter</w:t>
      </w:r>
      <w:r w:rsidRPr="00842D3D">
        <w:rPr>
          <w:rFonts w:eastAsia="Times New Roman" w:cs="Times New Roman"/>
          <w:szCs w:val="24"/>
        </w:rPr>
        <w:t xml:space="preserve">, 585 U.S. at 315 (holding that the government’s acquisition of cell-site records that provide comprehensive details of a user’s past movements was search within the meaning of Fourth Amendment). For assessing a reasonable expectation of privacy in a commercial premise, </w:t>
      </w:r>
      <w:r w:rsidRPr="00842D3D">
        <w:rPr>
          <w:rFonts w:eastAsia="Times New Roman" w:cs="Times New Roman"/>
          <w:i/>
          <w:iCs/>
          <w:szCs w:val="24"/>
        </w:rPr>
        <w:t>see generally United States v. SDI Future Health, Inc.</w:t>
      </w:r>
      <w:r w:rsidRPr="00842D3D">
        <w:rPr>
          <w:rFonts w:eastAsia="Times New Roman" w:cs="Times New Roman"/>
          <w:szCs w:val="24"/>
        </w:rPr>
        <w:t>, 568 F.3d 684, 695 (9th Cir. 2009).</w:t>
      </w:r>
    </w:p>
    <w:p w14:paraId="69C38373" w14:textId="77777777" w:rsidR="00842D3D" w:rsidRPr="00842D3D" w:rsidRDefault="00842D3D" w:rsidP="00842D3D">
      <w:pPr>
        <w:widowControl w:val="0"/>
        <w:autoSpaceDE w:val="0"/>
        <w:autoSpaceDN w:val="0"/>
        <w:rPr>
          <w:rFonts w:eastAsia="Times New Roman" w:cs="Times New Roman"/>
          <w:szCs w:val="24"/>
        </w:rPr>
      </w:pPr>
    </w:p>
    <w:p w14:paraId="0C96CC64"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 xml:space="preserve">The Fourth Amendment’s protection against unreasonable searches extends beyond criminal investigations. </w:t>
      </w:r>
      <w:r w:rsidRPr="00842D3D">
        <w:rPr>
          <w:rFonts w:eastAsia="Times New Roman" w:cs="Times New Roman"/>
          <w:i/>
          <w:iCs/>
          <w:szCs w:val="24"/>
        </w:rPr>
        <w:t xml:space="preserve">See </w:t>
      </w:r>
      <w:r w:rsidRPr="00842D3D">
        <w:rPr>
          <w:rFonts w:eastAsia="Times New Roman" w:cs="Times New Roman"/>
          <w:i/>
          <w:szCs w:val="24"/>
        </w:rPr>
        <w:t>Grady v. North Carolina</w:t>
      </w:r>
      <w:r w:rsidRPr="00842D3D">
        <w:rPr>
          <w:rFonts w:eastAsia="Times New Roman" w:cs="Times New Roman"/>
          <w:szCs w:val="24"/>
        </w:rPr>
        <w:t xml:space="preserve">, 575 U.S. 306, 309 (2015) (per curiam) (holding that the state conducts search subject to the Fourth Amendment when it attaches a tracking device to recidivist sex offender’s person without consent after civil proceedings); </w:t>
      </w:r>
      <w:r w:rsidRPr="00842D3D">
        <w:rPr>
          <w:rFonts w:eastAsia="Times New Roman" w:cs="Times New Roman"/>
          <w:i/>
          <w:iCs/>
          <w:szCs w:val="24"/>
        </w:rPr>
        <w:t>United States v. Motley</w:t>
      </w:r>
      <w:r w:rsidRPr="00842D3D">
        <w:rPr>
          <w:rFonts w:eastAsia="Times New Roman" w:cs="Times New Roman"/>
          <w:szCs w:val="24"/>
        </w:rPr>
        <w:t>, 89 F.4th 777, 786 (9th Cir. 2023) (holding that a defendant does not have an objectively reasonable expectation of privacy in his prescription opioid records maintained in government database, given the long-standing and pervasive regulation of opioids as a controlled substance and regulatory disclosure of opioid prescription records).</w:t>
      </w:r>
    </w:p>
    <w:p w14:paraId="102BC43D" w14:textId="77777777" w:rsidR="00842D3D" w:rsidRPr="00842D3D" w:rsidRDefault="00842D3D" w:rsidP="00842D3D">
      <w:pPr>
        <w:widowControl w:val="0"/>
        <w:autoSpaceDE w:val="0"/>
        <w:autoSpaceDN w:val="0"/>
        <w:rPr>
          <w:rFonts w:eastAsia="Times New Roman" w:cs="Times New Roman"/>
          <w:szCs w:val="24"/>
        </w:rPr>
      </w:pPr>
    </w:p>
    <w:p w14:paraId="7A141C91" w14:textId="77777777" w:rsidR="00842D3D" w:rsidRPr="00842D3D" w:rsidRDefault="00842D3D" w:rsidP="00842D3D">
      <w:pPr>
        <w:ind w:left="101" w:right="187" w:firstLine="720"/>
        <w:rPr>
          <w:rFonts w:eastAsia="Calibri" w:cs="Times New Roman"/>
          <w:szCs w:val="24"/>
        </w:rPr>
      </w:pPr>
      <w:r w:rsidRPr="00842D3D">
        <w:rPr>
          <w:rFonts w:eastAsia="Calibri" w:cs="Times New Roman"/>
          <w:szCs w:val="24"/>
        </w:rPr>
        <w:t xml:space="preserve">Section 1983 “contains no state-of-mind requirement independent of that necessary to state a violation of the underlying constitutional right.” </w:t>
      </w:r>
      <w:r w:rsidRPr="00842D3D">
        <w:rPr>
          <w:rFonts w:eastAsia="Calibri" w:cs="Times New Roman"/>
          <w:i/>
          <w:szCs w:val="24"/>
        </w:rPr>
        <w:t>OSU Student All. v. Ray</w:t>
      </w:r>
      <w:r w:rsidRPr="00842D3D">
        <w:rPr>
          <w:rFonts w:eastAsia="Calibri" w:cs="Times New Roman"/>
          <w:szCs w:val="24"/>
        </w:rPr>
        <w:t xml:space="preserve">, 699 F.3d 1053, 1072 n.12 (9th Cir. 2012) (quoting </w:t>
      </w:r>
      <w:r w:rsidRPr="00842D3D">
        <w:rPr>
          <w:rFonts w:eastAsia="Calibri" w:cs="Times New Roman"/>
          <w:i/>
          <w:szCs w:val="24"/>
        </w:rPr>
        <w:t>Daniels v. Williams</w:t>
      </w:r>
      <w:r w:rsidRPr="00842D3D">
        <w:rPr>
          <w:rFonts w:eastAsia="Calibri" w:cs="Times New Roman"/>
          <w:szCs w:val="24"/>
        </w:rPr>
        <w:t xml:space="preserve">, 474 U.S. 327, 328 (1986)). It is well settled that “negligent acts do not incur constitutional liability.” </w:t>
      </w:r>
      <w:r w:rsidRPr="00842D3D">
        <w:rPr>
          <w:rFonts w:eastAsia="Calibri" w:cs="Times New Roman"/>
          <w:i/>
          <w:szCs w:val="24"/>
        </w:rPr>
        <w:t>Billington v. Smith</w:t>
      </w:r>
      <w:r w:rsidRPr="00842D3D">
        <w:rPr>
          <w:rFonts w:eastAsia="Calibri" w:cs="Times New Roman"/>
          <w:szCs w:val="24"/>
        </w:rPr>
        <w:t xml:space="preserve">, 292 F.3d 1177, 1190 (9th Cir. 2002), </w:t>
      </w:r>
      <w:r w:rsidRPr="00842D3D">
        <w:rPr>
          <w:rFonts w:eastAsia="Calibri" w:cs="Times New Roman"/>
          <w:i/>
          <w:szCs w:val="24"/>
        </w:rPr>
        <w:t>abrogated on other grounds by County 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w:t>
      </w:r>
      <w:r w:rsidRPr="00842D3D">
        <w:rPr>
          <w:rFonts w:eastAsia="Calibri" w:cs="Times New Roman"/>
          <w:szCs w:val="24"/>
        </w:rPr>
        <w:t xml:space="preserve">, 474 U.S. at 328)). The question is whether the officers’ actions are “objectively reasonable” in light of the facts and circumstances confronting them, without regard to their underlying intent or motivation. </w:t>
      </w:r>
      <w:r w:rsidRPr="00842D3D">
        <w:rPr>
          <w:rFonts w:eastAsia="Calibri" w:cs="Times New Roman"/>
          <w:i/>
          <w:iCs/>
          <w:szCs w:val="24"/>
        </w:rPr>
        <w:t>Graham v. Connor</w:t>
      </w:r>
      <w:r w:rsidRPr="00842D3D">
        <w:rPr>
          <w:rFonts w:eastAsia="Calibri" w:cs="Times New Roman"/>
          <w:szCs w:val="24"/>
        </w:rPr>
        <w:t xml:space="preserve">, 490 U.S. 386, 397 (1989); </w:t>
      </w:r>
      <w:r w:rsidRPr="00842D3D">
        <w:rPr>
          <w:rFonts w:eastAsia="Calibri" w:cs="Times New Roman"/>
          <w:i/>
          <w:iCs/>
          <w:szCs w:val="24"/>
        </w:rPr>
        <w:t>United States v. Reese</w:t>
      </w:r>
      <w:r w:rsidRPr="00842D3D">
        <w:rPr>
          <w:rFonts w:eastAsia="Calibri" w:cs="Times New Roman"/>
          <w:szCs w:val="24"/>
        </w:rPr>
        <w:t xml:space="preserve">, 2 F.3d 870, 885-86 (9th Cir. 1993); </w:t>
      </w:r>
      <w:r w:rsidRPr="00842D3D">
        <w:rPr>
          <w:rFonts w:eastAsia="Calibri" w:cs="Times New Roman"/>
          <w:i/>
          <w:iCs/>
          <w:szCs w:val="24"/>
        </w:rPr>
        <w:t>see also Reese v. County of Sacramento</w:t>
      </w:r>
      <w:r w:rsidRPr="00842D3D">
        <w:rPr>
          <w:rFonts w:eastAsia="Calibri" w:cs="Times New Roman"/>
          <w:szCs w:val="24"/>
        </w:rPr>
        <w:t xml:space="preserve">, 888 F.3d 1030, 1044-45 (9th Cir. 2018). </w:t>
      </w:r>
    </w:p>
    <w:p w14:paraId="7098E0A8" w14:textId="77777777" w:rsidR="00842D3D" w:rsidRPr="00842D3D" w:rsidRDefault="00842D3D" w:rsidP="00842D3D">
      <w:pPr>
        <w:ind w:left="101" w:right="187" w:firstLine="720"/>
        <w:rPr>
          <w:rFonts w:eastAsia="Calibri" w:cs="Times New Roman"/>
          <w:szCs w:val="24"/>
        </w:rPr>
      </w:pPr>
    </w:p>
    <w:p w14:paraId="33EF8225" w14:textId="77777777" w:rsidR="00842D3D" w:rsidRPr="00842D3D" w:rsidRDefault="00842D3D" w:rsidP="00842D3D">
      <w:pPr>
        <w:widowControl w:val="0"/>
        <w:autoSpaceDE w:val="0"/>
        <w:autoSpaceDN w:val="0"/>
        <w:ind w:left="100" w:right="127" w:firstLine="720"/>
        <w:rPr>
          <w:rFonts w:eastAsia="Times New Roman" w:cs="Times New Roman"/>
          <w:szCs w:val="24"/>
        </w:rPr>
      </w:pPr>
      <w:r w:rsidRPr="00842D3D">
        <w:rPr>
          <w:rFonts w:eastAsia="Times New Roman" w:cs="Times New Roman"/>
          <w:szCs w:val="24"/>
        </w:rPr>
        <w:t xml:space="preserve">With respect to the Fourth Amendment, the Supreme Court has defined a seizure as “a governmental termination of freedom of movement </w:t>
      </w:r>
      <w:r w:rsidRPr="00842D3D">
        <w:rPr>
          <w:rFonts w:eastAsia="Times New Roman" w:cs="Times New Roman"/>
          <w:i/>
          <w:szCs w:val="24"/>
        </w:rPr>
        <w:t>through means intentionally applied</w:t>
      </w:r>
      <w:r w:rsidRPr="00842D3D">
        <w:rPr>
          <w:rFonts w:eastAsia="Times New Roman" w:cs="Times New Roman"/>
          <w:szCs w:val="24"/>
        </w:rPr>
        <w:t xml:space="preserve">.” </w:t>
      </w:r>
      <w:r w:rsidRPr="00842D3D">
        <w:rPr>
          <w:rFonts w:eastAsia="Times New Roman" w:cs="Times New Roman"/>
          <w:i/>
          <w:szCs w:val="24"/>
        </w:rPr>
        <w:t>Brower v. County of Inyo</w:t>
      </w:r>
      <w:r w:rsidRPr="00842D3D">
        <w:rPr>
          <w:rFonts w:eastAsia="Times New Roman" w:cs="Times New Roman"/>
          <w:szCs w:val="24"/>
        </w:rPr>
        <w:t xml:space="preserve">, 489 U.S. 593, 596-97 (1989) (emphasis in original); </w:t>
      </w:r>
      <w:r w:rsidRPr="00842D3D">
        <w:rPr>
          <w:rFonts w:eastAsia="Times New Roman" w:cs="Times New Roman"/>
          <w:i/>
          <w:szCs w:val="24"/>
        </w:rPr>
        <w:t>see also Nelson v. City of Davis</w:t>
      </w:r>
      <w:r w:rsidRPr="00842D3D">
        <w:rPr>
          <w:rFonts w:eastAsia="Times New Roman" w:cs="Times New Roman"/>
          <w:szCs w:val="24"/>
        </w:rPr>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06609BB0" w14:textId="77777777" w:rsidR="00842D3D" w:rsidRPr="00842D3D" w:rsidRDefault="00842D3D" w:rsidP="00842D3D">
      <w:pPr>
        <w:widowControl w:val="0"/>
        <w:autoSpaceDE w:val="0"/>
        <w:autoSpaceDN w:val="0"/>
        <w:rPr>
          <w:rFonts w:eastAsia="Times New Roman" w:cs="Times New Roman"/>
          <w:szCs w:val="24"/>
        </w:rPr>
      </w:pPr>
    </w:p>
    <w:p w14:paraId="43416509" w14:textId="77777777" w:rsidR="00842D3D" w:rsidRPr="00842D3D" w:rsidRDefault="00842D3D" w:rsidP="00842D3D">
      <w:pPr>
        <w:widowControl w:val="0"/>
        <w:autoSpaceDE w:val="0"/>
        <w:autoSpaceDN w:val="0"/>
        <w:ind w:left="100" w:right="394" w:firstLine="720"/>
        <w:rPr>
          <w:rFonts w:eastAsia="Times New Roman" w:cs="Times New Roman"/>
          <w:szCs w:val="24"/>
        </w:rPr>
      </w:pPr>
      <w:r w:rsidRPr="00842D3D">
        <w:rPr>
          <w:rFonts w:eastAsia="Times New Roman" w:cs="Times New Roman"/>
          <w:szCs w:val="24"/>
        </w:rPr>
        <w:t xml:space="preserve">“Determining the reasonableness of any search involves a two-fold inquiry: first, one must consider whether the . . . action was justified at its inception; second, one must determine whether the search as actually conducted was reasonably related in scope to the circumstances which justified the interference in the first place.” </w:t>
      </w:r>
      <w:r w:rsidRPr="00842D3D">
        <w:rPr>
          <w:rFonts w:eastAsia="Times New Roman" w:cs="Times New Roman"/>
          <w:i/>
          <w:szCs w:val="24"/>
        </w:rPr>
        <w:t>C.B. v. City of Sonora</w:t>
      </w:r>
      <w:r w:rsidRPr="00842D3D">
        <w:rPr>
          <w:rFonts w:eastAsia="Times New Roman" w:cs="Times New Roman"/>
          <w:szCs w:val="24"/>
        </w:rPr>
        <w:t xml:space="preserve">, 769 </w:t>
      </w:r>
      <w:r w:rsidRPr="00842D3D">
        <w:rPr>
          <w:rFonts w:eastAsia="Times New Roman" w:cs="Times New Roman"/>
          <w:szCs w:val="24"/>
        </w:rPr>
        <w:lastRenderedPageBreak/>
        <w:t xml:space="preserve">F.3d 1005, 1023 (9th Cir.2014) (quoting </w:t>
      </w:r>
      <w:r w:rsidRPr="00842D3D">
        <w:rPr>
          <w:rFonts w:eastAsia="Times New Roman" w:cs="Times New Roman"/>
          <w:i/>
          <w:szCs w:val="24"/>
        </w:rPr>
        <w:t>New Jersey v. T.L.O.</w:t>
      </w:r>
      <w:r w:rsidRPr="00842D3D">
        <w:rPr>
          <w:rFonts w:eastAsia="Times New Roman" w:cs="Times New Roman"/>
          <w:szCs w:val="24"/>
        </w:rPr>
        <w:t xml:space="preserve">, 469 U.S. 325, 341-42 (1985)); </w:t>
      </w:r>
      <w:r w:rsidRPr="00842D3D">
        <w:rPr>
          <w:rFonts w:eastAsia="Times New Roman" w:cs="Times New Roman"/>
          <w:i/>
          <w:szCs w:val="24"/>
        </w:rPr>
        <w:t>see also Cates v. Stroud</w:t>
      </w:r>
      <w:r w:rsidRPr="00842D3D">
        <w:rPr>
          <w:rFonts w:eastAsia="Times New Roman" w:cs="Times New Roman"/>
          <w:szCs w:val="24"/>
        </w:rPr>
        <w:t xml:space="preserve">, 976 F.3d 972, 978-84 (9th Cir. 2020) (examining search of prison visitor and holding that prior to strip search, the visitor must be given the opportunity to leave prison); </w:t>
      </w:r>
      <w:r w:rsidRPr="00842D3D">
        <w:rPr>
          <w:rFonts w:eastAsia="Times New Roman" w:cs="Times New Roman"/>
          <w:i/>
          <w:szCs w:val="24"/>
        </w:rPr>
        <w:t>Ortega v. O’Connor</w:t>
      </w:r>
      <w:r w:rsidRPr="00842D3D">
        <w:rPr>
          <w:rFonts w:eastAsia="Times New Roman" w:cs="Times New Roman"/>
          <w:szCs w:val="24"/>
        </w:rPr>
        <w:t xml:space="preserve">, 146 F.3d 1149, 1162-64 (9th Cir. 1998) (examining search of a private office); </w:t>
      </w:r>
      <w:r w:rsidRPr="00842D3D">
        <w:rPr>
          <w:rFonts w:eastAsia="Times New Roman" w:cs="Times New Roman"/>
          <w:i/>
          <w:szCs w:val="24"/>
        </w:rPr>
        <w:t>cf. Maryland v. King</w:t>
      </w:r>
      <w:r w:rsidRPr="00842D3D">
        <w:rPr>
          <w:rFonts w:eastAsia="Times New Roman" w:cs="Times New Roman"/>
          <w:szCs w:val="24"/>
        </w:rPr>
        <w:t xml:space="preserve">, 569 U.S. 435, 448 (2013) (holding that a court should weigh “the promotion of legitimate governmental interests against the degree to which [the search] intrudes upon an individual’s privacy” (alteration in original) (quoting </w:t>
      </w:r>
      <w:r w:rsidRPr="00842D3D">
        <w:rPr>
          <w:rFonts w:eastAsia="Times New Roman" w:cs="Times New Roman"/>
          <w:i/>
          <w:szCs w:val="24"/>
        </w:rPr>
        <w:t>Wyoming v. Houghton</w:t>
      </w:r>
      <w:r w:rsidRPr="00842D3D">
        <w:rPr>
          <w:rFonts w:eastAsia="Times New Roman" w:cs="Times New Roman"/>
          <w:szCs w:val="24"/>
        </w:rPr>
        <w:t>, 526 U.S. 295, 300 (1999)) (internal quotation marks omitted)).</w:t>
      </w:r>
    </w:p>
    <w:p w14:paraId="3ECDE9A7" w14:textId="77777777" w:rsidR="00842D3D" w:rsidRPr="00842D3D" w:rsidRDefault="00842D3D" w:rsidP="00842D3D">
      <w:pPr>
        <w:widowControl w:val="0"/>
        <w:autoSpaceDE w:val="0"/>
        <w:autoSpaceDN w:val="0"/>
        <w:ind w:left="100" w:right="394" w:firstLine="720"/>
        <w:rPr>
          <w:rFonts w:eastAsia="Times New Roman" w:cs="Times New Roman"/>
          <w:szCs w:val="24"/>
        </w:rPr>
      </w:pPr>
    </w:p>
    <w:p w14:paraId="7C898E45" w14:textId="77777777" w:rsidR="00842D3D" w:rsidRPr="00842D3D" w:rsidRDefault="00842D3D" w:rsidP="00842D3D">
      <w:pPr>
        <w:widowControl w:val="0"/>
        <w:autoSpaceDE w:val="0"/>
        <w:autoSpaceDN w:val="0"/>
        <w:ind w:left="100" w:right="394" w:firstLine="620"/>
        <w:rPr>
          <w:rFonts w:eastAsia="Times New Roman" w:cs="Times New Roman"/>
          <w:szCs w:val="24"/>
        </w:rPr>
      </w:pPr>
      <w:r w:rsidRPr="00842D3D">
        <w:rPr>
          <w:rFonts w:eastAsia="Times New Roman" w:cs="Times New Roman"/>
          <w:szCs w:val="24"/>
        </w:rPr>
        <w:t xml:space="preserve">“[T]o determine whether the government exceeded the scope of a warrant, we compare the terms of the warrant to the search actually conducted.” </w:t>
      </w:r>
      <w:r w:rsidRPr="00842D3D">
        <w:rPr>
          <w:rFonts w:eastAsia="Times New Roman" w:cs="Times New Roman"/>
          <w:i/>
          <w:iCs/>
          <w:szCs w:val="24"/>
        </w:rPr>
        <w:t>Snitko v. United States</w:t>
      </w:r>
      <w:r w:rsidRPr="00842D3D">
        <w:rPr>
          <w:rFonts w:eastAsia="Times New Roman" w:cs="Times New Roman"/>
          <w:szCs w:val="24"/>
        </w:rPr>
        <w:t>, 90 F.4th 1250, 1263 (9th Cir. 2024) (deciding that search of contents of safe deposit boxes exceeded the terms of warrant and violated the owners’ Fourth Amendment rights).</w:t>
      </w:r>
    </w:p>
    <w:p w14:paraId="4423EEC4" w14:textId="77777777" w:rsidR="00842D3D" w:rsidRPr="00842D3D" w:rsidRDefault="00842D3D" w:rsidP="00842D3D">
      <w:pPr>
        <w:widowControl w:val="0"/>
        <w:autoSpaceDE w:val="0"/>
        <w:autoSpaceDN w:val="0"/>
        <w:ind w:left="100" w:right="394" w:firstLine="720"/>
        <w:rPr>
          <w:rFonts w:eastAsia="Times New Roman" w:cs="Times New Roman"/>
          <w:szCs w:val="24"/>
        </w:rPr>
      </w:pPr>
    </w:p>
    <w:p w14:paraId="318BBF3A" w14:textId="77777777" w:rsidR="00842D3D" w:rsidRPr="00842D3D" w:rsidRDefault="00842D3D" w:rsidP="00842D3D">
      <w:pPr>
        <w:widowControl w:val="0"/>
        <w:autoSpaceDE w:val="0"/>
        <w:autoSpaceDN w:val="0"/>
        <w:ind w:left="100" w:right="394" w:firstLine="720"/>
        <w:rPr>
          <w:rFonts w:eastAsia="Times New Roman" w:cs="Times New Roman"/>
        </w:rPr>
      </w:pPr>
      <w:r w:rsidRPr="00842D3D">
        <w:rPr>
          <w:rFonts w:eastAsia="Calibri" w:cs="Times New Roman"/>
        </w:rPr>
        <w:t xml:space="preserve">When a warrantless search is conducted pursuant to a condition of probation, the court may wish to consider drafting a “totality of the circumstances” instruction. </w:t>
      </w:r>
      <w:r w:rsidRPr="00842D3D">
        <w:rPr>
          <w:rFonts w:eastAsia="Calibri" w:cs="Times New Roman"/>
          <w:i/>
        </w:rPr>
        <w:t>See United States v. Knights</w:t>
      </w:r>
      <w:r w:rsidRPr="00842D3D">
        <w:rPr>
          <w:rFonts w:eastAsia="Calibri" w:cs="Times New Roman"/>
        </w:rPr>
        <w:t xml:space="preserve">, 534 U.S. 112, 118 (2001); </w:t>
      </w:r>
      <w:r w:rsidRPr="00842D3D">
        <w:rPr>
          <w:rFonts w:eastAsia="Calibri" w:cs="Times New Roman"/>
          <w:i/>
        </w:rPr>
        <w:t>Smith v. City of Santa Clara</w:t>
      </w:r>
      <w:r w:rsidRPr="00842D3D">
        <w:rPr>
          <w:rFonts w:eastAsia="Calibri" w:cs="Times New Roman"/>
        </w:rPr>
        <w:t xml:space="preserve">, 876 F.3d 987, 992 (9th Cir. 2017). Similarly, the Supreme Court has upheld suspicionless searches of parolees based on the totality of the circumstances. </w:t>
      </w:r>
      <w:r w:rsidRPr="00842D3D">
        <w:rPr>
          <w:rFonts w:eastAsia="Calibri" w:cs="Times New Roman"/>
          <w:i/>
          <w:iCs/>
        </w:rPr>
        <w:t>Samson v. California</w:t>
      </w:r>
      <w:r w:rsidRPr="00842D3D">
        <w:rPr>
          <w:rFonts w:eastAsia="Calibri" w:cs="Times New Roman"/>
        </w:rPr>
        <w:t xml:space="preserve">, 547 U.S. 843, 856-57 (2006).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United States v. Payne</w:t>
      </w:r>
      <w:r w:rsidRPr="00842D3D">
        <w:rPr>
          <w:rFonts w:eastAsia="Calibri" w:cs="Times New Roman"/>
        </w:rPr>
        <w:t>, 99 F.4th 495, 505 (9th Cir. 2024) (“This totality of the circumstances approach is sound, especially considering that a parole search is an exception to the warrant requirement, well-situated in broader Fourth Amendment jurisprudence.”);</w:t>
      </w:r>
      <w:r w:rsidRPr="00842D3D">
        <w:rPr>
          <w:rFonts w:eastAsia="Calibri" w:cs="Times New Roman"/>
          <w:i/>
          <w:iCs/>
        </w:rPr>
        <w:t xml:space="preserve"> United States v. Cervantes</w:t>
      </w:r>
      <w:r w:rsidRPr="00842D3D">
        <w:rPr>
          <w:rFonts w:eastAsia="Calibri" w:cs="Times New Roman"/>
        </w:rPr>
        <w:t xml:space="preserve">, 859 F.3d 1175, 1183 (9th Cir. 2017) (“A search of a parolee that complies with the terms of a valid search condition will usually be deemed reasonable under the Fourth Amendment.”); </w:t>
      </w:r>
      <w:r w:rsidRPr="00842D3D">
        <w:rPr>
          <w:rFonts w:eastAsia="Calibri" w:cs="Times New Roman"/>
          <w:i/>
          <w:iCs/>
        </w:rPr>
        <w:t>United States v. Dixon</w:t>
      </w:r>
      <w:r w:rsidRPr="00842D3D">
        <w:rPr>
          <w:rFonts w:eastAsia="Calibri" w:cs="Times New Roman"/>
        </w:rPr>
        <w:t xml:space="preserve">, 984 F.3d 814 (9th Cir. 2020) (“[B]efore [a search] condition authorizes a warrantless search, officers must have a sufficient ‘degree of knowledge’ that the search condition applies to the place or object to be searched.”). </w:t>
      </w:r>
      <w:r w:rsidRPr="00842D3D">
        <w:rPr>
          <w:rFonts w:eastAsia="Times New Roman" w:cs="Times New Roman"/>
        </w:rPr>
        <w:t xml:space="preserve">To conduct a warrantless search of a residence of a California parolee or probationer subject to a condition that allows a warrantless search of their residence, officers must have probable cause to believe that the parolee or probationer is a resident of the residence to be searched. </w:t>
      </w:r>
      <w:r w:rsidRPr="00842D3D">
        <w:rPr>
          <w:rFonts w:eastAsia="Times New Roman" w:cs="Times New Roman"/>
          <w:i/>
          <w:iCs/>
        </w:rPr>
        <w:t>United States v. Grandberry</w:t>
      </w:r>
      <w:r w:rsidRPr="00842D3D">
        <w:rPr>
          <w:rFonts w:eastAsia="Times New Roman" w:cs="Times New Roman"/>
        </w:rPr>
        <w:t xml:space="preserve">, 730 F.3d 968, 973 (9th Cir. 2013); </w:t>
      </w:r>
      <w:r w:rsidRPr="00842D3D">
        <w:rPr>
          <w:rFonts w:eastAsia="Times New Roman" w:cs="Times New Roman"/>
          <w:i/>
          <w:iCs/>
        </w:rPr>
        <w:t>United States v. Barry</w:t>
      </w:r>
      <w:r w:rsidRPr="00842D3D">
        <w:rPr>
          <w:rFonts w:eastAsia="Times New Roman" w:cs="Times New Roman"/>
        </w:rPr>
        <w:t>, 140 F.4th 1105, 1107 (9th Cir. 2025).</w:t>
      </w:r>
    </w:p>
    <w:p w14:paraId="5933EEBB" w14:textId="77777777" w:rsidR="00842D3D" w:rsidRPr="00842D3D" w:rsidRDefault="00842D3D" w:rsidP="00842D3D">
      <w:pPr>
        <w:rPr>
          <w:rFonts w:eastAsia="Calibri" w:cs="Times New Roman"/>
        </w:rPr>
      </w:pPr>
    </w:p>
    <w:p w14:paraId="385A73E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011CEA9E" w14:textId="77777777" w:rsidR="00842D3D" w:rsidRPr="00842D3D" w:rsidRDefault="00842D3D" w:rsidP="00842D3D">
      <w:pPr>
        <w:rPr>
          <w:rFonts w:eastAsia="Calibri" w:cs="Times New Roman"/>
          <w:b/>
          <w:bCs/>
          <w:szCs w:val="24"/>
        </w:rPr>
      </w:pPr>
      <w:r w:rsidRPr="00842D3D">
        <w:rPr>
          <w:rFonts w:eastAsia="Calibri" w:cs="Times New Roman"/>
          <w:b/>
          <w:bCs/>
          <w:szCs w:val="24"/>
        </w:rPr>
        <w:br w:type="page"/>
      </w:r>
    </w:p>
    <w:p w14:paraId="4D615B61" w14:textId="57359455" w:rsidR="00842D3D" w:rsidRPr="00842D3D" w:rsidRDefault="00842D3D" w:rsidP="00FF121D">
      <w:pPr>
        <w:pStyle w:val="Heading2"/>
      </w:pPr>
      <w:bookmarkStart w:id="159" w:name="_Toc221525178"/>
      <w:r w:rsidRPr="00842D3D">
        <w:lastRenderedPageBreak/>
        <w:t>9.1</w:t>
      </w:r>
      <w:r w:rsidR="005F1850">
        <w:t>4</w:t>
      </w:r>
      <w:r w:rsidRPr="00842D3D">
        <w:t xml:space="preserve"> Particular Rights—Fourth Amendment—Unreasonable Search—Exception to Warrant Requirement—Search Incident to Arrest</w:t>
      </w:r>
      <w:bookmarkEnd w:id="159"/>
    </w:p>
    <w:p w14:paraId="2AFB89FB" w14:textId="77777777" w:rsidR="00842D3D" w:rsidRPr="00842D3D" w:rsidRDefault="00842D3D" w:rsidP="00842D3D">
      <w:pPr>
        <w:rPr>
          <w:rFonts w:eastAsia="Calibri" w:cs="Times New Roman"/>
          <w:szCs w:val="24"/>
        </w:rPr>
      </w:pPr>
    </w:p>
    <w:p w14:paraId="0EE93D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is incident to a lawful arrest. </w:t>
      </w:r>
    </w:p>
    <w:p w14:paraId="24DBA1EA" w14:textId="77777777" w:rsidR="00842D3D" w:rsidRPr="00842D3D" w:rsidRDefault="00842D3D" w:rsidP="00842D3D">
      <w:pPr>
        <w:autoSpaceDE w:val="0"/>
        <w:autoSpaceDN w:val="0"/>
        <w:adjustRightInd w:val="0"/>
        <w:rPr>
          <w:rFonts w:eastAsia="Calibri" w:cs="Times New Roman"/>
          <w:szCs w:val="24"/>
        </w:rPr>
      </w:pPr>
    </w:p>
    <w:p w14:paraId="18DF4F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4A0ACAC2" w14:textId="77777777" w:rsidR="00842D3D" w:rsidRPr="00842D3D" w:rsidRDefault="00842D3D" w:rsidP="00842D3D">
      <w:pPr>
        <w:autoSpaceDE w:val="0"/>
        <w:autoSpaceDN w:val="0"/>
        <w:adjustRightInd w:val="0"/>
        <w:rPr>
          <w:rFonts w:eastAsia="Calibri" w:cs="Times New Roman"/>
          <w:szCs w:val="24"/>
        </w:rPr>
      </w:pPr>
    </w:p>
    <w:p w14:paraId="1B1158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search is “incident to” a lawful arrest if:</w:t>
      </w:r>
    </w:p>
    <w:p w14:paraId="036EDA29" w14:textId="77777777" w:rsidR="00842D3D" w:rsidRPr="00842D3D" w:rsidRDefault="00842D3D" w:rsidP="00842D3D">
      <w:pPr>
        <w:autoSpaceDE w:val="0"/>
        <w:autoSpaceDN w:val="0"/>
        <w:adjustRightInd w:val="0"/>
        <w:rPr>
          <w:rFonts w:eastAsia="Calibri" w:cs="Times New Roman"/>
          <w:szCs w:val="24"/>
        </w:rPr>
      </w:pPr>
    </w:p>
    <w:p w14:paraId="4EB40726"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(1)</w:t>
      </w:r>
      <w:r w:rsidRPr="00842D3D">
        <w:rPr>
          <w:rFonts w:eastAsia="Calibri" w:cs="Times New Roman"/>
          <w:szCs w:val="24"/>
        </w:rPr>
        <w:tab/>
        <w:t>it occurs roughly contemporaneously with the arrest, that is, at the same time or shortly after the arrest and without any intervening events separating the search from the arrest; and</w:t>
      </w:r>
    </w:p>
    <w:p w14:paraId="6B8315BE" w14:textId="77777777" w:rsidR="00842D3D" w:rsidRPr="00842D3D" w:rsidRDefault="00842D3D" w:rsidP="00842D3D">
      <w:pPr>
        <w:tabs>
          <w:tab w:val="left" w:pos="1260"/>
        </w:tabs>
        <w:autoSpaceDE w:val="0"/>
        <w:autoSpaceDN w:val="0"/>
        <w:adjustRightInd w:val="0"/>
        <w:ind w:left="1260" w:hanging="1260"/>
        <w:rPr>
          <w:rFonts w:eastAsia="Calibri" w:cs="Times New Roman"/>
          <w:szCs w:val="24"/>
        </w:rPr>
      </w:pPr>
    </w:p>
    <w:p w14:paraId="1EE60B2B"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(2)</w:t>
      </w:r>
      <w:r w:rsidRPr="00842D3D">
        <w:rPr>
          <w:rFonts w:eastAsia="Calibri" w:cs="Times New Roman"/>
          <w:szCs w:val="24"/>
        </w:rPr>
        <w:tab/>
        <w:t>it is limited to a reasonable search of the person arrested and to the immediate area within which that person might gain possession of a weapon or might destroy or hide evidence at the time of the search.</w:t>
      </w:r>
    </w:p>
    <w:p w14:paraId="7A472EE2" w14:textId="77777777" w:rsidR="00842D3D" w:rsidRPr="00842D3D" w:rsidRDefault="00842D3D" w:rsidP="00842D3D">
      <w:pPr>
        <w:autoSpaceDE w:val="0"/>
        <w:autoSpaceDN w:val="0"/>
        <w:adjustRightInd w:val="0"/>
        <w:rPr>
          <w:rFonts w:eastAsia="Calibri" w:cs="Times New Roman"/>
          <w:szCs w:val="24"/>
          <w:u w:val="double"/>
        </w:rPr>
      </w:pPr>
    </w:p>
    <w:p w14:paraId="17DE9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was not incident to a lawful arrest.</w:t>
      </w:r>
    </w:p>
    <w:p w14:paraId="5098E9E8" w14:textId="77777777" w:rsidR="00842D3D" w:rsidRPr="00842D3D" w:rsidRDefault="00842D3D" w:rsidP="00842D3D">
      <w:pPr>
        <w:autoSpaceDE w:val="0"/>
        <w:autoSpaceDN w:val="0"/>
        <w:adjustRightInd w:val="0"/>
        <w:rPr>
          <w:rFonts w:eastAsia="Calibri" w:cs="Times New Roman"/>
          <w:szCs w:val="24"/>
        </w:rPr>
      </w:pPr>
    </w:p>
    <w:p w14:paraId="15525508"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1294CF07" w14:textId="77777777" w:rsidR="00842D3D" w:rsidRPr="00842D3D" w:rsidRDefault="00842D3D" w:rsidP="00842D3D">
      <w:pPr>
        <w:autoSpaceDE w:val="0"/>
        <w:autoSpaceDN w:val="0"/>
        <w:adjustRightInd w:val="0"/>
        <w:jc w:val="center"/>
        <w:rPr>
          <w:rFonts w:eastAsia="Calibri" w:cs="Times New Roman"/>
          <w:b/>
          <w:bCs/>
          <w:szCs w:val="24"/>
        </w:rPr>
      </w:pPr>
    </w:p>
    <w:p w14:paraId="71D6FF14" w14:textId="3CCCD87C"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the applicable elements instructions, Instructions 9.3-9.8 and in conjunction with Instruction 9.1</w:t>
      </w:r>
      <w:r w:rsidR="000F1EF1">
        <w:rPr>
          <w:rFonts w:eastAsia="Calibri" w:cs="Times New Roman"/>
          <w:szCs w:val="24"/>
        </w:rPr>
        <w:t>3</w:t>
      </w:r>
      <w:r w:rsidRPr="00842D3D">
        <w:rPr>
          <w:rFonts w:eastAsia="Calibri" w:cs="Times New Roman"/>
          <w:szCs w:val="24"/>
        </w:rPr>
        <w:t xml:space="preserve"> (Particular Rights—Fourth Amendment—Unreasonable Search—Generally). When the search incident to arrest involves a vehicle, refer to Instruction 9.1</w:t>
      </w:r>
      <w:r w:rsidR="00CA163C">
        <w:rPr>
          <w:rFonts w:eastAsia="Calibri" w:cs="Times New Roman"/>
          <w:szCs w:val="24"/>
        </w:rPr>
        <w:t>5</w:t>
      </w:r>
      <w:r w:rsidRPr="00842D3D">
        <w:rPr>
          <w:rFonts w:eastAsia="Calibri" w:cs="Times New Roman"/>
          <w:szCs w:val="24"/>
        </w:rPr>
        <w:t xml:space="preserve"> (Particular Rights—Fourth Amendment—Unreasonable Search—Exception to Warrant Requirement—Search of Vehicle Incident to Arrest of a Recent Occupant). </w:t>
      </w:r>
      <w:r w:rsidRPr="00842D3D">
        <w:rPr>
          <w:rFonts w:eastAsia="Calibri" w:cs="Times New Roman"/>
          <w:szCs w:val="24"/>
        </w:rPr>
        <w:tab/>
      </w:r>
    </w:p>
    <w:p w14:paraId="6004A3AA" w14:textId="77777777" w:rsidR="00842D3D" w:rsidRPr="00842D3D" w:rsidRDefault="00842D3D" w:rsidP="00842D3D">
      <w:pPr>
        <w:autoSpaceDE w:val="0"/>
        <w:autoSpaceDN w:val="0"/>
        <w:adjustRightInd w:val="0"/>
        <w:rPr>
          <w:rFonts w:eastAsia="Calibri" w:cs="Times New Roman"/>
          <w:szCs w:val="24"/>
        </w:rPr>
      </w:pPr>
    </w:p>
    <w:p w14:paraId="2D07A5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xml:space="preserve">, 556 U.S. 332, 338 (2009). There are two general requirements of a valid search incident to an arrest. </w:t>
      </w:r>
      <w:r w:rsidRPr="00842D3D">
        <w:rPr>
          <w:rFonts w:eastAsia="Calibri" w:cs="Times New Roman"/>
          <w:i/>
          <w:iCs/>
          <w:szCs w:val="24"/>
        </w:rPr>
        <w:t>Camou</w:t>
      </w:r>
      <w:r w:rsidRPr="00842D3D">
        <w:rPr>
          <w:rFonts w:eastAsia="Calibri" w:cs="Times New Roman"/>
          <w:szCs w:val="24"/>
        </w:rPr>
        <w:t xml:space="preserve">, 773 F.3d at 937-38 (“The determination of the validity of a search incident to arrest in this circuit is a two-fold inquiry: (1) was the searched item ‘within the arrestee’s immediate control when he was arrested’; [and] (2) did ‘events occurring after the arrest but before the search ma[k]e the search unreasonable’?” (second alteration in original) (quoting </w:t>
      </w:r>
      <w:r w:rsidRPr="00842D3D">
        <w:rPr>
          <w:rFonts w:eastAsia="Calibri" w:cs="Times New Roman"/>
          <w:i/>
          <w:iCs/>
          <w:szCs w:val="24"/>
        </w:rPr>
        <w:t>United States v. Maddox</w:t>
      </w:r>
      <w:r w:rsidRPr="00842D3D">
        <w:rPr>
          <w:rFonts w:eastAsia="Calibri" w:cs="Times New Roman"/>
          <w:szCs w:val="24"/>
        </w:rPr>
        <w:t>, 614 F.3d 1046, 1048 (9th Cir. 2010)).</w:t>
      </w:r>
    </w:p>
    <w:p w14:paraId="195C3337" w14:textId="77777777" w:rsidR="00842D3D" w:rsidRPr="00842D3D" w:rsidRDefault="00842D3D" w:rsidP="00842D3D">
      <w:pPr>
        <w:autoSpaceDE w:val="0"/>
        <w:autoSpaceDN w:val="0"/>
        <w:adjustRightInd w:val="0"/>
        <w:rPr>
          <w:rFonts w:eastAsia="Calibri" w:cs="Times New Roman"/>
          <w:szCs w:val="24"/>
        </w:rPr>
      </w:pPr>
    </w:p>
    <w:p w14:paraId="0125951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lastRenderedPageBreak/>
        <w:t xml:space="preserve">The first requirement is that the search must be “limited to the arrestee’s person or areas in the arrestee’s ‘immediate control’ at the time of arrest.” </w:t>
      </w:r>
      <w:r w:rsidRPr="00842D3D">
        <w:rPr>
          <w:rFonts w:eastAsia="Calibri" w:cs="Times New Roman"/>
          <w:i/>
          <w:iCs/>
          <w:szCs w:val="24"/>
        </w:rPr>
        <w:t>Id.</w:t>
      </w:r>
      <w:r w:rsidRPr="00842D3D">
        <w:rPr>
          <w:rFonts w:eastAsia="Calibri" w:cs="Times New Roman"/>
          <w:szCs w:val="24"/>
        </w:rPr>
        <w:t xml:space="preserve"> at 937 (quoting </w:t>
      </w:r>
      <w:r w:rsidRPr="00842D3D">
        <w:rPr>
          <w:rFonts w:eastAsia="Calibri" w:cs="Times New Roman"/>
          <w:i/>
          <w:iCs/>
          <w:szCs w:val="24"/>
        </w:rPr>
        <w:t>Gant</w:t>
      </w:r>
      <w:r w:rsidRPr="00842D3D">
        <w:rPr>
          <w:rFonts w:eastAsia="Calibri" w:cs="Times New Roman"/>
          <w:szCs w:val="24"/>
        </w:rPr>
        <w:t xml:space="preserve">, 556 U.S. at 339). “Immediate control” means “the area from within which [the arrestee] might gain possession of a weapon or destructible evidence.” </w:t>
      </w:r>
      <w:r w:rsidRPr="00842D3D">
        <w:rPr>
          <w:rFonts w:eastAsia="Calibri" w:cs="Times New Roman"/>
          <w:i/>
          <w:iCs/>
          <w:szCs w:val="24"/>
        </w:rPr>
        <w:t>Gant</w:t>
      </w:r>
      <w:r w:rsidRPr="00842D3D">
        <w:rPr>
          <w:rFonts w:eastAsia="Calibri" w:cs="Times New Roman"/>
          <w:szCs w:val="24"/>
        </w:rPr>
        <w:t xml:space="preserve">, 556 U.S. at 335 (quoting </w:t>
      </w:r>
      <w:r w:rsidRPr="00842D3D">
        <w:rPr>
          <w:rFonts w:eastAsia="Calibri" w:cs="Times New Roman"/>
          <w:i/>
          <w:iCs/>
          <w:szCs w:val="24"/>
        </w:rPr>
        <w:t>Chimel v. California</w:t>
      </w:r>
      <w:r w:rsidRPr="00842D3D">
        <w:rPr>
          <w:rFonts w:eastAsia="Calibri" w:cs="Times New Roman"/>
          <w:szCs w:val="24"/>
        </w:rPr>
        <w:t xml:space="preserve">, 395 U.S. 752, 763 (1969)). “Those areas include the arrestee’s person and the inside pockets of the arrestee’s clothing.” </w:t>
      </w:r>
      <w:r w:rsidRPr="00842D3D">
        <w:rPr>
          <w:rFonts w:eastAsia="Calibri" w:cs="Times New Roman"/>
          <w:i/>
          <w:iCs/>
          <w:szCs w:val="24"/>
        </w:rPr>
        <w:t>United States v. Williams</w:t>
      </w:r>
      <w:r w:rsidRPr="00842D3D">
        <w:rPr>
          <w:rFonts w:eastAsia="Calibri" w:cs="Times New Roman"/>
          <w:szCs w:val="24"/>
        </w:rPr>
        <w:t xml:space="preserve">, 846 F.3d 303, 312 (9th Cir. 2016) (citing </w:t>
      </w:r>
      <w:r w:rsidRPr="00842D3D">
        <w:rPr>
          <w:rFonts w:eastAsia="Calibri" w:cs="Times New Roman"/>
          <w:i/>
          <w:iCs/>
          <w:szCs w:val="24"/>
        </w:rPr>
        <w:t>United States v. Robinson</w:t>
      </w:r>
      <w:r w:rsidRPr="00842D3D">
        <w:rPr>
          <w:rFonts w:eastAsia="Calibri" w:cs="Times New Roman"/>
          <w:szCs w:val="24"/>
        </w:rPr>
        <w:t xml:space="preserve">, 414 U.S. 218, 224-25 (1973)). But those areas do not “extend to ‘a strip search or bodily intrusion.’” </w:t>
      </w:r>
      <w:r w:rsidRPr="00842D3D">
        <w:rPr>
          <w:rFonts w:eastAsia="Calibri" w:cs="Times New Roman"/>
          <w:i/>
          <w:iCs/>
          <w:szCs w:val="24"/>
        </w:rPr>
        <w:t>Fuller v. M.G. Jewelry</w:t>
      </w:r>
      <w:r w:rsidRPr="00842D3D">
        <w:rPr>
          <w:rFonts w:eastAsia="Calibri" w:cs="Times New Roman"/>
          <w:szCs w:val="24"/>
        </w:rPr>
        <w:t xml:space="preserve">, 950 F.2d 1437, 1446 (9th Cir. 1991) (quoting </w:t>
      </w:r>
      <w:r w:rsidRPr="00842D3D">
        <w:rPr>
          <w:rFonts w:eastAsia="Calibri" w:cs="Times New Roman"/>
          <w:i/>
          <w:iCs/>
          <w:szCs w:val="24"/>
        </w:rPr>
        <w:t>Giles v. Ackerman</w:t>
      </w:r>
      <w:r w:rsidRPr="00842D3D">
        <w:rPr>
          <w:rFonts w:eastAsia="Calibri" w:cs="Times New Roman"/>
          <w:szCs w:val="24"/>
        </w:rPr>
        <w:t>, 746 F.2d 614, 616 (9th Cir. 1984)).</w:t>
      </w:r>
    </w:p>
    <w:p w14:paraId="19D500C7" w14:textId="77777777" w:rsidR="00842D3D" w:rsidRPr="00842D3D" w:rsidRDefault="00842D3D" w:rsidP="00842D3D">
      <w:pPr>
        <w:autoSpaceDE w:val="0"/>
        <w:autoSpaceDN w:val="0"/>
        <w:adjustRightInd w:val="0"/>
        <w:rPr>
          <w:rFonts w:eastAsia="Calibri" w:cs="Times New Roman"/>
          <w:szCs w:val="24"/>
        </w:rPr>
      </w:pPr>
    </w:p>
    <w:p w14:paraId="1B8B83F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second requirement is that the search must be “spatially and temporally incident to the arrest,” and, to satisfy the temporal requirement, must be “roughly contemporaneous with the arrest.” </w:t>
      </w:r>
      <w:r w:rsidRPr="00842D3D">
        <w:rPr>
          <w:rFonts w:eastAsia="Calibri" w:cs="Times New Roman"/>
          <w:i/>
          <w:iCs/>
          <w:szCs w:val="24"/>
        </w:rPr>
        <w:t>Camou</w:t>
      </w:r>
      <w:r w:rsidRPr="00842D3D">
        <w:rPr>
          <w:rFonts w:eastAsia="Calibri" w:cs="Times New Roman"/>
          <w:szCs w:val="24"/>
        </w:rPr>
        <w:t xml:space="preserve">, 773 F.3d at 937 (quoting </w:t>
      </w:r>
      <w:r w:rsidRPr="00842D3D">
        <w:rPr>
          <w:rFonts w:eastAsia="Calibri" w:cs="Times New Roman"/>
          <w:i/>
          <w:iCs/>
          <w:szCs w:val="24"/>
        </w:rPr>
        <w:t>United States v. Smith</w:t>
      </w:r>
      <w:r w:rsidRPr="00842D3D">
        <w:rPr>
          <w:rFonts w:eastAsia="Calibri" w:cs="Times New Roman"/>
          <w:szCs w:val="24"/>
        </w:rPr>
        <w:t xml:space="preserve">, 389 F.3d 944, 951 (9th Cir. 2004) (per curiam)) (holding border patrol agent’s search of arrestee’s cell phone 80 minutes after arrest not roughly contemporaneous with arrest). A search remote in time or place from the arrest is not justified.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United States v. Chadwick</w:t>
      </w:r>
      <w:r w:rsidRPr="00842D3D">
        <w:rPr>
          <w:rFonts w:eastAsia="Calibri" w:cs="Times New Roman"/>
          <w:szCs w:val="24"/>
        </w:rPr>
        <w:t xml:space="preserve">, 433 U.S. 1, 15 (1977), </w:t>
      </w:r>
      <w:r w:rsidRPr="00842D3D">
        <w:rPr>
          <w:rFonts w:eastAsia="Calibri" w:cs="Times New Roman"/>
          <w:i/>
          <w:iCs/>
          <w:szCs w:val="24"/>
        </w:rPr>
        <w:t>abrogated on other grounds by California v. Acevedo</w:t>
      </w:r>
      <w:r w:rsidRPr="00842D3D">
        <w:rPr>
          <w:rFonts w:eastAsia="Calibri" w:cs="Times New Roman"/>
          <w:szCs w:val="24"/>
        </w:rPr>
        <w:t xml:space="preserve">, 500 U.S. 565, 580 (1991)). Further, “[m]ere temporal or spatial proximity of the search to the arrest does not justify a search; some threat or exigency must be present to justify the delay.” </w:t>
      </w:r>
      <w:r w:rsidRPr="00842D3D">
        <w:rPr>
          <w:rFonts w:eastAsia="Calibri" w:cs="Times New Roman"/>
          <w:i/>
          <w:iCs/>
          <w:szCs w:val="24"/>
        </w:rPr>
        <w:t>Maddox</w:t>
      </w:r>
      <w:r w:rsidRPr="00842D3D">
        <w:rPr>
          <w:rFonts w:eastAsia="Calibri" w:cs="Times New Roman"/>
          <w:szCs w:val="24"/>
        </w:rPr>
        <w:t>, 614 F.3d at 1049 (holding that after the arrestee was secured in the patrol car, search of a keychain that was within the arrestee’s “immediate control” at the time of the arrest but subsequently tossed into arrestee’s car was invalid under search-incident-to-arrest exception because, at the time of the search, arrestee was “incapable of either destroying [the keychain] or presenting any threat to the arresting officer”).</w:t>
      </w:r>
    </w:p>
    <w:p w14:paraId="5252B6D8" w14:textId="77777777" w:rsidR="00842D3D" w:rsidRPr="00842D3D" w:rsidRDefault="00842D3D" w:rsidP="00842D3D">
      <w:pPr>
        <w:autoSpaceDE w:val="0"/>
        <w:autoSpaceDN w:val="0"/>
        <w:adjustRightInd w:val="0"/>
        <w:rPr>
          <w:rFonts w:eastAsia="Calibri" w:cs="Times New Roman"/>
          <w:szCs w:val="24"/>
        </w:rPr>
      </w:pPr>
    </w:p>
    <w:p w14:paraId="4A3D54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An actual arrest is a prerequisite for this exception to the warrant requirement. </w:t>
      </w:r>
      <w:r w:rsidRPr="00842D3D">
        <w:rPr>
          <w:rFonts w:eastAsia="Calibri" w:cs="Times New Roman"/>
          <w:i/>
          <w:iCs/>
          <w:szCs w:val="24"/>
        </w:rPr>
        <w:t>Menotti v. City of Seattle</w:t>
      </w:r>
      <w:r w:rsidRPr="00842D3D">
        <w:rPr>
          <w:rFonts w:eastAsia="Calibri" w:cs="Times New Roman"/>
          <w:szCs w:val="24"/>
        </w:rPr>
        <w:t>, 409 F.3d 1113, 1153 (9th Cir. 2005) (holding that probable cause to make an arrest was insufficient to trigger the exception in the absence of an actual arrest).</w:t>
      </w:r>
    </w:p>
    <w:p w14:paraId="2DD8B9D6" w14:textId="77777777" w:rsidR="00842D3D" w:rsidRPr="00842D3D" w:rsidRDefault="00842D3D" w:rsidP="00842D3D">
      <w:pPr>
        <w:autoSpaceDE w:val="0"/>
        <w:autoSpaceDN w:val="0"/>
        <w:adjustRightInd w:val="0"/>
        <w:rPr>
          <w:rFonts w:eastAsia="Calibri" w:cs="Times New Roman"/>
          <w:szCs w:val="24"/>
        </w:rPr>
      </w:pPr>
    </w:p>
    <w:p w14:paraId="6E5E1DBB" w14:textId="3FF9471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the court is able to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842D3D">
        <w:rPr>
          <w:rFonts w:eastAsia="Calibri" w:cs="Times New Roman"/>
          <w:i/>
          <w:iCs/>
          <w:szCs w:val="24"/>
        </w:rPr>
        <w:t>See</w:t>
      </w:r>
      <w:r w:rsidRPr="00842D3D">
        <w:rPr>
          <w:rFonts w:eastAsia="Calibri" w:cs="Times New Roman"/>
          <w:szCs w:val="24"/>
        </w:rPr>
        <w:t xml:space="preserve"> Instruction 9.2</w:t>
      </w:r>
      <w:r w:rsidR="00CA163C">
        <w:rPr>
          <w:rFonts w:eastAsia="Calibri" w:cs="Times New Roman"/>
          <w:szCs w:val="24"/>
        </w:rPr>
        <w:t>5</w:t>
      </w:r>
      <w:r w:rsidRPr="00842D3D">
        <w:rPr>
          <w:rFonts w:eastAsia="Calibri" w:cs="Times New Roman"/>
          <w:szCs w:val="24"/>
        </w:rPr>
        <w:t xml:space="preserve"> (Particular Rights—Fourth Amendment—Unreasonable Seizure of</w:t>
      </w:r>
    </w:p>
    <w:p w14:paraId="2BA78A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Person—Probable Cause Arrest).</w:t>
      </w:r>
    </w:p>
    <w:p w14:paraId="55816B04" w14:textId="77777777" w:rsidR="00842D3D" w:rsidRPr="00842D3D" w:rsidRDefault="00842D3D" w:rsidP="00842D3D">
      <w:pPr>
        <w:autoSpaceDE w:val="0"/>
        <w:autoSpaceDN w:val="0"/>
        <w:adjustRightInd w:val="0"/>
        <w:rPr>
          <w:rFonts w:eastAsia="Calibri" w:cs="Times New Roman"/>
          <w:szCs w:val="24"/>
        </w:rPr>
      </w:pPr>
    </w:p>
    <w:p w14:paraId="60F35EC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United States Supreme Court has held that officers may perform a warrantless breath</w:t>
      </w:r>
    </w:p>
    <w:p w14:paraId="7388E3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test as a search incident to arrest, but may not perform a warrantless blood test as a search</w:t>
      </w:r>
    </w:p>
    <w:p w14:paraId="65859C80" w14:textId="76CFD7E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incident to arrest. </w:t>
      </w:r>
      <w:r w:rsidRPr="00842D3D">
        <w:rPr>
          <w:rFonts w:eastAsia="Calibri" w:cs="Times New Roman"/>
          <w:i/>
          <w:iCs/>
          <w:szCs w:val="24"/>
        </w:rPr>
        <w:t>Birchfield v. North Dakota</w:t>
      </w:r>
      <w:r w:rsidRPr="00842D3D">
        <w:rPr>
          <w:rFonts w:eastAsia="Calibri" w:cs="Times New Roman"/>
          <w:szCs w:val="24"/>
        </w:rPr>
        <w:t>, 579 U.S. 438, 474 (2016). The Court held that a breath test incident to a drunk driving arrest is categorically included within the search-incident-to-arrest exception.</w:t>
      </w:r>
      <w:r w:rsidRPr="00842D3D">
        <w:rPr>
          <w:rFonts w:eastAsia="Calibri" w:cs="Times New Roman"/>
          <w:i/>
          <w:iCs/>
          <w:szCs w:val="24"/>
        </w:rPr>
        <w:t xml:space="preserve"> Id.</w:t>
      </w:r>
      <w:r w:rsidRPr="00842D3D">
        <w:rPr>
          <w:rFonts w:eastAsia="Calibri" w:cs="Times New Roman"/>
          <w:szCs w:val="24"/>
        </w:rPr>
        <w:t xml:space="preserve"> at 2176, 2179-80, 2183</w:t>
      </w:r>
      <w:r w:rsidR="00E54E76">
        <w:rPr>
          <w:rFonts w:eastAsia="Calibri" w:cs="Times New Roman"/>
          <w:szCs w:val="24"/>
        </w:rPr>
        <w:t xml:space="preserve">. </w:t>
      </w:r>
    </w:p>
    <w:p w14:paraId="51D1C0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76E3298C" w14:textId="77777777" w:rsidR="00842D3D" w:rsidRPr="00842D3D" w:rsidRDefault="00842D3D" w:rsidP="00842D3D">
      <w:pPr>
        <w:autoSpaceDE w:val="0"/>
        <w:autoSpaceDN w:val="0"/>
        <w:adjustRightInd w:val="0"/>
        <w:ind w:firstLine="720"/>
        <w:rPr>
          <w:rFonts w:eastAsia="Calibri" w:cs="Times New Roman"/>
          <w:i/>
          <w:iCs/>
          <w:szCs w:val="24"/>
        </w:rPr>
      </w:pPr>
      <w:r w:rsidRPr="00842D3D">
        <w:rPr>
          <w:rFonts w:eastAsia="Calibri" w:cs="Times New Roman"/>
          <w:szCs w:val="24"/>
        </w:rPr>
        <w:t xml:space="preserve">In </w:t>
      </w:r>
      <w:r w:rsidRPr="00842D3D">
        <w:rPr>
          <w:rFonts w:eastAsia="Calibri" w:cs="Times New Roman"/>
          <w:i/>
          <w:iCs/>
          <w:szCs w:val="24"/>
        </w:rPr>
        <w:t>Riley v. California</w:t>
      </w:r>
      <w:r w:rsidRPr="00842D3D">
        <w:rPr>
          <w:rFonts w:eastAsia="Calibri" w:cs="Times New Roman"/>
          <w:szCs w:val="24"/>
        </w:rPr>
        <w:t>, 573 U.S. 373</w:t>
      </w:r>
      <w:r w:rsidRPr="00842D3D" w:rsidDel="00315F09">
        <w:rPr>
          <w:rFonts w:eastAsia="Calibri" w:cs="Times New Roman"/>
          <w:szCs w:val="24"/>
        </w:rPr>
        <w:t xml:space="preserve"> </w:t>
      </w:r>
      <w:r w:rsidRPr="00842D3D">
        <w:rPr>
          <w:rFonts w:eastAsia="Calibri" w:cs="Times New Roman"/>
          <w:szCs w:val="24"/>
        </w:rPr>
        <w:t xml:space="preserve">(2014), the Court considered the search-incident-to-arrest exception as it pertained to cell phones. The Court held that the phone itself may be searched incident to an arrest, but officers must generally secure a search warrant before conducting a search of the data stored on the cell phone. </w:t>
      </w:r>
      <w:r w:rsidRPr="00842D3D">
        <w:rPr>
          <w:rFonts w:eastAsia="Calibri" w:cs="Times New Roman"/>
          <w:i/>
          <w:iCs/>
          <w:szCs w:val="24"/>
        </w:rPr>
        <w:t>Id</w:t>
      </w:r>
      <w:r w:rsidRPr="00842D3D">
        <w:rPr>
          <w:rFonts w:eastAsia="Calibri" w:cs="Times New Roman"/>
          <w:szCs w:val="24"/>
        </w:rPr>
        <w:t xml:space="preserve">. at 401, 403; </w:t>
      </w:r>
      <w:r w:rsidRPr="00842D3D">
        <w:rPr>
          <w:rFonts w:eastAsia="Calibri" w:cs="Times New Roman"/>
          <w:i/>
          <w:iCs/>
          <w:szCs w:val="24"/>
        </w:rPr>
        <w:t xml:space="preserve">Olson v. County of </w:t>
      </w:r>
      <w:r w:rsidRPr="00842D3D">
        <w:rPr>
          <w:rFonts w:eastAsia="Calibri" w:cs="Times New Roman"/>
          <w:i/>
          <w:iCs/>
          <w:szCs w:val="24"/>
        </w:rPr>
        <w:lastRenderedPageBreak/>
        <w:t>Grant</w:t>
      </w:r>
      <w:r w:rsidRPr="00842D3D">
        <w:rPr>
          <w:rFonts w:eastAsia="Calibri" w:cs="Times New Roman"/>
          <w:szCs w:val="24"/>
        </w:rPr>
        <w:t xml:space="preserve">, 127 F.4th 1193, 1999 (9th Cir. 2025) (extending </w:t>
      </w:r>
      <w:r w:rsidRPr="00842D3D">
        <w:rPr>
          <w:rFonts w:eastAsia="Calibri" w:cs="Times New Roman"/>
          <w:i/>
          <w:iCs/>
          <w:szCs w:val="24"/>
        </w:rPr>
        <w:t xml:space="preserve">Riley </w:t>
      </w:r>
      <w:r w:rsidRPr="00842D3D">
        <w:rPr>
          <w:rFonts w:eastAsia="Calibri" w:cs="Times New Roman"/>
          <w:szCs w:val="24"/>
        </w:rPr>
        <w:t xml:space="preserve">to a phone extraction or a “phone dump” which is typically an exact replica of the data contained on a cell phone at the time of the extraction, easily searchable and reviewable by law enforcement); </w:t>
      </w:r>
      <w:r w:rsidRPr="00842D3D">
        <w:rPr>
          <w:rFonts w:eastAsia="Calibri" w:cs="Times New Roman"/>
          <w:i/>
          <w:iCs/>
          <w:szCs w:val="24"/>
        </w:rPr>
        <w:t>but see United States v. Payne</w:t>
      </w:r>
      <w:r w:rsidRPr="00842D3D">
        <w:rPr>
          <w:rFonts w:eastAsia="Calibri" w:cs="Times New Roman"/>
          <w:szCs w:val="24"/>
        </w:rPr>
        <w:t xml:space="preserve">, 99 F.4th 495, 507 (9th Cir. 2024) (declining to extend </w:t>
      </w:r>
      <w:r w:rsidRPr="00842D3D">
        <w:rPr>
          <w:rFonts w:eastAsia="Calibri" w:cs="Times New Roman"/>
          <w:i/>
          <w:iCs/>
          <w:szCs w:val="24"/>
        </w:rPr>
        <w:t xml:space="preserve">Riley </w:t>
      </w:r>
      <w:r w:rsidRPr="00842D3D">
        <w:rPr>
          <w:rFonts w:eastAsia="Calibri" w:cs="Times New Roman"/>
          <w:szCs w:val="24"/>
        </w:rPr>
        <w:t>to cell phone data</w:t>
      </w:r>
    </w:p>
    <w:p w14:paraId="03BDDD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belonging to parolees).    </w:t>
      </w:r>
    </w:p>
    <w:p w14:paraId="25F35B7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407C09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plaintiff alleging a § 1983 claim based on an unreasonable search in violation</w:t>
      </w:r>
    </w:p>
    <w:p w14:paraId="38741F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the burden on the plaintiff to establish an absence of imminent danger in a claim of interference with a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a plaintiff in § 1983 action “carries the ultimate burden of establishing each element of his or her claim, including lack of consent [to search]”). </w:t>
      </w:r>
    </w:p>
    <w:p w14:paraId="59F1BE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A3523FF"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ab/>
        <w:t>Revised March 2025</w:t>
      </w:r>
    </w:p>
    <w:p w14:paraId="53B2A814" w14:textId="77777777" w:rsidR="00842D3D" w:rsidRPr="00842D3D" w:rsidRDefault="00842D3D" w:rsidP="00842D3D">
      <w:pPr>
        <w:autoSpaceDE w:val="0"/>
        <w:autoSpaceDN w:val="0"/>
        <w:adjustRightInd w:val="0"/>
        <w:rPr>
          <w:rFonts w:eastAsia="Calibri" w:cs="Times New Roman"/>
          <w:szCs w:val="24"/>
        </w:rPr>
      </w:pPr>
    </w:p>
    <w:p w14:paraId="07E6FB2F" w14:textId="340FCAE1" w:rsidR="00842D3D" w:rsidRPr="00842D3D" w:rsidRDefault="00842D3D" w:rsidP="00FF121D">
      <w:pPr>
        <w:pStyle w:val="Heading2"/>
      </w:pPr>
      <w:r w:rsidRPr="00842D3D">
        <w:br w:type="page"/>
      </w:r>
      <w:bookmarkStart w:id="160" w:name="_Toc221525179"/>
      <w:r w:rsidRPr="00842D3D">
        <w:lastRenderedPageBreak/>
        <w:t>9.1</w:t>
      </w:r>
      <w:r w:rsidR="005F1850">
        <w:t>5</w:t>
      </w:r>
      <w:r w:rsidRPr="00842D3D">
        <w:t xml:space="preserve"> Particular Rights—Fourth Amendment—Unreasonable Search— Exception to Warrant Requirement—Search of Vehicle Incident to Arrest of a Recent Occupant</w:t>
      </w:r>
      <w:bookmarkEnd w:id="160"/>
    </w:p>
    <w:p w14:paraId="433EED7A" w14:textId="77777777" w:rsidR="00842D3D" w:rsidRPr="00842D3D" w:rsidRDefault="00842D3D" w:rsidP="00842D3D">
      <w:pPr>
        <w:rPr>
          <w:rFonts w:eastAsia="Calibri" w:cs="Times New Roman"/>
          <w:szCs w:val="24"/>
        </w:rPr>
      </w:pPr>
    </w:p>
    <w:p w14:paraId="60292C0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of the vehicle is incident to a lawful arrest. </w:t>
      </w:r>
    </w:p>
    <w:p w14:paraId="268ABFB1" w14:textId="77777777" w:rsidR="00842D3D" w:rsidRPr="00842D3D" w:rsidRDefault="00842D3D" w:rsidP="00842D3D">
      <w:pPr>
        <w:autoSpaceDE w:val="0"/>
        <w:autoSpaceDN w:val="0"/>
        <w:adjustRightInd w:val="0"/>
        <w:rPr>
          <w:rFonts w:eastAsia="Calibri" w:cs="Times New Roman"/>
          <w:szCs w:val="24"/>
        </w:rPr>
      </w:pPr>
    </w:p>
    <w:p w14:paraId="33E8B72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 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01C72272" w14:textId="77777777" w:rsidR="00842D3D" w:rsidRPr="00842D3D" w:rsidRDefault="00842D3D" w:rsidP="00842D3D">
      <w:pPr>
        <w:autoSpaceDE w:val="0"/>
        <w:autoSpaceDN w:val="0"/>
        <w:adjustRightInd w:val="0"/>
        <w:rPr>
          <w:rFonts w:eastAsia="Calibri" w:cs="Times New Roman"/>
          <w:szCs w:val="24"/>
        </w:rPr>
      </w:pPr>
    </w:p>
    <w:p w14:paraId="4F8129A2" w14:textId="77777777" w:rsidR="00842D3D" w:rsidRPr="00842D3D" w:rsidRDefault="00842D3D" w:rsidP="00842D3D">
      <w:pPr>
        <w:autoSpaceDE w:val="0"/>
        <w:autoSpaceDN w:val="0"/>
        <w:adjustRightInd w:val="0"/>
        <w:ind w:right="720"/>
        <w:rPr>
          <w:rFonts w:eastAsia="Calibri" w:cs="Times New Roman"/>
          <w:szCs w:val="24"/>
        </w:rPr>
      </w:pPr>
      <w:r w:rsidRPr="00842D3D">
        <w:rPr>
          <w:rFonts w:eastAsia="Calibri" w:cs="Times New Roman"/>
          <w:szCs w:val="24"/>
        </w:rPr>
        <w:tab/>
        <w:t>A search of a vehicle [</w:t>
      </w:r>
      <w:r w:rsidRPr="00842D3D">
        <w:rPr>
          <w:rFonts w:eastAsia="Calibri" w:cs="Times New Roman"/>
          <w:i/>
          <w:iCs/>
          <w:szCs w:val="24"/>
          <w:u w:val="single"/>
        </w:rPr>
        <w:t>specify area searched</w:t>
      </w:r>
      <w:r w:rsidRPr="00842D3D">
        <w:rPr>
          <w:rFonts w:eastAsia="Calibri" w:cs="Times New Roman"/>
          <w:szCs w:val="24"/>
        </w:rPr>
        <w:t>] is “incident to” the arrest of a recent occupant of the vehicle only if:</w:t>
      </w:r>
    </w:p>
    <w:p w14:paraId="29270ADD" w14:textId="77777777" w:rsidR="00842D3D" w:rsidRPr="00842D3D" w:rsidRDefault="00842D3D" w:rsidP="00842D3D">
      <w:pPr>
        <w:autoSpaceDE w:val="0"/>
        <w:autoSpaceDN w:val="0"/>
        <w:adjustRightInd w:val="0"/>
        <w:ind w:right="720"/>
        <w:rPr>
          <w:rFonts w:eastAsia="Calibri" w:cs="Times New Roman"/>
          <w:szCs w:val="24"/>
        </w:rPr>
      </w:pPr>
    </w:p>
    <w:p w14:paraId="59D8970D" w14:textId="5CE6D980"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The person is arrested but is not securely in police custody and the [</w:t>
      </w:r>
      <w:r w:rsidRPr="00842D3D">
        <w:rPr>
          <w:rFonts w:eastAsia="Calibri" w:cs="Times New Roman"/>
          <w:i/>
          <w:iCs/>
          <w:szCs w:val="24"/>
          <w:u w:val="single"/>
        </w:rPr>
        <w:t>specify area searched</w:t>
      </w:r>
      <w:r w:rsidRPr="00842D3D">
        <w:rPr>
          <w:rFonts w:eastAsia="Calibri" w:cs="Times New Roman"/>
          <w:szCs w:val="24"/>
        </w:rPr>
        <w:t>] is “within the reaching distance” of the person arrested; or</w:t>
      </w:r>
    </w:p>
    <w:p w14:paraId="6527B499" w14:textId="77777777" w:rsidR="00842D3D" w:rsidRPr="00842D3D" w:rsidRDefault="00842D3D" w:rsidP="00842D3D">
      <w:pPr>
        <w:autoSpaceDE w:val="0"/>
        <w:autoSpaceDN w:val="0"/>
        <w:adjustRightInd w:val="0"/>
        <w:ind w:right="720"/>
        <w:rPr>
          <w:rFonts w:eastAsia="Calibri" w:cs="Times New Roman"/>
          <w:szCs w:val="24"/>
        </w:rPr>
      </w:pPr>
    </w:p>
    <w:p w14:paraId="3F483A7B" w14:textId="77777777"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It is reasonable to believe the vehicle contains evidence of the offense that is the subject of the arrest.</w:t>
      </w:r>
    </w:p>
    <w:p w14:paraId="50F865E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46A84B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of the vehicle was not incident to a lawful arrest.</w:t>
      </w:r>
    </w:p>
    <w:p w14:paraId="65716D7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B814F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AC2002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p>
    <w:p w14:paraId="3F8DE4D7" w14:textId="37CDE15F"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 </w:t>
      </w:r>
    </w:p>
    <w:p w14:paraId="4190D6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C8DA0B5" w14:textId="267F6650"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556 U.S. 332, 338 (2009). For a discussion of the search incident to a lawful arrest exception generally, see Comment to Instruction 9.1</w:t>
      </w:r>
      <w:r w:rsidR="00CA163C">
        <w:rPr>
          <w:rFonts w:eastAsia="Calibri" w:cs="Times New Roman"/>
          <w:szCs w:val="24"/>
        </w:rPr>
        <w:t>4</w:t>
      </w:r>
      <w:r w:rsidRPr="00842D3D">
        <w:rPr>
          <w:rFonts w:eastAsia="Calibri" w:cs="Times New Roman"/>
          <w:szCs w:val="24"/>
        </w:rPr>
        <w:t xml:space="preserve"> (Particular Rights—Fourth Amendment—Unreasonable Search—Exception to Warrant Requirement—Search Incident to Arrest).</w:t>
      </w:r>
    </w:p>
    <w:p w14:paraId="105B33F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5E5807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New York v. Belton</w:t>
      </w:r>
      <w:r w:rsidRPr="00842D3D">
        <w:rPr>
          <w:rFonts w:eastAsia="Calibri" w:cs="Times New Roman"/>
          <w:szCs w:val="24"/>
        </w:rPr>
        <w:t xml:space="preserve">, 453 U.S. 454 (1981), the Supreme Court held that an officer can search the passenger compartment of a vehicle when the officer has made a lawful custodial arrest of its recent occupant, so long as the passenger compartment of the vehicle is within reaching distance of the arrestee. </w:t>
      </w:r>
      <w:r w:rsidRPr="00842D3D">
        <w:rPr>
          <w:rFonts w:eastAsia="Calibri" w:cs="Times New Roman"/>
          <w:i/>
          <w:iCs/>
          <w:szCs w:val="24"/>
        </w:rPr>
        <w:t>Id</w:t>
      </w:r>
      <w:r w:rsidRPr="00842D3D">
        <w:rPr>
          <w:rFonts w:eastAsia="Calibri" w:cs="Times New Roman"/>
          <w:szCs w:val="24"/>
        </w:rPr>
        <w:t>. at 460 (holding also that the officer may search containers in the passenger compartment because “if the passenger compartment is within reach of the arrestee, so also will containers in it be within his reach”).</w:t>
      </w:r>
    </w:p>
    <w:p w14:paraId="207D569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3702CD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Arizona v. Gant</w:t>
      </w:r>
      <w:r w:rsidRPr="00842D3D">
        <w:rPr>
          <w:rFonts w:eastAsia="Calibri" w:cs="Times New Roman"/>
          <w:szCs w:val="24"/>
        </w:rPr>
        <w:t xml:space="preserve">, 556 U.S. 332, 335 (2009), the Supreme Court narrowed the search-incident-to-arrest exception as applied to vehicle searches in </w:t>
      </w:r>
      <w:r w:rsidRPr="00842D3D">
        <w:rPr>
          <w:rFonts w:eastAsia="Calibri" w:cs="Times New Roman"/>
          <w:i/>
          <w:iCs/>
          <w:szCs w:val="24"/>
        </w:rPr>
        <w:t>Belton</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at 335. </w:t>
      </w:r>
      <w:r w:rsidRPr="00842D3D">
        <w:rPr>
          <w:rFonts w:eastAsia="Calibri" w:cs="Times New Roman"/>
          <w:i/>
          <w:iCs/>
          <w:szCs w:val="24"/>
        </w:rPr>
        <w:t>Gant</w:t>
      </w:r>
      <w:r w:rsidRPr="00842D3D">
        <w:rPr>
          <w:rFonts w:eastAsia="Calibri" w:cs="Times New Roman"/>
          <w:szCs w:val="24"/>
        </w:rPr>
        <w:t xml:space="preserve"> held that a warrantless search of a vehicle, incident to the arrest of a driver or recent occupant, is constitutionally permissible only if: (1) the arrestee is within reaching distance of the passenger compartment at the time of the search, or (2) it is reasonable to believe the vehicle contains evidence of the offense of arrest. </w:t>
      </w:r>
      <w:r w:rsidRPr="00842D3D">
        <w:rPr>
          <w:rFonts w:eastAsia="Calibri" w:cs="Times New Roman"/>
          <w:i/>
          <w:iCs/>
          <w:szCs w:val="24"/>
        </w:rPr>
        <w:t>Id.</w:t>
      </w:r>
      <w:r w:rsidRPr="00842D3D">
        <w:rPr>
          <w:rFonts w:eastAsia="Calibri"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842D3D">
        <w:rPr>
          <w:rFonts w:eastAsia="Calibri" w:cs="Times New Roman"/>
          <w:i/>
          <w:iCs/>
          <w:szCs w:val="24"/>
        </w:rPr>
        <w:t>Id.</w:t>
      </w:r>
      <w:r w:rsidRPr="00842D3D">
        <w:rPr>
          <w:rFonts w:eastAsia="Calibri" w:cs="Times New Roman"/>
          <w:szCs w:val="24"/>
        </w:rPr>
        <w:t xml:space="preserve"> at 335 (“</w:t>
      </w:r>
      <w:r w:rsidRPr="00842D3D">
        <w:rPr>
          <w:rFonts w:eastAsia="Calibri" w:cs="Times New Roman"/>
          <w:i/>
          <w:iCs/>
          <w:szCs w:val="24"/>
        </w:rPr>
        <w:t xml:space="preserve">Belton </w:t>
      </w:r>
      <w:r w:rsidRPr="00842D3D">
        <w:rPr>
          <w:rFonts w:eastAsia="Calibri" w:cs="Times New Roman"/>
          <w:szCs w:val="24"/>
        </w:rPr>
        <w:t>does not authorize a vehicle search incident to a recent occupant’s arrest after the arrestee has been secured and cannot access the interior of the vehicle.”).</w:t>
      </w:r>
    </w:p>
    <w:p w14:paraId="0174CD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790B1D2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If the court is able to determine as a matter of law that an arrest was lawful, the Committee recommends the court instruct the jury accordingly. When, however, there are</w:t>
      </w:r>
    </w:p>
    <w:p w14:paraId="3A6A815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factual disputes about the lawfulness of an arrest, it will be necessary for the court to instruct the</w:t>
      </w:r>
    </w:p>
    <w:p w14:paraId="22F1BF8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jury concerning the standards or elements for a lawful arrest under the facts of a particular case.</w:t>
      </w:r>
    </w:p>
    <w:p w14:paraId="2F4C6EDD" w14:textId="7FEA81AA"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i/>
          <w:iCs/>
          <w:szCs w:val="24"/>
        </w:rPr>
        <w:t>See</w:t>
      </w:r>
      <w:r w:rsidRPr="00842D3D">
        <w:rPr>
          <w:rFonts w:eastAsia="Calibri" w:cs="Times New Roman"/>
          <w:szCs w:val="24"/>
        </w:rPr>
        <w:t xml:space="preserve"> Instruction 9.2</w:t>
      </w:r>
      <w:r w:rsidR="00CA163C">
        <w:rPr>
          <w:rFonts w:eastAsia="Calibri" w:cs="Times New Roman"/>
          <w:szCs w:val="24"/>
        </w:rPr>
        <w:t>5</w:t>
      </w:r>
      <w:r w:rsidRPr="00842D3D">
        <w:rPr>
          <w:rFonts w:eastAsia="Calibri" w:cs="Times New Roman"/>
          <w:szCs w:val="24"/>
        </w:rPr>
        <w:t xml:space="preserve"> (Particular Rights—Fourth Amendment—Unreasonable Seizure of</w:t>
      </w:r>
    </w:p>
    <w:p w14:paraId="2245D43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Person—Probable Cause Arrest). The plaintiff may not always be the same person who was</w:t>
      </w:r>
    </w:p>
    <w:p w14:paraId="6BEA800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the subject of the arrest giving rise to the search.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Rakas v. Illinois</w:t>
      </w:r>
      <w:r w:rsidRPr="00842D3D">
        <w:rPr>
          <w:rFonts w:eastAsia="Calibri" w:cs="Times New Roman"/>
          <w:szCs w:val="24"/>
        </w:rPr>
        <w:t>, 439 U.S. 128, 134</w:t>
      </w:r>
    </w:p>
    <w:p w14:paraId="1E3F05D5"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(1978). In such cases, the instruction should be altered as appropriate.</w:t>
      </w:r>
    </w:p>
    <w:p w14:paraId="72CF7C2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CDA610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00C8E50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the burden on the plaintiff to establish an absence of imminent danger in a claim of interference with a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a plaintiff in § 1983 action “carries the ultimate burden of establishing each element of his or her claim, including lack of consent [to search]”). </w:t>
      </w:r>
    </w:p>
    <w:p w14:paraId="3607A3E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5E2689C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780DF48"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ab/>
        <w:t>Revised Dec. 2023</w:t>
      </w:r>
      <w:r w:rsidRPr="00842D3D">
        <w:rPr>
          <w:rFonts w:eastAsia="Calibri" w:cs="Times New Roman"/>
          <w:szCs w:val="24"/>
        </w:rPr>
        <w:t xml:space="preserve"> </w:t>
      </w:r>
    </w:p>
    <w:p w14:paraId="760278E9" w14:textId="77777777" w:rsidR="00842D3D" w:rsidRPr="00842D3D" w:rsidRDefault="00842D3D" w:rsidP="00842D3D">
      <w:pPr>
        <w:autoSpaceDE w:val="0"/>
        <w:autoSpaceDN w:val="0"/>
        <w:adjustRightInd w:val="0"/>
        <w:rPr>
          <w:rFonts w:eastAsia="Calibri" w:cs="Times New Roman"/>
          <w:szCs w:val="24"/>
        </w:rPr>
      </w:pPr>
    </w:p>
    <w:p w14:paraId="57E585D8" w14:textId="77777777" w:rsidR="00842D3D" w:rsidRPr="00842D3D" w:rsidRDefault="00842D3D" w:rsidP="00842D3D">
      <w:pPr>
        <w:autoSpaceDE w:val="0"/>
        <w:autoSpaceDN w:val="0"/>
        <w:adjustRightInd w:val="0"/>
        <w:rPr>
          <w:rFonts w:eastAsia="Calibri" w:cs="Times New Roman"/>
          <w:szCs w:val="24"/>
        </w:rPr>
      </w:pPr>
    </w:p>
    <w:p w14:paraId="1B4C8B69" w14:textId="1F4DA730" w:rsidR="00842D3D" w:rsidRPr="00842D3D" w:rsidRDefault="00842D3D" w:rsidP="00FF121D">
      <w:pPr>
        <w:pStyle w:val="Heading2"/>
      </w:pPr>
      <w:r w:rsidRPr="00842D3D">
        <w:br w:type="page"/>
      </w:r>
      <w:r w:rsidRPr="00842D3D">
        <w:rPr>
          <w:lang w:val="en-CA"/>
        </w:rPr>
        <w:lastRenderedPageBreak/>
        <w:fldChar w:fldCharType="begin"/>
      </w:r>
      <w:r w:rsidRPr="00842D3D">
        <w:rPr>
          <w:lang w:val="en-CA"/>
        </w:rPr>
        <w:instrText xml:space="preserve"> SEQ CHAPTER \h \r 1</w:instrText>
      </w:r>
      <w:r w:rsidRPr="00842D3D">
        <w:rPr>
          <w:lang w:val="en-CA"/>
        </w:rPr>
        <w:fldChar w:fldCharType="end"/>
      </w:r>
      <w:bookmarkStart w:id="161" w:name="_Toc221525180"/>
      <w:r w:rsidRPr="00842D3D">
        <w:t>9.1</w:t>
      </w:r>
      <w:r w:rsidR="005F1850">
        <w:t>6</w:t>
      </w:r>
      <w:r w:rsidRPr="00842D3D">
        <w:t xml:space="preserve"> Particular Rights—Fourth Amendment—Unreasonable Search—Exception To Warrant Requirement—Consent</w:t>
      </w:r>
      <w:bookmarkEnd w:id="161"/>
    </w:p>
    <w:p w14:paraId="628CE9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2F043D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 [residence] [vehicle]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666767D2" w14:textId="77777777" w:rsidR="00842D3D" w:rsidRPr="00842D3D" w:rsidRDefault="00842D3D" w:rsidP="00842D3D">
      <w:pPr>
        <w:autoSpaceDE w:val="0"/>
        <w:autoSpaceDN w:val="0"/>
        <w:adjustRightInd w:val="0"/>
        <w:rPr>
          <w:rFonts w:eastAsia="Calibri" w:cs="Times New Roman"/>
          <w:szCs w:val="24"/>
        </w:rPr>
      </w:pPr>
    </w:p>
    <w:p w14:paraId="2806BF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a consent to search is voluntary, consider all of the circumstances, including:</w:t>
      </w:r>
    </w:p>
    <w:p w14:paraId="25EE6886" w14:textId="77777777" w:rsidR="00842D3D" w:rsidRPr="00842D3D" w:rsidRDefault="00842D3D" w:rsidP="00842D3D">
      <w:pPr>
        <w:autoSpaceDE w:val="0"/>
        <w:autoSpaceDN w:val="0"/>
        <w:adjustRightInd w:val="0"/>
        <w:rPr>
          <w:rFonts w:eastAsia="Calibri" w:cs="Times New Roman"/>
          <w:szCs w:val="24"/>
        </w:rPr>
      </w:pPr>
    </w:p>
    <w:p w14:paraId="462CA549"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(1)</w:t>
      </w:r>
      <w:r w:rsidRPr="00842D3D">
        <w:rPr>
          <w:rFonts w:eastAsia="Calibri" w:cs="Times New Roman"/>
          <w:szCs w:val="24"/>
        </w:rPr>
        <w:tab/>
        <w:t>whether the consenting person was in custody;</w:t>
      </w:r>
    </w:p>
    <w:p w14:paraId="39CDBBBC" w14:textId="77777777" w:rsidR="00842D3D" w:rsidRPr="00842D3D" w:rsidRDefault="00842D3D" w:rsidP="00842D3D">
      <w:pPr>
        <w:autoSpaceDE w:val="0"/>
        <w:autoSpaceDN w:val="0"/>
        <w:adjustRightInd w:val="0"/>
        <w:rPr>
          <w:rFonts w:eastAsia="Calibri" w:cs="Times New Roman"/>
          <w:szCs w:val="24"/>
        </w:rPr>
      </w:pPr>
    </w:p>
    <w:p w14:paraId="24A7E973"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(2)</w:t>
      </w:r>
      <w:r w:rsidRPr="00842D3D">
        <w:rPr>
          <w:rFonts w:eastAsia="Calibri" w:cs="Times New Roman"/>
          <w:szCs w:val="24"/>
        </w:rPr>
        <w:tab/>
        <w:t>whether the officers’ guns were drawn;</w:t>
      </w:r>
    </w:p>
    <w:p w14:paraId="58B3A58F" w14:textId="77777777" w:rsidR="00842D3D" w:rsidRPr="00842D3D" w:rsidRDefault="00842D3D" w:rsidP="00842D3D">
      <w:pPr>
        <w:autoSpaceDE w:val="0"/>
        <w:autoSpaceDN w:val="0"/>
        <w:adjustRightInd w:val="0"/>
        <w:rPr>
          <w:rFonts w:eastAsia="Calibri" w:cs="Times New Roman"/>
          <w:szCs w:val="24"/>
        </w:rPr>
      </w:pPr>
    </w:p>
    <w:p w14:paraId="7EE35568"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 xml:space="preserve">whether </w:t>
      </w:r>
      <w:r w:rsidRPr="00842D3D">
        <w:rPr>
          <w:rFonts w:eastAsia="Calibri" w:cs="Times New Roman"/>
          <w:i/>
          <w:iCs/>
          <w:szCs w:val="24"/>
        </w:rPr>
        <w:t>Miranda</w:t>
      </w:r>
      <w:r w:rsidRPr="00842D3D">
        <w:rPr>
          <w:rFonts w:eastAsia="Calibri" w:cs="Times New Roman"/>
          <w:szCs w:val="24"/>
        </w:rPr>
        <w:t xml:space="preserve"> warnings were given;</w:t>
      </w:r>
    </w:p>
    <w:p w14:paraId="72507DA6" w14:textId="77777777" w:rsidR="00842D3D" w:rsidRPr="00842D3D" w:rsidRDefault="00842D3D" w:rsidP="00842D3D">
      <w:pPr>
        <w:autoSpaceDE w:val="0"/>
        <w:autoSpaceDN w:val="0"/>
        <w:adjustRightInd w:val="0"/>
        <w:rPr>
          <w:rFonts w:eastAsia="Calibri" w:cs="Times New Roman"/>
          <w:szCs w:val="24"/>
        </w:rPr>
      </w:pPr>
    </w:p>
    <w:p w14:paraId="14F147B6"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(4)</w:t>
      </w:r>
      <w:r w:rsidRPr="00842D3D">
        <w:rPr>
          <w:rFonts w:eastAsia="Calibri" w:cs="Times New Roman"/>
          <w:szCs w:val="24"/>
        </w:rPr>
        <w:tab/>
        <w:t>whether the consenting person was told [he] [she] [</w:t>
      </w:r>
      <w:r w:rsidRPr="00842D3D">
        <w:rPr>
          <w:rFonts w:eastAsia="Calibri" w:cs="Times New Roman"/>
          <w:i/>
          <w:iCs/>
          <w:szCs w:val="24"/>
          <w:u w:val="single"/>
        </w:rPr>
        <w:t>other pronoun</w:t>
      </w:r>
      <w:r w:rsidRPr="00842D3D">
        <w:rPr>
          <w:rFonts w:eastAsia="Calibri" w:cs="Times New Roman"/>
          <w:szCs w:val="24"/>
        </w:rPr>
        <w:t>] had the right to refuse a request to search;</w:t>
      </w:r>
    </w:p>
    <w:p w14:paraId="0758D515" w14:textId="77777777" w:rsidR="00842D3D" w:rsidRPr="00842D3D" w:rsidRDefault="00842D3D" w:rsidP="00842D3D">
      <w:pPr>
        <w:autoSpaceDE w:val="0"/>
        <w:autoSpaceDN w:val="0"/>
        <w:adjustRightInd w:val="0"/>
        <w:rPr>
          <w:rFonts w:eastAsia="Calibri" w:cs="Times New Roman"/>
          <w:szCs w:val="24"/>
        </w:rPr>
      </w:pPr>
    </w:p>
    <w:p w14:paraId="75F3307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(5)</w:t>
      </w:r>
      <w:r w:rsidRPr="00842D3D">
        <w:rPr>
          <w:rFonts w:eastAsia="Calibri" w:cs="Times New Roman"/>
          <w:szCs w:val="24"/>
        </w:rPr>
        <w:tab/>
        <w:t>whether the consenting person was told a search warrant could be obtained;</w:t>
      </w:r>
    </w:p>
    <w:p w14:paraId="0D96202B" w14:textId="77777777" w:rsidR="00842D3D" w:rsidRPr="00842D3D" w:rsidRDefault="00842D3D" w:rsidP="00842D3D">
      <w:pPr>
        <w:autoSpaceDE w:val="0"/>
        <w:autoSpaceDN w:val="0"/>
        <w:adjustRightInd w:val="0"/>
        <w:rPr>
          <w:rFonts w:eastAsia="Calibri" w:cs="Times New Roman"/>
          <w:szCs w:val="24"/>
        </w:rPr>
      </w:pPr>
    </w:p>
    <w:p w14:paraId="535CBF4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(6)</w:t>
      </w:r>
      <w:r w:rsidRPr="00842D3D">
        <w:rPr>
          <w:rFonts w:eastAsia="Calibri" w:cs="Times New Roman"/>
          <w:szCs w:val="24"/>
        </w:rPr>
        <w:tab/>
        <w:t>[</w:t>
      </w:r>
      <w:r w:rsidRPr="00842D3D">
        <w:rPr>
          <w:rFonts w:eastAsia="Calibri" w:cs="Times New Roman"/>
          <w:i/>
          <w:iCs/>
          <w:szCs w:val="24"/>
          <w:u w:val="single"/>
        </w:rPr>
        <w:t>any other circumstances applicable to the particular case</w:t>
      </w:r>
      <w:r w:rsidRPr="00842D3D">
        <w:rPr>
          <w:rFonts w:eastAsia="Calibri" w:cs="Times New Roman"/>
          <w:szCs w:val="24"/>
        </w:rPr>
        <w:t>].</w:t>
      </w:r>
    </w:p>
    <w:p w14:paraId="2821EBD8" w14:textId="77777777" w:rsidR="00842D3D" w:rsidRPr="00842D3D" w:rsidRDefault="00842D3D" w:rsidP="00842D3D">
      <w:pPr>
        <w:autoSpaceDE w:val="0"/>
        <w:autoSpaceDN w:val="0"/>
        <w:adjustRightInd w:val="0"/>
        <w:rPr>
          <w:rFonts w:eastAsia="Calibri" w:cs="Times New Roman"/>
          <w:szCs w:val="24"/>
        </w:rPr>
      </w:pPr>
    </w:p>
    <w:p w14:paraId="38617F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Miranda</w:t>
      </w:r>
      <w:r w:rsidRPr="00842D3D">
        <w:rPr>
          <w:rFonts w:eastAsia="Calibri" w:cs="Times New Roman"/>
          <w:szCs w:val="24"/>
        </w:rPr>
        <w:t xml:space="preserve"> warnings consist of advising a criminal suspect that he has the right to remain silent, that anything he says can be used against him in a court of law, that he has the right to the presence of an attorney, and that if he cannot afford an attorney one will be appointed for him prior to any questioning if he so desires.</w:t>
      </w:r>
    </w:p>
    <w:p w14:paraId="0F532D47" w14:textId="77777777" w:rsidR="00842D3D" w:rsidRPr="00842D3D" w:rsidRDefault="00842D3D" w:rsidP="00842D3D">
      <w:pPr>
        <w:autoSpaceDE w:val="0"/>
        <w:autoSpaceDN w:val="0"/>
        <w:adjustRightInd w:val="0"/>
        <w:rPr>
          <w:rFonts w:eastAsia="Calibri" w:cs="Times New Roman"/>
          <w:szCs w:val="24"/>
        </w:rPr>
      </w:pPr>
    </w:p>
    <w:p w14:paraId="04FCA85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6BD26672" w14:textId="77777777" w:rsidR="00842D3D" w:rsidRPr="00842D3D" w:rsidRDefault="00842D3D" w:rsidP="00842D3D">
      <w:pPr>
        <w:autoSpaceDE w:val="0"/>
        <w:autoSpaceDN w:val="0"/>
        <w:adjustRightInd w:val="0"/>
        <w:rPr>
          <w:rFonts w:eastAsia="Calibri" w:cs="Times New Roman"/>
          <w:szCs w:val="24"/>
        </w:rPr>
      </w:pPr>
    </w:p>
    <w:p w14:paraId="01B10BA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85F89" w14:textId="77777777" w:rsidR="00842D3D" w:rsidRPr="00842D3D" w:rsidRDefault="00842D3D" w:rsidP="00842D3D">
      <w:pPr>
        <w:autoSpaceDE w:val="0"/>
        <w:autoSpaceDN w:val="0"/>
        <w:adjustRightInd w:val="0"/>
        <w:rPr>
          <w:rFonts w:eastAsia="Calibri" w:cs="Times New Roman"/>
          <w:szCs w:val="24"/>
        </w:rPr>
      </w:pPr>
    </w:p>
    <w:p w14:paraId="4215ACCA" w14:textId="5175DB2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w:t>
      </w:r>
    </w:p>
    <w:p w14:paraId="54929DB0" w14:textId="77777777" w:rsidR="00842D3D" w:rsidRPr="00842D3D" w:rsidRDefault="00842D3D" w:rsidP="00842D3D">
      <w:pPr>
        <w:autoSpaceDE w:val="0"/>
        <w:autoSpaceDN w:val="0"/>
        <w:adjustRightInd w:val="0"/>
        <w:ind w:firstLine="720"/>
        <w:rPr>
          <w:rFonts w:eastAsia="Calibri" w:cs="Times New Roman"/>
          <w:szCs w:val="24"/>
        </w:rPr>
      </w:pPr>
    </w:p>
    <w:p w14:paraId="17B84FD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the instructions </w:t>
      </w:r>
      <w:r w:rsidRPr="00842D3D">
        <w:rPr>
          <w:rFonts w:eastAsia="Calibri" w:cs="Times New Roman"/>
          <w:szCs w:val="24"/>
        </w:rPr>
        <w:lastRenderedPageBreak/>
        <w:t>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14DAC777" w14:textId="77777777" w:rsidR="00842D3D" w:rsidRPr="00842D3D" w:rsidRDefault="00842D3D" w:rsidP="00842D3D">
      <w:pPr>
        <w:autoSpaceDE w:val="0"/>
        <w:autoSpaceDN w:val="0"/>
        <w:adjustRightInd w:val="0"/>
        <w:rPr>
          <w:rFonts w:eastAsia="Calibri" w:cs="Times New Roman"/>
          <w:szCs w:val="24"/>
        </w:rPr>
      </w:pPr>
    </w:p>
    <w:p w14:paraId="2822DF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842D3D">
        <w:rPr>
          <w:rFonts w:eastAsia="Calibri" w:cs="Times New Roman"/>
          <w:i/>
          <w:iCs/>
          <w:szCs w:val="24"/>
        </w:rPr>
        <w:t>United States v. Cormier</w:t>
      </w:r>
      <w:r w:rsidRPr="00842D3D">
        <w:rPr>
          <w:rFonts w:eastAsia="Calibri" w:cs="Times New Roman"/>
          <w:szCs w:val="24"/>
        </w:rPr>
        <w:t xml:space="preserve">, 220 F.3d 1103, 1112 (9th Cir. 2000);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also Ohio v. Robinette</w:t>
      </w:r>
      <w:r w:rsidRPr="00842D3D">
        <w:rPr>
          <w:rFonts w:eastAsia="Calibri" w:cs="Times New Roman"/>
          <w:szCs w:val="24"/>
        </w:rPr>
        <w:t xml:space="preserve">, 519 U.S. 33, 39-40 (1996). Whether a consent to search was voluntarily given is a question of fact to be determined from the “totality of all the circumstances.” </w:t>
      </w:r>
      <w:r w:rsidRPr="00842D3D">
        <w:rPr>
          <w:rFonts w:eastAsia="Calibri" w:cs="Times New Roman"/>
          <w:i/>
          <w:iCs/>
          <w:szCs w:val="24"/>
        </w:rPr>
        <w:t>United States v. Taylor</w:t>
      </w:r>
      <w:r w:rsidRPr="00842D3D">
        <w:rPr>
          <w:rFonts w:eastAsia="Calibri" w:cs="Times New Roman"/>
          <w:szCs w:val="24"/>
        </w:rPr>
        <w:t xml:space="preserve">, 60 F.4th 1233, 1243 (9th Cir. 2023) (quoting </w:t>
      </w:r>
      <w:r w:rsidRPr="00842D3D">
        <w:rPr>
          <w:rFonts w:eastAsia="Calibri" w:cs="Times New Roman"/>
          <w:i/>
          <w:iCs/>
          <w:szCs w:val="24"/>
        </w:rPr>
        <w:t>Schneckloth v. Bustamonte</w:t>
      </w:r>
      <w:r w:rsidRPr="00842D3D">
        <w:rPr>
          <w:rFonts w:eastAsia="Calibri" w:cs="Times New Roman"/>
          <w:szCs w:val="24"/>
        </w:rPr>
        <w:t xml:space="preserve">, 412 U.S. 218, 227 (1973)). The Ninth Circuit considers five factors in determining voluntariness, which have been incorporated into the above instruction.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Liberal v. Estrada</w:t>
      </w:r>
      <w:r w:rsidRPr="00842D3D">
        <w:rPr>
          <w:rFonts w:eastAsia="Calibri" w:cs="Times New Roman"/>
          <w:szCs w:val="24"/>
        </w:rPr>
        <w:t xml:space="preserve">, 632 F.3d 1064, 1082 (9th Cir. 2011) (applying the five-factor test for voluntariness in § 1983 case). “No one factor is determinative in the equation” and “[b]ecause each factual situation surrounding consent to a search is unique,” a court may also consider other relevant factors.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United States v. Taylor</w:t>
      </w:r>
      <w:r w:rsidRPr="00842D3D">
        <w:rPr>
          <w:rFonts w:eastAsia="Calibri" w:cs="Times New Roman"/>
          <w:szCs w:val="24"/>
        </w:rPr>
        <w:t xml:space="preserve">, 60 F.4th 1233, 1243 (9th Cir. 2023) (rejecting argument that “racial disparities in the policing of America” invalidated consent, the court noted tensions between officers and suspects “may be heightened by personal experiences and other sociocultural factors,” but there was no evidence in this case that race affected the voluntariness of consent); </w:t>
      </w:r>
      <w:r w:rsidRPr="00842D3D">
        <w:rPr>
          <w:rFonts w:eastAsia="Calibri" w:cs="Times New Roman"/>
          <w:i/>
          <w:iCs/>
          <w:szCs w:val="24"/>
        </w:rPr>
        <w:t>Olson v. County of Grant</w:t>
      </w:r>
      <w:r w:rsidRPr="00842D3D">
        <w:rPr>
          <w:rFonts w:eastAsia="Calibri" w:cs="Times New Roman"/>
          <w:szCs w:val="24"/>
        </w:rPr>
        <w:t xml:space="preserve">, 127 F.4th 1193, 1200 (9th Cir. 2025) (holding that a plaintiff’s consent allowing Idaho law enforcement to search plaintiff’s cell phone did not extend to a search by a different law enforcement agency, in Oregon, for evidence of her boyfriend’s theoretical misdeeds in Oregon). </w:t>
      </w:r>
    </w:p>
    <w:p w14:paraId="5CD584C4" w14:textId="77777777" w:rsidR="00842D3D" w:rsidRPr="00842D3D" w:rsidRDefault="00842D3D" w:rsidP="00842D3D">
      <w:pPr>
        <w:autoSpaceDE w:val="0"/>
        <w:autoSpaceDN w:val="0"/>
        <w:adjustRightInd w:val="0"/>
        <w:rPr>
          <w:rFonts w:eastAsia="Calibri" w:cs="Times New Roman"/>
          <w:szCs w:val="24"/>
        </w:rPr>
      </w:pPr>
    </w:p>
    <w:p w14:paraId="065346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Georgia v. Randolph</w:t>
      </w:r>
      <w:r w:rsidRPr="00842D3D">
        <w:rPr>
          <w:rFonts w:eastAsia="Calibri" w:cs="Times New Roman"/>
          <w:szCs w:val="24"/>
        </w:rPr>
        <w:t xml:space="preserve">, 547 U.S. 103, 106 (2006), the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Bonivert v. City of Clarkston</w:t>
      </w:r>
      <w:r w:rsidRPr="00842D3D">
        <w:rPr>
          <w:rFonts w:eastAsia="Calibri" w:cs="Times New Roman"/>
          <w:szCs w:val="24"/>
        </w:rPr>
        <w:t xml:space="preserve">, 883 F.3d 865, 875 (9th Cir. 2018) (“Applying </w:t>
      </w:r>
      <w:r w:rsidRPr="00842D3D">
        <w:rPr>
          <w:rFonts w:eastAsia="Calibri" w:cs="Times New Roman"/>
          <w:i/>
          <w:iCs/>
          <w:szCs w:val="24"/>
        </w:rPr>
        <w:t>Randolph</w:t>
      </w:r>
      <w:r w:rsidRPr="00842D3D">
        <w:rPr>
          <w:rFonts w:eastAsia="Calibri" w:cs="Times New Roman"/>
          <w:szCs w:val="24"/>
        </w:rPr>
        <w:t xml:space="preserve">, we hold that the consent exception to the warrant requirement did not justify the officers’ entry into </w:t>
      </w:r>
      <w:r w:rsidRPr="00842D3D">
        <w:rPr>
          <w:rFonts w:eastAsia="Calibri" w:cs="Times New Roman"/>
          <w:i/>
          <w:iCs/>
          <w:szCs w:val="24"/>
        </w:rPr>
        <w:t>Bonivert’s</w:t>
      </w:r>
      <w:r w:rsidRPr="00842D3D">
        <w:rPr>
          <w:rFonts w:eastAsia="Calibri" w:cs="Times New Roman"/>
          <w:szCs w:val="24"/>
        </w:rPr>
        <w:t xml:space="preserve"> home. Even though the officers secured [co-occupant] </w:t>
      </w:r>
      <w:r w:rsidRPr="00842D3D">
        <w:rPr>
          <w:rFonts w:eastAsia="Calibri" w:cs="Times New Roman"/>
          <w:i/>
          <w:iCs/>
          <w:szCs w:val="24"/>
        </w:rPr>
        <w:t xml:space="preserve">Ausman’s </w:t>
      </w:r>
      <w:r w:rsidRPr="00842D3D">
        <w:rPr>
          <w:rFonts w:eastAsia="Calibri" w:cs="Times New Roman"/>
          <w:szCs w:val="24"/>
        </w:rPr>
        <w:t xml:space="preserve">consent, </w:t>
      </w:r>
      <w:r w:rsidRPr="00842D3D">
        <w:rPr>
          <w:rFonts w:eastAsia="Calibri" w:cs="Times New Roman"/>
          <w:i/>
          <w:iCs/>
          <w:szCs w:val="24"/>
        </w:rPr>
        <w:t>Bonivert</w:t>
      </w:r>
      <w:r w:rsidRPr="00842D3D">
        <w:rPr>
          <w:rFonts w:eastAsia="Calibri" w:cs="Times New Roman"/>
          <w:szCs w:val="24"/>
        </w:rPr>
        <w:t xml:space="preserve"> was physically present inside and expressly refused to permit the officers to enter on two different occasions” (emphasis added)). The Ninth Circuit clarified that “</w:t>
      </w:r>
      <w:r w:rsidRPr="00842D3D">
        <w:rPr>
          <w:rFonts w:eastAsia="Calibri" w:cs="Times New Roman"/>
          <w:i/>
          <w:iCs/>
          <w:szCs w:val="24"/>
        </w:rPr>
        <w:t>Randolph</w:t>
      </w:r>
      <w:r w:rsidRPr="00842D3D">
        <w:rPr>
          <w:rFonts w:eastAsia="Calibri" w:cs="Times New Roman"/>
          <w:szCs w:val="24"/>
        </w:rPr>
        <w:t xml:space="preserve"> requires that the resident who is refusing consent both be present at the house and expressly refuse to allow the search.” </w:t>
      </w:r>
      <w:r w:rsidRPr="00842D3D">
        <w:rPr>
          <w:rFonts w:eastAsia="Calibri" w:cs="Times New Roman"/>
          <w:i/>
          <w:iCs/>
          <w:szCs w:val="24"/>
        </w:rPr>
        <w:t>United States v. Moore</w:t>
      </w:r>
      <w:r w:rsidRPr="00842D3D">
        <w:rPr>
          <w:rFonts w:eastAsia="Calibri" w:cs="Times New Roman"/>
          <w:szCs w:val="24"/>
        </w:rPr>
        <w:t xml:space="preserve">, 770 F.3d 809, 811 (9th Cir. 2014). In addition, the Supreme Court has clarified that </w:t>
      </w:r>
      <w:r w:rsidRPr="00842D3D">
        <w:rPr>
          <w:rFonts w:eastAsia="Calibri" w:cs="Times New Roman"/>
          <w:i/>
          <w:iCs/>
          <w:szCs w:val="24"/>
        </w:rPr>
        <w:t>Randolph</w:t>
      </w:r>
      <w:r w:rsidRPr="00842D3D">
        <w:rPr>
          <w:rFonts w:eastAsia="Calibri" w:cs="Times New Roman"/>
          <w:szCs w:val="24"/>
        </w:rPr>
        <w:t xml:space="preserve"> does not apply when the objecting occupant has been removed and is no longer physically present, including removal through a lawful arrest. </w:t>
      </w:r>
      <w:r w:rsidRPr="00842D3D">
        <w:rPr>
          <w:rFonts w:eastAsia="Calibri" w:cs="Times New Roman"/>
          <w:i/>
          <w:iCs/>
          <w:szCs w:val="24"/>
        </w:rPr>
        <w:t>Fernandez v. California</w:t>
      </w:r>
      <w:r w:rsidRPr="00842D3D">
        <w:rPr>
          <w:rFonts w:eastAsia="Calibri" w:cs="Times New Roman"/>
          <w:szCs w:val="24"/>
        </w:rPr>
        <w:t xml:space="preserve">, 571 U.S. 292, 302-03 (2014) (upholding a </w:t>
      </w:r>
      <w:r w:rsidRPr="00842D3D">
        <w:rPr>
          <w:rFonts w:eastAsia="Calibri" w:cs="Times New Roman"/>
          <w:szCs w:val="24"/>
        </w:rPr>
        <w:lastRenderedPageBreak/>
        <w:t xml:space="preserve">warrantless search of an apartment when consent was later obtained from a co-occupant after the initially objecting occupant was arrested on suspicion of assaulting the co-occupant); </w:t>
      </w:r>
      <w:r w:rsidRPr="00842D3D">
        <w:rPr>
          <w:rFonts w:eastAsia="Calibri" w:cs="Times New Roman"/>
          <w:i/>
          <w:iCs/>
          <w:szCs w:val="24"/>
        </w:rPr>
        <w:t>United States v. Parkins</w:t>
      </w:r>
      <w:r w:rsidRPr="00842D3D">
        <w:rPr>
          <w:rFonts w:eastAsia="Calibri" w:cs="Times New Roman"/>
          <w:szCs w:val="24"/>
        </w:rPr>
        <w:t xml:space="preserve">, 92 F.4th 882, 890-91 (9th Cir. 2024) (explaining that a defendant need not stand at the doorway to count as being physically present—presence on the premises (including its immediate vicinity) is sufficient); </w:t>
      </w:r>
      <w:r w:rsidRPr="00842D3D">
        <w:rPr>
          <w:rFonts w:eastAsia="Calibri" w:cs="Times New Roman"/>
          <w:i/>
          <w:iCs/>
          <w:szCs w:val="24"/>
        </w:rPr>
        <w:t>see also United States v. Brown</w:t>
      </w:r>
      <w:r w:rsidRPr="00842D3D">
        <w:rPr>
          <w:rFonts w:eastAsia="Calibri" w:cs="Times New Roman"/>
          <w:szCs w:val="24"/>
        </w:rPr>
        <w:t xml:space="preserve">, 563 F.3d 410, 416-18 (9th Cir. 2009) (holding that voluntary consent from co-occupant of residence when defendant had been arrested pursuant to valid arrest warrant and placed in squad car prior to consent discussion with co-occupant). </w:t>
      </w:r>
    </w:p>
    <w:p w14:paraId="43BF64F5" w14:textId="77777777" w:rsidR="00842D3D" w:rsidRPr="00842D3D" w:rsidRDefault="00842D3D" w:rsidP="00842D3D">
      <w:pPr>
        <w:autoSpaceDE w:val="0"/>
        <w:autoSpaceDN w:val="0"/>
        <w:adjustRightInd w:val="0"/>
        <w:rPr>
          <w:rFonts w:eastAsia="Calibri" w:cs="Times New Roman"/>
          <w:szCs w:val="24"/>
        </w:rPr>
      </w:pPr>
    </w:p>
    <w:p w14:paraId="2090D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 xml:space="preserve">Randolph’s </w:t>
      </w:r>
      <w:r w:rsidRPr="00842D3D">
        <w:rPr>
          <w:rFonts w:eastAsia="Calibri"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842D3D">
        <w:rPr>
          <w:rFonts w:eastAsia="Calibri" w:cs="Times New Roman"/>
          <w:i/>
          <w:iCs/>
          <w:szCs w:val="24"/>
        </w:rPr>
        <w:t>Smith v. City of Santa Clara</w:t>
      </w:r>
      <w:r w:rsidRPr="00842D3D">
        <w:rPr>
          <w:rFonts w:eastAsia="Calibri" w:cs="Times New Roman"/>
          <w:szCs w:val="24"/>
        </w:rPr>
        <w:t xml:space="preserve">, 876 F.3d 987, 992 (9th Cir. 2017) (internal quotation marks and brackets omitted) (quoting </w:t>
      </w:r>
      <w:r w:rsidRPr="00842D3D">
        <w:rPr>
          <w:rFonts w:eastAsia="Calibri" w:cs="Times New Roman"/>
          <w:i/>
          <w:iCs/>
          <w:szCs w:val="24"/>
        </w:rPr>
        <w:t>United States v. Knights</w:t>
      </w:r>
      <w:r w:rsidRPr="00842D3D">
        <w:rPr>
          <w:rFonts w:eastAsia="Calibri" w:cs="Times New Roman"/>
          <w:szCs w:val="24"/>
        </w:rPr>
        <w:t>, 534 U.S. 112, 118 (2001) (rejecting jury instruction framed in terms of consent based on warrantless probation search condition)).</w:t>
      </w:r>
    </w:p>
    <w:p w14:paraId="6FD09959" w14:textId="77777777" w:rsidR="00842D3D" w:rsidRPr="00842D3D" w:rsidRDefault="00842D3D" w:rsidP="00842D3D">
      <w:pPr>
        <w:autoSpaceDE w:val="0"/>
        <w:autoSpaceDN w:val="0"/>
        <w:adjustRightInd w:val="0"/>
        <w:rPr>
          <w:rFonts w:eastAsia="Calibri" w:cs="Times New Roman"/>
          <w:szCs w:val="24"/>
        </w:rPr>
      </w:pPr>
    </w:p>
    <w:p w14:paraId="3097D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Whether an individual was told he or she was “free to leave” may implicate both the</w:t>
      </w:r>
    </w:p>
    <w:p w14:paraId="4CEF12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first factor—whether the individual was in custody—and the fourth factor—whether he or</w:t>
      </w:r>
    </w:p>
    <w:p w14:paraId="0AAAF2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she was informed he or she could refuse consent.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United States v. Russell</w:t>
      </w:r>
      <w:r w:rsidRPr="00842D3D">
        <w:rPr>
          <w:rFonts w:eastAsia="Calibri" w:cs="Times New Roman"/>
          <w:szCs w:val="24"/>
        </w:rPr>
        <w:t>, 664 F.3d</w:t>
      </w:r>
    </w:p>
    <w:p w14:paraId="5B21FE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1279, 1281 (9th Cir. 2012) (noting that officer’s instruction that individual is free to leave is “an instructive, but certainly less clear, way of saying that consent could be refused”); </w:t>
      </w:r>
      <w:r w:rsidRPr="00842D3D">
        <w:rPr>
          <w:rFonts w:eastAsia="Calibri" w:cs="Times New Roman"/>
          <w:i/>
          <w:iCs/>
          <w:szCs w:val="24"/>
        </w:rPr>
        <w:t>United States v. Bassignani</w:t>
      </w:r>
      <w:r w:rsidRPr="00842D3D">
        <w:rPr>
          <w:rFonts w:eastAsia="Calibri" w:cs="Times New Roman"/>
          <w:szCs w:val="24"/>
        </w:rPr>
        <w:t xml:space="preserve">, 575 F.3d 879, 886 (9th Cir. 2009) (noting that an officer’s instruction that an individual is free to leave is an important consideration in determining whether an individual is in custody); </w:t>
      </w:r>
      <w:r w:rsidRPr="00842D3D">
        <w:rPr>
          <w:rFonts w:eastAsia="Calibri" w:cs="Times New Roman"/>
          <w:i/>
          <w:iCs/>
          <w:szCs w:val="24"/>
        </w:rPr>
        <w:t>but see United States v. Stephens</w:t>
      </w:r>
      <w:r w:rsidRPr="00842D3D">
        <w:rPr>
          <w:rFonts w:eastAsia="Calibri" w:cs="Times New Roman"/>
          <w:szCs w:val="24"/>
        </w:rPr>
        <w:t>, 206 F.3d 914, 917 (9th Cir. 2000) (noting that, when searching bus passengers, “free to leave” warning is inadequate to ensure voluntariness).</w:t>
      </w:r>
    </w:p>
    <w:p w14:paraId="42221836" w14:textId="77777777" w:rsidR="00842D3D" w:rsidRPr="00842D3D" w:rsidRDefault="00842D3D" w:rsidP="00842D3D">
      <w:pPr>
        <w:autoSpaceDE w:val="0"/>
        <w:autoSpaceDN w:val="0"/>
        <w:adjustRightInd w:val="0"/>
        <w:rPr>
          <w:rFonts w:eastAsia="Calibri" w:cs="Times New Roman"/>
          <w:szCs w:val="24"/>
        </w:rPr>
      </w:pPr>
    </w:p>
    <w:p w14:paraId="3107AB1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Under certain circumstances, a third party may have actual or apparent authority to give consent to the search of another’s property. </w:t>
      </w:r>
      <w:r w:rsidRPr="00842D3D">
        <w:rPr>
          <w:rFonts w:eastAsia="Calibri" w:cs="Times New Roman"/>
          <w:i/>
          <w:iCs/>
          <w:szCs w:val="24"/>
        </w:rPr>
        <w:t>Espinosa v. City &amp; Cnty. of San Francisco</w:t>
      </w:r>
      <w:r w:rsidRPr="00842D3D">
        <w:rPr>
          <w:rFonts w:eastAsia="Calibri" w:cs="Times New Roman"/>
          <w:szCs w:val="24"/>
        </w:rPr>
        <w:t>, 598 F.3d 528, 536 (9th Cir. 2010) (citing</w:t>
      </w:r>
      <w:r w:rsidRPr="00842D3D" w:rsidDel="00736B60">
        <w:rPr>
          <w:rFonts w:eastAsia="Calibri" w:cs="Times New Roman"/>
          <w:szCs w:val="24"/>
        </w:rPr>
        <w:t xml:space="preserve"> </w:t>
      </w:r>
      <w:r w:rsidRPr="00842D3D">
        <w:rPr>
          <w:rFonts w:eastAsia="Calibri" w:cs="Times New Roman"/>
          <w:i/>
          <w:iCs/>
          <w:szCs w:val="24"/>
        </w:rPr>
        <w:t>United States v. Ruiz</w:t>
      </w:r>
      <w:r w:rsidRPr="00842D3D">
        <w:rPr>
          <w:rFonts w:eastAsia="Calibri" w:cs="Times New Roman"/>
          <w:szCs w:val="24"/>
        </w:rPr>
        <w:t>, 428 F.3d 877, 880-81 (9th Cir. 2005) (stating three-part test to determine apparent authority of third person)). When authority to consent is factually disputed, it may be necessary to instruct the jury on these standards.</w:t>
      </w:r>
    </w:p>
    <w:p w14:paraId="0E3BFC55" w14:textId="77777777" w:rsidR="00842D3D" w:rsidRPr="00842D3D" w:rsidRDefault="00842D3D" w:rsidP="00842D3D">
      <w:pPr>
        <w:autoSpaceDE w:val="0"/>
        <w:autoSpaceDN w:val="0"/>
        <w:adjustRightInd w:val="0"/>
        <w:rPr>
          <w:rFonts w:eastAsia="Calibri" w:cs="Times New Roman"/>
          <w:szCs w:val="24"/>
        </w:rPr>
      </w:pPr>
    </w:p>
    <w:p w14:paraId="2E4C145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Relatedly, the “knock and talk” exception, which allows officers to approach a home and</w:t>
      </w:r>
    </w:p>
    <w:p w14:paraId="37B4D7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knock on the door, does not apply when the officers’ purpose in conducting the “knock and talk”</w:t>
      </w:r>
    </w:p>
    <w:p w14:paraId="2FB63C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is to arrest the occupant. </w:t>
      </w:r>
      <w:r w:rsidRPr="00842D3D">
        <w:rPr>
          <w:rFonts w:eastAsia="Calibri" w:cs="Times New Roman"/>
          <w:i/>
          <w:iCs/>
          <w:szCs w:val="24"/>
        </w:rPr>
        <w:t>United States v. Lundin</w:t>
      </w:r>
      <w:r w:rsidRPr="00842D3D">
        <w:rPr>
          <w:rFonts w:eastAsia="Calibri" w:cs="Times New Roman"/>
          <w:szCs w:val="24"/>
        </w:rPr>
        <w:t>, 817 F.3d 1151, 1160 (9th Cir. 2016).</w:t>
      </w:r>
    </w:p>
    <w:p w14:paraId="7D358242" w14:textId="77777777" w:rsidR="00842D3D" w:rsidRPr="00842D3D" w:rsidRDefault="00842D3D" w:rsidP="00842D3D">
      <w:pPr>
        <w:autoSpaceDE w:val="0"/>
        <w:autoSpaceDN w:val="0"/>
        <w:adjustRightInd w:val="0"/>
        <w:rPr>
          <w:rFonts w:eastAsia="Calibri" w:cs="Times New Roman"/>
          <w:szCs w:val="24"/>
        </w:rPr>
      </w:pPr>
    </w:p>
    <w:p w14:paraId="08D328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27B50B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w:t>
      </w:r>
      <w:r w:rsidRPr="00842D3D">
        <w:rPr>
          <w:rFonts w:eastAsia="Calibri" w:cs="Times New Roman"/>
          <w:szCs w:val="24"/>
        </w:rPr>
        <w:lastRenderedPageBreak/>
        <w:t xml:space="preserve">“carries the ultimate burden of establishing each element of his or her claim, including lack of consent [to search]”). </w:t>
      </w:r>
    </w:p>
    <w:p w14:paraId="6782AE6D" w14:textId="77777777" w:rsidR="00842D3D" w:rsidRPr="00842D3D" w:rsidRDefault="00842D3D" w:rsidP="00842D3D">
      <w:pPr>
        <w:autoSpaceDE w:val="0"/>
        <w:autoSpaceDN w:val="0"/>
        <w:adjustRightInd w:val="0"/>
        <w:rPr>
          <w:rFonts w:eastAsia="Calibri" w:cs="Times New Roman"/>
          <w:szCs w:val="24"/>
        </w:rPr>
      </w:pPr>
    </w:p>
    <w:p w14:paraId="1B6A872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When “an officer enters a premises with express consent, and secretly uses recording equipment to capture only what he can see and hear by virtue of that consented entry, no Fourth Amendment search occurs under the trespassory, unlicensed physical intrusion framework.” </w:t>
      </w:r>
      <w:r w:rsidRPr="00842D3D">
        <w:rPr>
          <w:rFonts w:eastAsia="Calibri" w:cs="Times New Roman"/>
          <w:i/>
          <w:iCs/>
          <w:szCs w:val="24"/>
        </w:rPr>
        <w:t>United States v. Esqueda</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88 F.4th 818 (9th Cir. 2023). Although no search occurs when an undercover government agent misrepresents his identity to gain consent to enter, </w:t>
      </w:r>
      <w:r w:rsidRPr="00842D3D">
        <w:rPr>
          <w:rFonts w:eastAsia="Calibri" w:cs="Times New Roman"/>
          <w:i/>
          <w:iCs/>
          <w:szCs w:val="24"/>
        </w:rPr>
        <w:t xml:space="preserve">id. </w:t>
      </w:r>
      <w:r w:rsidRPr="00842D3D">
        <w:rPr>
          <w:rFonts w:eastAsia="Calibri" w:cs="Times New Roman"/>
          <w:szCs w:val="24"/>
        </w:rPr>
        <w:t xml:space="preserve">at 825, 830, a Fourth Amendment search does occur when “a known government agent affirmatively misrepresents his </w:t>
      </w:r>
      <w:r w:rsidRPr="00842D3D">
        <w:rPr>
          <w:rFonts w:eastAsia="Calibri" w:cs="Times New Roman"/>
          <w:i/>
          <w:iCs/>
          <w:szCs w:val="24"/>
        </w:rPr>
        <w:t xml:space="preserve">purpose </w:t>
      </w:r>
      <w:r w:rsidRPr="00842D3D">
        <w:rPr>
          <w:rFonts w:eastAsia="Calibri" w:cs="Times New Roman"/>
          <w:szCs w:val="24"/>
        </w:rPr>
        <w:t xml:space="preserve">to gain consent to enter,” </w:t>
      </w:r>
      <w:r w:rsidRPr="00842D3D">
        <w:rPr>
          <w:rFonts w:eastAsia="Calibri" w:cs="Times New Roman"/>
          <w:i/>
          <w:iCs/>
          <w:szCs w:val="24"/>
        </w:rPr>
        <w:t xml:space="preserve">id. </w:t>
      </w:r>
      <w:r w:rsidRPr="00842D3D">
        <w:rPr>
          <w:rFonts w:eastAsia="Calibri" w:cs="Times New Roman"/>
          <w:szCs w:val="24"/>
        </w:rPr>
        <w:t xml:space="preserve">at 826 n.4 (emphasis in original) (citing </w:t>
      </w:r>
      <w:r w:rsidRPr="00842D3D">
        <w:rPr>
          <w:rFonts w:eastAsia="Calibri" w:cs="Times New Roman"/>
          <w:i/>
          <w:iCs/>
          <w:szCs w:val="24"/>
        </w:rPr>
        <w:t>Whalen v. McMullen</w:t>
      </w:r>
      <w:r w:rsidRPr="00842D3D">
        <w:rPr>
          <w:rFonts w:eastAsia="Calibri" w:cs="Times New Roman"/>
          <w:szCs w:val="24"/>
        </w:rPr>
        <w:t>, 907 F.3d 1139, 1147-48 (9th Cir. 2018)).</w:t>
      </w:r>
    </w:p>
    <w:p w14:paraId="60CFD129" w14:textId="77777777" w:rsidR="00842D3D" w:rsidRPr="00842D3D" w:rsidRDefault="00842D3D" w:rsidP="00842D3D">
      <w:pPr>
        <w:autoSpaceDE w:val="0"/>
        <w:autoSpaceDN w:val="0"/>
        <w:adjustRightInd w:val="0"/>
        <w:rPr>
          <w:rFonts w:eastAsia="Calibri" w:cs="Times New Roman"/>
          <w:szCs w:val="24"/>
        </w:rPr>
      </w:pPr>
    </w:p>
    <w:p w14:paraId="1F98049D"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p>
    <w:p w14:paraId="25F5B209" w14:textId="396233B8" w:rsidR="00842D3D" w:rsidRPr="00842D3D" w:rsidRDefault="00842D3D" w:rsidP="00FF121D">
      <w:pPr>
        <w:pStyle w:val="Heading2"/>
      </w:pPr>
      <w:r w:rsidRPr="00842D3D">
        <w:br w:type="page"/>
      </w:r>
      <w:bookmarkStart w:id="162" w:name="_Toc221525181"/>
      <w:r w:rsidRPr="00842D3D">
        <w:lastRenderedPageBreak/>
        <w:t>9.1</w:t>
      </w:r>
      <w:r w:rsidR="005F1850">
        <w:t>7</w:t>
      </w:r>
      <w:r w:rsidRPr="00842D3D">
        <w:t xml:space="preserve"> Particular Rights—Fourth Amendment—Unreasonable Search—Exception to Warrant Requirement—Exigent Circumstances</w:t>
      </w:r>
      <w:bookmarkEnd w:id="162"/>
    </w:p>
    <w:p w14:paraId="5DBBC32F" w14:textId="77777777" w:rsidR="00842D3D" w:rsidRPr="00842D3D" w:rsidRDefault="00842D3D" w:rsidP="00842D3D">
      <w:pPr>
        <w:autoSpaceDE w:val="0"/>
        <w:autoSpaceDN w:val="0"/>
        <w:adjustRightInd w:val="0"/>
        <w:rPr>
          <w:rFonts w:eastAsia="Calibri" w:cs="Times New Roman"/>
          <w:szCs w:val="24"/>
        </w:rPr>
      </w:pPr>
    </w:p>
    <w:p w14:paraId="073BB9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w:t>
      </w:r>
    </w:p>
    <w:p w14:paraId="194BB5B1" w14:textId="77777777" w:rsidR="00842D3D" w:rsidRPr="00842D3D" w:rsidRDefault="00842D3D" w:rsidP="00842D3D">
      <w:pPr>
        <w:autoSpaceDE w:val="0"/>
        <w:autoSpaceDN w:val="0"/>
        <w:adjustRightInd w:val="0"/>
        <w:rPr>
          <w:rFonts w:eastAsia="Calibri" w:cs="Times New Roman"/>
          <w:szCs w:val="24"/>
        </w:rPr>
      </w:pPr>
    </w:p>
    <w:p w14:paraId="088606F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18C700E3" w14:textId="77777777" w:rsidR="00842D3D" w:rsidRPr="00842D3D" w:rsidRDefault="00842D3D" w:rsidP="00842D3D">
      <w:pPr>
        <w:autoSpaceDE w:val="0"/>
        <w:autoSpaceDN w:val="0"/>
        <w:adjustRightInd w:val="0"/>
        <w:rPr>
          <w:rFonts w:eastAsia="Calibri" w:cs="Times New Roman"/>
          <w:szCs w:val="24"/>
        </w:rPr>
      </w:pPr>
    </w:p>
    <w:p w14:paraId="2579CA4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at the time the officer made the entry or the search, the officer had probable cause to believe that a crime had been or was being committed; and</w:t>
      </w:r>
    </w:p>
    <w:p w14:paraId="4C52AA8A" w14:textId="77777777" w:rsidR="00842D3D" w:rsidRPr="00842D3D" w:rsidRDefault="00842D3D" w:rsidP="00842D3D">
      <w:pPr>
        <w:autoSpaceDE w:val="0"/>
        <w:autoSpaceDN w:val="0"/>
        <w:adjustRightInd w:val="0"/>
        <w:rPr>
          <w:rFonts w:eastAsia="Calibri" w:cs="Times New Roman"/>
          <w:szCs w:val="24"/>
        </w:rPr>
      </w:pPr>
    </w:p>
    <w:p w14:paraId="1A653D50"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there was insufficient time to get a search warrant. </w:t>
      </w:r>
    </w:p>
    <w:p w14:paraId="38EDDCFC"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ab/>
      </w:r>
    </w:p>
    <w:p w14:paraId="18438ED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r>
    </w:p>
    <w:p w14:paraId="72CC433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w:t>
      </w:r>
    </w:p>
    <w:p w14:paraId="213AB4A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time, an objectively reasonable police officer would conclude there is a fair probability that</w:t>
      </w:r>
    </w:p>
    <w:p w14:paraId="6430217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plaintiff has committed or was committing a crime.</w:t>
      </w:r>
    </w:p>
    <w:p w14:paraId="25817734"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72C6C19B"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4DFE4E98"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3019FDA7"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024C0B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p>
    <w:p w14:paraId="4D030107" w14:textId="6B1E17D5"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w:t>
      </w:r>
    </w:p>
    <w:p w14:paraId="074B58D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bookmarkStart w:id="163" w:name="_Hlk203554400"/>
    </w:p>
    <w:p w14:paraId="709AF349"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bookmarkEnd w:id="163"/>
    <w:p w14:paraId="03741B8E"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851B69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a well-settled exception to the warrant requirement that “exigent circumstances” can justify a warrantless search consistent with the Fourth Amendment. </w:t>
      </w:r>
      <w:r w:rsidRPr="00842D3D">
        <w:rPr>
          <w:rFonts w:eastAsia="Calibri" w:cs="Times New Roman"/>
          <w:i/>
          <w:iCs/>
          <w:szCs w:val="24"/>
        </w:rPr>
        <w:t>See Missouri v. McNeely</w:t>
      </w:r>
      <w:r w:rsidRPr="00842D3D">
        <w:rPr>
          <w:rFonts w:eastAsia="Calibri" w:cs="Times New Roman"/>
          <w:szCs w:val="24"/>
        </w:rPr>
        <w:t xml:space="preserve">, 569 U.S. 141, 148-49 (2013)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 (citations omitted)); </w:t>
      </w:r>
      <w:r w:rsidRPr="00842D3D">
        <w:rPr>
          <w:rFonts w:eastAsia="Calibri" w:cs="Times New Roman"/>
          <w:i/>
          <w:iCs/>
          <w:szCs w:val="24"/>
        </w:rPr>
        <w:t>see also Fisher v. City of San Jose</w:t>
      </w:r>
      <w:r w:rsidRPr="00842D3D">
        <w:rPr>
          <w:rFonts w:eastAsia="Calibri" w:cs="Times New Roman"/>
          <w:szCs w:val="24"/>
        </w:rPr>
        <w:t xml:space="preserve">, 558 F.3d 1069, 1076-78 (9th Cir. 2009) (en banc) (discussing exigent circumstances exception to warrant requirement in context of hours-long police standoff). This exception has two requirements: “(1) that the officer had probable cause to search or arrest; and (2) that exigent circumstances justified the warrantless intrusion.”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(citing </w:t>
      </w:r>
      <w:r w:rsidRPr="00842D3D">
        <w:rPr>
          <w:rFonts w:eastAsia="Calibri" w:cs="Times New Roman"/>
          <w:i/>
          <w:iCs/>
          <w:szCs w:val="24"/>
        </w:rPr>
        <w:t>Hopkins v. Bonvicino</w:t>
      </w:r>
      <w:r w:rsidRPr="00842D3D">
        <w:rPr>
          <w:rFonts w:eastAsia="Calibri" w:cs="Times New Roman"/>
          <w:szCs w:val="24"/>
        </w:rPr>
        <w:t xml:space="preserve">, 573 F.3d 752, 766-67 (9th Cir. 2009)), </w:t>
      </w:r>
      <w:r w:rsidRPr="00842D3D">
        <w:rPr>
          <w:rFonts w:eastAsia="Calibri" w:cs="Times New Roman"/>
          <w:i/>
          <w:iCs/>
          <w:szCs w:val="24"/>
        </w:rPr>
        <w:t>rev’d in part on other grounds</w:t>
      </w:r>
      <w:r w:rsidRPr="00842D3D">
        <w:rPr>
          <w:rFonts w:eastAsia="Calibri" w:cs="Times New Roman"/>
          <w:szCs w:val="24"/>
        </w:rPr>
        <w:t xml:space="preserve">, 575 U.S. 600 (2015).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842D3D">
        <w:rPr>
          <w:rFonts w:eastAsia="Calibri" w:cs="Times New Roman"/>
          <w:i/>
          <w:iCs/>
          <w:szCs w:val="24"/>
        </w:rPr>
        <w:t>United States v. Martinez</w:t>
      </w:r>
      <w:r w:rsidRPr="00842D3D">
        <w:rPr>
          <w:rFonts w:eastAsia="Calibri" w:cs="Times New Roman"/>
          <w:szCs w:val="24"/>
        </w:rPr>
        <w:t>, 406 F.3d 1160, 1164 (9th Cir. 2005).</w:t>
      </w:r>
    </w:p>
    <w:p w14:paraId="11D63B1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62A677D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However, officers cannot create the exigency themselves by engaging in conduct that violates the Fourth Amendment. </w:t>
      </w:r>
      <w:r w:rsidRPr="00842D3D">
        <w:rPr>
          <w:rFonts w:eastAsia="Calibri" w:cs="Times New Roman"/>
          <w:i/>
          <w:iCs/>
          <w:szCs w:val="24"/>
        </w:rPr>
        <w:t>See United States v. Lundin</w:t>
      </w:r>
      <w:r w:rsidRPr="00842D3D">
        <w:rPr>
          <w:rFonts w:eastAsia="Calibri" w:cs="Times New Roman"/>
          <w:szCs w:val="24"/>
        </w:rPr>
        <w:t>, 817 F.3d 1151, 1158 (9th</w:t>
      </w:r>
    </w:p>
    <w:p w14:paraId="2751393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Cir. 2016) (citing </w:t>
      </w:r>
      <w:r w:rsidRPr="00842D3D">
        <w:rPr>
          <w:rFonts w:eastAsia="Calibri" w:cs="Times New Roman"/>
          <w:i/>
          <w:iCs/>
          <w:szCs w:val="24"/>
        </w:rPr>
        <w:t>Kentucky v. King</w:t>
      </w:r>
      <w:r w:rsidRPr="00842D3D">
        <w:rPr>
          <w:rFonts w:eastAsia="Calibri" w:cs="Times New Roman"/>
          <w:szCs w:val="24"/>
        </w:rPr>
        <w:t>, 563 U.S. 452, 462 (2011) (holding that officers unlawfully created exigency when (1) their knock caused suspect to make crashing noises inside home that were basis for exigency, and (2) officers were unlawfully standing on curtilage of suspect’s home because it was three a.m. and their only purpose was to arrest defendant)).</w:t>
      </w:r>
    </w:p>
    <w:p w14:paraId="720BF9D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507BD22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(second alteration in original) (internal quotation marks omitted) (quoting </w:t>
      </w:r>
      <w:r w:rsidRPr="00842D3D">
        <w:rPr>
          <w:rFonts w:eastAsia="Calibri" w:cs="Times New Roman"/>
          <w:i/>
          <w:iCs/>
          <w:szCs w:val="24"/>
        </w:rPr>
        <w:t>Hopkins</w:t>
      </w:r>
      <w:r w:rsidRPr="00842D3D">
        <w:rPr>
          <w:rFonts w:eastAsia="Calibri" w:cs="Times New Roman"/>
          <w:szCs w:val="24"/>
        </w:rPr>
        <w:t xml:space="preserve">, 573 F.3d at 763). Furthermore, whether a law enforcement officer faced an exigency “must be viewed from the totality of the circumstances known to the officers at the time of the warrantless intrusion.” </w:t>
      </w:r>
      <w:r w:rsidRPr="00842D3D">
        <w:rPr>
          <w:rFonts w:eastAsia="Calibri" w:cs="Times New Roman"/>
          <w:i/>
          <w:iCs/>
          <w:szCs w:val="24"/>
        </w:rPr>
        <w:t xml:space="preserve">Id. </w:t>
      </w:r>
      <w:r w:rsidRPr="00842D3D">
        <w:rPr>
          <w:rFonts w:eastAsia="Calibri" w:cs="Times New Roman"/>
          <w:szCs w:val="24"/>
        </w:rPr>
        <w:t xml:space="preserve">at 535 (quoting </w:t>
      </w:r>
      <w:r w:rsidRPr="00842D3D">
        <w:rPr>
          <w:rFonts w:eastAsia="Calibri" w:cs="Times New Roman"/>
          <w:i/>
          <w:iCs/>
          <w:szCs w:val="24"/>
        </w:rPr>
        <w:t>United States v. Licata</w:t>
      </w:r>
      <w:r w:rsidRPr="00842D3D">
        <w:rPr>
          <w:rFonts w:eastAsia="Calibri" w:cs="Times New Roman"/>
          <w:szCs w:val="24"/>
        </w:rPr>
        <w:t xml:space="preserve">, 761 F.2d 537, 543 (9th Cir. 1985)); </w:t>
      </w:r>
      <w:r w:rsidRPr="00842D3D">
        <w:rPr>
          <w:rFonts w:eastAsia="Calibri" w:cs="Times New Roman"/>
          <w:i/>
          <w:iCs/>
          <w:szCs w:val="24"/>
        </w:rPr>
        <w:t>see McNeely</w:t>
      </w:r>
      <w:r w:rsidRPr="00842D3D">
        <w:rPr>
          <w:rFonts w:eastAsia="Calibri" w:cs="Times New Roman"/>
          <w:szCs w:val="24"/>
        </w:rPr>
        <w:t>, 569 U.S. at 149 (“To determine whether a law enforcement officer faced an emergency that justified acting without a warrant, this Court looks to the totality of circumstances.”).</w:t>
      </w:r>
    </w:p>
    <w:p w14:paraId="39399BCD" w14:textId="77777777" w:rsidR="00842D3D" w:rsidRPr="00842D3D" w:rsidRDefault="00842D3D" w:rsidP="00842D3D">
      <w:pPr>
        <w:ind w:firstLine="720"/>
        <w:rPr>
          <w:rFonts w:eastAsia="Calibri" w:cs="Times New Roman"/>
          <w:szCs w:val="24"/>
        </w:rPr>
      </w:pPr>
    </w:p>
    <w:p w14:paraId="43F3DE08" w14:textId="01063F8B" w:rsidR="006512C4" w:rsidRDefault="00842D3D" w:rsidP="00842D3D">
      <w:pPr>
        <w:ind w:firstLine="720"/>
        <w:rPr>
          <w:rFonts w:eastAsia="Calibri" w:cs="Times New Roman"/>
          <w:szCs w:val="24"/>
        </w:rPr>
      </w:pPr>
      <w:r w:rsidRPr="00842D3D">
        <w:rPr>
          <w:rFonts w:eastAsia="Calibri" w:cs="Times New Roman"/>
          <w:szCs w:val="24"/>
        </w:rPr>
        <w:t xml:space="preserve">The exigency exception may of course be invoked when police are in hot pursuit of a fleeing suspect. </w:t>
      </w:r>
      <w:r w:rsidRPr="00842D3D">
        <w:rPr>
          <w:rFonts w:eastAsia="Calibri" w:cs="Times New Roman"/>
          <w:i/>
          <w:iCs/>
          <w:szCs w:val="24"/>
        </w:rPr>
        <w:t>See McNeely</w:t>
      </w:r>
      <w:r w:rsidRPr="00842D3D">
        <w:rPr>
          <w:rFonts w:eastAsia="Calibri" w:cs="Times New Roman"/>
          <w:szCs w:val="24"/>
        </w:rPr>
        <w:t xml:space="preserve">, 569 U.S. at 149; </w:t>
      </w:r>
      <w:r w:rsidRPr="00842D3D">
        <w:rPr>
          <w:rFonts w:eastAsia="Calibri" w:cs="Times New Roman"/>
          <w:i/>
          <w:iCs/>
          <w:szCs w:val="24"/>
        </w:rPr>
        <w:t>Fisher</w:t>
      </w:r>
      <w:r w:rsidRPr="00842D3D">
        <w:rPr>
          <w:rFonts w:eastAsia="Calibri" w:cs="Times New Roman"/>
          <w:szCs w:val="24"/>
        </w:rPr>
        <w:t xml:space="preserve">, 558 F.3d at 1082. “[A] ‘hot pursuit’ excuses a warrantless intrusion into the home only if the ‘officers [were] in “immediate” and “continuous” pursuit of a suspect from the scene of the crime’ at the moment they made entry.” </w:t>
      </w:r>
      <w:r w:rsidRPr="00842D3D">
        <w:rPr>
          <w:rFonts w:eastAsia="Calibri" w:cs="Times New Roman"/>
          <w:i/>
          <w:szCs w:val="24"/>
        </w:rPr>
        <w:t>Newman v. Underhill</w:t>
      </w:r>
      <w:r w:rsidRPr="00842D3D">
        <w:rPr>
          <w:rFonts w:eastAsia="Calibri" w:cs="Times New Roman"/>
          <w:szCs w:val="24"/>
        </w:rPr>
        <w:t xml:space="preserve">, 134 F.4th 1025, 1032 (9th Cir. 2025) (quoting </w:t>
      </w:r>
      <w:r w:rsidRPr="00842D3D">
        <w:rPr>
          <w:rFonts w:eastAsia="Calibri" w:cs="Times New Roman"/>
          <w:i/>
          <w:szCs w:val="24"/>
        </w:rPr>
        <w:t>United States v. Johnson</w:t>
      </w:r>
      <w:r w:rsidRPr="00842D3D">
        <w:rPr>
          <w:rFonts w:eastAsia="Calibri" w:cs="Times New Roman"/>
          <w:szCs w:val="24"/>
        </w:rPr>
        <w:t xml:space="preserve">, 256 F.3d 895, 907 (9th Cir. 2001) (en banc)). In other words, the “hot pursuit” exception has an </w:t>
      </w:r>
      <w:r w:rsidRPr="00842D3D">
        <w:rPr>
          <w:rFonts w:eastAsia="Calibri" w:cs="Times New Roman"/>
          <w:szCs w:val="24"/>
        </w:rPr>
        <w:lastRenderedPageBreak/>
        <w:t xml:space="preserve">immediacy requirement and a continuity requirement. </w:t>
      </w:r>
      <w:r w:rsidRPr="00842D3D">
        <w:rPr>
          <w:rFonts w:eastAsia="Calibri" w:cs="Times New Roman"/>
          <w:i/>
          <w:szCs w:val="24"/>
        </w:rPr>
        <w:t>Id.</w:t>
      </w:r>
      <w:r w:rsidRPr="00842D3D">
        <w:rPr>
          <w:rFonts w:eastAsia="Calibri" w:cs="Times New Roman"/>
          <w:szCs w:val="24"/>
        </w:rPr>
        <w:t xml:space="preserve"> Not all delays extinguish continuity. </w:t>
      </w:r>
      <w:r w:rsidRPr="00842D3D">
        <w:rPr>
          <w:rFonts w:eastAsia="Calibri" w:cs="Times New Roman"/>
          <w:i/>
          <w:szCs w:val="24"/>
        </w:rPr>
        <w:t>See id.</w:t>
      </w:r>
      <w:r w:rsidRPr="00842D3D">
        <w:rPr>
          <w:rFonts w:eastAsia="Calibri" w:cs="Times New Roman"/>
          <w:szCs w:val="24"/>
        </w:rPr>
        <w:t xml:space="preserve"> (noting that “in certain circumstances,” the decision to wait for backup delays, rather than breaks, the chase’s continuity)</w:t>
      </w:r>
      <w:r w:rsidR="006512C4">
        <w:rPr>
          <w:rFonts w:eastAsia="Calibri" w:cs="Times New Roman"/>
          <w:szCs w:val="24"/>
        </w:rPr>
        <w:t xml:space="preserve">; </w:t>
      </w:r>
      <w:r w:rsidR="006512C4" w:rsidRPr="00251BB7">
        <w:rPr>
          <w:rFonts w:eastAsia="Calibri" w:cs="Times New Roman"/>
          <w:i/>
          <w:iCs/>
          <w:szCs w:val="24"/>
        </w:rPr>
        <w:t>but see Jones v. City of N. Las Vegas</w:t>
      </w:r>
      <w:r w:rsidR="006512C4" w:rsidRPr="00251BB7">
        <w:rPr>
          <w:rFonts w:eastAsia="Calibri" w:cs="Times New Roman"/>
          <w:szCs w:val="24"/>
        </w:rPr>
        <w:t>, 150 F.4th 1030, 1033 (9th</w:t>
      </w:r>
      <w:r w:rsidR="006512C4" w:rsidRPr="00251BB7">
        <w:rPr>
          <w:rFonts w:eastAsia="Calibri" w:cs="Times New Roman"/>
          <w:i/>
          <w:iCs/>
          <w:szCs w:val="24"/>
        </w:rPr>
        <w:t xml:space="preserve"> </w:t>
      </w:r>
      <w:r w:rsidR="006512C4" w:rsidRPr="00251BB7">
        <w:rPr>
          <w:rFonts w:eastAsia="Calibri" w:cs="Times New Roman"/>
          <w:szCs w:val="24"/>
        </w:rPr>
        <w:t>Cir. 2025) (holding that “a pursuit is at best lukewarm, and certainly no longer hot pursuit, when officers lose a suspect’s trail in a residential neighborhood for eighteen minutes”).</w:t>
      </w:r>
    </w:p>
    <w:p w14:paraId="4363C266" w14:textId="77777777" w:rsidR="006512C4" w:rsidRDefault="006512C4" w:rsidP="00842D3D">
      <w:pPr>
        <w:ind w:firstLine="720"/>
        <w:rPr>
          <w:rFonts w:eastAsia="Calibri" w:cs="Times New Roman"/>
          <w:szCs w:val="24"/>
        </w:rPr>
      </w:pPr>
    </w:p>
    <w:p w14:paraId="721AD073" w14:textId="428A0161" w:rsidR="00842D3D" w:rsidRPr="00842D3D" w:rsidRDefault="00842D3D" w:rsidP="00842D3D">
      <w:pPr>
        <w:ind w:firstLine="720"/>
        <w:rPr>
          <w:rFonts w:eastAsia="Calibri" w:cs="Times New Roman"/>
          <w:szCs w:val="24"/>
        </w:rPr>
      </w:pPr>
      <w:r w:rsidRPr="00842D3D">
        <w:rPr>
          <w:rFonts w:eastAsia="Calibri" w:cs="Times New Roman"/>
          <w:szCs w:val="24"/>
        </w:rPr>
        <w:t xml:space="preserve">To determine whether a chase’s continuity has been delayed instead of broken, two considerations are relevant: (1) “whether, and to what degree, the officers lost track of the suspect’s whereabouts” and (2) “whether the officers, after losing sight of the suspect, continued to act with speed in attempting to apprehend the suspect.” </w:t>
      </w:r>
      <w:r w:rsidRPr="00842D3D">
        <w:rPr>
          <w:rFonts w:eastAsia="Calibri" w:cs="Times New Roman"/>
          <w:i/>
          <w:szCs w:val="24"/>
        </w:rPr>
        <w:t>Id.</w:t>
      </w:r>
      <w:r w:rsidRPr="00842D3D">
        <w:rPr>
          <w:rFonts w:eastAsia="Calibri" w:cs="Times New Roman"/>
          <w:szCs w:val="24"/>
        </w:rPr>
        <w:t xml:space="preserve"> at 1032-33. Timing is relevant to both considerations. </w:t>
      </w:r>
      <w:r w:rsidRPr="00842D3D">
        <w:rPr>
          <w:rFonts w:eastAsia="Calibri" w:cs="Times New Roman"/>
          <w:i/>
          <w:szCs w:val="24"/>
        </w:rPr>
        <w:t>Id.</w:t>
      </w:r>
      <w:r w:rsidRPr="00842D3D">
        <w:rPr>
          <w:rFonts w:eastAsia="Calibri" w:cs="Times New Roman"/>
          <w:szCs w:val="24"/>
        </w:rPr>
        <w:t xml:space="preserve"> at 1033. It should also be noted that exigent circumstances will rarely justify entry without a warrant while in hot pursuit of a fleeing misdemeanant. </w:t>
      </w:r>
      <w:r w:rsidRPr="00842D3D">
        <w:rPr>
          <w:rFonts w:eastAsia="Calibri" w:cs="Times New Roman"/>
          <w:i/>
          <w:iCs/>
          <w:szCs w:val="24"/>
        </w:rPr>
        <w:t>See Stanton v. Sims</w:t>
      </w:r>
      <w:r w:rsidRPr="00842D3D">
        <w:rPr>
          <w:rFonts w:eastAsia="Calibri" w:cs="Times New Roman"/>
          <w:szCs w:val="24"/>
        </w:rPr>
        <w:t xml:space="preserve">, 571 U.S. 3, 7-10 (2013) (concluding that the officer was entitled to qualified immunity, yet emphasizing that prior Court precedent “held not that warrantless entry to arrest a misdemeanant is never justified, but only that such entry should be rare”); </w:t>
      </w:r>
      <w:r w:rsidRPr="00842D3D">
        <w:rPr>
          <w:rFonts w:eastAsia="Calibri" w:cs="Times New Roman"/>
          <w:i/>
          <w:iCs/>
          <w:szCs w:val="24"/>
        </w:rPr>
        <w:t>see also Lange v. California</w:t>
      </w:r>
      <w:r w:rsidRPr="00842D3D">
        <w:rPr>
          <w:rFonts w:eastAsia="Calibri" w:cs="Times New Roman"/>
          <w:szCs w:val="24"/>
        </w:rPr>
        <w:t>, 594 U.S. 295, 306 (2021) (“This Court has held that when a minor offense alone is involved, police officers do not usually face the kind of emergency that can justify a warrantless home entry.”).</w:t>
      </w:r>
    </w:p>
    <w:p w14:paraId="09BBC8D6"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414735E" w14:textId="1E64E5BA"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The Supreme Court has also ruled that the natural dissipation of alcohol in the blood does not establish a </w:t>
      </w:r>
      <w:r w:rsidRPr="00842D3D">
        <w:rPr>
          <w:rFonts w:eastAsia="Calibri" w:cs="Times New Roman"/>
          <w:i/>
          <w:iCs/>
          <w:szCs w:val="24"/>
        </w:rPr>
        <w:t>per se</w:t>
      </w:r>
      <w:r w:rsidRPr="00842D3D">
        <w:rPr>
          <w:rFonts w:eastAsia="Calibri" w:cs="Times New Roman"/>
          <w:szCs w:val="24"/>
        </w:rPr>
        <w:t xml:space="preserve"> exigency, and that “[w]hether a warrantless blood test of a drunk-driving suspect is reasonable must be determined case by case based on the totality of the circumstances.”</w:t>
      </w:r>
      <w:r w:rsidRPr="00842D3D">
        <w:rPr>
          <w:rFonts w:eastAsia="Calibri" w:cs="Times New Roman"/>
          <w:i/>
          <w:iCs/>
          <w:szCs w:val="24"/>
        </w:rPr>
        <w:t xml:space="preserve"> McNeely</w:t>
      </w:r>
      <w:r w:rsidRPr="00842D3D">
        <w:rPr>
          <w:rFonts w:eastAsia="Calibri" w:cs="Times New Roman"/>
          <w:szCs w:val="24"/>
        </w:rPr>
        <w:t xml:space="preserve">, 569 U.S. at 156; </w:t>
      </w:r>
      <w:r w:rsidRPr="00842D3D">
        <w:rPr>
          <w:rFonts w:eastAsia="Calibri" w:cs="Times New Roman"/>
          <w:i/>
          <w:iCs/>
          <w:szCs w:val="24"/>
        </w:rPr>
        <w:t>cf.</w:t>
      </w:r>
      <w:r w:rsidRPr="00842D3D">
        <w:rPr>
          <w:rFonts w:eastAsia="Calibri" w:cs="Times New Roman"/>
          <w:szCs w:val="24"/>
        </w:rPr>
        <w:t xml:space="preserve"> Instruction 9.1</w:t>
      </w:r>
      <w:r w:rsidR="00CA163C">
        <w:rPr>
          <w:rFonts w:eastAsia="Calibri" w:cs="Times New Roman"/>
          <w:szCs w:val="24"/>
        </w:rPr>
        <w:t>4</w:t>
      </w:r>
      <w:r w:rsidRPr="00842D3D">
        <w:rPr>
          <w:rFonts w:eastAsia="Calibri" w:cs="Times New Roman"/>
          <w:szCs w:val="24"/>
        </w:rPr>
        <w:t xml:space="preserve"> (Particular Rights—Fourth Amendment—Unreasonable Search—Exception to Warrant Requirement—Search Incident to Arrest).</w:t>
      </w:r>
    </w:p>
    <w:p w14:paraId="1F9A846A"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5D690E1" w14:textId="33E1124A"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9.2</w:t>
      </w:r>
      <w:r w:rsidR="00CA163C">
        <w:rPr>
          <w:rFonts w:eastAsia="Calibri" w:cs="Times New Roman"/>
          <w:szCs w:val="24"/>
        </w:rPr>
        <w:t>7</w:t>
      </w:r>
      <w:r w:rsidRPr="00842D3D">
        <w:rPr>
          <w:rFonts w:eastAsia="Calibri" w:cs="Times New Roman"/>
          <w:szCs w:val="24"/>
        </w:rPr>
        <w:t xml:space="preserve"> (Particular Rights—Fourth Amendment—Unreasonable Seizure of Person—Excessive Force).</w:t>
      </w:r>
    </w:p>
    <w:p w14:paraId="1380CE53"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4F77FDA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494BA02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754CBF6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C56CEB2" w14:textId="711D9A46"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r w:rsidR="006512C4">
        <w:rPr>
          <w:rFonts w:eastAsia="Calibri" w:cs="Times New Roman"/>
          <w:i/>
          <w:iCs/>
          <w:szCs w:val="24"/>
        </w:rPr>
        <w:t>December</w:t>
      </w:r>
      <w:r w:rsidRPr="00842D3D">
        <w:rPr>
          <w:rFonts w:eastAsia="Calibri" w:cs="Times New Roman"/>
          <w:i/>
          <w:iCs/>
          <w:szCs w:val="24"/>
        </w:rPr>
        <w:t xml:space="preserve"> 2025</w:t>
      </w:r>
    </w:p>
    <w:p w14:paraId="49445037" w14:textId="139F5240" w:rsidR="00842D3D" w:rsidRPr="00842D3D" w:rsidRDefault="00842D3D" w:rsidP="00FF121D">
      <w:pPr>
        <w:pStyle w:val="Heading2"/>
      </w:pPr>
      <w:r w:rsidRPr="00842D3D">
        <w:br w:type="page"/>
      </w:r>
      <w:bookmarkStart w:id="164" w:name="_Toc221525182"/>
      <w:r w:rsidRPr="00842D3D">
        <w:lastRenderedPageBreak/>
        <w:t>9.1</w:t>
      </w:r>
      <w:r w:rsidR="005F1850">
        <w:t>8</w:t>
      </w:r>
      <w:r w:rsidRPr="00842D3D">
        <w:t xml:space="preserve"> Particular Rights—Fourth Amendment—Unreasonable Search—Exception to Warrant Requirement—Emergency Aid</w:t>
      </w:r>
      <w:bookmarkEnd w:id="164"/>
    </w:p>
    <w:p w14:paraId="5CC627BE" w14:textId="77777777" w:rsidR="00842D3D" w:rsidRPr="00842D3D" w:rsidRDefault="00842D3D" w:rsidP="00842D3D">
      <w:pPr>
        <w:autoSpaceDE w:val="0"/>
        <w:autoSpaceDN w:val="0"/>
        <w:adjustRightInd w:val="0"/>
        <w:rPr>
          <w:rFonts w:eastAsia="Calibri" w:cs="Times New Roman"/>
          <w:szCs w:val="24"/>
        </w:rPr>
      </w:pPr>
    </w:p>
    <w:p w14:paraId="38EF9517"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 under all of the circumstances:</w:t>
      </w:r>
    </w:p>
    <w:p w14:paraId="5A3770DD" w14:textId="77777777" w:rsidR="00842D3D" w:rsidRPr="00842D3D" w:rsidRDefault="00842D3D" w:rsidP="00842D3D">
      <w:pPr>
        <w:autoSpaceDE w:val="0"/>
        <w:autoSpaceDN w:val="0"/>
        <w:adjustRightInd w:val="0"/>
        <w:rPr>
          <w:rFonts w:eastAsia="Calibri" w:cs="Times New Roman"/>
          <w:b/>
          <w:bCs/>
          <w:szCs w:val="24"/>
        </w:rPr>
      </w:pPr>
    </w:p>
    <w:p w14:paraId="1BF1C28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b/>
          <w:bCs/>
          <w:szCs w:val="24"/>
        </w:rPr>
        <w:tab/>
      </w:r>
      <w:r w:rsidRPr="00842D3D">
        <w:rPr>
          <w:rFonts w:eastAsia="Calibri" w:cs="Times New Roman"/>
          <w:szCs w:val="24"/>
        </w:rPr>
        <w:t>(1)</w:t>
      </w:r>
      <w:r w:rsidRPr="00842D3D">
        <w:rPr>
          <w:rFonts w:eastAsia="Calibri" w:cs="Times New Roman"/>
          <w:szCs w:val="24"/>
        </w:rPr>
        <w:tab/>
        <w:t>the officer[s] had objectively reasonable grounds at the time of the entry or the search to believe that there was an emergency at hand and there was an immediate need to protect others or themselves from serious harm; and</w:t>
      </w:r>
    </w:p>
    <w:p w14:paraId="24BF77C7" w14:textId="77777777" w:rsidR="00842D3D" w:rsidRPr="00842D3D" w:rsidRDefault="00842D3D" w:rsidP="00842D3D">
      <w:pPr>
        <w:autoSpaceDE w:val="0"/>
        <w:autoSpaceDN w:val="0"/>
        <w:adjustRightInd w:val="0"/>
        <w:rPr>
          <w:rFonts w:eastAsia="Calibri" w:cs="Times New Roman"/>
          <w:szCs w:val="24"/>
        </w:rPr>
      </w:pPr>
    </w:p>
    <w:p w14:paraId="6062C78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the search’s scope and manner were reasonable to meet the need.</w:t>
      </w:r>
    </w:p>
    <w:p w14:paraId="488CCB99" w14:textId="77777777" w:rsidR="00842D3D" w:rsidRPr="00842D3D" w:rsidRDefault="00842D3D" w:rsidP="00842D3D">
      <w:pPr>
        <w:autoSpaceDE w:val="0"/>
        <w:autoSpaceDN w:val="0"/>
        <w:adjustRightInd w:val="0"/>
        <w:rPr>
          <w:rFonts w:eastAsia="Calibri" w:cs="Times New Roman"/>
          <w:szCs w:val="24"/>
        </w:rPr>
      </w:pPr>
    </w:p>
    <w:p w14:paraId="5C6B92B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 must prove by a preponderance of the evidence that this exception to the warrant requirement does not apply.</w:t>
      </w:r>
    </w:p>
    <w:p w14:paraId="25E819B3" w14:textId="77777777" w:rsidR="00842D3D" w:rsidRPr="00842D3D" w:rsidRDefault="00842D3D" w:rsidP="00842D3D">
      <w:pPr>
        <w:autoSpaceDE w:val="0"/>
        <w:autoSpaceDN w:val="0"/>
        <w:adjustRightInd w:val="0"/>
        <w:rPr>
          <w:rFonts w:eastAsia="Calibri" w:cs="Times New Roman"/>
          <w:szCs w:val="24"/>
        </w:rPr>
      </w:pPr>
    </w:p>
    <w:p w14:paraId="542EA9B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D329CF7" w14:textId="77777777" w:rsidR="00842D3D" w:rsidRPr="00842D3D" w:rsidRDefault="00842D3D" w:rsidP="00842D3D">
      <w:pPr>
        <w:autoSpaceDE w:val="0"/>
        <w:autoSpaceDN w:val="0"/>
        <w:adjustRightInd w:val="0"/>
        <w:rPr>
          <w:rFonts w:eastAsia="Calibri" w:cs="Times New Roman"/>
          <w:szCs w:val="24"/>
        </w:rPr>
      </w:pPr>
    </w:p>
    <w:p w14:paraId="39BC79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w:t>
      </w:r>
    </w:p>
    <w:p w14:paraId="0E8993A6" w14:textId="77777777" w:rsidR="00842D3D" w:rsidRPr="00842D3D" w:rsidRDefault="00842D3D" w:rsidP="00842D3D">
      <w:pPr>
        <w:autoSpaceDE w:val="0"/>
        <w:autoSpaceDN w:val="0"/>
        <w:adjustRightInd w:val="0"/>
        <w:rPr>
          <w:rFonts w:eastAsia="Calibri" w:cs="Times New Roman"/>
          <w:szCs w:val="24"/>
        </w:rPr>
      </w:pPr>
    </w:p>
    <w:p w14:paraId="4EF202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35484FA8" w14:textId="77777777" w:rsidR="00842D3D" w:rsidRPr="00842D3D" w:rsidRDefault="00842D3D" w:rsidP="00842D3D">
      <w:pPr>
        <w:autoSpaceDE w:val="0"/>
        <w:autoSpaceDN w:val="0"/>
        <w:adjustRightInd w:val="0"/>
        <w:rPr>
          <w:rFonts w:eastAsia="Calibri" w:cs="Times New Roman"/>
          <w:szCs w:val="24"/>
        </w:rPr>
      </w:pPr>
    </w:p>
    <w:p w14:paraId="3224A5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842D3D">
        <w:rPr>
          <w:rFonts w:eastAsia="Calibri" w:cs="Times New Roman"/>
          <w:i/>
          <w:iCs/>
          <w:szCs w:val="24"/>
        </w:rPr>
        <w:t>United States v. Snipe</w:t>
      </w:r>
      <w:r w:rsidRPr="00842D3D">
        <w:rPr>
          <w:rFonts w:eastAsia="Calibri" w:cs="Times New Roman"/>
          <w:szCs w:val="24"/>
        </w:rPr>
        <w:t xml:space="preserve">, 515 F.3d 947, 951 (9th Cir. 2008) (quoting </w:t>
      </w:r>
      <w:r w:rsidRPr="00842D3D">
        <w:rPr>
          <w:rFonts w:eastAsia="Calibri" w:cs="Times New Roman"/>
          <w:i/>
          <w:iCs/>
          <w:szCs w:val="24"/>
        </w:rPr>
        <w:t>Brigham City v. Stuart</w:t>
      </w:r>
      <w:r w:rsidRPr="00842D3D">
        <w:rPr>
          <w:rFonts w:eastAsia="Calibri" w:cs="Times New Roman"/>
          <w:szCs w:val="24"/>
        </w:rPr>
        <w:t xml:space="preserve">, 547 U.S. 398, 403 (2006)); </w:t>
      </w:r>
      <w:r w:rsidRPr="00842D3D">
        <w:rPr>
          <w:rFonts w:eastAsia="Calibri" w:cs="Times New Roman"/>
          <w:i/>
          <w:iCs/>
          <w:szCs w:val="24"/>
        </w:rPr>
        <w:t>see also Bonivert v. City of Clarkston</w:t>
      </w:r>
      <w:r w:rsidRPr="00842D3D">
        <w:rPr>
          <w:rFonts w:eastAsia="Calibri" w:cs="Times New Roman"/>
          <w:szCs w:val="24"/>
        </w:rPr>
        <w:t xml:space="preserve">, 883 F.3d 865, 877 (9th Cir. 2018) (noting that “the emergency exception is ‘narrow’ and ‘rigorously guarded’”). </w:t>
      </w:r>
    </w:p>
    <w:p w14:paraId="42E21561" w14:textId="77777777" w:rsidR="00842D3D" w:rsidRPr="00842D3D" w:rsidRDefault="00842D3D" w:rsidP="00842D3D">
      <w:pPr>
        <w:autoSpaceDE w:val="0"/>
        <w:autoSpaceDN w:val="0"/>
        <w:adjustRightInd w:val="0"/>
        <w:rPr>
          <w:rFonts w:eastAsia="Calibri" w:cs="Times New Roman"/>
          <w:szCs w:val="24"/>
        </w:rPr>
      </w:pPr>
    </w:p>
    <w:p w14:paraId="765AF6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emergency doctrine recognizes that police function as community caretakers in addition to their roles as criminal investigators and law enforcers.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w:t>
      </w:r>
    </w:p>
    <w:p w14:paraId="1AA19CFF" w14:textId="77777777" w:rsidR="00842D3D" w:rsidRPr="00842D3D" w:rsidRDefault="00842D3D" w:rsidP="00842D3D">
      <w:pPr>
        <w:autoSpaceDE w:val="0"/>
        <w:autoSpaceDN w:val="0"/>
        <w:adjustRightInd w:val="0"/>
        <w:rPr>
          <w:rFonts w:eastAsia="Calibri" w:cs="Times New Roman"/>
          <w:szCs w:val="24"/>
        </w:rPr>
      </w:pPr>
    </w:p>
    <w:p w14:paraId="451094E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w:t>
      </w:r>
      <w:r w:rsidRPr="00842D3D">
        <w:rPr>
          <w:rFonts w:eastAsia="Calibri" w:cs="Times New Roman"/>
          <w:i/>
          <w:iCs/>
          <w:szCs w:val="24"/>
        </w:rPr>
        <w:t>rev’d in part on other grounds</w:t>
      </w:r>
      <w:r w:rsidRPr="00842D3D">
        <w:rPr>
          <w:rFonts w:eastAsia="Calibri" w:cs="Times New Roman"/>
          <w:szCs w:val="24"/>
        </w:rPr>
        <w:t xml:space="preserve">, 575 U.S. 600 (2015) (quoting </w:t>
      </w:r>
      <w:r w:rsidRPr="00842D3D">
        <w:rPr>
          <w:rFonts w:eastAsia="Calibri" w:cs="Times New Roman"/>
          <w:i/>
          <w:iCs/>
          <w:szCs w:val="24"/>
        </w:rPr>
        <w:t>Snipe</w:t>
      </w:r>
      <w:r w:rsidRPr="00842D3D">
        <w:rPr>
          <w:rFonts w:eastAsia="Calibri" w:cs="Times New Roman"/>
          <w:szCs w:val="24"/>
        </w:rPr>
        <w:t>, 515 F.3d at 952);</w:t>
      </w:r>
      <w:r w:rsidRPr="00842D3D">
        <w:rPr>
          <w:rFonts w:eastAsia="Calibri" w:cs="Times New Roman"/>
          <w:i/>
          <w:iCs/>
          <w:szCs w:val="24"/>
        </w:rPr>
        <w:t xml:space="preserve"> see also Hopkins v. Bonvicino</w:t>
      </w:r>
      <w:r w:rsidRPr="00842D3D">
        <w:rPr>
          <w:rFonts w:eastAsia="Calibri" w:cs="Times New Roman"/>
          <w:szCs w:val="24"/>
        </w:rPr>
        <w:t>, 573 F.3d 752, 763-66 (9th Cir. 2009) (explaining difference between emergency and related exigency exceptions).</w:t>
      </w:r>
    </w:p>
    <w:p w14:paraId="282DAA47" w14:textId="77777777" w:rsidR="00842D3D" w:rsidRPr="00842D3D" w:rsidRDefault="00842D3D" w:rsidP="00842D3D">
      <w:pPr>
        <w:autoSpaceDE w:val="0"/>
        <w:autoSpaceDN w:val="0"/>
        <w:adjustRightInd w:val="0"/>
        <w:rPr>
          <w:rFonts w:eastAsia="Calibri" w:cs="Times New Roman"/>
          <w:szCs w:val="24"/>
        </w:rPr>
      </w:pPr>
    </w:p>
    <w:p w14:paraId="7AEA3464" w14:textId="103A554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9.2</w:t>
      </w:r>
      <w:r w:rsidR="00047AF1">
        <w:rPr>
          <w:rFonts w:eastAsia="Calibri" w:cs="Times New Roman"/>
          <w:szCs w:val="24"/>
        </w:rPr>
        <w:t xml:space="preserve">7 </w:t>
      </w:r>
      <w:r w:rsidRPr="00842D3D">
        <w:rPr>
          <w:rFonts w:eastAsia="Calibri" w:cs="Times New Roman"/>
          <w:szCs w:val="24"/>
        </w:rPr>
        <w:t>(Particular Rights—Fourth Amendment—Unreasonable Seizure of Person—Excessive Force).</w:t>
      </w:r>
    </w:p>
    <w:p w14:paraId="05E8CEED" w14:textId="77777777" w:rsidR="00842D3D" w:rsidRPr="00842D3D" w:rsidRDefault="00842D3D" w:rsidP="00842D3D">
      <w:pPr>
        <w:autoSpaceDE w:val="0"/>
        <w:autoSpaceDN w:val="0"/>
        <w:adjustRightInd w:val="0"/>
        <w:rPr>
          <w:rFonts w:eastAsia="Calibri" w:cs="Times New Roman"/>
          <w:szCs w:val="24"/>
        </w:rPr>
      </w:pPr>
    </w:p>
    <w:p w14:paraId="4F57117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5A460B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Mueller v. Auker</w:t>
      </w:r>
      <w:r w:rsidRPr="00842D3D">
        <w:rPr>
          <w:rFonts w:eastAsia="Calibri" w:cs="Times New Roman"/>
          <w:szCs w:val="24"/>
        </w:rPr>
        <w:t xml:space="preserve">, 700 F.3d 1180, 1193 (9th Cir. 2012) (placing burden on the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4C2E3E9B" w14:textId="77777777" w:rsidR="00842D3D" w:rsidRPr="00842D3D" w:rsidRDefault="00842D3D" w:rsidP="00842D3D">
      <w:pPr>
        <w:autoSpaceDE w:val="0"/>
        <w:autoSpaceDN w:val="0"/>
        <w:adjustRightInd w:val="0"/>
        <w:rPr>
          <w:rFonts w:eastAsia="Calibri" w:cs="Times New Roman"/>
          <w:szCs w:val="24"/>
        </w:rPr>
      </w:pPr>
    </w:p>
    <w:p w14:paraId="2524A204" w14:textId="77777777" w:rsidR="00842D3D" w:rsidRPr="00842D3D" w:rsidRDefault="00842D3D" w:rsidP="00842D3D">
      <w:pPr>
        <w:autoSpaceDE w:val="0"/>
        <w:autoSpaceDN w:val="0"/>
        <w:adjustRightInd w:val="0"/>
        <w:rPr>
          <w:rFonts w:eastAsia="Calibri" w:cs="Times New Roman"/>
          <w:szCs w:val="24"/>
        </w:rPr>
      </w:pPr>
    </w:p>
    <w:p w14:paraId="096847E7"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009B113C" w14:textId="77777777" w:rsidR="00842D3D" w:rsidRPr="00842D3D" w:rsidRDefault="00842D3D" w:rsidP="00842D3D">
      <w:pPr>
        <w:autoSpaceDE w:val="0"/>
        <w:autoSpaceDN w:val="0"/>
        <w:adjustRightInd w:val="0"/>
        <w:rPr>
          <w:rFonts w:eastAsia="Calibri" w:cs="Times New Roman"/>
          <w:szCs w:val="24"/>
        </w:rPr>
      </w:pPr>
    </w:p>
    <w:p w14:paraId="57F0D3A2" w14:textId="4CCCA992" w:rsidR="00842D3D" w:rsidRPr="00842D3D" w:rsidRDefault="00842D3D" w:rsidP="00FF121D">
      <w:pPr>
        <w:pStyle w:val="Heading2"/>
      </w:pPr>
      <w:r w:rsidRPr="00842D3D">
        <w:br w:type="page"/>
      </w:r>
      <w:bookmarkStart w:id="165" w:name="_Toc221525183"/>
      <w:r w:rsidRPr="00842D3D">
        <w:lastRenderedPageBreak/>
        <w:t>9.1</w:t>
      </w:r>
      <w:r w:rsidR="005F1850">
        <w:t>9</w:t>
      </w:r>
      <w:r w:rsidRPr="00842D3D">
        <w:t xml:space="preserve"> Particular Rights—Fourth Amendment—Unreasonable Search— Judicial Deception</w:t>
      </w:r>
      <w:bookmarkEnd w:id="165"/>
    </w:p>
    <w:p w14:paraId="4CF3C777" w14:textId="77777777" w:rsidR="00842D3D" w:rsidRPr="00842D3D" w:rsidRDefault="00842D3D" w:rsidP="00842D3D">
      <w:pPr>
        <w:rPr>
          <w:rFonts w:eastAsia="Calibri" w:cs="Times New Roman"/>
          <w:szCs w:val="24"/>
        </w:rPr>
      </w:pPr>
    </w:p>
    <w:p w14:paraId="3F380E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the defendant[s] [</w:t>
      </w:r>
      <w:r w:rsidRPr="00842D3D">
        <w:rPr>
          <w:rFonts w:eastAsia="Calibri" w:cs="Times New Roman"/>
          <w:i/>
          <w:iCs/>
          <w:szCs w:val="24"/>
          <w:u w:val="single"/>
        </w:rPr>
        <w:t>insert name[s] of defendant[s]</w:t>
      </w:r>
      <w:r w:rsidRPr="00842D3D">
        <w:rPr>
          <w:rFonts w:eastAsia="Calibri" w:cs="Times New Roman"/>
          <w:szCs w:val="24"/>
        </w:rPr>
        <w:t>] intentionally or in reckless disregard of the truth made one or more material misrepresentations or omissions in a search warrant affidavit submitted to a judge.</w:t>
      </w:r>
    </w:p>
    <w:p w14:paraId="649D9263" w14:textId="77777777" w:rsidR="00842D3D" w:rsidRPr="00842D3D" w:rsidRDefault="00842D3D" w:rsidP="00842D3D">
      <w:pPr>
        <w:autoSpaceDE w:val="0"/>
        <w:autoSpaceDN w:val="0"/>
        <w:adjustRightInd w:val="0"/>
        <w:rPr>
          <w:rFonts w:eastAsia="Calibri" w:cs="Times New Roman"/>
          <w:szCs w:val="24"/>
        </w:rPr>
      </w:pPr>
    </w:p>
    <w:p w14:paraId="0C05C2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search of the person’s [person] [residence] [vehicle] [</w:t>
      </w:r>
      <w:r w:rsidRPr="00842D3D">
        <w:rPr>
          <w:rFonts w:eastAsia="Calibri" w:cs="Times New Roman"/>
          <w:i/>
          <w:iCs/>
          <w:szCs w:val="24"/>
          <w:u w:val="single"/>
        </w:rPr>
        <w:t>insert other object of search</w:t>
      </w:r>
      <w:r w:rsidRPr="00842D3D">
        <w:rPr>
          <w:rFonts w:eastAsia="Calibri" w:cs="Times New Roman"/>
          <w:szCs w:val="24"/>
        </w:rPr>
        <w:t>]. In general, a search of a [person] [residence] [vehicle] [</w:t>
      </w:r>
      <w:r w:rsidRPr="00842D3D">
        <w:rPr>
          <w:rFonts w:eastAsia="Calibri" w:cs="Times New Roman"/>
          <w:i/>
          <w:iCs/>
          <w:szCs w:val="24"/>
          <w:u w:val="single"/>
        </w:rPr>
        <w:t>insert other object of search</w:t>
      </w:r>
      <w:r w:rsidRPr="00842D3D">
        <w:rPr>
          <w:rFonts w:eastAsia="Calibri"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540BF61E" w14:textId="77777777" w:rsidR="00842D3D" w:rsidRPr="00842D3D" w:rsidRDefault="00842D3D" w:rsidP="00842D3D">
      <w:pPr>
        <w:autoSpaceDE w:val="0"/>
        <w:autoSpaceDN w:val="0"/>
        <w:adjustRightInd w:val="0"/>
        <w:rPr>
          <w:rFonts w:eastAsia="Calibri" w:cs="Times New Roman"/>
          <w:szCs w:val="24"/>
        </w:rPr>
      </w:pPr>
    </w:p>
    <w:p w14:paraId="69EDBE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0B614C0" w14:textId="77777777" w:rsidR="00842D3D" w:rsidRPr="00842D3D" w:rsidRDefault="00842D3D" w:rsidP="00842D3D">
      <w:pPr>
        <w:autoSpaceDE w:val="0"/>
        <w:autoSpaceDN w:val="0"/>
        <w:adjustRightInd w:val="0"/>
        <w:rPr>
          <w:rFonts w:eastAsia="Calibri" w:cs="Times New Roman"/>
          <w:szCs w:val="24"/>
        </w:rPr>
      </w:pPr>
    </w:p>
    <w:p w14:paraId="4446FECA"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First, the defendant[s] [</w:t>
      </w:r>
      <w:r w:rsidRPr="00842D3D">
        <w:rPr>
          <w:rFonts w:eastAsia="Calibri" w:cs="Times New Roman"/>
          <w:i/>
          <w:iCs/>
          <w:szCs w:val="24"/>
          <w:u w:val="single"/>
        </w:rPr>
        <w:t>insert name[s] of defendant[s]</w:t>
      </w:r>
      <w:r w:rsidRPr="00842D3D">
        <w:rPr>
          <w:rFonts w:eastAsia="Calibri" w:cs="Times New Roman"/>
          <w:szCs w:val="24"/>
        </w:rPr>
        <w:t>] submitted to a judge a warrant affidavit that contained one or more misrepresentations or omissions material to the finding of probable cause; and</w:t>
      </w:r>
    </w:p>
    <w:p w14:paraId="72A95A94"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6604DFBE"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Second, the defendant[s] [</w:t>
      </w:r>
      <w:r w:rsidRPr="00842D3D">
        <w:rPr>
          <w:rFonts w:eastAsia="Calibri" w:cs="Times New Roman"/>
          <w:i/>
          <w:iCs/>
          <w:szCs w:val="24"/>
          <w:u w:val="single"/>
        </w:rPr>
        <w:t>insert name[s] of defendant[s]</w:t>
      </w:r>
      <w:r w:rsidRPr="00842D3D">
        <w:rPr>
          <w:rFonts w:eastAsia="Calibri" w:cs="Times New Roman"/>
          <w:szCs w:val="24"/>
        </w:rPr>
        <w:t>] made those misrepresentations or omissions either intentionally or with reckless disregard for the truth.</w:t>
      </w:r>
    </w:p>
    <w:p w14:paraId="64085F27" w14:textId="77777777" w:rsidR="00842D3D" w:rsidRPr="00842D3D" w:rsidRDefault="00842D3D" w:rsidP="00842D3D">
      <w:pPr>
        <w:autoSpaceDE w:val="0"/>
        <w:autoSpaceDN w:val="0"/>
        <w:adjustRightInd w:val="0"/>
        <w:rPr>
          <w:rFonts w:eastAsia="Calibri" w:cs="Times New Roman"/>
          <w:szCs w:val="24"/>
        </w:rPr>
      </w:pPr>
    </w:p>
    <w:p w14:paraId="303740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show materiality in the context of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demonstrate that the judge would not have issued the warrant if the false information had been excluded (or redacted) or if the omitted or missing information had been included (or restored).</w:t>
      </w:r>
    </w:p>
    <w:p w14:paraId="52C26AD6" w14:textId="77777777" w:rsidR="00842D3D" w:rsidRPr="00842D3D" w:rsidRDefault="00842D3D" w:rsidP="00842D3D">
      <w:pPr>
        <w:autoSpaceDE w:val="0"/>
        <w:autoSpaceDN w:val="0"/>
        <w:adjustRightInd w:val="0"/>
        <w:ind w:firstLine="720"/>
        <w:rPr>
          <w:rFonts w:eastAsia="Calibri" w:cs="Times New Roman"/>
          <w:szCs w:val="24"/>
        </w:rPr>
      </w:pPr>
    </w:p>
    <w:p w14:paraId="07896A1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“Probable cause” exists when, under all of the circumstances known to the officers at the time, an objectively reasonable police officer would conclude there is a fair probability that contraband or evidence of a crime will be found in the place to be searched; a fair probability that the item to be seized is contraband or evidence of a crime; or a fair probability that the person to be seized has committed or was committing a crime.</w:t>
      </w:r>
    </w:p>
    <w:p w14:paraId="3DB6A4E1" w14:textId="77777777" w:rsidR="00842D3D" w:rsidRPr="00842D3D" w:rsidRDefault="00842D3D" w:rsidP="00842D3D">
      <w:pPr>
        <w:autoSpaceDE w:val="0"/>
        <w:autoSpaceDN w:val="0"/>
        <w:adjustRightInd w:val="0"/>
        <w:rPr>
          <w:rFonts w:eastAsia="Calibri" w:cs="Times New Roman"/>
          <w:szCs w:val="24"/>
        </w:rPr>
      </w:pPr>
    </w:p>
    <w:p w14:paraId="22E0270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context of this claim, a “reckless disregard for the truth” means highly unreasonable conduct that is an extreme departure from ordinary care, presenting a danger of misleading a reasonable judge into concluding that probable cause has been established, when </w:t>
      </w:r>
      <w:r w:rsidRPr="00842D3D">
        <w:rPr>
          <w:rFonts w:eastAsia="Calibri" w:cs="Times New Roman"/>
          <w:szCs w:val="24"/>
        </w:rPr>
        <w:lastRenderedPageBreak/>
        <w:t>that danger is either known to the defendant[s] or is so obvious that the defendant[s] must have been aware of it.</w:t>
      </w:r>
    </w:p>
    <w:p w14:paraId="0C450DFC" w14:textId="77777777" w:rsidR="00842D3D" w:rsidRPr="00842D3D" w:rsidRDefault="00842D3D" w:rsidP="00842D3D">
      <w:pPr>
        <w:autoSpaceDE w:val="0"/>
        <w:autoSpaceDN w:val="0"/>
        <w:adjustRightInd w:val="0"/>
        <w:rPr>
          <w:rFonts w:eastAsia="Calibri" w:cs="Times New Roman"/>
          <w:szCs w:val="24"/>
        </w:rPr>
      </w:pPr>
    </w:p>
    <w:p w14:paraId="50362E0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498F8B58" w14:textId="77777777" w:rsidR="00842D3D" w:rsidRPr="00842D3D" w:rsidRDefault="00842D3D" w:rsidP="00842D3D">
      <w:pPr>
        <w:autoSpaceDE w:val="0"/>
        <w:autoSpaceDN w:val="0"/>
        <w:adjustRightInd w:val="0"/>
        <w:jc w:val="center"/>
        <w:rPr>
          <w:rFonts w:eastAsia="Calibri" w:cs="Times New Roman"/>
          <w:szCs w:val="24"/>
        </w:rPr>
      </w:pPr>
    </w:p>
    <w:p w14:paraId="22E184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 from Instructions 9.3-9.8.</w:t>
      </w:r>
    </w:p>
    <w:p w14:paraId="40A6663E" w14:textId="77777777" w:rsidR="00842D3D" w:rsidRPr="00842D3D" w:rsidRDefault="00842D3D" w:rsidP="00842D3D">
      <w:pPr>
        <w:autoSpaceDE w:val="0"/>
        <w:autoSpaceDN w:val="0"/>
        <w:adjustRightInd w:val="0"/>
        <w:rPr>
          <w:rFonts w:eastAsia="Calibri" w:cs="Times New Roman"/>
          <w:szCs w:val="24"/>
        </w:rPr>
      </w:pPr>
    </w:p>
    <w:p w14:paraId="4AAD36A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See Bravo v. City of Santa Maria</w:t>
      </w:r>
      <w:r w:rsidRPr="00842D3D">
        <w:rPr>
          <w:rFonts w:eastAsia="Calibri" w:cs="Times New Roman"/>
          <w:szCs w:val="24"/>
        </w:rPr>
        <w:t xml:space="preserve">, 665 F.3d 1076, 1083-84 (9th Cir. 2011) (stating elements of a civil rights claim based on judicial deception in procuring search warrant); </w:t>
      </w:r>
      <w:r w:rsidRPr="00842D3D">
        <w:rPr>
          <w:rFonts w:eastAsia="Calibri" w:cs="Times New Roman"/>
          <w:i/>
          <w:iCs/>
          <w:szCs w:val="24"/>
        </w:rPr>
        <w:t>Smith v. Almada</w:t>
      </w:r>
      <w:r w:rsidRPr="00842D3D">
        <w:rPr>
          <w:rFonts w:eastAsia="Calibri" w:cs="Times New Roman"/>
          <w:szCs w:val="24"/>
        </w:rPr>
        <w:t xml:space="preserve">, 640 F.3d 931, 937 (9th Cir. 2011) (discussing false arrest claim based on judicial deception in procuring an arrest warrant and also discussing materiality requirement); </w:t>
      </w:r>
      <w:r w:rsidRPr="00842D3D">
        <w:rPr>
          <w:rFonts w:eastAsia="Calibri" w:cs="Times New Roman"/>
          <w:i/>
          <w:iCs/>
          <w:szCs w:val="24"/>
        </w:rPr>
        <w:t>Blight v. City of Manteca</w:t>
      </w:r>
      <w:r w:rsidRPr="00842D3D">
        <w:rPr>
          <w:rFonts w:eastAsia="Calibri" w:cs="Times New Roman"/>
          <w:szCs w:val="24"/>
        </w:rPr>
        <w:t>, 944 F.3d 1061, 1069 (9th Cir. 2019) (stating elements of judicial deception claim including materiality requirement).</w:t>
      </w:r>
    </w:p>
    <w:p w14:paraId="7215C415" w14:textId="77777777" w:rsidR="00842D3D" w:rsidRPr="00842D3D" w:rsidRDefault="00842D3D" w:rsidP="00842D3D">
      <w:pPr>
        <w:autoSpaceDE w:val="0"/>
        <w:autoSpaceDN w:val="0"/>
        <w:adjustRightInd w:val="0"/>
        <w:rPr>
          <w:rFonts w:eastAsia="Calibri" w:cs="Times New Roman"/>
          <w:szCs w:val="24"/>
        </w:rPr>
      </w:pPr>
    </w:p>
    <w:p w14:paraId="481054A9"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358CBB20" w14:textId="5F88FDAF" w:rsidR="00842D3D" w:rsidRPr="00842D3D" w:rsidRDefault="00842D3D" w:rsidP="00FF121D">
      <w:pPr>
        <w:pStyle w:val="Heading2"/>
      </w:pPr>
      <w:r w:rsidRPr="00842D3D">
        <w:br w:type="page"/>
      </w:r>
      <w:bookmarkStart w:id="166" w:name="_Toc221525184"/>
      <w:r w:rsidRPr="00842D3D">
        <w:lastRenderedPageBreak/>
        <w:t>9.</w:t>
      </w:r>
      <w:r w:rsidR="005F1850">
        <w:t>20</w:t>
      </w:r>
      <w:r w:rsidRPr="00842D3D">
        <w:t xml:space="preserve"> Particular Rights—Fourth Amendment—Unreasonable Seizure of Property—Generally</w:t>
      </w:r>
      <w:bookmarkEnd w:id="166"/>
    </w:p>
    <w:p w14:paraId="72F38B65" w14:textId="77777777" w:rsidR="00842D3D" w:rsidRPr="00842D3D" w:rsidRDefault="00842D3D" w:rsidP="00842D3D">
      <w:pPr>
        <w:autoSpaceDE w:val="0"/>
        <w:autoSpaceDN w:val="0"/>
        <w:adjustRightInd w:val="0"/>
        <w:rPr>
          <w:rFonts w:eastAsia="Calibri" w:cs="Times New Roman"/>
          <w:szCs w:val="24"/>
        </w:rPr>
      </w:pPr>
    </w:p>
    <w:p w14:paraId="04379A8E"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 xml:space="preserve">As previously explained, the plaintiff </w:t>
      </w:r>
      <w:bookmarkStart w:id="167" w:name="_Hlk204183779"/>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bookmarkEnd w:id="167"/>
      <w:r w:rsidRPr="00842D3D">
        <w:rPr>
          <w:rFonts w:eastAsia="Calibri" w:cs="Times New Roman"/>
          <w:szCs w:val="24"/>
        </w:rPr>
        <w:t>has the burden of proving that the act[s] of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alleges the defendant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 xml:space="preserve">]. </w:t>
      </w:r>
    </w:p>
    <w:p w14:paraId="6430EC9C" w14:textId="77777777" w:rsidR="00842D3D" w:rsidRPr="00842D3D" w:rsidRDefault="00842D3D" w:rsidP="00842D3D">
      <w:pPr>
        <w:autoSpaceDE w:val="0"/>
        <w:autoSpaceDN w:val="0"/>
        <w:adjustRightInd w:val="0"/>
        <w:rPr>
          <w:rFonts w:eastAsia="Calibri" w:cs="Times New Roman"/>
          <w:szCs w:val="24"/>
        </w:rPr>
      </w:pPr>
    </w:p>
    <w:p w14:paraId="43F211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the person’s property. To prove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388D0318" w14:textId="77777777" w:rsidR="00842D3D" w:rsidRPr="00842D3D" w:rsidRDefault="00842D3D" w:rsidP="00842D3D">
      <w:pPr>
        <w:autoSpaceDE w:val="0"/>
        <w:autoSpaceDN w:val="0"/>
        <w:adjustRightInd w:val="0"/>
        <w:rPr>
          <w:rFonts w:eastAsia="Calibri" w:cs="Times New Roman"/>
          <w:szCs w:val="24"/>
        </w:rPr>
      </w:pPr>
    </w:p>
    <w:p w14:paraId="14BC7BB3"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name[s] of applicable defendant[s]</w:t>
      </w:r>
      <w:r w:rsidRPr="00842D3D">
        <w:rPr>
          <w:rFonts w:eastAsia="Calibri" w:cs="Times New Roman"/>
          <w:szCs w:val="24"/>
        </w:rPr>
        <w:t>] seized the plaintiff’s property;</w:t>
      </w:r>
    </w:p>
    <w:p w14:paraId="1DE23C8C"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B399B62"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in seizing the plaintiff’s property, [</w:t>
      </w:r>
      <w:r w:rsidRPr="00842D3D">
        <w:rPr>
          <w:rFonts w:eastAsia="Calibri" w:cs="Times New Roman"/>
          <w:i/>
          <w:iCs/>
          <w:szCs w:val="24"/>
          <w:u w:val="single"/>
        </w:rPr>
        <w:t>names of same person[s]</w:t>
      </w:r>
      <w:r w:rsidRPr="00842D3D">
        <w:rPr>
          <w:rFonts w:eastAsia="Calibri" w:cs="Times New Roman"/>
          <w:szCs w:val="24"/>
        </w:rPr>
        <w:t>] acted intentionally; and</w:t>
      </w:r>
    </w:p>
    <w:p w14:paraId="3C0AADE2"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0BD822F"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0137F8B4" w14:textId="77777777" w:rsidR="00842D3D" w:rsidRPr="00842D3D" w:rsidRDefault="00842D3D" w:rsidP="00842D3D">
      <w:pPr>
        <w:autoSpaceDE w:val="0"/>
        <w:autoSpaceDN w:val="0"/>
        <w:adjustRightInd w:val="0"/>
        <w:rPr>
          <w:rFonts w:eastAsia="Calibri" w:cs="Times New Roman"/>
          <w:szCs w:val="24"/>
        </w:rPr>
      </w:pPr>
    </w:p>
    <w:p w14:paraId="5B4CC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“seizes” the property of the plaintiff when the person takes possession of or controls the property in a manner that meaningfully interferes with the plaintiff’s right to possess the property.</w:t>
      </w:r>
    </w:p>
    <w:p w14:paraId="2C06ABDD" w14:textId="77777777" w:rsidR="00842D3D" w:rsidRPr="00842D3D" w:rsidRDefault="00842D3D" w:rsidP="00842D3D">
      <w:pPr>
        <w:autoSpaceDE w:val="0"/>
        <w:autoSpaceDN w:val="0"/>
        <w:adjustRightInd w:val="0"/>
        <w:rPr>
          <w:rFonts w:eastAsia="Calibri" w:cs="Times New Roman"/>
          <w:szCs w:val="24"/>
        </w:rPr>
      </w:pPr>
    </w:p>
    <w:p w14:paraId="16FC03F2" w14:textId="77777777" w:rsidR="00842D3D" w:rsidRPr="00842D3D" w:rsidRDefault="00842D3D" w:rsidP="00842D3D">
      <w:pPr>
        <w:autoSpaceDE w:val="0"/>
        <w:autoSpaceDN w:val="0"/>
        <w:adjustRightInd w:val="0"/>
        <w:rPr>
          <w:rFonts w:eastAsia="Calibri" w:cs="Times New Roman"/>
          <w:i/>
          <w:iCs/>
          <w:szCs w:val="24"/>
          <w:u w:val="single"/>
        </w:rPr>
      </w:pPr>
      <w:r w:rsidRPr="00842D3D">
        <w:rPr>
          <w:rFonts w:eastAsia="Calibri" w:cs="Times New Roman"/>
          <w:szCs w:val="24"/>
        </w:rPr>
        <w:tab/>
        <w:t>[A person acts “intentionally” when the person acts with a conscious objective to engage in particular conduct. Therefore, the plaintiff must prove that the defendant intended to [</w:t>
      </w:r>
      <w:r w:rsidRPr="00842D3D">
        <w:rPr>
          <w:rFonts w:eastAsia="Calibri" w:cs="Times New Roman"/>
          <w:i/>
          <w:iCs/>
          <w:szCs w:val="24"/>
          <w:u w:val="single"/>
        </w:rPr>
        <w:t>insert</w:t>
      </w:r>
    </w:p>
    <w:p w14:paraId="5D3019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u w:val="single"/>
        </w:rPr>
        <w:t>the factual basis for the plaintiff’s claim</w:t>
      </w:r>
      <w:r w:rsidRPr="00842D3D">
        <w:rPr>
          <w:rFonts w:eastAsia="Calibri" w:cs="Times New Roman"/>
          <w:szCs w:val="24"/>
        </w:rPr>
        <w:t>]. It is not enough to prove that the defendant</w:t>
      </w:r>
    </w:p>
    <w:p w14:paraId="194B70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negligently or accidentally engaged in that action. But while the plaintiff must prove that the</w:t>
      </w:r>
    </w:p>
    <w:p w14:paraId="7E3A7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defendant intended to act, the plaintiff need not prove that the defendant intended to violate the</w:t>
      </w:r>
    </w:p>
    <w:p w14:paraId="2499B1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plaintiff’s Fourth Amendment rights.].]</w:t>
      </w:r>
    </w:p>
    <w:p w14:paraId="3735F5A8" w14:textId="77777777" w:rsidR="00842D3D" w:rsidRPr="00842D3D" w:rsidRDefault="00842D3D" w:rsidP="00842D3D">
      <w:pPr>
        <w:autoSpaceDE w:val="0"/>
        <w:autoSpaceDN w:val="0"/>
        <w:adjustRightInd w:val="0"/>
        <w:rPr>
          <w:rFonts w:eastAsia="Calibri" w:cs="Times New Roman"/>
          <w:szCs w:val="24"/>
        </w:rPr>
      </w:pPr>
    </w:p>
    <w:p w14:paraId="2C1E0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seizure done pursuant to a search warrant is “unreasonable” if the search conducted exceeds the terms of the warrant.]</w:t>
      </w:r>
    </w:p>
    <w:p w14:paraId="165A709C" w14:textId="77777777" w:rsidR="00842D3D" w:rsidRPr="00842D3D" w:rsidRDefault="00842D3D" w:rsidP="00842D3D">
      <w:pPr>
        <w:autoSpaceDE w:val="0"/>
        <w:autoSpaceDN w:val="0"/>
        <w:adjustRightInd w:val="0"/>
        <w:rPr>
          <w:rFonts w:eastAsia="Calibri" w:cs="Times New Roman"/>
          <w:szCs w:val="24"/>
        </w:rPr>
      </w:pPr>
    </w:p>
    <w:p w14:paraId="269ED38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624FCF7" w14:textId="77777777" w:rsidR="00842D3D" w:rsidRPr="00842D3D" w:rsidRDefault="00842D3D" w:rsidP="00842D3D">
      <w:pPr>
        <w:autoSpaceDE w:val="0"/>
        <w:autoSpaceDN w:val="0"/>
        <w:adjustRightInd w:val="0"/>
        <w:rPr>
          <w:rFonts w:eastAsia="Calibri" w:cs="Times New Roman"/>
          <w:szCs w:val="24"/>
        </w:rPr>
      </w:pPr>
    </w:p>
    <w:p w14:paraId="4409684C" w14:textId="5C4C560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elements instructions, Instructions 9.3-9.8, and with an appropriate definition of an unreasonable seizure. </w:t>
      </w:r>
      <w:r w:rsidRPr="00842D3D">
        <w:rPr>
          <w:rFonts w:eastAsia="Calibri" w:cs="Times New Roman"/>
          <w:i/>
          <w:iCs/>
          <w:szCs w:val="24"/>
        </w:rPr>
        <w:t xml:space="preserve">See </w:t>
      </w:r>
      <w:r w:rsidRPr="00842D3D">
        <w:rPr>
          <w:rFonts w:eastAsia="Calibri" w:cs="Times New Roman"/>
          <w:szCs w:val="24"/>
        </w:rPr>
        <w:t>Instruction 9.</w:t>
      </w:r>
      <w:r w:rsidR="00047AF1">
        <w:rPr>
          <w:rFonts w:eastAsia="Calibri" w:cs="Times New Roman"/>
          <w:szCs w:val="24"/>
        </w:rPr>
        <w:t>21</w:t>
      </w:r>
      <w:r w:rsidRPr="00842D3D">
        <w:rPr>
          <w:rFonts w:eastAsia="Calibri" w:cs="Times New Roman"/>
          <w:szCs w:val="24"/>
        </w:rPr>
        <w:t xml:space="preserve"> (Particular Rights—Fourth Amendment—Unreasonable Seizure of Property—Exceptions to Warrant Requirement). </w:t>
      </w:r>
    </w:p>
    <w:p w14:paraId="37F2F9E9" w14:textId="77777777" w:rsidR="00842D3D" w:rsidRPr="00842D3D" w:rsidRDefault="00842D3D" w:rsidP="00842D3D">
      <w:pPr>
        <w:autoSpaceDE w:val="0"/>
        <w:autoSpaceDN w:val="0"/>
        <w:adjustRightInd w:val="0"/>
        <w:rPr>
          <w:rFonts w:eastAsia="Calibri" w:cs="Times New Roman"/>
          <w:szCs w:val="24"/>
        </w:rPr>
      </w:pPr>
    </w:p>
    <w:p w14:paraId="7F6A325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the instructions </w:t>
      </w:r>
      <w:r w:rsidRPr="00842D3D">
        <w:rPr>
          <w:rFonts w:eastAsia="Calibri" w:cs="Times New Roman"/>
          <w:szCs w:val="24"/>
        </w:rPr>
        <w:lastRenderedPageBreak/>
        <w:t>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281B0802" w14:textId="77777777" w:rsidR="00842D3D" w:rsidRPr="00842D3D" w:rsidRDefault="00842D3D" w:rsidP="00842D3D">
      <w:pPr>
        <w:autoSpaceDE w:val="0"/>
        <w:autoSpaceDN w:val="0"/>
        <w:adjustRightInd w:val="0"/>
        <w:rPr>
          <w:rFonts w:eastAsia="Calibri" w:cs="Times New Roman"/>
          <w:szCs w:val="24"/>
        </w:rPr>
      </w:pPr>
    </w:p>
    <w:p w14:paraId="300EEFB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‘seizure’ of property occurs when there is some meaningful interference with an individual’s possessory interests in that property.” </w:t>
      </w:r>
      <w:r w:rsidRPr="00842D3D">
        <w:rPr>
          <w:rFonts w:eastAsia="Calibri" w:cs="Times New Roman"/>
          <w:i/>
          <w:iCs/>
          <w:szCs w:val="24"/>
        </w:rPr>
        <w:t>Lavan v. City of Los Angeles</w:t>
      </w:r>
      <w:r w:rsidRPr="00842D3D">
        <w:rPr>
          <w:rFonts w:eastAsia="Calibri" w:cs="Times New Roman"/>
          <w:szCs w:val="24"/>
        </w:rPr>
        <w:t xml:space="preserve">, 693 F.3d 1022, 1027, 1030-33 (9th Cir. 2012) (quoting </w:t>
      </w:r>
      <w:r w:rsidRPr="00842D3D">
        <w:rPr>
          <w:rFonts w:eastAsia="Calibri" w:cs="Times New Roman"/>
          <w:i/>
          <w:iCs/>
          <w:szCs w:val="24"/>
        </w:rPr>
        <w:t>United States v. Jacobsen</w:t>
      </w:r>
      <w:r w:rsidRPr="00842D3D">
        <w:rPr>
          <w:rFonts w:eastAsia="Calibri" w:cs="Times New Roman"/>
          <w:szCs w:val="24"/>
        </w:rPr>
        <w:t xml:space="preserve">, 466 U.S. 109, 113 (1984)) (recognizing a homeless person’s possessory interest in unabandoned property left temporarily unattended, even if the person, who was in violation of a city ordinance prohibiting leaving of any personal property on a public sidewalk, could not be said to have had an expectation of privacy); </w:t>
      </w:r>
      <w:r w:rsidRPr="00842D3D">
        <w:rPr>
          <w:rFonts w:eastAsia="Calibri" w:cs="Times New Roman"/>
          <w:i/>
          <w:iCs/>
          <w:szCs w:val="24"/>
        </w:rPr>
        <w:t>see United States v. Baker</w:t>
      </w:r>
      <w:r w:rsidRPr="00842D3D">
        <w:rPr>
          <w:rFonts w:eastAsia="Calibri" w:cs="Times New Roman"/>
          <w:szCs w:val="24"/>
        </w:rPr>
        <w:t xml:space="preserve">, 58 F.4th 1109, 1116 (9th Cir. 2023);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Patel v. City of Los Angeles</w:t>
      </w:r>
      <w:r w:rsidRPr="00842D3D">
        <w:rPr>
          <w:rFonts w:eastAsia="Calibri" w:cs="Times New Roman"/>
          <w:szCs w:val="24"/>
        </w:rPr>
        <w:t xml:space="preserve">, 738 F.3d 1058, 1061-62 (9th Cir. 2013) (en banc) (citing </w:t>
      </w:r>
      <w:r w:rsidRPr="00842D3D">
        <w:rPr>
          <w:rFonts w:eastAsia="Calibri" w:cs="Times New Roman"/>
          <w:i/>
          <w:iCs/>
          <w:szCs w:val="24"/>
        </w:rPr>
        <w:t>Florida v. Jardines</w:t>
      </w:r>
      <w:r w:rsidRPr="00842D3D">
        <w:rPr>
          <w:rFonts w:eastAsia="Calibri" w:cs="Times New Roman"/>
          <w:szCs w:val="24"/>
        </w:rPr>
        <w:t xml:space="preserve">, 569 U.S. 1, 12-13 (2013) (Kagan, J., concurring)) (recognizing hotel’s property and privacy interest in guest records “are more than sufficient to trigger Fourth Amendment protection”). </w:t>
      </w:r>
      <w:r w:rsidRPr="00842D3D">
        <w:rPr>
          <w:rFonts w:eastAsia="Calibri" w:cs="Times New Roman"/>
          <w:i/>
          <w:iCs/>
          <w:szCs w:val="24"/>
        </w:rPr>
        <w:t>Snitko v. United States,</w:t>
      </w:r>
      <w:r w:rsidRPr="00842D3D">
        <w:rPr>
          <w:rFonts w:eastAsia="Calibri" w:cs="Times New Roman"/>
          <w:szCs w:val="24"/>
        </w:rPr>
        <w:t xml:space="preserve"> 90 F.4th 1250, 1263 (9th Cir. 2024) (“[T]o determine whether the government exceeded the scope of a warrant, we compare the terms of the warrant to the search actually conducted.”).</w:t>
      </w:r>
    </w:p>
    <w:p w14:paraId="480E57A1" w14:textId="77777777" w:rsidR="00842D3D" w:rsidRPr="00842D3D" w:rsidRDefault="00842D3D" w:rsidP="00842D3D">
      <w:pPr>
        <w:autoSpaceDE w:val="0"/>
        <w:autoSpaceDN w:val="0"/>
        <w:adjustRightInd w:val="0"/>
        <w:rPr>
          <w:rFonts w:eastAsia="Calibri" w:cs="Times New Roman"/>
          <w:szCs w:val="24"/>
        </w:rPr>
      </w:pPr>
    </w:p>
    <w:p w14:paraId="69449EC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destruction of property has long been recognized as a seizure.” </w:t>
      </w:r>
      <w:r w:rsidRPr="00842D3D">
        <w:rPr>
          <w:rFonts w:eastAsia="Calibri" w:cs="Times New Roman"/>
          <w:i/>
          <w:iCs/>
          <w:szCs w:val="24"/>
        </w:rPr>
        <w:t>Garcia v. City of Los Angeles</w:t>
      </w:r>
      <w:r w:rsidRPr="00842D3D">
        <w:rPr>
          <w:rFonts w:eastAsia="Calibri" w:cs="Times New Roman"/>
          <w:szCs w:val="24"/>
        </w:rPr>
        <w:t xml:space="preserve">, 11 F.4th 1113, 1118 (9th Cir. 2021) (citing </w:t>
      </w:r>
      <w:r w:rsidRPr="00842D3D">
        <w:rPr>
          <w:rFonts w:eastAsia="Calibri" w:cs="Times New Roman"/>
          <w:i/>
          <w:iCs/>
          <w:szCs w:val="24"/>
        </w:rPr>
        <w:t>Jacobsen</w:t>
      </w:r>
      <w:r w:rsidRPr="00842D3D">
        <w:rPr>
          <w:rFonts w:eastAsia="Calibri" w:cs="Times New Roman"/>
          <w:szCs w:val="24"/>
        </w:rPr>
        <w:t>, 466 U.S. at 124-25).</w:t>
      </w:r>
    </w:p>
    <w:p w14:paraId="088BB8E5" w14:textId="77777777" w:rsidR="00842D3D" w:rsidRPr="00842D3D" w:rsidRDefault="00842D3D" w:rsidP="00842D3D">
      <w:pPr>
        <w:autoSpaceDE w:val="0"/>
        <w:autoSpaceDN w:val="0"/>
        <w:adjustRightInd w:val="0"/>
        <w:rPr>
          <w:rFonts w:eastAsia="Calibri" w:cs="Times New Roman"/>
          <w:szCs w:val="24"/>
        </w:rPr>
      </w:pPr>
    </w:p>
    <w:p w14:paraId="7340EE0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seizure lawful at its inception can nevertheless violate the Fourth Amendment if its manner of execution unreasonably infringes possessory interests. </w:t>
      </w:r>
      <w:r w:rsidRPr="00842D3D">
        <w:rPr>
          <w:rFonts w:eastAsia="Calibri" w:cs="Times New Roman"/>
          <w:i/>
          <w:iCs/>
          <w:szCs w:val="24"/>
        </w:rPr>
        <w:t>Brewster v. Beck</w:t>
      </w:r>
      <w:r w:rsidRPr="00842D3D">
        <w:rPr>
          <w:rFonts w:eastAsia="Calibri" w:cs="Times New Roman"/>
          <w:szCs w:val="24"/>
        </w:rPr>
        <w:t xml:space="preserve">, 859 F.3d 1194, 1196-97 (9th Cir. 2017) (“The Fourth Amendment doesn’t become irrelevant once an initial seizure has run its course.”); </w:t>
      </w:r>
      <w:r w:rsidRPr="00842D3D">
        <w:rPr>
          <w:rFonts w:eastAsia="Calibri" w:cs="Times New Roman"/>
          <w:i/>
          <w:iCs/>
          <w:szCs w:val="24"/>
        </w:rPr>
        <w:t>see also Sandoval v. Cnty. of Sonoma</w:t>
      </w:r>
      <w:r w:rsidRPr="00842D3D">
        <w:rPr>
          <w:rFonts w:eastAsia="Calibri" w:cs="Times New Roman"/>
          <w:szCs w:val="24"/>
        </w:rPr>
        <w:t xml:space="preserve">, 912 F.3d 509, 516 (9th Cir. 2018) (holding that the community caretaking exception to a warrant requirement does not categorically permit government officials to retain impounded private property).“The impoundment of an automobile is a seizure within the meaning of the Fourth Amendment.”  </w:t>
      </w:r>
      <w:r w:rsidRPr="00842D3D">
        <w:rPr>
          <w:rFonts w:eastAsia="Calibri" w:cs="Times New Roman"/>
          <w:i/>
          <w:iCs/>
          <w:szCs w:val="24"/>
        </w:rPr>
        <w:t>Miranda v. City of Cornelius</w:t>
      </w:r>
      <w:r w:rsidRPr="00842D3D">
        <w:rPr>
          <w:rFonts w:eastAsia="Calibri" w:cs="Times New Roman"/>
          <w:szCs w:val="24"/>
        </w:rPr>
        <w:t xml:space="preserve">, 429 F.3d 858, 862 (9th Cir. 2005);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Brewster</w:t>
      </w:r>
      <w:r w:rsidRPr="00842D3D">
        <w:rPr>
          <w:rFonts w:eastAsia="Calibri" w:cs="Times New Roman"/>
          <w:szCs w:val="24"/>
        </w:rPr>
        <w:t>, 859 F.3d at 1196-97 (holding that 30-day impound of vehicle constitutes seizure that requires compliance with Fourth Amendment).</w:t>
      </w:r>
    </w:p>
    <w:p w14:paraId="1CF93FCB" w14:textId="77777777" w:rsidR="00842D3D" w:rsidRPr="00842D3D" w:rsidRDefault="00842D3D" w:rsidP="00842D3D">
      <w:pPr>
        <w:autoSpaceDE w:val="0"/>
        <w:autoSpaceDN w:val="0"/>
        <w:adjustRightInd w:val="0"/>
        <w:rPr>
          <w:rFonts w:eastAsia="Calibri" w:cs="Times New Roman"/>
          <w:szCs w:val="24"/>
        </w:rPr>
      </w:pPr>
    </w:p>
    <w:p w14:paraId="211104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Fourth Amendment, the Supreme Court has defined a seizure of a person as “a governmental termination of freedom of movement </w:t>
      </w:r>
      <w:r w:rsidRPr="00842D3D">
        <w:rPr>
          <w:rFonts w:eastAsia="Calibri" w:cs="Times New Roman"/>
          <w:i/>
          <w:iCs/>
          <w:szCs w:val="24"/>
        </w:rPr>
        <w:t>through means intentionally applied</w:t>
      </w:r>
      <w:r w:rsidRPr="00842D3D">
        <w:rPr>
          <w:rFonts w:eastAsia="Calibri" w:cs="Times New Roman"/>
          <w:szCs w:val="24"/>
        </w:rPr>
        <w:t xml:space="preserve">.” </w:t>
      </w:r>
      <w:r w:rsidRPr="00842D3D">
        <w:rPr>
          <w:rFonts w:eastAsia="Calibri" w:cs="Times New Roman"/>
          <w:i/>
          <w:iCs/>
          <w:szCs w:val="24"/>
        </w:rPr>
        <w:t>Brower v. County of Inyo</w:t>
      </w:r>
      <w:r w:rsidRPr="00842D3D">
        <w:rPr>
          <w:rFonts w:eastAsia="Calibri" w:cs="Times New Roman"/>
          <w:szCs w:val="24"/>
        </w:rPr>
        <w:t xml:space="preserve">, 489 U.S. 593, 596-97 (1989) (emphasis in original); </w:t>
      </w:r>
      <w:r w:rsidRPr="00842D3D">
        <w:rPr>
          <w:rFonts w:eastAsia="Calibri" w:cs="Times New Roman"/>
          <w:i/>
          <w:iCs/>
          <w:szCs w:val="24"/>
        </w:rPr>
        <w:t>see Torres v. Madrid</w:t>
      </w:r>
      <w:r w:rsidRPr="00842D3D">
        <w:rPr>
          <w:rFonts w:eastAsia="Calibri" w:cs="Times New Roman"/>
          <w:szCs w:val="24"/>
        </w:rPr>
        <w:t xml:space="preserve">, 592 U.S. 306, 322 (2021) (“[A] seizure by acquisition of control involves either voluntary submission to a show of authority or the termination of freedom of movement.”); </w:t>
      </w:r>
      <w:r w:rsidRPr="00842D3D">
        <w:rPr>
          <w:rFonts w:eastAsia="Calibri" w:cs="Times New Roman"/>
          <w:i/>
          <w:iCs/>
          <w:szCs w:val="24"/>
        </w:rPr>
        <w:t>see also Nelson v. City of Davis</w:t>
      </w:r>
      <w:r w:rsidRPr="00842D3D">
        <w:rPr>
          <w:rFonts w:eastAsia="Calibri" w:cs="Times New Roman"/>
          <w:szCs w:val="24"/>
        </w:rPr>
        <w:t xml:space="preserve">, 685 F.3d 867, 876-77 (9th Cir. 2012) (discussing intent and concluding that the defendant officers intentionally seized plaintiff under the Fourth Amendment). It is well settled that “negligent acts do not incur constitutional liability.” </w:t>
      </w:r>
      <w:r w:rsidRPr="00842D3D">
        <w:rPr>
          <w:rFonts w:eastAsia="Calibri" w:cs="Times New Roman"/>
          <w:i/>
          <w:iCs/>
          <w:szCs w:val="24"/>
        </w:rPr>
        <w:t>Billington v. Smith</w:t>
      </w:r>
      <w:r w:rsidRPr="00842D3D">
        <w:rPr>
          <w:rFonts w:eastAsia="Calibri" w:cs="Times New Roman"/>
          <w:szCs w:val="24"/>
        </w:rPr>
        <w:t xml:space="preserve">, 292 F.3d 1177, 1190 (9th Cir. 2002), </w:t>
      </w:r>
      <w:r w:rsidRPr="00842D3D">
        <w:rPr>
          <w:rFonts w:eastAsia="Calibri" w:cs="Times New Roman"/>
          <w:i/>
          <w:iCs/>
          <w:szCs w:val="24"/>
        </w:rPr>
        <w:t xml:space="preserve">abrogated on other grounds by County </w:t>
      </w:r>
      <w:r w:rsidRPr="00842D3D">
        <w:rPr>
          <w:rFonts w:eastAsia="Calibri" w:cs="Times New Roman"/>
          <w:i/>
          <w:iCs/>
          <w:szCs w:val="24"/>
        </w:rPr>
        <w:lastRenderedPageBreak/>
        <w:t>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 v. Williams</w:t>
      </w:r>
      <w:r w:rsidRPr="00842D3D">
        <w:rPr>
          <w:rFonts w:eastAsia="Calibri" w:cs="Times New Roman"/>
          <w:szCs w:val="24"/>
        </w:rPr>
        <w:t>, 474 U.S. 327, 328 (1986))).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4F691BA" w14:textId="77777777" w:rsidR="00842D3D" w:rsidRPr="00842D3D" w:rsidRDefault="00842D3D" w:rsidP="00842D3D">
      <w:pPr>
        <w:autoSpaceDE w:val="0"/>
        <w:autoSpaceDN w:val="0"/>
        <w:adjustRightInd w:val="0"/>
        <w:rPr>
          <w:rFonts w:eastAsia="Calibri" w:cs="Times New Roman"/>
          <w:szCs w:val="24"/>
        </w:rPr>
      </w:pPr>
    </w:p>
    <w:p w14:paraId="224144B2"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2024</w:t>
      </w:r>
    </w:p>
    <w:p w14:paraId="3CF51603" w14:textId="0DFEF004" w:rsidR="00842D3D" w:rsidRPr="00842D3D" w:rsidRDefault="00842D3D" w:rsidP="00FF121D">
      <w:pPr>
        <w:pStyle w:val="Heading2"/>
      </w:pPr>
      <w:r w:rsidRPr="00842D3D">
        <w:br w:type="page"/>
      </w:r>
      <w:bookmarkStart w:id="168" w:name="_Toc221525185"/>
      <w:r w:rsidRPr="00842D3D">
        <w:lastRenderedPageBreak/>
        <w:t>9.</w:t>
      </w:r>
      <w:r w:rsidR="005F1850">
        <w:t>21</w:t>
      </w:r>
      <w:r w:rsidRPr="00842D3D">
        <w:t xml:space="preserve"> Particular Rights—Fourth Amendment—Unreasonable Seizure of Property—Exceptions to Warrant Requirement</w:t>
      </w:r>
      <w:bookmarkEnd w:id="168"/>
    </w:p>
    <w:p w14:paraId="215A5785" w14:textId="77777777" w:rsidR="00842D3D" w:rsidRPr="00842D3D" w:rsidRDefault="00842D3D" w:rsidP="00842D3D">
      <w:pPr>
        <w:autoSpaceDE w:val="0"/>
        <w:autoSpaceDN w:val="0"/>
        <w:adjustRightInd w:val="0"/>
        <w:rPr>
          <w:rFonts w:eastAsia="Calibri" w:cs="Times New Roman"/>
          <w:szCs w:val="24"/>
        </w:rPr>
      </w:pPr>
    </w:p>
    <w:p w14:paraId="21DC4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Pr="00842D3D">
        <w:rPr>
          <w:rFonts w:eastAsia="Calibri" w:cs="Times New Roman"/>
          <w:i/>
          <w:szCs w:val="24"/>
          <w:u w:val="single"/>
        </w:rPr>
        <w:t>set forth applicable exception to warrant requirement</w:t>
      </w:r>
      <w:r w:rsidRPr="00842D3D">
        <w:rPr>
          <w:rFonts w:eastAsia="Calibri" w:cs="Times New Roman"/>
          <w:szCs w:val="24"/>
        </w:rPr>
        <w:t>]. Therefore, 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by a preponderance of the evidence that this exception does not apply. </w:t>
      </w:r>
    </w:p>
    <w:p w14:paraId="1AD29560" w14:textId="77777777" w:rsidR="00842D3D" w:rsidRPr="00842D3D" w:rsidRDefault="00842D3D" w:rsidP="00842D3D">
      <w:pPr>
        <w:autoSpaceDE w:val="0"/>
        <w:autoSpaceDN w:val="0"/>
        <w:adjustRightInd w:val="0"/>
        <w:rPr>
          <w:rFonts w:eastAsia="Calibri" w:cs="Times New Roman"/>
          <w:szCs w:val="24"/>
        </w:rPr>
      </w:pPr>
    </w:p>
    <w:p w14:paraId="1BB94451"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2D7E92FF" w14:textId="77777777" w:rsidR="00842D3D" w:rsidRPr="00842D3D" w:rsidRDefault="00842D3D" w:rsidP="00842D3D">
      <w:pPr>
        <w:autoSpaceDE w:val="0"/>
        <w:autoSpaceDN w:val="0"/>
        <w:adjustRightInd w:val="0"/>
        <w:rPr>
          <w:rFonts w:eastAsia="Calibri" w:cs="Times New Roman"/>
          <w:b/>
          <w:szCs w:val="24"/>
        </w:rPr>
      </w:pPr>
    </w:p>
    <w:p w14:paraId="6BDA039F" w14:textId="1E88C775"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Use this instruction only in conjunction with the applicable elements instructions, Instructions 9.3-9.8, and in conjunction with Instruction 9.</w:t>
      </w:r>
      <w:r w:rsidR="00047AF1">
        <w:rPr>
          <w:rFonts w:eastAsia="Calibri" w:cs="Times New Roman"/>
          <w:szCs w:val="24"/>
        </w:rPr>
        <w:t>20</w:t>
      </w:r>
      <w:r w:rsidRPr="00842D3D">
        <w:rPr>
          <w:rFonts w:eastAsia="Calibri" w:cs="Times New Roman"/>
          <w:szCs w:val="24"/>
        </w:rPr>
        <w:t xml:space="preserve"> (Particular Rights—Fourth Amendment—Unreasonable Seizure of Property—Generally).</w:t>
      </w:r>
    </w:p>
    <w:p w14:paraId="25C9D370" w14:textId="77777777" w:rsidR="00842D3D" w:rsidRPr="00842D3D" w:rsidRDefault="00842D3D" w:rsidP="00842D3D">
      <w:pPr>
        <w:autoSpaceDE w:val="0"/>
        <w:autoSpaceDN w:val="0"/>
        <w:adjustRightInd w:val="0"/>
        <w:rPr>
          <w:rFonts w:eastAsia="Calibri" w:cs="Times New Roman"/>
          <w:b/>
          <w:szCs w:val="24"/>
        </w:rPr>
      </w:pPr>
    </w:p>
    <w:p w14:paraId="4AC140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842D3D">
        <w:rPr>
          <w:rFonts w:eastAsia="Calibri" w:cs="Times New Roman"/>
          <w:i/>
          <w:szCs w:val="24"/>
        </w:rPr>
        <w:t>Menotti v. City of Seattle</w:t>
      </w:r>
      <w:r w:rsidRPr="00842D3D">
        <w:rPr>
          <w:rFonts w:eastAsia="Calibri" w:cs="Times New Roman"/>
          <w:szCs w:val="24"/>
        </w:rPr>
        <w:t xml:space="preserve">, 409 F.3d 1113, 1154 (9th Cir. 2005) (quoting </w:t>
      </w:r>
      <w:r w:rsidRPr="00842D3D">
        <w:rPr>
          <w:rFonts w:eastAsia="Calibri" w:cs="Times New Roman"/>
          <w:i/>
          <w:szCs w:val="24"/>
        </w:rPr>
        <w:t>Illinois v. McArthur</w:t>
      </w:r>
      <w:r w:rsidRPr="00842D3D">
        <w:rPr>
          <w:rFonts w:eastAsia="Calibri" w:cs="Times New Roman"/>
          <w:szCs w:val="24"/>
        </w:rPr>
        <w:t xml:space="preserve">, 531 U.S. 326, 330-31 (2001)). </w:t>
      </w:r>
    </w:p>
    <w:p w14:paraId="72C46202" w14:textId="77777777" w:rsidR="00842D3D" w:rsidRPr="00842D3D" w:rsidRDefault="00842D3D" w:rsidP="00842D3D">
      <w:pPr>
        <w:autoSpaceDE w:val="0"/>
        <w:autoSpaceDN w:val="0"/>
        <w:adjustRightInd w:val="0"/>
        <w:rPr>
          <w:rFonts w:eastAsia="Calibri" w:cs="Times New Roman"/>
          <w:szCs w:val="24"/>
        </w:rPr>
      </w:pPr>
    </w:p>
    <w:p w14:paraId="72F0D4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1C1AA9C4" w14:textId="77777777" w:rsidR="00842D3D" w:rsidRPr="00842D3D" w:rsidRDefault="00842D3D" w:rsidP="00842D3D">
      <w:pPr>
        <w:autoSpaceDE w:val="0"/>
        <w:autoSpaceDN w:val="0"/>
        <w:adjustRightInd w:val="0"/>
        <w:rPr>
          <w:rFonts w:eastAsia="Calibri" w:cs="Times New Roman"/>
          <w:szCs w:val="24"/>
        </w:rPr>
      </w:pPr>
    </w:p>
    <w:p w14:paraId="45EF86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(1) </w:t>
      </w:r>
      <w:r w:rsidRPr="00842D3D">
        <w:rPr>
          <w:rFonts w:eastAsia="Calibri" w:cs="Times New Roman"/>
          <w:i/>
          <w:szCs w:val="24"/>
        </w:rPr>
        <w:t>Menotti</w:t>
      </w:r>
      <w:r w:rsidRPr="00842D3D">
        <w:rPr>
          <w:rFonts w:eastAsia="Calibri" w:cs="Times New Roman"/>
          <w:szCs w:val="24"/>
        </w:rPr>
        <w:t xml:space="preserve">, 409 F.3d at 1152 n.72 (collecting case citations authorizing warrantless seizures of property in the context of administrative searches, searches incident to arrest, automobile checkpoint searches, and </w:t>
      </w:r>
      <w:r w:rsidRPr="00842D3D">
        <w:rPr>
          <w:rFonts w:eastAsia="Calibri" w:cs="Times New Roman"/>
          <w:i/>
          <w:szCs w:val="24"/>
        </w:rPr>
        <w:t>Terry v. Ohio</w:t>
      </w:r>
      <w:r w:rsidRPr="00842D3D">
        <w:rPr>
          <w:rFonts w:eastAsia="Calibri" w:cs="Times New Roman"/>
          <w:szCs w:val="24"/>
        </w:rPr>
        <w:t>, 392 U.S. 1 (1968)).</w:t>
      </w:r>
    </w:p>
    <w:p w14:paraId="1102868A" w14:textId="77777777" w:rsidR="00842D3D" w:rsidRPr="00842D3D" w:rsidRDefault="00842D3D" w:rsidP="00842D3D">
      <w:pPr>
        <w:autoSpaceDE w:val="0"/>
        <w:autoSpaceDN w:val="0"/>
        <w:adjustRightInd w:val="0"/>
        <w:rPr>
          <w:rFonts w:eastAsia="Calibri" w:cs="Times New Roman"/>
          <w:szCs w:val="24"/>
        </w:rPr>
      </w:pPr>
    </w:p>
    <w:p w14:paraId="28F00D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(2) </w:t>
      </w:r>
      <w:r w:rsidRPr="00842D3D">
        <w:rPr>
          <w:rFonts w:eastAsia="Calibri" w:cs="Times New Roman"/>
          <w:i/>
          <w:szCs w:val="24"/>
        </w:rPr>
        <w:t>Lavan v. City of Los Angeles</w:t>
      </w:r>
      <w:r w:rsidRPr="00842D3D">
        <w:rPr>
          <w:rFonts w:eastAsia="Calibri" w:cs="Times New Roman"/>
          <w:szCs w:val="24"/>
        </w:rPr>
        <w:t xml:space="preserve">, 693 F.3d 1022, 1030-31 (9th Cir. 2012) (concluding that the warrantless seizure of a homeless person’s abandoned property was properly subjected to Fourth Amendment’s reasonableness requirement); </w:t>
      </w:r>
      <w:r w:rsidRPr="00842D3D">
        <w:rPr>
          <w:rFonts w:eastAsia="Calibri" w:cs="Times New Roman"/>
          <w:i/>
          <w:szCs w:val="24"/>
        </w:rPr>
        <w:t>see also Garcia v. City of Los Angeles</w:t>
      </w:r>
      <w:r w:rsidRPr="00842D3D">
        <w:rPr>
          <w:rFonts w:eastAsia="Calibri" w:cs="Times New Roman"/>
          <w:szCs w:val="24"/>
        </w:rPr>
        <w:t>, 11 F.4th 1113, 1119 (9th Cir. 2021) (holding a city ordinance allowing the city to discard bulky items of personal property stored in public areas, when such areas were not designated as shelters, authorized unreasonable seizures in violation of the Fourth Amendment).</w:t>
      </w:r>
    </w:p>
    <w:p w14:paraId="1C31E9BE" w14:textId="77777777" w:rsidR="00842D3D" w:rsidRPr="00842D3D" w:rsidRDefault="00842D3D" w:rsidP="00842D3D">
      <w:pPr>
        <w:autoSpaceDE w:val="0"/>
        <w:autoSpaceDN w:val="0"/>
        <w:adjustRightInd w:val="0"/>
        <w:rPr>
          <w:rFonts w:eastAsia="Calibri" w:cs="Times New Roman"/>
          <w:szCs w:val="24"/>
        </w:rPr>
      </w:pPr>
    </w:p>
    <w:p w14:paraId="41E0EA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(3) </w:t>
      </w:r>
      <w:r w:rsidRPr="00842D3D">
        <w:rPr>
          <w:rFonts w:eastAsia="Calibri" w:cs="Times New Roman"/>
          <w:i/>
          <w:szCs w:val="24"/>
        </w:rPr>
        <w:t>United States v. Stafford</w:t>
      </w:r>
      <w:r w:rsidRPr="00842D3D">
        <w:rPr>
          <w:rFonts w:eastAsia="Calibri" w:cs="Times New Roman"/>
          <w:szCs w:val="24"/>
        </w:rPr>
        <w:t>, 416 F.3d 1068, 1076 (9th Cir. 2005) (discussing the plain view exception to the warrant requirement).</w:t>
      </w:r>
    </w:p>
    <w:p w14:paraId="6C80C2C0" w14:textId="77777777" w:rsidR="00842D3D" w:rsidRPr="00842D3D" w:rsidRDefault="00842D3D" w:rsidP="00842D3D">
      <w:pPr>
        <w:autoSpaceDE w:val="0"/>
        <w:autoSpaceDN w:val="0"/>
        <w:adjustRightInd w:val="0"/>
        <w:rPr>
          <w:rFonts w:eastAsia="Calibri" w:cs="Times New Roman"/>
          <w:szCs w:val="24"/>
        </w:rPr>
      </w:pPr>
    </w:p>
    <w:p w14:paraId="22BC36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(4) </w:t>
      </w:r>
      <w:r w:rsidRPr="00842D3D">
        <w:rPr>
          <w:rFonts w:eastAsia="Calibri" w:cs="Times New Roman"/>
          <w:i/>
          <w:szCs w:val="24"/>
        </w:rPr>
        <w:t>Rodriguez v. City of San Jose</w:t>
      </w:r>
      <w:r w:rsidRPr="00842D3D">
        <w:rPr>
          <w:rFonts w:eastAsia="Calibri" w:cs="Times New Roman"/>
          <w:szCs w:val="24"/>
        </w:rPr>
        <w:t xml:space="preserve">, 930 F.3d 1123, 1140 (9th Cir. 2019) (discussing the emergency exception and “community caretaking function” exception in the context of seizure of firearms from a home when police had probable cause to detain a resident experiencing an acute </w:t>
      </w:r>
      <w:r w:rsidRPr="00842D3D">
        <w:rPr>
          <w:rFonts w:eastAsia="Calibri" w:cs="Times New Roman"/>
          <w:szCs w:val="24"/>
        </w:rPr>
        <w:lastRenderedPageBreak/>
        <w:t>mental health episode who otherwise would have access to firearms and present a serious public safety threat upon returning home).</w:t>
      </w:r>
    </w:p>
    <w:p w14:paraId="298415AF" w14:textId="77777777" w:rsidR="00842D3D" w:rsidRPr="00842D3D" w:rsidRDefault="00842D3D" w:rsidP="00842D3D">
      <w:pPr>
        <w:autoSpaceDE w:val="0"/>
        <w:autoSpaceDN w:val="0"/>
        <w:adjustRightInd w:val="0"/>
        <w:rPr>
          <w:rFonts w:eastAsia="Calibri" w:cs="Times New Roman"/>
          <w:szCs w:val="24"/>
        </w:rPr>
      </w:pPr>
    </w:p>
    <w:p w14:paraId="4B40A9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(5) </w:t>
      </w:r>
      <w:r w:rsidRPr="00842D3D">
        <w:rPr>
          <w:rFonts w:eastAsia="Calibri" w:cs="Times New Roman"/>
          <w:i/>
          <w:szCs w:val="24"/>
        </w:rPr>
        <w:t>Kilgore v. City of South El Monte</w:t>
      </w:r>
      <w:r w:rsidRPr="00842D3D">
        <w:rPr>
          <w:rFonts w:eastAsia="Calibri" w:cs="Times New Roman"/>
          <w:szCs w:val="24"/>
        </w:rPr>
        <w:t xml:space="preserve">, 3 F.4th 1186, 1189-93 (9th Cir. 2021) (discussing warrantless administrative searches for “closely regulated” businesses). </w:t>
      </w:r>
    </w:p>
    <w:p w14:paraId="0AA40BB6" w14:textId="77777777" w:rsidR="00842D3D" w:rsidRPr="00842D3D" w:rsidRDefault="00842D3D" w:rsidP="00842D3D">
      <w:pPr>
        <w:autoSpaceDE w:val="0"/>
        <w:autoSpaceDN w:val="0"/>
        <w:adjustRightInd w:val="0"/>
        <w:rPr>
          <w:rFonts w:eastAsia="Calibri" w:cs="Times New Roman"/>
          <w:szCs w:val="24"/>
        </w:rPr>
      </w:pPr>
    </w:p>
    <w:p w14:paraId="526200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(6) </w:t>
      </w:r>
      <w:r w:rsidRPr="00842D3D">
        <w:rPr>
          <w:rFonts w:eastAsia="Calibri" w:cs="Times New Roman"/>
          <w:i/>
          <w:szCs w:val="24"/>
        </w:rPr>
        <w:t>United States v. Anderson</w:t>
      </w:r>
      <w:r w:rsidRPr="00842D3D">
        <w:rPr>
          <w:rFonts w:eastAsia="Calibri" w:cs="Times New Roman"/>
          <w:szCs w:val="24"/>
        </w:rPr>
        <w:t xml:space="preserve">, 101 F.4th 586, 596-97 (9th Cir. 2024) (discussing the scope of the inventory search exception to the warrant requirement). </w:t>
      </w:r>
    </w:p>
    <w:p w14:paraId="14BE430E" w14:textId="77777777" w:rsidR="00842D3D" w:rsidRPr="00842D3D" w:rsidRDefault="00842D3D" w:rsidP="00842D3D">
      <w:pPr>
        <w:autoSpaceDE w:val="0"/>
        <w:autoSpaceDN w:val="0"/>
        <w:adjustRightInd w:val="0"/>
        <w:rPr>
          <w:rFonts w:eastAsia="Calibri" w:cs="Times New Roman"/>
          <w:szCs w:val="24"/>
        </w:rPr>
      </w:pPr>
    </w:p>
    <w:p w14:paraId="621F36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(7) </w:t>
      </w:r>
      <w:r w:rsidRPr="00842D3D">
        <w:rPr>
          <w:rFonts w:eastAsia="Calibri" w:cs="Times New Roman"/>
          <w:i/>
          <w:szCs w:val="24"/>
        </w:rPr>
        <w:t>United States v. Baker</w:t>
      </w:r>
      <w:r w:rsidRPr="00842D3D">
        <w:rPr>
          <w:rFonts w:eastAsia="Calibri" w:cs="Times New Roman"/>
          <w:szCs w:val="24"/>
        </w:rPr>
        <w:t xml:space="preserve">, 58 F.4th 1109, 1116 (9th Cir. 2023) (“Because warrantless searches or seizures of abandoned property do not violate the [F]ourth [A]mendment, persons who voluntarily abandon property lack standing to complain of its search or seizure.”) (quoting </w:t>
      </w:r>
      <w:r w:rsidRPr="00842D3D">
        <w:rPr>
          <w:rFonts w:eastAsia="Calibri" w:cs="Times New Roman"/>
          <w:i/>
          <w:szCs w:val="24"/>
        </w:rPr>
        <w:t>United States v. Nordling</w:t>
      </w:r>
      <w:r w:rsidRPr="00842D3D">
        <w:rPr>
          <w:rFonts w:eastAsia="Calibri" w:cs="Times New Roman"/>
          <w:szCs w:val="24"/>
        </w:rPr>
        <w:t>, 804 F.2d 1466, 1469 (9th Cir. 1986)).</w:t>
      </w:r>
    </w:p>
    <w:p w14:paraId="627B5C43" w14:textId="77777777" w:rsidR="00842D3D" w:rsidRPr="00842D3D" w:rsidRDefault="00842D3D" w:rsidP="00842D3D">
      <w:pPr>
        <w:autoSpaceDE w:val="0"/>
        <w:autoSpaceDN w:val="0"/>
        <w:adjustRightInd w:val="0"/>
        <w:rPr>
          <w:rFonts w:eastAsia="Calibri" w:cs="Times New Roman"/>
          <w:szCs w:val="24"/>
        </w:rPr>
      </w:pPr>
    </w:p>
    <w:p w14:paraId="1F899680" w14:textId="77777777" w:rsidR="008973C0" w:rsidRPr="000426C8" w:rsidRDefault="008973C0" w:rsidP="008973C0">
      <w:pPr>
        <w:autoSpaceDE w:val="0"/>
        <w:autoSpaceDN w:val="0"/>
        <w:adjustRightInd w:val="0"/>
        <w:ind w:firstLine="720"/>
        <w:rPr>
          <w:rFonts w:eastAsia="Calibri" w:cs="Times New Roman"/>
          <w:szCs w:val="24"/>
        </w:rPr>
      </w:pPr>
      <w:r w:rsidRPr="000426C8">
        <w:rPr>
          <w:rFonts w:eastAsia="Times New Roman" w:cs="Times New Roman"/>
          <w:iCs/>
        </w:rPr>
        <w:t xml:space="preserve">(8) </w:t>
      </w:r>
      <w:r w:rsidRPr="000426C8">
        <w:rPr>
          <w:rFonts w:eastAsia="Times New Roman" w:cs="Times New Roman"/>
          <w:i/>
        </w:rPr>
        <w:t>United States v. Hunt</w:t>
      </w:r>
      <w:r w:rsidRPr="000426C8">
        <w:rPr>
          <w:rFonts w:eastAsia="Times New Roman" w:cs="Times New Roman"/>
        </w:rPr>
        <w:t>, 15</w:t>
      </w:r>
      <w:r w:rsidRPr="000426C8">
        <w:rPr>
          <w:rFonts w:eastAsia="Times New Roman" w:cs="Times New Roman"/>
          <w:iCs/>
        </w:rPr>
        <w:t>3</w:t>
      </w:r>
      <w:r w:rsidRPr="000426C8">
        <w:rPr>
          <w:rFonts w:eastAsia="Times New Roman" w:cs="Times New Roman"/>
          <w:i/>
        </w:rPr>
        <w:t xml:space="preserve"> </w:t>
      </w:r>
      <w:r w:rsidRPr="000426C8">
        <w:rPr>
          <w:rFonts w:eastAsia="Times New Roman" w:cs="Times New Roman"/>
        </w:rPr>
        <w:t>F.4th 858, 865 (9th Cir. 2025) (holding the “reasonable expectation of privacy framework” requires adapting the abandonment doctrine in light of the “unique</w:t>
      </w:r>
      <w:r w:rsidRPr="000426C8">
        <w:rPr>
          <w:rFonts w:eastAsia="Times New Roman" w:cs="Times New Roman"/>
          <w:spacing w:val="-7"/>
        </w:rPr>
        <w:t xml:space="preserve"> </w:t>
      </w:r>
      <w:r w:rsidRPr="000426C8">
        <w:rPr>
          <w:rFonts w:eastAsia="Times New Roman" w:cs="Times New Roman"/>
        </w:rPr>
        <w:t>characteristics</w:t>
      </w:r>
      <w:r w:rsidRPr="000426C8">
        <w:rPr>
          <w:rFonts w:eastAsia="Times New Roman" w:cs="Times New Roman"/>
          <w:spacing w:val="-5"/>
        </w:rPr>
        <w:t xml:space="preserve"> </w:t>
      </w:r>
      <w:r w:rsidRPr="000426C8">
        <w:rPr>
          <w:rFonts w:eastAsia="Times New Roman" w:cs="Times New Roman"/>
        </w:rPr>
        <w:t>of</w:t>
      </w:r>
      <w:r w:rsidRPr="000426C8">
        <w:rPr>
          <w:rFonts w:eastAsia="Times New Roman" w:cs="Times New Roman"/>
          <w:spacing w:val="-3"/>
        </w:rPr>
        <w:t xml:space="preserve"> </w:t>
      </w:r>
      <w:r w:rsidRPr="000426C8">
        <w:rPr>
          <w:rFonts w:eastAsia="Times New Roman" w:cs="Times New Roman"/>
        </w:rPr>
        <w:t>cellphone</w:t>
      </w:r>
      <w:r w:rsidRPr="000426C8">
        <w:rPr>
          <w:rFonts w:eastAsia="Times New Roman" w:cs="Times New Roman"/>
          <w:spacing w:val="-7"/>
        </w:rPr>
        <w:t xml:space="preserve"> </w:t>
      </w:r>
      <w:r w:rsidRPr="000426C8">
        <w:rPr>
          <w:rFonts w:eastAsia="Times New Roman" w:cs="Times New Roman"/>
        </w:rPr>
        <w:t>data”</w:t>
      </w:r>
      <w:r w:rsidRPr="000426C8">
        <w:rPr>
          <w:rFonts w:eastAsia="Times New Roman" w:cs="Times New Roman"/>
          <w:spacing w:val="-5"/>
        </w:rPr>
        <w:t xml:space="preserve"> </w:t>
      </w:r>
      <w:r w:rsidRPr="000426C8">
        <w:rPr>
          <w:rFonts w:eastAsia="Times New Roman" w:cs="Times New Roman"/>
        </w:rPr>
        <w:t>and</w:t>
      </w:r>
      <w:r w:rsidRPr="000426C8">
        <w:rPr>
          <w:rFonts w:eastAsia="Times New Roman" w:cs="Times New Roman"/>
          <w:spacing w:val="-5"/>
        </w:rPr>
        <w:t xml:space="preserve"> </w:t>
      </w:r>
      <w:r w:rsidRPr="000426C8">
        <w:rPr>
          <w:rFonts w:eastAsia="Times New Roman" w:cs="Times New Roman"/>
        </w:rPr>
        <w:t>concluding</w:t>
      </w:r>
      <w:r w:rsidRPr="000426C8">
        <w:rPr>
          <w:rFonts w:eastAsia="Times New Roman" w:cs="Times New Roman"/>
          <w:spacing w:val="-5"/>
        </w:rPr>
        <w:t xml:space="preserve"> “</w:t>
      </w:r>
      <w:r w:rsidRPr="000426C8">
        <w:rPr>
          <w:rFonts w:eastAsia="Times New Roman" w:cs="Times New Roman"/>
        </w:rPr>
        <w:t>the</w:t>
      </w:r>
      <w:r w:rsidRPr="000426C8">
        <w:rPr>
          <w:rFonts w:eastAsia="Times New Roman" w:cs="Times New Roman"/>
          <w:spacing w:val="-5"/>
        </w:rPr>
        <w:t xml:space="preserve"> </w:t>
      </w:r>
      <w:r w:rsidRPr="000426C8">
        <w:rPr>
          <w:rFonts w:eastAsia="Times New Roman" w:cs="Times New Roman"/>
        </w:rPr>
        <w:t>abandonment</w:t>
      </w:r>
      <w:r w:rsidRPr="000426C8">
        <w:rPr>
          <w:rFonts w:eastAsia="Times New Roman" w:cs="Times New Roman"/>
          <w:spacing w:val="-5"/>
        </w:rPr>
        <w:t xml:space="preserve"> </w:t>
      </w:r>
      <w:r w:rsidRPr="000426C8">
        <w:rPr>
          <w:rFonts w:eastAsia="Times New Roman" w:cs="Times New Roman"/>
        </w:rPr>
        <w:t>doctrine</w:t>
      </w:r>
      <w:r w:rsidRPr="000426C8">
        <w:rPr>
          <w:rFonts w:eastAsia="Times New Roman" w:cs="Times New Roman"/>
          <w:spacing w:val="-5"/>
        </w:rPr>
        <w:t xml:space="preserve"> </w:t>
      </w:r>
      <w:r w:rsidRPr="000426C8">
        <w:rPr>
          <w:rFonts w:eastAsia="Times New Roman" w:cs="Times New Roman"/>
        </w:rPr>
        <w:t>can</w:t>
      </w:r>
      <w:r w:rsidRPr="000426C8">
        <w:rPr>
          <w:rFonts w:eastAsia="Times New Roman" w:cs="Times New Roman"/>
          <w:spacing w:val="-2"/>
        </w:rPr>
        <w:t xml:space="preserve"> </w:t>
      </w:r>
      <w:r w:rsidRPr="000426C8">
        <w:rPr>
          <w:rFonts w:eastAsia="Times New Roman" w:cs="Times New Roman"/>
        </w:rPr>
        <w:t xml:space="preserve">apply to cellphone data but courts should analyze the physical phone and its data separately to determine whether the circumstances allow the conclusion that there was an intent to abandon </w:t>
      </w:r>
      <w:r w:rsidRPr="000426C8">
        <w:rPr>
          <w:rFonts w:eastAsia="Times New Roman" w:cs="Times New Roman"/>
          <w:spacing w:val="-2"/>
        </w:rPr>
        <w:t>either”).</w:t>
      </w:r>
    </w:p>
    <w:p w14:paraId="7C5F7BFF" w14:textId="77777777" w:rsidR="008973C0" w:rsidRDefault="008973C0" w:rsidP="008973C0">
      <w:pPr>
        <w:autoSpaceDE w:val="0"/>
        <w:autoSpaceDN w:val="0"/>
        <w:adjustRightInd w:val="0"/>
        <w:ind w:firstLine="720"/>
        <w:rPr>
          <w:rFonts w:eastAsia="Calibri" w:cs="Times New Roman"/>
          <w:szCs w:val="24"/>
        </w:rPr>
      </w:pPr>
    </w:p>
    <w:p w14:paraId="7624DB1F" w14:textId="0BFEFA74" w:rsidR="008973C0" w:rsidRDefault="008973C0" w:rsidP="008973C0">
      <w:pPr>
        <w:autoSpaceDE w:val="0"/>
        <w:autoSpaceDN w:val="0"/>
        <w:adjustRightInd w:val="0"/>
        <w:ind w:firstLine="720"/>
        <w:rPr>
          <w:rFonts w:eastAsia="Calibri" w:cs="Times New Roman"/>
          <w:szCs w:val="24"/>
        </w:rPr>
      </w:pPr>
      <w:r w:rsidRPr="00196A38">
        <w:rPr>
          <w:rFonts w:eastAsia="Calibri" w:cs="Times New Roman"/>
          <w:szCs w:val="24"/>
        </w:rPr>
        <w:t>(</w:t>
      </w:r>
      <w:r>
        <w:rPr>
          <w:rFonts w:eastAsia="Calibri" w:cs="Times New Roman"/>
          <w:szCs w:val="24"/>
        </w:rPr>
        <w:t>9</w:t>
      </w:r>
      <w:r w:rsidRPr="00196A38">
        <w:rPr>
          <w:rFonts w:eastAsia="Calibri" w:cs="Times New Roman"/>
          <w:szCs w:val="24"/>
        </w:rPr>
        <w:t>)</w:t>
      </w:r>
      <w:r>
        <w:rPr>
          <w:rFonts w:eastAsia="Calibri" w:cs="Times New Roman"/>
          <w:szCs w:val="24"/>
        </w:rPr>
        <w:t xml:space="preserve"> </w:t>
      </w:r>
      <w:r w:rsidR="001B1547" w:rsidRPr="00842D3D">
        <w:rPr>
          <w:rFonts w:eastAsia="Calibri" w:cs="Times New Roman"/>
          <w:i/>
          <w:szCs w:val="24"/>
        </w:rPr>
        <w:t>Brewster v. Beck</w:t>
      </w:r>
      <w:r w:rsidR="001B1547" w:rsidRPr="00842D3D">
        <w:rPr>
          <w:rFonts w:eastAsia="Calibri" w:cs="Times New Roman"/>
          <w:szCs w:val="24"/>
        </w:rPr>
        <w:t>, 859 F.3d 1194, 1196-97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7EF72D44" w14:textId="77777777" w:rsidR="008973C0" w:rsidRPr="00842D3D" w:rsidRDefault="008973C0" w:rsidP="008973C0">
      <w:pPr>
        <w:autoSpaceDE w:val="0"/>
        <w:autoSpaceDN w:val="0"/>
        <w:adjustRightInd w:val="0"/>
        <w:ind w:firstLine="720"/>
        <w:rPr>
          <w:rFonts w:eastAsia="Calibri" w:cs="Times New Roman"/>
          <w:szCs w:val="24"/>
        </w:rPr>
      </w:pPr>
    </w:p>
    <w:p w14:paraId="6B909764" w14:textId="731450C1" w:rsidR="008973C0" w:rsidRPr="00842D3D" w:rsidRDefault="008973C0" w:rsidP="008973C0">
      <w:pPr>
        <w:autoSpaceDE w:val="0"/>
        <w:autoSpaceDN w:val="0"/>
        <w:adjustRightInd w:val="0"/>
        <w:rPr>
          <w:rFonts w:eastAsia="Calibri" w:cs="Times New Roman"/>
          <w:szCs w:val="24"/>
        </w:rPr>
      </w:pPr>
      <w:r w:rsidRPr="00842D3D">
        <w:rPr>
          <w:rFonts w:eastAsia="Calibri" w:cs="Times New Roman"/>
          <w:szCs w:val="24"/>
        </w:rPr>
        <w:tab/>
        <w:t>(</w:t>
      </w:r>
      <w:r>
        <w:rPr>
          <w:rFonts w:eastAsia="Calibri" w:cs="Times New Roman"/>
          <w:szCs w:val="24"/>
        </w:rPr>
        <w:t>10</w:t>
      </w:r>
      <w:r w:rsidRPr="00842D3D">
        <w:rPr>
          <w:rFonts w:eastAsia="Calibri" w:cs="Times New Roman"/>
          <w:szCs w:val="24"/>
        </w:rPr>
        <w:t xml:space="preserve">) </w:t>
      </w:r>
      <w:r w:rsidR="001B1547" w:rsidRPr="00842D3D">
        <w:rPr>
          <w:rFonts w:eastAsia="Calibri" w:cs="Times New Roman"/>
          <w:i/>
          <w:szCs w:val="24"/>
        </w:rPr>
        <w:t>Woodward v. City of Tucson</w:t>
      </w:r>
      <w:r w:rsidR="001B1547" w:rsidRPr="00842D3D">
        <w:rPr>
          <w:rFonts w:eastAsia="Calibri" w:cs="Times New Roman"/>
          <w:szCs w:val="24"/>
        </w:rPr>
        <w:t>, 870 F.3d 1154, 1160 (9th Cir. 2017) (“One who has been formally evicted has no reasonable expectation of privacy in his or her previous residence” and “[b]ecause the undisputed evidence shows that [the former tenant] was aware of her eviction, this case differs from situations where the individuals claiming privacy rights either did not know they had been evicted or claimed that they still had tenancy rights.”).</w:t>
      </w:r>
    </w:p>
    <w:p w14:paraId="250CC3C0" w14:textId="77777777" w:rsidR="008973C0" w:rsidRPr="00842D3D" w:rsidRDefault="008973C0" w:rsidP="008973C0">
      <w:pPr>
        <w:autoSpaceDE w:val="0"/>
        <w:autoSpaceDN w:val="0"/>
        <w:adjustRightInd w:val="0"/>
        <w:rPr>
          <w:rFonts w:eastAsia="Calibri" w:cs="Times New Roman"/>
          <w:szCs w:val="24"/>
        </w:rPr>
      </w:pPr>
    </w:p>
    <w:p w14:paraId="75BE704B" w14:textId="12C91FCA" w:rsidR="008973C0" w:rsidRPr="00842D3D" w:rsidRDefault="008973C0" w:rsidP="008973C0">
      <w:pPr>
        <w:autoSpaceDE w:val="0"/>
        <w:autoSpaceDN w:val="0"/>
        <w:adjustRightInd w:val="0"/>
        <w:rPr>
          <w:rFonts w:eastAsia="Calibri" w:cs="Times New Roman"/>
          <w:szCs w:val="24"/>
        </w:rPr>
      </w:pPr>
      <w:r w:rsidRPr="00842D3D">
        <w:rPr>
          <w:rFonts w:eastAsia="Calibri" w:cs="Times New Roman"/>
          <w:szCs w:val="24"/>
        </w:rPr>
        <w:tab/>
        <w:t>(</w:t>
      </w:r>
      <w:r>
        <w:rPr>
          <w:rFonts w:eastAsia="Calibri" w:cs="Times New Roman"/>
          <w:szCs w:val="24"/>
        </w:rPr>
        <w:t>11</w:t>
      </w:r>
      <w:r w:rsidRPr="00842D3D">
        <w:rPr>
          <w:rFonts w:eastAsia="Calibri" w:cs="Times New Roman"/>
          <w:szCs w:val="24"/>
        </w:rPr>
        <w:t xml:space="preserve">) </w:t>
      </w:r>
      <w:r w:rsidR="001B1547" w:rsidRPr="00842D3D">
        <w:rPr>
          <w:rFonts w:eastAsia="Calibri" w:cs="Times New Roman"/>
          <w:i/>
          <w:szCs w:val="24"/>
        </w:rPr>
        <w:t>Verdun v. City of San Diego</w:t>
      </w:r>
      <w:r w:rsidR="001B1547" w:rsidRPr="00842D3D">
        <w:rPr>
          <w:rFonts w:eastAsia="Calibri" w:cs="Times New Roman"/>
          <w:szCs w:val="24"/>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25E6DB65" w14:textId="77777777" w:rsidR="008973C0" w:rsidRPr="00842D3D" w:rsidRDefault="008973C0" w:rsidP="008973C0">
      <w:pPr>
        <w:autoSpaceDE w:val="0"/>
        <w:autoSpaceDN w:val="0"/>
        <w:adjustRightInd w:val="0"/>
        <w:rPr>
          <w:rFonts w:eastAsia="Calibri" w:cs="Times New Roman"/>
          <w:szCs w:val="24"/>
        </w:rPr>
      </w:pPr>
    </w:p>
    <w:p w14:paraId="74734F0F" w14:textId="6D691702" w:rsidR="008973C0" w:rsidRDefault="008973C0" w:rsidP="001B1547">
      <w:pPr>
        <w:autoSpaceDE w:val="0"/>
        <w:autoSpaceDN w:val="0"/>
        <w:adjustRightInd w:val="0"/>
        <w:ind w:firstLine="720"/>
        <w:rPr>
          <w:rFonts w:eastAsia="Calibri" w:cs="Times New Roman"/>
          <w:szCs w:val="24"/>
        </w:rPr>
      </w:pPr>
      <w:r w:rsidRPr="00842D3D">
        <w:rPr>
          <w:rFonts w:eastAsia="Calibri" w:cs="Times New Roman"/>
          <w:szCs w:val="24"/>
        </w:rPr>
        <w:t>(1</w:t>
      </w:r>
      <w:r>
        <w:rPr>
          <w:rFonts w:eastAsia="Calibri" w:cs="Times New Roman"/>
          <w:szCs w:val="24"/>
        </w:rPr>
        <w:t>2</w:t>
      </w:r>
      <w:r w:rsidRPr="00842D3D">
        <w:rPr>
          <w:rFonts w:eastAsia="Calibri" w:cs="Times New Roman"/>
          <w:szCs w:val="24"/>
        </w:rPr>
        <w:t xml:space="preserve">) </w:t>
      </w:r>
      <w:r w:rsidR="001B1547" w:rsidRPr="00842D3D">
        <w:rPr>
          <w:rFonts w:eastAsia="Calibri" w:cs="Times New Roman"/>
          <w:i/>
          <w:iCs/>
        </w:rPr>
        <w:t>United States v. Steinman</w:t>
      </w:r>
      <w:r w:rsidR="001B1547" w:rsidRPr="00842D3D">
        <w:rPr>
          <w:rFonts w:eastAsia="Calibri" w:cs="Times New Roman"/>
        </w:rPr>
        <w:t>, 130 F.4th 693, 711-17 (9th Cir. 2025) (discussing te automobile exception to the warrant requirement and holding that a state law enforcement officer can seize a suspect’s automobile if the officer has probable cause to believe that it contains evidence of a federal crime, even though the same conduct was not criminalized under state law).</w:t>
      </w:r>
    </w:p>
    <w:p w14:paraId="0C52C3AA" w14:textId="77777777" w:rsidR="001B1547" w:rsidRPr="00842D3D" w:rsidRDefault="001B1547" w:rsidP="001B1547">
      <w:pPr>
        <w:autoSpaceDE w:val="0"/>
        <w:autoSpaceDN w:val="0"/>
        <w:adjustRightInd w:val="0"/>
        <w:ind w:firstLine="720"/>
        <w:rPr>
          <w:rFonts w:eastAsia="Calibri" w:cs="Times New Roman"/>
          <w:szCs w:val="24"/>
        </w:rPr>
      </w:pPr>
    </w:p>
    <w:p w14:paraId="06ACEEC2" w14:textId="77777777" w:rsidR="008973C0" w:rsidRPr="00842D3D" w:rsidRDefault="008973C0" w:rsidP="008973C0">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seizure in violation</w:t>
      </w:r>
    </w:p>
    <w:p w14:paraId="33504924" w14:textId="77777777" w:rsidR="008973C0" w:rsidRPr="00842D3D" w:rsidRDefault="008973C0" w:rsidP="008973C0">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szCs w:val="24"/>
        </w:rPr>
        <w:t>Larez v. Holcomb</w:t>
      </w:r>
      <w:r w:rsidRPr="00842D3D">
        <w:rPr>
          <w:rFonts w:eastAsia="Calibri" w:cs="Times New Roman"/>
          <w:szCs w:val="24"/>
        </w:rPr>
        <w:t xml:space="preserve">, 16 F.3d 1513, 1517-18 (9th Cir. 1994) </w:t>
      </w:r>
      <w:r w:rsidRPr="00842D3D">
        <w:rPr>
          <w:rFonts w:eastAsia="Calibri" w:cs="Times New Roman"/>
          <w:szCs w:val="24"/>
        </w:rPr>
        <w:lastRenderedPageBreak/>
        <w:t xml:space="preserve">(“Larez at all times had the ultimate burden of proving to the jury that she had been seized unreasonably in violation of the Fourth Amendment.”); </w:t>
      </w:r>
      <w:r w:rsidRPr="00842D3D">
        <w:rPr>
          <w:rFonts w:eastAsia="Calibri" w:cs="Times New Roman"/>
          <w:i/>
          <w:szCs w:val="24"/>
        </w:rPr>
        <w:t>Pavao v. Pagay</w:t>
      </w:r>
      <w:r w:rsidRPr="00842D3D">
        <w:rPr>
          <w:rFonts w:eastAsia="Calibri" w:cs="Times New Roman"/>
          <w:szCs w:val="24"/>
        </w:rPr>
        <w:t xml:space="preserve">, 307 F.3d 915, 919 (9th Cir. 2002) (reaffirming that the plaintiff in § 1983 action “carries the ultimate burden of establishing each element of his or her claim, including lack of consent [to search]”);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Mueller v. Auker</w:t>
      </w:r>
      <w:r w:rsidRPr="00842D3D">
        <w:rPr>
          <w:rFonts w:eastAsia="Calibri" w:cs="Times New Roman"/>
          <w:szCs w:val="24"/>
        </w:rPr>
        <w:t xml:space="preserve">, 700 F.3d 1180, 1193 (9th Cir. 2012) (placing the burden on the plaintiff to establish absence of imminent danger in a claim of interference with the parent-child relationship). In </w:t>
      </w:r>
      <w:r w:rsidRPr="00842D3D">
        <w:rPr>
          <w:rFonts w:eastAsia="Calibri" w:cs="Times New Roman"/>
          <w:i/>
          <w:szCs w:val="24"/>
        </w:rPr>
        <w:t>Mueller</w:t>
      </w:r>
      <w:r w:rsidRPr="00842D3D">
        <w:rPr>
          <w:rFonts w:eastAsia="Calibri" w:cs="Times New Roman"/>
          <w:szCs w:val="24"/>
        </w:rPr>
        <w:t xml:space="preserve">, parents brought a § 1983 suit against law enforcement officers who removed their infant child to secure testing and treatment advised by physicians. On appeal, the Muellers argued that the jury instructions erroneously put the burden on them to show an absence of imminent danger to their child. </w:t>
      </w:r>
      <w:r w:rsidRPr="00842D3D">
        <w:rPr>
          <w:rFonts w:eastAsia="Calibri" w:cs="Times New Roman"/>
          <w:i/>
          <w:szCs w:val="24"/>
        </w:rPr>
        <w:t>Mueller</w:t>
      </w:r>
      <w:r w:rsidRPr="00842D3D">
        <w:rPr>
          <w:rFonts w:eastAsia="Calibri" w:cs="Times New Roman"/>
          <w:iCs/>
          <w:szCs w:val="24"/>
        </w:rPr>
        <w:t>,</w:t>
      </w:r>
      <w:r w:rsidRPr="00842D3D">
        <w:rPr>
          <w:rFonts w:eastAsia="Calibri" w:cs="Times New Roman"/>
          <w:szCs w:val="24"/>
        </w:rPr>
        <w:t xml:space="preserve"> 700 F.3d at 1193. The Ninth Circuit held that “[b]ecause the Muellers’ claims arise under section 1983 the jury instructions properly placed the burden on the Muellers.”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i/>
          <w:szCs w:val="24"/>
        </w:rPr>
        <w:t>cf. Hopkins v. Bonvicino</w:t>
      </w:r>
      <w:r w:rsidRPr="00842D3D">
        <w:rPr>
          <w:rFonts w:eastAsia="Calibri" w:cs="Times New Roman"/>
          <w:szCs w:val="24"/>
        </w:rPr>
        <w:t>, 573 F.3d 752, 764 (9th Cir. 2009) (placing the burden on the defendant to show existence of exigent circumstance at the summary judgment stage).</w:t>
      </w:r>
    </w:p>
    <w:p w14:paraId="2A12BA8E" w14:textId="77777777" w:rsidR="008973C0" w:rsidRPr="00842D3D" w:rsidRDefault="008973C0" w:rsidP="008973C0">
      <w:pPr>
        <w:jc w:val="right"/>
        <w:rPr>
          <w:rFonts w:eastAsia="Calibri" w:cs="Times New Roman"/>
          <w:szCs w:val="24"/>
        </w:rPr>
      </w:pPr>
      <w:r w:rsidRPr="00842D3D">
        <w:rPr>
          <w:rFonts w:eastAsia="Calibri" w:cs="Times New Roman"/>
          <w:i/>
          <w:iCs/>
          <w:szCs w:val="24"/>
        </w:rPr>
        <w:t xml:space="preserve">Revised </w:t>
      </w:r>
      <w:r>
        <w:rPr>
          <w:rFonts w:eastAsia="Calibri" w:cs="Times New Roman"/>
          <w:i/>
          <w:iCs/>
          <w:szCs w:val="24"/>
        </w:rPr>
        <w:t>March 2026</w:t>
      </w:r>
    </w:p>
    <w:p w14:paraId="49B4F89F" w14:textId="76DD36BB" w:rsidR="00842D3D" w:rsidRPr="00842D3D" w:rsidRDefault="00842D3D" w:rsidP="00842D3D">
      <w:pPr>
        <w:jc w:val="right"/>
        <w:rPr>
          <w:rFonts w:eastAsia="Calibri" w:cs="Times New Roman"/>
          <w:szCs w:val="24"/>
        </w:rPr>
      </w:pPr>
    </w:p>
    <w:p w14:paraId="3EB2C9A6" w14:textId="77777777" w:rsidR="00842D3D" w:rsidRPr="00842D3D" w:rsidRDefault="00842D3D" w:rsidP="00842D3D">
      <w:pPr>
        <w:autoSpaceDE w:val="0"/>
        <w:autoSpaceDN w:val="0"/>
        <w:adjustRightInd w:val="0"/>
        <w:rPr>
          <w:rFonts w:eastAsia="Calibri" w:cs="Times New Roman"/>
          <w:szCs w:val="24"/>
        </w:rPr>
      </w:pPr>
    </w:p>
    <w:p w14:paraId="6BEEAFA2" w14:textId="77777777" w:rsidR="00842D3D" w:rsidRPr="00842D3D" w:rsidRDefault="00842D3D" w:rsidP="00842D3D">
      <w:pPr>
        <w:autoSpaceDE w:val="0"/>
        <w:autoSpaceDN w:val="0"/>
        <w:adjustRightInd w:val="0"/>
        <w:rPr>
          <w:rFonts w:eastAsia="Calibri" w:cs="Times New Roman"/>
          <w:szCs w:val="24"/>
        </w:rPr>
      </w:pPr>
    </w:p>
    <w:p w14:paraId="3ED4BAE2" w14:textId="2CD58611" w:rsidR="00842D3D" w:rsidRPr="00842D3D" w:rsidRDefault="00842D3D" w:rsidP="00FF121D">
      <w:pPr>
        <w:pStyle w:val="Heading2"/>
      </w:pPr>
      <w:r w:rsidRPr="00842D3D">
        <w:br w:type="page"/>
      </w:r>
      <w:bookmarkStart w:id="169" w:name="_Toc221525186"/>
      <w:r w:rsidRPr="00842D3D">
        <w:lastRenderedPageBreak/>
        <w:t>9.2</w:t>
      </w:r>
      <w:r w:rsidR="005F1850">
        <w:t>2</w:t>
      </w:r>
      <w:r w:rsidRPr="00842D3D">
        <w:t xml:space="preserve"> Particular Rights—Fourth Amendment—Unreasonable Seizure of Person—Generally</w:t>
      </w:r>
      <w:bookmarkEnd w:id="169"/>
    </w:p>
    <w:p w14:paraId="021252A3" w14:textId="77777777" w:rsidR="00842D3D" w:rsidRPr="00842D3D" w:rsidRDefault="00842D3D" w:rsidP="00842D3D">
      <w:pPr>
        <w:autoSpaceDE w:val="0"/>
        <w:autoSpaceDN w:val="0"/>
        <w:adjustRightInd w:val="0"/>
        <w:rPr>
          <w:rFonts w:eastAsia="Calibri" w:cs="Times New Roman"/>
          <w:szCs w:val="24"/>
        </w:rPr>
      </w:pPr>
    </w:p>
    <w:p w14:paraId="13F8E539"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4E7E836A" w14:textId="77777777" w:rsidR="00842D3D" w:rsidRPr="00842D3D" w:rsidRDefault="00842D3D" w:rsidP="00842D3D">
      <w:pPr>
        <w:autoSpaceDE w:val="0"/>
        <w:autoSpaceDN w:val="0"/>
        <w:adjustRightInd w:val="0"/>
        <w:rPr>
          <w:rFonts w:eastAsia="Calibri" w:cs="Times New Roman"/>
          <w:szCs w:val="24"/>
        </w:rPr>
      </w:pPr>
    </w:p>
    <w:p w14:paraId="668463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[his] [her] [</w:t>
      </w:r>
      <w:r w:rsidRPr="00842D3D">
        <w:rPr>
          <w:rFonts w:eastAsia="Calibri" w:cs="Times New Roman"/>
          <w:i/>
          <w:iCs/>
          <w:szCs w:val="24"/>
          <w:u w:val="single"/>
        </w:rPr>
        <w:t>other pronoun</w:t>
      </w:r>
      <w:r w:rsidRPr="00842D3D">
        <w:rPr>
          <w:rFonts w:eastAsia="Calibri" w:cs="Times New Roman"/>
          <w:szCs w:val="24"/>
        </w:rPr>
        <w:t>] person.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7FF6B28C" w14:textId="77777777" w:rsidR="00842D3D" w:rsidRPr="00842D3D" w:rsidRDefault="00842D3D" w:rsidP="00842D3D">
      <w:pPr>
        <w:autoSpaceDE w:val="0"/>
        <w:autoSpaceDN w:val="0"/>
        <w:adjustRightInd w:val="0"/>
        <w:ind w:firstLine="720"/>
        <w:rPr>
          <w:rFonts w:eastAsia="Calibri" w:cs="Times New Roman"/>
          <w:szCs w:val="24"/>
        </w:rPr>
      </w:pPr>
    </w:p>
    <w:p w14:paraId="362CB2B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seized the plaintiff [</w:t>
      </w:r>
      <w:r w:rsidRPr="00842D3D">
        <w:rPr>
          <w:rFonts w:eastAsia="Calibri" w:cs="Times New Roman"/>
          <w:i/>
          <w:iCs/>
          <w:szCs w:val="24"/>
          <w:u w:val="single"/>
        </w:rPr>
        <w:t>name</w:t>
      </w:r>
      <w:r w:rsidRPr="00842D3D">
        <w:rPr>
          <w:rFonts w:eastAsia="Calibri" w:cs="Times New Roman"/>
          <w:szCs w:val="24"/>
        </w:rPr>
        <w:t>]’s person;</w:t>
      </w:r>
    </w:p>
    <w:p w14:paraId="6BD05105" w14:textId="77777777" w:rsidR="00842D3D" w:rsidRPr="00842D3D" w:rsidRDefault="00842D3D" w:rsidP="00842D3D">
      <w:pPr>
        <w:autoSpaceDE w:val="0"/>
        <w:autoSpaceDN w:val="0"/>
        <w:adjustRightInd w:val="0"/>
        <w:ind w:firstLine="720"/>
        <w:rPr>
          <w:rFonts w:eastAsia="Calibri" w:cs="Times New Roman"/>
          <w:szCs w:val="24"/>
        </w:rPr>
      </w:pPr>
    </w:p>
    <w:p w14:paraId="31C11E6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in seizing the plaintiff [</w:t>
      </w:r>
      <w:r w:rsidRPr="00842D3D">
        <w:rPr>
          <w:rFonts w:eastAsia="Calibri" w:cs="Times New Roman"/>
          <w:i/>
          <w:iCs/>
          <w:szCs w:val="24"/>
          <w:u w:val="single"/>
        </w:rPr>
        <w:t>name</w:t>
      </w:r>
      <w:r w:rsidRPr="00842D3D">
        <w:rPr>
          <w:rFonts w:eastAsia="Calibri" w:cs="Times New Roman"/>
          <w:szCs w:val="24"/>
        </w:rPr>
        <w:t>]’s person,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intentionally; and</w:t>
      </w:r>
    </w:p>
    <w:p w14:paraId="58B863B5" w14:textId="77777777" w:rsidR="00842D3D" w:rsidRPr="00842D3D" w:rsidRDefault="00842D3D" w:rsidP="00842D3D">
      <w:pPr>
        <w:ind w:firstLine="720"/>
        <w:rPr>
          <w:rFonts w:eastAsia="Calibri" w:cs="Times New Roman"/>
          <w:szCs w:val="24"/>
        </w:rPr>
      </w:pPr>
    </w:p>
    <w:p w14:paraId="34D5EE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0E1CED29" w14:textId="77777777" w:rsidR="00842D3D" w:rsidRPr="00842D3D" w:rsidRDefault="00842D3D" w:rsidP="00842D3D">
      <w:pPr>
        <w:autoSpaceDE w:val="0"/>
        <w:autoSpaceDN w:val="0"/>
        <w:adjustRightInd w:val="0"/>
        <w:rPr>
          <w:rFonts w:eastAsia="Calibri" w:cs="Times New Roman"/>
          <w:szCs w:val="24"/>
        </w:rPr>
      </w:pPr>
    </w:p>
    <w:p w14:paraId="06C305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defendant “seizes” the plaintiff’s person when [he] [she] [</w:t>
      </w:r>
      <w:r w:rsidRPr="00842D3D">
        <w:rPr>
          <w:rFonts w:eastAsia="Calibri" w:cs="Times New Roman"/>
          <w:i/>
          <w:iCs/>
          <w:szCs w:val="24"/>
          <w:u w:val="single"/>
        </w:rPr>
        <w:t>other pronoun</w:t>
      </w:r>
      <w:r w:rsidRPr="00842D3D">
        <w:rPr>
          <w:rFonts w:eastAsia="Calibri" w:cs="Times New Roman"/>
          <w:szCs w:val="24"/>
        </w:rPr>
        <w:t>] restrains the plaintiff’s liberty through coercion, physical force, or a show of authority. A person’s liberty is restrained when, under all of the circumstances, a reasonable person would not have felt free to ignore the presence of law enforcement officers and to go about [his] [her] [</w:t>
      </w:r>
      <w:r w:rsidRPr="00842D3D">
        <w:rPr>
          <w:rFonts w:eastAsia="Calibri" w:cs="Times New Roman"/>
          <w:i/>
          <w:iCs/>
          <w:szCs w:val="24"/>
          <w:u w:val="single"/>
        </w:rPr>
        <w:t>other pronoun</w:t>
      </w:r>
      <w:r w:rsidRPr="00842D3D">
        <w:rPr>
          <w:rFonts w:eastAsia="Calibri" w:cs="Times New Roman"/>
          <w:szCs w:val="24"/>
        </w:rPr>
        <w:t>] business.</w:t>
      </w:r>
    </w:p>
    <w:p w14:paraId="02C357E2" w14:textId="77777777" w:rsidR="00842D3D" w:rsidRPr="00842D3D" w:rsidRDefault="00842D3D" w:rsidP="00842D3D">
      <w:pPr>
        <w:autoSpaceDE w:val="0"/>
        <w:autoSpaceDN w:val="0"/>
        <w:adjustRightInd w:val="0"/>
        <w:rPr>
          <w:rFonts w:eastAsia="Calibri" w:cs="Times New Roman"/>
          <w:szCs w:val="24"/>
        </w:rPr>
      </w:pPr>
    </w:p>
    <w:p w14:paraId="1B0F1F9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In determining whether a reasonable person in the plaintiff’s position would have felt free to leave, consider all of the circumstances, including:</w:t>
      </w:r>
    </w:p>
    <w:p w14:paraId="2E3CB1D1" w14:textId="77777777" w:rsidR="00842D3D" w:rsidRPr="00842D3D" w:rsidRDefault="00842D3D" w:rsidP="00842D3D">
      <w:pPr>
        <w:autoSpaceDE w:val="0"/>
        <w:autoSpaceDN w:val="0"/>
        <w:adjustRightInd w:val="0"/>
        <w:rPr>
          <w:rFonts w:eastAsia="Calibri" w:cs="Times New Roman"/>
        </w:rPr>
      </w:pPr>
    </w:p>
    <w:p w14:paraId="697E58FE"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the number of officers present;</w:t>
      </w:r>
    </w:p>
    <w:p w14:paraId="2F28FFB6" w14:textId="77777777" w:rsidR="00842D3D" w:rsidRPr="00842D3D" w:rsidRDefault="00842D3D" w:rsidP="00842D3D">
      <w:pPr>
        <w:autoSpaceDE w:val="0"/>
        <w:autoSpaceDN w:val="0"/>
        <w:adjustRightInd w:val="0"/>
        <w:ind w:left="1440" w:hanging="720"/>
        <w:rPr>
          <w:rFonts w:eastAsia="Calibri" w:cs="Times New Roman"/>
        </w:rPr>
      </w:pPr>
    </w:p>
    <w:p w14:paraId="52E6B11F"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whether weapons were displayed;</w:t>
      </w:r>
    </w:p>
    <w:p w14:paraId="7725E174" w14:textId="77777777" w:rsidR="00842D3D" w:rsidRPr="00842D3D" w:rsidRDefault="00842D3D" w:rsidP="00842D3D">
      <w:pPr>
        <w:autoSpaceDE w:val="0"/>
        <w:autoSpaceDN w:val="0"/>
        <w:adjustRightInd w:val="0"/>
        <w:ind w:left="1440" w:hanging="720"/>
        <w:rPr>
          <w:rFonts w:eastAsia="Calibri" w:cs="Times New Roman"/>
        </w:rPr>
      </w:pPr>
    </w:p>
    <w:p w14:paraId="03470E43"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 xml:space="preserve">whether the encounter occurred in a public or nonpublic setting; </w:t>
      </w:r>
    </w:p>
    <w:p w14:paraId="57FAE233" w14:textId="77777777" w:rsidR="00842D3D" w:rsidRPr="00842D3D" w:rsidRDefault="00842D3D" w:rsidP="00842D3D">
      <w:pPr>
        <w:autoSpaceDE w:val="0"/>
        <w:autoSpaceDN w:val="0"/>
        <w:adjustRightInd w:val="0"/>
        <w:ind w:left="1440" w:hanging="720"/>
        <w:rPr>
          <w:rFonts w:eastAsia="Calibri" w:cs="Times New Roman"/>
        </w:rPr>
      </w:pPr>
    </w:p>
    <w:p w14:paraId="4EC4B1C5"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 xml:space="preserve">whether the officer’s manner would imply that compliance would be compelled; and </w:t>
      </w:r>
    </w:p>
    <w:p w14:paraId="6AE4AAFB" w14:textId="77777777" w:rsidR="00842D3D" w:rsidRPr="00842D3D" w:rsidRDefault="00842D3D" w:rsidP="00842D3D">
      <w:pPr>
        <w:autoSpaceDE w:val="0"/>
        <w:autoSpaceDN w:val="0"/>
        <w:adjustRightInd w:val="0"/>
        <w:ind w:left="1440" w:hanging="720"/>
        <w:rPr>
          <w:rFonts w:eastAsia="Calibri" w:cs="Times New Roman"/>
        </w:rPr>
      </w:pPr>
    </w:p>
    <w:p w14:paraId="618045E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 xml:space="preserve">whether the officers advised the plaintiff that [he] [she]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was free to leave.</w:t>
      </w:r>
    </w:p>
    <w:p w14:paraId="1106D6B0" w14:textId="77777777" w:rsidR="00842D3D" w:rsidRPr="00842D3D" w:rsidRDefault="00842D3D" w:rsidP="00842D3D">
      <w:pPr>
        <w:autoSpaceDE w:val="0"/>
        <w:autoSpaceDN w:val="0"/>
        <w:adjustRightInd w:val="0"/>
        <w:rPr>
          <w:rFonts w:eastAsia="Calibri" w:cs="Times New Roman"/>
        </w:rPr>
      </w:pPr>
    </w:p>
    <w:p w14:paraId="4E66C5A6" w14:textId="77777777" w:rsidR="00842D3D" w:rsidRPr="00842D3D" w:rsidRDefault="00842D3D" w:rsidP="00842D3D">
      <w:pPr>
        <w:autoSpaceDE w:val="0"/>
        <w:autoSpaceDN w:val="0"/>
        <w:adjustRightInd w:val="0"/>
        <w:rPr>
          <w:rFonts w:eastAsia="Calibri" w:cs="Times New Roman"/>
          <w:i/>
          <w:u w:val="single"/>
        </w:rPr>
      </w:pPr>
      <w:r w:rsidRPr="00842D3D">
        <w:rPr>
          <w:rFonts w:eastAsia="Calibri" w:cs="Times New Roman"/>
        </w:rPr>
        <w:tab/>
        <w:t>[A person acts “intentionally” when the person acts with a conscious objective to engage in particular conduct. Therefore, the plaintiff must prove that the defendant intended to [</w:t>
      </w:r>
      <w:r w:rsidRPr="00842D3D">
        <w:rPr>
          <w:rFonts w:eastAsia="Calibri" w:cs="Times New Roman"/>
          <w:i/>
          <w:u w:val="single"/>
        </w:rPr>
        <w:t>insert</w:t>
      </w:r>
    </w:p>
    <w:p w14:paraId="57B9557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u w:val="single"/>
        </w:rPr>
        <w:t>the factual basis for the plaintiff’s claim</w:t>
      </w:r>
      <w:r w:rsidRPr="00842D3D">
        <w:rPr>
          <w:rFonts w:eastAsia="Calibri" w:cs="Times New Roman"/>
        </w:rPr>
        <w:t>]. It is not enough to prove that the defendant</w:t>
      </w:r>
    </w:p>
    <w:p w14:paraId="7C114A4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negligently or accidentally engaged in that action. But while the plaintiff must prove that the</w:t>
      </w:r>
    </w:p>
    <w:p w14:paraId="3E5AF2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defendant intended to act; the plaintiff need not prove that the defendant intended to violate the</w:t>
      </w:r>
    </w:p>
    <w:p w14:paraId="4222D76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plaintiff’s Fourth Amendment rights.]</w:t>
      </w:r>
    </w:p>
    <w:p w14:paraId="4DAD83B2" w14:textId="77777777" w:rsidR="00842D3D" w:rsidRPr="00842D3D" w:rsidRDefault="00842D3D" w:rsidP="00842D3D">
      <w:pPr>
        <w:autoSpaceDE w:val="0"/>
        <w:autoSpaceDN w:val="0"/>
        <w:adjustRightInd w:val="0"/>
        <w:rPr>
          <w:rFonts w:eastAsia="Calibri" w:cs="Times New Roman"/>
        </w:rPr>
      </w:pPr>
    </w:p>
    <w:p w14:paraId="14A22D3E"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2CAE5461" w14:textId="77777777" w:rsidR="00842D3D" w:rsidRPr="00842D3D" w:rsidRDefault="00842D3D" w:rsidP="00842D3D">
      <w:pPr>
        <w:autoSpaceDE w:val="0"/>
        <w:autoSpaceDN w:val="0"/>
        <w:adjustRightInd w:val="0"/>
        <w:rPr>
          <w:rFonts w:eastAsia="Calibri" w:cs="Times New Roman"/>
        </w:rPr>
      </w:pPr>
    </w:p>
    <w:p w14:paraId="36E7D133" w14:textId="08BDE486" w:rsidR="00842D3D" w:rsidRPr="00842D3D" w:rsidRDefault="00842D3D" w:rsidP="00842D3D">
      <w:pPr>
        <w:autoSpaceDE w:val="0"/>
        <w:autoSpaceDN w:val="0"/>
        <w:adjustRightInd w:val="0"/>
        <w:rPr>
          <w:rFonts w:eastAsia="Calibri" w:cs="Times New Roman"/>
        </w:rPr>
      </w:pPr>
      <w:r w:rsidRPr="00842D3D">
        <w:rPr>
          <w:rFonts w:eastAsia="Calibri" w:cs="Times New Roman"/>
        </w:rPr>
        <w:tab/>
        <w:t>Use this instruction only in conjunction with the applicable elements instructions, Instructions 9.3-9.8, and with an appropriate definition of an unreasonable seizure such as Instructions 9.2</w:t>
      </w:r>
      <w:r w:rsidR="00047AF1">
        <w:rPr>
          <w:rFonts w:eastAsia="Calibri" w:cs="Times New Roman"/>
        </w:rPr>
        <w:t>3</w:t>
      </w:r>
      <w:r w:rsidRPr="00842D3D">
        <w:rPr>
          <w:rFonts w:eastAsia="Calibri" w:cs="Times New Roman"/>
        </w:rPr>
        <w:t>-9.2</w:t>
      </w:r>
      <w:r w:rsidR="00047AF1">
        <w:rPr>
          <w:rFonts w:eastAsia="Calibri" w:cs="Times New Roman"/>
        </w:rPr>
        <w:t>7</w:t>
      </w:r>
      <w:r w:rsidRPr="00842D3D">
        <w:rPr>
          <w:rFonts w:eastAsia="Calibri" w:cs="Times New Roman"/>
        </w:rPr>
        <w:t>.</w:t>
      </w:r>
    </w:p>
    <w:p w14:paraId="765161B3" w14:textId="77777777" w:rsidR="00842D3D" w:rsidRPr="00842D3D" w:rsidRDefault="00842D3D" w:rsidP="00842D3D">
      <w:pPr>
        <w:autoSpaceDE w:val="0"/>
        <w:autoSpaceDN w:val="0"/>
        <w:adjustRightInd w:val="0"/>
        <w:rPr>
          <w:rFonts w:eastAsia="Calibri" w:cs="Times New Roman"/>
        </w:rPr>
      </w:pPr>
    </w:p>
    <w:p w14:paraId="2B1DF7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37ACE3DC" w14:textId="77777777" w:rsidR="00842D3D" w:rsidRPr="00842D3D" w:rsidRDefault="00842D3D" w:rsidP="00842D3D">
      <w:pPr>
        <w:autoSpaceDE w:val="0"/>
        <w:autoSpaceDN w:val="0"/>
        <w:adjustRightInd w:val="0"/>
        <w:rPr>
          <w:rFonts w:eastAsia="Calibri" w:cs="Times New Roman"/>
        </w:rPr>
      </w:pPr>
    </w:p>
    <w:p w14:paraId="7EAE3A2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842D3D">
        <w:rPr>
          <w:rFonts w:eastAsia="Calibri" w:cs="Times New Roman"/>
          <w:i/>
        </w:rPr>
        <w:t>Graham v. Connor</w:t>
      </w:r>
      <w:r w:rsidRPr="00842D3D">
        <w:rPr>
          <w:rFonts w:eastAsia="Calibri" w:cs="Times New Roman"/>
        </w:rPr>
        <w:t xml:space="preserve">, 490 U.S. 386, 395 n.10 (1989) (omissions in original) (quoting </w:t>
      </w:r>
      <w:r w:rsidRPr="00842D3D">
        <w:rPr>
          <w:rFonts w:eastAsia="Calibri" w:cs="Times New Roman"/>
          <w:i/>
        </w:rPr>
        <w:t>Terry v. Ohio</w:t>
      </w:r>
      <w:r w:rsidRPr="00842D3D">
        <w:rPr>
          <w:rFonts w:eastAsia="Calibri" w:cs="Times New Roman"/>
        </w:rPr>
        <w:t xml:space="preserve">, 392 U.S. 1, 19 n.16 (1968)). This may occur through coercion, physical force, or a show of authority. </w:t>
      </w:r>
      <w:r w:rsidRPr="00842D3D">
        <w:rPr>
          <w:rFonts w:eastAsia="Calibri" w:cs="Times New Roman"/>
          <w:i/>
        </w:rPr>
        <w:t>United States v. Chan-Jimenez</w:t>
      </w:r>
      <w:r w:rsidRPr="00842D3D">
        <w:rPr>
          <w:rFonts w:eastAsia="Calibri" w:cs="Times New Roman"/>
        </w:rPr>
        <w:t xml:space="preserve">, 125 F.3d 1324, 1326 (9th Cir. 1997). A person’s liberty is restrained when, “taking into account all of the circumstances surrounding the encounter, the police conduct would ‘have communicated to a reasonable person that he was not at liberty to ignore the police presence and go about his business.’” </w:t>
      </w:r>
      <w:r w:rsidRPr="00842D3D">
        <w:rPr>
          <w:rFonts w:eastAsia="Calibri" w:cs="Times New Roman"/>
          <w:i/>
        </w:rPr>
        <w:t>Florida v. Bostick</w:t>
      </w:r>
      <w:r w:rsidRPr="00842D3D">
        <w:rPr>
          <w:rFonts w:eastAsia="Calibri" w:cs="Times New Roman"/>
        </w:rPr>
        <w:t>, 501 U.S. 429, 437 (1991</w:t>
      </w:r>
      <w:r w:rsidRPr="00842D3D">
        <w:rPr>
          <w:rFonts w:eastAsia="Calibri" w:cs="Times New Roman"/>
          <w:szCs w:val="24"/>
        </w:rPr>
        <w:t>);</w:t>
      </w:r>
      <w:r w:rsidRPr="00842D3D">
        <w:rPr>
          <w:rFonts w:eastAsia="Calibri" w:cs="Times New Roman"/>
        </w:rPr>
        <w:t xml:space="preserve"> </w:t>
      </w:r>
      <w:r w:rsidRPr="00842D3D">
        <w:rPr>
          <w:rFonts w:eastAsia="Calibri" w:cs="Times New Roman"/>
          <w:i/>
        </w:rPr>
        <w:t>see also Dees v. County of San Diego</w:t>
      </w:r>
      <w:r w:rsidRPr="00842D3D">
        <w:rPr>
          <w:rFonts w:eastAsia="Calibri" w:cs="Times New Roman"/>
        </w:rPr>
        <w:t>, 960 F.3d 1145, 1154 (9th Cir. 2020)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w:t>
      </w:r>
    </w:p>
    <w:p w14:paraId="7CF9ABBA" w14:textId="77777777" w:rsidR="00842D3D" w:rsidRPr="00842D3D" w:rsidRDefault="00842D3D" w:rsidP="00842D3D">
      <w:pPr>
        <w:autoSpaceDE w:val="0"/>
        <w:autoSpaceDN w:val="0"/>
        <w:adjustRightInd w:val="0"/>
        <w:rPr>
          <w:rFonts w:eastAsia="Calibri" w:cs="Times New Roman"/>
        </w:rPr>
      </w:pPr>
    </w:p>
    <w:p w14:paraId="113DFC6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 seizure requires the use of force with an intent to restrain. The Supreme Court has defined a seizure of a person as “a governmental termination of freedom of movement </w:t>
      </w:r>
      <w:r w:rsidRPr="00842D3D">
        <w:rPr>
          <w:rFonts w:eastAsia="Calibri" w:cs="Times New Roman"/>
          <w:i/>
        </w:rPr>
        <w:t>through means intentionally applied</w:t>
      </w:r>
      <w:r w:rsidRPr="00842D3D">
        <w:rPr>
          <w:rFonts w:eastAsia="Calibri" w:cs="Times New Roman"/>
        </w:rPr>
        <w:t xml:space="preserve">.” </w:t>
      </w:r>
      <w:r w:rsidRPr="00842D3D">
        <w:rPr>
          <w:rFonts w:eastAsia="Calibri" w:cs="Times New Roman"/>
          <w:i/>
        </w:rPr>
        <w:t>Brower v. County of Inyo</w:t>
      </w:r>
      <w:r w:rsidRPr="00842D3D">
        <w:rPr>
          <w:rFonts w:eastAsia="Calibri" w:cs="Times New Roman"/>
        </w:rPr>
        <w:t xml:space="preserve">, 489 U.S. 593, 596-97 (1989) (emphasis in original); </w:t>
      </w:r>
      <w:r w:rsidRPr="00842D3D">
        <w:rPr>
          <w:rFonts w:eastAsia="Calibri" w:cs="Times New Roman"/>
          <w:i/>
        </w:rPr>
        <w:t>see also</w:t>
      </w:r>
      <w:r w:rsidRPr="00842D3D">
        <w:rPr>
          <w:rFonts w:eastAsia="Calibri" w:cs="Times New Roman"/>
        </w:rPr>
        <w:t xml:space="preserve"> </w:t>
      </w:r>
      <w:r w:rsidRPr="00842D3D">
        <w:rPr>
          <w:rFonts w:eastAsia="Calibri" w:cs="Times New Roman"/>
          <w:i/>
        </w:rPr>
        <w:t>Torres v. Madrid,</w:t>
      </w:r>
      <w:r w:rsidRPr="00842D3D">
        <w:rPr>
          <w:rFonts w:eastAsia="Calibri" w:cs="Times New Roman"/>
        </w:rPr>
        <w:t xml:space="preserve"> 592 U.S. 306, 317 (2021) (“A seizure requires the use of force with intent to restrain. Accidental force will not qualify.”); </w:t>
      </w:r>
      <w:r w:rsidRPr="00842D3D">
        <w:rPr>
          <w:rFonts w:eastAsia="Calibri" w:cs="Times New Roman"/>
          <w:i/>
        </w:rPr>
        <w:t>Brendlin v. California</w:t>
      </w:r>
      <w:r w:rsidRPr="00842D3D">
        <w:rPr>
          <w:rFonts w:eastAsia="Calibri" w:cs="Times New Roman"/>
        </w:rPr>
        <w:t xml:space="preserve">, 551 U.S. 249, 254 (2007). Thus, this instruction includes an optional definition of the term “intentionally” for use when it would be helpful to the jury. </w:t>
      </w:r>
      <w:r w:rsidRPr="00842D3D">
        <w:rPr>
          <w:rFonts w:eastAsia="Calibri" w:cs="Times New Roman"/>
          <w:szCs w:val="24"/>
        </w:rPr>
        <w:t>“[A]</w:t>
      </w:r>
      <w:r w:rsidRPr="00842D3D">
        <w:rPr>
          <w:rFonts w:eastAsia="Calibri" w:cs="Times New Roman"/>
        </w:rPr>
        <w:t xml:space="preserve"> passenger struck by a bullet intended to stop the driver of a vehicle” has been seized. </w:t>
      </w:r>
      <w:r w:rsidRPr="00842D3D">
        <w:rPr>
          <w:rFonts w:eastAsia="Calibri" w:cs="Times New Roman"/>
          <w:i/>
        </w:rPr>
        <w:t>Villanueva v. California</w:t>
      </w:r>
      <w:r w:rsidRPr="00842D3D">
        <w:rPr>
          <w:rFonts w:eastAsia="Calibri" w:cs="Times New Roman"/>
        </w:rPr>
        <w:t xml:space="preserve">, 986 F.3d 1158, 1165 (9th Cir. 2021). Further, “the inquiry into the intentionality of the use of force considers ‘whether the challenged conduct </w:t>
      </w:r>
      <w:r w:rsidRPr="00842D3D">
        <w:rPr>
          <w:rFonts w:eastAsia="Calibri" w:cs="Times New Roman"/>
          <w:i/>
          <w:iCs/>
        </w:rPr>
        <w:t xml:space="preserve">objectively </w:t>
      </w:r>
      <w:r w:rsidRPr="00842D3D">
        <w:rPr>
          <w:rFonts w:eastAsia="Calibri" w:cs="Times New Roman"/>
        </w:rPr>
        <w:t xml:space="preserve">manifests an intent to restrain.’” </w:t>
      </w:r>
      <w:r w:rsidRPr="00842D3D">
        <w:rPr>
          <w:rFonts w:eastAsia="Calibri" w:cs="Times New Roman"/>
          <w:i/>
          <w:iCs/>
        </w:rPr>
        <w:t>Cheairs v. City of Seattle</w:t>
      </w:r>
      <w:r w:rsidRPr="00842D3D">
        <w:rPr>
          <w:rFonts w:eastAsia="Calibri" w:cs="Times New Roman"/>
        </w:rPr>
        <w:t xml:space="preserve">, 145 F.4th 1233, 1240 (9th Cir. 2025) (quoting </w:t>
      </w:r>
      <w:r w:rsidRPr="00842D3D">
        <w:rPr>
          <w:rFonts w:eastAsia="Calibri" w:cs="Times New Roman"/>
          <w:i/>
          <w:iCs/>
        </w:rPr>
        <w:t xml:space="preserve">Torres, </w:t>
      </w:r>
      <w:r w:rsidRPr="00842D3D">
        <w:rPr>
          <w:rFonts w:eastAsia="Calibri" w:cs="Times New Roman"/>
        </w:rPr>
        <w:t xml:space="preserve">592 U.S. at 317). </w:t>
      </w:r>
    </w:p>
    <w:p w14:paraId="1207C7D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lastRenderedPageBreak/>
        <w:t xml:space="preserve">In </w:t>
      </w:r>
      <w:r w:rsidRPr="00842D3D">
        <w:rPr>
          <w:rFonts w:eastAsia="Calibri" w:cs="Times New Roman"/>
          <w:i/>
          <w:iCs/>
        </w:rPr>
        <w:t>Sanderlin v. Panighetti</w:t>
      </w:r>
      <w:r w:rsidRPr="00842D3D">
        <w:rPr>
          <w:rFonts w:eastAsia="Calibri" w:cs="Times New Roman"/>
        </w:rPr>
        <w:t xml:space="preserve">, the Ninth Circuit held that the defendant seized the plaintiff when he “intentionally applied physical force, and as a result, [the plaintiff’s] ‘freedom of movement [was] restrained.’” 116 F.4th 905, 912 (9th Cir. 2024) (citation omitted). It did not matter that the defendant’s incapacitation of the plaintiff was limited in duration nor was it relevant that the plaintiff was able to walk away. </w:t>
      </w:r>
      <w:r w:rsidRPr="00842D3D">
        <w:rPr>
          <w:rFonts w:eastAsia="Calibri" w:cs="Times New Roman"/>
          <w:i/>
          <w:iCs/>
        </w:rPr>
        <w:t>Id.</w:t>
      </w:r>
      <w:r w:rsidRPr="00842D3D">
        <w:rPr>
          <w:rFonts w:eastAsia="Calibri" w:cs="Times New Roman"/>
        </w:rPr>
        <w:t xml:space="preserve"> Further, the method of force that the defendant used—firing foam batons—incapacitated its target, and a reasonable trier of fact could conclude that by firing a projectile at plaintiff, the defendant objectively manifested an intent to restrain the plaintiff. </w:t>
      </w:r>
      <w:r w:rsidRPr="00842D3D">
        <w:rPr>
          <w:rFonts w:eastAsia="Calibri" w:cs="Times New Roman"/>
          <w:i/>
          <w:iCs/>
        </w:rPr>
        <w:t>Id.</w:t>
      </w:r>
      <w:r w:rsidRPr="00842D3D">
        <w:rPr>
          <w:rFonts w:eastAsia="Calibri" w:cs="Times New Roman"/>
        </w:rPr>
        <w:t xml:space="preserve"> The defendant’s subjective intent was irrelevant.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 Cheairs</w:t>
      </w:r>
      <w:r w:rsidRPr="00842D3D">
        <w:rPr>
          <w:rFonts w:eastAsia="Calibri" w:cs="Times New Roman"/>
        </w:rPr>
        <w:t>, 145 F.4th at 1246 (holding that the use of blast ball thrown overhand in the space between protestors and the police line, as an alleged objective intent to restrain, was not amenable to summary judgment).</w:t>
      </w:r>
    </w:p>
    <w:p w14:paraId="4F8967B4" w14:textId="77777777" w:rsidR="00842D3D" w:rsidRPr="00842D3D" w:rsidRDefault="00842D3D" w:rsidP="00842D3D">
      <w:pPr>
        <w:autoSpaceDE w:val="0"/>
        <w:autoSpaceDN w:val="0"/>
        <w:adjustRightInd w:val="0"/>
        <w:rPr>
          <w:rFonts w:eastAsia="Calibri" w:cs="Times New Roman"/>
        </w:rPr>
      </w:pPr>
    </w:p>
    <w:p w14:paraId="75D5830C" w14:textId="1A5B789A" w:rsidR="000B1AED" w:rsidRDefault="00842D3D" w:rsidP="00842D3D">
      <w:pPr>
        <w:autoSpaceDE w:val="0"/>
        <w:autoSpaceDN w:val="0"/>
        <w:adjustRightInd w:val="0"/>
        <w:ind w:firstLine="720"/>
        <w:rPr>
          <w:rFonts w:eastAsia="Calibri" w:cs="Times New Roman"/>
        </w:rPr>
      </w:pPr>
      <w:r w:rsidRPr="00842D3D">
        <w:rPr>
          <w:rFonts w:eastAsia="Calibri" w:cs="Times New Roman"/>
        </w:rPr>
        <w:t xml:space="preserve">A seizure, however, “does not occur simply because a police officer approaches an individual and asks a few questions.” </w:t>
      </w:r>
      <w:r w:rsidRPr="00842D3D">
        <w:rPr>
          <w:rFonts w:eastAsia="Calibri" w:cs="Times New Roman"/>
          <w:i/>
        </w:rPr>
        <w:t>Bostick,</w:t>
      </w:r>
      <w:r w:rsidRPr="00842D3D">
        <w:rPr>
          <w:rFonts w:eastAsia="Calibri" w:cs="Times New Roman"/>
        </w:rPr>
        <w:t xml:space="preserve"> 501 U.S. at 434; </w:t>
      </w:r>
      <w:r w:rsidRPr="00842D3D">
        <w:rPr>
          <w:rFonts w:eastAsia="Calibri" w:cs="Times New Roman"/>
          <w:i/>
        </w:rPr>
        <w:t>accord United States v. Brown</w:t>
      </w:r>
      <w:r w:rsidRPr="00842D3D">
        <w:rPr>
          <w:rFonts w:eastAsia="Calibri" w:cs="Times New Roman"/>
        </w:rPr>
        <w:t xml:space="preserve">, 996 F.3d 998, 1005 (9th Cir. 2021). The general rule is that “a person has been ‘seized’ within the meaning of the Fourth Amendment only if, in view of all of the circumstances surrounding the incident, a reasonable person would have believed that he was not free to leave.” </w:t>
      </w:r>
      <w:r w:rsidRPr="00842D3D">
        <w:rPr>
          <w:rFonts w:eastAsia="Calibri" w:cs="Times New Roman"/>
          <w:i/>
        </w:rPr>
        <w:t>United States v. Mendenhall</w:t>
      </w:r>
      <w:r w:rsidRPr="00842D3D">
        <w:rPr>
          <w:rFonts w:eastAsia="Calibri" w:cs="Times New Roman"/>
        </w:rPr>
        <w:t xml:space="preserve">, 446 U.S. 544, 554 (1980) (“characterizing every street encounter between a citizen and the police as a ‘seizure,’ while not enhancing any interest secured by the Fourth Amendment, would impose wholly unrealistic restrictions upon a wide variety of legitimate law enforcement practices”); </w:t>
      </w:r>
      <w:r w:rsidRPr="00842D3D">
        <w:rPr>
          <w:rFonts w:eastAsia="Calibri" w:cs="Times New Roman"/>
          <w:i/>
        </w:rPr>
        <w:t>see also Dees</w:t>
      </w:r>
      <w:r w:rsidRPr="00842D3D">
        <w:rPr>
          <w:rFonts w:eastAsia="Calibri" w:cs="Times New Roman"/>
        </w:rPr>
        <w:t>,</w:t>
      </w:r>
      <w:r w:rsidRPr="00842D3D">
        <w:rPr>
          <w:rFonts w:eastAsia="Calibri" w:cs="Times New Roman"/>
          <w:i/>
        </w:rPr>
        <w:t xml:space="preserve"> </w:t>
      </w:r>
      <w:r w:rsidRPr="00842D3D">
        <w:rPr>
          <w:rFonts w:eastAsia="Calibri" w:cs="Times New Roman"/>
        </w:rPr>
        <w:t xml:space="preserve">960 F.3d </w:t>
      </w:r>
      <w:r w:rsidRPr="00842D3D">
        <w:rPr>
          <w:rFonts w:eastAsia="Calibri" w:cs="Times New Roman"/>
          <w:szCs w:val="24"/>
        </w:rPr>
        <w:t>at</w:t>
      </w:r>
      <w:r w:rsidRPr="00842D3D">
        <w:rPr>
          <w:rFonts w:eastAsia="Calibri" w:cs="Times New Roman"/>
        </w:rPr>
        <w:t xml:space="preserve"> 1154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In addition, a seizure “requires either physical force . . . or, where that is absent, submission to the assertion of authority.” </w:t>
      </w:r>
      <w:r w:rsidRPr="00842D3D">
        <w:rPr>
          <w:rFonts w:eastAsia="Calibri" w:cs="Times New Roman"/>
          <w:i/>
        </w:rPr>
        <w:t>California v. Hodari D</w:t>
      </w:r>
      <w:r w:rsidRPr="00842D3D">
        <w:rPr>
          <w:rFonts w:eastAsia="Calibri" w:cs="Times New Roman"/>
        </w:rPr>
        <w:t xml:space="preserve">., 499 U.S. 621, 626 (1991); </w:t>
      </w:r>
      <w:r w:rsidRPr="00842D3D">
        <w:rPr>
          <w:rFonts w:eastAsia="Calibri" w:cs="Times New Roman"/>
          <w:i/>
        </w:rPr>
        <w:t>Hill v. City of Fountain Valley</w:t>
      </w:r>
      <w:r w:rsidRPr="00842D3D">
        <w:rPr>
          <w:rFonts w:eastAsia="Calibri" w:cs="Times New Roman"/>
        </w:rPr>
        <w:t xml:space="preserve">, 70 F.4th 507, 514 (9th Cir. 2023) (“Put another way, if a plaintiff did not comply with an officer’s orders, then the officer did not seize the plaintiff.”). </w:t>
      </w:r>
      <w:r w:rsidR="000B1AED">
        <w:rPr>
          <w:rFonts w:eastAsia="Calibri" w:cs="Times New Roman"/>
          <w:i/>
          <w:iCs/>
        </w:rPr>
        <w:t xml:space="preserve">See also </w:t>
      </w:r>
      <w:r w:rsidR="000B1AED" w:rsidRPr="00562F1D">
        <w:rPr>
          <w:rFonts w:eastAsia="Calibri" w:cs="Times New Roman"/>
          <w:i/>
          <w:iCs/>
        </w:rPr>
        <w:t>Hawatmeh v. City of Henderson</w:t>
      </w:r>
      <w:r w:rsidR="000B1AED" w:rsidRPr="00562F1D">
        <w:rPr>
          <w:rFonts w:eastAsia="Calibri" w:cs="Times New Roman"/>
        </w:rPr>
        <w:t>, 159 F.4th 591 (9th Cir. 2025)</w:t>
      </w:r>
      <w:r w:rsidR="000B1AED">
        <w:rPr>
          <w:rFonts w:eastAsia="Calibri" w:cs="Times New Roman"/>
        </w:rPr>
        <w:t xml:space="preserve"> (dismissing complaint where Plaintiff did not plausibly allege seizure in a specific hostage situation)</w:t>
      </w:r>
      <w:r w:rsidR="000B1AED" w:rsidRPr="000751B4">
        <w:rPr>
          <w:rFonts w:eastAsia="Calibri" w:cs="Times New Roman"/>
        </w:rPr>
        <w:t>.</w:t>
      </w:r>
    </w:p>
    <w:p w14:paraId="01540909" w14:textId="77777777" w:rsidR="000B1AED" w:rsidRDefault="000B1AED" w:rsidP="00842D3D">
      <w:pPr>
        <w:autoSpaceDE w:val="0"/>
        <w:autoSpaceDN w:val="0"/>
        <w:adjustRightInd w:val="0"/>
        <w:ind w:firstLine="720"/>
        <w:rPr>
          <w:rFonts w:eastAsia="Calibri" w:cs="Times New Roman"/>
        </w:rPr>
      </w:pPr>
    </w:p>
    <w:p w14:paraId="655C48DE" w14:textId="1B114A1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Attempted seizures are not protected by the Fourth Amendment. </w:t>
      </w:r>
      <w:r w:rsidRPr="00842D3D">
        <w:rPr>
          <w:rFonts w:eastAsia="Calibri" w:cs="Times New Roman"/>
          <w:i/>
        </w:rPr>
        <w:t>County of Sacramento v. Lewis</w:t>
      </w:r>
      <w:r w:rsidRPr="00842D3D">
        <w:rPr>
          <w:rFonts w:eastAsia="Calibri" w:cs="Times New Roman"/>
        </w:rPr>
        <w:t>, 523 U.S. 833, 845 n.7 (1998) (“Attempted seizures . . .</w:t>
      </w:r>
      <w:r w:rsidRPr="00842D3D">
        <w:rPr>
          <w:rFonts w:eastAsia="Calibri" w:cs="Times New Roman"/>
          <w:szCs w:val="24"/>
        </w:rPr>
        <w:t xml:space="preserve"> are beyond the scope of the Fourth Amendment.”); </w:t>
      </w:r>
      <w:r w:rsidRPr="00842D3D">
        <w:rPr>
          <w:rFonts w:eastAsia="Calibri" w:cs="Times New Roman"/>
          <w:i/>
          <w:iCs/>
          <w:szCs w:val="24"/>
        </w:rPr>
        <w:t>Cuevas v. City of Tulare</w:t>
      </w:r>
      <w:r w:rsidRPr="00842D3D">
        <w:rPr>
          <w:rFonts w:eastAsia="Calibri" w:cs="Times New Roman"/>
          <w:szCs w:val="24"/>
        </w:rPr>
        <w:t xml:space="preserve">, 107 F.4th 894, 899 (9th Cir. 2024) (holding that a driver was not seized when the driver’s vehicle became stuck in the mud on the roadside as driver attempted to flee a felony stop but was seized when officer put police canine through broken window of vehicle, instructing canine to bite driver, and when officers fired at driver after driver shot the canine and his handler). An “application of force with an objective intent merely to </w:t>
      </w:r>
      <w:r w:rsidRPr="00842D3D">
        <w:rPr>
          <w:rFonts w:eastAsia="Calibri" w:cs="Times New Roman"/>
          <w:i/>
          <w:iCs/>
          <w:szCs w:val="24"/>
        </w:rPr>
        <w:t>disperse or exclude</w:t>
      </w:r>
      <w:r w:rsidRPr="00842D3D">
        <w:rPr>
          <w:rFonts w:eastAsia="Calibri" w:cs="Times New Roman"/>
          <w:szCs w:val="24"/>
        </w:rPr>
        <w:t xml:space="preserve"> persons from an area—and without any measures objectively aimed at detaining or confining them in the process—does not involve the necessary ‘intent to restrain’ that might give rise to a ‘seizure.’” </w:t>
      </w:r>
      <w:r w:rsidRPr="00842D3D">
        <w:rPr>
          <w:rFonts w:eastAsia="Calibri" w:cs="Times New Roman"/>
          <w:i/>
          <w:iCs/>
          <w:szCs w:val="24"/>
        </w:rPr>
        <w:t>Puente v City of Phoenix</w:t>
      </w:r>
      <w:r w:rsidRPr="00842D3D">
        <w:rPr>
          <w:rFonts w:eastAsia="Calibri" w:cs="Times New Roman"/>
          <w:szCs w:val="24"/>
        </w:rPr>
        <w:t xml:space="preserve">, 123 F.4th 1035, 1052 (9th Cir. 2024) (emphasis in original) (holding that the use of chemical irritants to disperse a crowd did not constitute a seizure because there was no basis in the record for concluding that it was undertaken with the necessary objective intent to restrain). </w:t>
      </w:r>
    </w:p>
    <w:p w14:paraId="20645CBE" w14:textId="77777777" w:rsidR="00842D3D" w:rsidRPr="00842D3D" w:rsidRDefault="00842D3D" w:rsidP="00842D3D">
      <w:pPr>
        <w:autoSpaceDE w:val="0"/>
        <w:autoSpaceDN w:val="0"/>
        <w:adjustRightInd w:val="0"/>
        <w:rPr>
          <w:rFonts w:eastAsia="Calibri" w:cs="Times New Roman"/>
        </w:rPr>
      </w:pPr>
    </w:p>
    <w:p w14:paraId="4546B4AC"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In determining whether a reasonable person would have felt free to ignore police presence, the Ninth Circuit considers five factors: “(1) the number of officers; (2) whether </w:t>
      </w:r>
      <w:r w:rsidRPr="00842D3D">
        <w:rPr>
          <w:rFonts w:eastAsia="Calibri" w:cs="Times New Roman"/>
        </w:rPr>
        <w:lastRenderedPageBreak/>
        <w:t xml:space="preserve">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842D3D">
        <w:rPr>
          <w:rFonts w:eastAsia="Calibri" w:cs="Times New Roman"/>
          <w:i/>
        </w:rPr>
        <w:t>United States v. Brown</w:t>
      </w:r>
      <w:r w:rsidRPr="00842D3D">
        <w:rPr>
          <w:rFonts w:eastAsia="Calibri" w:cs="Times New Roman"/>
        </w:rPr>
        <w:t xml:space="preserve">, 563 F.3d 410, 415 (9th Cir. 2009) (quoting </w:t>
      </w:r>
      <w:r w:rsidRPr="00842D3D">
        <w:rPr>
          <w:rFonts w:eastAsia="Calibri" w:cs="Times New Roman"/>
          <w:i/>
        </w:rPr>
        <w:t>United States</w:t>
      </w:r>
    </w:p>
    <w:p w14:paraId="448E0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v. Washington</w:t>
      </w:r>
      <w:r w:rsidRPr="00842D3D">
        <w:rPr>
          <w:rFonts w:eastAsia="Calibri" w:cs="Times New Roman"/>
        </w:rPr>
        <w:t xml:space="preserve">, 387 F.3d 1060, 1068 (9th Cir. 2004)). In </w:t>
      </w:r>
      <w:r w:rsidRPr="00842D3D">
        <w:rPr>
          <w:rFonts w:eastAsia="Calibri" w:cs="Times New Roman"/>
          <w:i/>
        </w:rPr>
        <w:t>Morgan v. Woessner</w:t>
      </w:r>
      <w:r w:rsidRPr="00842D3D">
        <w:rPr>
          <w:rFonts w:eastAsia="Calibri" w:cs="Times New Roman"/>
        </w:rPr>
        <w:t>, 997 F.2d 1244 (9th Cir. 1993), the Ninth Circuit explained that “stops” under the Fourth Amendment fall into three categories:</w:t>
      </w:r>
    </w:p>
    <w:p w14:paraId="17C45044" w14:textId="77777777" w:rsidR="00842D3D" w:rsidRPr="00842D3D" w:rsidRDefault="00842D3D" w:rsidP="00842D3D">
      <w:pPr>
        <w:autoSpaceDE w:val="0"/>
        <w:autoSpaceDN w:val="0"/>
        <w:adjustRightInd w:val="0"/>
        <w:rPr>
          <w:rFonts w:eastAsia="Calibri" w:cs="Times New Roman"/>
        </w:rPr>
      </w:pPr>
    </w:p>
    <w:p w14:paraId="61480257"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stops may be full-scale arrests. These stops, of course, are seizures, and must be supported by probable cause.</w:t>
      </w:r>
    </w:p>
    <w:p w14:paraId="228EA1F1" w14:textId="77777777" w:rsidR="00842D3D" w:rsidRPr="00842D3D" w:rsidRDefault="00842D3D" w:rsidP="00842D3D">
      <w:pPr>
        <w:autoSpaceDE w:val="0"/>
        <w:autoSpaceDN w:val="0"/>
        <w:adjustRightInd w:val="0"/>
        <w:ind w:right="720"/>
        <w:rPr>
          <w:rFonts w:eastAsia="Calibri" w:cs="Times New Roman"/>
        </w:rPr>
      </w:pPr>
    </w:p>
    <w:p w14:paraId="54E7685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at 1252 (citations omitted).</w:t>
      </w:r>
    </w:p>
    <w:p w14:paraId="4C9A26D2" w14:textId="77777777" w:rsidR="00842D3D" w:rsidRPr="00842D3D" w:rsidRDefault="00842D3D" w:rsidP="00842D3D">
      <w:pPr>
        <w:autoSpaceDE w:val="0"/>
        <w:autoSpaceDN w:val="0"/>
        <w:adjustRightInd w:val="0"/>
        <w:rPr>
          <w:rFonts w:eastAsia="Calibri" w:cs="Times New Roman"/>
        </w:rPr>
      </w:pPr>
    </w:p>
    <w:p w14:paraId="50D02AF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Section 1983 “contains no state-of-mind requirement independent of that necessary to state a violation of the underlying constitutional right.” </w:t>
      </w:r>
      <w:r w:rsidRPr="00842D3D">
        <w:rPr>
          <w:rFonts w:eastAsia="Calibri" w:cs="Times New Roman"/>
          <w:i/>
        </w:rPr>
        <w:t>OSU Student All. v. Ray</w:t>
      </w:r>
      <w:r w:rsidRPr="00842D3D">
        <w:rPr>
          <w:rFonts w:eastAsia="Calibri" w:cs="Times New Roman"/>
        </w:rPr>
        <w:t xml:space="preserve">, 699 F.3d 1053, 1071-72 (9th Cir. 2012) (citing </w:t>
      </w:r>
      <w:r w:rsidRPr="00842D3D">
        <w:rPr>
          <w:rFonts w:eastAsia="Calibri" w:cs="Times New Roman"/>
          <w:i/>
        </w:rPr>
        <w:t>Daniels v. Williams</w:t>
      </w:r>
      <w:r w:rsidRPr="00842D3D">
        <w:rPr>
          <w:rFonts w:eastAsia="Calibri" w:cs="Times New Roman"/>
        </w:rPr>
        <w:t xml:space="preserve">, 474 U.S. 327, 328 (1986)). It is well settled that “negligent acts do not incur constitutional liability.” </w:t>
      </w:r>
      <w:r w:rsidRPr="00842D3D">
        <w:rPr>
          <w:rFonts w:eastAsia="Calibri" w:cs="Times New Roman"/>
          <w:i/>
        </w:rPr>
        <w:t>Billington v. Smith</w:t>
      </w:r>
      <w:r w:rsidRPr="00842D3D">
        <w:rPr>
          <w:rFonts w:eastAsia="Calibri" w:cs="Times New Roman"/>
        </w:rPr>
        <w:t xml:space="preserve">, 292 F.3d 1177, 1190 (9th Cir. 2002), </w:t>
      </w:r>
      <w:r w:rsidRPr="00842D3D">
        <w:rPr>
          <w:rFonts w:eastAsia="Calibri" w:cs="Times New Roman"/>
          <w:i/>
        </w:rPr>
        <w:t>abrogated on other grounds by County of Los Angeles v. Mendez</w:t>
      </w:r>
      <w:r w:rsidRPr="00842D3D">
        <w:rPr>
          <w:rFonts w:eastAsia="Calibri" w:cs="Times New Roman"/>
        </w:rPr>
        <w:t xml:space="preserve">, 581 U.S. 420 (2017). Specific intent to violate a person’s rights “is not a prerequisite to liability under § 1983.” </w:t>
      </w:r>
      <w:r w:rsidRPr="00842D3D">
        <w:rPr>
          <w:rFonts w:eastAsia="Calibri" w:cs="Times New Roman"/>
          <w:i/>
        </w:rPr>
        <w:t>Caballero v. City of Concord</w:t>
      </w:r>
      <w:r w:rsidRPr="00842D3D">
        <w:rPr>
          <w:rFonts w:eastAsia="Calibri" w:cs="Times New Roman"/>
        </w:rPr>
        <w:t xml:space="preserve">, 956 F.2d 204, 206 (9th Cir. 1992) (holding the district court erred in instructing the jury that, to prevail on his § 1983 claim for false arrest, the plaintiff was required to show that the defendant specifically intended to deprive him of his constitutional rights). </w:t>
      </w:r>
    </w:p>
    <w:p w14:paraId="5D0E30E8" w14:textId="77777777" w:rsidR="00842D3D" w:rsidRPr="00842D3D" w:rsidRDefault="00842D3D" w:rsidP="00842D3D">
      <w:pPr>
        <w:autoSpaceDE w:val="0"/>
        <w:autoSpaceDN w:val="0"/>
        <w:adjustRightInd w:val="0"/>
        <w:rPr>
          <w:rFonts w:eastAsia="Calibri" w:cs="Times New Roman"/>
        </w:rPr>
      </w:pPr>
    </w:p>
    <w:p w14:paraId="04771DEF" w14:textId="77777777" w:rsidR="00842D3D" w:rsidRPr="00842D3D" w:rsidRDefault="00842D3D" w:rsidP="00842D3D">
      <w:pPr>
        <w:spacing w:line="247" w:lineRule="auto"/>
        <w:ind w:left="100" w:right="206" w:firstLine="720"/>
        <w:rPr>
          <w:rFonts w:eastAsia="Calibri" w:cs="Times New Roman"/>
        </w:rPr>
      </w:pPr>
      <w:r w:rsidRPr="00842D3D">
        <w:rPr>
          <w:rFonts w:eastAsia="Calibri" w:cs="Times New Roman"/>
        </w:rPr>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rPr>
        <w:t>Scott v. City of San Bernardino</w:t>
      </w:r>
      <w:r w:rsidRPr="00842D3D">
        <w:rPr>
          <w:rFonts w:eastAsia="Calibri" w:cs="Times New Roman"/>
        </w:rPr>
        <w:t>, 903 F.3d 943, 949 (9th Cir. 2018) (affirming summary judgment in favor of</w:t>
      </w:r>
      <w:r w:rsidRPr="00842D3D">
        <w:rPr>
          <w:rFonts w:eastAsia="Calibri" w:cs="Times New Roman"/>
          <w:szCs w:val="24"/>
        </w:rPr>
        <w:t xml:space="preserve"> the</w:t>
      </w:r>
      <w:r w:rsidRPr="00842D3D">
        <w:rPr>
          <w:rFonts w:eastAsia="Calibri" w:cs="Times New Roman"/>
        </w:rPr>
        <w:t xml:space="preserve"> plaintiff middle school students unreasonably arrested without probable cause). A Fourth Amendment seizure of a bystander can occur when officers intentionally use force that injures the bystander. </w:t>
      </w:r>
      <w:r w:rsidRPr="00842D3D">
        <w:rPr>
          <w:rFonts w:eastAsia="Calibri" w:cs="Times New Roman"/>
          <w:i/>
        </w:rPr>
        <w:t>Villanueva v. California</w:t>
      </w:r>
      <w:r w:rsidRPr="00842D3D">
        <w:rPr>
          <w:rFonts w:eastAsia="Calibri" w:cs="Times New Roman"/>
        </w:rPr>
        <w:t xml:space="preserve">, 986 F.3d 1158, 1168 (9th Cir. 2021) (citing </w:t>
      </w:r>
      <w:r w:rsidRPr="00842D3D">
        <w:rPr>
          <w:rFonts w:eastAsia="Calibri" w:cs="Times New Roman"/>
          <w:i/>
        </w:rPr>
        <w:t>Nelson v. City of Davis</w:t>
      </w:r>
      <w:r w:rsidRPr="00842D3D">
        <w:rPr>
          <w:rFonts w:eastAsia="Calibri" w:cs="Times New Roman"/>
        </w:rPr>
        <w:t>, 685 F.3d 867, 876 (9th Cir. 2012)).</w:t>
      </w:r>
    </w:p>
    <w:p w14:paraId="68C411A5" w14:textId="77777777" w:rsidR="00842D3D" w:rsidRPr="00842D3D" w:rsidRDefault="00842D3D" w:rsidP="00842D3D">
      <w:pPr>
        <w:autoSpaceDE w:val="0"/>
        <w:autoSpaceDN w:val="0"/>
        <w:adjustRightInd w:val="0"/>
        <w:rPr>
          <w:rFonts w:eastAsia="Calibri" w:cs="Times New Roman"/>
        </w:rPr>
      </w:pPr>
    </w:p>
    <w:p w14:paraId="44E5CD2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842D3D">
        <w:rPr>
          <w:rFonts w:eastAsia="Calibri" w:cs="Times New Roman"/>
          <w:i/>
        </w:rPr>
        <w:t>See, e.g.</w:t>
      </w:r>
      <w:r w:rsidRPr="00842D3D">
        <w:rPr>
          <w:rFonts w:eastAsia="Calibri" w:cs="Times New Roman"/>
          <w:iCs/>
        </w:rPr>
        <w:t>,</w:t>
      </w:r>
      <w:r w:rsidRPr="00842D3D">
        <w:rPr>
          <w:rFonts w:eastAsia="Calibri" w:cs="Times New Roman"/>
          <w:i/>
        </w:rPr>
        <w:t xml:space="preserve"> Kirkpatrick v. County of Washoe</w:t>
      </w:r>
      <w:r w:rsidRPr="00842D3D">
        <w:rPr>
          <w:rFonts w:eastAsia="Calibri" w:cs="Times New Roman"/>
        </w:rPr>
        <w:t xml:space="preserve">, 843 F.3d 784, 790-91 (9th Cir. 2016) (en banc) (holding that a government official may take child away from parents’ home without judicial authorization only “when officials have </w:t>
      </w:r>
      <w:r w:rsidRPr="00842D3D">
        <w:rPr>
          <w:rFonts w:eastAsia="Calibri" w:cs="Times New Roman"/>
        </w:rPr>
        <w:lastRenderedPageBreak/>
        <w:t xml:space="preserve">reasonable cause to believe that the child is likely to experience serious bodily harm in the time that would be required to obtain a warrant”); </w:t>
      </w:r>
      <w:r w:rsidRPr="00842D3D">
        <w:rPr>
          <w:rFonts w:eastAsia="Calibri" w:cs="Times New Roman"/>
          <w:i/>
        </w:rPr>
        <w:t>see also Demaree v. Pederson</w:t>
      </w:r>
      <w:r w:rsidRPr="00842D3D">
        <w:rPr>
          <w:rFonts w:eastAsia="Calibri" w:cs="Times New Roman"/>
        </w:rPr>
        <w:t xml:space="preserve">, 887 F.3d 870, 878 (9th Cir. 2018) (“There are narrow circumstances in which the government may constitutionally remove children from their families temporarily without judicial authorization.”); </w:t>
      </w:r>
      <w:r w:rsidRPr="00842D3D">
        <w:rPr>
          <w:rFonts w:eastAsia="Calibri" w:cs="Times New Roman"/>
          <w:i/>
        </w:rPr>
        <w:t>Rogers v. County of San Joaquin</w:t>
      </w:r>
      <w:r w:rsidRPr="00842D3D">
        <w:rPr>
          <w:rFonts w:eastAsia="Calibri" w:cs="Times New Roman"/>
        </w:rPr>
        <w:t>, 487 F.3d 1288, 1294 (9th Cir. 2007) (stating</w:t>
      </w:r>
      <w:r w:rsidRPr="00842D3D">
        <w:rPr>
          <w:rFonts w:eastAsia="Calibri" w:cs="Times New Roman"/>
          <w:szCs w:val="24"/>
        </w:rPr>
        <w:t xml:space="preserve"> the</w:t>
      </w:r>
      <w:r w:rsidRPr="00842D3D">
        <w:rPr>
          <w:rFonts w:eastAsia="Calibri" w:cs="Times New Roman"/>
        </w:rPr>
        <w:t xml:space="preserve"> facts did not support an imminent risk of serious bodily harm, and therefore, a warrant was required). </w:t>
      </w:r>
    </w:p>
    <w:p w14:paraId="3EFBD4FD" w14:textId="77777777" w:rsidR="00842D3D" w:rsidRPr="00842D3D" w:rsidRDefault="00842D3D" w:rsidP="00842D3D">
      <w:pPr>
        <w:autoSpaceDE w:val="0"/>
        <w:autoSpaceDN w:val="0"/>
        <w:adjustRightInd w:val="0"/>
        <w:ind w:firstLine="720"/>
        <w:rPr>
          <w:rFonts w:eastAsia="Calibri" w:cs="Times New Roman"/>
        </w:rPr>
      </w:pPr>
    </w:p>
    <w:p w14:paraId="5E26D1DD" w14:textId="7F2B6FC9"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 parent may also be able to assert a Fourteenth Amendment claim in such circumstances for interference with the parent–child relationship. </w:t>
      </w:r>
      <w:r w:rsidRPr="00842D3D">
        <w:rPr>
          <w:rFonts w:eastAsia="Calibri" w:cs="Times New Roman"/>
          <w:i/>
        </w:rPr>
        <w:t>See</w:t>
      </w:r>
      <w:r w:rsidRPr="00842D3D">
        <w:rPr>
          <w:rFonts w:eastAsia="Calibri" w:cs="Times New Roman"/>
        </w:rPr>
        <w:t xml:space="preserve"> Instruction 9.3</w:t>
      </w:r>
      <w:r w:rsidR="00047AF1">
        <w:rPr>
          <w:rFonts w:eastAsia="Calibri" w:cs="Times New Roman"/>
        </w:rPr>
        <w:t>6</w:t>
      </w:r>
      <w:r w:rsidRPr="00842D3D">
        <w:rPr>
          <w:rFonts w:eastAsia="Calibri" w:cs="Times New Roman"/>
        </w:rPr>
        <w:t xml:space="preserve"> (Particular Rights—Fourteenth Amendment—Due Process—Interference with Parent/Child Relationship).</w:t>
      </w:r>
    </w:p>
    <w:p w14:paraId="124DF0F7" w14:textId="77777777" w:rsidR="00842D3D" w:rsidRPr="00842D3D" w:rsidRDefault="00842D3D" w:rsidP="00842D3D">
      <w:pPr>
        <w:autoSpaceDE w:val="0"/>
        <w:autoSpaceDN w:val="0"/>
        <w:adjustRightInd w:val="0"/>
        <w:rPr>
          <w:rFonts w:eastAsia="Calibri" w:cs="Times New Roman"/>
        </w:rPr>
      </w:pPr>
    </w:p>
    <w:p w14:paraId="5321F9D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the court is able to determine as a matter of law that the plaintiff was seized, the Committee recommends the court instruct the jury accordingly and omit the portions of this instruction that define a seizure.</w:t>
      </w:r>
    </w:p>
    <w:p w14:paraId="597B6DB9" w14:textId="77777777" w:rsidR="00842D3D" w:rsidRPr="00842D3D" w:rsidRDefault="00842D3D" w:rsidP="00842D3D">
      <w:pPr>
        <w:autoSpaceDE w:val="0"/>
        <w:autoSpaceDN w:val="0"/>
        <w:adjustRightInd w:val="0"/>
        <w:rPr>
          <w:rFonts w:eastAsia="Calibri" w:cs="Times New Roman"/>
        </w:rPr>
      </w:pPr>
    </w:p>
    <w:p w14:paraId="098D00AE" w14:textId="77777777" w:rsidR="000B1AED" w:rsidRPr="00842D3D" w:rsidRDefault="000B1AED" w:rsidP="000B1AED">
      <w:pPr>
        <w:jc w:val="right"/>
        <w:rPr>
          <w:rFonts w:eastAsia="Calibri" w:cs="Times New Roman"/>
        </w:rPr>
      </w:pPr>
      <w:r w:rsidRPr="00842D3D">
        <w:rPr>
          <w:rFonts w:eastAsia="Calibri" w:cs="Times New Roman"/>
          <w:i/>
          <w:iCs/>
          <w:szCs w:val="24"/>
        </w:rPr>
        <w:t xml:space="preserve">Revised </w:t>
      </w:r>
      <w:r>
        <w:rPr>
          <w:rFonts w:eastAsia="Calibri" w:cs="Times New Roman"/>
          <w:i/>
          <w:iCs/>
          <w:szCs w:val="24"/>
        </w:rPr>
        <w:t>December</w:t>
      </w:r>
      <w:r w:rsidRPr="00842D3D">
        <w:rPr>
          <w:rFonts w:eastAsia="Calibri" w:cs="Times New Roman"/>
          <w:i/>
          <w:iCs/>
          <w:szCs w:val="24"/>
        </w:rPr>
        <w:t xml:space="preserve"> 2025</w:t>
      </w:r>
    </w:p>
    <w:p w14:paraId="34612A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br w:type="page"/>
      </w:r>
    </w:p>
    <w:p w14:paraId="0E99DEED" w14:textId="062A9F7F" w:rsidR="00842D3D" w:rsidRPr="00842D3D" w:rsidRDefault="00842D3D" w:rsidP="00FF121D">
      <w:pPr>
        <w:pStyle w:val="Heading2"/>
      </w:pPr>
      <w:bookmarkStart w:id="170" w:name="_Toc221525187"/>
      <w:r w:rsidRPr="00842D3D">
        <w:lastRenderedPageBreak/>
        <w:t>9.2</w:t>
      </w:r>
      <w:r w:rsidR="005F1850">
        <w:t>3</w:t>
      </w:r>
      <w:r w:rsidRPr="00842D3D">
        <w:t xml:space="preserve"> Particular Rights—Fourth Amendment—Unreasonable Seizure of Person—Exception to Warrant Requirement—</w:t>
      </w:r>
      <w:r w:rsidRPr="00842D3D">
        <w:rPr>
          <w:i/>
          <w:iCs/>
        </w:rPr>
        <w:t xml:space="preserve">Terry </w:t>
      </w:r>
      <w:r w:rsidRPr="00842D3D">
        <w:t>Stop</w:t>
      </w:r>
      <w:bookmarkEnd w:id="170"/>
    </w:p>
    <w:p w14:paraId="4009E0A5" w14:textId="77777777" w:rsidR="00842D3D" w:rsidRPr="00842D3D" w:rsidRDefault="00842D3D" w:rsidP="00842D3D">
      <w:pPr>
        <w:autoSpaceDE w:val="0"/>
        <w:autoSpaceDN w:val="0"/>
        <w:adjustRightInd w:val="0"/>
        <w:rPr>
          <w:rFonts w:eastAsia="Calibri" w:cs="Times New Roman"/>
          <w:szCs w:val="24"/>
        </w:rPr>
      </w:pPr>
    </w:p>
    <w:p w14:paraId="55FBFC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for an investigatory stop is reasonable if, under all of the circumstances known to the officer[s] at the time:</w:t>
      </w:r>
    </w:p>
    <w:p w14:paraId="3F1D01CF" w14:textId="77777777" w:rsidR="00842D3D" w:rsidRPr="00842D3D" w:rsidRDefault="00842D3D" w:rsidP="00842D3D">
      <w:pPr>
        <w:autoSpaceDE w:val="0"/>
        <w:autoSpaceDN w:val="0"/>
        <w:adjustRightInd w:val="0"/>
        <w:rPr>
          <w:rFonts w:eastAsia="Calibri" w:cs="Times New Roman"/>
          <w:szCs w:val="24"/>
        </w:rPr>
      </w:pPr>
    </w:p>
    <w:p w14:paraId="56DB3FC9" w14:textId="77777777" w:rsidR="00842D3D" w:rsidRPr="00842D3D" w:rsidRDefault="00842D3D" w:rsidP="00842D3D">
      <w:pPr>
        <w:tabs>
          <w:tab w:val="left" w:pos="990"/>
          <w:tab w:val="left" w:pos="1170"/>
        </w:tabs>
        <w:autoSpaceDE w:val="0"/>
        <w:autoSpaceDN w:val="0"/>
        <w:adjustRightInd w:val="0"/>
        <w:ind w:left="720"/>
        <w:rPr>
          <w:rFonts w:eastAsia="Calibri" w:cs="Times New Roman"/>
          <w:szCs w:val="24"/>
        </w:rPr>
      </w:pPr>
      <w:r w:rsidRPr="00842D3D">
        <w:rPr>
          <w:rFonts w:eastAsia="Calibri" w:cs="Times New Roman"/>
          <w:szCs w:val="24"/>
        </w:rPr>
        <w:t>(1)</w:t>
      </w:r>
      <w:r w:rsidRPr="00842D3D" w:rsidDel="001403E0">
        <w:rPr>
          <w:rFonts w:eastAsia="Calibri" w:cs="Times New Roman"/>
          <w:szCs w:val="24"/>
        </w:rPr>
        <w:t xml:space="preserve"> </w:t>
      </w:r>
      <w:r w:rsidRPr="00842D3D">
        <w:rPr>
          <w:rFonts w:eastAsia="Calibri" w:cs="Times New Roman"/>
          <w:szCs w:val="24"/>
        </w:rPr>
        <w:t>the officer[s] had a reasonable suspicion that the person seized was engaged in [criminal activity] [</w:t>
      </w:r>
      <w:r w:rsidRPr="00842D3D">
        <w:rPr>
          <w:rFonts w:eastAsia="Calibri" w:cs="Times New Roman"/>
          <w:i/>
          <w:szCs w:val="24"/>
          <w:u w:val="single"/>
        </w:rPr>
        <w:t>other conduct justifying investigation, e.g., a traffic infraction</w:t>
      </w:r>
      <w:r w:rsidRPr="00842D3D">
        <w:rPr>
          <w:rFonts w:eastAsia="Calibri" w:cs="Times New Roman"/>
          <w:szCs w:val="24"/>
        </w:rPr>
        <w:t>]; and</w:t>
      </w:r>
    </w:p>
    <w:p w14:paraId="342AD6D7"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6A80C142" w14:textId="77777777" w:rsidR="00842D3D" w:rsidRPr="00842D3D" w:rsidRDefault="00842D3D" w:rsidP="00842D3D">
      <w:pPr>
        <w:tabs>
          <w:tab w:val="left" w:pos="720"/>
          <w:tab w:val="left" w:pos="1440"/>
        </w:tabs>
        <w:autoSpaceDE w:val="0"/>
        <w:autoSpaceDN w:val="0"/>
        <w:adjustRightInd w:val="0"/>
        <w:ind w:left="720"/>
        <w:rPr>
          <w:rFonts w:eastAsia="Calibri" w:cs="Times New Roman"/>
          <w:szCs w:val="24"/>
        </w:rPr>
      </w:pPr>
      <w:r w:rsidRPr="00842D3D">
        <w:rPr>
          <w:rFonts w:eastAsia="Calibri" w:cs="Times New Roman"/>
          <w:szCs w:val="24"/>
        </w:rPr>
        <w:t>(2) the length and scope of the seizure was reasonable.</w:t>
      </w:r>
    </w:p>
    <w:p w14:paraId="6882E1EE" w14:textId="77777777" w:rsidR="00842D3D" w:rsidRPr="00842D3D" w:rsidRDefault="00842D3D" w:rsidP="00842D3D">
      <w:pPr>
        <w:autoSpaceDE w:val="0"/>
        <w:autoSpaceDN w:val="0"/>
        <w:adjustRightInd w:val="0"/>
        <w:rPr>
          <w:rFonts w:eastAsia="Calibri" w:cs="Times New Roman"/>
          <w:szCs w:val="24"/>
        </w:rPr>
      </w:pPr>
    </w:p>
    <w:p w14:paraId="002269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lacked reasonable suspicion to stop [him] [her] [</w:t>
      </w:r>
      <w:r w:rsidRPr="00842D3D">
        <w:rPr>
          <w:rFonts w:eastAsia="Calibri" w:cs="Times New Roman"/>
          <w:i/>
          <w:iCs/>
          <w:szCs w:val="24"/>
          <w:u w:val="single"/>
        </w:rPr>
        <w:t>other pronoun</w:t>
      </w:r>
      <w:r w:rsidRPr="00842D3D">
        <w:rPr>
          <w:rFonts w:eastAsia="Calibri" w:cs="Times New Roman"/>
          <w:szCs w:val="24"/>
        </w:rPr>
        <w:t>] or that the length or scope of the stop was excessive.</w:t>
      </w:r>
    </w:p>
    <w:p w14:paraId="432EF396" w14:textId="77777777" w:rsidR="00842D3D" w:rsidRPr="00842D3D" w:rsidRDefault="00842D3D" w:rsidP="00842D3D">
      <w:pPr>
        <w:autoSpaceDE w:val="0"/>
        <w:autoSpaceDN w:val="0"/>
        <w:adjustRightInd w:val="0"/>
        <w:rPr>
          <w:rFonts w:eastAsia="Calibri" w:cs="Times New Roman"/>
          <w:szCs w:val="24"/>
        </w:rPr>
      </w:pPr>
    </w:p>
    <w:p w14:paraId="7B438C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a particularized and objective basis for suspecting the plaintiff of criminal activity. The officer[s] [is] [are] permitted to draw on [his] [her] [</w:t>
      </w:r>
      <w:r w:rsidRPr="00842D3D">
        <w:rPr>
          <w:rFonts w:eastAsia="Calibri" w:cs="Times New Roman"/>
          <w:i/>
          <w:iCs/>
          <w:szCs w:val="24"/>
          <w:u w:val="single"/>
        </w:rPr>
        <w:t>other pronoun</w:t>
      </w:r>
      <w:r w:rsidRPr="00842D3D">
        <w:rPr>
          <w:rFonts w:eastAsia="Calibri" w:cs="Times New Roman"/>
          <w:szCs w:val="24"/>
        </w:rPr>
        <w:t>] own experience and specialized training to make inferences from and deductions about the cumulative information available to [him] [her] [</w:t>
      </w:r>
      <w:r w:rsidRPr="00842D3D">
        <w:rPr>
          <w:rFonts w:eastAsia="Calibri" w:cs="Times New Roman"/>
          <w:i/>
          <w:iCs/>
          <w:szCs w:val="24"/>
          <w:u w:val="single"/>
        </w:rPr>
        <w:t>other pronoun</w:t>
      </w:r>
      <w:r w:rsidRPr="00842D3D">
        <w:rPr>
          <w:rFonts w:eastAsia="Calibri" w:cs="Times New Roman"/>
          <w:szCs w:val="24"/>
        </w:rPr>
        <w:t>].</w:t>
      </w:r>
    </w:p>
    <w:p w14:paraId="698304C4" w14:textId="77777777" w:rsidR="00842D3D" w:rsidRPr="00842D3D" w:rsidRDefault="00842D3D" w:rsidP="00842D3D">
      <w:pPr>
        <w:autoSpaceDE w:val="0"/>
        <w:autoSpaceDN w:val="0"/>
        <w:adjustRightInd w:val="0"/>
        <w:rPr>
          <w:rFonts w:eastAsia="Calibri" w:cs="Times New Roman"/>
          <w:szCs w:val="24"/>
        </w:rPr>
      </w:pPr>
    </w:p>
    <w:p w14:paraId="625AB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determining whether the length or scope of the seizure was reasonable, consider all of the circumstances, including: </w:t>
      </w:r>
    </w:p>
    <w:p w14:paraId="4E81B014" w14:textId="77777777" w:rsidR="00842D3D" w:rsidRPr="00842D3D" w:rsidRDefault="00842D3D" w:rsidP="00842D3D">
      <w:pPr>
        <w:autoSpaceDE w:val="0"/>
        <w:autoSpaceDN w:val="0"/>
        <w:adjustRightInd w:val="0"/>
        <w:rPr>
          <w:rFonts w:eastAsia="Calibri" w:cs="Times New Roman"/>
          <w:szCs w:val="24"/>
        </w:rPr>
      </w:pPr>
    </w:p>
    <w:p w14:paraId="604CC5F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(1) </w:t>
      </w:r>
      <w:r w:rsidRPr="00842D3D">
        <w:rPr>
          <w:rFonts w:eastAsia="Calibri" w:cs="Times New Roman"/>
          <w:szCs w:val="24"/>
        </w:rPr>
        <w:tab/>
        <w:t>the intrusiveness of the stop, such as the methods the police used, the restriction on the plaintiff’s liberty, and the length of the stop;</w:t>
      </w:r>
    </w:p>
    <w:p w14:paraId="7C5327E9" w14:textId="77777777" w:rsidR="00842D3D" w:rsidRPr="00842D3D" w:rsidRDefault="00842D3D" w:rsidP="00842D3D">
      <w:pPr>
        <w:autoSpaceDE w:val="0"/>
        <w:autoSpaceDN w:val="0"/>
        <w:adjustRightInd w:val="0"/>
        <w:rPr>
          <w:rFonts w:eastAsia="Calibri" w:cs="Times New Roman"/>
          <w:szCs w:val="24"/>
        </w:rPr>
      </w:pPr>
    </w:p>
    <w:p w14:paraId="1D2F02A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(2) </w:t>
      </w:r>
      <w:r w:rsidRPr="00842D3D">
        <w:rPr>
          <w:rFonts w:eastAsia="Calibri" w:cs="Times New Roman"/>
          <w:szCs w:val="24"/>
        </w:rPr>
        <w:tab/>
        <w:t>whether the methods used were reasonable under the circumstances; and</w:t>
      </w:r>
    </w:p>
    <w:p w14:paraId="2F8618B0" w14:textId="77777777" w:rsidR="00842D3D" w:rsidRPr="00842D3D" w:rsidRDefault="00842D3D" w:rsidP="00842D3D">
      <w:pPr>
        <w:autoSpaceDE w:val="0"/>
        <w:autoSpaceDN w:val="0"/>
        <w:adjustRightInd w:val="0"/>
        <w:rPr>
          <w:rFonts w:eastAsia="Calibri" w:cs="Times New Roman"/>
          <w:szCs w:val="24"/>
        </w:rPr>
      </w:pPr>
    </w:p>
    <w:p w14:paraId="466DE51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[(3) </w:t>
      </w:r>
      <w:r w:rsidRPr="00842D3D">
        <w:rPr>
          <w:rFonts w:eastAsia="Calibri" w:cs="Times New Roman"/>
          <w:szCs w:val="24"/>
        </w:rPr>
        <w:tab/>
      </w:r>
      <w:r w:rsidRPr="00842D3D">
        <w:rPr>
          <w:rFonts w:eastAsia="Calibri" w:cs="Times New Roman"/>
          <w:i/>
          <w:szCs w:val="24"/>
          <w:u w:val="single"/>
        </w:rPr>
        <w:t>insert other factors applicable to this case</w:t>
      </w:r>
      <w:r w:rsidRPr="00842D3D">
        <w:rPr>
          <w:rFonts w:eastAsia="Calibri" w:cs="Times New Roman"/>
          <w:szCs w:val="24"/>
        </w:rPr>
        <w:t>.]</w:t>
      </w:r>
    </w:p>
    <w:p w14:paraId="00FB66D3" w14:textId="77777777" w:rsidR="00842D3D" w:rsidRPr="00842D3D" w:rsidRDefault="00842D3D" w:rsidP="00842D3D">
      <w:pPr>
        <w:autoSpaceDE w:val="0"/>
        <w:autoSpaceDN w:val="0"/>
        <w:adjustRightInd w:val="0"/>
        <w:rPr>
          <w:rFonts w:eastAsia="Calibri" w:cs="Times New Roman"/>
          <w:szCs w:val="24"/>
        </w:rPr>
      </w:pPr>
    </w:p>
    <w:p w14:paraId="47A46599"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08DA7A39" w14:textId="77777777" w:rsidR="00842D3D" w:rsidRPr="00842D3D" w:rsidRDefault="00842D3D" w:rsidP="00842D3D">
      <w:pPr>
        <w:autoSpaceDE w:val="0"/>
        <w:autoSpaceDN w:val="0"/>
        <w:adjustRightInd w:val="0"/>
        <w:rPr>
          <w:rFonts w:eastAsia="Calibri" w:cs="Times New Roman"/>
          <w:b/>
          <w:szCs w:val="24"/>
        </w:rPr>
      </w:pPr>
    </w:p>
    <w:p w14:paraId="408FA144" w14:textId="198F5BA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612A8F42" w14:textId="77777777" w:rsidR="00842D3D" w:rsidRPr="00842D3D" w:rsidRDefault="00842D3D" w:rsidP="00842D3D">
      <w:pPr>
        <w:autoSpaceDE w:val="0"/>
        <w:autoSpaceDN w:val="0"/>
        <w:adjustRightInd w:val="0"/>
        <w:rPr>
          <w:rFonts w:eastAsia="Calibri" w:cs="Times New Roman"/>
          <w:b/>
          <w:szCs w:val="24"/>
        </w:rPr>
      </w:pPr>
    </w:p>
    <w:p w14:paraId="38C6C3D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3C5432C0" w14:textId="77777777" w:rsidR="00842D3D" w:rsidRPr="00842D3D" w:rsidRDefault="00842D3D" w:rsidP="00842D3D">
      <w:pPr>
        <w:autoSpaceDE w:val="0"/>
        <w:autoSpaceDN w:val="0"/>
        <w:adjustRightInd w:val="0"/>
        <w:rPr>
          <w:rFonts w:eastAsia="Calibri" w:cs="Times New Roman"/>
          <w:b/>
          <w:szCs w:val="24"/>
        </w:rPr>
      </w:pPr>
    </w:p>
    <w:p w14:paraId="052BBE34" w14:textId="20833AF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police officer may conduct a brief stop for investigatory purposes when the officer has “reasonable suspicion” to believe the stopped individual is engaged in criminal activity. </w:t>
      </w:r>
      <w:r w:rsidRPr="00842D3D">
        <w:rPr>
          <w:rFonts w:eastAsia="Calibri" w:cs="Times New Roman"/>
          <w:i/>
          <w:szCs w:val="24"/>
        </w:rPr>
        <w:t>See Terry v. Ohio</w:t>
      </w:r>
      <w:r w:rsidRPr="00842D3D">
        <w:rPr>
          <w:rFonts w:eastAsia="Calibri" w:cs="Times New Roman"/>
          <w:szCs w:val="24"/>
        </w:rPr>
        <w:t xml:space="preserve">, 392 U.S. 1, 23-27 (1968). An investigatory stop of a vehicle is justified under the Fourth Amendment if the officer reasonably suspects that a traffic violation has occurred. </w:t>
      </w:r>
      <w:r w:rsidRPr="00842D3D">
        <w:rPr>
          <w:rFonts w:eastAsia="Calibri" w:cs="Times New Roman"/>
          <w:i/>
          <w:szCs w:val="24"/>
        </w:rPr>
        <w:t>Melendres v. Arpaio</w:t>
      </w:r>
      <w:r w:rsidRPr="00842D3D">
        <w:rPr>
          <w:rFonts w:eastAsia="Calibri" w:cs="Times New Roman"/>
          <w:szCs w:val="24"/>
        </w:rPr>
        <w:t xml:space="preserve">, 695 F.3d 990, 1000 (9th Cir. 2012). However, a traffic stop “exceeding the time needed to handle the matter for which the stop was made” violates the constitutional protection against unreasonable seizures. </w:t>
      </w:r>
      <w:r w:rsidRPr="00842D3D">
        <w:rPr>
          <w:rFonts w:eastAsia="Calibri" w:cs="Times New Roman"/>
          <w:i/>
          <w:szCs w:val="24"/>
        </w:rPr>
        <w:t>Rodriguez v. United States</w:t>
      </w:r>
      <w:r w:rsidRPr="00842D3D">
        <w:rPr>
          <w:rFonts w:eastAsia="Calibri" w:cs="Times New Roman"/>
          <w:szCs w:val="24"/>
        </w:rPr>
        <w:t xml:space="preserve">, 575 U.S. 348, 351 (2015). Handling the traffic stop includes checking driver’s licenses, determining whether there are outstanding warrants, and inspecting the car’s registration and proof of insurance. </w:t>
      </w:r>
      <w:r w:rsidRPr="00842D3D">
        <w:rPr>
          <w:rFonts w:eastAsia="Calibri" w:cs="Times New Roman"/>
          <w:i/>
          <w:szCs w:val="24"/>
        </w:rPr>
        <w:t>Id</w:t>
      </w:r>
      <w:r w:rsidRPr="00842D3D">
        <w:rPr>
          <w:rFonts w:eastAsia="Calibri" w:cs="Times New Roman"/>
          <w:szCs w:val="24"/>
        </w:rPr>
        <w:t xml:space="preserve">. at 355; </w:t>
      </w:r>
      <w:r w:rsidRPr="00842D3D">
        <w:rPr>
          <w:rFonts w:eastAsia="Calibri" w:cs="Times New Roman"/>
          <w:i/>
          <w:iCs/>
          <w:szCs w:val="24"/>
        </w:rPr>
        <w:t>United States v. Steinman</w:t>
      </w:r>
      <w:r w:rsidRPr="00842D3D">
        <w:rPr>
          <w:rFonts w:eastAsia="Calibri" w:cs="Times New Roman"/>
          <w:szCs w:val="24"/>
        </w:rPr>
        <w:t xml:space="preserve">, 130 F.4th 693, 703 (9th Cir. 2025).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 stop is not prolonged beyond the mission of the original traffic stop where officers conduct an investigation into matters such as a criminal history check, because such an investigation “stems from the mission of the stop itself” and “is a ‘negligibly burdensome precaution’ necessary ‘to complete the stop safely.’” </w:t>
      </w:r>
      <w:r w:rsidRPr="00842D3D">
        <w:rPr>
          <w:rFonts w:eastAsia="Calibri" w:cs="Times New Roman"/>
          <w:i/>
          <w:szCs w:val="24"/>
        </w:rPr>
        <w:t>United States v. Taylor</w:t>
      </w:r>
      <w:r w:rsidRPr="00842D3D">
        <w:rPr>
          <w:rFonts w:eastAsia="Calibri" w:cs="Times New Roman"/>
          <w:szCs w:val="24"/>
        </w:rPr>
        <w:t xml:space="preserve">, 60 F.4th 1233, 1241 (9th Cir. 2023) (quoting </w:t>
      </w:r>
      <w:r w:rsidRPr="00842D3D">
        <w:rPr>
          <w:rFonts w:eastAsia="Calibri" w:cs="Times New Roman"/>
          <w:i/>
          <w:szCs w:val="24"/>
        </w:rPr>
        <w:t>United States v. Hylton</w:t>
      </w:r>
      <w:r w:rsidRPr="00842D3D">
        <w:rPr>
          <w:rFonts w:eastAsia="Calibri" w:cs="Times New Roman"/>
          <w:szCs w:val="24"/>
        </w:rPr>
        <w:t>, 30 F.4th 842, 848 (9th Cir. 2022)). In addition, an officer may lawfully attend to related</w:t>
      </w:r>
    </w:p>
    <w:p w14:paraId="7A2C8B2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safety concerns, such as ordering the driver to exit the vehicle during a traffic stop.</w:t>
      </w:r>
    </w:p>
    <w:p w14:paraId="19E470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Steinman</w:t>
      </w:r>
      <w:r w:rsidRPr="00842D3D">
        <w:rPr>
          <w:rFonts w:eastAsia="Calibri" w:cs="Times New Roman"/>
          <w:szCs w:val="24"/>
        </w:rPr>
        <w:t xml:space="preserve">, 130 F.4th at 704. Likewise, officers do not prolong a stop by conducting a pat down search for weapons where the officers have reasonable suspicion “that the driver ‘might be armed and presently dangerous.’” </w:t>
      </w:r>
      <w:r w:rsidRPr="00842D3D">
        <w:rPr>
          <w:rFonts w:eastAsia="Calibri" w:cs="Times New Roman"/>
          <w:i/>
          <w:szCs w:val="24"/>
        </w:rPr>
        <w:t>Taylor</w:t>
      </w:r>
      <w:r w:rsidRPr="00842D3D">
        <w:rPr>
          <w:rFonts w:eastAsia="Calibri" w:cs="Times New Roman"/>
          <w:szCs w:val="24"/>
        </w:rPr>
        <w:t xml:space="preserve">, 60 F.4th at 1242 (quoting </w:t>
      </w:r>
      <w:r w:rsidRPr="00842D3D">
        <w:rPr>
          <w:rFonts w:eastAsia="Calibri" w:cs="Times New Roman"/>
          <w:i/>
          <w:szCs w:val="24"/>
        </w:rPr>
        <w:t>Arizona v. Johnson</w:t>
      </w:r>
      <w:r w:rsidRPr="00842D3D">
        <w:rPr>
          <w:rFonts w:eastAsia="Calibri" w:cs="Times New Roman"/>
          <w:szCs w:val="24"/>
        </w:rPr>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Pr="00842D3D">
        <w:rPr>
          <w:rFonts w:eastAsia="Calibri" w:cs="Times New Roman"/>
          <w:i/>
          <w:szCs w:val="24"/>
        </w:rPr>
        <w:t>Taylor</w:t>
      </w:r>
      <w:r w:rsidRPr="00842D3D">
        <w:rPr>
          <w:rFonts w:eastAsia="Calibri" w:cs="Times New Roman"/>
          <w:szCs w:val="24"/>
        </w:rPr>
        <w:t xml:space="preserve">,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 </w:t>
      </w:r>
      <w:r w:rsidRPr="00842D3D">
        <w:rPr>
          <w:rFonts w:eastAsia="Calibri" w:cs="Times New Roman"/>
          <w:i/>
          <w:iCs/>
          <w:szCs w:val="24"/>
        </w:rPr>
        <w:t>see Steinman</w:t>
      </w:r>
      <w:r w:rsidRPr="00842D3D">
        <w:rPr>
          <w:rFonts w:eastAsia="Calibri" w:cs="Times New Roman"/>
          <w:szCs w:val="24"/>
        </w:rPr>
        <w:t xml:space="preserve">, 130 F.4th at 704, 708-10. An officer may not conduct unrelated checks (such as a dog sniff) “in a way that prolongs the stop, absent the reasonable suspicion ordinarily demanded to justify detaining an individual.” </w:t>
      </w:r>
      <w:r w:rsidRPr="00842D3D">
        <w:rPr>
          <w:rFonts w:eastAsia="Calibri" w:cs="Times New Roman"/>
          <w:i/>
          <w:szCs w:val="24"/>
        </w:rPr>
        <w:t>Rodriguez</w:t>
      </w:r>
      <w:r w:rsidRPr="00842D3D">
        <w:rPr>
          <w:rFonts w:eastAsia="Calibri" w:cs="Times New Roman"/>
          <w:szCs w:val="24"/>
        </w:rPr>
        <w:t>, 575 U.S. at 355.</w:t>
      </w:r>
    </w:p>
    <w:p w14:paraId="6BAB84CD" w14:textId="77777777" w:rsidR="00842D3D" w:rsidRPr="00842D3D" w:rsidRDefault="00842D3D" w:rsidP="00842D3D">
      <w:pPr>
        <w:autoSpaceDE w:val="0"/>
        <w:autoSpaceDN w:val="0"/>
        <w:adjustRightInd w:val="0"/>
        <w:rPr>
          <w:rFonts w:eastAsia="Calibri" w:cs="Times New Roman"/>
          <w:szCs w:val="24"/>
        </w:rPr>
      </w:pPr>
    </w:p>
    <w:p w14:paraId="2E12A3C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defined as “a particularized and objective basis for suspecting the particular person stopped of criminal activity.”</w:t>
      </w:r>
      <w:r w:rsidRPr="00842D3D">
        <w:rPr>
          <w:rFonts w:eastAsia="Calibri" w:cs="Times New Roman"/>
          <w:i/>
          <w:szCs w:val="24"/>
        </w:rPr>
        <w:t xml:space="preserve"> United States v. Valdes-Vega</w:t>
      </w:r>
      <w:r w:rsidRPr="00842D3D">
        <w:rPr>
          <w:rFonts w:eastAsia="Calibri" w:cs="Times New Roman"/>
          <w:szCs w:val="24"/>
        </w:rPr>
        <w:t xml:space="preserve">, 738 F.3d 1074, 1078 (9th Cir. 2013). The reasonable suspicion standard “is not a particularly high threshold to reach.” </w:t>
      </w:r>
      <w:r w:rsidRPr="00842D3D">
        <w:rPr>
          <w:rFonts w:eastAsia="Calibri" w:cs="Times New Roman"/>
          <w:i/>
          <w:szCs w:val="24"/>
        </w:rPr>
        <w:t>United States v. Bontemps</w:t>
      </w:r>
      <w:r w:rsidRPr="00842D3D">
        <w:rPr>
          <w:rFonts w:eastAsia="Calibri" w:cs="Times New Roman"/>
          <w:szCs w:val="24"/>
        </w:rPr>
        <w:t xml:space="preserve">, 977 F.3d 909, 915 (9th Cir. 2020) (“[A] bulge suggestive of a firearm can be sufficient to create reasonable suspicion.”). It requires only “a minimal level of objective justification.” </w:t>
      </w:r>
      <w:r w:rsidRPr="00842D3D">
        <w:rPr>
          <w:rFonts w:eastAsia="Calibri" w:cs="Times New Roman"/>
          <w:i/>
          <w:szCs w:val="24"/>
        </w:rPr>
        <w:t>Illinois v. Wardlow</w:t>
      </w:r>
      <w:r w:rsidRPr="00842D3D">
        <w:rPr>
          <w:rFonts w:eastAsia="Calibri" w:cs="Times New Roman"/>
          <w:szCs w:val="24"/>
        </w:rPr>
        <w:t xml:space="preserve">, 528 U.S. 119, 123 (2000). Because the standard is objective, an officer need not tell the individual the real reason for the stop. </w:t>
      </w:r>
      <w:r w:rsidRPr="00842D3D">
        <w:rPr>
          <w:rFonts w:eastAsia="Calibri" w:cs="Times New Roman"/>
          <w:i/>
          <w:szCs w:val="24"/>
        </w:rPr>
        <w:t>United States v. Magallon-Lopez</w:t>
      </w:r>
      <w:r w:rsidRPr="00842D3D">
        <w:rPr>
          <w:rFonts w:eastAsia="Calibri" w:cs="Times New Roman"/>
          <w:szCs w:val="24"/>
        </w:rPr>
        <w:t xml:space="preserve">, 817 F.3d 671, 675 (9th Cir. 2016) (holding that an officer may lie to individual about basis for </w:t>
      </w:r>
      <w:r w:rsidRPr="00842D3D">
        <w:rPr>
          <w:rFonts w:eastAsia="Calibri" w:cs="Times New Roman"/>
          <w:i/>
          <w:szCs w:val="24"/>
        </w:rPr>
        <w:t xml:space="preserve">Terry </w:t>
      </w:r>
      <w:r w:rsidRPr="00842D3D">
        <w:rPr>
          <w:rFonts w:eastAsia="Calibri" w:cs="Times New Roman"/>
          <w:szCs w:val="24"/>
        </w:rPr>
        <w:t>stop). An officer is permitted to draw on the officer’s own “experience and specialized training to make inferences from and deductions about the cumulative information available to the officer that might otherwise elude an untrained person.”</w:t>
      </w:r>
      <w:r w:rsidRPr="00842D3D">
        <w:rPr>
          <w:rFonts w:eastAsia="Calibri" w:cs="Times New Roman"/>
          <w:i/>
          <w:szCs w:val="24"/>
        </w:rPr>
        <w:t xml:space="preserve"> Valdes-Vega</w:t>
      </w:r>
      <w:r w:rsidRPr="00842D3D">
        <w:rPr>
          <w:rFonts w:eastAsia="Calibri" w:cs="Times New Roman"/>
          <w:szCs w:val="24"/>
        </w:rPr>
        <w:t xml:space="preserve">, 738 F.3d </w:t>
      </w:r>
      <w:r w:rsidRPr="00842D3D">
        <w:rPr>
          <w:rFonts w:eastAsia="Calibri" w:cs="Times New Roman"/>
          <w:szCs w:val="24"/>
        </w:rPr>
        <w:lastRenderedPageBreak/>
        <w:t xml:space="preserve">at 1078 (quoting </w:t>
      </w:r>
      <w:r w:rsidRPr="00842D3D">
        <w:rPr>
          <w:rFonts w:eastAsia="Calibri" w:cs="Times New Roman"/>
          <w:i/>
          <w:szCs w:val="24"/>
        </w:rPr>
        <w:t>United States v. Arvizu</w:t>
      </w:r>
      <w:r w:rsidRPr="00842D3D">
        <w:rPr>
          <w:rFonts w:eastAsia="Calibri" w:cs="Times New Roman"/>
          <w:szCs w:val="24"/>
        </w:rPr>
        <w:t xml:space="preserve">, 534 U.S. 266, 273 (2002)). A court must consider the totality of the circumstances when determining whether reasonable suspicion existed. </w:t>
      </w:r>
      <w:r w:rsidRPr="00842D3D">
        <w:rPr>
          <w:rFonts w:eastAsia="Calibri" w:cs="Times New Roman"/>
          <w:i/>
          <w:szCs w:val="24"/>
        </w:rPr>
        <w:t>Id</w:t>
      </w:r>
      <w:r w:rsidRPr="00842D3D">
        <w:rPr>
          <w:rFonts w:eastAsia="Calibri" w:cs="Times New Roman"/>
          <w:szCs w:val="24"/>
        </w:rPr>
        <w:t xml:space="preserve">. Additional information acquired through consensual questioning combined with an officer’s knowledge and training can give rise to reasonable, articulable suspicion. </w:t>
      </w:r>
      <w:r w:rsidRPr="00842D3D">
        <w:rPr>
          <w:rFonts w:eastAsia="Calibri" w:cs="Times New Roman"/>
          <w:i/>
          <w:szCs w:val="24"/>
        </w:rPr>
        <w:t>See United States v. Brown</w:t>
      </w:r>
      <w:r w:rsidRPr="00842D3D">
        <w:rPr>
          <w:rFonts w:eastAsia="Calibri" w:cs="Times New Roman"/>
          <w:szCs w:val="24"/>
        </w:rPr>
        <w:t>, 996 F.3d 998, 1007 (9th Cir. 2021);</w:t>
      </w:r>
      <w:r w:rsidRPr="00842D3D">
        <w:rPr>
          <w:rFonts w:eastAsia="Calibri" w:cs="Times New Roman"/>
          <w:i/>
          <w:szCs w:val="24"/>
        </w:rPr>
        <w:t xml:space="preserve"> </w:t>
      </w:r>
      <w:bookmarkStart w:id="171" w:name="_Hlk129877564"/>
      <w:r w:rsidRPr="00842D3D">
        <w:rPr>
          <w:rFonts w:eastAsia="Calibri" w:cs="Times New Roman"/>
          <w:i/>
          <w:szCs w:val="24"/>
        </w:rPr>
        <w:t>Taylor</w:t>
      </w:r>
      <w:r w:rsidRPr="00842D3D">
        <w:rPr>
          <w:rFonts w:eastAsia="Calibri" w:cs="Times New Roman"/>
          <w:szCs w:val="24"/>
        </w:rPr>
        <w:t xml:space="preserve">, 60 F.4th at 1242 (upholding a </w:t>
      </w:r>
      <w:bookmarkStart w:id="172" w:name="_Hlk140219336"/>
      <w:r w:rsidRPr="00842D3D">
        <w:rPr>
          <w:rFonts w:eastAsia="Calibri" w:cs="Times New Roman"/>
          <w:i/>
          <w:szCs w:val="24"/>
        </w:rPr>
        <w:t>Terry</w:t>
      </w:r>
      <w:r w:rsidRPr="00842D3D">
        <w:rPr>
          <w:rFonts w:eastAsia="Calibri" w:cs="Times New Roman"/>
          <w:szCs w:val="24"/>
        </w:rPr>
        <w:t xml:space="preserve"> search </w:t>
      </w:r>
      <w:bookmarkEnd w:id="172"/>
      <w:r w:rsidRPr="00842D3D">
        <w:rPr>
          <w:rFonts w:eastAsia="Calibri" w:cs="Times New Roman"/>
          <w:szCs w:val="24"/>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171"/>
      <w:r w:rsidRPr="00842D3D">
        <w:rPr>
          <w:rFonts w:eastAsia="Calibri" w:cs="Times New Roman"/>
          <w:szCs w:val="24"/>
        </w:rPr>
        <w:t xml:space="preserve">. However, “avoidance of the police, standing alone, does not give rise to a particularized, reasonable suspicion that a person is committing a crime.” </w:t>
      </w:r>
      <w:r w:rsidRPr="00842D3D">
        <w:rPr>
          <w:rFonts w:eastAsia="Calibri" w:cs="Times New Roman"/>
          <w:i/>
          <w:szCs w:val="24"/>
        </w:rPr>
        <w:t>Liberal v. Estrada</w:t>
      </w:r>
      <w:r w:rsidRPr="00842D3D">
        <w:rPr>
          <w:rFonts w:eastAsia="Calibri" w:cs="Times New Roman"/>
          <w:szCs w:val="24"/>
        </w:rPr>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842D3D">
        <w:rPr>
          <w:rFonts w:eastAsia="Calibri" w:cs="Times New Roman"/>
          <w:i/>
          <w:szCs w:val="24"/>
        </w:rPr>
        <w:t>abrogated in part</w:t>
      </w:r>
      <w:r w:rsidRPr="00842D3D">
        <w:rPr>
          <w:rFonts w:eastAsia="Calibri" w:cs="Times New Roman"/>
          <w:szCs w:val="24"/>
        </w:rPr>
        <w:t>,</w:t>
      </w:r>
      <w:r w:rsidRPr="00842D3D">
        <w:rPr>
          <w:rFonts w:eastAsia="Calibri" w:cs="Times New Roman"/>
          <w:i/>
          <w:szCs w:val="24"/>
        </w:rPr>
        <w:t xml:space="preserve"> Hampton v. California</w:t>
      </w:r>
      <w:r w:rsidRPr="00842D3D">
        <w:rPr>
          <w:rFonts w:eastAsia="Calibri" w:cs="Times New Roman"/>
          <w:szCs w:val="24"/>
        </w:rPr>
        <w:t>, 83 F.4th 754, 773 (9th Cir. 2023) (concluding that immunities stated in California's Government Claims Act are defenses to liability, not immunities from suit).</w:t>
      </w:r>
    </w:p>
    <w:p w14:paraId="1C2129E9" w14:textId="77777777" w:rsidR="00842D3D" w:rsidRPr="00842D3D" w:rsidRDefault="00842D3D" w:rsidP="00842D3D">
      <w:pPr>
        <w:autoSpaceDE w:val="0"/>
        <w:autoSpaceDN w:val="0"/>
        <w:adjustRightInd w:val="0"/>
        <w:rPr>
          <w:rFonts w:eastAsia="Calibri" w:cs="Times New Roman"/>
          <w:szCs w:val="24"/>
        </w:rPr>
      </w:pPr>
    </w:p>
    <w:p w14:paraId="3F51A0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cases involving multiple individuals who are searched or seized, “[a] search or seizure is ordinarily unreasonable in the absence of individualized suspicion of wrongdoing.” </w:t>
      </w:r>
      <w:r w:rsidRPr="00842D3D">
        <w:rPr>
          <w:rFonts w:eastAsia="Calibri" w:cs="Times New Roman"/>
          <w:i/>
          <w:szCs w:val="24"/>
        </w:rPr>
        <w:t>City of Indianapolis v. Edmond</w:t>
      </w:r>
      <w:r w:rsidRPr="00842D3D">
        <w:rPr>
          <w:rFonts w:eastAsia="Calibri" w:cs="Times New Roman"/>
          <w:szCs w:val="24"/>
        </w:rPr>
        <w:t xml:space="preserve">, 531 U.S. 32, 37 (2000) (listing several limited circumstances where suspicionless searches are permitted). However, an officer’s lack of individualized suspicion does not, standing alone, make the search and seizure automatically unlawful. </w:t>
      </w:r>
      <w:r w:rsidRPr="00842D3D">
        <w:rPr>
          <w:rFonts w:eastAsia="Calibri" w:cs="Times New Roman"/>
          <w:i/>
          <w:szCs w:val="24"/>
        </w:rPr>
        <w:t>See Lyall v. City of Los Angeles</w:t>
      </w:r>
      <w:r w:rsidRPr="00842D3D">
        <w:rPr>
          <w:rFonts w:eastAsia="Calibri" w:cs="Times New Roman"/>
          <w:szCs w:val="24"/>
        </w:rPr>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in light of the circumstances. </w:t>
      </w:r>
      <w:r w:rsidRPr="00842D3D">
        <w:rPr>
          <w:rFonts w:eastAsia="Calibri" w:cs="Times New Roman"/>
          <w:i/>
          <w:szCs w:val="24"/>
        </w:rPr>
        <w:t>Id</w:t>
      </w:r>
      <w:r w:rsidRPr="00842D3D">
        <w:rPr>
          <w:rFonts w:eastAsia="Calibri" w:cs="Times New Roman"/>
          <w:szCs w:val="24"/>
        </w:rPr>
        <w:t xml:space="preserve">. </w:t>
      </w:r>
    </w:p>
    <w:p w14:paraId="398F7ADA" w14:textId="77777777" w:rsidR="00842D3D" w:rsidRPr="00842D3D" w:rsidRDefault="00842D3D" w:rsidP="00842D3D">
      <w:pPr>
        <w:autoSpaceDE w:val="0"/>
        <w:autoSpaceDN w:val="0"/>
        <w:adjustRightInd w:val="0"/>
        <w:rPr>
          <w:rFonts w:eastAsia="Calibri" w:cs="Times New Roman"/>
          <w:b/>
          <w:szCs w:val="24"/>
        </w:rPr>
      </w:pPr>
    </w:p>
    <w:p w14:paraId="5068C606"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“[R]ace is a trait that, when </w:t>
      </w:r>
      <w:r w:rsidRPr="00842D3D">
        <w:rPr>
          <w:rFonts w:eastAsia="Calibri" w:cs="Times New Roman"/>
          <w:i/>
          <w:szCs w:val="24"/>
        </w:rPr>
        <w:t>combined with others</w:t>
      </w:r>
      <w:r w:rsidRPr="00842D3D">
        <w:rPr>
          <w:rFonts w:eastAsia="Calibri" w:cs="Times New Roman"/>
          <w:szCs w:val="24"/>
        </w:rPr>
        <w:t xml:space="preserve">, can reasonably lead an officer to zero in on a particular suspect,” but “[r]ace is of little value in distinguishing one suspect from others, particularly where everyone in the pool of possible suspects is of the same race.” </w:t>
      </w:r>
      <w:r w:rsidRPr="00842D3D">
        <w:rPr>
          <w:rFonts w:eastAsia="Calibri" w:cs="Times New Roman"/>
          <w:i/>
          <w:szCs w:val="24"/>
        </w:rPr>
        <w:t>Johnson v. Bay Area Rapid Transit Dist.</w:t>
      </w:r>
      <w:r w:rsidRPr="00842D3D">
        <w:rPr>
          <w:rFonts w:eastAsia="Calibri" w:cs="Times New Roman"/>
          <w:szCs w:val="24"/>
        </w:rPr>
        <w:t>, 724 F.3d 1159, 1174-75 (9th Cir. 2013).</w:t>
      </w:r>
    </w:p>
    <w:p w14:paraId="5E81C34C" w14:textId="77777777" w:rsidR="00842D3D" w:rsidRPr="00842D3D" w:rsidRDefault="00842D3D" w:rsidP="00842D3D">
      <w:pPr>
        <w:autoSpaceDE w:val="0"/>
        <w:autoSpaceDN w:val="0"/>
        <w:adjustRightInd w:val="0"/>
        <w:rPr>
          <w:rFonts w:eastAsia="Calibri" w:cs="Times New Roman"/>
          <w:b/>
          <w:szCs w:val="24"/>
        </w:rPr>
      </w:pPr>
    </w:p>
    <w:p w14:paraId="332E22C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In the case of a </w:t>
      </w:r>
      <w:r w:rsidRPr="00842D3D">
        <w:rPr>
          <w:rFonts w:eastAsia="Calibri" w:cs="Times New Roman"/>
          <w:i/>
          <w:szCs w:val="24"/>
        </w:rPr>
        <w:t xml:space="preserve">Terry </w:t>
      </w:r>
      <w:r w:rsidRPr="00842D3D">
        <w:rPr>
          <w:rFonts w:eastAsia="Calibri" w:cs="Times New Roman"/>
          <w:szCs w:val="24"/>
        </w:rPr>
        <w:t>stop to investigate a completed misdemeanor, the court must “consider the nature of the misdemeanor offense in question, with particular attention to the potential for ongoing or repeated danger (</w:t>
      </w:r>
      <w:r w:rsidRPr="00842D3D">
        <w:rPr>
          <w:rFonts w:eastAsia="Calibri" w:cs="Times New Roman"/>
          <w:i/>
          <w:szCs w:val="24"/>
        </w:rPr>
        <w:t>e.g.</w:t>
      </w:r>
      <w:r w:rsidRPr="00842D3D">
        <w:rPr>
          <w:rFonts w:eastAsia="Calibri" w:cs="Times New Roman"/>
          <w:szCs w:val="24"/>
        </w:rPr>
        <w:t>, drunken and/or reckless driving), and any risk of escalation (</w:t>
      </w:r>
      <w:r w:rsidRPr="00842D3D">
        <w:rPr>
          <w:rFonts w:eastAsia="Calibri" w:cs="Times New Roman"/>
          <w:i/>
          <w:szCs w:val="24"/>
        </w:rPr>
        <w:t>e.g.</w:t>
      </w:r>
      <w:r w:rsidRPr="00842D3D">
        <w:rPr>
          <w:rFonts w:eastAsia="Calibri" w:cs="Times New Roman"/>
          <w:szCs w:val="24"/>
        </w:rPr>
        <w:t xml:space="preserve">, disorderly conduct, assault, domestic violence)” when determining “whether the Fourth Amendment permits an officer to detain a suspected misdemeanant.” </w:t>
      </w:r>
      <w:r w:rsidRPr="00842D3D">
        <w:rPr>
          <w:rFonts w:eastAsia="Calibri" w:cs="Times New Roman"/>
          <w:i/>
          <w:szCs w:val="24"/>
        </w:rPr>
        <w:t>Johnson</w:t>
      </w:r>
      <w:r w:rsidRPr="00842D3D">
        <w:rPr>
          <w:rFonts w:eastAsia="Calibri" w:cs="Times New Roman"/>
          <w:szCs w:val="24"/>
        </w:rPr>
        <w:t>, 724 F.3d at 1175.</w:t>
      </w:r>
    </w:p>
    <w:p w14:paraId="0BF858C0" w14:textId="77777777" w:rsidR="00842D3D" w:rsidRPr="00842D3D" w:rsidRDefault="00842D3D" w:rsidP="00842D3D">
      <w:pPr>
        <w:autoSpaceDE w:val="0"/>
        <w:autoSpaceDN w:val="0"/>
        <w:adjustRightInd w:val="0"/>
        <w:rPr>
          <w:rFonts w:eastAsia="Calibri" w:cs="Times New Roman"/>
          <w:b/>
          <w:szCs w:val="24"/>
        </w:rPr>
      </w:pPr>
    </w:p>
    <w:p w14:paraId="51718348"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“There is no bright-line rule to determine when an investigatory stop becomes an arrest.” </w:t>
      </w:r>
      <w:r w:rsidRPr="00842D3D">
        <w:rPr>
          <w:rFonts w:eastAsia="Calibri" w:cs="Times New Roman"/>
          <w:i/>
          <w:szCs w:val="24"/>
        </w:rPr>
        <w:t>Washington v. Lambert</w:t>
      </w:r>
      <w:r w:rsidRPr="00842D3D">
        <w:rPr>
          <w:rFonts w:eastAsia="Calibri" w:cs="Times New Roman"/>
          <w:szCs w:val="24"/>
        </w:rPr>
        <w:t xml:space="preserve">, 98 F.3d 1181, 1185 (9th Cir. 1996) (citing </w:t>
      </w:r>
      <w:r w:rsidRPr="00842D3D">
        <w:rPr>
          <w:rFonts w:eastAsia="Calibri" w:cs="Times New Roman"/>
          <w:i/>
          <w:szCs w:val="24"/>
        </w:rPr>
        <w:t>United States v. Parr</w:t>
      </w:r>
      <w:r w:rsidRPr="00842D3D">
        <w:rPr>
          <w:rFonts w:eastAsia="Calibri" w:cs="Times New Roman"/>
          <w:szCs w:val="24"/>
        </w:rPr>
        <w:t xml:space="preserve">, 843 F.2d 1228, 1231 (9th Cir. 1988)). The analysis depends on the “totality of the circumstances” and is “fact-specific.” </w:t>
      </w:r>
      <w:r w:rsidRPr="00842D3D">
        <w:rPr>
          <w:rFonts w:eastAsia="Calibri" w:cs="Times New Roman"/>
          <w:i/>
          <w:szCs w:val="24"/>
        </w:rPr>
        <w:t>Id.</w:t>
      </w:r>
    </w:p>
    <w:p w14:paraId="0AC65094" w14:textId="77777777" w:rsidR="00842D3D" w:rsidRPr="00842D3D" w:rsidRDefault="00842D3D" w:rsidP="00842D3D">
      <w:pPr>
        <w:autoSpaceDE w:val="0"/>
        <w:autoSpaceDN w:val="0"/>
        <w:adjustRightInd w:val="0"/>
        <w:rPr>
          <w:rFonts w:eastAsia="Calibri" w:cs="Times New Roman"/>
          <w:i/>
          <w:szCs w:val="24"/>
        </w:rPr>
      </w:pPr>
    </w:p>
    <w:p w14:paraId="750DF50F" w14:textId="77777777" w:rsidR="00842D3D" w:rsidRPr="00842D3D" w:rsidRDefault="00842D3D" w:rsidP="00842D3D">
      <w:pPr>
        <w:autoSpaceDE w:val="0"/>
        <w:autoSpaceDN w:val="0"/>
        <w:adjustRightInd w:val="0"/>
        <w:ind w:left="720" w:right="720"/>
        <w:jc w:val="both"/>
        <w:rPr>
          <w:rFonts w:eastAsia="Calibri" w:cs="Times New Roman"/>
          <w:b/>
          <w:szCs w:val="24"/>
        </w:rPr>
      </w:pPr>
      <w:r w:rsidRPr="00842D3D">
        <w:rPr>
          <w:rFonts w:eastAsia="Calibri" w:cs="Times New Roman"/>
          <w:szCs w:val="24"/>
        </w:rPr>
        <w:lastRenderedPageBreak/>
        <w:t xml:space="preserve">In looking at the totality of the circumstances, we consider both the intrusiveness of the stop, </w:t>
      </w:r>
      <w:r w:rsidRPr="00842D3D">
        <w:rPr>
          <w:rFonts w:eastAsia="Calibri" w:cs="Times New Roman"/>
          <w:i/>
          <w:szCs w:val="24"/>
        </w:rPr>
        <w:t>i.e.</w:t>
      </w:r>
      <w:r w:rsidRPr="00842D3D">
        <w:rPr>
          <w:rFonts w:eastAsia="Calibri" w:cs="Times New Roman"/>
          <w:szCs w:val="24"/>
        </w:rPr>
        <w:t xml:space="preserve">, the aggressiveness of the police methods and how much the plaintiff’s liberty was restricted, and the justification for the use of such tactics, </w:t>
      </w:r>
      <w:r w:rsidRPr="00842D3D">
        <w:rPr>
          <w:rFonts w:eastAsia="Calibri" w:cs="Times New Roman"/>
          <w:i/>
          <w:szCs w:val="24"/>
        </w:rPr>
        <w:t>i.e</w:t>
      </w:r>
      <w:r w:rsidRPr="00842D3D">
        <w:rPr>
          <w:rFonts w:eastAsia="Calibri" w:cs="Times New Roman"/>
          <w:szCs w:val="24"/>
        </w:rPr>
        <w:t xml:space="preserve">., whether the officer had sufficient basis to fear for his safety to warrant the intrusiveness of the action taken. In short, we decide whether the police action constitutes a </w:t>
      </w:r>
      <w:r w:rsidRPr="00842D3D">
        <w:rPr>
          <w:rFonts w:eastAsia="Calibri" w:cs="Times New Roman"/>
          <w:i/>
          <w:szCs w:val="24"/>
        </w:rPr>
        <w:t>Terry</w:t>
      </w:r>
      <w:r w:rsidRPr="00842D3D">
        <w:rPr>
          <w:rFonts w:eastAsia="Calibri"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842D3D">
        <w:rPr>
          <w:rFonts w:eastAsia="Calibri" w:cs="Times New Roman"/>
          <w:i/>
          <w:szCs w:val="24"/>
        </w:rPr>
        <w:t>e.g.</w:t>
      </w:r>
      <w:r w:rsidRPr="00842D3D">
        <w:rPr>
          <w:rFonts w:eastAsia="Calibri" w:cs="Times New Roman"/>
          <w:szCs w:val="24"/>
        </w:rPr>
        <w:t>, where the “suspects” are cooperative, those same actions may not constitute an arrest where the suspect is uncooperative or the police have specific reasons to believe that a serious threat to the safety of the officers exists. The relevant inquiry is always one of reasonableness under the circumstances.</w:t>
      </w:r>
    </w:p>
    <w:p w14:paraId="337F429A" w14:textId="77777777" w:rsidR="00842D3D" w:rsidRPr="00842D3D" w:rsidRDefault="00842D3D" w:rsidP="00842D3D">
      <w:pPr>
        <w:autoSpaceDE w:val="0"/>
        <w:autoSpaceDN w:val="0"/>
        <w:adjustRightInd w:val="0"/>
        <w:rPr>
          <w:rFonts w:eastAsia="Calibri" w:cs="Times New Roman"/>
          <w:b/>
          <w:szCs w:val="24"/>
        </w:rPr>
      </w:pPr>
    </w:p>
    <w:p w14:paraId="342AD5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(citations omitted); </w:t>
      </w:r>
      <w:r w:rsidRPr="00842D3D">
        <w:rPr>
          <w:rFonts w:eastAsia="Calibri" w:cs="Times New Roman"/>
          <w:i/>
          <w:szCs w:val="24"/>
        </w:rPr>
        <w:t>see also Lyall</w:t>
      </w:r>
      <w:r w:rsidRPr="00842D3D">
        <w:rPr>
          <w:rFonts w:eastAsia="Calibri" w:cs="Times New Roman"/>
          <w:szCs w:val="24"/>
        </w:rPr>
        <w:t xml:space="preserve">, 807 F.3d at 1193 n.13 (permitting the jury to conclude that detention of plaintiffs for 30-45 minutes for field identification did not transform detention from a </w:t>
      </w:r>
      <w:r w:rsidRPr="00842D3D">
        <w:rPr>
          <w:rFonts w:eastAsia="Calibri" w:cs="Times New Roman"/>
          <w:i/>
          <w:szCs w:val="24"/>
        </w:rPr>
        <w:t xml:space="preserve">Terry </w:t>
      </w:r>
      <w:r w:rsidRPr="00842D3D">
        <w:rPr>
          <w:rFonts w:eastAsia="Calibri" w:cs="Times New Roman"/>
          <w:szCs w:val="24"/>
        </w:rPr>
        <w:t>stop into an arrest requiring a more demanding showing of probable cause).</w:t>
      </w:r>
    </w:p>
    <w:p w14:paraId="6A3C3C05" w14:textId="77777777" w:rsidR="00842D3D" w:rsidRPr="00842D3D" w:rsidRDefault="00842D3D" w:rsidP="00842D3D">
      <w:pPr>
        <w:autoSpaceDE w:val="0"/>
        <w:autoSpaceDN w:val="0"/>
        <w:adjustRightInd w:val="0"/>
        <w:rPr>
          <w:rFonts w:eastAsia="Calibri" w:cs="Times New Roman"/>
          <w:szCs w:val="24"/>
        </w:rPr>
      </w:pPr>
    </w:p>
    <w:p w14:paraId="23D7860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Reynaga Hernandez v. Skinner</w:t>
      </w:r>
      <w:r w:rsidRPr="00842D3D">
        <w:rPr>
          <w:rFonts w:eastAsia="Calibri" w:cs="Times New Roman"/>
          <w:szCs w:val="24"/>
        </w:rPr>
        <w:t xml:space="preserve">, 969 F.3d 930, 937-40 (9th Cir. 2020), the court held that detaining individuals based solely on reasonable suspicion or knowledge that a person was unlawfully present in the United States, which is not a crime under 8 U.S.C. § 1325, is not sufficiently “premised on criminality” to justify a stop under </w:t>
      </w:r>
      <w:r w:rsidRPr="00842D3D">
        <w:rPr>
          <w:rFonts w:eastAsia="Calibri" w:cs="Times New Roman"/>
          <w:i/>
          <w:szCs w:val="24"/>
        </w:rPr>
        <w:t>Terry</w:t>
      </w:r>
      <w:r w:rsidRPr="00842D3D">
        <w:rPr>
          <w:rFonts w:eastAsia="Calibri" w:cs="Times New Roman"/>
          <w:szCs w:val="24"/>
        </w:rPr>
        <w:t xml:space="preserve">. </w:t>
      </w:r>
      <w:r w:rsidRPr="00842D3D">
        <w:rPr>
          <w:rFonts w:eastAsia="Calibri" w:cs="Times New Roman"/>
          <w:i/>
          <w:szCs w:val="24"/>
        </w:rPr>
        <w:t>See also United States v. Cabrera</w:t>
      </w:r>
      <w:r w:rsidRPr="00842D3D">
        <w:rPr>
          <w:rFonts w:eastAsia="Calibri" w:cs="Times New Roman"/>
          <w:szCs w:val="24"/>
        </w:rPr>
        <w:t xml:space="preserve">, 83 F.4th 729, 735 (9th Cir. 2023) (explaining that a stop meets the requirements of </w:t>
      </w:r>
      <w:r w:rsidRPr="00842D3D">
        <w:rPr>
          <w:rFonts w:eastAsia="Calibri" w:cs="Times New Roman"/>
          <w:i/>
          <w:szCs w:val="24"/>
        </w:rPr>
        <w:t>Terry</w:t>
      </w:r>
      <w:r w:rsidRPr="00842D3D">
        <w:rPr>
          <w:rFonts w:eastAsia="Calibri" w:cs="Times New Roman"/>
          <w:szCs w:val="24"/>
        </w:rPr>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1E3D77D6" w14:textId="77777777" w:rsidR="00842D3D" w:rsidRPr="00842D3D" w:rsidRDefault="00842D3D" w:rsidP="00842D3D">
      <w:pPr>
        <w:autoSpaceDE w:val="0"/>
        <w:autoSpaceDN w:val="0"/>
        <w:adjustRightInd w:val="0"/>
        <w:jc w:val="right"/>
        <w:rPr>
          <w:rFonts w:eastAsia="Calibri" w:cs="Times New Roman"/>
          <w:i/>
          <w:iCs/>
          <w:szCs w:val="24"/>
        </w:rPr>
      </w:pPr>
    </w:p>
    <w:p w14:paraId="372B168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B0CCF7B" w14:textId="77777777" w:rsidR="00842D3D" w:rsidRPr="00842D3D" w:rsidRDefault="00842D3D" w:rsidP="00842D3D">
      <w:pPr>
        <w:autoSpaceDE w:val="0"/>
        <w:autoSpaceDN w:val="0"/>
        <w:adjustRightInd w:val="0"/>
        <w:rPr>
          <w:rFonts w:eastAsia="Calibri" w:cs="Times New Roman"/>
          <w:szCs w:val="24"/>
        </w:rPr>
      </w:pPr>
    </w:p>
    <w:p w14:paraId="05805444" w14:textId="31C9368E" w:rsidR="00842D3D" w:rsidRPr="00842D3D" w:rsidRDefault="00842D3D" w:rsidP="00FF121D">
      <w:pPr>
        <w:pStyle w:val="Heading2"/>
      </w:pPr>
      <w:r w:rsidRPr="00842D3D">
        <w:br w:type="page"/>
      </w:r>
      <w:r w:rsidRPr="00842D3D">
        <w:rPr>
          <w:lang w:val="en-CA"/>
        </w:rPr>
        <w:lastRenderedPageBreak/>
        <w:fldChar w:fldCharType="begin"/>
      </w:r>
      <w:r w:rsidRPr="00842D3D">
        <w:rPr>
          <w:lang w:val="en-CA"/>
        </w:rPr>
        <w:instrText xml:space="preserve"> SEQ CHAPTER \h \r 1</w:instrText>
      </w:r>
      <w:r w:rsidRPr="00842D3D">
        <w:rPr>
          <w:lang w:val="en-CA"/>
        </w:rPr>
        <w:fldChar w:fldCharType="end"/>
      </w:r>
      <w:bookmarkStart w:id="173" w:name="_Toc221525188"/>
      <w:r w:rsidRPr="00842D3D">
        <w:t>9.2</w:t>
      </w:r>
      <w:r w:rsidR="005F1850">
        <w:t>4</w:t>
      </w:r>
      <w:r w:rsidRPr="00842D3D">
        <w:t xml:space="preserve"> Particular Rights—Fourth Amendment—Unreasonable Search—Exception To Warrant Requirement—</w:t>
      </w:r>
      <w:r w:rsidRPr="00842D3D">
        <w:rPr>
          <w:i/>
          <w:iCs/>
        </w:rPr>
        <w:t xml:space="preserve">Terry </w:t>
      </w:r>
      <w:r w:rsidRPr="00842D3D">
        <w:t>Frisk</w:t>
      </w:r>
      <w:bookmarkEnd w:id="173"/>
    </w:p>
    <w:p w14:paraId="272D591F" w14:textId="77777777" w:rsidR="00842D3D" w:rsidRPr="00842D3D" w:rsidRDefault="00842D3D" w:rsidP="00842D3D">
      <w:pPr>
        <w:autoSpaceDE w:val="0"/>
        <w:autoSpaceDN w:val="0"/>
        <w:adjustRightInd w:val="0"/>
        <w:rPr>
          <w:rFonts w:eastAsia="Calibri" w:cs="Times New Roman"/>
          <w:szCs w:val="24"/>
        </w:rPr>
      </w:pPr>
    </w:p>
    <w:p w14:paraId="11C0B8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296E2AF8" w14:textId="77777777" w:rsidR="00842D3D" w:rsidRPr="00842D3D" w:rsidRDefault="00842D3D" w:rsidP="00842D3D">
      <w:pPr>
        <w:autoSpaceDE w:val="0"/>
        <w:autoSpaceDN w:val="0"/>
        <w:adjustRightInd w:val="0"/>
        <w:rPr>
          <w:rFonts w:eastAsia="Calibri" w:cs="Times New Roman"/>
          <w:szCs w:val="24"/>
        </w:rPr>
      </w:pPr>
    </w:p>
    <w:p w14:paraId="02733BB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search for weapons is permissible if, under all the circumstances known to the officer[s] at the time:</w:t>
      </w:r>
    </w:p>
    <w:p w14:paraId="19C7C516" w14:textId="77777777" w:rsidR="00842D3D" w:rsidRPr="00842D3D" w:rsidRDefault="00842D3D" w:rsidP="00842D3D">
      <w:pPr>
        <w:autoSpaceDE w:val="0"/>
        <w:autoSpaceDN w:val="0"/>
        <w:adjustRightInd w:val="0"/>
        <w:rPr>
          <w:rFonts w:eastAsia="Calibri" w:cs="Times New Roman"/>
        </w:rPr>
      </w:pPr>
    </w:p>
    <w:p w14:paraId="1FE0A76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(1) </w:t>
      </w:r>
      <w:r w:rsidRPr="00842D3D">
        <w:rPr>
          <w:rFonts w:eastAsia="Calibri" w:cs="Times New Roman"/>
        </w:rPr>
        <w:tab/>
        <w:t>the officer[s] had a reasonable suspicion that the person was armed and presently dangerous to the officer[s] or to others; and</w:t>
      </w:r>
    </w:p>
    <w:p w14:paraId="0882CCB3" w14:textId="77777777" w:rsidR="00842D3D" w:rsidRPr="00842D3D" w:rsidRDefault="00842D3D" w:rsidP="00842D3D">
      <w:pPr>
        <w:autoSpaceDE w:val="0"/>
        <w:autoSpaceDN w:val="0"/>
        <w:adjustRightInd w:val="0"/>
        <w:rPr>
          <w:rFonts w:eastAsia="Calibri" w:cs="Times New Roman"/>
        </w:rPr>
      </w:pPr>
    </w:p>
    <w:p w14:paraId="1CF39DEF"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(2) </w:t>
      </w:r>
      <w:r w:rsidRPr="00842D3D">
        <w:rPr>
          <w:rFonts w:eastAsia="Calibri" w:cs="Times New Roman"/>
        </w:rPr>
        <w:tab/>
        <w:t>the scope of the search was strictly limited to that which is necessary for the discovery of weapons.</w:t>
      </w:r>
    </w:p>
    <w:p w14:paraId="48FEA86C" w14:textId="77777777" w:rsidR="00842D3D" w:rsidRPr="00842D3D" w:rsidRDefault="00842D3D" w:rsidP="00842D3D">
      <w:pPr>
        <w:autoSpaceDE w:val="0"/>
        <w:autoSpaceDN w:val="0"/>
        <w:adjustRightInd w:val="0"/>
        <w:rPr>
          <w:rFonts w:eastAsia="Calibri" w:cs="Times New Roman"/>
        </w:rPr>
      </w:pPr>
    </w:p>
    <w:p w14:paraId="6C9025D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 particularized and objective basis for suspecting the plaintiff is armed. The officer[s] [is] [are] permitted to draw on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own experience and specialized training to make inferences from and deductions about the cumulative information available to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w:t>
      </w:r>
      <w:r w:rsidRPr="00842D3D">
        <w:rPr>
          <w:rFonts w:eastAsia="Calibri" w:cs="Times New Roman"/>
        </w:rPr>
        <w:t>.</w:t>
      </w:r>
    </w:p>
    <w:p w14:paraId="710813C0" w14:textId="77777777" w:rsidR="00842D3D" w:rsidRPr="00842D3D" w:rsidRDefault="00842D3D" w:rsidP="00842D3D">
      <w:pPr>
        <w:autoSpaceDE w:val="0"/>
        <w:autoSpaceDN w:val="0"/>
        <w:adjustRightInd w:val="0"/>
        <w:rPr>
          <w:rFonts w:eastAsia="Calibri" w:cs="Times New Roman"/>
        </w:rPr>
      </w:pPr>
    </w:p>
    <w:p w14:paraId="5DEA8F9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0A931116" w14:textId="77777777" w:rsidR="00842D3D" w:rsidRPr="00842D3D" w:rsidRDefault="00842D3D" w:rsidP="00842D3D">
      <w:pPr>
        <w:rPr>
          <w:rFonts w:eastAsia="Calibri" w:cs="Times New Roman"/>
          <w:szCs w:val="24"/>
          <w:u w:val="single"/>
        </w:rPr>
      </w:pPr>
    </w:p>
    <w:p w14:paraId="4703372F" w14:textId="73E60759" w:rsidR="00842D3D" w:rsidRPr="00842D3D" w:rsidRDefault="00842D3D" w:rsidP="00842D3D">
      <w:pPr>
        <w:ind w:firstLine="720"/>
        <w:rPr>
          <w:rFonts w:eastAsia="Calibri" w:cs="Times New Roman"/>
          <w:szCs w:val="24"/>
        </w:rPr>
      </w:pPr>
      <w:r w:rsidRPr="00842D3D">
        <w:rPr>
          <w:rFonts w:eastAsia="Calibri" w:cs="Times New Roman"/>
          <w:szCs w:val="24"/>
        </w:rPr>
        <w:t xml:space="preserve">For </w:t>
      </w:r>
      <w:r w:rsidRPr="00842D3D">
        <w:rPr>
          <w:rFonts w:eastAsia="Calibri" w:cs="Times New Roman"/>
          <w:i/>
          <w:szCs w:val="24"/>
        </w:rPr>
        <w:t xml:space="preserve">Terry </w:t>
      </w:r>
      <w:r w:rsidRPr="00842D3D">
        <w:rPr>
          <w:rFonts w:eastAsia="Calibri" w:cs="Times New Roman"/>
          <w:szCs w:val="24"/>
        </w:rPr>
        <w:t>stops, use Instruction 9.2</w:t>
      </w:r>
      <w:r w:rsidR="00047AF1">
        <w:rPr>
          <w:rFonts w:eastAsia="Calibri" w:cs="Times New Roman"/>
          <w:szCs w:val="24"/>
        </w:rPr>
        <w:t>3</w:t>
      </w:r>
      <w:r w:rsidRPr="00842D3D">
        <w:rPr>
          <w:rFonts w:eastAsia="Calibri" w:cs="Times New Roman"/>
          <w:szCs w:val="24"/>
        </w:rPr>
        <w:t xml:space="preserve"> (Particular Rights—Fourth Amendment—Unreasonable Seizure of Person—Exception to Warrant Requirement—</w:t>
      </w:r>
      <w:r w:rsidRPr="00842D3D">
        <w:rPr>
          <w:rFonts w:eastAsia="Calibri" w:cs="Times New Roman"/>
          <w:i/>
          <w:szCs w:val="24"/>
        </w:rPr>
        <w:t>Terry</w:t>
      </w:r>
      <w:r w:rsidRPr="00842D3D">
        <w:rPr>
          <w:rFonts w:eastAsia="Calibri" w:cs="Times New Roman"/>
          <w:szCs w:val="24"/>
        </w:rPr>
        <w:t xml:space="preserve"> Stop).</w:t>
      </w:r>
    </w:p>
    <w:p w14:paraId="6168D6C5" w14:textId="77777777" w:rsidR="00842D3D" w:rsidRPr="00842D3D" w:rsidRDefault="00842D3D" w:rsidP="00842D3D">
      <w:pPr>
        <w:autoSpaceDE w:val="0"/>
        <w:autoSpaceDN w:val="0"/>
        <w:adjustRightInd w:val="0"/>
        <w:rPr>
          <w:rFonts w:eastAsia="Calibri" w:cs="Times New Roman"/>
          <w:szCs w:val="24"/>
        </w:rPr>
      </w:pPr>
    </w:p>
    <w:p w14:paraId="0E043576"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283A6F0" w14:textId="77777777" w:rsidR="00842D3D" w:rsidRPr="00842D3D" w:rsidRDefault="00842D3D" w:rsidP="00842D3D">
      <w:pPr>
        <w:autoSpaceDE w:val="0"/>
        <w:autoSpaceDN w:val="0"/>
        <w:adjustRightInd w:val="0"/>
        <w:jc w:val="center"/>
        <w:rPr>
          <w:rFonts w:eastAsia="Calibri" w:cs="Times New Roman"/>
        </w:rPr>
      </w:pPr>
    </w:p>
    <w:p w14:paraId="1FA8326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police officer may conduct a patdown search to determine whether a person is carrying a weapon when the officer has a reasonable suspicion that the person is armed and presently dangerous to the officer or to others. </w:t>
      </w:r>
      <w:r w:rsidRPr="00842D3D">
        <w:rPr>
          <w:rFonts w:eastAsia="Calibri" w:cs="Times New Roman"/>
          <w:i/>
        </w:rPr>
        <w:t>Terry v. Ohio</w:t>
      </w:r>
      <w:r w:rsidRPr="00842D3D">
        <w:rPr>
          <w:rFonts w:eastAsia="Calibri" w:cs="Times New Roman"/>
        </w:rPr>
        <w:t xml:space="preserve">, 392 U.S. 1, 24 (1983). “The purpose of this limited search is not to discover evidence of crime, but to allow the officer to pursue his investigation without fear of violence.” </w:t>
      </w:r>
      <w:r w:rsidRPr="00842D3D">
        <w:rPr>
          <w:rFonts w:eastAsia="Calibri" w:cs="Times New Roman"/>
          <w:i/>
        </w:rPr>
        <w:t>Adams v. Williams</w:t>
      </w:r>
      <w:r w:rsidRPr="00842D3D">
        <w:rPr>
          <w:rFonts w:eastAsia="Calibri" w:cs="Times New Roman"/>
        </w:rPr>
        <w:t xml:space="preserve">, 407 U.S. 143, 146 (1972). Thus, the scope of the search “must be strictly ‘limited to that which is necessary for the discovery of </w:t>
      </w:r>
      <w:r w:rsidRPr="00842D3D">
        <w:rPr>
          <w:rFonts w:eastAsia="Calibri" w:cs="Times New Roman"/>
        </w:rPr>
        <w:lastRenderedPageBreak/>
        <w:t xml:space="preserve">weapons which might be used to harm the officer or others nearby.’” </w:t>
      </w:r>
      <w:r w:rsidRPr="00842D3D">
        <w:rPr>
          <w:rFonts w:eastAsia="Calibri" w:cs="Times New Roman"/>
          <w:i/>
        </w:rPr>
        <w:t>Minnesota v. Dickerson</w:t>
      </w:r>
      <w:r w:rsidRPr="00842D3D">
        <w:rPr>
          <w:rFonts w:eastAsia="Calibri" w:cs="Times New Roman"/>
        </w:rPr>
        <w:t xml:space="preserve">, 508 U.S. 366, 373 (1993) (quoting </w:t>
      </w:r>
      <w:r w:rsidRPr="00842D3D">
        <w:rPr>
          <w:rFonts w:eastAsia="Calibri" w:cs="Times New Roman"/>
          <w:i/>
        </w:rPr>
        <w:t>Terry</w:t>
      </w:r>
      <w:r w:rsidRPr="00842D3D">
        <w:rPr>
          <w:rFonts w:eastAsia="Calibri" w:cs="Times New Roman"/>
        </w:rPr>
        <w:t>, 392 U.S. at 24).</w:t>
      </w:r>
    </w:p>
    <w:p w14:paraId="12A39FB9" w14:textId="77777777" w:rsidR="00842D3D" w:rsidRPr="00842D3D" w:rsidRDefault="00842D3D" w:rsidP="00842D3D">
      <w:pPr>
        <w:autoSpaceDE w:val="0"/>
        <w:autoSpaceDN w:val="0"/>
        <w:adjustRightInd w:val="0"/>
        <w:rPr>
          <w:rFonts w:eastAsia="Calibri" w:cs="Times New Roman"/>
        </w:rPr>
      </w:pPr>
    </w:p>
    <w:p w14:paraId="2A33360E" w14:textId="77777777" w:rsidR="00842D3D" w:rsidRPr="00842D3D" w:rsidRDefault="00842D3D" w:rsidP="00842D3D">
      <w:pPr>
        <w:ind w:firstLine="720"/>
        <w:rPr>
          <w:rFonts w:eastAsia="Calibri" w:cs="Times New Roman"/>
        </w:rPr>
      </w:pPr>
      <w:r w:rsidRPr="00842D3D">
        <w:rPr>
          <w:rFonts w:eastAsia="Calibri" w:cs="Times New Roman"/>
        </w:rPr>
        <w:t xml:space="preserve">A </w:t>
      </w:r>
      <w:r w:rsidRPr="00842D3D">
        <w:rPr>
          <w:rFonts w:eastAsia="Calibri" w:cs="Times New Roman"/>
          <w:i/>
        </w:rPr>
        <w:t>Terry</w:t>
      </w:r>
      <w:r w:rsidRPr="00842D3D">
        <w:rPr>
          <w:rFonts w:eastAsia="Calibri" w:cs="Times New Roman"/>
        </w:rPr>
        <w:t xml:space="preserve"> search must be “confined in scope” to a “carefully limited search of the outer clothing . . . in an attempt to discover weapons.” </w:t>
      </w:r>
      <w:r w:rsidRPr="00842D3D">
        <w:rPr>
          <w:rFonts w:eastAsia="Calibri" w:cs="Times New Roman"/>
          <w:i/>
        </w:rPr>
        <w:t>United States v. Baker</w:t>
      </w:r>
      <w:r w:rsidRPr="00842D3D">
        <w:rPr>
          <w:rFonts w:eastAsia="Calibri" w:cs="Times New Roman"/>
        </w:rPr>
        <w:t>, 58 F.4th 1109, 1117 (9th Cir. 2023</w:t>
      </w:r>
      <w:r w:rsidRPr="00842D3D">
        <w:rPr>
          <w:rFonts w:eastAsia="Calibri" w:cs="Times New Roman"/>
          <w:szCs w:val="24"/>
        </w:rPr>
        <w:t>) (</w:t>
      </w:r>
      <w:r w:rsidRPr="00842D3D">
        <w:rPr>
          <w:rFonts w:eastAsia="Calibri" w:cs="Times New Roman"/>
        </w:rPr>
        <w:t xml:space="preserve">citing </w:t>
      </w:r>
      <w:r w:rsidRPr="00842D3D">
        <w:rPr>
          <w:rFonts w:eastAsia="Calibri" w:cs="Times New Roman"/>
          <w:i/>
        </w:rPr>
        <w:t>Terry</w:t>
      </w:r>
      <w:r w:rsidRPr="00842D3D">
        <w:rPr>
          <w:rFonts w:eastAsia="Calibri" w:cs="Times New Roman"/>
        </w:rPr>
        <w:t xml:space="preserve">, 392 U.S. at 29). In </w:t>
      </w:r>
      <w:r w:rsidRPr="00842D3D">
        <w:rPr>
          <w:rFonts w:eastAsia="Calibri" w:cs="Times New Roman"/>
          <w:i/>
        </w:rPr>
        <w:t>Baker</w:t>
      </w:r>
      <w:r w:rsidRPr="00842D3D">
        <w:rPr>
          <w:rFonts w:eastAsia="Calibri" w:cs="Times New Roman"/>
        </w:rPr>
        <w:t xml:space="preserve">, a police officer exceeded the permissible scope of </w:t>
      </w:r>
      <w:r w:rsidRPr="00842D3D">
        <w:rPr>
          <w:rFonts w:eastAsia="Calibri" w:cs="Times New Roman"/>
          <w:i/>
        </w:rPr>
        <w:t>Terry</w:t>
      </w:r>
      <w:r w:rsidRPr="00842D3D">
        <w:rPr>
          <w:rFonts w:eastAsia="Calibri" w:cs="Times New Roman"/>
        </w:rPr>
        <w:t xml:space="preserve"> stop and frisk by removing a car key visibly hanging from defendant’s belt loop and searching for the car that corresponded to it. </w:t>
      </w:r>
      <w:r w:rsidRPr="00842D3D">
        <w:rPr>
          <w:rFonts w:eastAsia="Calibri" w:cs="Times New Roman"/>
          <w:i/>
        </w:rPr>
        <w:t>Baker</w:t>
      </w:r>
      <w:r w:rsidRPr="00842D3D">
        <w:rPr>
          <w:rFonts w:eastAsia="Calibri" w:cs="Times New Roman"/>
        </w:rPr>
        <w:t xml:space="preserve">, 58 F.4th at 1117-18. In </w:t>
      </w:r>
      <w:r w:rsidRPr="00842D3D">
        <w:rPr>
          <w:rFonts w:eastAsia="Calibri" w:cs="Times New Roman"/>
          <w:i/>
        </w:rPr>
        <w:t>United States v. Brown</w:t>
      </w:r>
      <w:r w:rsidRPr="00842D3D">
        <w:rPr>
          <w:rFonts w:eastAsia="Calibri" w:cs="Times New Roman"/>
        </w:rPr>
        <w:t xml:space="preserve">, 996 F.3d 998 (9th Cir. 2021), the court considered whether an officer conducting a </w:t>
      </w:r>
      <w:r w:rsidRPr="00842D3D">
        <w:rPr>
          <w:rFonts w:eastAsia="Calibri" w:cs="Times New Roman"/>
          <w:i/>
        </w:rPr>
        <w:t xml:space="preserve">Terry </w:t>
      </w:r>
      <w:r w:rsidRPr="00842D3D">
        <w:rPr>
          <w:rFonts w:eastAsia="Calibri" w:cs="Times New Roman"/>
        </w:rPr>
        <w:t xml:space="preserve">stop could lawfully reach into the detainee’s pocket as the initial means of conducting a patdown search. </w:t>
      </w:r>
      <w:r w:rsidRPr="00842D3D">
        <w:rPr>
          <w:rFonts w:eastAsia="Calibri" w:cs="Times New Roman"/>
          <w:i/>
        </w:rPr>
        <w:t>Id.</w:t>
      </w:r>
      <w:r w:rsidRPr="00842D3D">
        <w:rPr>
          <w:rFonts w:eastAsia="Calibri" w:cs="Times New Roman"/>
        </w:rPr>
        <w:t xml:space="preserve"> at 1009. The court held that even if the officer “was authorized to conduct a protective frisk, his search of [the defendant’s] right pocket exceeded what </w:t>
      </w:r>
      <w:r w:rsidRPr="00842D3D">
        <w:rPr>
          <w:rFonts w:eastAsia="Calibri" w:cs="Times New Roman"/>
          <w:i/>
        </w:rPr>
        <w:t>Terry</w:t>
      </w:r>
      <w:r w:rsidRPr="00842D3D">
        <w:rPr>
          <w:rFonts w:eastAsia="Calibri" w:cs="Times New Roman"/>
        </w:rPr>
        <w:t xml:space="preserve"> and its progeny allow.”</w:t>
      </w:r>
      <w:r w:rsidRPr="00842D3D">
        <w:rPr>
          <w:rFonts w:eastAsia="Calibri" w:cs="Times New Roman"/>
          <w:i/>
        </w:rPr>
        <w:t xml:space="preserve"> Id</w:t>
      </w:r>
      <w:r w:rsidRPr="00842D3D">
        <w:rPr>
          <w:rFonts w:eastAsia="Calibri" w:cs="Times New Roman"/>
        </w:rPr>
        <w:t xml:space="preserve">. at 1008. Thus, “[a] lawful frisk does not always flow from a justified stop.” </w:t>
      </w:r>
      <w:r w:rsidRPr="00842D3D">
        <w:rPr>
          <w:rFonts w:eastAsia="Calibri" w:cs="Times New Roman"/>
          <w:i/>
        </w:rPr>
        <w:t>United States v. Thomas</w:t>
      </w:r>
      <w:r w:rsidRPr="00842D3D">
        <w:rPr>
          <w:rFonts w:eastAsia="Calibri" w:cs="Times New Roman"/>
        </w:rPr>
        <w:t xml:space="preserve">, 863 F.2d 622, 628 (9th Cir. 1988). Rather, “[e]ach element, the stop and the frisk, must be analyzed separately; the reasonableness of each must be independently determined.” </w:t>
      </w:r>
      <w:r w:rsidRPr="00842D3D">
        <w:rPr>
          <w:rFonts w:eastAsia="Calibri" w:cs="Times New Roman"/>
          <w:i/>
        </w:rPr>
        <w:t>Id</w:t>
      </w:r>
      <w:r w:rsidRPr="00842D3D">
        <w:rPr>
          <w:rFonts w:eastAsia="Calibri" w:cs="Times New Roman"/>
        </w:rPr>
        <w:t xml:space="preserve">. </w:t>
      </w:r>
    </w:p>
    <w:p w14:paraId="09AD7342" w14:textId="77777777" w:rsidR="00842D3D" w:rsidRPr="00842D3D" w:rsidRDefault="00842D3D" w:rsidP="00842D3D">
      <w:pPr>
        <w:autoSpaceDE w:val="0"/>
        <w:autoSpaceDN w:val="0"/>
        <w:adjustRightInd w:val="0"/>
        <w:rPr>
          <w:rFonts w:eastAsia="Calibri" w:cs="Times New Roman"/>
        </w:rPr>
      </w:pPr>
    </w:p>
    <w:p w14:paraId="5E2B58F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an objective standard, which requires consideration of the totality of the circumstances. </w:t>
      </w:r>
      <w:r w:rsidRPr="00842D3D">
        <w:rPr>
          <w:rFonts w:eastAsia="Calibri" w:cs="Times New Roman"/>
          <w:i/>
        </w:rPr>
        <w:t>Terry</w:t>
      </w:r>
      <w:r w:rsidRPr="00842D3D">
        <w:rPr>
          <w:rFonts w:eastAsia="Calibri" w:cs="Times New Roman"/>
        </w:rPr>
        <w:t>, 392 U.S. at 28.</w:t>
      </w:r>
    </w:p>
    <w:p w14:paraId="40018341" w14:textId="77777777" w:rsidR="00842D3D" w:rsidRPr="00842D3D" w:rsidRDefault="00842D3D" w:rsidP="00842D3D">
      <w:pPr>
        <w:autoSpaceDE w:val="0"/>
        <w:autoSpaceDN w:val="0"/>
        <w:adjustRightInd w:val="0"/>
        <w:rPr>
          <w:rFonts w:eastAsia="Calibri" w:cs="Times New Roman"/>
        </w:rPr>
      </w:pPr>
    </w:p>
    <w:p w14:paraId="151527F0"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67A9D510" w14:textId="77777777" w:rsidR="00842D3D" w:rsidRPr="00842D3D" w:rsidRDefault="00842D3D" w:rsidP="00842D3D">
      <w:pPr>
        <w:autoSpaceDE w:val="0"/>
        <w:autoSpaceDN w:val="0"/>
        <w:adjustRightInd w:val="0"/>
        <w:rPr>
          <w:rFonts w:eastAsia="Calibri" w:cs="Times New Roman"/>
          <w:i/>
        </w:rPr>
      </w:pPr>
    </w:p>
    <w:p w14:paraId="795FAD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Thomas v. Dillard</w:t>
      </w:r>
      <w:r w:rsidRPr="00842D3D">
        <w:rPr>
          <w:rFonts w:eastAsia="Calibri" w:cs="Times New Roman"/>
        </w:rPr>
        <w:t xml:space="preserve">, 818 F.3d 864, 877 (9th Cir. 2016) (internal citations omitted). The reasonable suspicion standard “is not a particularly high threshold to reach.” </w:t>
      </w:r>
      <w:r w:rsidRPr="00842D3D">
        <w:rPr>
          <w:rFonts w:eastAsia="Calibri" w:cs="Times New Roman"/>
          <w:i/>
        </w:rPr>
        <w:t>United States v. Bontemps</w:t>
      </w:r>
      <w:r w:rsidRPr="00842D3D">
        <w:rPr>
          <w:rFonts w:eastAsia="Calibri" w:cs="Times New Roman"/>
        </w:rPr>
        <w:t>, 977 F.3d 909, 915 (9th Cir. 2020) (“[A] bulge suggestive of a firearm can be sufficient to create reasonable suspicion.”).</w:t>
      </w:r>
      <w:r w:rsidRPr="00842D3D">
        <w:rPr>
          <w:rFonts w:eastAsia="Calibri" w:cs="Times New Roman"/>
          <w:i/>
        </w:rPr>
        <w:t xml:space="preserve"> </w:t>
      </w:r>
      <w:r w:rsidRPr="00842D3D">
        <w:rPr>
          <w:rFonts w:eastAsia="Calibri" w:cs="Times New Roman"/>
        </w:rPr>
        <w:t xml:space="preserve">While suspected domestic violence is a relevant consideration in assessing whether a person is armed and dangerous, suspicion of such a crime by itself does not provide a reason to suspect a person is armed. </w:t>
      </w:r>
      <w:r w:rsidRPr="00842D3D">
        <w:rPr>
          <w:rFonts w:eastAsia="Calibri" w:cs="Times New Roman"/>
          <w:i/>
        </w:rPr>
        <w:t>Thomas</w:t>
      </w:r>
      <w:r w:rsidRPr="00842D3D">
        <w:rPr>
          <w:rFonts w:eastAsia="Calibri" w:cs="Times New Roman"/>
        </w:rPr>
        <w:t xml:space="preserve">, 818 F.3d at 878; </w:t>
      </w:r>
      <w:r w:rsidRPr="00842D3D">
        <w:rPr>
          <w:rFonts w:eastAsia="Calibri" w:cs="Times New Roman"/>
          <w:i/>
        </w:rPr>
        <w:t>see United States v. Taylor</w:t>
      </w:r>
      <w:r w:rsidRPr="00842D3D">
        <w:rPr>
          <w:rFonts w:eastAsia="Calibri" w:cs="Times New Roman"/>
        </w:rPr>
        <w:t xml:space="preserve">, 60 F.4th 1233, 1242 (9th Cir. 2023) (upholding a </w:t>
      </w:r>
      <w:r w:rsidRPr="00842D3D">
        <w:rPr>
          <w:rFonts w:eastAsia="Calibri" w:cs="Times New Roman"/>
          <w:i/>
        </w:rPr>
        <w:t>Terry</w:t>
      </w:r>
      <w:r w:rsidRPr="00842D3D">
        <w:rPr>
          <w:rFonts w:eastAsia="Calibri" w:cs="Times New Roman"/>
        </w:rPr>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668E8239" w14:textId="77777777" w:rsidR="00842D3D" w:rsidRPr="00842D3D" w:rsidRDefault="00842D3D" w:rsidP="00842D3D">
      <w:pPr>
        <w:jc w:val="right"/>
        <w:rPr>
          <w:rFonts w:eastAsia="Calibri" w:cs="Times New Roman"/>
          <w:i/>
          <w:iCs/>
          <w:szCs w:val="24"/>
        </w:rPr>
      </w:pPr>
    </w:p>
    <w:p w14:paraId="0426B661" w14:textId="77777777" w:rsidR="00842D3D" w:rsidRPr="00842D3D" w:rsidRDefault="00842D3D" w:rsidP="00842D3D">
      <w:pPr>
        <w:jc w:val="right"/>
        <w:rPr>
          <w:rFonts w:eastAsia="Calibri" w:cs="Times New Roman"/>
          <w:i/>
          <w:strike/>
        </w:rPr>
      </w:pPr>
      <w:r w:rsidRPr="00842D3D">
        <w:rPr>
          <w:rFonts w:eastAsia="Calibri" w:cs="Times New Roman"/>
          <w:i/>
          <w:iCs/>
          <w:szCs w:val="24"/>
        </w:rPr>
        <w:t>Revised June 2025</w:t>
      </w:r>
    </w:p>
    <w:p w14:paraId="5C2F4967" w14:textId="77777777" w:rsidR="00842D3D" w:rsidRPr="00842D3D" w:rsidRDefault="00842D3D" w:rsidP="00842D3D">
      <w:pPr>
        <w:autoSpaceDE w:val="0"/>
        <w:autoSpaceDN w:val="0"/>
        <w:adjustRightInd w:val="0"/>
        <w:rPr>
          <w:rFonts w:eastAsia="Calibri" w:cs="Times New Roman"/>
          <w:szCs w:val="24"/>
        </w:rPr>
      </w:pPr>
    </w:p>
    <w:p w14:paraId="1D1FEE07" w14:textId="4A94ADB3" w:rsidR="00842D3D" w:rsidRPr="00842D3D" w:rsidRDefault="00842D3D" w:rsidP="00FF121D">
      <w:pPr>
        <w:pStyle w:val="Heading2"/>
      </w:pPr>
      <w:r w:rsidRPr="00842D3D">
        <w:br w:type="page"/>
      </w:r>
      <w:bookmarkStart w:id="174" w:name="_Toc221525189"/>
      <w:r w:rsidRPr="00842D3D">
        <w:lastRenderedPageBreak/>
        <w:t>9.2</w:t>
      </w:r>
      <w:r w:rsidR="005F1850">
        <w:t>5</w:t>
      </w:r>
      <w:r w:rsidRPr="00842D3D">
        <w:t xml:space="preserve"> Particular Rights—Fourth Amendment—Unreasonable Seizure of Person—Probable Cause Arrest</w:t>
      </w:r>
      <w:bookmarkEnd w:id="174"/>
    </w:p>
    <w:p w14:paraId="6CFB54D0" w14:textId="77777777" w:rsidR="00842D3D" w:rsidRPr="00842D3D" w:rsidRDefault="00842D3D" w:rsidP="00842D3D">
      <w:pPr>
        <w:rPr>
          <w:rFonts w:eastAsia="Calibri" w:cs="Times New Roman"/>
          <w:szCs w:val="24"/>
        </w:rPr>
      </w:pPr>
    </w:p>
    <w:p w14:paraId="00F19A5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seizure of a person by arrest without a warrant is reasonable if the arresting officer[s] had probable cause to believe the plaintiff has committed or was committing a crime.</w:t>
      </w:r>
    </w:p>
    <w:p w14:paraId="4FBAA8F0" w14:textId="77777777" w:rsidR="00842D3D" w:rsidRPr="00842D3D" w:rsidRDefault="00842D3D" w:rsidP="00842D3D">
      <w:pPr>
        <w:autoSpaceDE w:val="0"/>
        <w:autoSpaceDN w:val="0"/>
        <w:adjustRightInd w:val="0"/>
        <w:rPr>
          <w:rFonts w:eastAsia="Calibri" w:cs="Times New Roman"/>
          <w:szCs w:val="24"/>
        </w:rPr>
      </w:pPr>
    </w:p>
    <w:p w14:paraId="46EFD4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To prove the seizure in this case was unreasonable, the plaintiff 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was arrested without probable cause.</w:t>
      </w:r>
    </w:p>
    <w:p w14:paraId="79C7A5CA" w14:textId="77777777" w:rsidR="00842D3D" w:rsidRPr="00842D3D" w:rsidRDefault="00842D3D" w:rsidP="00842D3D">
      <w:pPr>
        <w:autoSpaceDE w:val="0"/>
        <w:autoSpaceDN w:val="0"/>
        <w:adjustRightInd w:val="0"/>
        <w:rPr>
          <w:rFonts w:eastAsia="Calibri" w:cs="Times New Roman"/>
          <w:szCs w:val="24"/>
        </w:rPr>
      </w:pPr>
    </w:p>
    <w:p w14:paraId="7B302A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01DEFEEF" w14:textId="77777777" w:rsidR="00842D3D" w:rsidRPr="00842D3D" w:rsidRDefault="00842D3D" w:rsidP="00842D3D">
      <w:pPr>
        <w:autoSpaceDE w:val="0"/>
        <w:autoSpaceDN w:val="0"/>
        <w:adjustRightInd w:val="0"/>
        <w:rPr>
          <w:rFonts w:eastAsia="Calibri" w:cs="Times New Roman"/>
          <w:szCs w:val="24"/>
        </w:rPr>
      </w:pPr>
    </w:p>
    <w:p w14:paraId="62E6D8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facts known to the officer are relevant to your inquiry, the officer’s intent or motive is not relevant to your inquiry.</w:t>
      </w:r>
    </w:p>
    <w:p w14:paraId="4CFCA5DA" w14:textId="77777777" w:rsidR="00842D3D" w:rsidRPr="00842D3D" w:rsidRDefault="00842D3D" w:rsidP="00842D3D">
      <w:pPr>
        <w:autoSpaceDE w:val="0"/>
        <w:autoSpaceDN w:val="0"/>
        <w:adjustRightInd w:val="0"/>
        <w:rPr>
          <w:rFonts w:eastAsia="Calibri" w:cs="Times New Roman"/>
          <w:szCs w:val="24"/>
        </w:rPr>
      </w:pPr>
    </w:p>
    <w:p w14:paraId="13736F38"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Under [federal] [state] law, it is a crime to [</w:t>
      </w:r>
      <w:r w:rsidRPr="00842D3D">
        <w:rPr>
          <w:rFonts w:eastAsia="Calibri" w:cs="Times New Roman"/>
          <w:i/>
          <w:szCs w:val="24"/>
          <w:u w:val="single"/>
        </w:rPr>
        <w:t>insert elements or description of applicable crime for which probable cause must have existed</w:t>
      </w:r>
      <w:r w:rsidRPr="00842D3D">
        <w:rPr>
          <w:rFonts w:eastAsia="Calibri" w:cs="Times New Roman"/>
          <w:szCs w:val="24"/>
        </w:rPr>
        <w:t>].</w:t>
      </w:r>
    </w:p>
    <w:p w14:paraId="4E7E74B6" w14:textId="77777777" w:rsidR="00842D3D" w:rsidRPr="00842D3D" w:rsidRDefault="00842D3D" w:rsidP="00842D3D">
      <w:pPr>
        <w:rPr>
          <w:rFonts w:eastAsia="Calibri" w:cs="Times New Roman"/>
          <w:szCs w:val="24"/>
        </w:rPr>
      </w:pPr>
    </w:p>
    <w:p w14:paraId="64503AE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4F00F52" w14:textId="77777777" w:rsidR="00842D3D" w:rsidRPr="00842D3D" w:rsidRDefault="00842D3D" w:rsidP="00842D3D">
      <w:pPr>
        <w:autoSpaceDE w:val="0"/>
        <w:autoSpaceDN w:val="0"/>
        <w:adjustRightInd w:val="0"/>
        <w:jc w:val="center"/>
        <w:rPr>
          <w:rFonts w:eastAsia="Calibri" w:cs="Times New Roman"/>
          <w:szCs w:val="24"/>
        </w:rPr>
      </w:pPr>
    </w:p>
    <w:p w14:paraId="3888BC78" w14:textId="667F8A7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70B30ED9" w14:textId="77777777" w:rsidR="00842D3D" w:rsidRPr="00842D3D" w:rsidRDefault="00842D3D" w:rsidP="00842D3D">
      <w:pPr>
        <w:autoSpaceDE w:val="0"/>
        <w:autoSpaceDN w:val="0"/>
        <w:adjustRightInd w:val="0"/>
        <w:rPr>
          <w:rFonts w:eastAsia="Calibri" w:cs="Times New Roman"/>
          <w:szCs w:val="24"/>
        </w:rPr>
      </w:pPr>
    </w:p>
    <w:p w14:paraId="204D911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AC32B4A" w14:textId="77777777" w:rsidR="00842D3D" w:rsidRPr="00842D3D" w:rsidRDefault="00842D3D" w:rsidP="00842D3D">
      <w:pPr>
        <w:autoSpaceDE w:val="0"/>
        <w:autoSpaceDN w:val="0"/>
        <w:adjustRightInd w:val="0"/>
        <w:rPr>
          <w:rFonts w:eastAsia="Calibri" w:cs="Times New Roman"/>
          <w:szCs w:val="24"/>
        </w:rPr>
      </w:pPr>
    </w:p>
    <w:p w14:paraId="0C60A83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context of a § 1983 action, a Fourth Amendment violation occurs when a person is arrested ‘without probable cause or other justification.’” </w:t>
      </w:r>
      <w:r w:rsidRPr="00842D3D">
        <w:rPr>
          <w:rFonts w:eastAsia="Calibri" w:cs="Times New Roman"/>
          <w:i/>
          <w:szCs w:val="24"/>
        </w:rPr>
        <w:t>Vanegas v. City of Pasadena</w:t>
      </w:r>
      <w:r w:rsidRPr="00842D3D">
        <w:rPr>
          <w:rFonts w:eastAsia="Calibri" w:cs="Times New Roman"/>
          <w:szCs w:val="24"/>
        </w:rPr>
        <w:t xml:space="preserve">, 46 F.4th 1159, 1164 (9th Cir. 2022) (quoting </w:t>
      </w:r>
      <w:r w:rsidRPr="00842D3D">
        <w:rPr>
          <w:rFonts w:eastAsia="Calibri" w:cs="Times New Roman"/>
          <w:i/>
          <w:szCs w:val="24"/>
        </w:rPr>
        <w:t>Lacey v. Maricopa County</w:t>
      </w:r>
      <w:r w:rsidRPr="00842D3D">
        <w:rPr>
          <w:rFonts w:eastAsia="Calibri" w:cs="Times New Roman"/>
          <w:szCs w:val="24"/>
        </w:rPr>
        <w:t>, 693 F.3d 896, 918 (9th Cir. 2012) (en banc)). “Probable cause exists if the arresting officers had knowledge and reasonably trustworthy information of facts and circumstances sufficient to lead a prudent person to believe that [the arrestee] had committed or was committing a crime.”</w:t>
      </w:r>
      <w:r w:rsidRPr="00842D3D">
        <w:rPr>
          <w:rFonts w:eastAsia="Calibri" w:cs="Times New Roman"/>
          <w:i/>
          <w:szCs w:val="24"/>
        </w:rPr>
        <w:t xml:space="preserve"> Gravelet-Blondin v. Shelton</w:t>
      </w:r>
      <w:r w:rsidRPr="00842D3D">
        <w:rPr>
          <w:rFonts w:eastAsia="Calibri" w:cs="Times New Roman"/>
          <w:szCs w:val="24"/>
        </w:rPr>
        <w:t>, 728 F.3d 1086, 1097-98 (9th Cir. 2013)</w:t>
      </w:r>
      <w:r w:rsidRPr="00842D3D">
        <w:rPr>
          <w:rFonts w:eastAsia="Calibri" w:cs="Times New Roman"/>
          <w:i/>
          <w:szCs w:val="24"/>
        </w:rPr>
        <w:t xml:space="preserve"> </w:t>
      </w:r>
      <w:r w:rsidRPr="00842D3D">
        <w:rPr>
          <w:rFonts w:eastAsia="Calibri" w:cs="Times New Roman"/>
          <w:szCs w:val="24"/>
        </w:rPr>
        <w:t xml:space="preserve">(alteration in original) (quoting </w:t>
      </w:r>
      <w:r w:rsidRPr="00842D3D">
        <w:rPr>
          <w:rFonts w:eastAsia="Calibri" w:cs="Times New Roman"/>
          <w:i/>
          <w:szCs w:val="24"/>
        </w:rPr>
        <w:t>Maxwell v. County of San Diego</w:t>
      </w:r>
      <w:r w:rsidRPr="00842D3D">
        <w:rPr>
          <w:rFonts w:eastAsia="Calibri" w:cs="Times New Roman"/>
          <w:szCs w:val="24"/>
        </w:rPr>
        <w:t xml:space="preserve">, 697 F.3d 941, 951 (9th Cir. 2012)). “To determine whether an officer had probable cause </w:t>
      </w:r>
      <w:r w:rsidRPr="00842D3D">
        <w:rPr>
          <w:rFonts w:eastAsia="Calibri" w:cs="Times New Roman"/>
          <w:szCs w:val="24"/>
        </w:rPr>
        <w:lastRenderedPageBreak/>
        <w:t xml:space="preserve">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842D3D">
        <w:rPr>
          <w:rFonts w:eastAsia="Calibri" w:cs="Times New Roman"/>
          <w:i/>
          <w:szCs w:val="24"/>
        </w:rPr>
        <w:t>District of Columbia v. Wesby</w:t>
      </w:r>
      <w:r w:rsidRPr="00842D3D">
        <w:rPr>
          <w:rFonts w:eastAsia="Calibri" w:cs="Times New Roman"/>
          <w:szCs w:val="24"/>
        </w:rPr>
        <w:t xml:space="preserve">, 583 U.S. 48, 57 (2018) (internal quotations and citations omitted); </w:t>
      </w:r>
      <w:r w:rsidRPr="00842D3D">
        <w:rPr>
          <w:rFonts w:eastAsia="Calibri" w:cs="Times New Roman"/>
          <w:i/>
          <w:szCs w:val="24"/>
        </w:rPr>
        <w:t>see also Miller v. City of Scottsdale</w:t>
      </w:r>
      <w:r w:rsidRPr="00842D3D">
        <w:rPr>
          <w:rFonts w:eastAsia="Calibri" w:cs="Times New Roman"/>
          <w:szCs w:val="24"/>
        </w:rPr>
        <w:t xml:space="preserve">, 88 F.4th 800, 804 (9th Cir. 2023) (“For probable cause, officers may rely on information gained by other officers under the ‘collective knowledge’ doctrine.”). </w:t>
      </w:r>
    </w:p>
    <w:p w14:paraId="73227396" w14:textId="77777777" w:rsidR="00842D3D" w:rsidRPr="00842D3D" w:rsidRDefault="00842D3D" w:rsidP="00842D3D">
      <w:pPr>
        <w:autoSpaceDE w:val="0"/>
        <w:autoSpaceDN w:val="0"/>
        <w:adjustRightInd w:val="0"/>
        <w:rPr>
          <w:rFonts w:eastAsia="Calibri" w:cs="Times New Roman"/>
          <w:szCs w:val="24"/>
        </w:rPr>
      </w:pPr>
    </w:p>
    <w:p w14:paraId="0BB93C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Devenpeck v. Alford</w:t>
      </w:r>
      <w:r w:rsidRPr="00842D3D">
        <w:rPr>
          <w:rFonts w:eastAsia="Calibri" w:cs="Times New Roman"/>
          <w:szCs w:val="24"/>
        </w:rPr>
        <w:t>, the Supreme Court reiterated the Fourth Amendment standards applicable in a § 1983 claim for false arrest:</w:t>
      </w:r>
    </w:p>
    <w:p w14:paraId="5C4E0484" w14:textId="77777777" w:rsidR="00842D3D" w:rsidRPr="00842D3D" w:rsidRDefault="00842D3D" w:rsidP="00842D3D">
      <w:pPr>
        <w:autoSpaceDE w:val="0"/>
        <w:autoSpaceDN w:val="0"/>
        <w:adjustRightInd w:val="0"/>
        <w:rPr>
          <w:rFonts w:eastAsia="Calibri" w:cs="Times New Roman"/>
          <w:szCs w:val="24"/>
        </w:rPr>
      </w:pPr>
    </w:p>
    <w:p w14:paraId="38102D65"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The Fourth Amendment protects “[t]he right of the people to be secure in their persons, houses, papers, and effects, against unreasonable searches and seizures.” </w:t>
      </w:r>
    </w:p>
    <w:p w14:paraId="5FAA55A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24A5D3D2" w14:textId="77777777" w:rsidR="00842D3D" w:rsidRPr="00842D3D" w:rsidRDefault="00842D3D" w:rsidP="00842D3D">
      <w:pPr>
        <w:autoSpaceDE w:val="0"/>
        <w:autoSpaceDN w:val="0"/>
        <w:adjustRightInd w:val="0"/>
        <w:ind w:left="720" w:right="720"/>
        <w:jc w:val="both"/>
        <w:rPr>
          <w:rFonts w:eastAsia="Calibri" w:cs="Times New Roman"/>
          <w:szCs w:val="24"/>
        </w:rPr>
      </w:pPr>
    </w:p>
    <w:p w14:paraId="08BBF071"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842D3D">
        <w:rPr>
          <w:rFonts w:eastAsia="Calibri" w:cs="Times New Roman"/>
          <w:i/>
          <w:szCs w:val="24"/>
        </w:rPr>
        <w:t>whatever</w:t>
      </w:r>
      <w:r w:rsidRPr="00842D3D">
        <w:rPr>
          <w:rFonts w:eastAsia="Calibri" w:cs="Times New Roman"/>
          <w:szCs w:val="24"/>
        </w:rPr>
        <w:t xml:space="preserve"> the subjective intent.”</w:t>
      </w:r>
    </w:p>
    <w:p w14:paraId="2D03C7AA" w14:textId="77777777" w:rsidR="00842D3D" w:rsidRPr="00842D3D" w:rsidRDefault="00842D3D" w:rsidP="00842D3D">
      <w:pPr>
        <w:autoSpaceDE w:val="0"/>
        <w:autoSpaceDN w:val="0"/>
        <w:adjustRightInd w:val="0"/>
        <w:rPr>
          <w:rFonts w:eastAsia="Calibri" w:cs="Times New Roman"/>
          <w:szCs w:val="24"/>
        </w:rPr>
      </w:pPr>
    </w:p>
    <w:p w14:paraId="050F897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szCs w:val="24"/>
        </w:rPr>
        <w:t>Devenpeck v. Alford</w:t>
      </w:r>
      <w:r w:rsidRPr="00842D3D">
        <w:rPr>
          <w:rFonts w:eastAsia="Calibri" w:cs="Times New Roman"/>
          <w:szCs w:val="24"/>
        </w:rPr>
        <w:t xml:space="preserve">, 543 U.S. 146, 152-53 (2004) (citations omitted) (emphasis in original). </w:t>
      </w:r>
    </w:p>
    <w:p w14:paraId="401989B9" w14:textId="77777777" w:rsidR="00842D3D" w:rsidRPr="00842D3D" w:rsidRDefault="00842D3D" w:rsidP="00842D3D">
      <w:pPr>
        <w:autoSpaceDE w:val="0"/>
        <w:autoSpaceDN w:val="0"/>
        <w:adjustRightInd w:val="0"/>
        <w:rPr>
          <w:rFonts w:eastAsia="Calibri" w:cs="Times New Roman"/>
          <w:szCs w:val="24"/>
        </w:rPr>
      </w:pPr>
    </w:p>
    <w:p w14:paraId="2EC562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842D3D">
        <w:rPr>
          <w:rFonts w:eastAsia="Calibri" w:cs="Times New Roman"/>
          <w:i/>
          <w:szCs w:val="24"/>
        </w:rPr>
        <w:t>United States v. Struckman</w:t>
      </w:r>
      <w:r w:rsidRPr="00842D3D">
        <w:rPr>
          <w:rFonts w:eastAsia="Calibri" w:cs="Times New Roman"/>
          <w:szCs w:val="24"/>
        </w:rPr>
        <w:t xml:space="preserve">, 603 F.3d 731, 739 (9th Cir. 2010). “If an officer has probable cause to believe that an individual has committed even a very minor criminal offense in his presence, he may, without violating the Fourth Amendment, arrest the offender.” </w:t>
      </w:r>
      <w:r w:rsidRPr="00842D3D">
        <w:rPr>
          <w:rFonts w:eastAsia="Calibri" w:cs="Times New Roman"/>
          <w:i/>
          <w:szCs w:val="24"/>
        </w:rPr>
        <w:t>Atwater v. City of Lago Vista</w:t>
      </w:r>
      <w:r w:rsidRPr="00842D3D">
        <w:rPr>
          <w:rFonts w:eastAsia="Calibri" w:cs="Times New Roman"/>
          <w:szCs w:val="24"/>
        </w:rPr>
        <w:t>, 532 U.S. 318, 354 (2001).</w:t>
      </w:r>
      <w:r w:rsidRPr="00842D3D">
        <w:rPr>
          <w:rFonts w:eastAsia="Calibri" w:cs="Times New Roman"/>
          <w:i/>
          <w:szCs w:val="24"/>
        </w:rPr>
        <w:t xml:space="preserve"> </w:t>
      </w:r>
      <w:r w:rsidRPr="00842D3D">
        <w:rPr>
          <w:rFonts w:eastAsia="Calibri" w:cs="Times New Roman"/>
          <w:szCs w:val="24"/>
        </w:rPr>
        <w:t xml:space="preserve">“‘[S]tate restrictions [on arrest] do not alter the Fourth Amendment’s protections,’ and under federal law, ‘warrantless arrests for crimes committed in the presence of an arresting officer are reasonable under the Constitution.’” </w:t>
      </w:r>
      <w:r w:rsidRPr="00842D3D">
        <w:rPr>
          <w:rFonts w:eastAsia="Calibri" w:cs="Times New Roman"/>
          <w:i/>
          <w:szCs w:val="24"/>
        </w:rPr>
        <w:t>Edgerly v. City &amp; County of San Francisco</w:t>
      </w:r>
      <w:r w:rsidRPr="00842D3D">
        <w:rPr>
          <w:rFonts w:eastAsia="Calibri" w:cs="Times New Roman"/>
          <w:szCs w:val="24"/>
        </w:rPr>
        <w:t xml:space="preserve">, 599 F.3d 946, 956 (9th Cir. 2010) (second alteration in original) (quoting </w:t>
      </w:r>
      <w:r w:rsidRPr="00842D3D">
        <w:rPr>
          <w:rFonts w:eastAsia="Calibri" w:cs="Times New Roman"/>
          <w:i/>
          <w:szCs w:val="24"/>
        </w:rPr>
        <w:t>Virginia v. Moore</w:t>
      </w:r>
      <w:r w:rsidRPr="00842D3D">
        <w:rPr>
          <w:rFonts w:eastAsia="Calibri" w:cs="Times New Roman"/>
          <w:szCs w:val="24"/>
        </w:rPr>
        <w:t xml:space="preserve">, 553 U.S. 164, 176 (2008)). A warrantless arrest for a crime committed in the presence of an arresting officer is permitted, even if the offense, as a matter of </w:t>
      </w:r>
      <w:r w:rsidRPr="00842D3D">
        <w:rPr>
          <w:rFonts w:eastAsia="Calibri" w:cs="Times New Roman"/>
          <w:szCs w:val="24"/>
        </w:rPr>
        <w:lastRenderedPageBreak/>
        <w:t xml:space="preserve">state law, was one for which the officers should have issued a summons rather than made an arrest. </w:t>
      </w:r>
      <w:r w:rsidRPr="00842D3D">
        <w:rPr>
          <w:rFonts w:eastAsia="Calibri" w:cs="Times New Roman"/>
          <w:i/>
          <w:szCs w:val="24"/>
        </w:rPr>
        <w:t>Moore</w:t>
      </w:r>
      <w:r w:rsidRPr="00842D3D">
        <w:rPr>
          <w:rFonts w:eastAsia="Calibri" w:cs="Times New Roman"/>
          <w:szCs w:val="24"/>
        </w:rPr>
        <w:t xml:space="preserve">, 553 U.S. at 167-72. </w:t>
      </w:r>
    </w:p>
    <w:p w14:paraId="656D8368" w14:textId="77777777" w:rsidR="00842D3D" w:rsidRPr="00842D3D" w:rsidRDefault="00842D3D" w:rsidP="00842D3D">
      <w:pPr>
        <w:autoSpaceDE w:val="0"/>
        <w:autoSpaceDN w:val="0"/>
        <w:adjustRightInd w:val="0"/>
        <w:ind w:firstLine="720"/>
        <w:rPr>
          <w:rFonts w:eastAsia="Calibri" w:cs="Times New Roman"/>
          <w:szCs w:val="24"/>
        </w:rPr>
      </w:pPr>
    </w:p>
    <w:p w14:paraId="35571A8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842D3D">
        <w:rPr>
          <w:rFonts w:eastAsia="Calibri" w:cs="Times New Roman"/>
          <w:i/>
          <w:szCs w:val="24"/>
        </w:rPr>
        <w:t>Payton v. New York</w:t>
      </w:r>
      <w:r w:rsidRPr="00842D3D">
        <w:rPr>
          <w:rFonts w:eastAsia="Calibri" w:cs="Times New Roman"/>
          <w:szCs w:val="24"/>
        </w:rPr>
        <w:t xml:space="preserve">, 445 U.S. 573, 590 (1980);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Hopkins v. Bonvicino</w:t>
      </w:r>
      <w:r w:rsidRPr="00842D3D">
        <w:rPr>
          <w:rFonts w:eastAsia="Calibri" w:cs="Times New Roman"/>
          <w:szCs w:val="24"/>
        </w:rPr>
        <w:t xml:space="preserve">, 573 F.3d 752, 773 (9th Cir. 2009) (stating that police officers may not execute a warrantless arrest in a home unless they have both probable cause and exigent circumstances). “[A] ‘person may not be arrested, or must be released from arrest, if previously established probable cause has dissipated.’” </w:t>
      </w:r>
      <w:r w:rsidRPr="00842D3D">
        <w:rPr>
          <w:rFonts w:eastAsia="Calibri" w:cs="Times New Roman"/>
          <w:i/>
          <w:szCs w:val="24"/>
        </w:rPr>
        <w:t>Nicholson</w:t>
      </w:r>
      <w:r w:rsidRPr="00842D3D">
        <w:rPr>
          <w:rFonts w:eastAsia="Calibri" w:cs="Times New Roman"/>
          <w:szCs w:val="24"/>
        </w:rPr>
        <w:t xml:space="preserve"> v. </w:t>
      </w:r>
      <w:r w:rsidRPr="00842D3D">
        <w:rPr>
          <w:rFonts w:eastAsia="Calibri" w:cs="Times New Roman"/>
          <w:i/>
          <w:szCs w:val="24"/>
        </w:rPr>
        <w:t>City of Los Angeles</w:t>
      </w:r>
      <w:r w:rsidRPr="00842D3D">
        <w:rPr>
          <w:rFonts w:eastAsia="Calibri" w:cs="Times New Roman"/>
          <w:szCs w:val="24"/>
        </w:rPr>
        <w:t>, 935 F.3d 685, 691 (9th Cir. 2019) (“[I]t was soon apparent to the officers that the teenagers were unarmed, posed no threat to anyone, and were not engaged in any criminal activity.”).</w:t>
      </w:r>
    </w:p>
    <w:p w14:paraId="69A27108" w14:textId="77777777" w:rsidR="00842D3D" w:rsidRPr="00842D3D" w:rsidRDefault="00842D3D" w:rsidP="00842D3D">
      <w:pPr>
        <w:autoSpaceDE w:val="0"/>
        <w:autoSpaceDN w:val="0"/>
        <w:adjustRightInd w:val="0"/>
        <w:rPr>
          <w:rFonts w:eastAsia="Calibri" w:cs="Times New Roman"/>
          <w:szCs w:val="24"/>
        </w:rPr>
      </w:pPr>
    </w:p>
    <w:p w14:paraId="17D729A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Reynaga Hernandez v. Skinner</w:t>
      </w:r>
      <w:r w:rsidRPr="00842D3D">
        <w:rPr>
          <w:rFonts w:eastAsia="Calibri" w:cs="Times New Roman"/>
          <w:szCs w:val="24"/>
        </w:rPr>
        <w:t xml:space="preserve">, 969 F.3d 930, 940-41 (9th Cir. 2020), the Ninth Circuit explained that to determine whether a </w:t>
      </w:r>
      <w:r w:rsidRPr="00842D3D">
        <w:rPr>
          <w:rFonts w:eastAsia="Calibri" w:cs="Times New Roman"/>
          <w:i/>
          <w:szCs w:val="24"/>
        </w:rPr>
        <w:t>Terry</w:t>
      </w:r>
      <w:r w:rsidRPr="00842D3D">
        <w:rPr>
          <w:rFonts w:eastAsia="Calibri" w:cs="Times New Roman"/>
          <w:szCs w:val="24"/>
        </w:rPr>
        <w:t xml:space="preserve"> stop has escalated into a full-blown arrest, courts evaluate the severity of the intrusion, the aggressiveness of the officer’s actions, and the reasonableness of the officer’s methods under the circumstances.</w:t>
      </w:r>
    </w:p>
    <w:p w14:paraId="3464EAA4" w14:textId="77777777" w:rsidR="00842D3D" w:rsidRPr="00842D3D" w:rsidRDefault="00842D3D" w:rsidP="00842D3D">
      <w:pPr>
        <w:autoSpaceDE w:val="0"/>
        <w:autoSpaceDN w:val="0"/>
        <w:adjustRightInd w:val="0"/>
        <w:rPr>
          <w:rFonts w:eastAsia="Calibri" w:cs="Times New Roman"/>
          <w:szCs w:val="24"/>
        </w:rPr>
      </w:pPr>
    </w:p>
    <w:p w14:paraId="1E8A77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szCs w:val="24"/>
        </w:rPr>
        <w:t>Scott v. City of San Bernardino</w:t>
      </w:r>
      <w:r w:rsidRPr="00842D3D">
        <w:rPr>
          <w:rFonts w:eastAsia="Calibri" w:cs="Times New Roman"/>
          <w:szCs w:val="24"/>
        </w:rPr>
        <w:t>, 903 F.3d 943, 949 (9th Cir. 2018) (affirming summary judgment in favor of the plaintiff middle school students unreasonably arrested without probable cause).</w:t>
      </w:r>
    </w:p>
    <w:p w14:paraId="411D5F51" w14:textId="77777777" w:rsidR="00842D3D" w:rsidRPr="00842D3D" w:rsidRDefault="00842D3D" w:rsidP="00842D3D">
      <w:pPr>
        <w:autoSpaceDE w:val="0"/>
        <w:autoSpaceDN w:val="0"/>
        <w:adjustRightInd w:val="0"/>
        <w:rPr>
          <w:rFonts w:eastAsia="Calibri" w:cs="Times New Roman"/>
          <w:szCs w:val="24"/>
        </w:rPr>
      </w:pPr>
    </w:p>
    <w:p w14:paraId="1EDE86D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59E876FE" w14:textId="41216C7E" w:rsidR="00842D3D" w:rsidRPr="00842D3D" w:rsidRDefault="00842D3D" w:rsidP="00FF121D">
      <w:pPr>
        <w:pStyle w:val="Heading2"/>
      </w:pPr>
      <w:r w:rsidRPr="00842D3D">
        <w:br w:type="page"/>
      </w:r>
      <w:bookmarkStart w:id="175" w:name="_Toc221525190"/>
      <w:r w:rsidRPr="00842D3D">
        <w:lastRenderedPageBreak/>
        <w:t>9.2</w:t>
      </w:r>
      <w:r w:rsidR="005F1850">
        <w:t>6</w:t>
      </w:r>
      <w:r w:rsidRPr="00842D3D">
        <w:t xml:space="preserve"> Particular Rights—Fourth Amendment—Unreasonable Seizure of Person—Detention During Execution of Search Warrant</w:t>
      </w:r>
      <w:bookmarkEnd w:id="175"/>
    </w:p>
    <w:p w14:paraId="4629DCA5" w14:textId="77777777" w:rsidR="00842D3D" w:rsidRPr="00842D3D" w:rsidRDefault="00842D3D" w:rsidP="00842D3D">
      <w:pPr>
        <w:rPr>
          <w:rFonts w:eastAsia="Calibri" w:cs="Times New Roman"/>
          <w:szCs w:val="24"/>
        </w:rPr>
      </w:pPr>
    </w:p>
    <w:p w14:paraId="4F026E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2B606AB0" w14:textId="77777777" w:rsidR="00842D3D" w:rsidRPr="00842D3D" w:rsidRDefault="00842D3D" w:rsidP="00842D3D">
      <w:pPr>
        <w:autoSpaceDE w:val="0"/>
        <w:autoSpaceDN w:val="0"/>
        <w:adjustRightInd w:val="0"/>
        <w:rPr>
          <w:rFonts w:eastAsia="Calibri" w:cs="Times New Roman"/>
          <w:szCs w:val="24"/>
        </w:rPr>
      </w:pPr>
    </w:p>
    <w:p w14:paraId="2CE9A3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xml:space="preserve">] was detained in an unreasonable manner or for an unreasonable period of time after the search was completed or both. </w:t>
      </w:r>
      <w:r w:rsidRPr="00842D3D">
        <w:rPr>
          <w:rFonts w:eastAsia="Calibri" w:cs="Times New Roman"/>
          <w:szCs w:val="24"/>
        </w:rPr>
        <w:tab/>
      </w:r>
    </w:p>
    <w:p w14:paraId="1A3ADC7B" w14:textId="77777777" w:rsidR="00842D3D" w:rsidRPr="00842D3D" w:rsidRDefault="00842D3D" w:rsidP="00842D3D">
      <w:pPr>
        <w:autoSpaceDE w:val="0"/>
        <w:autoSpaceDN w:val="0"/>
        <w:adjustRightInd w:val="0"/>
        <w:rPr>
          <w:rFonts w:eastAsia="Calibri" w:cs="Times New Roman"/>
          <w:szCs w:val="24"/>
        </w:rPr>
      </w:pPr>
    </w:p>
    <w:p w14:paraId="5F2920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 xml:space="preserve">In determining whether the officer[s] detained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unreasonably in this case, consider all of the circumstances known to the officer[s] on the scene, including:</w:t>
      </w:r>
    </w:p>
    <w:p w14:paraId="47C5CD66" w14:textId="77777777" w:rsidR="00842D3D" w:rsidRPr="00842D3D" w:rsidRDefault="00842D3D" w:rsidP="00842D3D">
      <w:pPr>
        <w:autoSpaceDE w:val="0"/>
        <w:autoSpaceDN w:val="0"/>
        <w:adjustRightInd w:val="0"/>
        <w:rPr>
          <w:rFonts w:eastAsia="Calibri" w:cs="Times New Roman"/>
        </w:rPr>
      </w:pPr>
    </w:p>
    <w:p w14:paraId="0A659FB8"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the severity of the suspected crime or other circumstances that led to the search warrant;</w:t>
      </w:r>
    </w:p>
    <w:p w14:paraId="77AD0B44" w14:textId="77777777" w:rsidR="00842D3D" w:rsidRPr="00842D3D" w:rsidRDefault="00842D3D" w:rsidP="00842D3D">
      <w:pPr>
        <w:autoSpaceDE w:val="0"/>
        <w:autoSpaceDN w:val="0"/>
        <w:adjustRightInd w:val="0"/>
        <w:ind w:left="1440" w:hanging="720"/>
        <w:rPr>
          <w:rFonts w:eastAsia="Calibri" w:cs="Times New Roman"/>
        </w:rPr>
      </w:pPr>
    </w:p>
    <w:p w14:paraId="44961D1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whether the plaintiff was the subject of the investigation that led to the search warrant;</w:t>
      </w:r>
    </w:p>
    <w:p w14:paraId="4DE7296A" w14:textId="77777777" w:rsidR="00842D3D" w:rsidRPr="00842D3D" w:rsidRDefault="00842D3D" w:rsidP="00842D3D">
      <w:pPr>
        <w:autoSpaceDE w:val="0"/>
        <w:autoSpaceDN w:val="0"/>
        <w:adjustRightInd w:val="0"/>
        <w:ind w:left="1440" w:hanging="720"/>
        <w:rPr>
          <w:rFonts w:eastAsia="Calibri" w:cs="Times New Roman"/>
        </w:rPr>
      </w:pPr>
    </w:p>
    <w:p w14:paraId="382C9F7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whether the plaintiff posed an immediate threat to the safety of the officer[s] or to others or to the ability of the officer[s] to conduct the search safely;</w:t>
      </w:r>
    </w:p>
    <w:p w14:paraId="22EEC83D" w14:textId="77777777" w:rsidR="00842D3D" w:rsidRPr="00842D3D" w:rsidRDefault="00842D3D" w:rsidP="00842D3D">
      <w:pPr>
        <w:autoSpaceDE w:val="0"/>
        <w:autoSpaceDN w:val="0"/>
        <w:adjustRightInd w:val="0"/>
        <w:ind w:left="1440" w:hanging="720"/>
        <w:rPr>
          <w:rFonts w:eastAsia="Calibri" w:cs="Times New Roman"/>
        </w:rPr>
      </w:pPr>
    </w:p>
    <w:p w14:paraId="3D84997D"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whether the plaintiff was actively resisting arrest or attempting to flee;</w:t>
      </w:r>
    </w:p>
    <w:p w14:paraId="23011545" w14:textId="77777777" w:rsidR="00842D3D" w:rsidRPr="00842D3D" w:rsidRDefault="00842D3D" w:rsidP="00842D3D">
      <w:pPr>
        <w:autoSpaceDE w:val="0"/>
        <w:autoSpaceDN w:val="0"/>
        <w:adjustRightInd w:val="0"/>
        <w:ind w:left="1440" w:hanging="720"/>
        <w:rPr>
          <w:rFonts w:eastAsia="Calibri" w:cs="Times New Roman"/>
        </w:rPr>
      </w:pPr>
    </w:p>
    <w:p w14:paraId="7B99CF21"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whether the detention of the plaintiff was unnecessarily painful, degrading, prolonged, or involved an undue invasion of privacy;</w:t>
      </w:r>
    </w:p>
    <w:p w14:paraId="56AC27BD" w14:textId="77777777" w:rsidR="00842D3D" w:rsidRPr="00842D3D" w:rsidRDefault="00842D3D" w:rsidP="00842D3D">
      <w:pPr>
        <w:autoSpaceDE w:val="0"/>
        <w:autoSpaceDN w:val="0"/>
        <w:adjustRightInd w:val="0"/>
        <w:ind w:left="1440" w:hanging="720"/>
        <w:rPr>
          <w:rFonts w:eastAsia="Calibri" w:cs="Times New Roman"/>
        </w:rPr>
      </w:pPr>
    </w:p>
    <w:p w14:paraId="257D562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(6)</w:t>
      </w:r>
      <w:r w:rsidRPr="00842D3D">
        <w:rPr>
          <w:rFonts w:eastAsia="Calibri" w:cs="Times New Roman"/>
        </w:rPr>
        <w:tab/>
        <w:t>whether the detention of the plaintiff facilitated the orderly completion of the search; and</w:t>
      </w:r>
    </w:p>
    <w:p w14:paraId="545EDD80" w14:textId="77777777" w:rsidR="00842D3D" w:rsidRPr="00842D3D" w:rsidRDefault="00842D3D" w:rsidP="00842D3D">
      <w:pPr>
        <w:autoSpaceDE w:val="0"/>
        <w:autoSpaceDN w:val="0"/>
        <w:adjustRightInd w:val="0"/>
        <w:ind w:left="1440" w:hanging="720"/>
        <w:rPr>
          <w:rFonts w:eastAsia="Calibri" w:cs="Times New Roman"/>
        </w:rPr>
      </w:pPr>
    </w:p>
    <w:p w14:paraId="56644E5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[(7)</w:t>
      </w:r>
      <w:r w:rsidRPr="00842D3D">
        <w:rPr>
          <w:rFonts w:eastAsia="Calibri" w:cs="Times New Roman"/>
        </w:rPr>
        <w:tab/>
      </w:r>
      <w:r w:rsidRPr="00842D3D">
        <w:rPr>
          <w:rFonts w:eastAsia="Calibri" w:cs="Times New Roman"/>
          <w:i/>
          <w:u w:val="single"/>
        </w:rPr>
        <w:t>insert other factors particular to the case.</w:t>
      </w:r>
      <w:r w:rsidRPr="00842D3D">
        <w:rPr>
          <w:rFonts w:eastAsia="Calibri" w:cs="Times New Roman"/>
        </w:rPr>
        <w:t>]</w:t>
      </w:r>
    </w:p>
    <w:p w14:paraId="611E4D73" w14:textId="77777777" w:rsidR="00842D3D" w:rsidRPr="00842D3D" w:rsidRDefault="00842D3D" w:rsidP="00842D3D">
      <w:pPr>
        <w:autoSpaceDE w:val="0"/>
        <w:autoSpaceDN w:val="0"/>
        <w:adjustRightInd w:val="0"/>
        <w:rPr>
          <w:rFonts w:eastAsia="Calibri" w:cs="Times New Roman"/>
        </w:rPr>
      </w:pPr>
    </w:p>
    <w:p w14:paraId="628E198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00774231" w14:textId="77777777" w:rsidR="00842D3D" w:rsidRPr="00842D3D" w:rsidRDefault="00842D3D" w:rsidP="00842D3D">
      <w:pPr>
        <w:autoSpaceDE w:val="0"/>
        <w:autoSpaceDN w:val="0"/>
        <w:adjustRightInd w:val="0"/>
        <w:jc w:val="center"/>
        <w:rPr>
          <w:rFonts w:eastAsia="Calibri" w:cs="Times New Roman"/>
        </w:rPr>
      </w:pPr>
    </w:p>
    <w:p w14:paraId="7A3310F6" w14:textId="77777777" w:rsidR="00842D3D" w:rsidRPr="00842D3D" w:rsidRDefault="00842D3D" w:rsidP="00842D3D">
      <w:pPr>
        <w:autoSpaceDE w:val="0"/>
        <w:autoSpaceDN w:val="0"/>
        <w:adjustRightInd w:val="0"/>
        <w:jc w:val="center"/>
        <w:rPr>
          <w:rFonts w:eastAsia="Calibri" w:cs="Times New Roman"/>
          <w:b/>
        </w:rPr>
      </w:pPr>
      <w:r w:rsidRPr="00842D3D">
        <w:rPr>
          <w:rFonts w:eastAsia="Calibri" w:cs="Times New Roman"/>
          <w:b/>
        </w:rPr>
        <w:t>Comment</w:t>
      </w:r>
    </w:p>
    <w:p w14:paraId="141EB24B" w14:textId="77777777" w:rsidR="00842D3D" w:rsidRPr="00842D3D" w:rsidRDefault="00842D3D" w:rsidP="00842D3D">
      <w:pPr>
        <w:autoSpaceDE w:val="0"/>
        <w:autoSpaceDN w:val="0"/>
        <w:adjustRightInd w:val="0"/>
        <w:jc w:val="center"/>
        <w:rPr>
          <w:rFonts w:eastAsia="Calibri" w:cs="Times New Roman"/>
          <w:b/>
        </w:rPr>
      </w:pPr>
    </w:p>
    <w:p w14:paraId="78AAAF19" w14:textId="3C9F1BD9" w:rsidR="00842D3D" w:rsidRPr="00842D3D" w:rsidRDefault="00842D3D" w:rsidP="00842D3D">
      <w:pPr>
        <w:autoSpaceDE w:val="0"/>
        <w:autoSpaceDN w:val="0"/>
        <w:adjustRightInd w:val="0"/>
        <w:rPr>
          <w:rFonts w:eastAsia="Calibri" w:cs="Times New Roman"/>
        </w:rPr>
      </w:pPr>
      <w:r w:rsidRPr="00842D3D">
        <w:rPr>
          <w:rFonts w:eastAsia="Calibri" w:cs="Times New Roman"/>
        </w:rPr>
        <w:tab/>
        <w:t>Use this instruction only in conjunction with the applicable elements instructions, Instructions 9.3-9.8, and in conjunction with Instruction 9.2</w:t>
      </w:r>
      <w:r w:rsidR="00047AF1">
        <w:rPr>
          <w:rFonts w:eastAsia="Calibri" w:cs="Times New Roman"/>
        </w:rPr>
        <w:t>2</w:t>
      </w:r>
      <w:r w:rsidRPr="00842D3D">
        <w:rPr>
          <w:rFonts w:eastAsia="Calibri" w:cs="Times New Roman"/>
        </w:rPr>
        <w:t xml:space="preserve"> (Particular Rights—Fourth Amendment—Unreasonable Seizure of Person—Generally). </w:t>
      </w:r>
    </w:p>
    <w:p w14:paraId="470C59B4" w14:textId="77777777" w:rsidR="00842D3D" w:rsidRPr="00842D3D" w:rsidRDefault="00842D3D" w:rsidP="00842D3D">
      <w:pPr>
        <w:shd w:val="clear" w:color="auto" w:fill="FFFFFF"/>
        <w:ind w:right="576" w:firstLine="720"/>
        <w:rPr>
          <w:rFonts w:eastAsia="Calibri" w:cs="Times New Roman"/>
          <w:szCs w:val="24"/>
        </w:rPr>
      </w:pPr>
    </w:p>
    <w:p w14:paraId="3FDA1F8A"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DF8C01C" w14:textId="77777777" w:rsidR="00842D3D" w:rsidRPr="00842D3D" w:rsidRDefault="00842D3D" w:rsidP="00842D3D">
      <w:pPr>
        <w:autoSpaceDE w:val="0"/>
        <w:autoSpaceDN w:val="0"/>
        <w:adjustRightInd w:val="0"/>
        <w:rPr>
          <w:rFonts w:eastAsia="Calibri" w:cs="Times New Roman"/>
        </w:rPr>
      </w:pPr>
    </w:p>
    <w:p w14:paraId="3AEEB6E2"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This instruction is based on the district court’s jury instructions approved in </w:t>
      </w:r>
      <w:r w:rsidRPr="00842D3D">
        <w:rPr>
          <w:rFonts w:eastAsia="Calibri" w:cs="Times New Roman"/>
          <w:i/>
        </w:rPr>
        <w:t xml:space="preserve">Muehler v. </w:t>
      </w:r>
    </w:p>
    <w:p w14:paraId="72EAC53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Mena</w:t>
      </w:r>
      <w:r w:rsidRPr="00842D3D">
        <w:rPr>
          <w:rFonts w:eastAsia="Calibri" w:cs="Times New Roman"/>
        </w:rPr>
        <w:t xml:space="preserve">, 544 U.S. 93, 104 n.2, 108 (2005) (Stevens, J., concurring). In </w:t>
      </w:r>
      <w:r w:rsidRPr="00842D3D">
        <w:rPr>
          <w:rFonts w:eastAsia="Calibri" w:cs="Times New Roman"/>
          <w:i/>
        </w:rPr>
        <w:t>Muehler</w:t>
      </w:r>
      <w:r w:rsidRPr="00842D3D">
        <w:rPr>
          <w:rFonts w:eastAsia="Calibri" w:cs="Times New Roman"/>
        </w:rPr>
        <w:t xml:space="preserve">, the Supreme Court reiterated its holding in </w:t>
      </w:r>
      <w:r w:rsidRPr="00842D3D">
        <w:rPr>
          <w:rFonts w:eastAsia="Calibri" w:cs="Times New Roman"/>
          <w:i/>
        </w:rPr>
        <w:t>Michigan v. Summers</w:t>
      </w:r>
      <w:r w:rsidRPr="00842D3D">
        <w:rPr>
          <w:rFonts w:eastAsia="Calibri" w:cs="Times New Roman"/>
        </w:rPr>
        <w:t xml:space="preserve">, 452 U.S. 692 (1981), that “officers executing a search warrant for contraband have the authority ‘to detain the occupants of the premises while a proper search is conducted.’” </w:t>
      </w:r>
      <w:r w:rsidRPr="00842D3D">
        <w:rPr>
          <w:rFonts w:eastAsia="Calibri" w:cs="Times New Roman"/>
          <w:i/>
        </w:rPr>
        <w:t>Id</w:t>
      </w:r>
      <w:r w:rsidRPr="00842D3D">
        <w:rPr>
          <w:rFonts w:eastAsia="Calibri" w:cs="Times New Roman"/>
        </w:rPr>
        <w:t xml:space="preserve">. at 98. The Court noted that </w:t>
      </w:r>
      <w:r w:rsidRPr="00842D3D">
        <w:rPr>
          <w:rFonts w:eastAsia="Calibri" w:cs="Times New Roman"/>
          <w:i/>
        </w:rPr>
        <w:t xml:space="preserve">Summers </w:t>
      </w:r>
      <w:r w:rsidRPr="00842D3D">
        <w:rPr>
          <w:rFonts w:eastAsia="Calibri" w:cs="Times New Roman"/>
        </w:rPr>
        <w:t>had</w:t>
      </w:r>
    </w:p>
    <w:p w14:paraId="339D4D10" w14:textId="77777777" w:rsidR="00842D3D" w:rsidRPr="00842D3D" w:rsidRDefault="00842D3D" w:rsidP="00842D3D">
      <w:pPr>
        <w:autoSpaceDE w:val="0"/>
        <w:autoSpaceDN w:val="0"/>
        <w:adjustRightInd w:val="0"/>
        <w:rPr>
          <w:rFonts w:eastAsia="Calibri" w:cs="Times New Roman"/>
        </w:rPr>
      </w:pPr>
    </w:p>
    <w:p w14:paraId="34A2368E"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 . . . Inherent in </w:t>
      </w:r>
      <w:r w:rsidRPr="00842D3D">
        <w:rPr>
          <w:rFonts w:eastAsia="Calibri" w:cs="Times New Roman"/>
          <w:i/>
        </w:rPr>
        <w:t>Summers</w:t>
      </w:r>
      <w:r w:rsidRPr="00842D3D">
        <w:rPr>
          <w:rFonts w:eastAsia="Calibri" w:cs="Times New Roman"/>
        </w:rPr>
        <w:t xml:space="preserve">’ authorization to detain an occupant of the place to be searched is the authority to use reasonable force to effectuate the detention. </w:t>
      </w:r>
    </w:p>
    <w:p w14:paraId="4E13B3F6" w14:textId="77777777" w:rsidR="00842D3D" w:rsidRPr="00842D3D" w:rsidRDefault="00842D3D" w:rsidP="00842D3D">
      <w:pPr>
        <w:autoSpaceDE w:val="0"/>
        <w:autoSpaceDN w:val="0"/>
        <w:adjustRightInd w:val="0"/>
        <w:rPr>
          <w:rFonts w:eastAsia="Calibri" w:cs="Times New Roman"/>
        </w:rPr>
      </w:pPr>
    </w:p>
    <w:p w14:paraId="64EBBE0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Muehler</w:t>
      </w:r>
      <w:r w:rsidRPr="00842D3D">
        <w:rPr>
          <w:rFonts w:eastAsia="Calibri" w:cs="Times New Roman"/>
        </w:rPr>
        <w:t xml:space="preserve">, 544 U.S. at 98-99 (citations omitted); </w:t>
      </w:r>
      <w:r w:rsidRPr="00842D3D">
        <w:rPr>
          <w:rFonts w:eastAsia="Calibri" w:cs="Times New Roman"/>
          <w:i/>
        </w:rPr>
        <w:t>see also</w:t>
      </w:r>
      <w:r w:rsidRPr="00842D3D">
        <w:rPr>
          <w:rFonts w:eastAsia="Calibri" w:cs="Times New Roman"/>
        </w:rPr>
        <w:t xml:space="preserve"> </w:t>
      </w:r>
      <w:r w:rsidRPr="00842D3D">
        <w:rPr>
          <w:rFonts w:eastAsia="Calibri" w:cs="Times New Roman"/>
          <w:i/>
        </w:rPr>
        <w:t>Blight v. City of Manteca</w:t>
      </w:r>
      <w:r w:rsidRPr="00842D3D">
        <w:rPr>
          <w:rFonts w:eastAsia="Calibri" w:cs="Times New Roman"/>
        </w:rPr>
        <w:t xml:space="preserve">, 944 F.3d 1061, 1068 (9th Cir. 2019) (“The reasons for such a detention are particularly applicable in the context of a narcotics search because there is a heightened risk that an occupant could destroy evidence.”). </w:t>
      </w:r>
      <w:r w:rsidRPr="00842D3D">
        <w:rPr>
          <w:rFonts w:eastAsia="Calibri" w:cs="Times New Roman"/>
          <w:i/>
        </w:rPr>
        <w:t>Summers</w:t>
      </w:r>
      <w:r w:rsidRPr="00842D3D">
        <w:rPr>
          <w:rFonts w:eastAsia="Calibri" w:cs="Times New Roman"/>
        </w:rPr>
        <w:t xml:space="preserve"> applies only to search warrants and does not give law enforcement officers the categorical authority to detain home occupants incident to the execution of an arrest warrant. </w:t>
      </w:r>
      <w:r w:rsidRPr="00842D3D">
        <w:rPr>
          <w:rFonts w:eastAsia="Calibri" w:cs="Times New Roman"/>
          <w:i/>
        </w:rPr>
        <w:t>Sharp v. County of Orange</w:t>
      </w:r>
      <w:r w:rsidRPr="00842D3D">
        <w:rPr>
          <w:rFonts w:eastAsia="Calibri" w:cs="Times New Roman"/>
        </w:rPr>
        <w:t xml:space="preserve">, 871 F.3d 901, 915 (9th Cir. 2017) (noting, however, that “entry into a home for the purpose of arresting an occupant can be a dangerous effort, and officers ought to have reasonable tools at their disposal to take command of the situation to protect their own safety and the safety of others”). Whether such a detention is authorized depends on the particular circumstances confronting the officer, such as the need to detain “occupants to stabilize the situation while searching for the subject of an arrest warrant or conducting a lawful protective sweep of the premises.” </w:t>
      </w:r>
      <w:r w:rsidRPr="00842D3D">
        <w:rPr>
          <w:rFonts w:eastAsia="Calibri" w:cs="Times New Roman"/>
          <w:i/>
        </w:rPr>
        <w:t>Sharp</w:t>
      </w:r>
      <w:r w:rsidRPr="00842D3D">
        <w:rPr>
          <w:rFonts w:eastAsia="Calibri" w:cs="Times New Roman"/>
        </w:rPr>
        <w:t>, 871 F.3d at 915;</w:t>
      </w:r>
      <w:r w:rsidRPr="00842D3D">
        <w:rPr>
          <w:rFonts w:eastAsia="Calibri" w:cs="Times New Roman"/>
          <w:i/>
        </w:rPr>
        <w:t xml:space="preserve"> see also Blight</w:t>
      </w:r>
      <w:r w:rsidRPr="00842D3D">
        <w:rPr>
          <w:rFonts w:eastAsia="Calibri" w:cs="Times New Roman"/>
        </w:rPr>
        <w:t xml:space="preserve">, 944 F.3d at 1068 (detention of </w:t>
      </w:r>
      <w:r w:rsidRPr="00842D3D">
        <w:rPr>
          <w:rFonts w:eastAsia="Calibri" w:cs="Times New Roman"/>
          <w:szCs w:val="24"/>
        </w:rPr>
        <w:t xml:space="preserve">the </w:t>
      </w:r>
      <w:r w:rsidRPr="00842D3D">
        <w:rPr>
          <w:rFonts w:eastAsia="Calibri" w:cs="Times New Roman"/>
        </w:rPr>
        <w:t>suspect’s elderly mother for duration of</w:t>
      </w:r>
      <w:r w:rsidRPr="00842D3D">
        <w:rPr>
          <w:rFonts w:eastAsia="Calibri" w:cs="Times New Roman"/>
          <w:szCs w:val="24"/>
        </w:rPr>
        <w:t xml:space="preserve"> the</w:t>
      </w:r>
      <w:r w:rsidRPr="00842D3D">
        <w:rPr>
          <w:rFonts w:eastAsia="Calibri" w:cs="Times New Roman"/>
        </w:rPr>
        <w:t xml:space="preserve"> search of his property was reasonable under Fourth Amendment, notwithstanding her age, lack of evidence linking her to suspect’s marijuana operation, and length of time of detention, where </w:t>
      </w:r>
      <w:r w:rsidRPr="00842D3D">
        <w:rPr>
          <w:rFonts w:eastAsia="Calibri" w:cs="Times New Roman"/>
          <w:szCs w:val="24"/>
        </w:rPr>
        <w:t xml:space="preserve">the </w:t>
      </w:r>
      <w:r w:rsidRPr="00842D3D">
        <w:rPr>
          <w:rFonts w:eastAsia="Calibri" w:cs="Times New Roman"/>
        </w:rPr>
        <w:t>detainee was never personally searched or interrogated, and detention lasted no longer than one hour).</w:t>
      </w:r>
    </w:p>
    <w:p w14:paraId="42E7092F" w14:textId="77777777" w:rsidR="00842D3D" w:rsidRPr="00842D3D" w:rsidRDefault="00842D3D" w:rsidP="00842D3D">
      <w:pPr>
        <w:autoSpaceDE w:val="0"/>
        <w:autoSpaceDN w:val="0"/>
        <w:adjustRightInd w:val="0"/>
        <w:rPr>
          <w:rFonts w:eastAsia="Calibri" w:cs="Times New Roman"/>
        </w:rPr>
      </w:pPr>
    </w:p>
    <w:p w14:paraId="345831B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After </w:t>
      </w:r>
      <w:r w:rsidRPr="00842D3D">
        <w:rPr>
          <w:rFonts w:eastAsia="Calibri" w:cs="Times New Roman"/>
          <w:i/>
        </w:rPr>
        <w:t>Muehler</w:t>
      </w:r>
      <w:r w:rsidRPr="00842D3D">
        <w:rPr>
          <w:rFonts w:eastAsia="Calibri" w:cs="Times New Roman"/>
        </w:rPr>
        <w:t xml:space="preserve">, the Ninth Circuit noted in </w:t>
      </w:r>
      <w:r w:rsidRPr="00842D3D">
        <w:rPr>
          <w:rFonts w:eastAsia="Calibri" w:cs="Times New Roman"/>
          <w:i/>
        </w:rPr>
        <w:t xml:space="preserve">Dawson v. City of Seattle </w:t>
      </w:r>
      <w:r w:rsidRPr="00842D3D">
        <w:rPr>
          <w:rFonts w:eastAsia="Calibri" w:cs="Times New Roman"/>
        </w:rPr>
        <w:t xml:space="preserve">that “[t]o determine whether a detention incident to a search is constitutionally reasonable, [a court should] balance the law enforcement interests served by the detention against the public’s privacy interests.” 435 </w:t>
      </w:r>
      <w:r w:rsidRPr="00842D3D">
        <w:rPr>
          <w:rFonts w:eastAsia="Calibri" w:cs="Times New Roman"/>
        </w:rPr>
        <w:lastRenderedPageBreak/>
        <w:t xml:space="preserve">F.3d 1054, 1065-66 (9th Cir. 2006). “[D]etaining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842D3D">
        <w:rPr>
          <w:rFonts w:eastAsia="Calibri" w:cs="Times New Roman"/>
          <w:i/>
        </w:rPr>
        <w:t>Id</w:t>
      </w:r>
      <w:r w:rsidRPr="00842D3D">
        <w:rPr>
          <w:rFonts w:eastAsia="Calibri" w:cs="Times New Roman"/>
        </w:rPr>
        <w:t xml:space="preserve">. at 1066. The court held:  </w:t>
      </w:r>
    </w:p>
    <w:p w14:paraId="3677BA3B" w14:textId="77777777" w:rsidR="00842D3D" w:rsidRPr="00842D3D" w:rsidRDefault="00842D3D" w:rsidP="00842D3D">
      <w:pPr>
        <w:autoSpaceDE w:val="0"/>
        <w:autoSpaceDN w:val="0"/>
        <w:adjustRightInd w:val="0"/>
        <w:rPr>
          <w:rFonts w:eastAsia="Calibri" w:cs="Times New Roman"/>
        </w:rPr>
      </w:pPr>
    </w:p>
    <w:p w14:paraId="2A303C3B"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[T]he duration of a detention may be coextensive with the period of a search and require no further justification. The police do not, however, have unfettered authority to detain a building’s occupants in any way they see fit. </w:t>
      </w:r>
      <w:r w:rsidRPr="00842D3D">
        <w:rPr>
          <w:rFonts w:eastAsia="Calibri" w:cs="Times New Roman"/>
          <w:i/>
        </w:rPr>
        <w:t>Muehler</w:t>
      </w:r>
      <w:r w:rsidRPr="00842D3D">
        <w:rPr>
          <w:rFonts w:eastAsia="Calibri" w:cs="Times New Roman"/>
        </w:rPr>
        <w:t xml:space="preserve"> confirms an officer’s authority to detain a building’s occupants during a search so long as the officer conducts the detention in a reasonable manner.</w:t>
      </w:r>
    </w:p>
    <w:p w14:paraId="17837243" w14:textId="77777777" w:rsidR="00842D3D" w:rsidRPr="00842D3D" w:rsidRDefault="00842D3D" w:rsidP="00842D3D">
      <w:pPr>
        <w:autoSpaceDE w:val="0"/>
        <w:autoSpaceDN w:val="0"/>
        <w:adjustRightInd w:val="0"/>
        <w:rPr>
          <w:rFonts w:eastAsia="Calibri" w:cs="Times New Roman"/>
        </w:rPr>
      </w:pPr>
    </w:p>
    <w:p w14:paraId="28C32B1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(citations omitted); </w:t>
      </w:r>
      <w:r w:rsidRPr="00842D3D">
        <w:rPr>
          <w:rFonts w:eastAsia="Calibri" w:cs="Times New Roman"/>
          <w:i/>
        </w:rPr>
        <w:t>see also Howell v. Polk</w:t>
      </w:r>
      <w:r w:rsidRPr="00842D3D">
        <w:rPr>
          <w:rFonts w:eastAsia="Calibri" w:cs="Times New Roman"/>
        </w:rPr>
        <w:t xml:space="preserve">, 532 F.3d 1025, 1026 (9th Cir. 2008) (per curiam) (holding that whether “knock-and-announce” search warrant was unreasonably executed was a jury question to be determined under the totality of the circumstances). </w:t>
      </w:r>
    </w:p>
    <w:p w14:paraId="6259C8E8" w14:textId="77777777" w:rsidR="00842D3D" w:rsidRPr="00842D3D" w:rsidRDefault="00842D3D" w:rsidP="00842D3D">
      <w:pPr>
        <w:autoSpaceDE w:val="0"/>
        <w:autoSpaceDN w:val="0"/>
        <w:adjustRightInd w:val="0"/>
        <w:rPr>
          <w:rFonts w:eastAsia="Calibri" w:cs="Times New Roman"/>
        </w:rPr>
      </w:pPr>
    </w:p>
    <w:p w14:paraId="297D502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spatial or geographical boundary can be used to determine the area within which both the search and detention incident to that search may occur. In </w:t>
      </w:r>
      <w:r w:rsidRPr="00842D3D">
        <w:rPr>
          <w:rFonts w:eastAsia="Calibri" w:cs="Times New Roman"/>
          <w:i/>
        </w:rPr>
        <w:t>Bailey v. United States</w:t>
      </w:r>
      <w:r w:rsidRPr="00842D3D">
        <w:rPr>
          <w:rFonts w:eastAsia="Calibri" w:cs="Times New Roman"/>
        </w:rPr>
        <w:t xml:space="preserve">, 568 U.S. 186, 201 (2013), the Supreme Court concluded that because the rule announced in </w:t>
      </w:r>
      <w:r w:rsidRPr="00842D3D">
        <w:rPr>
          <w:rFonts w:eastAsia="Calibri" w:cs="Times New Roman"/>
          <w:i/>
        </w:rPr>
        <w:t xml:space="preserve">Summers </w:t>
      </w:r>
      <w:r w:rsidRPr="00842D3D">
        <w:rPr>
          <w:rFonts w:eastAsia="Calibri" w:cs="Times New Roman"/>
        </w:rPr>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842D3D">
        <w:rPr>
          <w:rFonts w:eastAsia="Calibri" w:cs="Times New Roman"/>
          <w:i/>
        </w:rPr>
        <w:t>Id.</w:t>
      </w:r>
      <w:r w:rsidRPr="00842D3D">
        <w:rPr>
          <w:rFonts w:eastAsia="Calibri" w:cs="Times New Roman"/>
        </w:rPr>
        <w:t xml:space="preserve"> (holding that detention of</w:t>
      </w:r>
      <w:r w:rsidRPr="00842D3D">
        <w:rPr>
          <w:rFonts w:eastAsia="Calibri" w:cs="Times New Roman"/>
          <w:szCs w:val="24"/>
        </w:rPr>
        <w:t xml:space="preserve"> a</w:t>
      </w:r>
      <w:r w:rsidRPr="00842D3D">
        <w:rPr>
          <w:rFonts w:eastAsia="Calibri" w:cs="Times New Roman"/>
        </w:rPr>
        <w:t xml:space="preserve"> person one mile from premises, who had left premises before search began, was not sufficiently connected to search of premises). “Confining an officer’s authority to detain under </w:t>
      </w:r>
      <w:r w:rsidRPr="00842D3D">
        <w:rPr>
          <w:rFonts w:eastAsia="Calibri" w:cs="Times New Roman"/>
          <w:i/>
        </w:rPr>
        <w:t>Summers</w:t>
      </w:r>
      <w:r w:rsidRPr="00842D3D">
        <w:rPr>
          <w:rFonts w:eastAsia="Calibri" w:cs="Times New Roman"/>
        </w:rPr>
        <w:t xml:space="preserve"> to the immediate vicinity of a premises to be searched is a proper limit because it accords with the rationale of the rule.” </w:t>
      </w:r>
      <w:r w:rsidRPr="00842D3D">
        <w:rPr>
          <w:rFonts w:eastAsia="Calibri" w:cs="Times New Roman"/>
          <w:i/>
        </w:rPr>
        <w:t>Id.</w:t>
      </w:r>
      <w:r w:rsidRPr="00842D3D">
        <w:rPr>
          <w:rFonts w:eastAsia="Calibri" w:cs="Times New Roman"/>
        </w:rPr>
        <w:t xml:space="preserve"> Thus, as in </w:t>
      </w:r>
      <w:r w:rsidRPr="00842D3D">
        <w:rPr>
          <w:rFonts w:eastAsia="Calibri" w:cs="Times New Roman"/>
          <w:i/>
        </w:rPr>
        <w:t xml:space="preserve">Bailey, </w:t>
      </w:r>
      <w:r w:rsidRPr="00842D3D">
        <w:rPr>
          <w:rFonts w:eastAsia="Calibri" w:cs="Times New Roman"/>
        </w:rPr>
        <w:t xml:space="preserve">when law enforcement waits to stop or detain a suspect until after he or she has left the search location, “the lawfulness of detention is controlled [not by </w:t>
      </w:r>
      <w:r w:rsidRPr="00842D3D">
        <w:rPr>
          <w:rFonts w:eastAsia="Calibri" w:cs="Times New Roman"/>
          <w:i/>
        </w:rPr>
        <w:t>Summers</w:t>
      </w:r>
      <w:r w:rsidRPr="00842D3D">
        <w:rPr>
          <w:rFonts w:eastAsia="Calibri" w:cs="Times New Roman"/>
        </w:rPr>
        <w:t xml:space="preserve">, but] by other standards,” namely, probable cause or reasonable suspicion. </w:t>
      </w:r>
      <w:r w:rsidRPr="00842D3D">
        <w:rPr>
          <w:rFonts w:eastAsia="Calibri" w:cs="Times New Roman"/>
          <w:i/>
        </w:rPr>
        <w:t>Id.</w:t>
      </w:r>
      <w:r w:rsidRPr="00842D3D">
        <w:rPr>
          <w:rFonts w:eastAsia="Calibri" w:cs="Times New Roman"/>
        </w:rPr>
        <w:t xml:space="preserve"> at 202; </w:t>
      </w:r>
      <w:r w:rsidRPr="00842D3D">
        <w:rPr>
          <w:rFonts w:eastAsia="Calibri" w:cs="Times New Roman"/>
          <w:i/>
        </w:rPr>
        <w:t>see also United States v. Ramirez</w:t>
      </w:r>
      <w:r w:rsidRPr="00842D3D">
        <w:rPr>
          <w:rFonts w:eastAsia="Calibri" w:cs="Times New Roman"/>
        </w:rPr>
        <w:t>, 976 F.3d 946, 956 (9th Cir. 2020) (holding a Fourth Amendment violation occurred where “[i]t was only by posing as police officers investigating a fictitious home burglary that the agents convinced Ramirez to drive home, thereby creating the authority to seize him and his car that did not otherwise exist at the time”).</w:t>
      </w:r>
    </w:p>
    <w:p w14:paraId="4779139B" w14:textId="77777777" w:rsidR="00842D3D" w:rsidRPr="00842D3D" w:rsidRDefault="00842D3D" w:rsidP="00842D3D">
      <w:pPr>
        <w:autoSpaceDE w:val="0"/>
        <w:autoSpaceDN w:val="0"/>
        <w:adjustRightInd w:val="0"/>
        <w:rPr>
          <w:rFonts w:eastAsia="Calibri" w:cs="Times New Roman"/>
          <w:b/>
        </w:rPr>
      </w:pPr>
    </w:p>
    <w:p w14:paraId="0AF1EB91" w14:textId="77777777" w:rsidR="00842D3D" w:rsidRPr="00842D3D" w:rsidRDefault="00842D3D" w:rsidP="00842D3D">
      <w:pPr>
        <w:jc w:val="right"/>
        <w:rPr>
          <w:rFonts w:eastAsia="Calibri" w:cs="Times New Roman"/>
        </w:rPr>
      </w:pPr>
      <w:r w:rsidRPr="00842D3D">
        <w:rPr>
          <w:rFonts w:eastAsia="Calibri" w:cs="Times New Roman"/>
          <w:i/>
          <w:iCs/>
          <w:szCs w:val="24"/>
        </w:rPr>
        <w:t>Revised June 2025</w:t>
      </w:r>
    </w:p>
    <w:p w14:paraId="7DE6CD5F" w14:textId="77777777" w:rsidR="00842D3D" w:rsidRPr="00842D3D" w:rsidRDefault="00842D3D" w:rsidP="00842D3D">
      <w:pPr>
        <w:autoSpaceDE w:val="0"/>
        <w:autoSpaceDN w:val="0"/>
        <w:adjustRightInd w:val="0"/>
        <w:rPr>
          <w:rFonts w:eastAsia="Calibri" w:cs="Times New Roman"/>
          <w:szCs w:val="24"/>
        </w:rPr>
      </w:pPr>
    </w:p>
    <w:p w14:paraId="1A61C274" w14:textId="110AC0D4" w:rsidR="00842D3D" w:rsidRPr="00842D3D" w:rsidRDefault="00842D3D" w:rsidP="00FF121D">
      <w:pPr>
        <w:pStyle w:val="Heading2"/>
      </w:pPr>
      <w:r w:rsidRPr="00842D3D">
        <w:br w:type="page"/>
      </w:r>
      <w:bookmarkStart w:id="176" w:name="_Toc65157323"/>
      <w:bookmarkStart w:id="177" w:name="_Toc221525191"/>
      <w:r w:rsidRPr="00842D3D">
        <w:lastRenderedPageBreak/>
        <w:t>9.2</w:t>
      </w:r>
      <w:r w:rsidR="005F1850">
        <w:t>7</w:t>
      </w:r>
      <w:r w:rsidRPr="00842D3D">
        <w:t xml:space="preserve"> </w:t>
      </w:r>
      <w:bookmarkEnd w:id="176"/>
      <w:r w:rsidRPr="00842D3D">
        <w:t xml:space="preserve">Particular Rights—Fourth Amendment—Unreasonable </w:t>
      </w:r>
      <w:r w:rsidRPr="00842D3D">
        <w:br/>
        <w:t>Seizure of Person—Excessive Force</w:t>
      </w:r>
      <w:bookmarkEnd w:id="177"/>
    </w:p>
    <w:p w14:paraId="336DA93E" w14:textId="77777777" w:rsidR="00842D3D" w:rsidRPr="00842D3D" w:rsidRDefault="00842D3D" w:rsidP="00842D3D">
      <w:pPr>
        <w:rPr>
          <w:rFonts w:eastAsia="Calibri" w:cs="Times New Roman"/>
          <w:szCs w:val="24"/>
        </w:rPr>
      </w:pPr>
    </w:p>
    <w:p w14:paraId="110285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is unreasonable under the Fourth Amendment if a police officer uses excessive force [in making a lawful arrest] [and] [or] [in defending [himself] [herself] [others] [</w:t>
      </w:r>
      <w:r w:rsidRPr="00842D3D">
        <w:rPr>
          <w:rFonts w:eastAsia="Calibri" w:cs="Times New Roman"/>
          <w:i/>
          <w:iCs/>
          <w:szCs w:val="24"/>
          <w:u w:val="single"/>
        </w:rPr>
        <w:t>other pronoun</w:t>
      </w:r>
      <w:r w:rsidRPr="00842D3D">
        <w:rPr>
          <w:rFonts w:eastAsia="Calibri" w:cs="Times New Roman"/>
          <w:szCs w:val="24"/>
        </w:rPr>
        <w:t>]] [and] [or] [in attempting to stop a fleeing or escaping suspect]. Therefore, to establish an unreasonable seizure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used excessive force.</w:t>
      </w:r>
    </w:p>
    <w:p w14:paraId="28D56C89" w14:textId="77777777" w:rsidR="00842D3D" w:rsidRPr="00842D3D" w:rsidRDefault="00842D3D" w:rsidP="00842D3D">
      <w:pPr>
        <w:autoSpaceDE w:val="0"/>
        <w:autoSpaceDN w:val="0"/>
        <w:adjustRightInd w:val="0"/>
        <w:rPr>
          <w:rFonts w:eastAsia="Calibri" w:cs="Times New Roman"/>
          <w:szCs w:val="24"/>
        </w:rPr>
      </w:pPr>
    </w:p>
    <w:p w14:paraId="1EB19F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police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F2ED8E4" w14:textId="77777777" w:rsidR="00842D3D" w:rsidRPr="00842D3D" w:rsidRDefault="00842D3D" w:rsidP="00842D3D">
      <w:pPr>
        <w:autoSpaceDE w:val="0"/>
        <w:autoSpaceDN w:val="0"/>
        <w:adjustRightInd w:val="0"/>
        <w:rPr>
          <w:rFonts w:eastAsia="Calibri" w:cs="Times New Roman"/>
          <w:szCs w:val="24"/>
        </w:rPr>
      </w:pPr>
    </w:p>
    <w:p w14:paraId="6343544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 officer[s] used excessive force in this case, consider all of the circumstances known to the officer[s] on the scene, including:</w:t>
      </w:r>
    </w:p>
    <w:p w14:paraId="29052380" w14:textId="77777777" w:rsidR="00842D3D" w:rsidRPr="00842D3D" w:rsidRDefault="00842D3D" w:rsidP="00842D3D">
      <w:pPr>
        <w:autoSpaceDE w:val="0"/>
        <w:autoSpaceDN w:val="0"/>
        <w:adjustRightInd w:val="0"/>
        <w:rPr>
          <w:rFonts w:eastAsia="Calibri" w:cs="Times New Roman"/>
          <w:szCs w:val="24"/>
        </w:rPr>
      </w:pPr>
    </w:p>
    <w:p w14:paraId="452FBB1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the nature of the crime or other circumstances known to the officer[s] at the time force was applied;</w:t>
      </w:r>
    </w:p>
    <w:p w14:paraId="532865A6" w14:textId="77777777" w:rsidR="00842D3D" w:rsidRPr="00842D3D" w:rsidRDefault="00842D3D" w:rsidP="00842D3D">
      <w:pPr>
        <w:autoSpaceDE w:val="0"/>
        <w:autoSpaceDN w:val="0"/>
        <w:adjustRightInd w:val="0"/>
        <w:rPr>
          <w:rFonts w:eastAsia="Calibri" w:cs="Times New Roman"/>
          <w:szCs w:val="24"/>
        </w:rPr>
      </w:pPr>
    </w:p>
    <w:p w14:paraId="4FD06F6A"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whether the [plaintiff] [decedent] posed an immediate threat to the safety of the officer[s] or to others;</w:t>
      </w:r>
    </w:p>
    <w:p w14:paraId="0A4F14BF" w14:textId="77777777" w:rsidR="00842D3D" w:rsidRPr="00842D3D" w:rsidRDefault="00842D3D" w:rsidP="00842D3D">
      <w:pPr>
        <w:autoSpaceDE w:val="0"/>
        <w:autoSpaceDN w:val="0"/>
        <w:adjustRightInd w:val="0"/>
        <w:rPr>
          <w:rFonts w:eastAsia="Calibri" w:cs="Times New Roman"/>
          <w:szCs w:val="24"/>
        </w:rPr>
      </w:pPr>
    </w:p>
    <w:p w14:paraId="16DB91B2"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whether the plaintiff was actively resisting arrest or attempting to evade arrest by flight];</w:t>
      </w:r>
    </w:p>
    <w:p w14:paraId="007116E2" w14:textId="77777777" w:rsidR="00842D3D" w:rsidRPr="00842D3D" w:rsidRDefault="00842D3D" w:rsidP="00842D3D">
      <w:pPr>
        <w:autoSpaceDE w:val="0"/>
        <w:autoSpaceDN w:val="0"/>
        <w:adjustRightInd w:val="0"/>
        <w:rPr>
          <w:rFonts w:eastAsia="Calibri" w:cs="Times New Roman"/>
          <w:szCs w:val="24"/>
        </w:rPr>
      </w:pPr>
    </w:p>
    <w:p w14:paraId="0D879EF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(4)</w:t>
      </w:r>
      <w:r w:rsidRPr="00842D3D">
        <w:rPr>
          <w:rFonts w:eastAsia="Calibri" w:cs="Times New Roman"/>
          <w:szCs w:val="24"/>
        </w:rPr>
        <w:tab/>
        <w:t>the amount of time the officer[s] had to determine the type and amount of force that reasonably appeared necessary, and any changing circumstances during that period;</w:t>
      </w:r>
    </w:p>
    <w:p w14:paraId="26E937EE" w14:textId="77777777" w:rsidR="00842D3D" w:rsidRPr="00842D3D" w:rsidRDefault="00842D3D" w:rsidP="00842D3D">
      <w:pPr>
        <w:autoSpaceDE w:val="0"/>
        <w:autoSpaceDN w:val="0"/>
        <w:adjustRightInd w:val="0"/>
        <w:rPr>
          <w:rFonts w:eastAsia="Calibri" w:cs="Times New Roman"/>
          <w:szCs w:val="24"/>
        </w:rPr>
      </w:pPr>
    </w:p>
    <w:p w14:paraId="5C13632A"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(5)</w:t>
      </w:r>
      <w:r w:rsidRPr="00842D3D">
        <w:rPr>
          <w:rFonts w:eastAsia="Calibri" w:cs="Times New Roman"/>
          <w:szCs w:val="24"/>
        </w:rPr>
        <w:tab/>
        <w:t>the relationship between the need for the use of force and the amount of force used;</w:t>
      </w:r>
    </w:p>
    <w:p w14:paraId="6ED01F34"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414A076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(6)</w:t>
      </w:r>
      <w:r w:rsidRPr="00842D3D">
        <w:rPr>
          <w:rFonts w:eastAsia="Calibri" w:cs="Times New Roman"/>
          <w:szCs w:val="24"/>
        </w:rPr>
        <w:tab/>
        <w:t xml:space="preserve">the extent of the [plaintiff’s] [decedent’s] injury; </w:t>
      </w:r>
    </w:p>
    <w:p w14:paraId="500BAC0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6AD4453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t>any effort made by the officer[s] to temper or to limit the amount of force;</w:t>
      </w:r>
    </w:p>
    <w:p w14:paraId="6C6F33C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012338F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(8)</w:t>
      </w:r>
      <w:r w:rsidRPr="00842D3D">
        <w:rPr>
          <w:rFonts w:eastAsia="Calibri" w:cs="Times New Roman"/>
          <w:szCs w:val="24"/>
        </w:rPr>
        <w:tab/>
        <w:t>the severity of the security problem at issue;</w:t>
      </w:r>
    </w:p>
    <w:p w14:paraId="3F4BED3C" w14:textId="77777777" w:rsidR="00842D3D" w:rsidRPr="00842D3D" w:rsidRDefault="00842D3D" w:rsidP="00842D3D">
      <w:pPr>
        <w:autoSpaceDE w:val="0"/>
        <w:autoSpaceDN w:val="0"/>
        <w:adjustRightInd w:val="0"/>
        <w:ind w:firstLine="720"/>
        <w:rPr>
          <w:rFonts w:eastAsia="Calibri" w:cs="Times New Roman"/>
          <w:szCs w:val="24"/>
        </w:rPr>
      </w:pPr>
    </w:p>
    <w:p w14:paraId="5ED8EA6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[(9)</w:t>
      </w:r>
      <w:r w:rsidRPr="00842D3D">
        <w:rPr>
          <w:rFonts w:eastAsia="Calibri" w:cs="Times New Roman"/>
          <w:szCs w:val="24"/>
        </w:rPr>
        <w:tab/>
        <w:t>the availability of alternative methods [to take the plaintiff into custody] [to subdue the plaintiff;]]</w:t>
      </w:r>
    </w:p>
    <w:p w14:paraId="42A5E516" w14:textId="77777777" w:rsidR="00842D3D" w:rsidRPr="00842D3D" w:rsidRDefault="00842D3D" w:rsidP="00842D3D">
      <w:pPr>
        <w:autoSpaceDE w:val="0"/>
        <w:autoSpaceDN w:val="0"/>
        <w:adjustRightInd w:val="0"/>
        <w:rPr>
          <w:rFonts w:eastAsia="Calibri" w:cs="Times New Roman"/>
          <w:szCs w:val="24"/>
        </w:rPr>
      </w:pPr>
    </w:p>
    <w:p w14:paraId="71524B24"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lastRenderedPageBreak/>
        <w:tab/>
        <w:t>[(10)</w:t>
      </w:r>
      <w:r w:rsidRPr="00842D3D">
        <w:rPr>
          <w:rFonts w:eastAsia="Calibri" w:cs="Times New Roman"/>
          <w:szCs w:val="24"/>
        </w:rPr>
        <w:tab/>
        <w:t xml:space="preserve">the number of lives at risk (motorists, pedestrians, police officers) and the parties’ relative culpability; </w:t>
      </w:r>
      <w:r w:rsidRPr="00842D3D">
        <w:rPr>
          <w:rFonts w:eastAsia="Calibri" w:cs="Times New Roman"/>
          <w:i/>
          <w:szCs w:val="24"/>
        </w:rPr>
        <w:t>i.e.</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which party created the dangerous situation, and which party is more innocent;]</w:t>
      </w:r>
    </w:p>
    <w:p w14:paraId="7D198F39" w14:textId="77777777" w:rsidR="00842D3D" w:rsidRPr="00842D3D" w:rsidRDefault="00842D3D" w:rsidP="00842D3D">
      <w:pPr>
        <w:autoSpaceDE w:val="0"/>
        <w:autoSpaceDN w:val="0"/>
        <w:adjustRightInd w:val="0"/>
        <w:rPr>
          <w:rFonts w:eastAsia="Calibri" w:cs="Times New Roman"/>
          <w:szCs w:val="24"/>
        </w:rPr>
      </w:pPr>
    </w:p>
    <w:p w14:paraId="5898745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[(11)</w:t>
      </w:r>
      <w:r w:rsidRPr="00842D3D">
        <w:rPr>
          <w:rFonts w:eastAsia="Calibri" w:cs="Times New Roman"/>
          <w:szCs w:val="24"/>
        </w:rPr>
        <w:tab/>
        <w:t>whether it was practical for the officer[s] to give warning of the imminent use of force, and whether such warning was given;]</w:t>
      </w:r>
    </w:p>
    <w:p w14:paraId="6BB335F1" w14:textId="77777777" w:rsidR="00842D3D" w:rsidRPr="00842D3D" w:rsidRDefault="00842D3D" w:rsidP="00842D3D">
      <w:pPr>
        <w:autoSpaceDE w:val="0"/>
        <w:autoSpaceDN w:val="0"/>
        <w:adjustRightInd w:val="0"/>
        <w:rPr>
          <w:rFonts w:eastAsia="Calibri" w:cs="Times New Roman"/>
          <w:szCs w:val="24"/>
        </w:rPr>
      </w:pPr>
    </w:p>
    <w:p w14:paraId="55295BA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[(12)</w:t>
      </w:r>
      <w:r w:rsidRPr="00842D3D">
        <w:rPr>
          <w:rFonts w:eastAsia="Calibri" w:cs="Times New Roman"/>
          <w:szCs w:val="24"/>
        </w:rPr>
        <w:tab/>
        <w:t>whether the officer[s] [was] [were] responding to a domestic violence disturbance;]</w:t>
      </w:r>
    </w:p>
    <w:p w14:paraId="2EAF093D" w14:textId="77777777" w:rsidR="00842D3D" w:rsidRPr="00842D3D" w:rsidRDefault="00842D3D" w:rsidP="00842D3D">
      <w:pPr>
        <w:autoSpaceDE w:val="0"/>
        <w:autoSpaceDN w:val="0"/>
        <w:adjustRightInd w:val="0"/>
        <w:rPr>
          <w:rFonts w:eastAsia="Calibri" w:cs="Times New Roman"/>
          <w:szCs w:val="24"/>
        </w:rPr>
      </w:pPr>
    </w:p>
    <w:p w14:paraId="0C0239A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[(13)</w:t>
      </w:r>
      <w:r w:rsidRPr="00842D3D">
        <w:rPr>
          <w:rFonts w:eastAsia="Calibri" w:cs="Times New Roman"/>
          <w:szCs w:val="24"/>
        </w:rPr>
        <w:tab/>
        <w:t>whether it should have been apparent to the officer[s] that the person [he] [she] [</w:t>
      </w:r>
      <w:r w:rsidRPr="00842D3D">
        <w:rPr>
          <w:rFonts w:eastAsia="Calibri" w:cs="Times New Roman"/>
          <w:i/>
          <w:iCs/>
          <w:szCs w:val="24"/>
          <w:u w:val="single"/>
        </w:rPr>
        <w:t>other pronoun</w:t>
      </w:r>
      <w:r w:rsidRPr="00842D3D">
        <w:rPr>
          <w:rFonts w:eastAsia="Calibri" w:cs="Times New Roman"/>
          <w:szCs w:val="24"/>
        </w:rPr>
        <w:t>] used force against was emotionally disturbed;]</w:t>
      </w:r>
    </w:p>
    <w:p w14:paraId="4C69D8D6" w14:textId="77777777" w:rsidR="00842D3D" w:rsidRPr="00842D3D" w:rsidRDefault="00842D3D" w:rsidP="00842D3D">
      <w:pPr>
        <w:autoSpaceDE w:val="0"/>
        <w:autoSpaceDN w:val="0"/>
        <w:adjustRightInd w:val="0"/>
        <w:rPr>
          <w:rFonts w:eastAsia="Calibri" w:cs="Times New Roman"/>
          <w:szCs w:val="24"/>
        </w:rPr>
      </w:pPr>
    </w:p>
    <w:p w14:paraId="13B0738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[(14)</w:t>
      </w:r>
      <w:r w:rsidRPr="00842D3D">
        <w:rPr>
          <w:rFonts w:eastAsia="Calibri" w:cs="Times New Roman"/>
          <w:szCs w:val="24"/>
        </w:rPr>
        <w:tab/>
        <w:t>whether a reasonable officer would have or should have accurately perceived a mistaken fact;]</w:t>
      </w:r>
    </w:p>
    <w:p w14:paraId="734D6140" w14:textId="77777777" w:rsidR="00842D3D" w:rsidRPr="00842D3D" w:rsidRDefault="00842D3D" w:rsidP="00842D3D">
      <w:pPr>
        <w:autoSpaceDE w:val="0"/>
        <w:autoSpaceDN w:val="0"/>
        <w:adjustRightInd w:val="0"/>
        <w:rPr>
          <w:rFonts w:eastAsia="Calibri" w:cs="Times New Roman"/>
          <w:szCs w:val="24"/>
        </w:rPr>
      </w:pPr>
    </w:p>
    <w:p w14:paraId="7A98D892"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[(15)</w:t>
      </w:r>
      <w:r w:rsidRPr="00842D3D">
        <w:rPr>
          <w:rFonts w:eastAsia="Calibri" w:cs="Times New Roman"/>
          <w:szCs w:val="24"/>
        </w:rPr>
        <w:tab/>
        <w:t>whether there was probable cause for a reasonable officer to believe that the suspect had committed a crime involving the infliction or threatened infliction of serious physical harm; and]</w:t>
      </w:r>
    </w:p>
    <w:p w14:paraId="54B950D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p>
    <w:p w14:paraId="645F7FC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 the time, an objectively reasonable police officer would conclude there is a fair probability that the plaintiff has committed or was committing a crime.] [and]</w:t>
      </w:r>
    </w:p>
    <w:p w14:paraId="3EB4F0AC" w14:textId="77777777" w:rsidR="00842D3D" w:rsidRPr="00842D3D" w:rsidRDefault="00842D3D" w:rsidP="00842D3D">
      <w:pPr>
        <w:autoSpaceDE w:val="0"/>
        <w:autoSpaceDN w:val="0"/>
        <w:adjustRightInd w:val="0"/>
        <w:rPr>
          <w:rFonts w:eastAsia="Calibri" w:cs="Times New Roman"/>
          <w:szCs w:val="24"/>
        </w:rPr>
      </w:pPr>
    </w:p>
    <w:p w14:paraId="3E81BC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[(16)</w:t>
      </w:r>
      <w:r w:rsidRPr="00842D3D">
        <w:rPr>
          <w:rFonts w:eastAsia="Calibri" w:cs="Times New Roman"/>
          <w:szCs w:val="24"/>
        </w:rPr>
        <w:tab/>
      </w:r>
      <w:r w:rsidRPr="00842D3D">
        <w:rPr>
          <w:rFonts w:eastAsia="Calibri" w:cs="Times New Roman"/>
          <w:i/>
          <w:szCs w:val="24"/>
          <w:u w:val="single"/>
        </w:rPr>
        <w:t>insert other factors particular to the case.</w:t>
      </w:r>
      <w:r w:rsidRPr="00842D3D">
        <w:rPr>
          <w:rFonts w:eastAsia="Calibri" w:cs="Times New Roman"/>
          <w:szCs w:val="24"/>
        </w:rPr>
        <w:t>]</w:t>
      </w:r>
    </w:p>
    <w:p w14:paraId="123C3332" w14:textId="77777777" w:rsidR="00842D3D" w:rsidRPr="00842D3D" w:rsidRDefault="00842D3D" w:rsidP="00842D3D">
      <w:pPr>
        <w:autoSpaceDE w:val="0"/>
        <w:autoSpaceDN w:val="0"/>
        <w:adjustRightInd w:val="0"/>
        <w:ind w:firstLine="720"/>
        <w:rPr>
          <w:rFonts w:eastAsia="Calibri" w:cs="Times New Roman"/>
          <w:szCs w:val="24"/>
        </w:rPr>
      </w:pPr>
    </w:p>
    <w:p w14:paraId="2A84AD4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bookmarkStart w:id="178" w:name="_Hlk124281035"/>
    </w:p>
    <w:p w14:paraId="3EF750E8" w14:textId="77777777" w:rsidR="00842D3D" w:rsidRPr="00842D3D" w:rsidRDefault="00842D3D" w:rsidP="00842D3D">
      <w:pPr>
        <w:autoSpaceDE w:val="0"/>
        <w:autoSpaceDN w:val="0"/>
        <w:adjustRightInd w:val="0"/>
        <w:jc w:val="center"/>
        <w:rPr>
          <w:rFonts w:eastAsia="Calibri" w:cs="Times New Roman"/>
          <w:szCs w:val="24"/>
        </w:rPr>
      </w:pPr>
    </w:p>
    <w:p w14:paraId="30E7BA43" w14:textId="6AA4DA56" w:rsidR="00842D3D" w:rsidRPr="00842D3D" w:rsidRDefault="00842D3D" w:rsidP="00842D3D">
      <w:pPr>
        <w:ind w:firstLine="720"/>
        <w:rPr>
          <w:rFonts w:eastAsia="Calibri" w:cs="Times New Roman"/>
          <w:szCs w:val="24"/>
        </w:rPr>
      </w:pPr>
      <w:r w:rsidRPr="00842D3D">
        <w:rPr>
          <w:rFonts w:eastAsia="Calibri" w:cs="Times New Roman"/>
          <w:szCs w:val="24"/>
        </w:rPr>
        <w:t>Use this instruction only in conjunction with the applicable elements instructions, Instructions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44E157FC" w14:textId="77777777" w:rsidR="00842D3D" w:rsidRPr="00842D3D" w:rsidRDefault="00842D3D" w:rsidP="00842D3D">
      <w:pPr>
        <w:ind w:firstLine="720"/>
        <w:rPr>
          <w:rFonts w:eastAsia="Calibri" w:cs="Times New Roman"/>
          <w:szCs w:val="24"/>
        </w:rPr>
      </w:pPr>
    </w:p>
    <w:p w14:paraId="13F928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8939B0D" w14:textId="77777777" w:rsidR="00842D3D" w:rsidRPr="00842D3D" w:rsidRDefault="00842D3D" w:rsidP="00842D3D">
      <w:pPr>
        <w:ind w:firstLine="720"/>
        <w:rPr>
          <w:rFonts w:eastAsia="Calibri" w:cs="Times New Roman"/>
          <w:szCs w:val="24"/>
        </w:rPr>
      </w:pPr>
    </w:p>
    <w:p w14:paraId="31B038C9" w14:textId="77777777" w:rsidR="00842D3D" w:rsidRPr="00842D3D" w:rsidRDefault="00842D3D" w:rsidP="00842D3D">
      <w:pPr>
        <w:rPr>
          <w:rFonts w:eastAsia="Calibri" w:cs="Times New Roman"/>
          <w:szCs w:val="24"/>
        </w:rPr>
      </w:pPr>
      <w:r w:rsidRPr="00842D3D">
        <w:rPr>
          <w:rFonts w:eastAsia="Calibri" w:cs="Times New Roman"/>
          <w:szCs w:val="24"/>
        </w:rPr>
        <w:tab/>
        <w:t xml:space="preserve">In general, all claims of excessive force, whether deadly or not, should be analyzed under the objective reasonableness standard of the Fourth Amendment as set forth in </w:t>
      </w:r>
      <w:r w:rsidRPr="00842D3D">
        <w:rPr>
          <w:rFonts w:eastAsia="Calibri" w:cs="Times New Roman"/>
          <w:i/>
          <w:szCs w:val="24"/>
        </w:rPr>
        <w:t xml:space="preserve">Lombardo v. City </w:t>
      </w:r>
      <w:r w:rsidRPr="00842D3D">
        <w:rPr>
          <w:rFonts w:eastAsia="Calibri" w:cs="Times New Roman"/>
          <w:i/>
          <w:szCs w:val="24"/>
        </w:rPr>
        <w:lastRenderedPageBreak/>
        <w:t>of St. Louis</w:t>
      </w:r>
      <w:r w:rsidRPr="00842D3D">
        <w:rPr>
          <w:rFonts w:eastAsia="Calibri" w:cs="Times New Roman"/>
          <w:szCs w:val="24"/>
        </w:rPr>
        <w:t xml:space="preserve">, 594 U.S. 464, 467 (2021), </w:t>
      </w:r>
      <w:r w:rsidRPr="00842D3D">
        <w:rPr>
          <w:rFonts w:eastAsia="Calibri" w:cs="Times New Roman"/>
          <w:i/>
          <w:szCs w:val="24"/>
        </w:rPr>
        <w:t>County of Los Angeles v. Mendez</w:t>
      </w:r>
      <w:r w:rsidRPr="00842D3D">
        <w:rPr>
          <w:rFonts w:eastAsia="Calibri" w:cs="Times New Roman"/>
          <w:szCs w:val="24"/>
        </w:rPr>
        <w:t xml:space="preserve">, 581 U.S. 420, 428 (2017), </w:t>
      </w:r>
      <w:r w:rsidRPr="00842D3D">
        <w:rPr>
          <w:rFonts w:eastAsia="Calibri" w:cs="Times New Roman"/>
          <w:i/>
          <w:szCs w:val="24"/>
        </w:rPr>
        <w:t>Scott v. Harris</w:t>
      </w:r>
      <w:r w:rsidRPr="00842D3D">
        <w:rPr>
          <w:rFonts w:eastAsia="Calibri" w:cs="Times New Roman"/>
          <w:szCs w:val="24"/>
        </w:rPr>
        <w:t>, 550 U.S. 372, 381-85 (2007),</w:t>
      </w:r>
      <w:r w:rsidRPr="00842D3D">
        <w:rPr>
          <w:rFonts w:eastAsia="Calibri" w:cs="Times New Roman"/>
          <w:i/>
          <w:szCs w:val="24"/>
        </w:rPr>
        <w:t xml:space="preserve"> Graham v. Connor</w:t>
      </w:r>
      <w:r w:rsidRPr="00842D3D">
        <w:rPr>
          <w:rFonts w:eastAsia="Calibri" w:cs="Times New Roman"/>
          <w:szCs w:val="24"/>
        </w:rPr>
        <w:t xml:space="preserve">, 490 U.S. 386, 397 (1989), and </w:t>
      </w:r>
      <w:r w:rsidRPr="00842D3D">
        <w:rPr>
          <w:rFonts w:eastAsia="Calibri" w:cs="Times New Roman"/>
          <w:i/>
          <w:szCs w:val="24"/>
        </w:rPr>
        <w:t>Tennessee v. Garner</w:t>
      </w:r>
      <w:r w:rsidRPr="00842D3D">
        <w:rPr>
          <w:rFonts w:eastAsia="Calibri" w:cs="Times New Roman"/>
          <w:szCs w:val="24"/>
        </w:rPr>
        <w:t xml:space="preserve">, 471 U.S. 1, 7-12 (1985); </w:t>
      </w:r>
      <w:r w:rsidRPr="00842D3D">
        <w:rPr>
          <w:rFonts w:eastAsia="Calibri" w:cs="Times New Roman"/>
          <w:i/>
          <w:iCs/>
          <w:szCs w:val="24"/>
        </w:rPr>
        <w:t>s</w:t>
      </w:r>
      <w:r w:rsidRPr="00842D3D">
        <w:rPr>
          <w:rFonts w:eastAsia="Calibri" w:cs="Times New Roman"/>
          <w:i/>
          <w:szCs w:val="24"/>
        </w:rPr>
        <w:t>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n.2 (explaining that the objective reasonableness standard applies whether the excessive force claim is brought under Fourth Amendment or Fourteenth Amendment). </w:t>
      </w:r>
      <w:r w:rsidRPr="00842D3D">
        <w:rPr>
          <w:rFonts w:eastAsia="Calibri" w:cs="Times New Roman"/>
        </w:rPr>
        <w:t xml:space="preserve">The objective reasonableness of a use of force is assessed by balancing the nature and quality of the intrusion on Fourth Amendment rights against the government’s countervailing interest in the force used. </w:t>
      </w:r>
      <w:r w:rsidRPr="00842D3D">
        <w:rPr>
          <w:rFonts w:eastAsia="Calibri" w:cs="Times New Roman"/>
          <w:i/>
        </w:rPr>
        <w:t>Estate of Aguirre v. County of Riverside (Aguirre I)</w:t>
      </w:r>
      <w:r w:rsidRPr="00842D3D">
        <w:rPr>
          <w:rFonts w:eastAsia="Calibri" w:cs="Times New Roman"/>
        </w:rPr>
        <w:t xml:space="preserve">, 29 F.4th 624, 628 (9th Cir. 2022) (quoting </w:t>
      </w:r>
      <w:r w:rsidRPr="00842D3D">
        <w:rPr>
          <w:rFonts w:eastAsia="Calibri" w:cs="Times New Roman"/>
          <w:i/>
        </w:rPr>
        <w:t>Graham</w:t>
      </w:r>
      <w:r w:rsidRPr="00842D3D">
        <w:rPr>
          <w:rFonts w:eastAsia="Calibri" w:cs="Times New Roman"/>
        </w:rPr>
        <w:t xml:space="preserve">, 490 U.S. at 396); </w:t>
      </w:r>
      <w:r w:rsidRPr="00842D3D">
        <w:rPr>
          <w:rFonts w:eastAsia="Calibri" w:cs="Times New Roman"/>
          <w:i/>
        </w:rPr>
        <w:t>see Mendez</w:t>
      </w:r>
      <w:r w:rsidRPr="00842D3D">
        <w:rPr>
          <w:rFonts w:eastAsia="Calibri" w:cs="Times New Roman"/>
        </w:rPr>
        <w:t xml:space="preserve">, 581 U.S. at 427 (“[D]etermining whether the force used to effect a particular seizure is reasonable requires balancing of the individual’s Fourth Amendment interests against the relevant government interests.” (internal quotation marks omitted) (quoting </w:t>
      </w:r>
      <w:r w:rsidRPr="00842D3D">
        <w:rPr>
          <w:rFonts w:eastAsia="Calibri" w:cs="Times New Roman"/>
          <w:i/>
        </w:rPr>
        <w:t>Graham</w:t>
      </w:r>
      <w:r w:rsidRPr="00842D3D">
        <w:rPr>
          <w:rFonts w:eastAsia="Calibri" w:cs="Times New Roman"/>
        </w:rPr>
        <w:t xml:space="preserve">, 490 U.S. at 396)). A court must consider the totality of the circumstances in determining whether a use of force is objectively reasonable. </w:t>
      </w:r>
      <w:r w:rsidRPr="00842D3D">
        <w:rPr>
          <w:rFonts w:eastAsia="Calibri" w:cs="Times New Roman"/>
          <w:i/>
          <w:iCs/>
        </w:rPr>
        <w:t>Barnes v. Felix</w:t>
      </w:r>
      <w:r w:rsidRPr="00842D3D">
        <w:rPr>
          <w:rFonts w:eastAsia="Calibri" w:cs="Times New Roman"/>
        </w:rPr>
        <w:t>, 605 U.S. 73 (2025) (rejecting the Fifth Circuit’s narrower moment-of-threat rule).</w:t>
      </w:r>
    </w:p>
    <w:p w14:paraId="507F428C" w14:textId="77777777" w:rsidR="00842D3D" w:rsidRPr="00842D3D" w:rsidRDefault="00842D3D" w:rsidP="00842D3D">
      <w:pPr>
        <w:rPr>
          <w:rFonts w:eastAsia="Calibri" w:cs="Times New Roman"/>
          <w:szCs w:val="24"/>
        </w:rPr>
      </w:pPr>
    </w:p>
    <w:p w14:paraId="3D28D24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In assessing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w:t>
      </w:r>
      <w:r w:rsidRPr="00842D3D">
        <w:rPr>
          <w:rFonts w:eastAsia="Calibri" w:cs="Times New Roman"/>
          <w:i/>
          <w:szCs w:val="24"/>
        </w:rPr>
        <w:t xml:space="preserve"> Williamson v. City of National City</w:t>
      </w:r>
      <w:r w:rsidRPr="00842D3D">
        <w:rPr>
          <w:rFonts w:eastAsia="Calibri" w:cs="Times New Roman"/>
          <w:szCs w:val="24"/>
        </w:rPr>
        <w:t xml:space="preserve">, 23 F.4th 1146, 1151 (9th Cir. 2022) (quoting </w:t>
      </w:r>
      <w:r w:rsidRPr="00842D3D">
        <w:rPr>
          <w:rFonts w:eastAsia="Calibri" w:cs="Times New Roman"/>
          <w:i/>
          <w:szCs w:val="24"/>
        </w:rPr>
        <w:t>Rice v. Morehouse</w:t>
      </w:r>
      <w:r w:rsidRPr="00842D3D">
        <w:rPr>
          <w:rFonts w:eastAsia="Calibri" w:cs="Times New Roman"/>
          <w:szCs w:val="24"/>
        </w:rPr>
        <w:t>, 989 F.3d 1112, 1121 (9th Cir. 2021)). “Our analysis must make ‘allowance for the fact that police officers are often forced to make split-second judgments—in circumstances that are tense, uncertain, and rapidly evolving—about the amount of force that is necessary in a particular situation.’”</w:t>
      </w:r>
      <w:r w:rsidRPr="00842D3D">
        <w:rPr>
          <w:rFonts w:eastAsia="Calibri" w:cs="Times New Roman"/>
          <w:i/>
          <w:szCs w:val="24"/>
        </w:rPr>
        <w:t xml:space="preserve"> Williamson</w:t>
      </w:r>
      <w:r w:rsidRPr="00842D3D">
        <w:rPr>
          <w:rFonts w:eastAsia="Calibri" w:cs="Times New Roman"/>
          <w:szCs w:val="24"/>
        </w:rPr>
        <w:t xml:space="preserve">, 23 F.4th at 1151. “The ‘reasonableness’ of a particular use of force must be judged from the perspective of a reasonable officer on the scene, rather than with the 20/20 vision of hindsight.” </w:t>
      </w:r>
      <w:r w:rsidRPr="00842D3D">
        <w:rPr>
          <w:rFonts w:eastAsia="Calibri" w:cs="Times New Roman"/>
          <w:i/>
          <w:szCs w:val="24"/>
        </w:rPr>
        <w:t>Graham</w:t>
      </w:r>
      <w:r w:rsidRPr="00842D3D">
        <w:rPr>
          <w:rFonts w:eastAsia="Calibri" w:cs="Times New Roman"/>
          <w:szCs w:val="24"/>
        </w:rPr>
        <w:t xml:space="preserve">, 490 U.S. at 396;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Kingsley v. Hendrickson</w:t>
      </w:r>
      <w:r w:rsidRPr="00842D3D">
        <w:rPr>
          <w:rFonts w:eastAsia="Calibri" w:cs="Times New Roman"/>
          <w:szCs w:val="24"/>
        </w:rPr>
        <w:t xml:space="preserve">, 576 U.S. 389, 397 (2015) (“A court must make this determination from the perspective of a reasonable officer on the scene, including what the officer knew at the time, not with the 20/20 vision of hindsight.”); </w:t>
      </w:r>
      <w:r w:rsidRPr="00842D3D">
        <w:rPr>
          <w:rFonts w:eastAsia="Calibri" w:cs="Times New Roman"/>
          <w:i/>
          <w:szCs w:val="24"/>
        </w:rPr>
        <w:t>see also Demarest v. City of Vallejo</w:t>
      </w:r>
      <w:r w:rsidRPr="00842D3D">
        <w:rPr>
          <w:rFonts w:eastAsia="Calibri" w:cs="Times New Roman"/>
          <w:szCs w:val="24"/>
        </w:rPr>
        <w:t xml:space="preserve">, 44 F.4th 1209, 1226 (9th Cir. 2022) (“[A]n ‘officer’s use of force cannot be deemed excessive based on facts that he [or she] reasonably would not have known or anticipated.’” (quoting </w:t>
      </w:r>
      <w:r w:rsidRPr="00842D3D">
        <w:rPr>
          <w:rFonts w:eastAsia="Calibri" w:cs="Times New Roman"/>
          <w:i/>
          <w:iCs/>
          <w:szCs w:val="24"/>
        </w:rPr>
        <w:t>Lowry v. City of San Diego</w:t>
      </w:r>
      <w:r w:rsidRPr="00842D3D">
        <w:rPr>
          <w:rFonts w:eastAsia="Calibri" w:cs="Times New Roman"/>
          <w:szCs w:val="24"/>
        </w:rPr>
        <w:t xml:space="preserve">, 858 F.3d 1248, 1256 (9th Cir. 2017) (en banc)). Further, the “analysis is not static, and the reasonableness of force may change as the circumstances evolve.” </w:t>
      </w:r>
      <w:r w:rsidRPr="00842D3D">
        <w:rPr>
          <w:rFonts w:eastAsia="Calibri" w:cs="Times New Roman"/>
          <w:i/>
          <w:szCs w:val="24"/>
        </w:rPr>
        <w:t>Hyde v. City of Willcox</w:t>
      </w:r>
      <w:r w:rsidRPr="00842D3D">
        <w:rPr>
          <w:rFonts w:eastAsia="Calibri" w:cs="Times New Roman"/>
          <w:szCs w:val="24"/>
        </w:rPr>
        <w:t xml:space="preserve">, 23 F.4th 863, 870 (9th Cir. 2022); </w:t>
      </w:r>
      <w:r w:rsidRPr="00842D3D">
        <w:rPr>
          <w:rFonts w:eastAsia="Calibri" w:cs="Times New Roman"/>
          <w:i/>
          <w:szCs w:val="24"/>
        </w:rPr>
        <w:t>see also Andrews v. City of Henderson</w:t>
      </w:r>
      <w:r w:rsidRPr="00842D3D">
        <w:rPr>
          <w:rFonts w:eastAsia="Calibri" w:cs="Times New Roman"/>
          <w:szCs w:val="24"/>
        </w:rPr>
        <w:t xml:space="preserve">, 35 F.4th 710, 715 (9th Cir. 2022) (“The detectives’ interest in using significant force against Andrews is undermined by their knowledge that he was unarmed; his lack of any aggressive, threatening, or evasive behavior; and the detectives’ failure to provide any prior warning or consider less intrusive alternatives before forcibly tackling him to the ground.”). An officer’s subjective intent or motivation is not relevant to the reasonableness inquiry. </w:t>
      </w:r>
      <w:r w:rsidRPr="00842D3D">
        <w:rPr>
          <w:rFonts w:eastAsia="Calibri" w:cs="Times New Roman"/>
          <w:i/>
          <w:iCs/>
          <w:szCs w:val="24"/>
        </w:rPr>
        <w:t>See Graham</w:t>
      </w:r>
      <w:r w:rsidRPr="00842D3D">
        <w:rPr>
          <w:rFonts w:eastAsia="Calibri" w:cs="Times New Roman"/>
          <w:szCs w:val="24"/>
        </w:rPr>
        <w:t xml:space="preserve">, 490 U.S. at 397; </w:t>
      </w:r>
      <w:r w:rsidRPr="00842D3D">
        <w:rPr>
          <w:rFonts w:eastAsia="Calibri" w:cs="Times New Roman"/>
          <w:i/>
          <w:iCs/>
          <w:szCs w:val="24"/>
        </w:rPr>
        <w:t>Shafer v. County of Santa Barbara</w:t>
      </w:r>
      <w:r w:rsidRPr="00842D3D">
        <w:rPr>
          <w:rFonts w:eastAsia="Calibri" w:cs="Times New Roman"/>
          <w:szCs w:val="24"/>
        </w:rPr>
        <w:t xml:space="preserve">, 868 F.3d 1110, 1116 (9th Cir. 2017); </w:t>
      </w:r>
      <w:r w:rsidRPr="00842D3D">
        <w:rPr>
          <w:rFonts w:eastAsia="Calibri" w:cs="Times New Roman"/>
          <w:i/>
          <w:iCs/>
          <w:szCs w:val="24"/>
        </w:rPr>
        <w:t xml:space="preserve">see Singh v. City of </w:t>
      </w:r>
      <w:r w:rsidRPr="00842D3D">
        <w:rPr>
          <w:rFonts w:eastAsia="Calibri" w:cs="Times New Roman"/>
          <w:i/>
          <w:szCs w:val="24"/>
        </w:rPr>
        <w:t>Phoenix</w:t>
      </w:r>
      <w:r w:rsidRPr="00842D3D">
        <w:rPr>
          <w:rFonts w:eastAsia="Calibri" w:cs="Times New Roman"/>
          <w:szCs w:val="24"/>
        </w:rPr>
        <w:t xml:space="preserve">, 124 F.4th 746, 751-54 (9th Cir. 2024) (explaining that although the plaintiff failed to comply with the officers’ commands to drop a knife, and the plaintiff had established a plausible but not conclusive constitutional violation, the Ninth Circuit’s decision in </w:t>
      </w:r>
      <w:r w:rsidRPr="00842D3D">
        <w:rPr>
          <w:rFonts w:eastAsia="Calibri" w:cs="Times New Roman"/>
          <w:i/>
          <w:iCs/>
          <w:szCs w:val="24"/>
        </w:rPr>
        <w:t>Glenn v. Washington County</w:t>
      </w:r>
      <w:r w:rsidRPr="00842D3D">
        <w:rPr>
          <w:rFonts w:eastAsia="Calibri" w:cs="Times New Roman"/>
          <w:szCs w:val="24"/>
        </w:rPr>
        <w:t xml:space="preserve">, 673 F.3d 864 (9th Cir. 2011), clearly established that the officer’s use of deadly “force was objectively unreasonable in the circumstances,” and further explaining that, in </w:t>
      </w:r>
      <w:r w:rsidRPr="00842D3D">
        <w:rPr>
          <w:rFonts w:eastAsia="Calibri" w:cs="Times New Roman"/>
          <w:i/>
          <w:iCs/>
          <w:szCs w:val="24"/>
        </w:rPr>
        <w:t>Glenn</w:t>
      </w:r>
      <w:r w:rsidRPr="00842D3D">
        <w:rPr>
          <w:rFonts w:eastAsia="Calibri" w:cs="Times New Roman"/>
          <w:szCs w:val="24"/>
        </w:rPr>
        <w:t xml:space="preserve">, a number </w:t>
      </w:r>
      <w:r w:rsidRPr="00842D3D">
        <w:rPr>
          <w:rFonts w:eastAsia="Calibri" w:cs="Times New Roman"/>
          <w:szCs w:val="24"/>
        </w:rPr>
        <w:lastRenderedPageBreak/>
        <w:t xml:space="preserve">of other circumstances weighed “against deeming [the plaintiff] ‘an immediate threat to the safety of the officers or others,’” including that he “was ‘not in possession of any guns,’ that he was ‘not in a physical altercation with anyone,’” and he “did not attack the officers . . . [nor] did he even threaten to attack any of them.”) (quoting </w:t>
      </w:r>
      <w:r w:rsidRPr="00842D3D">
        <w:rPr>
          <w:rFonts w:eastAsia="Calibri" w:cs="Times New Roman"/>
          <w:i/>
          <w:iCs/>
          <w:szCs w:val="24"/>
        </w:rPr>
        <w:t>Glenn</w:t>
      </w:r>
      <w:r w:rsidRPr="00842D3D">
        <w:rPr>
          <w:rFonts w:eastAsia="Calibri" w:cs="Times New Roman"/>
          <w:szCs w:val="24"/>
        </w:rPr>
        <w:t>, 673 F.3d at 873).</w:t>
      </w:r>
    </w:p>
    <w:p w14:paraId="6218747D" w14:textId="77777777" w:rsidR="00842D3D" w:rsidRPr="00842D3D" w:rsidRDefault="00842D3D" w:rsidP="00842D3D">
      <w:pPr>
        <w:ind w:firstLine="720"/>
        <w:rPr>
          <w:rFonts w:eastAsia="Calibri" w:cs="Times New Roman"/>
          <w:szCs w:val="24"/>
        </w:rPr>
      </w:pPr>
    </w:p>
    <w:p w14:paraId="5F39D92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assessing the governmental interest in the use of force, the jury should consider the three non-exclusive factors set forth by the Supreme Court in </w:t>
      </w:r>
      <w:r w:rsidRPr="00842D3D">
        <w:rPr>
          <w:rFonts w:eastAsia="Calibri" w:cs="Times New Roman"/>
          <w:i/>
          <w:iCs/>
          <w:szCs w:val="24"/>
        </w:rPr>
        <w:t>Graham v. Connor</w:t>
      </w:r>
      <w:r w:rsidRPr="00842D3D">
        <w:rPr>
          <w:rFonts w:eastAsia="Calibri" w:cs="Times New Roman"/>
          <w:szCs w:val="24"/>
        </w:rPr>
        <w:t xml:space="preserve">. </w:t>
      </w:r>
      <w:r w:rsidRPr="00842D3D">
        <w:rPr>
          <w:rFonts w:eastAsia="Calibri" w:cs="Times New Roman"/>
          <w:i/>
          <w:iCs/>
          <w:szCs w:val="24"/>
        </w:rPr>
        <w:t>See Williamson</w:t>
      </w:r>
      <w:r w:rsidRPr="00842D3D">
        <w:rPr>
          <w:rFonts w:eastAsia="Calibri" w:cs="Times New Roman"/>
          <w:szCs w:val="24"/>
        </w:rPr>
        <w:t xml:space="preserve">, 23 F.4th at 1153; </w:t>
      </w:r>
      <w:r w:rsidRPr="00842D3D">
        <w:rPr>
          <w:rFonts w:eastAsia="Calibri" w:cs="Times New Roman"/>
          <w:i/>
          <w:iCs/>
          <w:szCs w:val="24"/>
        </w:rPr>
        <w:t>Rice</w:t>
      </w:r>
      <w:r w:rsidRPr="00842D3D">
        <w:rPr>
          <w:rFonts w:eastAsia="Calibri" w:cs="Times New Roman"/>
          <w:szCs w:val="24"/>
        </w:rPr>
        <w:t xml:space="preserve">, 989 F.3d at 1121. These factors are commonly referred to as </w:t>
      </w:r>
      <w:r w:rsidRPr="00842D3D">
        <w:rPr>
          <w:rFonts w:eastAsia="Calibri" w:cs="Times New Roman"/>
          <w:i/>
          <w:iCs/>
          <w:szCs w:val="24"/>
        </w:rPr>
        <w:t xml:space="preserve">Graham </w:t>
      </w:r>
      <w:r w:rsidRPr="00842D3D">
        <w:rPr>
          <w:rFonts w:eastAsia="Calibri" w:cs="Times New Roman"/>
          <w:szCs w:val="24"/>
        </w:rPr>
        <w:t xml:space="preserve">factors.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 xml:space="preserve">Aguirre </w:t>
      </w:r>
      <w:r w:rsidRPr="00842D3D">
        <w:rPr>
          <w:rFonts w:eastAsia="Calibri" w:cs="Times New Roman"/>
          <w:i/>
          <w:szCs w:val="24"/>
        </w:rPr>
        <w:t>I</w:t>
      </w:r>
      <w:r w:rsidRPr="00842D3D">
        <w:rPr>
          <w:rFonts w:eastAsia="Calibri" w:cs="Times New Roman"/>
          <w:szCs w:val="24"/>
        </w:rPr>
        <w:t xml:space="preserve">, 29 F.4th at 628. The three </w:t>
      </w:r>
      <w:r w:rsidRPr="00842D3D">
        <w:rPr>
          <w:rFonts w:eastAsia="Calibri" w:cs="Times New Roman"/>
          <w:i/>
          <w:iCs/>
          <w:szCs w:val="24"/>
        </w:rPr>
        <w:t xml:space="preserve">Graham </w:t>
      </w:r>
      <w:r w:rsidRPr="00842D3D">
        <w:rPr>
          <w:rFonts w:eastAsia="Calibri" w:cs="Times New Roman"/>
          <w:szCs w:val="24"/>
        </w:rPr>
        <w:t xml:space="preserve">factors are: (1) the severity of the crime at issue; (2) whether the individual posed an immediate threat to the safety of the officers or others; and (3) whether the individual was actively resisting arrest or attempting to evade arrest by flight. </w:t>
      </w:r>
      <w:r w:rsidRPr="00842D3D">
        <w:rPr>
          <w:rFonts w:eastAsia="Calibri" w:cs="Times New Roman"/>
          <w:i/>
          <w:iCs/>
          <w:szCs w:val="24"/>
        </w:rPr>
        <w:t>Graham</w:t>
      </w:r>
      <w:r w:rsidRPr="00842D3D">
        <w:rPr>
          <w:rFonts w:eastAsia="Calibri" w:cs="Times New Roman"/>
          <w:szCs w:val="24"/>
        </w:rPr>
        <w:t xml:space="preserve">, 490 U.S. at 396; </w:t>
      </w:r>
      <w:r w:rsidRPr="00842D3D">
        <w:rPr>
          <w:rFonts w:eastAsia="Calibri" w:cs="Times New Roman"/>
          <w:i/>
          <w:iCs/>
          <w:szCs w:val="24"/>
        </w:rPr>
        <w:t>Seidner v. de Vries</w:t>
      </w:r>
      <w:r w:rsidRPr="00842D3D">
        <w:rPr>
          <w:rFonts w:eastAsia="Calibri" w:cs="Times New Roman"/>
          <w:szCs w:val="24"/>
        </w:rPr>
        <w:t xml:space="preserve">, 39 F.4th 591, 599 (9th Cir. 2022);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(describing the second </w:t>
      </w:r>
      <w:r w:rsidRPr="00842D3D">
        <w:rPr>
          <w:rFonts w:eastAsia="Calibri" w:cs="Times New Roman"/>
          <w:i/>
          <w:iCs/>
          <w:szCs w:val="24"/>
        </w:rPr>
        <w:t xml:space="preserve">Graham </w:t>
      </w:r>
      <w:r w:rsidRPr="00842D3D">
        <w:rPr>
          <w:rFonts w:eastAsia="Calibri" w:cs="Times New Roman"/>
          <w:szCs w:val="24"/>
        </w:rPr>
        <w:t xml:space="preserve">factor as “the level of immediate threat [the individual] posed to the officer or others”). The Ninth Circuit has repeatedly emphasized that “the most important </w:t>
      </w:r>
      <w:r w:rsidRPr="00842D3D">
        <w:rPr>
          <w:rFonts w:eastAsia="Calibri" w:cs="Times New Roman"/>
          <w:i/>
          <w:iCs/>
          <w:szCs w:val="24"/>
        </w:rPr>
        <w:t xml:space="preserve">Graham </w:t>
      </w:r>
      <w:r w:rsidRPr="00842D3D">
        <w:rPr>
          <w:rFonts w:eastAsia="Calibri" w:cs="Times New Roman"/>
          <w:szCs w:val="24"/>
        </w:rPr>
        <w:t xml:space="preserve">factor” is whether the individual posed an immediate threat to the safety of the officers or others. </w:t>
      </w:r>
      <w:r w:rsidRPr="00842D3D">
        <w:rPr>
          <w:rFonts w:eastAsia="Calibri" w:cs="Times New Roman"/>
          <w:i/>
          <w:iCs/>
          <w:szCs w:val="24"/>
        </w:rPr>
        <w:t>Bernal v. Sacramento Cnty. Sheriff’s Dep’t</w:t>
      </w:r>
      <w:r w:rsidRPr="00842D3D">
        <w:rPr>
          <w:rFonts w:eastAsia="Calibri" w:cs="Times New Roman"/>
          <w:szCs w:val="24"/>
        </w:rPr>
        <w:t xml:space="preserve">, 73 F.4th 678, 692 (9th Cir. 2023) (characterizing the threat to the officer as “minimal and quickly mitigated” when the officer was standing momentarily behind an operational vehicle);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Mattos v. Agarano</w:t>
      </w:r>
      <w:r w:rsidRPr="00842D3D">
        <w:rPr>
          <w:rFonts w:eastAsia="Calibri" w:cs="Times New Roman"/>
          <w:szCs w:val="24"/>
        </w:rPr>
        <w:t xml:space="preserve">, 661 F.3d 433, 441 (9th Cir. 2011) (en banc). The importance of this second </w:t>
      </w:r>
      <w:r w:rsidRPr="00842D3D">
        <w:rPr>
          <w:rFonts w:eastAsia="Calibri" w:cs="Times New Roman"/>
          <w:i/>
          <w:iCs/>
          <w:szCs w:val="24"/>
        </w:rPr>
        <w:t xml:space="preserve">Graham </w:t>
      </w:r>
      <w:r w:rsidRPr="00842D3D">
        <w:rPr>
          <w:rFonts w:eastAsia="Calibri" w:cs="Times New Roman"/>
          <w:szCs w:val="24"/>
        </w:rPr>
        <w:t xml:space="preserve">factor was highlighted by the Ninth Circuit when it held that the immediacy of the threat of a person pointing a replica gun at officers outweighed the bulk of </w:t>
      </w:r>
      <w:r w:rsidRPr="00842D3D">
        <w:rPr>
          <w:rFonts w:eastAsia="Calibri" w:cs="Times New Roman"/>
          <w:i/>
          <w:iCs/>
          <w:szCs w:val="24"/>
        </w:rPr>
        <w:t xml:space="preserve">Graham </w:t>
      </w:r>
      <w:r w:rsidRPr="00842D3D">
        <w:rPr>
          <w:rFonts w:eastAsia="Calibri" w:cs="Times New Roman"/>
          <w:szCs w:val="24"/>
        </w:rPr>
        <w:t xml:space="preserve">factors favoring the person fatally shot. </w:t>
      </w:r>
      <w:r w:rsidRPr="00842D3D">
        <w:rPr>
          <w:rFonts w:eastAsia="Calibri" w:cs="Times New Roman"/>
          <w:i/>
          <w:iCs/>
          <w:szCs w:val="24"/>
        </w:rPr>
        <w:t>Estate of Strickland v. Nevada County</w:t>
      </w:r>
      <w:r w:rsidRPr="00842D3D">
        <w:rPr>
          <w:rFonts w:eastAsia="Calibri" w:cs="Times New Roman"/>
          <w:szCs w:val="24"/>
        </w:rPr>
        <w:t xml:space="preserve">, 69 F.4th 614, 621-22 (9th Cir. 2023) (distinguishing the case from other replica/toy gun cases on the basis that in those cases the persons holding the toy/replica guns did not point it at officers and the courts’ analysis did not hinge on the misidentification of the gun). When faced with a threat, officers “need not avail themselves of the least intrusive means of responding to an exigent situation.” </w:t>
      </w:r>
      <w:r w:rsidRPr="00842D3D">
        <w:rPr>
          <w:rFonts w:eastAsia="Calibri" w:cs="Times New Roman"/>
          <w:i/>
          <w:iCs/>
          <w:szCs w:val="24"/>
        </w:rPr>
        <w:t xml:space="preserve">Napouk v. </w:t>
      </w:r>
      <w:r w:rsidRPr="00842D3D">
        <w:rPr>
          <w:rFonts w:eastAsia="Calibri" w:cs="Times New Roman"/>
          <w:i/>
          <w:szCs w:val="24"/>
        </w:rPr>
        <w:t>L.</w:t>
      </w:r>
      <w:r w:rsidRPr="00842D3D">
        <w:rPr>
          <w:rFonts w:eastAsia="Calibri" w:cs="Times New Roman"/>
          <w:i/>
          <w:iCs/>
          <w:szCs w:val="24"/>
        </w:rPr>
        <w:t xml:space="preserve"> </w:t>
      </w:r>
      <w:r w:rsidRPr="00842D3D">
        <w:rPr>
          <w:rFonts w:eastAsia="Calibri" w:cs="Times New Roman"/>
          <w:i/>
          <w:szCs w:val="24"/>
        </w:rPr>
        <w:t>V.</w:t>
      </w:r>
      <w:r w:rsidRPr="00842D3D">
        <w:rPr>
          <w:rFonts w:eastAsia="Calibri" w:cs="Times New Roman"/>
          <w:i/>
          <w:iCs/>
          <w:szCs w:val="24"/>
        </w:rPr>
        <w:t xml:space="preserve"> Metro. Police Dep’t</w:t>
      </w:r>
      <w:r w:rsidRPr="00842D3D">
        <w:rPr>
          <w:rFonts w:eastAsia="Calibri" w:cs="Times New Roman"/>
          <w:szCs w:val="24"/>
        </w:rPr>
        <w:t xml:space="preserve">, 123 F.4th 906, 919 (9th Cir. 2024) (declining “to create a rule by which officers have a duty to indefinitely retreat when faced with an immediate threat” (quoting </w:t>
      </w:r>
      <w:r w:rsidRPr="00842D3D">
        <w:rPr>
          <w:rFonts w:eastAsia="Calibri" w:cs="Times New Roman"/>
          <w:i/>
          <w:iCs/>
          <w:szCs w:val="24"/>
        </w:rPr>
        <w:t>Scott v. Henrich</w:t>
      </w:r>
      <w:r w:rsidRPr="00842D3D">
        <w:rPr>
          <w:rFonts w:eastAsia="Calibri" w:cs="Times New Roman"/>
          <w:szCs w:val="24"/>
        </w:rPr>
        <w:t>, 39 F.3d 912, 915 (9th Cir. 1994)).</w:t>
      </w:r>
    </w:p>
    <w:p w14:paraId="494D26D4" w14:textId="77777777" w:rsidR="00842D3D" w:rsidRPr="00842D3D" w:rsidRDefault="00842D3D" w:rsidP="00842D3D">
      <w:pPr>
        <w:rPr>
          <w:rFonts w:eastAsia="Calibri" w:cs="Times New Roman"/>
          <w:szCs w:val="24"/>
        </w:rPr>
      </w:pPr>
    </w:p>
    <w:p w14:paraId="2FD7758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“Other factors, in addition to the three </w:t>
      </w:r>
      <w:r w:rsidRPr="00842D3D">
        <w:rPr>
          <w:rFonts w:eastAsia="Calibri" w:cs="Times New Roman"/>
          <w:i/>
          <w:szCs w:val="24"/>
        </w:rPr>
        <w:t>Graham</w:t>
      </w:r>
      <w:r w:rsidRPr="00842D3D">
        <w:rPr>
          <w:rFonts w:eastAsia="Calibri" w:cs="Times New Roman"/>
          <w:szCs w:val="24"/>
        </w:rPr>
        <w:t xml:space="preserve"> factors, may be pertinent in deciding whether a use of force was reasonable under the totality of the circumstances.” </w:t>
      </w:r>
      <w:r w:rsidRPr="00842D3D">
        <w:rPr>
          <w:rFonts w:eastAsia="Calibri" w:cs="Times New Roman"/>
          <w:i/>
          <w:szCs w:val="24"/>
        </w:rPr>
        <w:t>Nehad v. Browder</w:t>
      </w:r>
      <w:r w:rsidRPr="00842D3D">
        <w:rPr>
          <w:rFonts w:eastAsia="Calibri" w:cs="Times New Roman"/>
          <w:szCs w:val="24"/>
        </w:rPr>
        <w:t xml:space="preserve">, 929 F.3d 1125, 1137 (9th Cir. 2019); </w:t>
      </w:r>
      <w:r w:rsidRPr="00842D3D">
        <w:rPr>
          <w:rFonts w:eastAsia="Calibri" w:cs="Times New Roman"/>
          <w:i/>
          <w:szCs w:val="24"/>
        </w:rPr>
        <w:t>see also Mattos</w:t>
      </w:r>
      <w:r w:rsidRPr="00842D3D">
        <w:rPr>
          <w:rFonts w:eastAsia="Calibri" w:cs="Times New Roman"/>
          <w:szCs w:val="24"/>
        </w:rPr>
        <w:t xml:space="preserve">, 661 F.3d at 441 (“[W]e examine the totality of the circumstances and consider whatever specific factors may be appropriate in a particular case, whether or not listed in </w:t>
      </w:r>
      <w:r w:rsidRPr="00842D3D">
        <w:rPr>
          <w:rFonts w:eastAsia="Calibri" w:cs="Times New Roman"/>
          <w:i/>
          <w:szCs w:val="24"/>
        </w:rPr>
        <w:t>Graham</w:t>
      </w:r>
      <w:r w:rsidRPr="00842D3D">
        <w:rPr>
          <w:rFonts w:eastAsia="Calibri" w:cs="Times New Roman"/>
          <w:szCs w:val="24"/>
        </w:rPr>
        <w:t xml:space="preserve">.” (internal quotation marks omitted)). </w:t>
      </w:r>
    </w:p>
    <w:p w14:paraId="77C5503A" w14:textId="77777777" w:rsidR="00842D3D" w:rsidRPr="00842D3D" w:rsidRDefault="00842D3D" w:rsidP="00842D3D">
      <w:pPr>
        <w:ind w:firstLine="720"/>
        <w:rPr>
          <w:rFonts w:eastAsia="Calibri" w:cs="Times New Roman"/>
          <w:szCs w:val="24"/>
        </w:rPr>
      </w:pPr>
    </w:p>
    <w:p w14:paraId="67A3AF2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Kingsley</w:t>
      </w:r>
      <w:r w:rsidRPr="00842D3D">
        <w:rPr>
          <w:rFonts w:eastAsia="Calibri" w:cs="Times New Roman"/>
          <w:szCs w:val="24"/>
        </w:rPr>
        <w:t xml:space="preserve">, the Supreme Court listed several additional factors that are relevant to an excessive force inquiry. </w:t>
      </w:r>
      <w:r w:rsidRPr="00842D3D">
        <w:rPr>
          <w:rFonts w:eastAsia="Calibri" w:cs="Times New Roman"/>
          <w:i/>
          <w:szCs w:val="24"/>
        </w:rPr>
        <w:t>See</w:t>
      </w:r>
      <w:r w:rsidRPr="00842D3D">
        <w:rPr>
          <w:rFonts w:eastAsia="Calibri" w:cs="Times New Roman"/>
          <w:szCs w:val="24"/>
        </w:rPr>
        <w:t xml:space="preserve"> 576 U.S. at 397. The Supreme Court has referred to these factors as the </w:t>
      </w:r>
      <w:r w:rsidRPr="00842D3D">
        <w:rPr>
          <w:rFonts w:eastAsia="Calibri" w:cs="Times New Roman"/>
          <w:i/>
          <w:szCs w:val="24"/>
        </w:rPr>
        <w:t>Kingsley</w:t>
      </w:r>
      <w:r w:rsidRPr="00842D3D">
        <w:rPr>
          <w:rFonts w:eastAsia="Calibri" w:cs="Times New Roman"/>
          <w:szCs w:val="24"/>
        </w:rPr>
        <w:t xml:space="preserve"> factors. </w:t>
      </w:r>
      <w:r w:rsidRPr="00842D3D">
        <w:rPr>
          <w:rFonts w:eastAsia="Calibri" w:cs="Times New Roman"/>
          <w:i/>
          <w:szCs w:val="24"/>
        </w:rPr>
        <w:t>See, e.g.</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466-67. The </w:t>
      </w:r>
      <w:r w:rsidRPr="00842D3D">
        <w:rPr>
          <w:rFonts w:eastAsia="Calibri" w:cs="Times New Roman"/>
          <w:i/>
          <w:szCs w:val="24"/>
        </w:rPr>
        <w:t>Kingsley</w:t>
      </w:r>
      <w:r w:rsidRPr="00842D3D">
        <w:rPr>
          <w:rFonts w:eastAsia="Calibri" w:cs="Times New Roman"/>
          <w:szCs w:val="24"/>
        </w:rPr>
        <w:t xml:space="preserve"> factors are:</w:t>
      </w:r>
    </w:p>
    <w:p w14:paraId="0D82CB7A" w14:textId="77777777" w:rsidR="00842D3D" w:rsidRPr="00842D3D" w:rsidRDefault="00842D3D" w:rsidP="00842D3D">
      <w:pPr>
        <w:ind w:firstLine="720"/>
        <w:jc w:val="both"/>
        <w:rPr>
          <w:rFonts w:eastAsia="Calibri" w:cs="Times New Roman"/>
          <w:szCs w:val="24"/>
        </w:rPr>
      </w:pPr>
    </w:p>
    <w:p w14:paraId="6DC4C12A"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30334ACA" w14:textId="77777777" w:rsidR="00842D3D" w:rsidRPr="00842D3D" w:rsidRDefault="00842D3D" w:rsidP="00842D3D">
      <w:pPr>
        <w:ind w:left="720" w:right="720"/>
        <w:jc w:val="both"/>
        <w:rPr>
          <w:rFonts w:eastAsia="Calibri" w:cs="Times New Roman"/>
          <w:szCs w:val="24"/>
        </w:rPr>
      </w:pPr>
    </w:p>
    <w:p w14:paraId="3AC8FBD4" w14:textId="77777777" w:rsidR="00842D3D" w:rsidRPr="00842D3D" w:rsidRDefault="00842D3D" w:rsidP="00842D3D">
      <w:pPr>
        <w:rPr>
          <w:rFonts w:eastAsia="Calibri" w:cs="Times New Roman"/>
          <w:szCs w:val="24"/>
        </w:rPr>
      </w:pPr>
      <w:r w:rsidRPr="00842D3D">
        <w:rPr>
          <w:rFonts w:eastAsia="Calibri" w:cs="Times New Roman"/>
          <w:i/>
          <w:szCs w:val="24"/>
        </w:rPr>
        <w:lastRenderedPageBreak/>
        <w:t>Lombardo</w:t>
      </w:r>
      <w:r w:rsidRPr="00842D3D">
        <w:rPr>
          <w:rFonts w:eastAsia="Calibri" w:cs="Times New Roman"/>
          <w:szCs w:val="24"/>
        </w:rPr>
        <w:t xml:space="preserve">, 594 U.S. at 467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Demarest</w:t>
      </w:r>
      <w:r w:rsidRPr="00842D3D">
        <w:rPr>
          <w:rFonts w:eastAsia="Calibri" w:cs="Times New Roman"/>
          <w:szCs w:val="24"/>
        </w:rPr>
        <w:t>, 44 F.4th at 1225.</w:t>
      </w:r>
    </w:p>
    <w:p w14:paraId="4B71C2B1" w14:textId="77777777" w:rsidR="00842D3D" w:rsidRPr="00842D3D" w:rsidRDefault="00842D3D" w:rsidP="00842D3D">
      <w:pPr>
        <w:rPr>
          <w:rFonts w:eastAsia="Calibri" w:cs="Times New Roman"/>
          <w:szCs w:val="24"/>
        </w:rPr>
      </w:pPr>
    </w:p>
    <w:p w14:paraId="6646CF7F" w14:textId="77777777" w:rsidR="00842D3D" w:rsidRPr="00842D3D" w:rsidRDefault="00842D3D" w:rsidP="00842D3D">
      <w:pPr>
        <w:ind w:firstLine="720"/>
        <w:rPr>
          <w:rFonts w:eastAsia="Calibri" w:cs="Times New Roman"/>
          <w:szCs w:val="24"/>
        </w:rPr>
      </w:pPr>
      <w:r w:rsidRPr="00842D3D">
        <w:rPr>
          <w:rFonts w:eastAsia="Calibri" w:cs="Times New Roman"/>
          <w:szCs w:val="24"/>
        </w:rPr>
        <w:t>Additional factors set forth by the Ninth Circuit in other cases include:</w:t>
      </w:r>
    </w:p>
    <w:p w14:paraId="45933B1D" w14:textId="77777777" w:rsidR="00842D3D" w:rsidRPr="00842D3D" w:rsidRDefault="00842D3D" w:rsidP="00842D3D">
      <w:pPr>
        <w:ind w:firstLine="720"/>
        <w:rPr>
          <w:rFonts w:eastAsia="Calibri" w:cs="Times New Roman"/>
          <w:szCs w:val="24"/>
        </w:rPr>
      </w:pPr>
    </w:p>
    <w:p w14:paraId="3C4FAAAA" w14:textId="77777777" w:rsidR="00842D3D" w:rsidRPr="00842D3D" w:rsidRDefault="00842D3D" w:rsidP="00842D3D">
      <w:pPr>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the type and amount of force used, </w:t>
      </w:r>
      <w:r w:rsidRPr="00842D3D">
        <w:rPr>
          <w:rFonts w:eastAsia="Calibri" w:cs="Times New Roman"/>
          <w:i/>
          <w:iCs/>
          <w:szCs w:val="24"/>
        </w:rPr>
        <w:t>see Chinaryan v. City of Los Angeles</w:t>
      </w:r>
      <w:r w:rsidRPr="00842D3D">
        <w:rPr>
          <w:rFonts w:eastAsia="Calibri" w:cs="Times New Roman"/>
          <w:szCs w:val="24"/>
        </w:rPr>
        <w:t>, 113 F.4th 888, 907 (9th Cir. 2024) (“The district court’s instruction on excessive force, adapted from the Manual of Model Civil Jury Instructions, provided the general reasonableness standard and listed eight case-relevant factors to consider, including ‘the type and amount of force used.’ This instruction sufficiently covered the officers’ use of high-risk tactics in this case.”);</w:t>
      </w:r>
      <w:r w:rsidRPr="00842D3D">
        <w:rPr>
          <w:rFonts w:eastAsia="Calibri" w:cs="Times New Roman"/>
          <w:i/>
          <w:iCs/>
          <w:szCs w:val="24"/>
        </w:rPr>
        <w:t xml:space="preserve"> </w:t>
      </w:r>
      <w:r w:rsidRPr="00842D3D">
        <w:rPr>
          <w:rFonts w:eastAsia="Calibri" w:cs="Times New Roman"/>
          <w:i/>
          <w:szCs w:val="24"/>
        </w:rPr>
        <w:t>Seidner</w:t>
      </w:r>
      <w:r w:rsidRPr="00842D3D">
        <w:rPr>
          <w:rFonts w:eastAsia="Calibri" w:cs="Times New Roman"/>
          <w:szCs w:val="24"/>
        </w:rPr>
        <w:t xml:space="preserve">, 39 F.4th at 596; </w:t>
      </w:r>
      <w:r w:rsidRPr="00842D3D">
        <w:rPr>
          <w:rFonts w:eastAsia="Calibri" w:cs="Times New Roman"/>
          <w:i/>
          <w:szCs w:val="24"/>
        </w:rPr>
        <w:t>Williamson</w:t>
      </w:r>
      <w:r w:rsidRPr="00842D3D">
        <w:rPr>
          <w:rFonts w:eastAsia="Calibri" w:cs="Times New Roman"/>
          <w:szCs w:val="24"/>
        </w:rPr>
        <w:t xml:space="preserve">, 23 F.4th at 1151-52 (“The nature and degree of physical contact are relevant to this analysis, as are the ‘risk of harm and the actual harm experienced.’” (citations omitted));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“the relationship between the need for the use of force and the amount of force used” (quoting </w:t>
      </w:r>
      <w:r w:rsidRPr="00842D3D">
        <w:rPr>
          <w:rFonts w:eastAsia="Calibri" w:cs="Times New Roman"/>
          <w:i/>
          <w:szCs w:val="24"/>
        </w:rPr>
        <w:t>Kingsley</w:t>
      </w:r>
      <w:r w:rsidRPr="00842D3D">
        <w:rPr>
          <w:rFonts w:eastAsia="Calibri" w:cs="Times New Roman"/>
          <w:szCs w:val="24"/>
        </w:rPr>
        <w:t>, 576 U.S. at 397));</w:t>
      </w:r>
    </w:p>
    <w:p w14:paraId="57532182" w14:textId="77777777" w:rsidR="00842D3D" w:rsidRPr="00842D3D" w:rsidRDefault="00842D3D" w:rsidP="00842D3D">
      <w:pPr>
        <w:rPr>
          <w:rFonts w:eastAsia="Calibri" w:cs="Times New Roman"/>
          <w:szCs w:val="24"/>
        </w:rPr>
      </w:pPr>
    </w:p>
    <w:p w14:paraId="2B396BB1" w14:textId="77777777" w:rsidR="00842D3D" w:rsidRPr="00842D3D" w:rsidRDefault="00842D3D" w:rsidP="00842D3D">
      <w:pPr>
        <w:ind w:firstLine="720"/>
        <w:rPr>
          <w:rFonts w:eastAsia="Calibri" w:cs="Times New Roman"/>
          <w:szCs w:val="24"/>
        </w:rPr>
      </w:pPr>
      <w:r w:rsidRPr="00842D3D">
        <w:rPr>
          <w:rFonts w:eastAsia="Calibri" w:cs="Times New Roman"/>
          <w:szCs w:val="24"/>
        </w:rPr>
        <w:t>2.</w:t>
      </w:r>
      <w:r w:rsidRPr="00842D3D">
        <w:rPr>
          <w:rFonts w:eastAsia="Calibri" w:cs="Times New Roman"/>
          <w:szCs w:val="24"/>
        </w:rPr>
        <w:tab/>
        <w:t xml:space="preserve">“whether ‘less intrusive alternatives’ were available to law enforcement,” </w:t>
      </w:r>
      <w:r w:rsidRPr="00842D3D">
        <w:rPr>
          <w:rFonts w:eastAsia="Calibri" w:cs="Times New Roman"/>
          <w:i/>
          <w:szCs w:val="24"/>
        </w:rPr>
        <w:t>Seidner</w:t>
      </w:r>
      <w:r w:rsidRPr="00842D3D">
        <w:rPr>
          <w:rFonts w:eastAsia="Calibri" w:cs="Times New Roman"/>
          <w:szCs w:val="24"/>
        </w:rPr>
        <w:t xml:space="preserve">, 39 F.4th at 599;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Nehad</w:t>
      </w:r>
      <w:r w:rsidRPr="00842D3D">
        <w:rPr>
          <w:rFonts w:eastAsia="Calibri" w:cs="Times New Roman"/>
          <w:szCs w:val="24"/>
        </w:rPr>
        <w:t xml:space="preserve">, 929 F.3d at 1138 (listing as a factor: “the availability of alternative methods of capturing or subduing a suspect” (quoting </w:t>
      </w:r>
      <w:r w:rsidRPr="00842D3D">
        <w:rPr>
          <w:rFonts w:eastAsia="Calibri" w:cs="Times New Roman"/>
          <w:i/>
          <w:szCs w:val="24"/>
        </w:rPr>
        <w:t>Smith v. City of Hemet</w:t>
      </w:r>
      <w:r w:rsidRPr="00842D3D">
        <w:rPr>
          <w:rFonts w:eastAsia="Calibri" w:cs="Times New Roman"/>
          <w:szCs w:val="24"/>
        </w:rPr>
        <w:t xml:space="preserve">, 394 F.3d 689, 703 (9th Cir. 2005)));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“any effort made by the officer to temper or to limit the amount of force”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Nehad</w:t>
      </w:r>
      <w:r w:rsidRPr="00842D3D">
        <w:rPr>
          <w:rFonts w:eastAsia="Calibri" w:cs="Times New Roman"/>
          <w:szCs w:val="24"/>
        </w:rPr>
        <w:t xml:space="preserve">, 929 F.3d at 1138 (“Police need not employ the least intrusive means available; they need only act within the range of reasonable conduct.”); </w:t>
      </w:r>
      <w:r w:rsidRPr="00842D3D">
        <w:rPr>
          <w:rFonts w:eastAsia="Calibri" w:cs="Times New Roman"/>
          <w:i/>
          <w:szCs w:val="24"/>
        </w:rPr>
        <w:t>Rice</w:t>
      </w:r>
      <w:r w:rsidRPr="00842D3D">
        <w:rPr>
          <w:rFonts w:eastAsia="Calibri" w:cs="Times New Roman"/>
          <w:szCs w:val="24"/>
        </w:rPr>
        <w:t xml:space="preserve">, 989 F.3d at 1124 (“officers ‘need not avail themselves of the least intrusive means of responding to an exigent situation’”); </w:t>
      </w:r>
    </w:p>
    <w:p w14:paraId="54E53B9E" w14:textId="77777777" w:rsidR="00842D3D" w:rsidRPr="00842D3D" w:rsidRDefault="00842D3D" w:rsidP="00842D3D">
      <w:pPr>
        <w:rPr>
          <w:rFonts w:eastAsia="Calibri" w:cs="Times New Roman"/>
          <w:szCs w:val="24"/>
        </w:rPr>
      </w:pPr>
      <w:r w:rsidRPr="00842D3D">
        <w:rPr>
          <w:rFonts w:eastAsia="Calibri" w:cs="Times New Roman"/>
          <w:szCs w:val="24"/>
        </w:rPr>
        <w:tab/>
      </w:r>
    </w:p>
    <w:p w14:paraId="792CFFD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 number of lives at risk” and the parties’ “relative culpability,” </w:t>
      </w:r>
      <w:r w:rsidRPr="00842D3D">
        <w:rPr>
          <w:rFonts w:eastAsia="Calibri" w:cs="Times New Roman"/>
          <w:i/>
          <w:iCs/>
          <w:szCs w:val="24"/>
        </w:rPr>
        <w:t>Mattos</w:t>
      </w:r>
      <w:r w:rsidRPr="00842D3D">
        <w:rPr>
          <w:rFonts w:eastAsia="Calibri" w:cs="Times New Roman"/>
          <w:szCs w:val="24"/>
        </w:rPr>
        <w:t xml:space="preserve">, 661 F.3d at 441 (quoting </w:t>
      </w:r>
      <w:r w:rsidRPr="00842D3D">
        <w:rPr>
          <w:rFonts w:eastAsia="Calibri" w:cs="Times New Roman"/>
          <w:i/>
          <w:iCs/>
          <w:szCs w:val="24"/>
        </w:rPr>
        <w:t>Scott</w:t>
      </w:r>
      <w:r w:rsidRPr="00842D3D">
        <w:rPr>
          <w:rFonts w:eastAsia="Calibri" w:cs="Times New Roman"/>
          <w:szCs w:val="24"/>
        </w:rPr>
        <w:t xml:space="preserve">, 550 U.S. at 384); </w:t>
      </w:r>
      <w:r w:rsidRPr="00842D3D">
        <w:rPr>
          <w:rFonts w:eastAsia="Calibri" w:cs="Times New Roman"/>
          <w:i/>
          <w:iCs/>
          <w:szCs w:val="24"/>
        </w:rPr>
        <w:t>see Williamson</w:t>
      </w:r>
      <w:r w:rsidRPr="00842D3D">
        <w:rPr>
          <w:rFonts w:eastAsia="Calibri" w:cs="Times New Roman"/>
          <w:szCs w:val="24"/>
        </w:rPr>
        <w:t>, 23 F.4th at 1153 (“Where an arrestee’s conduct risks the lives or safety of innocent bystanders, the court also considers her relative culpability under the second [</w:t>
      </w:r>
      <w:r w:rsidRPr="00842D3D">
        <w:rPr>
          <w:rFonts w:eastAsia="Calibri" w:cs="Times New Roman"/>
          <w:i/>
          <w:iCs/>
          <w:szCs w:val="24"/>
        </w:rPr>
        <w:t>Graham</w:t>
      </w:r>
      <w:r w:rsidRPr="00842D3D">
        <w:rPr>
          <w:rFonts w:eastAsia="Calibri" w:cs="Times New Roman"/>
          <w:szCs w:val="24"/>
        </w:rPr>
        <w:t xml:space="preserve">] factor.”); </w:t>
      </w:r>
    </w:p>
    <w:p w14:paraId="4E5F4347" w14:textId="77777777" w:rsidR="00842D3D" w:rsidRPr="00842D3D" w:rsidRDefault="00842D3D" w:rsidP="00842D3D">
      <w:pPr>
        <w:widowControl w:val="0"/>
        <w:ind w:firstLine="720"/>
        <w:rPr>
          <w:rFonts w:eastAsia="Calibri" w:cs="Times New Roman"/>
          <w:szCs w:val="24"/>
        </w:rPr>
      </w:pPr>
    </w:p>
    <w:p w14:paraId="37A4DDE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4.</w:t>
      </w:r>
      <w:r w:rsidRPr="00842D3D">
        <w:rPr>
          <w:rFonts w:eastAsia="Calibri" w:cs="Times New Roman"/>
          <w:szCs w:val="24"/>
        </w:rPr>
        <w:tab/>
        <w:t xml:space="preserve">whether the officers independently evaluated the situation when they arrived, </w:t>
      </w:r>
      <w:r w:rsidRPr="00842D3D">
        <w:rPr>
          <w:rFonts w:eastAsia="Calibri" w:cs="Times New Roman"/>
          <w:i/>
          <w:iCs/>
          <w:szCs w:val="24"/>
        </w:rPr>
        <w:t>see Rice</w:t>
      </w:r>
      <w:r w:rsidRPr="00842D3D">
        <w:rPr>
          <w:rFonts w:eastAsia="Calibri" w:cs="Times New Roman"/>
          <w:szCs w:val="24"/>
        </w:rPr>
        <w:t xml:space="preserve">, 989 F.3d at 1122 (“[O]fficers have a duty to independently evaluate a situation when they arrive, if they have an opportunity to do so.”); </w:t>
      </w:r>
    </w:p>
    <w:p w14:paraId="4AE28C7D" w14:textId="77777777" w:rsidR="00842D3D" w:rsidRPr="00842D3D" w:rsidRDefault="00842D3D" w:rsidP="00842D3D">
      <w:pPr>
        <w:widowControl w:val="0"/>
        <w:ind w:firstLine="720"/>
        <w:rPr>
          <w:rFonts w:eastAsia="Calibri" w:cs="Times New Roman"/>
          <w:szCs w:val="24"/>
        </w:rPr>
      </w:pPr>
    </w:p>
    <w:p w14:paraId="7034648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5.</w:t>
      </w:r>
      <w:r w:rsidRPr="00842D3D">
        <w:rPr>
          <w:rFonts w:eastAsia="Calibri" w:cs="Times New Roman"/>
          <w:szCs w:val="24"/>
        </w:rPr>
        <w:tab/>
        <w:t xml:space="preserve">whether the individual “was given ‘proper warnings’ before force was used,” </w:t>
      </w:r>
      <w:r w:rsidRPr="00842D3D">
        <w:rPr>
          <w:rFonts w:eastAsia="Calibri" w:cs="Times New Roman"/>
          <w:i/>
          <w:iCs/>
          <w:szCs w:val="24"/>
        </w:rPr>
        <w:t>Seidner</w:t>
      </w:r>
      <w:r w:rsidRPr="00842D3D">
        <w:rPr>
          <w:rFonts w:eastAsia="Calibri" w:cs="Times New Roman"/>
          <w:szCs w:val="24"/>
        </w:rPr>
        <w:t xml:space="preserve">, 39 F.4th at 599 (quoting </w:t>
      </w:r>
      <w:r w:rsidRPr="00842D3D">
        <w:rPr>
          <w:rFonts w:eastAsia="Calibri" w:cs="Times New Roman"/>
          <w:i/>
          <w:iCs/>
          <w:szCs w:val="24"/>
        </w:rPr>
        <w:t>Rice</w:t>
      </w:r>
      <w:r w:rsidRPr="00842D3D">
        <w:rPr>
          <w:rFonts w:eastAsia="Calibri" w:cs="Times New Roman"/>
          <w:szCs w:val="24"/>
        </w:rPr>
        <w:t xml:space="preserve">, 989 F.3d at 1122); </w:t>
      </w:r>
      <w:r w:rsidRPr="00842D3D">
        <w:rPr>
          <w:rFonts w:eastAsia="Calibri" w:cs="Times New Roman"/>
          <w:i/>
          <w:iCs/>
          <w:szCs w:val="24"/>
        </w:rPr>
        <w:t>see Nehad</w:t>
      </w:r>
      <w:r w:rsidRPr="00842D3D">
        <w:rPr>
          <w:rFonts w:eastAsia="Calibri" w:cs="Times New Roman"/>
          <w:szCs w:val="24"/>
        </w:rPr>
        <w:t xml:space="preserve">, 929 F.3d at 1137 (“Whether an officer warned a suspect that failure to comply with the officer’s commands would result in the use of force is another relevant factor in an excessive force analysis.”);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(“Before using deadly force, law enforcement must, ‘where feasible,’ issue a warning.” (quoting </w:t>
      </w:r>
      <w:r w:rsidRPr="00842D3D">
        <w:rPr>
          <w:rFonts w:eastAsia="Calibri" w:cs="Times New Roman"/>
          <w:i/>
          <w:iCs/>
          <w:szCs w:val="24"/>
        </w:rPr>
        <w:t>Garner</w:t>
      </w:r>
      <w:r w:rsidRPr="00842D3D">
        <w:rPr>
          <w:rFonts w:eastAsia="Calibri" w:cs="Times New Roman"/>
          <w:szCs w:val="24"/>
        </w:rPr>
        <w:t xml:space="preserve">, 471 U.S. at 11-12)); </w:t>
      </w:r>
    </w:p>
    <w:p w14:paraId="2500CBE9" w14:textId="77777777" w:rsidR="00842D3D" w:rsidRPr="00842D3D" w:rsidRDefault="00842D3D" w:rsidP="00842D3D">
      <w:pPr>
        <w:widowControl w:val="0"/>
        <w:ind w:firstLine="720"/>
        <w:rPr>
          <w:rFonts w:eastAsia="Calibri" w:cs="Times New Roman"/>
          <w:szCs w:val="24"/>
        </w:rPr>
      </w:pPr>
    </w:p>
    <w:p w14:paraId="2A9B66B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t xml:space="preserve">whether the officers were responding to a domestic violence disturbance, </w:t>
      </w:r>
      <w:r w:rsidRPr="00842D3D">
        <w:rPr>
          <w:rFonts w:eastAsia="Calibri" w:cs="Times New Roman"/>
          <w:i/>
          <w:iCs/>
          <w:szCs w:val="24"/>
        </w:rPr>
        <w:t>see George v. Morris</w:t>
      </w:r>
      <w:r w:rsidRPr="00842D3D">
        <w:rPr>
          <w:rFonts w:eastAsia="Calibri" w:cs="Times New Roman"/>
          <w:szCs w:val="24"/>
        </w:rPr>
        <w:t xml:space="preserve">, 736 F.3d 829, 839 (9th Cir. 2013) (“Domestic violence situations are ‘particularly dangerous’ because ‘more officers are killed or injured on domestic violence calls than on any other type of call.’” (quoting </w:t>
      </w:r>
      <w:r w:rsidRPr="00842D3D">
        <w:rPr>
          <w:rFonts w:eastAsia="Calibri" w:cs="Times New Roman"/>
          <w:i/>
          <w:iCs/>
          <w:szCs w:val="24"/>
        </w:rPr>
        <w:t>Mattos</w:t>
      </w:r>
      <w:r w:rsidRPr="00842D3D">
        <w:rPr>
          <w:rFonts w:eastAsia="Calibri" w:cs="Times New Roman"/>
          <w:szCs w:val="24"/>
        </w:rPr>
        <w:t xml:space="preserve">, 661 F.3d at 450)); </w:t>
      </w:r>
    </w:p>
    <w:p w14:paraId="26C02F62" w14:textId="77777777" w:rsidR="00842D3D" w:rsidRPr="00842D3D" w:rsidRDefault="00842D3D" w:rsidP="00842D3D">
      <w:pPr>
        <w:widowControl w:val="0"/>
        <w:ind w:firstLine="720"/>
        <w:rPr>
          <w:rFonts w:eastAsia="Calibri" w:cs="Times New Roman"/>
          <w:szCs w:val="24"/>
        </w:rPr>
      </w:pPr>
    </w:p>
    <w:p w14:paraId="35E67F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7.</w:t>
      </w:r>
      <w:r w:rsidRPr="00842D3D">
        <w:rPr>
          <w:rFonts w:eastAsia="Calibri" w:cs="Times New Roman"/>
          <w:szCs w:val="24"/>
        </w:rPr>
        <w:tab/>
        <w:t xml:space="preserve">“whether it should have been apparent to officers that the person they used force against was emotionally disturbed,” </w:t>
      </w:r>
      <w:r w:rsidRPr="00842D3D">
        <w:rPr>
          <w:rFonts w:eastAsia="Calibri" w:cs="Times New Roman"/>
          <w:i/>
          <w:iCs/>
          <w:szCs w:val="24"/>
        </w:rPr>
        <w:t>Tabares v. City of Huntington Beach</w:t>
      </w:r>
      <w:r w:rsidRPr="00842D3D">
        <w:rPr>
          <w:rFonts w:eastAsia="Calibri" w:cs="Times New Roman"/>
          <w:szCs w:val="24"/>
        </w:rPr>
        <w:t xml:space="preserve">, 988 F.3d 1119, 1126 (9th Cir. 2021) (quoting </w:t>
      </w:r>
      <w:r w:rsidRPr="00842D3D">
        <w:rPr>
          <w:rFonts w:eastAsia="Calibri" w:cs="Times New Roman"/>
          <w:i/>
          <w:iCs/>
          <w:szCs w:val="24"/>
        </w:rPr>
        <w:t>Glenn</w:t>
      </w:r>
      <w:r w:rsidRPr="00842D3D">
        <w:rPr>
          <w:rFonts w:eastAsia="Calibri" w:cs="Times New Roman"/>
          <w:szCs w:val="24"/>
        </w:rPr>
        <w:t xml:space="preserve">, 673 F.3d at 872); </w:t>
      </w:r>
      <w:r w:rsidRPr="00842D3D">
        <w:rPr>
          <w:rFonts w:eastAsia="Calibri" w:cs="Times New Roman"/>
          <w:i/>
          <w:iCs/>
          <w:szCs w:val="24"/>
        </w:rPr>
        <w:t>see Crawford v. City of Bakersfield</w:t>
      </w:r>
      <w:r w:rsidRPr="00842D3D">
        <w:rPr>
          <w:rFonts w:eastAsia="Calibri" w:cs="Times New Roman"/>
          <w:szCs w:val="24"/>
        </w:rPr>
        <w:t xml:space="preserve">, 944 F.3d 1070, 1078 (9th Cir. 2019) (“[W]hether the suspect has exhibited signs of mental illness is one of the factors the court will consider in assessing the reasonableness of the force used.”); </w:t>
      </w:r>
    </w:p>
    <w:p w14:paraId="66AB5F28" w14:textId="77777777" w:rsidR="00842D3D" w:rsidRPr="00842D3D" w:rsidRDefault="00842D3D" w:rsidP="00842D3D">
      <w:pPr>
        <w:widowControl w:val="0"/>
        <w:ind w:firstLine="720"/>
        <w:rPr>
          <w:rFonts w:eastAsia="Calibri" w:cs="Times New Roman"/>
          <w:szCs w:val="24"/>
        </w:rPr>
      </w:pPr>
    </w:p>
    <w:p w14:paraId="576E7D3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8.</w:t>
      </w:r>
      <w:r w:rsidRPr="00842D3D">
        <w:rPr>
          <w:rFonts w:eastAsia="Calibri" w:cs="Times New Roman"/>
          <w:szCs w:val="24"/>
        </w:rPr>
        <w:tab/>
        <w:t xml:space="preserve">where “an officer’s particular use of force is based on a mistake of fact, . . . whether a reasonable officer would have or </w:t>
      </w:r>
      <w:r w:rsidRPr="00842D3D">
        <w:rPr>
          <w:rFonts w:eastAsia="Calibri" w:cs="Times New Roman"/>
          <w:i/>
          <w:iCs/>
          <w:szCs w:val="24"/>
        </w:rPr>
        <w:t xml:space="preserve">should </w:t>
      </w:r>
      <w:r w:rsidRPr="00842D3D">
        <w:rPr>
          <w:rFonts w:eastAsia="Calibri" w:cs="Times New Roman"/>
          <w:szCs w:val="24"/>
        </w:rPr>
        <w:t xml:space="preserve">have accurately perceived that fact,” </w:t>
      </w:r>
      <w:r w:rsidRPr="00842D3D">
        <w:rPr>
          <w:rFonts w:eastAsia="Calibri" w:cs="Times New Roman"/>
          <w:i/>
          <w:iCs/>
          <w:szCs w:val="24"/>
        </w:rPr>
        <w:t>Nehad</w:t>
      </w:r>
      <w:r w:rsidRPr="00842D3D">
        <w:rPr>
          <w:rFonts w:eastAsia="Calibri" w:cs="Times New Roman"/>
          <w:szCs w:val="24"/>
        </w:rPr>
        <w:t xml:space="preserve">, 929 F.3d at 1133 (emphasis in original); </w:t>
      </w:r>
      <w:r w:rsidRPr="00842D3D">
        <w:rPr>
          <w:rFonts w:eastAsia="Calibri" w:cs="Times New Roman"/>
          <w:i/>
          <w:iCs/>
          <w:szCs w:val="24"/>
        </w:rPr>
        <w:t>Torres v. City of Madera</w:t>
      </w:r>
      <w:r w:rsidRPr="00842D3D">
        <w:rPr>
          <w:rFonts w:eastAsia="Calibri" w:cs="Times New Roman"/>
          <w:szCs w:val="24"/>
        </w:rPr>
        <w:t xml:space="preserve">, 648 F.3d 1119, 1127 (9th Cir. 2011) (“[U]nder </w:t>
      </w:r>
      <w:r w:rsidRPr="00842D3D">
        <w:rPr>
          <w:rFonts w:eastAsia="Calibri" w:cs="Times New Roman"/>
          <w:i/>
          <w:iCs/>
          <w:szCs w:val="24"/>
        </w:rPr>
        <w:t>Graham</w:t>
      </w:r>
      <w:r w:rsidRPr="00842D3D">
        <w:rPr>
          <w:rFonts w:eastAsia="Calibri" w:cs="Times New Roman"/>
          <w:szCs w:val="24"/>
        </w:rPr>
        <w:t xml:space="preserve">, whether the mistake was an </w:t>
      </w:r>
      <w:r w:rsidRPr="00842D3D">
        <w:rPr>
          <w:rFonts w:eastAsia="Calibri" w:cs="Times New Roman"/>
          <w:i/>
          <w:iCs/>
          <w:szCs w:val="24"/>
        </w:rPr>
        <w:t xml:space="preserve">honest </w:t>
      </w:r>
      <w:r w:rsidRPr="00842D3D">
        <w:rPr>
          <w:rFonts w:eastAsia="Calibri" w:cs="Times New Roman"/>
          <w:szCs w:val="24"/>
        </w:rPr>
        <w:t xml:space="preserve">one is not the concern, only whether it was a </w:t>
      </w:r>
      <w:r w:rsidRPr="00842D3D">
        <w:rPr>
          <w:rFonts w:eastAsia="Calibri" w:cs="Times New Roman"/>
          <w:i/>
          <w:iCs/>
          <w:szCs w:val="24"/>
        </w:rPr>
        <w:t xml:space="preserve">reasonable </w:t>
      </w:r>
      <w:r w:rsidRPr="00842D3D">
        <w:rPr>
          <w:rFonts w:eastAsia="Calibri" w:cs="Times New Roman"/>
          <w:szCs w:val="24"/>
        </w:rPr>
        <w:t>one.”);</w:t>
      </w:r>
      <w:r w:rsidRPr="00842D3D">
        <w:rPr>
          <w:rFonts w:eastAsia="Calibri" w:cs="Times New Roman"/>
          <w:i/>
          <w:iCs/>
          <w:szCs w:val="24"/>
          <w14:ligatures w14:val="standardContextual"/>
        </w:rPr>
        <w:t xml:space="preserve"> </w:t>
      </w:r>
      <w:r w:rsidRPr="00842D3D">
        <w:rPr>
          <w:rFonts w:eastAsia="Calibri" w:cs="Times New Roman"/>
          <w:i/>
          <w:iCs/>
          <w:szCs w:val="24"/>
        </w:rPr>
        <w:t>Napouk</w:t>
      </w:r>
      <w:r w:rsidRPr="00842D3D">
        <w:rPr>
          <w:rFonts w:eastAsia="Calibri" w:cs="Times New Roman"/>
          <w:szCs w:val="24"/>
        </w:rPr>
        <w:t xml:space="preserve">, 123 F.4th at 916 (concluding no rational jury could find officers’ mistake of fact was unreasonable where no facts “suggest[ed] circumstances by which the officers should have known the object, which was made to look like a knife, was not actually a knife”); </w:t>
      </w:r>
      <w:r w:rsidRPr="00842D3D">
        <w:rPr>
          <w:rFonts w:eastAsia="Calibri" w:cs="Times New Roman"/>
          <w:i/>
          <w:szCs w:val="24"/>
        </w:rPr>
        <w:t>see also Estate of Aguirre v. County of Riverside (Aguirre II)</w:t>
      </w:r>
      <w:r w:rsidRPr="00842D3D">
        <w:rPr>
          <w:rFonts w:eastAsia="Calibri" w:cs="Times New Roman"/>
          <w:szCs w:val="24"/>
        </w:rPr>
        <w:t>, 131 F.4th 702, 709-10 (9th Cir. 2025) (rejecting the defendant officer’s argument that his Rule 50(b) motion for judgment as a matter of law “turned on the question of ‘reasonable mistake’ that did not reach the jury,” and concluding that the jury instructions established that the jury considered and rejected his argument that “any mistake was reasonable”).</w:t>
      </w:r>
    </w:p>
    <w:p w14:paraId="44C762BA" w14:textId="77777777" w:rsidR="00842D3D" w:rsidRPr="00842D3D" w:rsidRDefault="00842D3D" w:rsidP="00842D3D">
      <w:pPr>
        <w:widowControl w:val="0"/>
        <w:ind w:firstLine="720"/>
        <w:rPr>
          <w:rFonts w:eastAsia="Calibri" w:cs="Times New Roman"/>
          <w:szCs w:val="24"/>
        </w:rPr>
      </w:pPr>
    </w:p>
    <w:p w14:paraId="3023640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9.</w:t>
      </w:r>
      <w:r w:rsidRPr="00842D3D">
        <w:rPr>
          <w:rFonts w:eastAsia="Calibri" w:cs="Times New Roman"/>
          <w:szCs w:val="24"/>
        </w:rPr>
        <w:tab/>
        <w:t xml:space="preserve">whether the police officer failed “to identify himself or herself as such,” </w:t>
      </w:r>
      <w:r w:rsidRPr="00842D3D">
        <w:rPr>
          <w:rFonts w:eastAsia="Calibri" w:cs="Times New Roman"/>
          <w:i/>
          <w:iCs/>
          <w:szCs w:val="24"/>
        </w:rPr>
        <w:t>Nehad</w:t>
      </w:r>
      <w:r w:rsidRPr="00842D3D">
        <w:rPr>
          <w:rFonts w:eastAsia="Calibri" w:cs="Times New Roman"/>
          <w:szCs w:val="24"/>
        </w:rPr>
        <w:t xml:space="preserve">, 929 F.3d at 1138; </w:t>
      </w:r>
    </w:p>
    <w:p w14:paraId="58C1D81B" w14:textId="77777777" w:rsidR="00842D3D" w:rsidRPr="00842D3D" w:rsidRDefault="00842D3D" w:rsidP="00842D3D">
      <w:pPr>
        <w:widowControl w:val="0"/>
        <w:ind w:firstLine="720"/>
        <w:rPr>
          <w:rFonts w:eastAsia="Calibri" w:cs="Times New Roman"/>
          <w:szCs w:val="24"/>
        </w:rPr>
      </w:pPr>
    </w:p>
    <w:p w14:paraId="1F8C630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10.</w:t>
      </w:r>
      <w:r w:rsidRPr="00842D3D">
        <w:rPr>
          <w:rFonts w:eastAsia="Calibri" w:cs="Times New Roman"/>
          <w:szCs w:val="24"/>
        </w:rPr>
        <w:tab/>
        <w:t xml:space="preserve">when the use of deadly force is at issue, whether the officer has probable cause to believe that the individual poses a significant threat of death or serious physical injury to the officer or others, </w:t>
      </w:r>
      <w:r w:rsidRPr="00842D3D">
        <w:rPr>
          <w:rFonts w:eastAsia="Calibri" w:cs="Times New Roman"/>
          <w:i/>
          <w:iCs/>
          <w:szCs w:val="24"/>
        </w:rPr>
        <w:t>see Tabares</w:t>
      </w:r>
      <w:r w:rsidRPr="00842D3D">
        <w:rPr>
          <w:rFonts w:eastAsia="Calibri" w:cs="Times New Roman"/>
          <w:szCs w:val="24"/>
        </w:rPr>
        <w:t xml:space="preserve">, 988 F.3d at 1126 (“Under federal law, deadly force can be reasonable only if the officer has probable cause to believe that the suspect poses a significant threat of death or serious physical injury to the officer or others.” (internal quotation marks omitted) (quoting </w:t>
      </w:r>
      <w:r w:rsidRPr="00842D3D">
        <w:rPr>
          <w:rFonts w:eastAsia="Calibri" w:cs="Times New Roman"/>
          <w:i/>
          <w:iCs/>
          <w:szCs w:val="24"/>
        </w:rPr>
        <w:t xml:space="preserve">Garner, </w:t>
      </w:r>
      <w:r w:rsidRPr="00842D3D">
        <w:rPr>
          <w:rFonts w:eastAsia="Calibri" w:cs="Times New Roman"/>
          <w:szCs w:val="24"/>
        </w:rPr>
        <w:t xml:space="preserve">471 U.S. at 3)); </w:t>
      </w:r>
      <w:r w:rsidRPr="00842D3D">
        <w:rPr>
          <w:rFonts w:eastAsia="Calibri" w:cs="Times New Roman"/>
          <w:i/>
          <w:iCs/>
          <w:szCs w:val="24"/>
        </w:rPr>
        <w:t>see also Zion v. County of Orange</w:t>
      </w:r>
      <w:r w:rsidRPr="00842D3D">
        <w:rPr>
          <w:rFonts w:eastAsia="Calibri" w:cs="Times New Roman"/>
          <w:szCs w:val="24"/>
        </w:rPr>
        <w:t xml:space="preserve">, 874 F.3d 1072, 1076 (9th Cir. </w:t>
      </w:r>
      <w:r w:rsidRPr="00842D3D">
        <w:rPr>
          <w:rFonts w:eastAsia="Calibri" w:cs="Times New Roman"/>
        </w:rPr>
        <w:t>2017) (holding that the</w:t>
      </w:r>
      <w:r w:rsidRPr="00842D3D">
        <w:rPr>
          <w:rFonts w:eastAsia="Calibri" w:cs="Times New Roman"/>
          <w:szCs w:val="24"/>
        </w:rPr>
        <w:t xml:space="preserve"> “use of deadly force against a non-threatening suspect is unreasonable” (citing </w:t>
      </w:r>
      <w:r w:rsidRPr="00842D3D">
        <w:rPr>
          <w:rFonts w:eastAsia="Calibri" w:cs="Times New Roman"/>
          <w:i/>
          <w:iCs/>
          <w:szCs w:val="24"/>
        </w:rPr>
        <w:t xml:space="preserve">Garner, </w:t>
      </w:r>
      <w:r w:rsidRPr="00842D3D">
        <w:rPr>
          <w:rFonts w:eastAsia="Calibri" w:cs="Times New Roman"/>
          <w:szCs w:val="24"/>
        </w:rPr>
        <w:t xml:space="preserve">471 U.S. at 11-12)); </w:t>
      </w:r>
      <w:r w:rsidRPr="00842D3D">
        <w:rPr>
          <w:rFonts w:eastAsia="Calibri" w:cs="Times New Roman"/>
          <w:i/>
          <w:iCs/>
          <w:szCs w:val="24"/>
        </w:rPr>
        <w:t>Villanueva v. California</w:t>
      </w:r>
      <w:r w:rsidRPr="00842D3D">
        <w:rPr>
          <w:rFonts w:eastAsia="Calibri" w:cs="Times New Roman"/>
          <w:szCs w:val="24"/>
        </w:rPr>
        <w:t xml:space="preserve">, 986 F.3d 1158 (9th Cir. 2021) (holding that an officer who shoots at a slow-moving car when the officer can easily step out of the way violates the Fourth Amendment); and </w:t>
      </w:r>
    </w:p>
    <w:p w14:paraId="67C071AA" w14:textId="77777777" w:rsidR="00842D3D" w:rsidRPr="00842D3D" w:rsidRDefault="00842D3D" w:rsidP="00842D3D">
      <w:pPr>
        <w:widowControl w:val="0"/>
        <w:ind w:firstLine="720"/>
        <w:rPr>
          <w:rFonts w:eastAsia="Calibri" w:cs="Times New Roman"/>
          <w:szCs w:val="24"/>
        </w:rPr>
      </w:pPr>
    </w:p>
    <w:p w14:paraId="5CD56A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11.</w:t>
      </w:r>
      <w:r w:rsidRPr="00842D3D">
        <w:rPr>
          <w:rFonts w:eastAsia="Calibri" w:cs="Times New Roman"/>
          <w:szCs w:val="24"/>
        </w:rPr>
        <w:tab/>
        <w:t xml:space="preserve">when deadly force is at issue, how quickly the officer used deadly force after encountering the individual, </w:t>
      </w:r>
      <w:r w:rsidRPr="00842D3D">
        <w:rPr>
          <w:rFonts w:eastAsia="Calibri" w:cs="Times New Roman"/>
          <w:i/>
          <w:iCs/>
          <w:szCs w:val="24"/>
        </w:rPr>
        <w:t>see A. K. H v. City of Tustin</w:t>
      </w:r>
      <w:r w:rsidRPr="00842D3D">
        <w:rPr>
          <w:rFonts w:eastAsia="Calibri" w:cs="Times New Roman"/>
          <w:szCs w:val="24"/>
        </w:rPr>
        <w:t>, 837 F.3d 1005, 1012 (9th Cir. 2016) (determining that “perhaps most important” was that the officer at issue “escalated to deadly force very quickly”).</w:t>
      </w:r>
    </w:p>
    <w:p w14:paraId="025D4E72" w14:textId="77777777" w:rsidR="00842D3D" w:rsidRPr="00842D3D" w:rsidRDefault="00842D3D" w:rsidP="00842D3D">
      <w:pPr>
        <w:widowControl w:val="0"/>
        <w:ind w:firstLine="720"/>
        <w:rPr>
          <w:rFonts w:eastAsia="Calibri" w:cs="Times New Roman"/>
          <w:szCs w:val="24"/>
        </w:rPr>
      </w:pPr>
    </w:p>
    <w:p w14:paraId="50971FC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jury must consider “the type and amount of force,” </w:t>
      </w:r>
      <w:r w:rsidRPr="00842D3D">
        <w:rPr>
          <w:rFonts w:eastAsia="Calibri" w:cs="Times New Roman"/>
          <w:i/>
          <w:iCs/>
          <w:szCs w:val="24"/>
        </w:rPr>
        <w:t>Seidner</w:t>
      </w:r>
      <w:r w:rsidRPr="00842D3D">
        <w:rPr>
          <w:rFonts w:eastAsia="Calibri" w:cs="Times New Roman"/>
          <w:szCs w:val="24"/>
        </w:rPr>
        <w:t xml:space="preserve">, 39 F.4th at 596, which may be quantified. “Some uses of force can be quantified categorically. The best example is shooting a firearm, which by definition is ‘deadly force’: force that ‘creates a substantial risk of causing death or serious bodily injury.’” </w:t>
      </w:r>
      <w:r w:rsidRPr="00842D3D">
        <w:rPr>
          <w:rFonts w:eastAsia="Calibri" w:cs="Times New Roman"/>
          <w:i/>
          <w:iCs/>
          <w:szCs w:val="24"/>
        </w:rPr>
        <w:t xml:space="preserve">Id. </w:t>
      </w:r>
      <w:r w:rsidRPr="00842D3D">
        <w:rPr>
          <w:rFonts w:eastAsia="Calibri" w:cs="Times New Roman"/>
          <w:szCs w:val="24"/>
        </w:rPr>
        <w:t xml:space="preserve">“Most often, however, quantifying a particular use of force requires consideration of the ‘specific factual circumstances’ surrounding the event.” </w:t>
      </w:r>
      <w:r w:rsidRPr="00842D3D">
        <w:rPr>
          <w:rFonts w:eastAsia="Calibri" w:cs="Times New Roman"/>
          <w:i/>
          <w:iCs/>
          <w:szCs w:val="24"/>
        </w:rPr>
        <w:t xml:space="preserve">Id. </w:t>
      </w:r>
      <w:r w:rsidRPr="00842D3D">
        <w:rPr>
          <w:rFonts w:eastAsia="Calibri" w:cs="Times New Roman"/>
          <w:szCs w:val="24"/>
        </w:rPr>
        <w:t xml:space="preserve">“For example, [the Ninth Circuit] has classified deployment of a police dog as both a severe use of force and a moderate use of force depending on the suspect’s condition when the dog was </w:t>
      </w:r>
      <w:r w:rsidRPr="00842D3D">
        <w:rPr>
          <w:rFonts w:eastAsia="Calibri" w:cs="Times New Roman"/>
          <w:szCs w:val="24"/>
        </w:rPr>
        <w:lastRenderedPageBreak/>
        <w:t xml:space="preserve">ordered to attack, how long the attack lasted, and whether the dog was within its handler’s control.”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Rosenbaum v. City of San Jose</w:t>
      </w:r>
      <w:r w:rsidRPr="00842D3D">
        <w:rPr>
          <w:rFonts w:eastAsia="Calibri" w:cs="Times New Roman"/>
          <w:szCs w:val="24"/>
        </w:rPr>
        <w:t xml:space="preserve">, 107 F.4th 919, 922 (9th Cir. 2024) (holding that whether officers acted reasonably in permitting a police dog to hold a bite for 20 seconds after a suspect had fully surrendered and was under officer control presents a triable question to be decided by a jury). </w:t>
      </w:r>
    </w:p>
    <w:p w14:paraId="50AB60F3" w14:textId="77777777" w:rsidR="00842D3D" w:rsidRPr="00842D3D" w:rsidRDefault="00842D3D" w:rsidP="00842D3D">
      <w:pPr>
        <w:widowControl w:val="0"/>
        <w:ind w:firstLine="720"/>
        <w:rPr>
          <w:rFonts w:eastAsia="Calibri" w:cs="Times New Roman"/>
          <w:szCs w:val="24"/>
        </w:rPr>
      </w:pPr>
    </w:p>
    <w:p w14:paraId="59B32F94"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Similarly, “physical contact like hitting and shoving” and “roadblocks” are each “a type of force that must be quantified in reference to the surrounding circumstances.” </w:t>
      </w:r>
      <w:r w:rsidRPr="00842D3D">
        <w:rPr>
          <w:rFonts w:eastAsia="Calibri" w:cs="Times New Roman"/>
          <w:i/>
          <w:iCs/>
          <w:szCs w:val="24"/>
        </w:rPr>
        <w:t>Seidner</w:t>
      </w:r>
      <w:r w:rsidRPr="00842D3D">
        <w:rPr>
          <w:rFonts w:eastAsia="Calibri" w:cs="Times New Roman"/>
          <w:szCs w:val="24"/>
        </w:rPr>
        <w:t xml:space="preserve">, 39 F.4th at 597. In </w:t>
      </w:r>
      <w:r w:rsidRPr="00842D3D">
        <w:rPr>
          <w:rFonts w:eastAsia="Calibri" w:cs="Times New Roman"/>
          <w:i/>
          <w:iCs/>
          <w:szCs w:val="24"/>
        </w:rPr>
        <w:t>Seidner</w:t>
      </w:r>
      <w:r w:rsidRPr="00842D3D">
        <w:rPr>
          <w:rFonts w:eastAsia="Calibri" w:cs="Times New Roman"/>
          <w:szCs w:val="24"/>
        </w:rPr>
        <w:t xml:space="preserve">, the Ninth Circuit held that an officer who used his patrol car to block a suspect fleeing on his bicycle had used “intermediate force,” defined as “force </w:t>
      </w:r>
      <w:r w:rsidRPr="00842D3D">
        <w:rPr>
          <w:rFonts w:eastAsia="Calibri" w:cs="Times New Roman"/>
          <w:i/>
          <w:iCs/>
          <w:szCs w:val="24"/>
        </w:rPr>
        <w:t xml:space="preserve">capable </w:t>
      </w:r>
      <w:r w:rsidRPr="00842D3D">
        <w:rPr>
          <w:rFonts w:eastAsia="Calibri" w:cs="Times New Roman"/>
          <w:szCs w:val="24"/>
        </w:rPr>
        <w:t xml:space="preserve">of inflicting significant pain and causing serious injury.” </w:t>
      </w:r>
      <w:r w:rsidRPr="00842D3D">
        <w:rPr>
          <w:rFonts w:eastAsia="Calibri" w:cs="Times New Roman"/>
          <w:i/>
          <w:iCs/>
          <w:szCs w:val="24"/>
        </w:rPr>
        <w:t xml:space="preserve">Id. </w:t>
      </w:r>
      <w:r w:rsidRPr="00842D3D">
        <w:rPr>
          <w:rFonts w:eastAsia="Calibri" w:cs="Times New Roman"/>
          <w:szCs w:val="24"/>
        </w:rPr>
        <w:t xml:space="preserve">at 599. The court declined to create “a blanket rule that using a vehicle to block the path of a quickly moving cyclist, without allowing sufficient distance for the cyclist to avoid a collision, constitutes deadly force,” because “[n]ot all roadblocks used [to stop cyclists] present the same level of risk, and the extent of the ‘risk of harm and the actual harm experienced’ are essential inquiries in determining whether an officer’s actions were reasonable under the Fourth Amendment.” </w:t>
      </w:r>
      <w:r w:rsidRPr="00842D3D">
        <w:rPr>
          <w:rFonts w:eastAsia="Calibri" w:cs="Times New Roman"/>
          <w:i/>
          <w:iCs/>
          <w:szCs w:val="24"/>
        </w:rPr>
        <w:t xml:space="preserve">Id. </w:t>
      </w:r>
    </w:p>
    <w:p w14:paraId="4A3530C8" w14:textId="77777777" w:rsidR="00842D3D" w:rsidRPr="00842D3D" w:rsidRDefault="00842D3D" w:rsidP="00842D3D">
      <w:pPr>
        <w:widowControl w:val="0"/>
        <w:ind w:firstLine="720"/>
        <w:rPr>
          <w:rFonts w:eastAsia="Calibri" w:cs="Times New Roman"/>
          <w:i/>
          <w:iCs/>
          <w:szCs w:val="24"/>
        </w:rPr>
      </w:pPr>
    </w:p>
    <w:p w14:paraId="759D57B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“deprivation of necessary medical care” may also constitute a violation of the Fourth Amendment. </w:t>
      </w:r>
      <w:r w:rsidRPr="00842D3D">
        <w:rPr>
          <w:rFonts w:eastAsia="Calibri" w:cs="Times New Roman"/>
          <w:i/>
          <w:szCs w:val="24"/>
        </w:rPr>
        <w:t>D’Braunstein v. Cal. Highway Patrol</w:t>
      </w:r>
      <w:r w:rsidRPr="00842D3D">
        <w:rPr>
          <w:rFonts w:eastAsia="Calibri" w:cs="Times New Roman"/>
          <w:szCs w:val="24"/>
        </w:rPr>
        <w:t xml:space="preserve">, 131 F.4th 764, 769 (9th Cir. 2025) (“We have also said that for persons who are detained by police in the course of an arrest, the Fourth Amendment’s prohibition on the use of excessive force protects against the deprivation of necessary medical care.”) (citing </w:t>
      </w:r>
      <w:r w:rsidRPr="00842D3D">
        <w:rPr>
          <w:rFonts w:eastAsia="Calibri" w:cs="Times New Roman"/>
          <w:i/>
          <w:szCs w:val="24"/>
        </w:rPr>
        <w:t>Tatum v. City &amp; County of San Francisco</w:t>
      </w:r>
      <w:r w:rsidRPr="00842D3D">
        <w:rPr>
          <w:rFonts w:eastAsia="Calibri" w:cs="Times New Roman"/>
          <w:szCs w:val="24"/>
        </w:rPr>
        <w:t xml:space="preserve">, 441 F.3d 1090, 1098-99 (9th Cir. 2006)). “[I]t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842D3D">
        <w:rPr>
          <w:rFonts w:eastAsia="Calibri" w:cs="Times New Roman"/>
          <w:i/>
          <w:szCs w:val="24"/>
        </w:rPr>
        <w:t>Id.</w:t>
      </w:r>
      <w:r w:rsidRPr="00842D3D">
        <w:rPr>
          <w:rFonts w:eastAsia="Calibri" w:cs="Times New Roman"/>
          <w:szCs w:val="24"/>
        </w:rPr>
        <w:t xml:space="preserve"> at 771. Officers need not “provide what hindsight reveals to be the most effective medical care for an arrested suspect.” </w:t>
      </w:r>
      <w:r w:rsidRPr="00842D3D">
        <w:rPr>
          <w:rFonts w:eastAsia="Calibri" w:cs="Times New Roman"/>
          <w:i/>
          <w:szCs w:val="24"/>
        </w:rPr>
        <w:t>Id.</w:t>
      </w:r>
      <w:r w:rsidRPr="00842D3D">
        <w:rPr>
          <w:rFonts w:eastAsia="Calibri" w:cs="Times New Roman"/>
          <w:szCs w:val="24"/>
        </w:rPr>
        <w:t xml:space="preserve"> at 769 (quoting </w:t>
      </w:r>
      <w:r w:rsidRPr="00842D3D">
        <w:rPr>
          <w:rFonts w:eastAsia="Calibri" w:cs="Times New Roman"/>
          <w:i/>
          <w:szCs w:val="24"/>
        </w:rPr>
        <w:t>Tatum</w:t>
      </w:r>
      <w:r w:rsidRPr="00842D3D">
        <w:rPr>
          <w:rFonts w:eastAsia="Calibri" w:cs="Times New Roman"/>
          <w:szCs w:val="24"/>
        </w:rPr>
        <w:t>, 441 F.3d at 1098). The failure to provide necessary medical care may also violate an arrestee’s Fourteenth Amendment rights as a pretrial detainee. In</w:t>
      </w:r>
      <w:r w:rsidRPr="00842D3D">
        <w:rPr>
          <w:rFonts w:eastAsia="Calibri" w:cs="Times New Roman"/>
          <w:i/>
          <w:szCs w:val="24"/>
        </w:rPr>
        <w:t xml:space="preserve"> D’Braunstein</w:t>
      </w:r>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w:t>
      </w:r>
    </w:p>
    <w:p w14:paraId="303A4F36" w14:textId="77777777" w:rsidR="00842D3D" w:rsidRPr="00842D3D" w:rsidRDefault="00842D3D" w:rsidP="00842D3D">
      <w:pPr>
        <w:widowControl w:val="0"/>
        <w:ind w:firstLine="720"/>
        <w:rPr>
          <w:rFonts w:eastAsia="Calibri" w:cs="Times New Roman"/>
          <w:szCs w:val="24"/>
        </w:rPr>
      </w:pPr>
    </w:p>
    <w:p w14:paraId="47FD94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deadly force is used, it is excessive unless the officer has “probable cause to believe that the suspect poses a significant threat of death or serious physical injury.” </w:t>
      </w:r>
      <w:r w:rsidRPr="00842D3D">
        <w:rPr>
          <w:rFonts w:eastAsia="Calibri" w:cs="Times New Roman"/>
          <w:i/>
          <w:iCs/>
          <w:szCs w:val="24"/>
        </w:rPr>
        <w:t>Garner</w:t>
      </w:r>
      <w:r w:rsidRPr="00842D3D">
        <w:rPr>
          <w:rFonts w:eastAsia="Calibri" w:cs="Times New Roman"/>
          <w:szCs w:val="24"/>
        </w:rPr>
        <w:t xml:space="preserve">, 471 U.S. </w:t>
      </w:r>
      <w:r w:rsidRPr="00842D3D">
        <w:rPr>
          <w:rFonts w:eastAsia="Calibri" w:cs="Times New Roman"/>
        </w:rPr>
        <w:t xml:space="preserve">at 3. And “when an officer shoots and wounds a suspect, and he falls to the ground, the officer cannot continue to shoot him, absent some indication that he presents a continuing threat, without first reassessing the need for lethal force.” </w:t>
      </w:r>
      <w:r w:rsidRPr="00842D3D">
        <w:rPr>
          <w:rFonts w:eastAsia="Calibri" w:cs="Times New Roman"/>
          <w:i/>
          <w:iCs/>
        </w:rPr>
        <w:t>Est. of Hernandez v. City of Los Angeles</w:t>
      </w:r>
      <w:r w:rsidRPr="00842D3D">
        <w:rPr>
          <w:rFonts w:eastAsia="Calibri" w:cs="Times New Roman"/>
        </w:rPr>
        <w:t xml:space="preserve">, 139 F.4th 790, 795, 800-01 (9th Cir. 2025) (holding that triable issue of fact remained as to whether an officer’s third volley of shots was an objectively reasonable use of force because a reasonable jury could conclude that the decedent—whom the officer believed to be holding a bladed </w:t>
      </w:r>
      <w:r w:rsidRPr="00842D3D">
        <w:rPr>
          <w:rFonts w:eastAsia="Calibri" w:cs="Times New Roman"/>
        </w:rPr>
        <w:lastRenderedPageBreak/>
        <w:t>weapon—no longer posed an immediate threat as he was on the ground, balled up in the fetal position, and rolling away from the officer). By contrast</w:t>
      </w:r>
      <w:r w:rsidRPr="00842D3D">
        <w:rPr>
          <w:rFonts w:eastAsia="Calibri" w:cs="Times New Roman"/>
          <w:szCs w:val="24"/>
        </w:rPr>
        <w:t xml:space="preserve">, “the use of intermediate force must be justified by more than ‘a minimal interest’ held by the government.” </w:t>
      </w:r>
      <w:r w:rsidRPr="00842D3D">
        <w:rPr>
          <w:rFonts w:eastAsia="Calibri" w:cs="Times New Roman"/>
          <w:i/>
          <w:iCs/>
          <w:szCs w:val="24"/>
        </w:rPr>
        <w:t>Seidner</w:t>
      </w:r>
      <w:r w:rsidRPr="00842D3D">
        <w:rPr>
          <w:rFonts w:eastAsia="Calibri" w:cs="Times New Roman"/>
          <w:szCs w:val="24"/>
        </w:rPr>
        <w:t xml:space="preserve">, 39 F.4th at 600. “[A] suspect’s previous violent conduct does not justify non-trivial force where the suspect poses no immediate safety threat.” </w:t>
      </w:r>
      <w:r w:rsidRPr="00842D3D">
        <w:rPr>
          <w:rFonts w:eastAsia="Calibri" w:cs="Times New Roman"/>
          <w:i/>
          <w:iCs/>
          <w:szCs w:val="24"/>
        </w:rPr>
        <w:t>Andrews</w:t>
      </w:r>
      <w:r w:rsidRPr="00842D3D">
        <w:rPr>
          <w:rFonts w:eastAsia="Calibri" w:cs="Times New Roman"/>
          <w:szCs w:val="24"/>
        </w:rPr>
        <w:t xml:space="preserve">, 35 F.4th at 719. </w:t>
      </w:r>
    </w:p>
    <w:p w14:paraId="663F4955" w14:textId="77777777" w:rsidR="00842D3D" w:rsidRPr="00842D3D" w:rsidRDefault="00842D3D" w:rsidP="00842D3D">
      <w:pPr>
        <w:widowControl w:val="0"/>
        <w:ind w:firstLine="720"/>
        <w:rPr>
          <w:rFonts w:eastAsia="Calibri" w:cs="Times New Roman"/>
          <w:szCs w:val="24"/>
        </w:rPr>
      </w:pPr>
    </w:p>
    <w:p w14:paraId="24ED30B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first </w:t>
      </w:r>
      <w:r w:rsidRPr="00842D3D">
        <w:rPr>
          <w:rFonts w:eastAsia="Calibri" w:cs="Times New Roman"/>
          <w:i/>
          <w:iCs/>
          <w:szCs w:val="24"/>
        </w:rPr>
        <w:t xml:space="preserve">Graham </w:t>
      </w:r>
      <w:r w:rsidRPr="00842D3D">
        <w:rPr>
          <w:rFonts w:eastAsia="Calibri" w:cs="Times New Roman"/>
          <w:szCs w:val="24"/>
        </w:rPr>
        <w:t xml:space="preserve">factor, the “severity of the crime at issue,” should be modified as appropriate when officers are acting in a “community caretaking capacity” rather than to counter crime. </w:t>
      </w:r>
      <w:r w:rsidRPr="00842D3D">
        <w:rPr>
          <w:rFonts w:eastAsia="Calibri" w:cs="Times New Roman"/>
          <w:i/>
          <w:iCs/>
          <w:szCs w:val="24"/>
        </w:rPr>
        <w:t>Ames v. King County</w:t>
      </w:r>
      <w:r w:rsidRPr="00842D3D">
        <w:rPr>
          <w:rFonts w:eastAsia="Calibri" w:cs="Times New Roman"/>
          <w:szCs w:val="24"/>
        </w:rPr>
        <w:t xml:space="preserve">, 846 F.3d 340, 349 (9th Cir. 2017). In such circumstances, “the better analytical approach” focuses the inquiry on the seriousness of the situation that gives rise to the community-caretaking function. </w:t>
      </w:r>
      <w:r w:rsidRPr="00842D3D">
        <w:rPr>
          <w:rFonts w:eastAsia="Calibri" w:cs="Times New Roman"/>
          <w:i/>
          <w:iCs/>
          <w:szCs w:val="24"/>
        </w:rPr>
        <w:t xml:space="preserve">See id. </w:t>
      </w:r>
      <w:r w:rsidRPr="00842D3D">
        <w:rPr>
          <w:rFonts w:eastAsia="Calibri" w:cs="Times New Roman"/>
          <w:szCs w:val="24"/>
        </w:rPr>
        <w:t xml:space="preserve">Also, with respect to the severity-of-the-crime </w:t>
      </w:r>
      <w:r w:rsidRPr="00842D3D">
        <w:rPr>
          <w:rFonts w:eastAsia="Calibri" w:cs="Times New Roman"/>
          <w:i/>
          <w:iCs/>
          <w:szCs w:val="24"/>
        </w:rPr>
        <w:t xml:space="preserve">Graham </w:t>
      </w:r>
      <w:r w:rsidRPr="00842D3D">
        <w:rPr>
          <w:rFonts w:eastAsia="Calibri" w:cs="Times New Roman"/>
          <w:szCs w:val="24"/>
        </w:rPr>
        <w:t xml:space="preserve">factor, the factor slightly weighs in favor of defendant officers who used force when the plaintiff was not involved in a crime but nevertheless had information useful to address an unfolding emergency of a threatened school shooting. </w:t>
      </w:r>
      <w:r w:rsidRPr="00842D3D">
        <w:rPr>
          <w:rFonts w:eastAsia="Calibri" w:cs="Times New Roman"/>
          <w:i/>
          <w:iCs/>
          <w:szCs w:val="24"/>
        </w:rPr>
        <w:t>Bernal v. Sacramento Cnty. Sheriff’s Dep’t</w:t>
      </w:r>
      <w:r w:rsidRPr="00842D3D">
        <w:rPr>
          <w:rFonts w:eastAsia="Calibri" w:cs="Times New Roman"/>
          <w:szCs w:val="24"/>
        </w:rPr>
        <w:t xml:space="preserve">, 73 F.4th 678, 694 (9th Cir. 2023) (citing </w:t>
      </w:r>
      <w:r w:rsidRPr="00842D3D">
        <w:rPr>
          <w:rFonts w:eastAsia="Calibri" w:cs="Times New Roman"/>
          <w:i/>
          <w:iCs/>
          <w:szCs w:val="24"/>
        </w:rPr>
        <w:t>Ames</w:t>
      </w:r>
      <w:r w:rsidRPr="00842D3D">
        <w:rPr>
          <w:rFonts w:eastAsia="Calibri" w:cs="Times New Roman"/>
          <w:szCs w:val="24"/>
        </w:rPr>
        <w:t xml:space="preserve">, 846 F.3d at 349). In </w:t>
      </w:r>
      <w:r w:rsidRPr="00842D3D">
        <w:rPr>
          <w:rFonts w:eastAsia="Calibri" w:cs="Times New Roman"/>
          <w:i/>
          <w:iCs/>
          <w:szCs w:val="24"/>
        </w:rPr>
        <w:t>Sabbe v. Washington County Board of Commissioners</w:t>
      </w:r>
      <w:r w:rsidRPr="00842D3D">
        <w:rPr>
          <w:rFonts w:eastAsia="Calibri" w:cs="Times New Roman"/>
          <w:szCs w:val="24"/>
        </w:rPr>
        <w:t xml:space="preserve">, 84 F.4th 807, 819-25 (9th Cir. 2023), the Ninth Circuit applied the </w:t>
      </w:r>
      <w:r w:rsidRPr="00842D3D">
        <w:rPr>
          <w:rFonts w:eastAsia="Calibri" w:cs="Times New Roman"/>
          <w:i/>
          <w:iCs/>
          <w:szCs w:val="24"/>
        </w:rPr>
        <w:t xml:space="preserve">Graham </w:t>
      </w:r>
      <w:r w:rsidRPr="00842D3D">
        <w:rPr>
          <w:rFonts w:eastAsia="Calibri" w:cs="Times New Roman"/>
          <w:szCs w:val="24"/>
        </w:rPr>
        <w:t xml:space="preserve">factors to law enforcement’s use of an armored personnel carrier, which weighs several times as much as a typical police cruiser, to collide with a suspect’s pickup in the hope of stopping it. “Because a reasonable jury could decide that Sabbe did not pose an imminent threat to the officers or to others at that point, and that the balance of the other factors also favors Plaintiff, a jury could decide that the second PIT maneuver constituted the use of excessive force within the meaning of the Fourth Amendment.” </w:t>
      </w:r>
      <w:r w:rsidRPr="00842D3D">
        <w:rPr>
          <w:rFonts w:eastAsia="Calibri" w:cs="Times New Roman"/>
          <w:i/>
          <w:iCs/>
          <w:szCs w:val="24"/>
        </w:rPr>
        <w:t>Sabbe</w:t>
      </w:r>
      <w:r w:rsidRPr="00842D3D">
        <w:rPr>
          <w:rFonts w:eastAsia="Calibri" w:cs="Times New Roman"/>
          <w:szCs w:val="24"/>
        </w:rPr>
        <w:t xml:space="preserve">, 84 F.4th at 825; </w:t>
      </w:r>
      <w:r w:rsidRPr="00842D3D">
        <w:rPr>
          <w:rFonts w:eastAsia="Calibri" w:cs="Times New Roman"/>
          <w:i/>
          <w:iCs/>
          <w:szCs w:val="24"/>
        </w:rPr>
        <w:t>see also Hyer v. City &amp; County of Honolulu</w:t>
      </w:r>
      <w:r w:rsidRPr="00842D3D">
        <w:rPr>
          <w:rFonts w:eastAsia="Calibri" w:cs="Times New Roman"/>
          <w:szCs w:val="24"/>
        </w:rPr>
        <w:t xml:space="preserve">, 118 F.4th 1044, 1061 (9th Cir. 2024) (in assessing the severity of the crime at issue—which is the first of the three primary </w:t>
      </w:r>
      <w:r w:rsidRPr="00842D3D">
        <w:rPr>
          <w:rFonts w:eastAsia="Calibri" w:cs="Times New Roman"/>
          <w:i/>
          <w:iCs/>
          <w:szCs w:val="24"/>
        </w:rPr>
        <w:t xml:space="preserve">Graham </w:t>
      </w:r>
      <w:r w:rsidRPr="00842D3D">
        <w:rPr>
          <w:rFonts w:eastAsia="Calibri" w:cs="Times New Roman"/>
          <w:szCs w:val="24"/>
        </w:rPr>
        <w:t>factors for determining the strength of the government’s interests—the courts look at whether the circumstances of the case warrant the conclusion that the suspect was a particularly dangerous criminal or that his offense was especially egregious, which may entail consideration of, first, the time that had elapsed between the alleged crimes, and second, the fact that the crimes were not the reason the police initially sought to apprehend the suspect).</w:t>
      </w:r>
    </w:p>
    <w:p w14:paraId="3A720F4E" w14:textId="77777777" w:rsidR="00842D3D" w:rsidRPr="00842D3D" w:rsidRDefault="00842D3D" w:rsidP="00842D3D">
      <w:pPr>
        <w:widowControl w:val="0"/>
        <w:ind w:firstLine="720"/>
        <w:rPr>
          <w:rFonts w:eastAsia="Calibri" w:cs="Times New Roman"/>
          <w:szCs w:val="24"/>
        </w:rPr>
      </w:pPr>
    </w:p>
    <w:p w14:paraId="44C1F9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not error for a trial court to decline to single out one factor in the reasonableness inquiry, when the instructions properly charge the jury to consider all of the circumstances that confronted the officer. </w:t>
      </w:r>
      <w:r w:rsidRPr="00842D3D">
        <w:rPr>
          <w:rFonts w:eastAsia="Calibri" w:cs="Times New Roman"/>
          <w:i/>
          <w:szCs w:val="24"/>
        </w:rPr>
        <w:t>See Lam v. City of San Jose</w:t>
      </w:r>
      <w:r w:rsidRPr="00842D3D">
        <w:rPr>
          <w:rFonts w:eastAsia="Calibri" w:cs="Times New Roman"/>
          <w:szCs w:val="24"/>
        </w:rPr>
        <w:t xml:space="preserve">, 869 F.3d 1077, 1087 (9th Cir. 2017) (affirming district court declining to give an instruction as to the officers’ “bad tactics”). It is not error for a trial court to decline to instruct explicitly on the availability of “alternative courses of action” when the instructions as a whole “fairly and adequately cover[ed] the issues presented.” </w:t>
      </w:r>
      <w:r w:rsidRPr="00842D3D">
        <w:rPr>
          <w:rFonts w:eastAsia="Calibri" w:cs="Times New Roman"/>
          <w:i/>
          <w:szCs w:val="24"/>
        </w:rPr>
        <w:t>Brewer v. City of Napa</w:t>
      </w:r>
      <w:r w:rsidRPr="00842D3D">
        <w:rPr>
          <w:rFonts w:eastAsia="Calibri" w:cs="Times New Roman"/>
          <w:szCs w:val="24"/>
        </w:rPr>
        <w:t>, 210 F.3d 1093, 1096-97 (9th Cir. 2000).</w:t>
      </w:r>
    </w:p>
    <w:p w14:paraId="60963EF8" w14:textId="77777777" w:rsidR="00842D3D" w:rsidRPr="00842D3D" w:rsidRDefault="00842D3D" w:rsidP="00842D3D">
      <w:pPr>
        <w:ind w:firstLine="720"/>
        <w:rPr>
          <w:rFonts w:eastAsia="Calibri" w:cs="Times New Roman"/>
          <w:szCs w:val="24"/>
        </w:rPr>
      </w:pPr>
    </w:p>
    <w:p w14:paraId="7EFA873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County of Los Angeles v. Mendez</w:t>
      </w:r>
      <w:r w:rsidRPr="00842D3D">
        <w:rPr>
          <w:rFonts w:eastAsia="Calibri" w:cs="Times New Roman"/>
          <w:szCs w:val="24"/>
        </w:rPr>
        <w:t xml:space="preserve">, 581 U.S. 420, 427 (2017), the Supreme Court rejected the Ninth Circuit’s “provocation rule” and abrogated </w:t>
      </w:r>
      <w:r w:rsidRPr="00842D3D">
        <w:rPr>
          <w:rFonts w:eastAsia="Calibri" w:cs="Times New Roman"/>
          <w:i/>
          <w:szCs w:val="24"/>
        </w:rPr>
        <w:t>Billington v. Smith</w:t>
      </w:r>
      <w:r w:rsidRPr="00842D3D">
        <w:rPr>
          <w:rFonts w:eastAsia="Calibri" w:cs="Times New Roman"/>
          <w:szCs w:val="24"/>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w:t>
      </w:r>
      <w:bookmarkEnd w:id="178"/>
    </w:p>
    <w:p w14:paraId="6C22EC26" w14:textId="77777777" w:rsidR="00842D3D" w:rsidRPr="00842D3D" w:rsidRDefault="00842D3D" w:rsidP="00842D3D">
      <w:pPr>
        <w:autoSpaceDE w:val="0"/>
        <w:autoSpaceDN w:val="0"/>
        <w:adjustRightInd w:val="0"/>
        <w:rPr>
          <w:rFonts w:eastAsia="Calibri" w:cs="Times New Roman"/>
          <w:szCs w:val="24"/>
        </w:rPr>
      </w:pPr>
    </w:p>
    <w:p w14:paraId="12CA689E"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lastRenderedPageBreak/>
        <w:t>Revised September 2025</w:t>
      </w:r>
    </w:p>
    <w:p w14:paraId="7A1C1DC8"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23AF7E30" w14:textId="0AD474C0" w:rsidR="00842D3D" w:rsidRPr="00842D3D" w:rsidRDefault="00842D3D" w:rsidP="00FF121D">
      <w:pPr>
        <w:pStyle w:val="Heading2"/>
      </w:pPr>
      <w:bookmarkStart w:id="179" w:name="_Toc221525192"/>
      <w:r w:rsidRPr="00842D3D">
        <w:lastRenderedPageBreak/>
        <w:t>9.2</w:t>
      </w:r>
      <w:r w:rsidR="005F1850">
        <w:t>8</w:t>
      </w:r>
      <w:r w:rsidRPr="00842D3D">
        <w:t xml:space="preserve"> Particular Rights—Sixth Amendment—Right to </w:t>
      </w:r>
      <w:r w:rsidRPr="00842D3D">
        <w:br/>
        <w:t>Compulsory Process—Interference with Witness</w:t>
      </w:r>
      <w:bookmarkEnd w:id="179"/>
    </w:p>
    <w:p w14:paraId="1E88CD15" w14:textId="77777777" w:rsidR="00842D3D" w:rsidRPr="00842D3D" w:rsidRDefault="00842D3D" w:rsidP="00842D3D">
      <w:pPr>
        <w:rPr>
          <w:rFonts w:eastAsia="Calibri" w:cs="Times New Roman"/>
          <w:szCs w:val="24"/>
        </w:rPr>
      </w:pPr>
    </w:p>
    <w:p w14:paraId="013069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Sixth Amendment, a criminal defendant has the right to have compulsory process for obtaining witnesses in his or her favor. This right includes both the right to offer the testimony of witnesses, and to compel their attendance, if necessary. The plaintiff asserts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interfered with this right and caused a favorable witness not to testify in the plaintiff’s trial.</w:t>
      </w:r>
    </w:p>
    <w:p w14:paraId="39541EBE" w14:textId="77777777" w:rsidR="00842D3D" w:rsidRPr="00842D3D" w:rsidRDefault="00842D3D" w:rsidP="00842D3D">
      <w:pPr>
        <w:autoSpaceDE w:val="0"/>
        <w:autoSpaceDN w:val="0"/>
        <w:adjustRightInd w:val="0"/>
        <w:rPr>
          <w:rFonts w:eastAsia="Calibri" w:cs="Times New Roman"/>
          <w:szCs w:val="24"/>
        </w:rPr>
      </w:pPr>
    </w:p>
    <w:p w14:paraId="6B2C3EA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unlawfully interfered with the plaintiff [</w:t>
      </w:r>
      <w:r w:rsidRPr="00842D3D">
        <w:rPr>
          <w:rFonts w:eastAsia="Calibri" w:cs="Times New Roman"/>
          <w:i/>
          <w:iCs/>
          <w:szCs w:val="24"/>
          <w:u w:val="single"/>
        </w:rPr>
        <w:t>name</w:t>
      </w:r>
      <w:r w:rsidRPr="00842D3D">
        <w:rPr>
          <w:rFonts w:eastAsia="Calibri" w:cs="Times New Roman"/>
          <w:szCs w:val="24"/>
        </w:rPr>
        <w:t>]’s right to present testimony,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w:t>
      </w:r>
    </w:p>
    <w:p w14:paraId="1B6BA977" w14:textId="77777777" w:rsidR="00842D3D" w:rsidRPr="00842D3D" w:rsidRDefault="00842D3D" w:rsidP="00842D3D">
      <w:pPr>
        <w:autoSpaceDE w:val="0"/>
        <w:autoSpaceDN w:val="0"/>
        <w:adjustRightInd w:val="0"/>
        <w:rPr>
          <w:rFonts w:eastAsia="Calibri" w:cs="Times New Roman"/>
          <w:szCs w:val="24"/>
        </w:rPr>
      </w:pPr>
    </w:p>
    <w:p w14:paraId="0C51013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that the defendant [</w:t>
      </w:r>
      <w:r w:rsidRPr="00842D3D">
        <w:rPr>
          <w:rFonts w:eastAsia="Calibri" w:cs="Times New Roman"/>
          <w:i/>
          <w:iCs/>
          <w:szCs w:val="24"/>
          <w:u w:val="single"/>
        </w:rPr>
        <w:t>name</w:t>
      </w:r>
      <w:r w:rsidRPr="00842D3D">
        <w:rPr>
          <w:rFonts w:eastAsia="Calibri" w:cs="Times New Roman"/>
          <w:szCs w:val="24"/>
        </w:rPr>
        <w:t>]’s conduct substantially interfered with the plaintiff [</w:t>
      </w:r>
      <w:r w:rsidRPr="00842D3D">
        <w:rPr>
          <w:rFonts w:eastAsia="Calibri" w:cs="Times New Roman"/>
          <w:i/>
          <w:iCs/>
          <w:szCs w:val="24"/>
          <w:u w:val="single"/>
        </w:rPr>
        <w:t>name</w:t>
      </w:r>
      <w:r w:rsidRPr="00842D3D">
        <w:rPr>
          <w:rFonts w:eastAsia="Calibri" w:cs="Times New Roman"/>
          <w:szCs w:val="24"/>
        </w:rPr>
        <w:t>]’s witness;</w:t>
      </w:r>
    </w:p>
    <w:p w14:paraId="1AA768CE" w14:textId="77777777" w:rsidR="00842D3D" w:rsidRPr="00842D3D" w:rsidRDefault="00842D3D" w:rsidP="00842D3D">
      <w:pPr>
        <w:autoSpaceDE w:val="0"/>
        <w:autoSpaceDN w:val="0"/>
        <w:adjustRightInd w:val="0"/>
        <w:ind w:left="1440" w:hanging="720"/>
        <w:rPr>
          <w:rFonts w:eastAsia="Calibri" w:cs="Times New Roman"/>
          <w:szCs w:val="24"/>
        </w:rPr>
      </w:pPr>
    </w:p>
    <w:p w14:paraId="236C5C90"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Second, that the defendant [</w:t>
      </w:r>
      <w:r w:rsidRPr="00842D3D">
        <w:rPr>
          <w:rFonts w:eastAsia="Calibri" w:cs="Times New Roman"/>
          <w:i/>
          <w:iCs/>
          <w:szCs w:val="24"/>
          <w:u w:val="single"/>
        </w:rPr>
        <w:t>name</w:t>
      </w:r>
      <w:r w:rsidRPr="00842D3D">
        <w:rPr>
          <w:rFonts w:eastAsia="Calibri" w:cs="Times New Roman"/>
          <w:szCs w:val="24"/>
        </w:rPr>
        <w:t>]’s conduct caused the witness not to testify; and</w:t>
      </w:r>
    </w:p>
    <w:p w14:paraId="0F27BCDC" w14:textId="77777777" w:rsidR="00842D3D" w:rsidRPr="00842D3D" w:rsidRDefault="00842D3D" w:rsidP="00842D3D">
      <w:pPr>
        <w:autoSpaceDE w:val="0"/>
        <w:autoSpaceDN w:val="0"/>
        <w:adjustRightInd w:val="0"/>
        <w:ind w:left="1440" w:hanging="720"/>
        <w:rPr>
          <w:rFonts w:eastAsia="Calibri" w:cs="Times New Roman"/>
          <w:szCs w:val="24"/>
        </w:rPr>
      </w:pPr>
    </w:p>
    <w:p w14:paraId="0284EE69"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Third, that the witness’ testimony would have been favorable and material.</w:t>
      </w:r>
    </w:p>
    <w:p w14:paraId="40BAE53F" w14:textId="77777777" w:rsidR="00842D3D" w:rsidRPr="00842D3D" w:rsidRDefault="00842D3D" w:rsidP="00842D3D">
      <w:pPr>
        <w:autoSpaceDE w:val="0"/>
        <w:autoSpaceDN w:val="0"/>
        <w:adjustRightInd w:val="0"/>
        <w:rPr>
          <w:rFonts w:eastAsia="Calibri" w:cs="Times New Roman"/>
          <w:szCs w:val="24"/>
        </w:rPr>
      </w:pPr>
    </w:p>
    <w:p w14:paraId="5CF977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Testimony is material if it would have been sufficient to cast doubt on the government’s case. </w:t>
      </w:r>
    </w:p>
    <w:p w14:paraId="695A3F43" w14:textId="77777777" w:rsidR="00842D3D" w:rsidRPr="00842D3D" w:rsidRDefault="00842D3D" w:rsidP="00842D3D">
      <w:pPr>
        <w:autoSpaceDE w:val="0"/>
        <w:autoSpaceDN w:val="0"/>
        <w:adjustRightInd w:val="0"/>
        <w:rPr>
          <w:rFonts w:eastAsia="Calibri" w:cs="Times New Roman"/>
          <w:szCs w:val="24"/>
        </w:rPr>
      </w:pPr>
    </w:p>
    <w:p w14:paraId="4639D6F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[Testimony could have been material to the plaintiff [</w:t>
      </w:r>
      <w:r w:rsidRPr="00842D3D">
        <w:rPr>
          <w:rFonts w:eastAsia="Calibri" w:cs="Times New Roman"/>
          <w:i/>
          <w:iCs/>
          <w:szCs w:val="24"/>
          <w:u w:val="single"/>
        </w:rPr>
        <w:t>name</w:t>
      </w:r>
      <w:r w:rsidRPr="00842D3D">
        <w:rPr>
          <w:rFonts w:eastAsia="Calibri" w:cs="Times New Roman"/>
          <w:szCs w:val="24"/>
        </w:rPr>
        <w:t>]’s trial even if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not convicted.]</w:t>
      </w:r>
    </w:p>
    <w:p w14:paraId="33F98619" w14:textId="77777777" w:rsidR="00842D3D" w:rsidRPr="00842D3D" w:rsidRDefault="00842D3D" w:rsidP="00842D3D">
      <w:pPr>
        <w:autoSpaceDE w:val="0"/>
        <w:autoSpaceDN w:val="0"/>
        <w:adjustRightInd w:val="0"/>
        <w:jc w:val="center"/>
        <w:rPr>
          <w:rFonts w:eastAsia="Calibri" w:cs="Times New Roman"/>
          <w:szCs w:val="24"/>
        </w:rPr>
      </w:pPr>
    </w:p>
    <w:p w14:paraId="069A2CE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3BA2A48" w14:textId="77777777" w:rsidR="00842D3D" w:rsidRPr="00842D3D" w:rsidRDefault="00842D3D" w:rsidP="00842D3D">
      <w:pPr>
        <w:autoSpaceDE w:val="0"/>
        <w:autoSpaceDN w:val="0"/>
        <w:adjustRightInd w:val="0"/>
        <w:jc w:val="center"/>
        <w:rPr>
          <w:rFonts w:eastAsia="Calibri" w:cs="Times New Roman"/>
          <w:szCs w:val="24"/>
        </w:rPr>
      </w:pPr>
    </w:p>
    <w:p w14:paraId="77F4F01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is based on </w:t>
      </w:r>
      <w:r w:rsidRPr="00842D3D">
        <w:rPr>
          <w:rFonts w:eastAsia="Calibri" w:cs="Times New Roman"/>
          <w:i/>
          <w:szCs w:val="24"/>
        </w:rPr>
        <w:t>Park v. Thompson</w:t>
      </w:r>
      <w:r w:rsidRPr="00842D3D">
        <w:rPr>
          <w:rFonts w:eastAsia="Calibri" w:cs="Times New Roman"/>
          <w:szCs w:val="24"/>
        </w:rPr>
        <w:t xml:space="preserve">, 851 F.3d 910 (9th Cir. 2017). As discussed in </w:t>
      </w:r>
      <w:r w:rsidRPr="00842D3D">
        <w:rPr>
          <w:rFonts w:eastAsia="Calibri" w:cs="Times New Roman"/>
          <w:i/>
          <w:szCs w:val="24"/>
        </w:rPr>
        <w:t>Park</w:t>
      </w:r>
      <w:r w:rsidRPr="00842D3D">
        <w:rPr>
          <w:rFonts w:eastAsia="Calibri" w:cs="Times New Roman"/>
          <w:szCs w:val="24"/>
        </w:rPr>
        <w:t xml:space="preserve">, the Ninth Circuit has not yet decided what the appropriate standard is to satisfy the causation element of this claim. </w:t>
      </w:r>
      <w:r w:rsidRPr="00842D3D">
        <w:rPr>
          <w:rFonts w:eastAsia="Calibri" w:cs="Times New Roman"/>
          <w:i/>
          <w:szCs w:val="24"/>
        </w:rPr>
        <w:t xml:space="preserve">See id. </w:t>
      </w:r>
      <w:r w:rsidRPr="00842D3D">
        <w:rPr>
          <w:rFonts w:eastAsia="Calibri"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0AAC47DA" w14:textId="77777777" w:rsidR="00842D3D" w:rsidRPr="00842D3D" w:rsidRDefault="00842D3D" w:rsidP="00842D3D">
      <w:pPr>
        <w:autoSpaceDE w:val="0"/>
        <w:autoSpaceDN w:val="0"/>
        <w:adjustRightInd w:val="0"/>
        <w:rPr>
          <w:rFonts w:eastAsia="Calibri" w:cs="Times New Roman"/>
          <w:szCs w:val="24"/>
        </w:rPr>
      </w:pPr>
    </w:p>
    <w:p w14:paraId="0E4D3C68"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44131CD3" w14:textId="77777777" w:rsidR="00842D3D" w:rsidRPr="00842D3D" w:rsidRDefault="00842D3D" w:rsidP="00842D3D">
      <w:pPr>
        <w:jc w:val="right"/>
        <w:rPr>
          <w:rFonts w:eastAsia="Calibri" w:cs="Times New Roman"/>
          <w:i/>
          <w:iCs/>
          <w:szCs w:val="24"/>
        </w:rPr>
      </w:pPr>
    </w:p>
    <w:p w14:paraId="2C45A997"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787BEA8" w14:textId="08D45D22" w:rsidR="00842D3D" w:rsidRPr="00842D3D" w:rsidRDefault="00842D3D" w:rsidP="00FF121D">
      <w:pPr>
        <w:pStyle w:val="Heading2"/>
      </w:pPr>
      <w:r w:rsidRPr="00842D3D">
        <w:br w:type="page"/>
      </w:r>
      <w:bookmarkStart w:id="180" w:name="_Toc221525193"/>
      <w:r w:rsidRPr="00842D3D">
        <w:lastRenderedPageBreak/>
        <w:t>9.2</w:t>
      </w:r>
      <w:r w:rsidR="005F1850">
        <w:t>9</w:t>
      </w:r>
      <w:r w:rsidRPr="00842D3D">
        <w:t xml:space="preserve"> Particular Rights—Eighth Amendment—Convicted </w:t>
      </w:r>
      <w:r w:rsidRPr="00842D3D">
        <w:br/>
        <w:t>Prisoner’s Claim of Excessive Force</w:t>
      </w:r>
      <w:bookmarkEnd w:id="180"/>
    </w:p>
    <w:p w14:paraId="7DA9DA5D"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 xml:space="preserve"> </w:t>
      </w:r>
    </w:p>
    <w:p w14:paraId="782B2FD9" w14:textId="77777777" w:rsidR="00842D3D" w:rsidRPr="00842D3D" w:rsidRDefault="00842D3D" w:rsidP="00842D3D">
      <w:pPr>
        <w:autoSpaceDE w:val="0"/>
        <w:autoSpaceDN w:val="0"/>
        <w:adjustRightInd w:val="0"/>
        <w:ind w:firstLine="720"/>
        <w:rPr>
          <w:rFonts w:eastAsia="Calibri" w:cs="Times New Roman"/>
          <w:b/>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2BD780A9" w14:textId="77777777" w:rsidR="00842D3D" w:rsidRPr="00842D3D" w:rsidRDefault="00842D3D" w:rsidP="00842D3D">
      <w:pPr>
        <w:autoSpaceDE w:val="0"/>
        <w:autoSpaceDN w:val="0"/>
        <w:adjustRightInd w:val="0"/>
        <w:rPr>
          <w:rFonts w:eastAsia="Calibri" w:cs="Times New Roman"/>
          <w:szCs w:val="24"/>
        </w:rPr>
      </w:pPr>
    </w:p>
    <w:p w14:paraId="056F8B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establish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234262ED" w14:textId="77777777" w:rsidR="00842D3D" w:rsidRPr="00842D3D" w:rsidRDefault="00842D3D" w:rsidP="00842D3D">
      <w:pPr>
        <w:autoSpaceDE w:val="0"/>
        <w:autoSpaceDN w:val="0"/>
        <w:adjustRightInd w:val="0"/>
        <w:rPr>
          <w:rFonts w:eastAsia="Calibri" w:cs="Times New Roman"/>
          <w:szCs w:val="24"/>
        </w:rPr>
      </w:pPr>
    </w:p>
    <w:p w14:paraId="44D9E667"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used excessive and unnecessary force under all of the circumstances; </w:t>
      </w:r>
    </w:p>
    <w:p w14:paraId="7668E21E"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30B79DE6"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maliciously and sadistically for the purpose of causing harm, and not in a good faith effort to maintain or restore discipline; and</w:t>
      </w:r>
    </w:p>
    <w:p w14:paraId="0F3143EB"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70074D29"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6327FFF9" w14:textId="77777777" w:rsidR="00842D3D" w:rsidRPr="00842D3D" w:rsidRDefault="00842D3D" w:rsidP="00842D3D">
      <w:pPr>
        <w:autoSpaceDE w:val="0"/>
        <w:autoSpaceDN w:val="0"/>
        <w:adjustRightInd w:val="0"/>
        <w:rPr>
          <w:rFonts w:eastAsia="Calibri" w:cs="Times New Roman"/>
          <w:szCs w:val="24"/>
        </w:rPr>
      </w:pPr>
    </w:p>
    <w:p w14:paraId="1093EAD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these three elements have been met in this case, consider the following factors:</w:t>
      </w:r>
    </w:p>
    <w:p w14:paraId="15A43B54" w14:textId="77777777" w:rsidR="00842D3D" w:rsidRPr="00842D3D" w:rsidRDefault="00842D3D" w:rsidP="00842D3D">
      <w:pPr>
        <w:autoSpaceDE w:val="0"/>
        <w:autoSpaceDN w:val="0"/>
        <w:adjustRightInd w:val="0"/>
        <w:rPr>
          <w:rFonts w:eastAsia="Calibri" w:cs="Times New Roman"/>
          <w:szCs w:val="24"/>
        </w:rPr>
      </w:pPr>
    </w:p>
    <w:p w14:paraId="5884D27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the extent of the injury suffered; </w:t>
      </w:r>
    </w:p>
    <w:p w14:paraId="7A8B0DF9" w14:textId="77777777" w:rsidR="00842D3D" w:rsidRPr="00842D3D" w:rsidRDefault="00842D3D" w:rsidP="00842D3D">
      <w:pPr>
        <w:autoSpaceDE w:val="0"/>
        <w:autoSpaceDN w:val="0"/>
        <w:adjustRightInd w:val="0"/>
        <w:rPr>
          <w:rFonts w:eastAsia="Calibri" w:cs="Times New Roman"/>
          <w:szCs w:val="24"/>
        </w:rPr>
      </w:pPr>
    </w:p>
    <w:p w14:paraId="43A3F52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 xml:space="preserve">the need to use force; </w:t>
      </w:r>
    </w:p>
    <w:p w14:paraId="03FFCD95" w14:textId="77777777" w:rsidR="00842D3D" w:rsidRPr="00842D3D" w:rsidRDefault="00842D3D" w:rsidP="00842D3D">
      <w:pPr>
        <w:autoSpaceDE w:val="0"/>
        <w:autoSpaceDN w:val="0"/>
        <w:adjustRightInd w:val="0"/>
        <w:rPr>
          <w:rFonts w:eastAsia="Calibri" w:cs="Times New Roman"/>
          <w:szCs w:val="24"/>
        </w:rPr>
      </w:pPr>
    </w:p>
    <w:p w14:paraId="077E716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 xml:space="preserve">the relationship between the need to use force and the amount of force used; </w:t>
      </w:r>
    </w:p>
    <w:p w14:paraId="18D1063C" w14:textId="77777777" w:rsidR="00842D3D" w:rsidRPr="00842D3D" w:rsidRDefault="00842D3D" w:rsidP="00842D3D">
      <w:pPr>
        <w:autoSpaceDE w:val="0"/>
        <w:autoSpaceDN w:val="0"/>
        <w:adjustRightInd w:val="0"/>
        <w:rPr>
          <w:rFonts w:eastAsia="Calibri" w:cs="Times New Roman"/>
          <w:szCs w:val="24"/>
        </w:rPr>
      </w:pPr>
    </w:p>
    <w:p w14:paraId="25E8FDC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(4)</w:t>
      </w:r>
      <w:r w:rsidRPr="00842D3D">
        <w:rPr>
          <w:rFonts w:eastAsia="Calibri" w:cs="Times New Roman"/>
          <w:szCs w:val="24"/>
        </w:rPr>
        <w:tab/>
        <w:t>any threat reasonably perceived by the defendant; and</w:t>
      </w:r>
    </w:p>
    <w:p w14:paraId="765C3D77" w14:textId="77777777" w:rsidR="00842D3D" w:rsidRPr="00842D3D" w:rsidRDefault="00842D3D" w:rsidP="00842D3D">
      <w:pPr>
        <w:autoSpaceDE w:val="0"/>
        <w:autoSpaceDN w:val="0"/>
        <w:adjustRightInd w:val="0"/>
        <w:rPr>
          <w:rFonts w:eastAsia="Calibri" w:cs="Times New Roman"/>
          <w:szCs w:val="24"/>
        </w:rPr>
      </w:pPr>
    </w:p>
    <w:p w14:paraId="13FA82AD" w14:textId="77777777" w:rsidR="00021D2C" w:rsidRDefault="00842D3D" w:rsidP="00021D2C">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(5)</w:t>
      </w:r>
      <w:r w:rsidRPr="00842D3D">
        <w:rPr>
          <w:rFonts w:eastAsia="Calibri" w:cs="Times New Roman"/>
          <w:szCs w:val="24"/>
        </w:rPr>
        <w:tab/>
        <w:t xml:space="preserve">any efforts made to temper the severity of a forceful response, such as, if feasible, </w:t>
      </w:r>
    </w:p>
    <w:p w14:paraId="4BAEE256" w14:textId="6A7B3704" w:rsidR="00842D3D" w:rsidRPr="00842D3D" w:rsidRDefault="00842D3D" w:rsidP="00021D2C">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providing a prior warning or giving an order to comply.</w:t>
      </w:r>
    </w:p>
    <w:p w14:paraId="0F2DCA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6ABE2806"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1C126FBC" w14:textId="77777777" w:rsidR="00842D3D" w:rsidRPr="00842D3D" w:rsidRDefault="00842D3D" w:rsidP="00842D3D">
      <w:pPr>
        <w:autoSpaceDE w:val="0"/>
        <w:autoSpaceDN w:val="0"/>
        <w:adjustRightInd w:val="0"/>
        <w:rPr>
          <w:rFonts w:eastAsia="Calibri" w:cs="Times New Roman"/>
          <w:b/>
          <w:szCs w:val="24"/>
        </w:rPr>
      </w:pPr>
    </w:p>
    <w:p w14:paraId="0A5534F3" w14:textId="2A7302C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convicted prisoner. For claims of sexual assault when the plaintiff is a convicted prisoner, use Instruction 9.</w:t>
      </w:r>
      <w:r w:rsidR="00047AF1">
        <w:rPr>
          <w:rFonts w:eastAsia="Calibri" w:cs="Times New Roman"/>
          <w:szCs w:val="24"/>
        </w:rPr>
        <w:t>30</w:t>
      </w:r>
      <w:r w:rsidRPr="00842D3D">
        <w:rPr>
          <w:rFonts w:eastAsia="Calibri" w:cs="Times New Roman"/>
          <w:szCs w:val="24"/>
        </w:rPr>
        <w:t xml:space="preserve"> (Particular Rights—Eighth Amendment—Convicted Prisoner’s Claim of Sexual Assault). When the plaintiff is a pretrial detainee, see Instruction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When the plaintiff is not in custody, use Instruction 9.2</w:t>
      </w:r>
      <w:r w:rsidR="00047AF1">
        <w:rPr>
          <w:rFonts w:eastAsia="Calibri" w:cs="Times New Roman"/>
          <w:szCs w:val="24"/>
        </w:rPr>
        <w:t>7</w:t>
      </w:r>
      <w:r w:rsidRPr="00842D3D">
        <w:rPr>
          <w:rFonts w:eastAsia="Calibri" w:cs="Times New Roman"/>
          <w:szCs w:val="24"/>
        </w:rPr>
        <w:t xml:space="preserve"> (Particular Rights—Fourth Amendment—Unreasonable Seizure of Person—Excessive Force). When the </w:t>
      </w:r>
      <w:r w:rsidRPr="00842D3D">
        <w:rPr>
          <w:rFonts w:eastAsia="Calibri" w:cs="Times New Roman"/>
          <w:szCs w:val="24"/>
        </w:rPr>
        <w:lastRenderedPageBreak/>
        <w:t>prisoner claims unconstitutional conditions of confinement, including inadequate medical care, use Instruction 9.</w:t>
      </w:r>
      <w:r w:rsidR="00047AF1">
        <w:rPr>
          <w:rFonts w:eastAsia="Calibri" w:cs="Times New Roman"/>
          <w:szCs w:val="24"/>
        </w:rPr>
        <w:t>31</w:t>
      </w:r>
      <w:r w:rsidRPr="00842D3D">
        <w:rPr>
          <w:rFonts w:eastAsia="Calibri" w:cs="Times New Roman"/>
          <w:szCs w:val="24"/>
        </w:rPr>
        <w:t xml:space="preserve"> (Particular Rights—Eighth Amendment—Convicted Prisoner’s Claim re Conditions of Confinement/Medical Care), which sets out the applicable deliberate indifference standard.</w:t>
      </w:r>
    </w:p>
    <w:p w14:paraId="01DD03DB" w14:textId="77777777" w:rsidR="00842D3D" w:rsidRPr="00842D3D" w:rsidRDefault="00842D3D" w:rsidP="00842D3D">
      <w:pPr>
        <w:autoSpaceDE w:val="0"/>
        <w:autoSpaceDN w:val="0"/>
        <w:adjustRightInd w:val="0"/>
        <w:rPr>
          <w:rFonts w:eastAsia="Calibri" w:cs="Times New Roman"/>
          <w:szCs w:val="24"/>
        </w:rPr>
      </w:pPr>
    </w:p>
    <w:p w14:paraId="16E9972B"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1A58FF5A" w14:textId="77777777" w:rsidR="00842D3D" w:rsidRPr="00842D3D" w:rsidRDefault="00842D3D" w:rsidP="00842D3D">
      <w:pPr>
        <w:autoSpaceDE w:val="0"/>
        <w:autoSpaceDN w:val="0"/>
        <w:adjustRightInd w:val="0"/>
        <w:rPr>
          <w:rFonts w:eastAsia="Calibri" w:cs="Times New Roman"/>
          <w:b/>
          <w:szCs w:val="24"/>
        </w:rPr>
      </w:pPr>
    </w:p>
    <w:p w14:paraId="6348E90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prohibits cruel and unusual punishment in penal institutions. </w:t>
      </w:r>
      <w:r w:rsidRPr="00842D3D">
        <w:rPr>
          <w:rFonts w:eastAsia="Calibri" w:cs="Times New Roman"/>
          <w:i/>
          <w:szCs w:val="24"/>
        </w:rPr>
        <w:t>Wood v. Beauclair</w:t>
      </w:r>
      <w:r w:rsidRPr="00842D3D">
        <w:rPr>
          <w:rFonts w:eastAsia="Calibri" w:cs="Times New Roman"/>
          <w:szCs w:val="24"/>
        </w:rPr>
        <w:t xml:space="preserve">, 692 F.3d 1041,1045 (9th Cir. 2012). “[U]nnecessary and wanton infliction of pain . . . constitutes cruel and unusual punishment forbidden by the Eighth Amendment.” </w:t>
      </w:r>
      <w:r w:rsidRPr="00842D3D">
        <w:rPr>
          <w:rFonts w:eastAsia="Calibri" w:cs="Times New Roman"/>
          <w:i/>
          <w:szCs w:val="24"/>
        </w:rPr>
        <w:t>Bearchild v. Cobban</w:t>
      </w:r>
      <w:r w:rsidRPr="00842D3D">
        <w:rPr>
          <w:rFonts w:eastAsia="Calibri" w:cs="Times New Roman"/>
          <w:szCs w:val="24"/>
        </w:rPr>
        <w:t xml:space="preserve">, 947 F.3d 1130, 1140 (9th Cir. 2020) (quoting </w:t>
      </w:r>
      <w:r w:rsidRPr="00842D3D">
        <w:rPr>
          <w:rFonts w:eastAsia="Calibri" w:cs="Times New Roman"/>
          <w:i/>
          <w:szCs w:val="24"/>
        </w:rPr>
        <w:t>Hudson v. McMillian</w:t>
      </w:r>
      <w:r w:rsidRPr="00842D3D">
        <w:rPr>
          <w:rFonts w:eastAsia="Calibri" w:cs="Times New Roman"/>
          <w:szCs w:val="24"/>
        </w:rPr>
        <w:t xml:space="preserve">, 503 U.S. 1, 5 (1992)). The focus of this inquiry is therefore not on officer intent, but on the lack of any penological justification for harming the inmate. </w:t>
      </w:r>
      <w:r w:rsidRPr="00842D3D">
        <w:rPr>
          <w:rFonts w:eastAsia="Calibri" w:cs="Times New Roman"/>
          <w:i/>
          <w:szCs w:val="24"/>
        </w:rPr>
        <w:t>Hoard v. Hartman</w:t>
      </w:r>
      <w:r w:rsidRPr="00842D3D">
        <w:rPr>
          <w:rFonts w:eastAsia="Calibri" w:cs="Times New Roman"/>
          <w:szCs w:val="24"/>
        </w:rPr>
        <w:t xml:space="preserve">, 904 F.3d 780, 787 (9th Cir. 2018). “Whether a particular event or condition in fact constitutes ‘cruel and unusual punishment’ is gauged against ‘the evolving standards of decency that mark the progress of a maturing society.’” </w:t>
      </w:r>
      <w:r w:rsidRPr="00842D3D">
        <w:rPr>
          <w:rFonts w:eastAsia="Calibri" w:cs="Times New Roman"/>
          <w:i/>
          <w:szCs w:val="24"/>
        </w:rPr>
        <w:t>Schwenk v. Hartford</w:t>
      </w:r>
      <w:r w:rsidRPr="00842D3D">
        <w:rPr>
          <w:rFonts w:eastAsia="Calibri" w:cs="Times New Roman"/>
          <w:szCs w:val="24"/>
        </w:rPr>
        <w:t xml:space="preserve">, 204 F.3d 1187, 1196 (9th Cir. 2000) (quoting </w:t>
      </w:r>
      <w:r w:rsidRPr="00842D3D">
        <w:rPr>
          <w:rFonts w:eastAsia="Calibri" w:cs="Times New Roman"/>
          <w:i/>
          <w:szCs w:val="24"/>
        </w:rPr>
        <w:t>Hudson</w:t>
      </w:r>
      <w:r w:rsidRPr="00842D3D">
        <w:rPr>
          <w:rFonts w:eastAsia="Calibri" w:cs="Times New Roman"/>
          <w:szCs w:val="24"/>
        </w:rPr>
        <w:t xml:space="preserve">, 503 U.S. at 8. </w:t>
      </w:r>
    </w:p>
    <w:p w14:paraId="7F216AE4" w14:textId="77777777" w:rsidR="00842D3D" w:rsidRPr="00842D3D" w:rsidRDefault="00842D3D" w:rsidP="00842D3D">
      <w:pPr>
        <w:autoSpaceDE w:val="0"/>
        <w:autoSpaceDN w:val="0"/>
        <w:adjustRightInd w:val="0"/>
        <w:rPr>
          <w:rFonts w:eastAsia="Calibri" w:cs="Times New Roman"/>
          <w:szCs w:val="24"/>
        </w:rPr>
      </w:pPr>
    </w:p>
    <w:p w14:paraId="400E9E7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excessive force cases, the relevant inquiry is “whether force was applied in a good-faith effort to maintain or restore discipline, or maliciously and sadistically to cause harm.” </w:t>
      </w:r>
      <w:r w:rsidRPr="00842D3D">
        <w:rPr>
          <w:rFonts w:eastAsia="Calibri" w:cs="Times New Roman"/>
          <w:i/>
          <w:szCs w:val="24"/>
        </w:rPr>
        <w:t>Hughes v. Rodriguez</w:t>
      </w:r>
      <w:r w:rsidRPr="00842D3D">
        <w:rPr>
          <w:rFonts w:eastAsia="Calibri" w:cs="Times New Roman"/>
          <w:szCs w:val="24"/>
        </w:rPr>
        <w:t xml:space="preserve">, 31 F.4th 1211, 1221 (9th Cir. 2022) (quoting </w:t>
      </w:r>
      <w:r w:rsidRPr="00842D3D">
        <w:rPr>
          <w:rFonts w:eastAsia="Calibri" w:cs="Times New Roman"/>
          <w:i/>
          <w:szCs w:val="24"/>
        </w:rPr>
        <w:t>Hudson</w:t>
      </w:r>
      <w:r w:rsidRPr="00842D3D">
        <w:rPr>
          <w:rFonts w:eastAsia="Calibri" w:cs="Times New Roman"/>
          <w:szCs w:val="24"/>
        </w:rPr>
        <w:t xml:space="preserve">, 503 U.S. at 7). The Ninth Circuit applies a five factor test as set forth in </w:t>
      </w:r>
      <w:r w:rsidRPr="00842D3D">
        <w:rPr>
          <w:rFonts w:eastAsia="Calibri" w:cs="Times New Roman"/>
          <w:i/>
          <w:szCs w:val="24"/>
        </w:rPr>
        <w:t>Hudson</w:t>
      </w:r>
      <w:r w:rsidRPr="00842D3D">
        <w:rPr>
          <w:rFonts w:eastAsia="Calibri" w:cs="Times New Roman"/>
          <w:szCs w:val="24"/>
        </w:rPr>
        <w:t xml:space="preserve">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842D3D">
        <w:rPr>
          <w:rFonts w:eastAsia="Calibri" w:cs="Times New Roman"/>
          <w:i/>
          <w:szCs w:val="24"/>
        </w:rPr>
        <w:t xml:space="preserve">Hughes, </w:t>
      </w:r>
      <w:r w:rsidRPr="00842D3D">
        <w:rPr>
          <w:rFonts w:eastAsia="Calibri" w:cs="Times New Roman"/>
          <w:szCs w:val="24"/>
        </w:rPr>
        <w:t xml:space="preserve">31 F.4th at 1221;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Furnace v. Sullivan</w:t>
      </w:r>
      <w:r w:rsidRPr="00842D3D">
        <w:rPr>
          <w:rFonts w:eastAsia="Calibri" w:cs="Times New Roman"/>
          <w:szCs w:val="24"/>
        </w:rPr>
        <w:t>, 705 F.3d 1021, 1029 (9th</w:t>
      </w:r>
      <w:r w:rsidRPr="00842D3D">
        <w:rPr>
          <w:rFonts w:eastAsia="Calibri" w:cs="Times New Roman"/>
          <w:szCs w:val="24"/>
          <w:vertAlign w:val="superscript"/>
        </w:rPr>
        <w:t xml:space="preserve"> </w:t>
      </w:r>
      <w:r w:rsidRPr="00842D3D">
        <w:rPr>
          <w:rFonts w:eastAsia="Calibri" w:cs="Times New Roman"/>
          <w:szCs w:val="24"/>
        </w:rPr>
        <w:t xml:space="preserve">Cir. 2013) (“Officers cannot justify force as necessary for gaining inmate compliance when inmates have been given no order with which to comply.”). </w:t>
      </w:r>
    </w:p>
    <w:p w14:paraId="0BE336BF" w14:textId="77777777" w:rsidR="00842D3D" w:rsidRPr="00842D3D" w:rsidRDefault="00842D3D" w:rsidP="00842D3D">
      <w:pPr>
        <w:autoSpaceDE w:val="0"/>
        <w:autoSpaceDN w:val="0"/>
        <w:adjustRightInd w:val="0"/>
        <w:rPr>
          <w:rFonts w:eastAsia="Calibri" w:cs="Times New Roman"/>
          <w:szCs w:val="24"/>
        </w:rPr>
      </w:pPr>
    </w:p>
    <w:p w14:paraId="26B7F13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“malicious and sadistic” standard applies when prison guards “use force to keep order . . . [w]hether the prison disturbance is a riot or a lesser disruption[.]” </w:t>
      </w:r>
      <w:r w:rsidRPr="00842D3D">
        <w:rPr>
          <w:rFonts w:eastAsia="Calibri" w:cs="Times New Roman"/>
          <w:i/>
          <w:szCs w:val="24"/>
        </w:rPr>
        <w:t>Hudson</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503 U.S. at 6 (citing </w:t>
      </w:r>
      <w:r w:rsidRPr="00842D3D">
        <w:rPr>
          <w:rFonts w:eastAsia="Calibri" w:cs="Times New Roman"/>
          <w:i/>
          <w:szCs w:val="24"/>
        </w:rPr>
        <w:t>Whitley v. Albers</w:t>
      </w:r>
      <w:r w:rsidRPr="00842D3D">
        <w:rPr>
          <w:rFonts w:eastAsia="Calibri" w:cs="Times New Roman"/>
          <w:szCs w:val="24"/>
        </w:rPr>
        <w:t>, 475 U.S. 312, 321-22 (1986));</w:t>
      </w:r>
      <w:r w:rsidRPr="00842D3D">
        <w:rPr>
          <w:rFonts w:eastAsia="Calibri" w:cs="Times New Roman"/>
          <w:i/>
          <w:szCs w:val="24"/>
        </w:rPr>
        <w:t xml:space="preserve"> see also</w:t>
      </w:r>
      <w:r w:rsidRPr="00842D3D">
        <w:rPr>
          <w:rFonts w:eastAsia="Calibri" w:cs="Times New Roman"/>
          <w:szCs w:val="24"/>
        </w:rPr>
        <w:t xml:space="preserve"> </w:t>
      </w:r>
      <w:r w:rsidRPr="00842D3D">
        <w:rPr>
          <w:rFonts w:eastAsia="Calibri" w:cs="Times New Roman"/>
          <w:i/>
          <w:szCs w:val="24"/>
        </w:rPr>
        <w:t>LeMaire v. Maass</w:t>
      </w:r>
      <w:r w:rsidRPr="00842D3D">
        <w:rPr>
          <w:rFonts w:eastAsia="Calibri" w:cs="Times New Roman"/>
          <w:szCs w:val="24"/>
        </w:rPr>
        <w:t xml:space="preserve">,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w:t>
      </w:r>
      <w:r w:rsidRPr="00842D3D">
        <w:rPr>
          <w:rFonts w:eastAsia="Calibri" w:cs="Times New Roman"/>
          <w:szCs w:val="24"/>
        </w:rPr>
        <w:lastRenderedPageBreak/>
        <w:t xml:space="preserve">disciplinary segregation); </w:t>
      </w:r>
      <w:r w:rsidRPr="00842D3D">
        <w:rPr>
          <w:rFonts w:eastAsia="Calibri" w:cs="Times New Roman"/>
          <w:i/>
          <w:szCs w:val="24"/>
        </w:rPr>
        <w:t>Jordan v. Gardner</w:t>
      </w:r>
      <w:r w:rsidRPr="00842D3D">
        <w:rPr>
          <w:rFonts w:eastAsia="Calibri" w:cs="Times New Roman"/>
          <w:szCs w:val="24"/>
        </w:rPr>
        <w:t xml:space="preserve">, 986 F.2d 1521, 1528 (9th Cir. 1993) (en banc) (noting that a “greater showing” than deliberate indifference is required “in the context of a prison-wide disturbance or an individual confrontation between an officer and prisoner,” when “corrections officers often must act immediately and emphatically to defuse a potentially explosive situation”). Although </w:t>
      </w:r>
      <w:r w:rsidRPr="00842D3D">
        <w:rPr>
          <w:rFonts w:eastAsia="Calibri" w:cs="Times New Roman"/>
          <w:i/>
          <w:szCs w:val="24"/>
        </w:rPr>
        <w:t>de minimis</w:t>
      </w:r>
      <w:r w:rsidRPr="00842D3D">
        <w:rPr>
          <w:rFonts w:eastAsia="Calibri" w:cs="Times New Roman"/>
          <w:szCs w:val="24"/>
        </w:rPr>
        <w:t xml:space="preserve"> use of physical force is insufficient to prove an Eighth Amendment violation, </w:t>
      </w:r>
      <w:r w:rsidRPr="00842D3D">
        <w:rPr>
          <w:rFonts w:eastAsia="Calibri" w:cs="Times New Roman"/>
          <w:i/>
          <w:szCs w:val="24"/>
        </w:rPr>
        <w:t>Hudson</w:t>
      </w:r>
      <w:r w:rsidRPr="00842D3D">
        <w:rPr>
          <w:rFonts w:eastAsia="Calibri" w:cs="Times New Roman"/>
          <w:szCs w:val="24"/>
        </w:rPr>
        <w:t xml:space="preserve">, 503 U.S. at 9-10, a prison guard’s use of force violates the Eighth Amendment when the guard acts maliciously for the purpose of causing harm whether or not significant injury is evident. </w:t>
      </w:r>
      <w:r w:rsidRPr="00842D3D">
        <w:rPr>
          <w:rFonts w:eastAsia="Calibri" w:cs="Times New Roman"/>
          <w:i/>
          <w:szCs w:val="24"/>
        </w:rPr>
        <w:t>See Wilkins v. Gaddy</w:t>
      </w:r>
      <w:r w:rsidRPr="00842D3D">
        <w:rPr>
          <w:rFonts w:eastAsia="Calibri" w:cs="Times New Roman"/>
          <w:szCs w:val="24"/>
        </w:rPr>
        <w:t xml:space="preserve">, 559 U.S. 34, 36-38 (2010) (“An inmate who is gratuitously beaten by guards does not </w:t>
      </w:r>
      <w:bookmarkStart w:id="181" w:name="sp_708_1179"/>
      <w:bookmarkStart w:id="182" w:name="SDU_1179"/>
      <w:bookmarkStart w:id="183" w:name="citeas_40__40_Cite_32_as_58__32_130_32_S"/>
      <w:bookmarkEnd w:id="181"/>
      <w:bookmarkEnd w:id="182"/>
      <w:bookmarkEnd w:id="183"/>
      <w:r w:rsidRPr="00842D3D">
        <w:rPr>
          <w:rFonts w:eastAsia="Calibri" w:cs="Times New Roman"/>
          <w:szCs w:val="24"/>
        </w:rPr>
        <w:t>lose his ability to pursue an excessive force claim merely because he has the good fortune to escape without serious injury.”).</w:t>
      </w:r>
    </w:p>
    <w:p w14:paraId="79AE7F4F" w14:textId="77777777" w:rsidR="00842D3D" w:rsidRPr="00842D3D" w:rsidRDefault="00842D3D" w:rsidP="00842D3D">
      <w:pPr>
        <w:rPr>
          <w:rFonts w:eastAsia="Calibri" w:cs="Times New Roman"/>
          <w:szCs w:val="24"/>
        </w:rPr>
      </w:pPr>
      <w:r w:rsidRPr="00842D3D">
        <w:rPr>
          <w:rFonts w:eastAsia="Calibri" w:cs="Times New Roman"/>
          <w:szCs w:val="24"/>
        </w:rPr>
        <w:t xml:space="preserve"> </w:t>
      </w:r>
      <w:r w:rsidRPr="00842D3D">
        <w:rPr>
          <w:rFonts w:eastAsia="Calibri" w:cs="Times New Roman"/>
          <w:szCs w:val="24"/>
        </w:rPr>
        <w:br/>
      </w:r>
      <w:r w:rsidRPr="00842D3D">
        <w:rPr>
          <w:rFonts w:eastAsia="Calibri" w:cs="Times New Roman"/>
          <w:szCs w:val="24"/>
        </w:rPr>
        <w:tab/>
      </w:r>
      <w:bookmarkStart w:id="184" w:name="_Hlk179269721"/>
      <w:bookmarkStart w:id="185" w:name="_Hlk179270167"/>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3656E4D9" w14:textId="77777777" w:rsidR="00842D3D" w:rsidRPr="00842D3D" w:rsidRDefault="00842D3D" w:rsidP="00842D3D">
      <w:pPr>
        <w:ind w:firstLine="720"/>
        <w:rPr>
          <w:rFonts w:eastAsia="Calibri" w:cs="Times New Roman"/>
          <w:szCs w:val="24"/>
        </w:rPr>
      </w:pPr>
    </w:p>
    <w:p w14:paraId="3E96291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21B2D2B6" w14:textId="77777777" w:rsidR="00842D3D" w:rsidRPr="00842D3D" w:rsidRDefault="00842D3D" w:rsidP="00842D3D">
      <w:pPr>
        <w:ind w:firstLine="720"/>
        <w:rPr>
          <w:rFonts w:eastAsia="Calibri" w:cs="Times New Roman"/>
          <w:szCs w:val="24"/>
        </w:rPr>
      </w:pPr>
    </w:p>
    <w:p w14:paraId="644A5FEA"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w:t>
      </w:r>
      <w:r w:rsidRPr="00842D3D">
        <w:rPr>
          <w:rFonts w:eastAsia="Calibri" w:cs="Times New Roman"/>
          <w:szCs w:val="24"/>
        </w:rPr>
        <w:lastRenderedPageBreak/>
        <w:t xml:space="preserve">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44E7F02" w14:textId="77777777" w:rsidR="00842D3D" w:rsidRPr="00842D3D" w:rsidRDefault="00842D3D" w:rsidP="00842D3D">
      <w:pPr>
        <w:rPr>
          <w:rFonts w:eastAsia="Calibri" w:cs="Times New Roman"/>
          <w:szCs w:val="24"/>
        </w:rPr>
      </w:pPr>
    </w:p>
    <w:p w14:paraId="226B31E4"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0565BA38" w14:textId="77777777" w:rsidR="00842D3D" w:rsidRPr="00842D3D" w:rsidRDefault="00842D3D" w:rsidP="00842D3D">
      <w:pPr>
        <w:rPr>
          <w:rFonts w:eastAsia="Calibri" w:cs="Times New Roman"/>
          <w:szCs w:val="24"/>
        </w:rPr>
      </w:pPr>
    </w:p>
    <w:p w14:paraId="2AA5A74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00EF35C" w14:textId="77777777" w:rsidR="00842D3D" w:rsidRPr="00842D3D" w:rsidRDefault="00842D3D" w:rsidP="00842D3D">
      <w:pPr>
        <w:rPr>
          <w:rFonts w:eastAsia="Calibri" w:cs="Times New Roman"/>
          <w:szCs w:val="24"/>
        </w:rPr>
      </w:pPr>
    </w:p>
    <w:p w14:paraId="489ADC79"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bookmarkEnd w:id="184"/>
    </w:p>
    <w:bookmarkEnd w:id="185"/>
    <w:p w14:paraId="7808F5CE" w14:textId="77777777" w:rsidR="00842D3D" w:rsidRPr="00842D3D" w:rsidRDefault="00842D3D" w:rsidP="00842D3D">
      <w:pPr>
        <w:rPr>
          <w:rFonts w:eastAsia="Calibri" w:cs="Times New Roman"/>
          <w:szCs w:val="24"/>
        </w:rPr>
      </w:pPr>
    </w:p>
    <w:p w14:paraId="0ACAD69A"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xml:space="preserve">, 108 F.4th 809, 828 (9th Cir. 2024) (approving instructing the jury on deference owed to jail’s security interests for pretrial detainee’s claims under the ADA and Rehabilitation Act: “consider a detention facility's </w:t>
      </w:r>
      <w:r w:rsidRPr="00842D3D">
        <w:rPr>
          <w:rFonts w:eastAsia="Times New Roman" w:cs="Times New Roman"/>
          <w:szCs w:val="24"/>
          <w:shd w:val="clear" w:color="auto" w:fill="FFFFFF"/>
        </w:rPr>
        <w:lastRenderedPageBreak/>
        <w:t>legitimate correctional interests, and whether there is a valid, rational connection between the action taken and the legitimate and neutral governmental interest put forward to justify it.”).</w:t>
      </w:r>
    </w:p>
    <w:p w14:paraId="229781AD" w14:textId="77777777" w:rsidR="00842D3D" w:rsidRPr="00842D3D" w:rsidRDefault="00842D3D" w:rsidP="00842D3D">
      <w:pPr>
        <w:autoSpaceDE w:val="0"/>
        <w:autoSpaceDN w:val="0"/>
        <w:adjustRightInd w:val="0"/>
        <w:rPr>
          <w:rFonts w:eastAsia="Calibri" w:cs="Times New Roman"/>
          <w:szCs w:val="24"/>
          <w:shd w:val="clear" w:color="auto" w:fill="FFFFFF"/>
        </w:rPr>
      </w:pPr>
    </w:p>
    <w:p w14:paraId="2956986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applies equally to convicted prisoners who are inside the walls of a penal institution and convicted prisoners, such as escapees, who are outside the walls of a penal institution. </w:t>
      </w:r>
      <w:r w:rsidRPr="00842D3D">
        <w:rPr>
          <w:rFonts w:eastAsia="Calibri" w:cs="Times New Roman"/>
          <w:i/>
          <w:szCs w:val="24"/>
        </w:rPr>
        <w:t>See Hughes v. Rodriguez</w:t>
      </w:r>
      <w:r w:rsidRPr="00842D3D">
        <w:rPr>
          <w:rFonts w:eastAsia="Calibri" w:cs="Times New Roman"/>
          <w:szCs w:val="24"/>
        </w:rPr>
        <w:t>, 31 F.4th 1211, 1220-21 (9th Cir. 2022).</w:t>
      </w:r>
      <w:r w:rsidRPr="00842D3D">
        <w:rPr>
          <w:rFonts w:eastAsia="Calibri" w:cs="Times New Roman"/>
          <w:szCs w:val="24"/>
        </w:rPr>
        <w:tab/>
      </w:r>
    </w:p>
    <w:p w14:paraId="7A205C22" w14:textId="77777777" w:rsidR="00842D3D" w:rsidRPr="00842D3D" w:rsidRDefault="00842D3D" w:rsidP="00842D3D">
      <w:pPr>
        <w:autoSpaceDE w:val="0"/>
        <w:autoSpaceDN w:val="0"/>
        <w:adjustRightInd w:val="0"/>
        <w:rPr>
          <w:rFonts w:eastAsia="Calibri" w:cs="Times New Roman"/>
          <w:szCs w:val="24"/>
        </w:rPr>
      </w:pPr>
    </w:p>
    <w:p w14:paraId="467B8C9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 xml:space="preserve">Revised June 2025 </w:t>
      </w:r>
    </w:p>
    <w:p w14:paraId="0CCC9F93" w14:textId="77777777" w:rsidR="00842D3D" w:rsidRPr="00842D3D" w:rsidRDefault="00842D3D" w:rsidP="00842D3D">
      <w:pPr>
        <w:jc w:val="right"/>
        <w:rPr>
          <w:rFonts w:eastAsia="Calibri" w:cs="Times New Roman"/>
          <w:i/>
          <w:iCs/>
          <w:szCs w:val="24"/>
        </w:rPr>
      </w:pPr>
    </w:p>
    <w:p w14:paraId="21127869" w14:textId="77777777" w:rsidR="00842D3D" w:rsidRPr="00842D3D" w:rsidRDefault="00842D3D" w:rsidP="00842D3D">
      <w:pPr>
        <w:jc w:val="right"/>
        <w:rPr>
          <w:rFonts w:eastAsia="Calibri" w:cs="Times New Roman"/>
          <w:i/>
          <w:iCs/>
          <w:szCs w:val="24"/>
        </w:rPr>
      </w:pPr>
    </w:p>
    <w:p w14:paraId="5CA21BD9" w14:textId="77777777" w:rsidR="00842D3D" w:rsidRPr="00842D3D" w:rsidRDefault="00842D3D" w:rsidP="00842D3D">
      <w:pPr>
        <w:jc w:val="right"/>
        <w:rPr>
          <w:rFonts w:eastAsia="Calibri" w:cs="Times New Roman"/>
          <w:i/>
          <w:iCs/>
          <w:szCs w:val="24"/>
        </w:rPr>
      </w:pPr>
    </w:p>
    <w:p w14:paraId="52134D84" w14:textId="77777777" w:rsidR="00842D3D" w:rsidRPr="00842D3D" w:rsidRDefault="00842D3D" w:rsidP="00842D3D">
      <w:pPr>
        <w:jc w:val="right"/>
        <w:rPr>
          <w:rFonts w:eastAsia="Calibri" w:cs="Times New Roman"/>
          <w:i/>
          <w:iCs/>
          <w:szCs w:val="24"/>
        </w:rPr>
      </w:pPr>
    </w:p>
    <w:p w14:paraId="49919A31" w14:textId="77777777" w:rsidR="00842D3D" w:rsidRPr="00842D3D" w:rsidRDefault="00842D3D" w:rsidP="00842D3D">
      <w:pPr>
        <w:jc w:val="right"/>
        <w:rPr>
          <w:rFonts w:eastAsia="Calibri" w:cs="Times New Roman"/>
          <w:i/>
          <w:iCs/>
          <w:szCs w:val="24"/>
        </w:rPr>
      </w:pPr>
    </w:p>
    <w:p w14:paraId="71D53073" w14:textId="77777777" w:rsidR="00842D3D" w:rsidRPr="00842D3D" w:rsidRDefault="00842D3D" w:rsidP="00842D3D">
      <w:pPr>
        <w:jc w:val="right"/>
        <w:rPr>
          <w:rFonts w:eastAsia="Calibri" w:cs="Times New Roman"/>
          <w:i/>
          <w:iCs/>
          <w:szCs w:val="24"/>
        </w:rPr>
      </w:pPr>
    </w:p>
    <w:p w14:paraId="1AB0A623" w14:textId="77777777" w:rsidR="00842D3D" w:rsidRPr="00842D3D" w:rsidRDefault="00842D3D" w:rsidP="00842D3D">
      <w:pPr>
        <w:jc w:val="right"/>
        <w:rPr>
          <w:rFonts w:eastAsia="Calibri" w:cs="Times New Roman"/>
          <w:i/>
          <w:iCs/>
          <w:szCs w:val="24"/>
        </w:rPr>
      </w:pPr>
    </w:p>
    <w:p w14:paraId="05E25806" w14:textId="77777777" w:rsidR="00842D3D" w:rsidRPr="00842D3D" w:rsidRDefault="00842D3D" w:rsidP="00842D3D">
      <w:pPr>
        <w:jc w:val="right"/>
        <w:rPr>
          <w:rFonts w:eastAsia="Calibri" w:cs="Times New Roman"/>
          <w:i/>
          <w:iCs/>
          <w:szCs w:val="24"/>
        </w:rPr>
      </w:pPr>
    </w:p>
    <w:p w14:paraId="57578059" w14:textId="77777777" w:rsidR="00842D3D" w:rsidRPr="00842D3D" w:rsidRDefault="00842D3D" w:rsidP="00842D3D">
      <w:pPr>
        <w:jc w:val="right"/>
        <w:rPr>
          <w:rFonts w:eastAsia="Calibri" w:cs="Times New Roman"/>
          <w:i/>
          <w:iCs/>
          <w:szCs w:val="24"/>
        </w:rPr>
      </w:pPr>
    </w:p>
    <w:p w14:paraId="52E3A994" w14:textId="77777777" w:rsidR="00842D3D" w:rsidRPr="00842D3D" w:rsidRDefault="00842D3D" w:rsidP="00842D3D">
      <w:pPr>
        <w:jc w:val="right"/>
        <w:rPr>
          <w:rFonts w:eastAsia="Calibri" w:cs="Times New Roman"/>
          <w:i/>
          <w:iCs/>
          <w:szCs w:val="24"/>
        </w:rPr>
      </w:pPr>
    </w:p>
    <w:p w14:paraId="02ED650A" w14:textId="77777777" w:rsidR="00842D3D" w:rsidRPr="00842D3D" w:rsidRDefault="00842D3D" w:rsidP="00842D3D">
      <w:pPr>
        <w:jc w:val="right"/>
        <w:rPr>
          <w:rFonts w:eastAsia="Calibri" w:cs="Times New Roman"/>
          <w:i/>
          <w:iCs/>
          <w:szCs w:val="24"/>
        </w:rPr>
      </w:pPr>
    </w:p>
    <w:p w14:paraId="6849F50A" w14:textId="77777777" w:rsidR="00842D3D" w:rsidRPr="00842D3D" w:rsidRDefault="00842D3D" w:rsidP="00842D3D">
      <w:pPr>
        <w:jc w:val="right"/>
        <w:rPr>
          <w:rFonts w:eastAsia="Calibri" w:cs="Times New Roman"/>
          <w:i/>
          <w:iCs/>
          <w:szCs w:val="24"/>
        </w:rPr>
      </w:pPr>
    </w:p>
    <w:p w14:paraId="784A7A9E" w14:textId="77777777" w:rsidR="00842D3D" w:rsidRPr="00842D3D" w:rsidRDefault="00842D3D" w:rsidP="00842D3D">
      <w:pPr>
        <w:jc w:val="right"/>
        <w:rPr>
          <w:rFonts w:eastAsia="Calibri" w:cs="Times New Roman"/>
          <w:i/>
          <w:iCs/>
          <w:szCs w:val="24"/>
        </w:rPr>
      </w:pPr>
    </w:p>
    <w:p w14:paraId="5C4EE526" w14:textId="77777777" w:rsidR="00842D3D" w:rsidRPr="00842D3D" w:rsidRDefault="00842D3D" w:rsidP="00842D3D">
      <w:pPr>
        <w:jc w:val="right"/>
        <w:rPr>
          <w:rFonts w:eastAsia="Calibri" w:cs="Times New Roman"/>
          <w:i/>
          <w:iCs/>
          <w:szCs w:val="24"/>
        </w:rPr>
      </w:pPr>
    </w:p>
    <w:p w14:paraId="59B9D66B" w14:textId="77777777" w:rsidR="00842D3D" w:rsidRPr="00842D3D" w:rsidRDefault="00842D3D" w:rsidP="00842D3D">
      <w:pPr>
        <w:jc w:val="right"/>
        <w:rPr>
          <w:rFonts w:eastAsia="Calibri" w:cs="Times New Roman"/>
          <w:i/>
          <w:iCs/>
          <w:szCs w:val="24"/>
        </w:rPr>
      </w:pPr>
    </w:p>
    <w:p w14:paraId="4963AB20" w14:textId="77777777" w:rsidR="00842D3D" w:rsidRPr="00842D3D" w:rsidRDefault="00842D3D" w:rsidP="00842D3D">
      <w:pPr>
        <w:jc w:val="right"/>
        <w:rPr>
          <w:rFonts w:eastAsia="Calibri" w:cs="Times New Roman"/>
          <w:i/>
          <w:iCs/>
          <w:szCs w:val="24"/>
        </w:rPr>
      </w:pPr>
    </w:p>
    <w:p w14:paraId="0FA8C5D1" w14:textId="77777777" w:rsidR="00842D3D" w:rsidRPr="00842D3D" w:rsidRDefault="00842D3D" w:rsidP="00842D3D">
      <w:pPr>
        <w:jc w:val="right"/>
        <w:rPr>
          <w:rFonts w:eastAsia="Calibri" w:cs="Times New Roman"/>
          <w:i/>
          <w:iCs/>
          <w:szCs w:val="24"/>
        </w:rPr>
      </w:pPr>
    </w:p>
    <w:p w14:paraId="58B99893" w14:textId="77777777" w:rsidR="00842D3D" w:rsidRPr="00842D3D" w:rsidRDefault="00842D3D" w:rsidP="00842D3D">
      <w:pPr>
        <w:jc w:val="right"/>
        <w:rPr>
          <w:rFonts w:eastAsia="Calibri" w:cs="Times New Roman"/>
          <w:i/>
          <w:iCs/>
          <w:szCs w:val="24"/>
        </w:rPr>
      </w:pPr>
    </w:p>
    <w:p w14:paraId="631F1B56" w14:textId="77777777" w:rsidR="00842D3D" w:rsidRPr="00842D3D" w:rsidRDefault="00842D3D" w:rsidP="00842D3D">
      <w:pPr>
        <w:jc w:val="right"/>
        <w:rPr>
          <w:rFonts w:eastAsia="Calibri" w:cs="Times New Roman"/>
          <w:i/>
          <w:iCs/>
          <w:szCs w:val="24"/>
        </w:rPr>
      </w:pPr>
    </w:p>
    <w:p w14:paraId="3B68AD93" w14:textId="77777777" w:rsidR="00842D3D" w:rsidRPr="00842D3D" w:rsidRDefault="00842D3D" w:rsidP="00842D3D">
      <w:pPr>
        <w:jc w:val="right"/>
        <w:rPr>
          <w:rFonts w:eastAsia="Calibri" w:cs="Times New Roman"/>
          <w:i/>
          <w:iCs/>
          <w:szCs w:val="24"/>
        </w:rPr>
      </w:pPr>
    </w:p>
    <w:p w14:paraId="39D7B97E" w14:textId="77777777" w:rsidR="00842D3D" w:rsidRPr="00842D3D" w:rsidRDefault="00842D3D" w:rsidP="00842D3D">
      <w:pPr>
        <w:jc w:val="right"/>
        <w:rPr>
          <w:rFonts w:eastAsia="Calibri" w:cs="Times New Roman"/>
          <w:i/>
          <w:iCs/>
          <w:szCs w:val="24"/>
        </w:rPr>
      </w:pPr>
    </w:p>
    <w:p w14:paraId="23F3EF7E" w14:textId="77777777" w:rsidR="00842D3D" w:rsidRPr="00842D3D" w:rsidRDefault="00842D3D" w:rsidP="00842D3D">
      <w:pPr>
        <w:jc w:val="right"/>
        <w:rPr>
          <w:rFonts w:eastAsia="Calibri" w:cs="Times New Roman"/>
          <w:i/>
          <w:iCs/>
          <w:szCs w:val="24"/>
        </w:rPr>
      </w:pPr>
    </w:p>
    <w:p w14:paraId="60376AA5" w14:textId="77777777" w:rsidR="00842D3D" w:rsidRPr="00842D3D" w:rsidRDefault="00842D3D" w:rsidP="00842D3D">
      <w:pPr>
        <w:jc w:val="right"/>
        <w:rPr>
          <w:rFonts w:eastAsia="Calibri" w:cs="Times New Roman"/>
          <w:i/>
          <w:iCs/>
          <w:szCs w:val="24"/>
        </w:rPr>
      </w:pPr>
    </w:p>
    <w:p w14:paraId="49032CC8" w14:textId="77777777" w:rsidR="00842D3D" w:rsidRPr="00842D3D" w:rsidRDefault="00842D3D" w:rsidP="00842D3D">
      <w:pPr>
        <w:jc w:val="right"/>
        <w:rPr>
          <w:rFonts w:eastAsia="Calibri" w:cs="Times New Roman"/>
          <w:i/>
          <w:iCs/>
          <w:szCs w:val="24"/>
        </w:rPr>
      </w:pPr>
    </w:p>
    <w:p w14:paraId="19D9E3A1" w14:textId="77777777" w:rsidR="00842D3D" w:rsidRPr="00842D3D" w:rsidRDefault="00842D3D" w:rsidP="00842D3D">
      <w:pPr>
        <w:jc w:val="right"/>
        <w:rPr>
          <w:rFonts w:eastAsia="Calibri" w:cs="Times New Roman"/>
          <w:i/>
          <w:iCs/>
          <w:szCs w:val="24"/>
        </w:rPr>
      </w:pPr>
    </w:p>
    <w:p w14:paraId="56FE4B56" w14:textId="77777777" w:rsidR="00842D3D" w:rsidRPr="00842D3D" w:rsidRDefault="00842D3D" w:rsidP="00842D3D">
      <w:pPr>
        <w:jc w:val="right"/>
        <w:rPr>
          <w:rFonts w:eastAsia="Calibri" w:cs="Times New Roman"/>
          <w:i/>
          <w:iCs/>
          <w:szCs w:val="24"/>
        </w:rPr>
      </w:pPr>
    </w:p>
    <w:p w14:paraId="749D16C1" w14:textId="77777777" w:rsidR="00842D3D" w:rsidRPr="00842D3D" w:rsidRDefault="00842D3D" w:rsidP="00842D3D">
      <w:pPr>
        <w:jc w:val="right"/>
        <w:rPr>
          <w:rFonts w:eastAsia="Calibri" w:cs="Times New Roman"/>
          <w:i/>
          <w:iCs/>
          <w:szCs w:val="24"/>
        </w:rPr>
      </w:pPr>
    </w:p>
    <w:p w14:paraId="497ED543" w14:textId="77777777" w:rsidR="00842D3D" w:rsidRPr="00842D3D" w:rsidRDefault="00842D3D" w:rsidP="00842D3D">
      <w:pPr>
        <w:jc w:val="right"/>
        <w:rPr>
          <w:rFonts w:eastAsia="Calibri" w:cs="Times New Roman"/>
          <w:i/>
          <w:iCs/>
          <w:szCs w:val="24"/>
        </w:rPr>
      </w:pPr>
    </w:p>
    <w:p w14:paraId="21C83B97" w14:textId="77777777" w:rsidR="00842D3D" w:rsidRPr="00842D3D" w:rsidRDefault="00842D3D" w:rsidP="00842D3D">
      <w:pPr>
        <w:jc w:val="right"/>
        <w:rPr>
          <w:rFonts w:eastAsia="Calibri" w:cs="Times New Roman"/>
          <w:i/>
          <w:iCs/>
          <w:szCs w:val="24"/>
        </w:rPr>
      </w:pPr>
    </w:p>
    <w:p w14:paraId="19A2D7F0" w14:textId="77777777" w:rsidR="00842D3D" w:rsidRPr="00842D3D" w:rsidRDefault="00842D3D" w:rsidP="00842D3D">
      <w:pPr>
        <w:jc w:val="right"/>
        <w:rPr>
          <w:rFonts w:eastAsia="Calibri" w:cs="Times New Roman"/>
          <w:i/>
          <w:iCs/>
          <w:szCs w:val="24"/>
        </w:rPr>
      </w:pPr>
    </w:p>
    <w:p w14:paraId="1742E1FD" w14:textId="77777777" w:rsidR="00842D3D" w:rsidRPr="00842D3D" w:rsidRDefault="00842D3D" w:rsidP="00842D3D">
      <w:pPr>
        <w:jc w:val="right"/>
        <w:rPr>
          <w:rFonts w:eastAsia="Calibri" w:cs="Times New Roman"/>
          <w:i/>
          <w:iCs/>
          <w:szCs w:val="24"/>
        </w:rPr>
      </w:pPr>
    </w:p>
    <w:p w14:paraId="7BE46B8B" w14:textId="77777777" w:rsidR="00842D3D" w:rsidRPr="00842D3D" w:rsidRDefault="00842D3D" w:rsidP="00842D3D">
      <w:pPr>
        <w:jc w:val="right"/>
        <w:rPr>
          <w:rFonts w:eastAsia="Calibri" w:cs="Times New Roman"/>
          <w:i/>
          <w:iCs/>
          <w:szCs w:val="24"/>
        </w:rPr>
      </w:pPr>
    </w:p>
    <w:p w14:paraId="04FE9C06" w14:textId="77777777" w:rsidR="00842D3D" w:rsidRPr="00842D3D" w:rsidRDefault="00842D3D" w:rsidP="00842D3D">
      <w:pPr>
        <w:jc w:val="right"/>
        <w:rPr>
          <w:rFonts w:eastAsia="Calibri" w:cs="Times New Roman"/>
          <w:szCs w:val="24"/>
        </w:rPr>
      </w:pPr>
    </w:p>
    <w:p w14:paraId="36B454A4" w14:textId="77777777" w:rsidR="00842D3D" w:rsidRPr="00842D3D" w:rsidRDefault="00842D3D" w:rsidP="00842D3D">
      <w:pPr>
        <w:rPr>
          <w:rFonts w:eastAsia="Calibri" w:cs="Times New Roman"/>
          <w:szCs w:val="24"/>
        </w:rPr>
      </w:pPr>
    </w:p>
    <w:p w14:paraId="3F1FF5D7" w14:textId="77777777" w:rsidR="00842D3D" w:rsidRPr="00842D3D" w:rsidRDefault="00842D3D" w:rsidP="00842D3D">
      <w:pPr>
        <w:autoSpaceDE w:val="0"/>
        <w:autoSpaceDN w:val="0"/>
        <w:adjustRightInd w:val="0"/>
        <w:rPr>
          <w:rFonts w:eastAsia="Calibri" w:cs="Times New Roman"/>
          <w:szCs w:val="24"/>
        </w:rPr>
      </w:pPr>
    </w:p>
    <w:p w14:paraId="4826FFEA" w14:textId="77777777" w:rsidR="00842D3D" w:rsidRPr="00842D3D" w:rsidRDefault="00842D3D" w:rsidP="00842D3D">
      <w:pPr>
        <w:autoSpaceDE w:val="0"/>
        <w:autoSpaceDN w:val="0"/>
        <w:adjustRightInd w:val="0"/>
        <w:jc w:val="right"/>
        <w:rPr>
          <w:rFonts w:eastAsia="Calibri" w:cs="Times New Roman"/>
          <w:szCs w:val="24"/>
        </w:rPr>
      </w:pPr>
    </w:p>
    <w:p w14:paraId="1B348070" w14:textId="5BA65D4C" w:rsidR="00842D3D" w:rsidRPr="00842D3D" w:rsidRDefault="00842D3D" w:rsidP="00FF121D">
      <w:pPr>
        <w:pStyle w:val="Heading2"/>
      </w:pPr>
      <w:bookmarkStart w:id="186" w:name="_Toc221525194"/>
      <w:r w:rsidRPr="00842D3D">
        <w:lastRenderedPageBreak/>
        <w:t>9.</w:t>
      </w:r>
      <w:r w:rsidR="005F1850">
        <w:t>30</w:t>
      </w:r>
      <w:r w:rsidRPr="00842D3D">
        <w:t xml:space="preserve"> Particular Rights—Eighth Amendment—Convicted Prisoner’s Claim of Sexual Assault</w:t>
      </w:r>
      <w:bookmarkEnd w:id="186"/>
    </w:p>
    <w:p w14:paraId="483006A7" w14:textId="77777777" w:rsidR="00842D3D" w:rsidRPr="00842D3D" w:rsidRDefault="00842D3D" w:rsidP="00842D3D">
      <w:pPr>
        <w:rPr>
          <w:rFonts w:eastAsia="Calibri" w:cs="Times New Roman"/>
          <w:szCs w:val="24"/>
        </w:rPr>
      </w:pPr>
    </w:p>
    <w:p w14:paraId="757C16D2" w14:textId="77777777" w:rsidR="00842D3D" w:rsidRPr="00842D3D" w:rsidRDefault="00842D3D" w:rsidP="00842D3D">
      <w:pPr>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3484748B" w14:textId="77777777" w:rsidR="00842D3D" w:rsidRPr="00842D3D" w:rsidRDefault="00842D3D" w:rsidP="00842D3D">
      <w:pPr>
        <w:rPr>
          <w:rFonts w:eastAsia="Calibri" w:cs="Times New Roman"/>
          <w:szCs w:val="24"/>
        </w:rPr>
      </w:pPr>
    </w:p>
    <w:p w14:paraId="5877D4E2" w14:textId="77777777" w:rsidR="00842D3D" w:rsidRPr="00842D3D" w:rsidRDefault="00842D3D" w:rsidP="00842D3D">
      <w:pPr>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establish the following elements by a preponderance of the evidence:   </w:t>
      </w:r>
    </w:p>
    <w:p w14:paraId="082EBA85" w14:textId="77777777" w:rsidR="00842D3D" w:rsidRPr="00842D3D" w:rsidRDefault="00842D3D" w:rsidP="00842D3D">
      <w:pPr>
        <w:rPr>
          <w:rFonts w:eastAsia="Calibri" w:cs="Times New Roman"/>
          <w:szCs w:val="24"/>
        </w:rPr>
      </w:pPr>
    </w:p>
    <w:p w14:paraId="03B640AF"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law;   </w:t>
      </w:r>
    </w:p>
    <w:p w14:paraId="01DC2E2E" w14:textId="77777777" w:rsidR="00842D3D" w:rsidRPr="00842D3D" w:rsidRDefault="00842D3D" w:rsidP="00842D3D">
      <w:pPr>
        <w:ind w:left="1440" w:hanging="720"/>
        <w:rPr>
          <w:rFonts w:eastAsia="Calibri" w:cs="Times New Roman"/>
          <w:szCs w:val="24"/>
        </w:rPr>
      </w:pPr>
    </w:p>
    <w:p w14:paraId="76E43B74"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without penological justification; and  </w:t>
      </w:r>
    </w:p>
    <w:p w14:paraId="2CC9B972" w14:textId="77777777" w:rsidR="00842D3D" w:rsidRPr="00842D3D" w:rsidRDefault="00842D3D" w:rsidP="00842D3D">
      <w:pPr>
        <w:ind w:left="1440" w:hanging="720"/>
        <w:rPr>
          <w:rFonts w:eastAsia="Calibri" w:cs="Times New Roman"/>
          <w:szCs w:val="24"/>
        </w:rPr>
      </w:pPr>
    </w:p>
    <w:p w14:paraId="51DC0EF9" w14:textId="77777777"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[touched the prisoner in a sexual manner] [engaged in sexual conduct for the defendant [</w:t>
      </w:r>
      <w:r w:rsidRPr="00842D3D">
        <w:rPr>
          <w:rFonts w:eastAsia="Calibri" w:cs="Times New Roman"/>
          <w:i/>
          <w:iCs/>
          <w:szCs w:val="24"/>
          <w:u w:val="single"/>
        </w:rPr>
        <w:t>name</w:t>
      </w:r>
      <w:r w:rsidRPr="00842D3D">
        <w:rPr>
          <w:rFonts w:eastAsia="Calibri" w:cs="Times New Roman"/>
          <w:szCs w:val="24"/>
        </w:rPr>
        <w:t xml:space="preserve">]’s own sexual gratification] [acted for the purpose of humiliating, degrading, or demeaning the prisoner].  </w:t>
      </w:r>
    </w:p>
    <w:p w14:paraId="02374805" w14:textId="77777777" w:rsidR="00842D3D" w:rsidRPr="00842D3D" w:rsidRDefault="00842D3D" w:rsidP="00842D3D">
      <w:pPr>
        <w:ind w:left="1440" w:hanging="720"/>
        <w:rPr>
          <w:rFonts w:eastAsia="Calibri" w:cs="Times New Roman"/>
          <w:szCs w:val="24"/>
        </w:rPr>
      </w:pPr>
    </w:p>
    <w:p w14:paraId="1DD287F7" w14:textId="77777777" w:rsidR="00842D3D" w:rsidRPr="00842D3D" w:rsidRDefault="00842D3D" w:rsidP="00842D3D">
      <w:pPr>
        <w:ind w:left="1440" w:hanging="720"/>
        <w:rPr>
          <w:rFonts w:eastAsia="Calibri" w:cs="Times New Roman"/>
          <w:szCs w:val="24"/>
        </w:rPr>
      </w:pPr>
    </w:p>
    <w:p w14:paraId="30B6BF4A" w14:textId="77777777" w:rsidR="00842D3D" w:rsidRPr="00842D3D" w:rsidRDefault="00842D3D" w:rsidP="00842D3D">
      <w:pPr>
        <w:ind w:left="1440" w:hanging="720"/>
        <w:jc w:val="center"/>
        <w:rPr>
          <w:rFonts w:eastAsia="Calibri" w:cs="Times New Roman"/>
          <w:b/>
          <w:szCs w:val="24"/>
        </w:rPr>
      </w:pPr>
      <w:r w:rsidRPr="00842D3D">
        <w:rPr>
          <w:rFonts w:eastAsia="Calibri" w:cs="Times New Roman"/>
          <w:b/>
          <w:szCs w:val="24"/>
        </w:rPr>
        <w:t>Comment</w:t>
      </w:r>
    </w:p>
    <w:p w14:paraId="6DD538F8" w14:textId="77777777" w:rsidR="00842D3D" w:rsidRPr="00842D3D" w:rsidRDefault="00842D3D" w:rsidP="00842D3D">
      <w:pPr>
        <w:rPr>
          <w:rFonts w:eastAsia="Calibri" w:cs="Times New Roman"/>
          <w:szCs w:val="24"/>
        </w:rPr>
      </w:pPr>
    </w:p>
    <w:p w14:paraId="27F7800D" w14:textId="77777777" w:rsidR="00842D3D" w:rsidRPr="00842D3D" w:rsidRDefault="00842D3D" w:rsidP="00842D3D">
      <w:pPr>
        <w:rPr>
          <w:rFonts w:eastAsia="Calibri" w:cs="Times New Roman"/>
          <w:szCs w:val="24"/>
        </w:rPr>
      </w:pPr>
      <w:r w:rsidRPr="00842D3D">
        <w:rPr>
          <w:rFonts w:eastAsia="Calibri" w:cs="Times New Roman"/>
          <w:szCs w:val="24"/>
        </w:rPr>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r w:rsidRPr="00842D3D">
        <w:rPr>
          <w:rFonts w:eastAsia="Calibri" w:cs="Times New Roman"/>
          <w:i/>
          <w:szCs w:val="24"/>
        </w:rPr>
        <w:t>Bearchild v. Cobban</w:t>
      </w:r>
      <w:r w:rsidRPr="00842D3D">
        <w:rPr>
          <w:rFonts w:eastAsia="Calibri" w:cs="Times New Roman"/>
          <w:szCs w:val="24"/>
        </w:rPr>
        <w:t xml:space="preserve">, 947 F.3d 1130, 1144 (9th Cir. 2020). </w:t>
      </w:r>
    </w:p>
    <w:p w14:paraId="5CF8333C" w14:textId="77777777" w:rsidR="00842D3D" w:rsidRPr="00842D3D" w:rsidRDefault="00842D3D" w:rsidP="00842D3D">
      <w:pPr>
        <w:rPr>
          <w:rFonts w:eastAsia="Calibri" w:cs="Times New Roman"/>
          <w:szCs w:val="24"/>
        </w:rPr>
      </w:pPr>
    </w:p>
    <w:p w14:paraId="38D26DB2" w14:textId="77777777" w:rsidR="00842D3D" w:rsidRPr="00842D3D" w:rsidRDefault="00842D3D" w:rsidP="00842D3D">
      <w:pPr>
        <w:rPr>
          <w:rFonts w:eastAsia="Calibri" w:cs="Times New Roman"/>
          <w:szCs w:val="24"/>
        </w:rPr>
      </w:pPr>
      <w:r w:rsidRPr="00842D3D">
        <w:rPr>
          <w:rFonts w:eastAsia="Calibri" w:cs="Times New Roman"/>
          <w:szCs w:val="24"/>
        </w:rPr>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842D3D">
        <w:rPr>
          <w:rFonts w:eastAsia="Calibri" w:cs="Times New Roman"/>
          <w:i/>
          <w:szCs w:val="24"/>
        </w:rPr>
        <w:t>Wood v. Beauclair</w:t>
      </w:r>
      <w:r w:rsidRPr="00842D3D">
        <w:rPr>
          <w:rFonts w:eastAsia="Calibri" w:cs="Times New Roman"/>
          <w:szCs w:val="24"/>
        </w:rPr>
        <w:t xml:space="preserve">, 692 F.3d 1041, 1046, 1050 (9th Cir. 2012) (internal citations omitted). Because there is no “legitimate penological purpose” served by sexual assault, the subjective component of “malicious and sadistic intent” is presumed if an inmate can demonstrate that a sexual assault occurred. </w:t>
      </w:r>
      <w:r w:rsidRPr="00842D3D">
        <w:rPr>
          <w:rFonts w:eastAsia="Calibri" w:cs="Times New Roman"/>
          <w:i/>
          <w:szCs w:val="24"/>
        </w:rPr>
        <w:t xml:space="preserve">Bearchild, </w:t>
      </w:r>
      <w:r w:rsidRPr="00842D3D">
        <w:rPr>
          <w:rFonts w:eastAsia="Calibri" w:cs="Times New Roman"/>
          <w:szCs w:val="24"/>
        </w:rPr>
        <w:t>947 F.3d at 1143</w:t>
      </w:r>
      <w:r w:rsidRPr="00842D3D">
        <w:rPr>
          <w:rFonts w:eastAsia="Calibri" w:cs="Times New Roman"/>
          <w:i/>
          <w:szCs w:val="24"/>
        </w:rPr>
        <w:t xml:space="preserve"> </w:t>
      </w:r>
      <w:r w:rsidRPr="00842D3D">
        <w:rPr>
          <w:rFonts w:eastAsia="Calibri" w:cs="Times New Roman"/>
          <w:iCs/>
          <w:szCs w:val="24"/>
        </w:rPr>
        <w:t>(</w:t>
      </w:r>
      <w:r w:rsidRPr="00842D3D">
        <w:rPr>
          <w:rFonts w:eastAsia="Calibri" w:cs="Times New Roman"/>
          <w:szCs w:val="24"/>
        </w:rPr>
        <w:t>quoting</w:t>
      </w:r>
      <w:r w:rsidRPr="00842D3D">
        <w:rPr>
          <w:rFonts w:eastAsia="Calibri" w:cs="Times New Roman"/>
          <w:i/>
          <w:szCs w:val="24"/>
        </w:rPr>
        <w:t xml:space="preserve"> Wood</w:t>
      </w:r>
      <w:r w:rsidRPr="00842D3D">
        <w:rPr>
          <w:rFonts w:eastAsia="Calibri" w:cs="Times New Roman"/>
          <w:szCs w:val="24"/>
        </w:rPr>
        <w:t xml:space="preserve">, 692 F.3d at 1050-51. Further, “our cases have clearly held that an inmate need not prove that an injury resulted from sexual assault in order to maintain an excessive force claim under the Eighth Amendment.” </w:t>
      </w:r>
      <w:r w:rsidRPr="00842D3D">
        <w:rPr>
          <w:rFonts w:eastAsia="Calibri" w:cs="Times New Roman"/>
          <w:i/>
          <w:szCs w:val="24"/>
        </w:rPr>
        <w:t>Bearchild</w:t>
      </w:r>
      <w:r w:rsidRPr="00842D3D">
        <w:rPr>
          <w:rFonts w:eastAsia="Calibri" w:cs="Times New Roman"/>
          <w:szCs w:val="24"/>
        </w:rPr>
        <w:t xml:space="preserve">, 947 F.3d at 1144 (“Any sexual assault is objectively ‘repugnant to the conscience of mankind’ and therefore not </w:t>
      </w:r>
      <w:r w:rsidRPr="00842D3D">
        <w:rPr>
          <w:rFonts w:eastAsia="Calibri" w:cs="Times New Roman"/>
          <w:i/>
          <w:szCs w:val="24"/>
        </w:rPr>
        <w:t>de minimis</w:t>
      </w:r>
      <w:r w:rsidRPr="00842D3D">
        <w:rPr>
          <w:rFonts w:eastAsia="Calibri" w:cs="Times New Roman"/>
          <w:szCs w:val="24"/>
        </w:rPr>
        <w:t xml:space="preserve"> for Eighth Amendment purposes.”); </w:t>
      </w:r>
      <w:r w:rsidRPr="00842D3D">
        <w:rPr>
          <w:rFonts w:eastAsia="Calibri" w:cs="Times New Roman"/>
          <w:i/>
          <w:szCs w:val="24"/>
        </w:rPr>
        <w:t>Schwenk v. Hartford</w:t>
      </w:r>
      <w:r w:rsidRPr="00842D3D">
        <w:rPr>
          <w:rFonts w:eastAsia="Calibri" w:cs="Times New Roman"/>
          <w:szCs w:val="24"/>
        </w:rPr>
        <w:t xml:space="preserve">, 204 F.3d 1187, 1197 (9th Cir. 2000) (“A sexual assault on an inmate by a guard—regardless of the gender of the guard or of the prisoner—is deeply offensive to human dignity.”). Allegations of sexual harassment that do not involve touching have routinely been </w:t>
      </w:r>
      <w:r w:rsidRPr="00842D3D">
        <w:rPr>
          <w:rFonts w:eastAsia="Calibri" w:cs="Times New Roman"/>
          <w:szCs w:val="24"/>
        </w:rPr>
        <w:lastRenderedPageBreak/>
        <w:t xml:space="preserve">found “not sufficiently serious” to sustain an Eighth Amendment claim. </w:t>
      </w:r>
      <w:r w:rsidRPr="00842D3D">
        <w:rPr>
          <w:rFonts w:eastAsia="Calibri" w:cs="Times New Roman"/>
          <w:i/>
          <w:szCs w:val="24"/>
        </w:rPr>
        <w:t>Austin v. Terhune</w:t>
      </w:r>
      <w:r w:rsidRPr="00842D3D">
        <w:rPr>
          <w:rFonts w:eastAsia="Calibri" w:cs="Times New Roman"/>
          <w:szCs w:val="24"/>
        </w:rPr>
        <w:t>, 367 F.3d 1167, 1172 (9th Cir. 2004) (“[Officer] was in an elevated, glass-enclosed control booth when he exposed himself to [plaintiff] and this isolated incident lasted for a period of no more than 30–40 seconds. [Officer] never physically touched [plaintiff].”).</w:t>
      </w:r>
    </w:p>
    <w:p w14:paraId="7BC72AE4" w14:textId="77777777" w:rsidR="00842D3D" w:rsidRPr="00842D3D" w:rsidRDefault="00842D3D" w:rsidP="00842D3D">
      <w:pPr>
        <w:rPr>
          <w:rFonts w:eastAsia="Calibri" w:cs="Times New Roman"/>
          <w:szCs w:val="24"/>
        </w:rPr>
      </w:pPr>
    </w:p>
    <w:p w14:paraId="22C555E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077C65B2" w14:textId="77777777" w:rsidR="00842D3D" w:rsidRPr="00842D3D" w:rsidRDefault="00842D3D" w:rsidP="00842D3D">
      <w:pPr>
        <w:rPr>
          <w:rFonts w:eastAsia="Calibri" w:cs="Times New Roman"/>
          <w:szCs w:val="24"/>
        </w:rPr>
      </w:pPr>
    </w:p>
    <w:p w14:paraId="4A55FFAE"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r w:rsidRPr="00842D3D">
        <w:rPr>
          <w:rFonts w:eastAsia="Calibri" w:cs="Times New Roman"/>
          <w:szCs w:val="24"/>
        </w:rPr>
        <w:br w:type="page"/>
      </w:r>
    </w:p>
    <w:p w14:paraId="603EA1E2" w14:textId="324A22DF" w:rsidR="00842D3D" w:rsidRPr="00842D3D" w:rsidRDefault="00842D3D" w:rsidP="00FF121D">
      <w:pPr>
        <w:pStyle w:val="Heading2"/>
      </w:pPr>
      <w:bookmarkStart w:id="187" w:name="_Toc221525195"/>
      <w:r w:rsidRPr="00842D3D">
        <w:lastRenderedPageBreak/>
        <w:t>9.</w:t>
      </w:r>
      <w:r w:rsidR="005F1850">
        <w:t>31</w:t>
      </w:r>
      <w:r w:rsidRPr="00842D3D">
        <w:t xml:space="preserve"> Particular Rights—Eighth Amendment—Convicted Prisoner’s Claim Re Conditions of Confinement/Medical Care</w:t>
      </w:r>
      <w:bookmarkEnd w:id="187"/>
    </w:p>
    <w:p w14:paraId="5DD535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5776B2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7F99C41C" w14:textId="77777777" w:rsidR="00842D3D" w:rsidRPr="00842D3D" w:rsidRDefault="00842D3D" w:rsidP="00842D3D">
      <w:pPr>
        <w:autoSpaceDE w:val="0"/>
        <w:autoSpaceDN w:val="0"/>
        <w:adjustRightInd w:val="0"/>
        <w:rPr>
          <w:rFonts w:eastAsia="Calibri" w:cs="Times New Roman"/>
          <w:szCs w:val="24"/>
        </w:rPr>
      </w:pPr>
    </w:p>
    <w:p w14:paraId="49055E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This includes the right to [</w:t>
      </w:r>
      <w:r w:rsidRPr="00842D3D">
        <w:rPr>
          <w:rFonts w:eastAsia="Calibri" w:cs="Times New Roman"/>
          <w:i/>
          <w:szCs w:val="24"/>
          <w:u w:val="single"/>
        </w:rPr>
        <w:t>specify particular constitutional interest</w:t>
      </w:r>
      <w:r w:rsidRPr="00842D3D">
        <w:rPr>
          <w:rFonts w:eastAsia="Calibri" w:cs="Times New Roman"/>
          <w:szCs w:val="24"/>
        </w:rPr>
        <w:t>].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DF910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7082E26"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faced a substantial risk of serious harm]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faced a serious medical need]; </w:t>
      </w:r>
    </w:p>
    <w:p w14:paraId="5FDF2F0F" w14:textId="77777777" w:rsidR="00842D3D" w:rsidRPr="00842D3D" w:rsidRDefault="00842D3D" w:rsidP="00842D3D">
      <w:pPr>
        <w:tabs>
          <w:tab w:val="left" w:pos="1350"/>
        </w:tabs>
        <w:autoSpaceDE w:val="0"/>
        <w:autoSpaceDN w:val="0"/>
        <w:adjustRightInd w:val="0"/>
        <w:rPr>
          <w:rFonts w:eastAsia="Calibri" w:cs="Times New Roman"/>
          <w:szCs w:val="24"/>
        </w:rPr>
      </w:pPr>
    </w:p>
    <w:p w14:paraId="101D48B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deliberately indifferent to that [risk] [medical need], that is,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knew of it and disregarded it by failing to take reasonable measures to address it; and</w:t>
      </w:r>
    </w:p>
    <w:p w14:paraId="4E7A538A" w14:textId="77777777" w:rsidR="00842D3D" w:rsidRPr="00842D3D" w:rsidRDefault="00842D3D" w:rsidP="00842D3D">
      <w:pPr>
        <w:autoSpaceDE w:val="0"/>
        <w:autoSpaceDN w:val="0"/>
        <w:adjustRightInd w:val="0"/>
        <w:rPr>
          <w:rFonts w:eastAsia="Calibri" w:cs="Times New Roman"/>
          <w:szCs w:val="24"/>
        </w:rPr>
      </w:pPr>
    </w:p>
    <w:p w14:paraId="45E3B98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C51A5E5" w14:textId="77777777" w:rsidR="00842D3D" w:rsidRPr="00842D3D" w:rsidRDefault="00842D3D" w:rsidP="00842D3D">
      <w:pPr>
        <w:autoSpaceDE w:val="0"/>
        <w:autoSpaceDN w:val="0"/>
        <w:adjustRightInd w:val="0"/>
        <w:rPr>
          <w:rFonts w:eastAsia="Calibri" w:cs="Times New Roman"/>
          <w:szCs w:val="24"/>
        </w:rPr>
      </w:pPr>
    </w:p>
    <w:p w14:paraId="735615F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choice to disregard the consequences of one’s acts or omissions. </w:t>
      </w:r>
      <w:r w:rsidRPr="00842D3D">
        <w:rPr>
          <w:rFonts w:eastAsia="Calibri" w:cs="Times New Roman"/>
          <w:szCs w:val="24"/>
        </w:rPr>
        <w:tab/>
      </w:r>
    </w:p>
    <w:p w14:paraId="48955B0E" w14:textId="77777777" w:rsidR="00842D3D" w:rsidRPr="00842D3D" w:rsidRDefault="00842D3D" w:rsidP="00842D3D">
      <w:pPr>
        <w:autoSpaceDE w:val="0"/>
        <w:autoSpaceDN w:val="0"/>
        <w:adjustRightInd w:val="0"/>
        <w:rPr>
          <w:rFonts w:eastAsia="Calibri" w:cs="Times New Roman"/>
          <w:szCs w:val="24"/>
        </w:rPr>
      </w:pPr>
    </w:p>
    <w:p w14:paraId="24D2F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 defendant lacks authority over budgeting decisions, the issue of whether a</w:t>
      </w:r>
    </w:p>
    <w:p w14:paraId="4C3787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prison official met [his] [her] [</w:t>
      </w:r>
      <w:r w:rsidRPr="00842D3D">
        <w:rPr>
          <w:rFonts w:eastAsia="Calibri" w:cs="Times New Roman"/>
          <w:i/>
          <w:iCs/>
          <w:szCs w:val="24"/>
          <w:u w:val="single"/>
        </w:rPr>
        <w:t>other pronoun</w:t>
      </w:r>
      <w:r w:rsidRPr="00842D3D">
        <w:rPr>
          <w:rFonts w:eastAsia="Calibri" w:cs="Times New Roman"/>
          <w:szCs w:val="24"/>
        </w:rPr>
        <w:t>] duties to an inmate under the Eighth Amendment must be considered in the context of the personnel, financial, and other resources available to the</w:t>
      </w:r>
    </w:p>
    <w:p w14:paraId="094AAE3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defendant or which [he] [she] [</w:t>
      </w:r>
      <w:r w:rsidRPr="00842D3D">
        <w:rPr>
          <w:rFonts w:eastAsia="Calibri" w:cs="Times New Roman"/>
          <w:i/>
          <w:iCs/>
          <w:szCs w:val="24"/>
          <w:u w:val="single"/>
        </w:rPr>
        <w:t>other pronoun</w:t>
      </w:r>
      <w:r w:rsidRPr="00842D3D">
        <w:rPr>
          <w:rFonts w:eastAsia="Calibri" w:cs="Times New Roman"/>
          <w:szCs w:val="24"/>
        </w:rPr>
        <w:t>] could reasonably obtain.]</w:t>
      </w:r>
      <w:r w:rsidRPr="00842D3D">
        <w:rPr>
          <w:rFonts w:eastAsia="Calibri" w:cs="Times New Roman"/>
          <w:szCs w:val="24"/>
        </w:rPr>
        <w:br/>
      </w:r>
    </w:p>
    <w:p w14:paraId="110AED3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6B3A4FE2" w14:textId="77777777" w:rsidR="00842D3D" w:rsidRPr="00842D3D" w:rsidRDefault="00842D3D" w:rsidP="00842D3D">
      <w:pPr>
        <w:autoSpaceDE w:val="0"/>
        <w:autoSpaceDN w:val="0"/>
        <w:adjustRightInd w:val="0"/>
        <w:rPr>
          <w:rFonts w:eastAsia="Calibri" w:cs="Times New Roman"/>
          <w:b/>
          <w:szCs w:val="24"/>
        </w:rPr>
      </w:pPr>
    </w:p>
    <w:p w14:paraId="37177E3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 xml:space="preserve">Use this instruction only in conjunction with the applicable elements instructions, Instructions 9.3-9.8, and when the plaintiff is a convicted prisoner and claims the defendants’ deliberate indifference to a substantial risk of serious harm or serious medical needs. </w:t>
      </w:r>
    </w:p>
    <w:p w14:paraId="1B512FFD" w14:textId="77777777" w:rsidR="00842D3D" w:rsidRPr="00842D3D" w:rsidRDefault="00842D3D" w:rsidP="00842D3D">
      <w:pPr>
        <w:autoSpaceDE w:val="0"/>
        <w:autoSpaceDN w:val="0"/>
        <w:adjustRightInd w:val="0"/>
        <w:rPr>
          <w:rFonts w:eastAsia="Calibri" w:cs="Times New Roman"/>
          <w:b/>
          <w:szCs w:val="24"/>
        </w:rPr>
      </w:pPr>
    </w:p>
    <w:p w14:paraId="14AABF00" w14:textId="3036EFD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When a convicted prisoner claims unconstitutional use of force, use Instruction 9.2</w:t>
      </w:r>
      <w:r w:rsidR="00047AF1">
        <w:rPr>
          <w:rFonts w:eastAsia="Calibri" w:cs="Times New Roman"/>
          <w:szCs w:val="24"/>
        </w:rPr>
        <w:t>9</w:t>
      </w:r>
      <w:r w:rsidRPr="00842D3D">
        <w:rPr>
          <w:rFonts w:eastAsia="Calibri" w:cs="Times New Roman"/>
          <w:szCs w:val="24"/>
        </w:rPr>
        <w:t xml:space="preserve"> (Particular Rights—Eighth Amendment—Convicted Prisoner’s Claim of Excessive Force).</w:t>
      </w:r>
      <w:r w:rsidRPr="00842D3D">
        <w:rPr>
          <w:rFonts w:eastAsia="Calibri" w:cs="Times New Roman"/>
          <w:b/>
          <w:szCs w:val="24"/>
        </w:rPr>
        <w:t xml:space="preserve"> </w:t>
      </w:r>
      <w:r w:rsidRPr="00842D3D">
        <w:rPr>
          <w:rFonts w:eastAsia="Calibri" w:cs="Times New Roman"/>
          <w:szCs w:val="24"/>
        </w:rPr>
        <w:t xml:space="preserve">When a pretrial detainee claims unconstitutional use of force, </w:t>
      </w:r>
      <w:r w:rsidRPr="00842D3D">
        <w:rPr>
          <w:rFonts w:eastAsia="Calibri" w:cs="Times New Roman"/>
          <w:iCs/>
          <w:szCs w:val="24"/>
        </w:rPr>
        <w:t>see</w:t>
      </w:r>
      <w:r w:rsidRPr="00842D3D">
        <w:rPr>
          <w:rFonts w:eastAsia="Calibri" w:cs="Times New Roman"/>
          <w:szCs w:val="24"/>
        </w:rPr>
        <w:t xml:space="preserve"> Instruction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When a pretrial detainee claims unconstitutional failure to protect, use Instruction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p>
    <w:p w14:paraId="756E1E6A" w14:textId="77777777" w:rsidR="00842D3D" w:rsidRPr="00842D3D" w:rsidRDefault="00842D3D" w:rsidP="00842D3D">
      <w:pPr>
        <w:autoSpaceDE w:val="0"/>
        <w:autoSpaceDN w:val="0"/>
        <w:adjustRightInd w:val="0"/>
        <w:rPr>
          <w:rFonts w:eastAsia="Calibri" w:cs="Times New Roman"/>
          <w:b/>
          <w:szCs w:val="24"/>
        </w:rPr>
      </w:pPr>
    </w:p>
    <w:p w14:paraId="1C91CA4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00A1D13" w14:textId="77777777" w:rsidR="00842D3D" w:rsidRPr="00842D3D" w:rsidRDefault="00842D3D" w:rsidP="00842D3D">
      <w:pPr>
        <w:autoSpaceDE w:val="0"/>
        <w:autoSpaceDN w:val="0"/>
        <w:adjustRightInd w:val="0"/>
        <w:rPr>
          <w:rFonts w:eastAsia="Calibri" w:cs="Times New Roman"/>
          <w:szCs w:val="24"/>
        </w:rPr>
      </w:pPr>
    </w:p>
    <w:p w14:paraId="3F0A317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xml:space="preserve">,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842D3D">
        <w:rPr>
          <w:rFonts w:eastAsia="Calibri" w:cs="Times New Roman"/>
          <w:i/>
          <w:szCs w:val="24"/>
        </w:rPr>
        <w:t>Id.</w:t>
      </w:r>
      <w:r w:rsidRPr="00842D3D">
        <w:rPr>
          <w:rFonts w:eastAsia="Calibri" w:cs="Times New Roman"/>
          <w:szCs w:val="24"/>
        </w:rPr>
        <w:t xml:space="preserve"> at 837; </w:t>
      </w:r>
      <w:r w:rsidRPr="00842D3D">
        <w:rPr>
          <w:rFonts w:eastAsia="Calibri" w:cs="Times New Roman"/>
          <w:i/>
          <w:szCs w:val="24"/>
        </w:rPr>
        <w:t>accord Clement v. Gomez</w:t>
      </w:r>
      <w:r w:rsidRPr="00842D3D">
        <w:rPr>
          <w:rFonts w:eastAsia="Calibri" w:cs="Times New Roman"/>
          <w:szCs w:val="24"/>
        </w:rPr>
        <w:t xml:space="preserve">, 298 F.3d 898, 904 (9th Cir. 2002) (“The inmates must demonstrate that they were confined under conditions posing a risk of ‘objectively, sufficiently serious’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 . . must also draw the inference.’” </w:t>
      </w:r>
      <w:r w:rsidRPr="00842D3D">
        <w:rPr>
          <w:rFonts w:eastAsia="Calibri" w:cs="Times New Roman"/>
          <w:i/>
          <w:szCs w:val="24"/>
        </w:rPr>
        <w:t>Labatad v. Corr. Corp. of Am</w:t>
      </w:r>
      <w:r w:rsidRPr="00842D3D">
        <w:rPr>
          <w:rFonts w:eastAsia="Calibri" w:cs="Times New Roman"/>
          <w:szCs w:val="24"/>
        </w:rPr>
        <w:t xml:space="preserve">., 714 F.3d 1155, 1160 (9th Cir. 2013) (quoting </w:t>
      </w:r>
      <w:r w:rsidRPr="00842D3D">
        <w:rPr>
          <w:rFonts w:eastAsia="Calibri" w:cs="Times New Roman"/>
          <w:i/>
          <w:szCs w:val="24"/>
        </w:rPr>
        <w:t>Farmer</w:t>
      </w:r>
      <w:r w:rsidRPr="00842D3D">
        <w:rPr>
          <w:rFonts w:eastAsia="Calibri" w:cs="Times New Roman"/>
          <w:szCs w:val="24"/>
        </w:rPr>
        <w:t xml:space="preserve">, 511 U.S. at 837); </w:t>
      </w:r>
      <w:r w:rsidRPr="00842D3D">
        <w:rPr>
          <w:rFonts w:eastAsia="Calibri" w:cs="Times New Roman"/>
          <w:i/>
          <w:szCs w:val="24"/>
        </w:rPr>
        <w:t>Hampton v. California,</w:t>
      </w:r>
      <w:r w:rsidRPr="00842D3D">
        <w:rPr>
          <w:rFonts w:eastAsia="Calibri" w:cs="Times New Roman"/>
          <w:szCs w:val="24"/>
        </w:rPr>
        <w:t xml:space="preserve"> 83 F.4th 754, 767 (9th Cir. 2023) (stating the plaintiff alleged a claim of “a conscious disregard to the health and safety” when the defendants “did not take precautions to avoid transferring COVID-positive inmates to San Quentin or to decrease the likelihood that COVID-19 would spread” once the inmates arrived).</w:t>
      </w:r>
    </w:p>
    <w:p w14:paraId="0518EB6B" w14:textId="77777777" w:rsidR="00842D3D" w:rsidRPr="00842D3D" w:rsidRDefault="00842D3D" w:rsidP="00842D3D">
      <w:pPr>
        <w:autoSpaceDE w:val="0"/>
        <w:autoSpaceDN w:val="0"/>
        <w:adjustRightInd w:val="0"/>
        <w:rPr>
          <w:rFonts w:eastAsia="Calibri" w:cs="Times New Roman"/>
          <w:szCs w:val="24"/>
        </w:rPr>
      </w:pPr>
    </w:p>
    <w:p w14:paraId="280C10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Estelle v. Gamble</w:t>
      </w:r>
      <w:r w:rsidRPr="00842D3D">
        <w:rPr>
          <w:rFonts w:eastAsia="Calibri" w:cs="Times New Roman"/>
          <w:szCs w:val="24"/>
        </w:rPr>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842D3D">
        <w:rPr>
          <w:rFonts w:eastAsia="Calibri" w:cs="Times New Roman"/>
          <w:i/>
          <w:szCs w:val="24"/>
        </w:rPr>
        <w:t>Edmo v. Corizon, Inc</w:t>
      </w:r>
      <w:r w:rsidRPr="00842D3D">
        <w:rPr>
          <w:rFonts w:eastAsia="Calibri" w:cs="Times New Roman"/>
          <w:szCs w:val="24"/>
        </w:rPr>
        <w:t xml:space="preserve">., 935 F.3d 757, 786 (9th Cir. 2019). Accepted standards of care and practice within the medical community are highly relevant in determining what care is medically acceptable and unacceptable. </w:t>
      </w:r>
      <w:r w:rsidRPr="00842D3D">
        <w:rPr>
          <w:rFonts w:eastAsia="Calibri" w:cs="Times New Roman"/>
          <w:i/>
          <w:szCs w:val="24"/>
        </w:rPr>
        <w:t>Id.</w:t>
      </w:r>
      <w:r w:rsidRPr="00842D3D">
        <w:rPr>
          <w:rFonts w:eastAsia="Calibri" w:cs="Times New Roman"/>
          <w:szCs w:val="24"/>
        </w:rPr>
        <w:t xml:space="preserve"> at 786 (explaining transgender prisoner established that the course of treatment chosen by the Idaho Department of Corrections and its medical provider to alleviate her gender dysphoria was medically unacceptable under the circumstances.) A serious </w:t>
      </w:r>
      <w:r w:rsidRPr="00842D3D">
        <w:rPr>
          <w:rFonts w:eastAsia="Calibri" w:cs="Times New Roman"/>
          <w:szCs w:val="24"/>
        </w:rPr>
        <w:lastRenderedPageBreak/>
        <w:t xml:space="preserve">medical need is present, when, for example, the “failure to treat a prisoner’s condition could result in further significant injury or the ‘unnecessary and wanton infliction of pain.’” </w:t>
      </w:r>
      <w:r w:rsidRPr="00842D3D">
        <w:rPr>
          <w:rFonts w:eastAsia="Calibri" w:cs="Times New Roman"/>
          <w:i/>
          <w:szCs w:val="24"/>
        </w:rPr>
        <w:t>Clement</w:t>
      </w:r>
      <w:r w:rsidRPr="00842D3D">
        <w:rPr>
          <w:rFonts w:eastAsia="Calibri" w:cs="Times New Roman"/>
          <w:szCs w:val="24"/>
        </w:rPr>
        <w:t>, 298 F.3d at 904 (citations omitted</w:t>
      </w:r>
      <w:r w:rsidRPr="00842D3D">
        <w:rPr>
          <w:rFonts w:eastAsia="Calibri" w:cs="Times New Roman"/>
          <w:szCs w:val="24"/>
          <w:highlight w:val="white"/>
        </w:rPr>
        <w:t>)</w:t>
      </w:r>
      <w:r w:rsidRPr="00842D3D">
        <w:rPr>
          <w:rFonts w:eastAsia="Calibri" w:cs="Times New Roman"/>
          <w:szCs w:val="24"/>
        </w:rPr>
        <w:t xml:space="preserve">. A serious medical need includes the “existence of an injury that a reasonable doctor or patient would find important and worthy of comment or treatment; the presence of a medical condition that significantly affects an individual’s daily activities; or the existence of chronic and substantial pain.” </w:t>
      </w:r>
      <w:r w:rsidRPr="00842D3D">
        <w:rPr>
          <w:rFonts w:eastAsia="Calibri" w:cs="Times New Roman"/>
          <w:i/>
          <w:szCs w:val="24"/>
        </w:rPr>
        <w:t>Russell v. Lumitap</w:t>
      </w:r>
      <w:r w:rsidRPr="00842D3D">
        <w:rPr>
          <w:rFonts w:eastAsia="Calibri" w:cs="Times New Roman"/>
          <w:szCs w:val="24"/>
        </w:rPr>
        <w:t xml:space="preserve">, 31 F.4th 729, 739 (9th Cir. 2022) (quoting </w:t>
      </w:r>
      <w:r w:rsidRPr="00842D3D">
        <w:rPr>
          <w:rFonts w:eastAsia="Calibri" w:cs="Times New Roman"/>
          <w:i/>
          <w:szCs w:val="24"/>
        </w:rPr>
        <w:t>Colwell v. Bannister</w:t>
      </w:r>
      <w:r w:rsidRPr="00842D3D">
        <w:rPr>
          <w:rFonts w:eastAsia="Calibri" w:cs="Times New Roman"/>
          <w:szCs w:val="24"/>
        </w:rPr>
        <w:t xml:space="preserve">, 763 F.3d 1060, 1066 (9th Cir. 2014)). </w:t>
      </w:r>
      <w:r w:rsidRPr="00842D3D">
        <w:rPr>
          <w:rFonts w:eastAsia="Calibri" w:cs="Times New Roman"/>
          <w:szCs w:val="24"/>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842D3D">
        <w:rPr>
          <w:rFonts w:eastAsia="Calibri" w:cs="Times New Roman"/>
          <w:i/>
          <w:szCs w:val="24"/>
          <w:highlight w:val="white"/>
        </w:rPr>
        <w:t xml:space="preserve">Colwell, </w:t>
      </w:r>
      <w:r w:rsidRPr="00842D3D">
        <w:rPr>
          <w:rFonts w:eastAsia="Calibri" w:cs="Times New Roman"/>
          <w:szCs w:val="24"/>
          <w:highlight w:val="white"/>
        </w:rPr>
        <w:t xml:space="preserve">763 F.3d at 1067. </w:t>
      </w:r>
    </w:p>
    <w:p w14:paraId="71CFEA88" w14:textId="77777777" w:rsidR="00842D3D" w:rsidRPr="00842D3D" w:rsidRDefault="00842D3D" w:rsidP="00842D3D">
      <w:pPr>
        <w:autoSpaceDE w:val="0"/>
        <w:autoSpaceDN w:val="0"/>
        <w:adjustRightInd w:val="0"/>
        <w:rPr>
          <w:rFonts w:eastAsia="Calibri" w:cs="Times New Roman"/>
          <w:szCs w:val="24"/>
        </w:rPr>
      </w:pPr>
    </w:p>
    <w:p w14:paraId="506545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Denying, delaying, or intentionally interfering with medical treatment can violate the constitution. </w:t>
      </w:r>
      <w:r w:rsidRPr="00842D3D">
        <w:rPr>
          <w:rFonts w:eastAsia="Calibri" w:cs="Times New Roman"/>
          <w:i/>
          <w:szCs w:val="24"/>
        </w:rPr>
        <w:t>Stewart v. Aranas</w:t>
      </w:r>
      <w:r w:rsidRPr="00842D3D">
        <w:rPr>
          <w:rFonts w:eastAsia="Calibri" w:cs="Times New Roman"/>
          <w:szCs w:val="24"/>
        </w:rPr>
        <w:t xml:space="preserve">, 32 F.4th 1192, 1195 (9th Cir. 2022) (quoting </w:t>
      </w:r>
      <w:r w:rsidRPr="00842D3D">
        <w:rPr>
          <w:rFonts w:eastAsia="Calibri" w:cs="Times New Roman"/>
          <w:i/>
          <w:szCs w:val="24"/>
        </w:rPr>
        <w:t>Colwell</w:t>
      </w:r>
      <w:r w:rsidRPr="00842D3D">
        <w:rPr>
          <w:rFonts w:eastAsia="Calibri" w:cs="Times New Roman"/>
          <w:szCs w:val="24"/>
        </w:rPr>
        <w:t xml:space="preserve">, 763 F.3d at 1066). In </w:t>
      </w:r>
      <w:r w:rsidRPr="00842D3D">
        <w:rPr>
          <w:rFonts w:eastAsia="Calibri" w:cs="Times New Roman"/>
          <w:i/>
          <w:szCs w:val="24"/>
        </w:rPr>
        <w:t>Stewart</w:t>
      </w:r>
      <w:r w:rsidRPr="00842D3D">
        <w:rPr>
          <w:rFonts w:eastAsia="Calibri" w:cs="Times New Roman"/>
          <w:szCs w:val="24"/>
        </w:rPr>
        <w:t xml:space="preserve">, years-long denial and delay of medical treatment of the plaintiff’s enlarged prostate resulted in long-term issues including kidney disease and erectile dysfunction, where the prisoner’s condition sharply deteriorated during his last few years at the correctional facility. </w:t>
      </w:r>
      <w:r w:rsidRPr="00842D3D">
        <w:rPr>
          <w:rFonts w:eastAsia="Calibri" w:cs="Times New Roman"/>
          <w:i/>
          <w:szCs w:val="24"/>
        </w:rPr>
        <w:t>Stewart</w:t>
      </w:r>
      <w:r w:rsidRPr="00842D3D">
        <w:rPr>
          <w:rFonts w:eastAsia="Calibri" w:cs="Times New Roman"/>
          <w:szCs w:val="24"/>
        </w:rPr>
        <w:t>, 32 F.4th at 1195-96 (noting that “[a]t some point ‘wait and see’ becomes deny and delay”).</w:t>
      </w:r>
    </w:p>
    <w:p w14:paraId="581EFDDF" w14:textId="77777777" w:rsidR="00842D3D" w:rsidRPr="00842D3D" w:rsidRDefault="00842D3D" w:rsidP="00842D3D">
      <w:pPr>
        <w:autoSpaceDE w:val="0"/>
        <w:autoSpaceDN w:val="0"/>
        <w:adjustRightInd w:val="0"/>
        <w:rPr>
          <w:rFonts w:eastAsia="Calibri" w:cs="Times New Roman"/>
          <w:szCs w:val="24"/>
        </w:rPr>
      </w:pPr>
    </w:p>
    <w:p w14:paraId="37FE286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Appropriate mental health care is also mandated by the Eighth Amendment. “[T]he Eighth Amendment’s prohibition against cruel and unusual punishment requires that prisons provide mental health care that meets ‘minimum constitutional requirements.”</w:t>
      </w:r>
      <w:r w:rsidRPr="00842D3D">
        <w:rPr>
          <w:rFonts w:eastAsia="Calibri" w:cs="Times New Roman"/>
          <w:i/>
          <w:szCs w:val="24"/>
        </w:rPr>
        <w:t xml:space="preserve"> Disability Rights Montana</w:t>
      </w:r>
      <w:r w:rsidRPr="00842D3D">
        <w:rPr>
          <w:rFonts w:eastAsia="Calibri" w:cs="Times New Roman"/>
          <w:szCs w:val="24"/>
        </w:rPr>
        <w:t xml:space="preserve"> </w:t>
      </w:r>
      <w:r w:rsidRPr="00842D3D">
        <w:rPr>
          <w:rFonts w:eastAsia="Calibri" w:cs="Times New Roman"/>
          <w:i/>
          <w:szCs w:val="24"/>
        </w:rPr>
        <w:t>v. Batista</w:t>
      </w:r>
      <w:r w:rsidRPr="00842D3D">
        <w:rPr>
          <w:rFonts w:eastAsia="Calibri" w:cs="Times New Roman"/>
          <w:szCs w:val="24"/>
        </w:rPr>
        <w:t xml:space="preserve">, 930 F.3d 1090, 1097 (9th Cir. 2019), </w:t>
      </w:r>
      <w:r w:rsidRPr="00842D3D">
        <w:rPr>
          <w:rFonts w:eastAsia="Calibri" w:cs="Times New Roman"/>
          <w:i/>
          <w:szCs w:val="24"/>
        </w:rPr>
        <w:t>quoting Brown v. Plata</w:t>
      </w:r>
      <w:r w:rsidRPr="00842D3D">
        <w:rPr>
          <w:rFonts w:eastAsia="Calibri" w:cs="Times New Roman"/>
          <w:szCs w:val="24"/>
        </w:rPr>
        <w:t>, 563 U.S. 493, 510 (2011).</w:t>
      </w:r>
    </w:p>
    <w:p w14:paraId="2C5FFF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149849D" w14:textId="77777777" w:rsidR="00C42DDC" w:rsidRPr="009E40AB" w:rsidRDefault="00C42DDC" w:rsidP="00C42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9E40AB">
        <w:rPr>
          <w:rFonts w:eastAsia="Calibri" w:cs="Times New Roman"/>
          <w:szCs w:val="24"/>
        </w:rPr>
        <w:tab/>
        <w:t xml:space="preserve">Certain conditions of confinement may violate the Eighth Amendment. For example, excess noise and prison conditions may deprive inmates of “identifiable human need[s],” such as sleep. </w:t>
      </w:r>
      <w:r w:rsidRPr="009E40AB">
        <w:rPr>
          <w:rFonts w:eastAsia="Calibri" w:cs="Times New Roman"/>
          <w:i/>
          <w:szCs w:val="24"/>
        </w:rPr>
        <w:t>See Wilson v. Seiter</w:t>
      </w:r>
      <w:r w:rsidRPr="009E40AB">
        <w:rPr>
          <w:rFonts w:eastAsia="Calibri" w:cs="Times New Roman"/>
          <w:szCs w:val="24"/>
        </w:rPr>
        <w:t xml:space="preserve">, 501 U.S. 294, 304 (1991); </w:t>
      </w:r>
      <w:r w:rsidRPr="009E40AB">
        <w:rPr>
          <w:rFonts w:eastAsia="Calibri" w:cs="Times New Roman"/>
          <w:i/>
          <w:szCs w:val="24"/>
        </w:rPr>
        <w:t>accord Rico v. Ducart</w:t>
      </w:r>
      <w:r w:rsidRPr="009E40AB">
        <w:rPr>
          <w:rFonts w:eastAsia="Calibri" w:cs="Times New Roman"/>
          <w:szCs w:val="24"/>
        </w:rPr>
        <w:t xml:space="preserve">, 980 F.3d 1292, 1299 (9th Cir. 2020) (addressing the lawfulness of officer-created noise while conducting court-ordered suicide-prevention welfare checks in a maximum security facility). While an inmate does not have a right to a quiet environment, an inmate has a right to an environment that is “reasonably free” from constant, excessive noise caused by other inmates. </w:t>
      </w:r>
      <w:r w:rsidRPr="009E40AB">
        <w:rPr>
          <w:rFonts w:eastAsia="Calibri" w:cs="Times New Roman"/>
          <w:i/>
          <w:szCs w:val="24"/>
        </w:rPr>
        <w:t>Keenan v Hall</w:t>
      </w:r>
      <w:r w:rsidRPr="009E40AB">
        <w:rPr>
          <w:rFonts w:eastAsia="Calibri" w:cs="Times New Roman"/>
          <w:szCs w:val="24"/>
        </w:rPr>
        <w:t xml:space="preserve">, 83 F.3d 1083, 1090-91 (9th Cir. 1996), </w:t>
      </w:r>
      <w:r w:rsidRPr="009E40AB">
        <w:rPr>
          <w:rFonts w:eastAsia="Calibri" w:cs="Times New Roman"/>
          <w:i/>
          <w:iCs/>
          <w:szCs w:val="24"/>
        </w:rPr>
        <w:t>amended by</w:t>
      </w:r>
      <w:r w:rsidRPr="009E40AB">
        <w:rPr>
          <w:rFonts w:eastAsia="Calibri" w:cs="Times New Roman"/>
          <w:szCs w:val="24"/>
        </w:rPr>
        <w:t xml:space="preserve">, </w:t>
      </w:r>
      <w:bookmarkStart w:id="188" w:name="_Hlk186799895"/>
      <w:r w:rsidRPr="009E40AB">
        <w:rPr>
          <w:rFonts w:eastAsia="Calibri" w:cs="Times New Roman"/>
          <w:szCs w:val="24"/>
        </w:rPr>
        <w:t xml:space="preserve">135 F.3d 1318 </w:t>
      </w:r>
      <w:bookmarkEnd w:id="188"/>
      <w:r w:rsidRPr="009E40AB">
        <w:rPr>
          <w:rFonts w:eastAsia="Calibri" w:cs="Times New Roman"/>
          <w:szCs w:val="24"/>
        </w:rPr>
        <w:t xml:space="preserve">(9th Cir. 1998) (holding that an inmate had stated a separate Eighth Amendment claim for being subjected to constant illumination with no legitimate penological purpose). An inmate has the right to outdoor exercise and personal hygiene. </w:t>
      </w:r>
      <w:r w:rsidRPr="009E40AB">
        <w:rPr>
          <w:rFonts w:eastAsia="Calibri" w:cs="Times New Roman"/>
          <w:i/>
          <w:szCs w:val="24"/>
        </w:rPr>
        <w:t>Keenan</w:t>
      </w:r>
      <w:r w:rsidRPr="009E40AB">
        <w:rPr>
          <w:rFonts w:eastAsia="Calibri" w:cs="Times New Roman"/>
          <w:szCs w:val="24"/>
        </w:rPr>
        <w:t>, 83 F.3d at 1089-91 (noting that “[d]eprivation of outdoor exercise violates the Eighth Amendment rights of inmates confined to continuous and long-term segregation” and that “[i]ndigent inmates have the right to personal hygiene supplies such as toothbrushes and soap”)</w:t>
      </w:r>
      <w:r>
        <w:rPr>
          <w:rFonts w:eastAsia="Calibri" w:cs="Times New Roman"/>
          <w:szCs w:val="24"/>
        </w:rPr>
        <w:t xml:space="preserve">. </w:t>
      </w:r>
      <w:r>
        <w:rPr>
          <w:rFonts w:eastAsia="Calibri" w:cs="Times New Roman"/>
          <w:i/>
          <w:iCs/>
          <w:szCs w:val="24"/>
        </w:rPr>
        <w:t xml:space="preserve">See also </w:t>
      </w:r>
      <w:r w:rsidRPr="00DE3ED6">
        <w:rPr>
          <w:rFonts w:eastAsia="Calibri" w:cs="Times New Roman"/>
          <w:i/>
          <w:iCs/>
          <w:szCs w:val="24"/>
        </w:rPr>
        <w:t>Cardenas-Ornelas v. Johnson</w:t>
      </w:r>
      <w:r w:rsidRPr="00DE3ED6">
        <w:rPr>
          <w:rFonts w:eastAsia="Calibri" w:cs="Times New Roman"/>
          <w:szCs w:val="24"/>
        </w:rPr>
        <w:t>,</w:t>
      </w:r>
      <w:r w:rsidRPr="00DE3ED6">
        <w:rPr>
          <w:rFonts w:eastAsia="Calibri" w:cs="Times New Roman"/>
          <w:i/>
          <w:iCs/>
          <w:szCs w:val="24"/>
        </w:rPr>
        <w:t xml:space="preserve"> </w:t>
      </w:r>
      <w:r w:rsidRPr="00DE3ED6">
        <w:rPr>
          <w:rFonts w:eastAsia="Calibri" w:cs="Times New Roman"/>
          <w:szCs w:val="24"/>
        </w:rPr>
        <w:t>165 F.4th 1234</w:t>
      </w:r>
      <w:r>
        <w:rPr>
          <w:rFonts w:eastAsia="Calibri" w:cs="Times New Roman"/>
          <w:szCs w:val="24"/>
        </w:rPr>
        <w:t>, 1241-42</w:t>
      </w:r>
      <w:r w:rsidRPr="00DE3ED6">
        <w:rPr>
          <w:rFonts w:eastAsia="Calibri" w:cs="Times New Roman"/>
          <w:szCs w:val="24"/>
        </w:rPr>
        <w:t xml:space="preserve"> (9th Cir. 202</w:t>
      </w:r>
      <w:r>
        <w:rPr>
          <w:rFonts w:eastAsia="Calibri" w:cs="Times New Roman"/>
          <w:szCs w:val="24"/>
        </w:rPr>
        <w:t>6</w:t>
      </w:r>
      <w:r w:rsidRPr="00DE3ED6">
        <w:rPr>
          <w:rFonts w:eastAsia="Calibri" w:cs="Times New Roman"/>
          <w:szCs w:val="24"/>
        </w:rPr>
        <w:t>) (</w:t>
      </w:r>
      <w:bookmarkStart w:id="189" w:name="_Hlk223985326"/>
      <w:r w:rsidRPr="00DE3ED6">
        <w:rPr>
          <w:rFonts w:eastAsia="Calibri" w:cs="Times New Roman"/>
          <w:szCs w:val="24"/>
        </w:rPr>
        <w:t xml:space="preserve">holding that a reasonable jury could find an Eighth Amendment violation based on confinement to cell for 23 to 23 1/2 hours a day except to work, even during a COVID-19 quarantine, where other </w:t>
      </w:r>
      <w:r>
        <w:rPr>
          <w:rFonts w:eastAsia="Calibri" w:cs="Times New Roman"/>
          <w:szCs w:val="24"/>
        </w:rPr>
        <w:t xml:space="preserve">similarly situated </w:t>
      </w:r>
      <w:r w:rsidRPr="00DE3ED6">
        <w:rPr>
          <w:rFonts w:eastAsia="Calibri" w:cs="Times New Roman"/>
          <w:szCs w:val="24"/>
        </w:rPr>
        <w:t>inmates were given access to outdoor exercise</w:t>
      </w:r>
      <w:bookmarkEnd w:id="189"/>
      <w:r w:rsidRPr="00DE3ED6">
        <w:rPr>
          <w:rFonts w:eastAsia="Calibri" w:cs="Times New Roman"/>
          <w:szCs w:val="24"/>
        </w:rPr>
        <w:t>)</w:t>
      </w:r>
      <w:r w:rsidRPr="009E40AB">
        <w:rPr>
          <w:rFonts w:eastAsia="Calibri" w:cs="Times New Roman"/>
          <w:szCs w:val="24"/>
        </w:rPr>
        <w:t xml:space="preserve">; </w:t>
      </w:r>
      <w:r w:rsidRPr="009E40AB">
        <w:rPr>
          <w:rFonts w:eastAsia="Calibri" w:cs="Times New Roman"/>
          <w:i/>
          <w:szCs w:val="24"/>
        </w:rPr>
        <w:t>Polanco v. Diaz</w:t>
      </w:r>
      <w:r w:rsidRPr="009E40AB">
        <w:rPr>
          <w:rFonts w:eastAsia="Calibri" w:cs="Times New Roman"/>
          <w:iCs/>
          <w:szCs w:val="24"/>
        </w:rPr>
        <w:t>,</w:t>
      </w:r>
      <w:r w:rsidRPr="009E40AB">
        <w:rPr>
          <w:rFonts w:eastAsia="Calibri" w:cs="Times New Roman"/>
          <w:szCs w:val="24"/>
        </w:rPr>
        <w:t xml:space="preserve"> 76 F.4th 918, 929 (9th Cir. 2023) (describing a “textbook case of deliberate indifference: Defendants were repeatedly admonished by experts that their COVID-19 policies were inadequate, yet they chose to disregard those warnings”). In addition, while adequate food </w:t>
      </w:r>
      <w:r w:rsidRPr="009E40AB">
        <w:rPr>
          <w:rFonts w:eastAsia="Calibri" w:cs="Times New Roman"/>
          <w:szCs w:val="24"/>
        </w:rPr>
        <w:lastRenderedPageBreak/>
        <w:t xml:space="preserve">is a basic human need protected by the Eighth Amendment, </w:t>
      </w:r>
      <w:r w:rsidRPr="009E40AB">
        <w:rPr>
          <w:rFonts w:eastAsia="Calibri" w:cs="Times New Roman"/>
          <w:i/>
          <w:szCs w:val="24"/>
        </w:rPr>
        <w:t>see Keenan</w:t>
      </w:r>
      <w:r w:rsidRPr="009E40AB">
        <w:rPr>
          <w:rFonts w:eastAsia="Calibri" w:cs="Times New Roman"/>
          <w:szCs w:val="24"/>
        </w:rPr>
        <w:t xml:space="preserve">, 83 F.3d at 1091, “[t]he Eighth Amendment ‘requires only that prisoners receive food that is adequate to maintain health.’” </w:t>
      </w:r>
      <w:r w:rsidRPr="009E40AB">
        <w:rPr>
          <w:rFonts w:eastAsia="Calibri" w:cs="Times New Roman"/>
          <w:i/>
          <w:szCs w:val="24"/>
        </w:rPr>
        <w:t>Mendiola-Martinez v. Arpaio</w:t>
      </w:r>
      <w:r w:rsidRPr="009E40AB">
        <w:rPr>
          <w:rFonts w:eastAsia="Calibri" w:cs="Times New Roman"/>
          <w:szCs w:val="24"/>
        </w:rPr>
        <w:t xml:space="preserve">, 836 F.3d 1239, 1259 (9th Cir. 2016) (citation omitted). Some conditions of confinement may establish an Eighth Amendment violation “in combination” when each alone would not suffice, but only when they have a combined effect that produces the deprivation of a single, identifiable human need such as food, warmth, or exercise—for example, a low cell temperature at night combined with a failure to issue blankets. </w:t>
      </w:r>
      <w:r w:rsidRPr="009E40AB">
        <w:rPr>
          <w:rFonts w:eastAsia="Calibri" w:cs="Times New Roman"/>
          <w:i/>
          <w:szCs w:val="24"/>
        </w:rPr>
        <w:t>Wilson</w:t>
      </w:r>
      <w:r w:rsidRPr="009E40AB">
        <w:rPr>
          <w:rFonts w:eastAsia="Calibri" w:cs="Times New Roman"/>
          <w:szCs w:val="24"/>
        </w:rPr>
        <w:t>, 501 U.S. at 304-05.</w:t>
      </w:r>
    </w:p>
    <w:p w14:paraId="13E1920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FAD09D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highlight w:val="white"/>
        </w:rPr>
      </w:pPr>
      <w:r w:rsidRPr="00842D3D">
        <w:rPr>
          <w:rFonts w:eastAsia="Calibri" w:cs="Times New Roman"/>
          <w:szCs w:val="24"/>
        </w:rPr>
        <w:tab/>
        <w:t xml:space="preserve">The Ninth Circuit rejected the argument that a plaintiff need only prove the defendant’s constructive knowledge of a substantial risk of serious harm. </w:t>
      </w:r>
      <w:r w:rsidRPr="00842D3D">
        <w:rPr>
          <w:rFonts w:eastAsia="Calibri" w:cs="Times New Roman"/>
          <w:i/>
          <w:szCs w:val="24"/>
        </w:rPr>
        <w:t>Harrington v. Scribner</w:t>
      </w:r>
      <w:r w:rsidRPr="00842D3D">
        <w:rPr>
          <w:rFonts w:eastAsia="Calibri" w:cs="Times New Roman"/>
          <w:szCs w:val="24"/>
        </w:rPr>
        <w:t xml:space="preserve">, 785 F.3d 1299, 1304 (9th Cir. 2015) (noting, however, that the “obviousness of a risk may be used to prove subjective knowledge”). With respect to claims arising under </w:t>
      </w:r>
      <w:r w:rsidRPr="00842D3D">
        <w:rPr>
          <w:rFonts w:eastAsia="Calibri" w:cs="Times New Roman"/>
          <w:i/>
          <w:szCs w:val="24"/>
        </w:rPr>
        <w:t>Monell v. Department of Social Services of City of New York</w:t>
      </w:r>
      <w:r w:rsidRPr="00842D3D">
        <w:rPr>
          <w:rFonts w:eastAsia="Calibri" w:cs="Times New Roman"/>
          <w:szCs w:val="24"/>
        </w:rPr>
        <w:t xml:space="preserve">, 436 U.S. 658 (1978), a plaintiff must show the municipality’s deliberate indifference under an “objective inquiry.” </w:t>
      </w:r>
      <w:r w:rsidRPr="00842D3D">
        <w:rPr>
          <w:rFonts w:eastAsia="Calibri" w:cs="Times New Roman"/>
          <w:i/>
          <w:szCs w:val="24"/>
        </w:rPr>
        <w:t>Castro v. County of Los Angeles</w:t>
      </w:r>
      <w:r w:rsidRPr="00842D3D">
        <w:rPr>
          <w:rFonts w:eastAsia="Calibri" w:cs="Times New Roman"/>
          <w:szCs w:val="24"/>
        </w:rPr>
        <w:t xml:space="preserve">, 833 F.3d 1060, 1076 (9th Cir. 2016) (en banc). “[T]his objective standard necessarily applied to municipalities for the practical reason that government entities, unlike individuals, do not themselves have states of mind[.]”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szCs w:val="24"/>
        </w:rPr>
        <w:tab/>
      </w:r>
    </w:p>
    <w:p w14:paraId="3C5E4B8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884412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842D3D">
        <w:rPr>
          <w:rFonts w:eastAsia="Calibri" w:cs="Times New Roman"/>
          <w:i/>
          <w:szCs w:val="24"/>
        </w:rPr>
        <w:t>Peralta v. Dillard</w:t>
      </w:r>
      <w:r w:rsidRPr="00842D3D">
        <w:rPr>
          <w:rFonts w:eastAsia="Calibri" w:cs="Times New Roman"/>
          <w:szCs w:val="24"/>
        </w:rPr>
        <w:t>, 744 F.3d 1076, 1083-84 (9th Cir. 2014) (en banc) (holding that weighing the resources available for prison dental care and the security concerns related to providing care in prison was appropriate in determining if the defendants acted with deliberate indifference).</w:t>
      </w:r>
    </w:p>
    <w:p w14:paraId="54C4371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682DAA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650B1C52" w14:textId="77777777" w:rsidR="00842D3D" w:rsidRPr="00842D3D" w:rsidRDefault="00842D3D" w:rsidP="00842D3D">
      <w:pPr>
        <w:ind w:firstLine="720"/>
        <w:rPr>
          <w:rFonts w:eastAsia="Calibri" w:cs="Times New Roman"/>
          <w:szCs w:val="24"/>
        </w:rPr>
      </w:pPr>
    </w:p>
    <w:p w14:paraId="764A65F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w:t>
      </w:r>
      <w:r w:rsidRPr="00842D3D">
        <w:rPr>
          <w:rFonts w:eastAsia="Calibri" w:cs="Times New Roman"/>
          <w:szCs w:val="24"/>
        </w:rPr>
        <w:lastRenderedPageBreak/>
        <w:t xml:space="preserve">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1F363EA0" w14:textId="77777777" w:rsidR="00842D3D" w:rsidRPr="00842D3D" w:rsidRDefault="00842D3D" w:rsidP="00842D3D">
      <w:pPr>
        <w:ind w:firstLine="720"/>
        <w:rPr>
          <w:rFonts w:eastAsia="Calibri" w:cs="Times New Roman"/>
          <w:szCs w:val="24"/>
        </w:rPr>
      </w:pPr>
    </w:p>
    <w:p w14:paraId="7F0D32B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85EEE2B" w14:textId="77777777" w:rsidR="00842D3D" w:rsidRPr="00842D3D" w:rsidRDefault="00842D3D" w:rsidP="00842D3D">
      <w:pPr>
        <w:rPr>
          <w:rFonts w:eastAsia="Calibri" w:cs="Times New Roman"/>
          <w:szCs w:val="24"/>
        </w:rPr>
      </w:pPr>
    </w:p>
    <w:p w14:paraId="2CE3CC40"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3A1F8AEB" w14:textId="77777777" w:rsidR="00842D3D" w:rsidRPr="00842D3D" w:rsidRDefault="00842D3D" w:rsidP="00842D3D">
      <w:pPr>
        <w:rPr>
          <w:rFonts w:eastAsia="Calibri" w:cs="Times New Roman"/>
          <w:szCs w:val="24"/>
        </w:rPr>
      </w:pPr>
    </w:p>
    <w:p w14:paraId="672120C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CF3501A" w14:textId="77777777" w:rsidR="00842D3D" w:rsidRPr="00842D3D" w:rsidRDefault="00842D3D" w:rsidP="00842D3D">
      <w:pPr>
        <w:rPr>
          <w:rFonts w:eastAsia="Calibri" w:cs="Times New Roman"/>
          <w:szCs w:val="24"/>
        </w:rPr>
      </w:pPr>
    </w:p>
    <w:p w14:paraId="1D54DF2C"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w:t>
      </w:r>
      <w:r w:rsidRPr="00842D3D">
        <w:rPr>
          <w:rFonts w:eastAsia="Calibri" w:cs="Times New Roman"/>
          <w:szCs w:val="24"/>
        </w:rPr>
        <w:lastRenderedPageBreak/>
        <w:t xml:space="preserve">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5C0259D9" w14:textId="77777777" w:rsidR="00842D3D" w:rsidRPr="00842D3D" w:rsidRDefault="00842D3D" w:rsidP="00842D3D">
      <w:pPr>
        <w:rPr>
          <w:rFonts w:eastAsia="Calibri" w:cs="Times New Roman"/>
          <w:szCs w:val="24"/>
        </w:rPr>
      </w:pPr>
    </w:p>
    <w:p w14:paraId="613DC2E1"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196A24E8"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8169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Ninth Circuit also addressed the relationship between the principle of deference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842D3D">
        <w:rPr>
          <w:rFonts w:eastAsia="Calibri" w:cs="Times New Roman"/>
          <w:i/>
          <w:iCs/>
          <w:szCs w:val="24"/>
        </w:rPr>
        <w:t>See Harrington</w:t>
      </w:r>
      <w:r w:rsidRPr="00842D3D">
        <w:rPr>
          <w:rFonts w:eastAsia="Calibri" w:cs="Times New Roman"/>
          <w:szCs w:val="24"/>
        </w:rPr>
        <w:t xml:space="preserve">, 785 F.3d at 1306. Indeed, “[p]risoners are protected under the Equal Protection Clause of the Fourteenth Amendment from invidious discrimination based on race.” </w:t>
      </w:r>
      <w:r w:rsidRPr="00842D3D">
        <w:rPr>
          <w:rFonts w:eastAsia="Calibri" w:cs="Times New Roman"/>
          <w:i/>
          <w:iCs/>
          <w:szCs w:val="24"/>
        </w:rPr>
        <w:t>Wolff v. McDonnell</w:t>
      </w:r>
      <w:r w:rsidRPr="00842D3D">
        <w:rPr>
          <w:rFonts w:eastAsia="Calibri"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842D3D">
        <w:rPr>
          <w:rFonts w:eastAsia="Calibri" w:cs="Times New Roman"/>
          <w:i/>
          <w:iCs/>
          <w:szCs w:val="24"/>
        </w:rPr>
        <w:t xml:space="preserve"> Harrington</w:t>
      </w:r>
      <w:r w:rsidRPr="00842D3D">
        <w:rPr>
          <w:rFonts w:eastAsia="Calibri" w:cs="Times New Roman"/>
          <w:szCs w:val="24"/>
        </w:rPr>
        <w:t xml:space="preserve">, 785 F.3d at 1305. In this context, “[i]ntentional discrimination means that a defendant acted at least in part because of the plaintiff’s race.” </w:t>
      </w:r>
      <w:r w:rsidRPr="00842D3D">
        <w:rPr>
          <w:rFonts w:eastAsia="Calibri" w:cs="Times New Roman"/>
          <w:i/>
          <w:iCs/>
          <w:szCs w:val="24"/>
        </w:rPr>
        <w:t>Id.</w:t>
      </w:r>
    </w:p>
    <w:p w14:paraId="3507B71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408FA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state must show that its race-based action is “necessary to further a compelling governmental interest” and is “narrowly tailored to serve such a governmental interest.” </w:t>
      </w:r>
      <w:r w:rsidRPr="00842D3D">
        <w:rPr>
          <w:rFonts w:eastAsia="Calibri" w:cs="Times New Roman"/>
          <w:i/>
          <w:iCs/>
          <w:szCs w:val="24"/>
        </w:rPr>
        <w:t>Id.</w:t>
      </w:r>
      <w:r w:rsidRPr="00842D3D">
        <w:rPr>
          <w:rFonts w:eastAsia="Calibri" w:cs="Times New Roman"/>
          <w:szCs w:val="24"/>
        </w:rPr>
        <w:t xml:space="preserve"> “The necessities of prison security and discipline, are a compelling government interest justifying only those uses of race that are narrowly tailored to address those necessities.” </w:t>
      </w:r>
      <w:r w:rsidRPr="00842D3D">
        <w:rPr>
          <w:rFonts w:eastAsia="Calibri" w:cs="Times New Roman"/>
          <w:i/>
          <w:iCs/>
          <w:szCs w:val="24"/>
        </w:rPr>
        <w:t>Johnson v. California</w:t>
      </w:r>
      <w:r w:rsidRPr="00842D3D">
        <w:rPr>
          <w:rFonts w:eastAsia="Calibri" w:cs="Times New Roman"/>
          <w:szCs w:val="24"/>
        </w:rPr>
        <w:t xml:space="preserve">, 543 U.S. 499, 512 (2005) (internal quotation omitted); </w:t>
      </w:r>
      <w:r w:rsidRPr="00842D3D">
        <w:rPr>
          <w:rFonts w:eastAsia="Calibri" w:cs="Times New Roman"/>
          <w:i/>
          <w:iCs/>
          <w:szCs w:val="24"/>
        </w:rPr>
        <w:t>Harrington</w:t>
      </w:r>
      <w:r w:rsidRPr="00842D3D">
        <w:rPr>
          <w:rFonts w:eastAsia="Calibri"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676CA93F" w14:textId="77777777" w:rsidR="00842D3D" w:rsidRPr="00842D3D" w:rsidRDefault="00842D3D" w:rsidP="00842D3D">
      <w:pPr>
        <w:jc w:val="right"/>
        <w:rPr>
          <w:rFonts w:eastAsia="Calibri" w:cs="Times New Roman"/>
          <w:i/>
          <w:iCs/>
          <w:szCs w:val="24"/>
        </w:rPr>
      </w:pPr>
    </w:p>
    <w:p w14:paraId="4EA5B366" w14:textId="0C155692"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C42DDC">
        <w:rPr>
          <w:rFonts w:eastAsia="Calibri" w:cs="Times New Roman"/>
          <w:i/>
          <w:iCs/>
          <w:szCs w:val="24"/>
        </w:rPr>
        <w:t>March 2026</w:t>
      </w:r>
    </w:p>
    <w:p w14:paraId="45E01DE8" w14:textId="79CC8569" w:rsidR="00842D3D" w:rsidRPr="00842D3D" w:rsidRDefault="00842D3D" w:rsidP="00FF121D">
      <w:pPr>
        <w:pStyle w:val="Heading2"/>
      </w:pPr>
      <w:r w:rsidRPr="00842D3D">
        <w:br w:type="page"/>
      </w:r>
      <w:bookmarkStart w:id="190" w:name="_Toc221525196"/>
      <w:r w:rsidRPr="00842D3D">
        <w:lastRenderedPageBreak/>
        <w:t>9.</w:t>
      </w:r>
      <w:r w:rsidR="005F1850">
        <w:t>3</w:t>
      </w:r>
      <w:r w:rsidR="003A1908">
        <w:t>2</w:t>
      </w:r>
      <w:r w:rsidRPr="00842D3D">
        <w:t xml:space="preserve"> Particular Rights—Eighth Amendment—Convicted Prisoner’s Claim of Failure to Protect</w:t>
      </w:r>
      <w:bookmarkEnd w:id="190"/>
    </w:p>
    <w:p w14:paraId="41E81C8E" w14:textId="77777777" w:rsidR="00842D3D" w:rsidRPr="00842D3D" w:rsidRDefault="00842D3D" w:rsidP="00842D3D">
      <w:pPr>
        <w:autoSpaceDE w:val="0"/>
        <w:autoSpaceDN w:val="0"/>
        <w:adjustRightInd w:val="0"/>
        <w:rPr>
          <w:rFonts w:eastAsia="Calibri" w:cs="Times New Roman"/>
          <w:szCs w:val="24"/>
        </w:rPr>
      </w:pPr>
    </w:p>
    <w:p w14:paraId="009C542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0855D4A2" w14:textId="77777777" w:rsidR="00842D3D" w:rsidRPr="00842D3D" w:rsidRDefault="00842D3D" w:rsidP="00842D3D">
      <w:pPr>
        <w:autoSpaceDE w:val="0"/>
        <w:autoSpaceDN w:val="0"/>
        <w:adjustRightInd w:val="0"/>
        <w:rPr>
          <w:rFonts w:eastAsia="Calibri" w:cs="Times New Roman"/>
          <w:szCs w:val="24"/>
        </w:rPr>
      </w:pPr>
    </w:p>
    <w:p w14:paraId="5FCB0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0B63247C" w14:textId="77777777" w:rsidR="00842D3D" w:rsidRPr="00842D3D" w:rsidRDefault="00842D3D" w:rsidP="00842D3D">
      <w:pPr>
        <w:autoSpaceDE w:val="0"/>
        <w:autoSpaceDN w:val="0"/>
        <w:adjustRightInd w:val="0"/>
        <w:rPr>
          <w:rFonts w:eastAsia="Calibri" w:cs="Times New Roman"/>
          <w:szCs w:val="24"/>
        </w:rPr>
      </w:pPr>
    </w:p>
    <w:p w14:paraId="757B5301"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with respect to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confined;</w:t>
      </w:r>
    </w:p>
    <w:p w14:paraId="172C42C7" w14:textId="77777777" w:rsidR="00842D3D" w:rsidRPr="00842D3D" w:rsidRDefault="00842D3D" w:rsidP="00842D3D">
      <w:pPr>
        <w:autoSpaceDE w:val="0"/>
        <w:autoSpaceDN w:val="0"/>
        <w:adjustRightInd w:val="0"/>
        <w:rPr>
          <w:rFonts w:eastAsia="Calibri" w:cs="Times New Roman"/>
          <w:szCs w:val="24"/>
        </w:rPr>
      </w:pPr>
    </w:p>
    <w:p w14:paraId="180A980C"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6977D056" w14:textId="77777777" w:rsidR="00842D3D" w:rsidRPr="00842D3D" w:rsidRDefault="00842D3D" w:rsidP="00842D3D">
      <w:pPr>
        <w:autoSpaceDE w:val="0"/>
        <w:autoSpaceDN w:val="0"/>
        <w:adjustRightInd w:val="0"/>
        <w:rPr>
          <w:rFonts w:eastAsia="Calibri" w:cs="Times New Roman"/>
          <w:szCs w:val="24"/>
        </w:rPr>
      </w:pPr>
    </w:p>
    <w:p w14:paraId="34805420"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3A282425" w14:textId="77777777" w:rsidR="00842D3D" w:rsidRPr="00842D3D" w:rsidRDefault="00842D3D" w:rsidP="00842D3D">
      <w:pPr>
        <w:autoSpaceDE w:val="0"/>
        <w:autoSpaceDN w:val="0"/>
        <w:adjustRightInd w:val="0"/>
        <w:rPr>
          <w:rFonts w:eastAsia="Calibri" w:cs="Times New Roman"/>
          <w:szCs w:val="24"/>
        </w:rPr>
      </w:pPr>
    </w:p>
    <w:p w14:paraId="30FF7516"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caused the plaintiff [</w:t>
      </w:r>
      <w:r w:rsidRPr="00842D3D">
        <w:rPr>
          <w:rFonts w:eastAsia="Calibri" w:cs="Times New Roman"/>
          <w:i/>
          <w:iCs/>
          <w:szCs w:val="24"/>
          <w:u w:val="single"/>
        </w:rPr>
        <w:t>name</w:t>
      </w:r>
      <w:r w:rsidRPr="00842D3D">
        <w:rPr>
          <w:rFonts w:eastAsia="Calibri" w:cs="Times New Roman"/>
          <w:szCs w:val="24"/>
        </w:rPr>
        <w:t>]’s injuries.</w:t>
      </w:r>
    </w:p>
    <w:p w14:paraId="533B9812" w14:textId="77777777" w:rsidR="00842D3D" w:rsidRPr="00842D3D" w:rsidRDefault="00842D3D" w:rsidP="00842D3D">
      <w:pPr>
        <w:autoSpaceDE w:val="0"/>
        <w:autoSpaceDN w:val="0"/>
        <w:adjustRightInd w:val="0"/>
        <w:rPr>
          <w:rFonts w:eastAsia="Calibri" w:cs="Times New Roman"/>
          <w:szCs w:val="24"/>
        </w:rPr>
      </w:pPr>
    </w:p>
    <w:p w14:paraId="3045C4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 </w:t>
      </w:r>
    </w:p>
    <w:p w14:paraId="7F914EA6" w14:textId="77777777" w:rsidR="00842D3D" w:rsidRPr="00842D3D" w:rsidRDefault="00842D3D" w:rsidP="00842D3D">
      <w:pPr>
        <w:autoSpaceDE w:val="0"/>
        <w:autoSpaceDN w:val="0"/>
        <w:adjustRightInd w:val="0"/>
        <w:rPr>
          <w:rFonts w:eastAsia="Calibri" w:cs="Times New Roman"/>
          <w:szCs w:val="24"/>
        </w:rPr>
      </w:pPr>
    </w:p>
    <w:p w14:paraId="04832DD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378179FA" w14:textId="77777777" w:rsidR="00842D3D" w:rsidRPr="00842D3D" w:rsidRDefault="00842D3D" w:rsidP="00842D3D">
      <w:pPr>
        <w:autoSpaceDE w:val="0"/>
        <w:autoSpaceDN w:val="0"/>
        <w:adjustRightInd w:val="0"/>
        <w:jc w:val="center"/>
        <w:rPr>
          <w:rFonts w:eastAsia="Calibri" w:cs="Times New Roman"/>
          <w:szCs w:val="24"/>
        </w:rPr>
      </w:pPr>
    </w:p>
    <w:p w14:paraId="7D31377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Use this instruction only in conjunction with the applicable elements instructions, Instructions 9.3-9.8, and when the plaintiff is a convicted prisoner.</w:t>
      </w:r>
    </w:p>
    <w:p w14:paraId="642AEE82" w14:textId="77777777" w:rsidR="00842D3D" w:rsidRPr="00842D3D" w:rsidRDefault="00842D3D" w:rsidP="00842D3D">
      <w:pPr>
        <w:shd w:val="clear" w:color="auto" w:fill="FFFFFF"/>
        <w:ind w:firstLine="720"/>
        <w:rPr>
          <w:rFonts w:eastAsia="Calibri" w:cs="Times New Roman"/>
          <w:szCs w:val="24"/>
        </w:rPr>
      </w:pPr>
    </w:p>
    <w:p w14:paraId="5E0CD64E"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D864973" w14:textId="77777777" w:rsidR="00842D3D" w:rsidRPr="00842D3D" w:rsidRDefault="00842D3D" w:rsidP="00842D3D">
      <w:pPr>
        <w:autoSpaceDE w:val="0"/>
        <w:autoSpaceDN w:val="0"/>
        <w:adjustRightInd w:val="0"/>
        <w:rPr>
          <w:rFonts w:eastAsia="Calibri" w:cs="Times New Roman"/>
          <w:szCs w:val="24"/>
        </w:rPr>
      </w:pPr>
    </w:p>
    <w:p w14:paraId="13BC95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imposes on prison officials a duty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This includes a duty to protect prisoners from violence at the hands of other prisoners. </w:t>
      </w:r>
      <w:r w:rsidRPr="00842D3D">
        <w:rPr>
          <w:rFonts w:eastAsia="Calibri" w:cs="Times New Roman"/>
          <w:i/>
          <w:szCs w:val="24"/>
        </w:rPr>
        <w:t>Id</w:t>
      </w:r>
      <w:r w:rsidRPr="00842D3D">
        <w:rPr>
          <w:rFonts w:eastAsia="Calibri" w:cs="Times New Roman"/>
          <w:szCs w:val="24"/>
        </w:rPr>
        <w:t xml:space="preserve">. at 833. </w:t>
      </w:r>
      <w:r w:rsidRPr="00842D3D">
        <w:rPr>
          <w:rFonts w:eastAsia="Calibri" w:cs="Times New Roman"/>
          <w:i/>
          <w:szCs w:val="24"/>
        </w:rPr>
        <w:t xml:space="preserve">See also </w:t>
      </w:r>
      <w:r w:rsidRPr="00842D3D">
        <w:rPr>
          <w:rFonts w:eastAsia="Calibri" w:cs="Times New Roman"/>
          <w:i/>
          <w:iCs/>
          <w:szCs w:val="24"/>
        </w:rPr>
        <w:t>Cortez</w:t>
      </w:r>
      <w:r w:rsidRPr="00842D3D">
        <w:rPr>
          <w:rFonts w:eastAsia="Calibri" w:cs="Times New Roman"/>
          <w:i/>
          <w:szCs w:val="24"/>
        </w:rPr>
        <w:t xml:space="preserve"> v. Skol</w:t>
      </w:r>
      <w:r w:rsidRPr="00842D3D">
        <w:rPr>
          <w:rFonts w:eastAsia="Calibri" w:cs="Times New Roman"/>
          <w:szCs w:val="24"/>
        </w:rPr>
        <w:t xml:space="preserve">, 776 F.3d 1046, 1050-53 (9th Cir. 2015) (holding that the mother of prisoner who suffered severe brain damage following an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842D3D">
        <w:rPr>
          <w:rFonts w:eastAsia="Calibri" w:cs="Times New Roman"/>
          <w:i/>
          <w:szCs w:val="24"/>
        </w:rPr>
        <w:t>Farmer</w:t>
      </w:r>
      <w:r w:rsidRPr="00842D3D">
        <w:rPr>
          <w:rFonts w:eastAsia="Calibri" w:cs="Times New Roman"/>
          <w:szCs w:val="24"/>
        </w:rPr>
        <w:t xml:space="preserve">, 511 U.S. at 828 (citing </w:t>
      </w:r>
      <w:r w:rsidRPr="00842D3D">
        <w:rPr>
          <w:rFonts w:eastAsia="Calibri" w:cs="Times New Roman"/>
          <w:i/>
          <w:szCs w:val="24"/>
        </w:rPr>
        <w:t>Wilson v. Seiter</w:t>
      </w:r>
      <w:r w:rsidRPr="00842D3D">
        <w:rPr>
          <w:rFonts w:eastAsia="Calibri" w:cs="Times New Roman"/>
          <w:szCs w:val="24"/>
        </w:rPr>
        <w:t xml:space="preserve">, 501 U.S. 294 (1991); and </w:t>
      </w:r>
      <w:r w:rsidRPr="00842D3D">
        <w:rPr>
          <w:rFonts w:eastAsia="Calibri" w:cs="Times New Roman"/>
          <w:i/>
          <w:szCs w:val="24"/>
        </w:rPr>
        <w:t>Estelle v. Gamble</w:t>
      </w:r>
      <w:r w:rsidRPr="00842D3D">
        <w:rPr>
          <w:rFonts w:eastAsia="Calibri" w:cs="Times New Roman"/>
          <w:szCs w:val="24"/>
        </w:rPr>
        <w:t xml:space="preserve">, 429 U.S. 97 (1976)). “While </w:t>
      </w:r>
      <w:r w:rsidRPr="00842D3D">
        <w:rPr>
          <w:rFonts w:eastAsia="Calibri" w:cs="Times New Roman"/>
          <w:i/>
          <w:szCs w:val="24"/>
        </w:rPr>
        <w:t xml:space="preserve">Estelle </w:t>
      </w:r>
      <w:r w:rsidRPr="00842D3D">
        <w:rPr>
          <w:rFonts w:eastAsia="Calibri" w:cs="Times New Roman"/>
          <w:szCs w:val="24"/>
        </w:rPr>
        <w:t xml:space="preserve">establishes that deliberate indifference entails something more than mere negligence, the cases are also clear that it is satisfied by something less than acts or omissions for the very purpose of causing harm or with knowledge that harm will result.” </w:t>
      </w:r>
      <w:r w:rsidRPr="00842D3D">
        <w:rPr>
          <w:rFonts w:eastAsia="Calibri" w:cs="Times New Roman"/>
          <w:i/>
          <w:szCs w:val="24"/>
        </w:rPr>
        <w:t>Id</w:t>
      </w:r>
      <w:r w:rsidRPr="00842D3D">
        <w:rPr>
          <w:rFonts w:eastAsia="Calibri" w:cs="Times New Roman"/>
          <w:szCs w:val="24"/>
        </w:rPr>
        <w:t xml:space="preserve">. at 835. </w:t>
      </w:r>
    </w:p>
    <w:p w14:paraId="44CC7959" w14:textId="77777777" w:rsidR="00842D3D" w:rsidRPr="00842D3D" w:rsidRDefault="00842D3D" w:rsidP="00842D3D">
      <w:pPr>
        <w:autoSpaceDE w:val="0"/>
        <w:autoSpaceDN w:val="0"/>
        <w:adjustRightInd w:val="0"/>
        <w:rPr>
          <w:rFonts w:eastAsia="Calibri" w:cs="Times New Roman"/>
          <w:szCs w:val="24"/>
        </w:rPr>
      </w:pPr>
    </w:p>
    <w:p w14:paraId="73581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Farmer</w:t>
      </w:r>
      <w:r w:rsidRPr="00842D3D">
        <w:rPr>
          <w:rFonts w:eastAsia="Calibri" w:cs="Times New Roman"/>
          <w:szCs w:val="24"/>
        </w:rPr>
        <w:t xml:space="preserve">, the Supreme Court held that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842D3D">
        <w:rPr>
          <w:rFonts w:eastAsia="Calibri" w:cs="Times New Roman"/>
          <w:i/>
          <w:szCs w:val="24"/>
        </w:rPr>
        <w:t>Cortez</w:t>
      </w:r>
      <w:r w:rsidRPr="00842D3D">
        <w:rPr>
          <w:rFonts w:eastAsia="Calibri" w:cs="Times New Roman"/>
          <w:szCs w:val="24"/>
        </w:rPr>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842D3D">
        <w:rPr>
          <w:rFonts w:eastAsia="Calibri" w:cs="Times New Roman"/>
          <w:i/>
          <w:szCs w:val="24"/>
        </w:rPr>
        <w:t>See also Castro v. County of Los Angeles</w:t>
      </w:r>
      <w:r w:rsidRPr="00842D3D">
        <w:rPr>
          <w:rFonts w:eastAsia="Calibri" w:cs="Times New Roman"/>
          <w:szCs w:val="24"/>
        </w:rPr>
        <w:t xml:space="preserve">, 833 F.3d. 1060, 1068, 1070-71 (9th Cir. 2016) (en banc) (distinguishing a convicted prisoner’s claim of failure to protect under the Eighth Amendment from pretrial detainee’s claim under Fourteenth Amendment, and noting that in the prison context, “the official must demonstrate a </w:t>
      </w:r>
      <w:r w:rsidRPr="00842D3D">
        <w:rPr>
          <w:rFonts w:eastAsia="Calibri" w:cs="Times New Roman"/>
          <w:i/>
          <w:szCs w:val="24"/>
        </w:rPr>
        <w:t xml:space="preserve">subjective awareness </w:t>
      </w:r>
      <w:r w:rsidRPr="00842D3D">
        <w:rPr>
          <w:rFonts w:eastAsia="Calibri" w:cs="Times New Roman"/>
          <w:szCs w:val="24"/>
        </w:rPr>
        <w:t xml:space="preserve">of the risk of harm”); </w:t>
      </w:r>
      <w:r w:rsidRPr="00842D3D">
        <w:rPr>
          <w:rFonts w:eastAsia="Calibri" w:cs="Times New Roman"/>
          <w:i/>
          <w:szCs w:val="24"/>
        </w:rPr>
        <w:t>but see Kingsley v. Hendrickson</w:t>
      </w:r>
      <w:r w:rsidRPr="00842D3D">
        <w:rPr>
          <w:rFonts w:eastAsia="Calibri" w:cs="Times New Roman"/>
          <w:szCs w:val="24"/>
        </w:rPr>
        <w:t xml:space="preserve">,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16CDA3B6" w14:textId="77777777" w:rsidR="00842D3D" w:rsidRPr="00842D3D" w:rsidRDefault="00842D3D" w:rsidP="00842D3D">
      <w:pPr>
        <w:autoSpaceDE w:val="0"/>
        <w:autoSpaceDN w:val="0"/>
        <w:adjustRightInd w:val="0"/>
        <w:rPr>
          <w:rFonts w:eastAsia="Calibri" w:cs="Times New Roman"/>
          <w:b/>
          <w:szCs w:val="24"/>
        </w:rPr>
      </w:pPr>
    </w:p>
    <w:p w14:paraId="6A0E441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xml:space="preserve">, 441 U.S. 520, 547 (1979). Courts “must defer to the </w:t>
      </w:r>
      <w:r w:rsidRPr="00842D3D">
        <w:rPr>
          <w:rFonts w:eastAsia="Calibri" w:cs="Times New Roman"/>
          <w:szCs w:val="24"/>
        </w:rPr>
        <w:lastRenderedPageBreak/>
        <w:t>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0566744" w14:textId="77777777" w:rsidR="00842D3D" w:rsidRPr="00842D3D" w:rsidRDefault="00842D3D" w:rsidP="00842D3D">
      <w:pPr>
        <w:ind w:firstLine="720"/>
        <w:rPr>
          <w:rFonts w:eastAsia="Calibri" w:cs="Times New Roman"/>
          <w:szCs w:val="24"/>
        </w:rPr>
      </w:pPr>
    </w:p>
    <w:p w14:paraId="4DC477C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0534634B" w14:textId="77777777" w:rsidR="00842D3D" w:rsidRPr="00842D3D" w:rsidRDefault="00842D3D" w:rsidP="00842D3D">
      <w:pPr>
        <w:rPr>
          <w:rFonts w:eastAsia="Calibri" w:cs="Times New Roman"/>
          <w:szCs w:val="24"/>
        </w:rPr>
      </w:pPr>
    </w:p>
    <w:p w14:paraId="45D1DEBB"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F5A8566" w14:textId="77777777" w:rsidR="00842D3D" w:rsidRPr="00842D3D" w:rsidRDefault="00842D3D" w:rsidP="00842D3D">
      <w:pPr>
        <w:rPr>
          <w:rFonts w:eastAsia="Calibri" w:cs="Times New Roman"/>
          <w:szCs w:val="24"/>
        </w:rPr>
      </w:pPr>
    </w:p>
    <w:p w14:paraId="6EBC6F3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E04B1E2" w14:textId="77777777" w:rsidR="00842D3D" w:rsidRPr="00842D3D" w:rsidRDefault="00842D3D" w:rsidP="00842D3D">
      <w:pPr>
        <w:rPr>
          <w:rFonts w:eastAsia="Calibri" w:cs="Times New Roman"/>
          <w:szCs w:val="24"/>
        </w:rPr>
      </w:pPr>
    </w:p>
    <w:p w14:paraId="2528F775"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2FA9FA81" w14:textId="77777777" w:rsidR="00842D3D" w:rsidRPr="00842D3D" w:rsidRDefault="00842D3D" w:rsidP="00842D3D">
      <w:pPr>
        <w:rPr>
          <w:rFonts w:eastAsia="Calibri" w:cs="Times New Roman"/>
          <w:szCs w:val="24"/>
        </w:rPr>
      </w:pPr>
    </w:p>
    <w:p w14:paraId="26FBE6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8D137D0"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7D56E007" w14:textId="74FACF4A" w:rsidR="00842D3D" w:rsidRPr="00842D3D" w:rsidRDefault="00842D3D" w:rsidP="00FF121D">
      <w:pPr>
        <w:pStyle w:val="Heading2"/>
      </w:pPr>
      <w:r w:rsidRPr="00842D3D">
        <w:br w:type="page"/>
      </w:r>
      <w:bookmarkStart w:id="191" w:name="_Toc221525197"/>
      <w:r w:rsidRPr="00842D3D">
        <w:lastRenderedPageBreak/>
        <w:t>9.</w:t>
      </w:r>
      <w:r w:rsidR="003A1908">
        <w:t>33</w:t>
      </w:r>
      <w:r w:rsidRPr="00842D3D">
        <w:t xml:space="preserve"> Particular Rights—Fourteenth Amendment—Pretrial </w:t>
      </w:r>
      <w:r w:rsidRPr="00842D3D">
        <w:br/>
        <w:t>Detainee’s Claim of Excessive Force</w:t>
      </w:r>
      <w:bookmarkEnd w:id="191"/>
    </w:p>
    <w:p w14:paraId="08DD78F6" w14:textId="77777777" w:rsidR="00842D3D" w:rsidRPr="00842D3D" w:rsidRDefault="00842D3D" w:rsidP="00842D3D">
      <w:pPr>
        <w:rPr>
          <w:rFonts w:eastAsia="Calibri" w:cs="Times New Roman"/>
          <w:szCs w:val="24"/>
        </w:rPr>
      </w:pPr>
    </w:p>
    <w:p w14:paraId="3376382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to prove that the acts or failures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excessive force against the plaintiff [</w:t>
      </w:r>
      <w:r w:rsidRPr="00842D3D">
        <w:rPr>
          <w:rFonts w:eastAsia="Calibri" w:cs="Times New Roman"/>
          <w:i/>
          <w:iCs/>
          <w:szCs w:val="24"/>
          <w:u w:val="single"/>
        </w:rPr>
        <w:t>name</w:t>
      </w:r>
      <w:r w:rsidRPr="00842D3D">
        <w:rPr>
          <w:rFonts w:eastAsia="Calibri" w:cs="Times New Roman"/>
          <w:szCs w:val="24"/>
        </w:rPr>
        <w:t>].</w:t>
      </w:r>
    </w:p>
    <w:p w14:paraId="59541DC2" w14:textId="77777777" w:rsidR="00842D3D" w:rsidRPr="00842D3D" w:rsidRDefault="00842D3D" w:rsidP="00842D3D">
      <w:pPr>
        <w:widowControl w:val="0"/>
        <w:ind w:firstLine="720"/>
        <w:rPr>
          <w:rFonts w:eastAsia="Calibri" w:cs="Times New Roman"/>
          <w:szCs w:val="24"/>
        </w:rPr>
      </w:pPr>
    </w:p>
    <w:p w14:paraId="0B0678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an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23CB130" w14:textId="77777777" w:rsidR="00842D3D" w:rsidRPr="00842D3D" w:rsidRDefault="00842D3D" w:rsidP="00842D3D">
      <w:pPr>
        <w:widowControl w:val="0"/>
        <w:rPr>
          <w:rFonts w:eastAsia="Calibri" w:cs="Times New Roman"/>
          <w:szCs w:val="24"/>
        </w:rPr>
      </w:pPr>
      <w:r w:rsidRPr="00842D3D">
        <w:rPr>
          <w:rFonts w:eastAsia="Calibri" w:cs="Times New Roman"/>
          <w:szCs w:val="24"/>
        </w:rPr>
        <w:t xml:space="preserve"> </w:t>
      </w:r>
    </w:p>
    <w:p w14:paraId="3D662E5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140BB5E4" w14:textId="77777777" w:rsidR="00842D3D" w:rsidRPr="00842D3D" w:rsidRDefault="00842D3D" w:rsidP="00842D3D">
      <w:pPr>
        <w:widowControl w:val="0"/>
        <w:ind w:firstLine="720"/>
        <w:rPr>
          <w:rFonts w:eastAsia="Calibri" w:cs="Times New Roman"/>
          <w:szCs w:val="24"/>
        </w:rPr>
      </w:pPr>
    </w:p>
    <w:p w14:paraId="204DA4D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purposely or knowingly used force against the plaintiff [</w:t>
      </w:r>
      <w:r w:rsidRPr="00842D3D">
        <w:rPr>
          <w:rFonts w:eastAsia="Calibri" w:cs="Times New Roman"/>
          <w:i/>
          <w:iCs/>
          <w:szCs w:val="24"/>
          <w:u w:val="single"/>
        </w:rPr>
        <w:t>name</w:t>
      </w:r>
      <w:r w:rsidRPr="00842D3D">
        <w:rPr>
          <w:rFonts w:eastAsia="Calibri" w:cs="Times New Roman"/>
          <w:szCs w:val="24"/>
        </w:rPr>
        <w:t>];</w:t>
      </w:r>
    </w:p>
    <w:p w14:paraId="5DB9FB70" w14:textId="77777777" w:rsidR="00842D3D" w:rsidRPr="00842D3D" w:rsidRDefault="00842D3D" w:rsidP="00842D3D">
      <w:pPr>
        <w:widowControl w:val="0"/>
        <w:ind w:left="1440"/>
        <w:rPr>
          <w:rFonts w:eastAsia="Calibri" w:cs="Times New Roman"/>
          <w:szCs w:val="24"/>
        </w:rPr>
      </w:pPr>
    </w:p>
    <w:p w14:paraId="42EFD30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Second, the force used against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objectively unreasonable; and</w:t>
      </w:r>
    </w:p>
    <w:p w14:paraId="057F7722" w14:textId="77777777" w:rsidR="00842D3D" w:rsidRPr="00842D3D" w:rsidRDefault="00842D3D" w:rsidP="00842D3D">
      <w:pPr>
        <w:ind w:left="720"/>
        <w:contextualSpacing/>
        <w:rPr>
          <w:rFonts w:eastAsia="Calibri" w:cs="Times New Roman"/>
          <w:szCs w:val="24"/>
        </w:rPr>
      </w:pPr>
    </w:p>
    <w:p w14:paraId="060A00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8C90F4B" w14:textId="77777777" w:rsidR="00842D3D" w:rsidRPr="00842D3D" w:rsidRDefault="00842D3D" w:rsidP="00842D3D">
      <w:pPr>
        <w:ind w:left="720"/>
        <w:contextualSpacing/>
        <w:rPr>
          <w:rFonts w:eastAsia="Calibri" w:cs="Times New Roman"/>
          <w:szCs w:val="24"/>
        </w:rPr>
      </w:pPr>
    </w:p>
    <w:p w14:paraId="645C824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In determining the objective reasonableness or unreasonableness of the force used, consider the following factors:</w:t>
      </w:r>
    </w:p>
    <w:p w14:paraId="4BFF4D1D" w14:textId="77777777" w:rsidR="00842D3D" w:rsidRPr="00842D3D" w:rsidRDefault="00842D3D" w:rsidP="00842D3D">
      <w:pPr>
        <w:widowControl w:val="0"/>
        <w:ind w:firstLine="720"/>
        <w:rPr>
          <w:rFonts w:eastAsia="Calibri" w:cs="Times New Roman"/>
          <w:szCs w:val="24"/>
        </w:rPr>
      </w:pPr>
    </w:p>
    <w:p w14:paraId="1C3E3185"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relationship between the need for the use of force and the amount of force used;</w:t>
      </w:r>
    </w:p>
    <w:p w14:paraId="18FE88F2" w14:textId="77777777" w:rsidR="00842D3D" w:rsidRPr="00842D3D" w:rsidRDefault="00842D3D" w:rsidP="00842D3D">
      <w:pPr>
        <w:widowControl w:val="0"/>
        <w:ind w:left="1440"/>
        <w:rPr>
          <w:rFonts w:eastAsia="Calibri" w:cs="Times New Roman"/>
          <w:szCs w:val="24"/>
        </w:rPr>
      </w:pPr>
    </w:p>
    <w:p w14:paraId="77D86648"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extent of the plaintiff [</w:t>
      </w:r>
      <w:r w:rsidRPr="00842D3D">
        <w:rPr>
          <w:rFonts w:eastAsia="Calibri" w:cs="Times New Roman"/>
          <w:i/>
          <w:iCs/>
          <w:szCs w:val="24"/>
          <w:u w:val="single"/>
        </w:rPr>
        <w:t>name</w:t>
      </w:r>
      <w:r w:rsidRPr="00842D3D">
        <w:rPr>
          <w:rFonts w:eastAsia="Calibri" w:cs="Times New Roman"/>
          <w:szCs w:val="24"/>
        </w:rPr>
        <w:t>]’s injury;</w:t>
      </w:r>
    </w:p>
    <w:p w14:paraId="43D8C51A" w14:textId="77777777" w:rsidR="00842D3D" w:rsidRPr="00842D3D" w:rsidRDefault="00842D3D" w:rsidP="00842D3D">
      <w:pPr>
        <w:widowControl w:val="0"/>
        <w:rPr>
          <w:rFonts w:eastAsia="Calibri" w:cs="Times New Roman"/>
          <w:szCs w:val="24"/>
        </w:rPr>
      </w:pPr>
    </w:p>
    <w:p w14:paraId="6E0E547A"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Any effort made by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temper or to limit the amount of force;</w:t>
      </w:r>
    </w:p>
    <w:p w14:paraId="36CBCAF3" w14:textId="77777777" w:rsidR="00842D3D" w:rsidRPr="00842D3D" w:rsidRDefault="00842D3D" w:rsidP="00842D3D">
      <w:pPr>
        <w:widowControl w:val="0"/>
        <w:rPr>
          <w:rFonts w:eastAsia="Calibri" w:cs="Times New Roman"/>
          <w:szCs w:val="24"/>
        </w:rPr>
      </w:pPr>
    </w:p>
    <w:p w14:paraId="4335A538"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severity of the security problem at issue;</w:t>
      </w:r>
    </w:p>
    <w:p w14:paraId="7C10201E" w14:textId="77777777" w:rsidR="00842D3D" w:rsidRPr="00842D3D" w:rsidRDefault="00842D3D" w:rsidP="00842D3D">
      <w:pPr>
        <w:widowControl w:val="0"/>
        <w:rPr>
          <w:rFonts w:eastAsia="Calibri" w:cs="Times New Roman"/>
          <w:szCs w:val="24"/>
        </w:rPr>
      </w:pPr>
    </w:p>
    <w:p w14:paraId="11AD29BE"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threat reasonably perceived by the defendant [</w:t>
      </w:r>
      <w:r w:rsidRPr="00842D3D">
        <w:rPr>
          <w:rFonts w:eastAsia="Calibri" w:cs="Times New Roman"/>
          <w:i/>
          <w:iCs/>
          <w:szCs w:val="24"/>
          <w:u w:val="single"/>
        </w:rPr>
        <w:t>name</w:t>
      </w:r>
      <w:r w:rsidRPr="00842D3D">
        <w:rPr>
          <w:rFonts w:eastAsia="Calibri" w:cs="Times New Roman"/>
          <w:szCs w:val="24"/>
        </w:rPr>
        <w:t>]; and</w:t>
      </w:r>
    </w:p>
    <w:p w14:paraId="3B2727D4" w14:textId="77777777" w:rsidR="00842D3D" w:rsidRPr="00842D3D" w:rsidRDefault="00842D3D" w:rsidP="00842D3D">
      <w:pPr>
        <w:widowControl w:val="0"/>
        <w:rPr>
          <w:rFonts w:eastAsia="Calibri" w:cs="Times New Roman"/>
          <w:szCs w:val="24"/>
        </w:rPr>
      </w:pPr>
    </w:p>
    <w:p w14:paraId="682FC6A1"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Whether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actively resisting.</w:t>
      </w:r>
    </w:p>
    <w:p w14:paraId="0BE40DCC" w14:textId="77777777" w:rsidR="00842D3D" w:rsidRPr="00842D3D" w:rsidRDefault="00842D3D" w:rsidP="00842D3D">
      <w:pPr>
        <w:ind w:left="720"/>
        <w:contextualSpacing/>
        <w:rPr>
          <w:rFonts w:eastAsia="Calibri" w:cs="Times New Roman"/>
          <w:szCs w:val="24"/>
        </w:rPr>
      </w:pPr>
    </w:p>
    <w:p w14:paraId="46F1EF86" w14:textId="77777777" w:rsidR="00842D3D" w:rsidRPr="00842D3D" w:rsidRDefault="00842D3D" w:rsidP="00842D3D">
      <w:pPr>
        <w:widowControl w:val="0"/>
        <w:ind w:left="1080"/>
        <w:rPr>
          <w:rFonts w:eastAsia="Calibri" w:cs="Times New Roman"/>
          <w:szCs w:val="24"/>
        </w:rPr>
      </w:pPr>
    </w:p>
    <w:p w14:paraId="4A7ECC29" w14:textId="77777777" w:rsidR="00842D3D" w:rsidRPr="00842D3D" w:rsidRDefault="00842D3D" w:rsidP="00842D3D">
      <w:pPr>
        <w:widowControl w:val="0"/>
        <w:ind w:left="1080"/>
        <w:rPr>
          <w:rFonts w:eastAsia="Calibri" w:cs="Times New Roman"/>
          <w:szCs w:val="24"/>
        </w:rPr>
      </w:pPr>
    </w:p>
    <w:p w14:paraId="7D6B0A9F" w14:textId="77777777" w:rsidR="00842D3D" w:rsidRPr="00842D3D" w:rsidRDefault="00842D3D" w:rsidP="00842D3D">
      <w:pPr>
        <w:rPr>
          <w:rFonts w:eastAsia="Calibri" w:cs="Times New Roman"/>
          <w:szCs w:val="24"/>
        </w:rPr>
      </w:pPr>
      <w:r w:rsidRPr="00842D3D">
        <w:rPr>
          <w:rFonts w:eastAsia="Calibri" w:cs="Times New Roman"/>
          <w:szCs w:val="24"/>
        </w:rPr>
        <w:tab/>
      </w:r>
    </w:p>
    <w:p w14:paraId="0E836BC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2CA6810" w14:textId="77777777" w:rsidR="00842D3D" w:rsidRPr="00842D3D" w:rsidRDefault="00842D3D" w:rsidP="00842D3D">
      <w:pPr>
        <w:autoSpaceDE w:val="0"/>
        <w:autoSpaceDN w:val="0"/>
        <w:adjustRightInd w:val="0"/>
        <w:jc w:val="center"/>
        <w:rPr>
          <w:rFonts w:eastAsia="Calibri" w:cs="Times New Roman"/>
          <w:b/>
          <w:szCs w:val="24"/>
        </w:rPr>
      </w:pPr>
    </w:p>
    <w:p w14:paraId="0A07258D" w14:textId="4144D354" w:rsidR="00842D3D" w:rsidRPr="00842D3D" w:rsidRDefault="00842D3D" w:rsidP="00842D3D">
      <w:pPr>
        <w:ind w:firstLine="720"/>
        <w:rPr>
          <w:rFonts w:eastAsia="Calibri" w:cs="Times New Roman"/>
          <w:bCs/>
        </w:rPr>
      </w:pPr>
      <w:r w:rsidRPr="00842D3D">
        <w:rPr>
          <w:rFonts w:eastAsia="Calibri" w:cs="Times New Roman"/>
          <w:bCs/>
        </w:rPr>
        <w:t>Use this instruction only in conjunction with the applicable elements instructions, Instructions 9.3-9.8, and when the plaintiff is a pretrial detainee and claims excessive force. If the plaintiff is a convicted prisoner when the force was used, use Instruction 9.2</w:t>
      </w:r>
      <w:r w:rsidR="00047AF1">
        <w:rPr>
          <w:rFonts w:eastAsia="Calibri" w:cs="Times New Roman"/>
          <w:bCs/>
        </w:rPr>
        <w:t>9</w:t>
      </w:r>
      <w:r w:rsidRPr="00842D3D">
        <w:rPr>
          <w:rFonts w:eastAsia="Calibri" w:cs="Times New Roman"/>
          <w:bCs/>
        </w:rPr>
        <w:t xml:space="preserve"> (Particular Rights—Eighth Amendment—Convicted Prisoner’s Claim of Excessive Force). When the plaintiff is not in custody when the force was used, use Instruction 9.2</w:t>
      </w:r>
      <w:r w:rsidR="00047AF1">
        <w:rPr>
          <w:rFonts w:eastAsia="Calibri" w:cs="Times New Roman"/>
          <w:bCs/>
        </w:rPr>
        <w:t>7</w:t>
      </w:r>
      <w:r w:rsidRPr="00842D3D">
        <w:rPr>
          <w:rFonts w:eastAsia="Calibri" w:cs="Times New Roman"/>
          <w:bCs/>
        </w:rPr>
        <w:t xml:space="preserve"> (Particular Rights—Fourth Amendment—Unreasonable Seizure of Person—Excessive Force). </w:t>
      </w:r>
    </w:p>
    <w:p w14:paraId="4F384FBD" w14:textId="77777777" w:rsidR="00842D3D" w:rsidRPr="00842D3D" w:rsidRDefault="00842D3D" w:rsidP="00842D3D">
      <w:pPr>
        <w:shd w:val="clear" w:color="auto" w:fill="FFFFFF"/>
        <w:ind w:firstLine="720"/>
        <w:rPr>
          <w:rFonts w:eastAsia="Calibri" w:cs="Times New Roman"/>
          <w:szCs w:val="24"/>
        </w:rPr>
      </w:pPr>
    </w:p>
    <w:p w14:paraId="3E57E45F" w14:textId="77777777" w:rsidR="00842D3D" w:rsidRPr="00842D3D" w:rsidRDefault="00842D3D" w:rsidP="00842D3D">
      <w:pPr>
        <w:shd w:val="clear" w:color="auto" w:fill="FFFFFF"/>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w:t>
      </w:r>
    </w:p>
    <w:p w14:paraId="4CE0DAC4" w14:textId="77777777" w:rsidR="00842D3D" w:rsidRPr="00842D3D" w:rsidRDefault="00842D3D" w:rsidP="00842D3D">
      <w:pPr>
        <w:shd w:val="clear" w:color="auto" w:fill="FFFFFF"/>
        <w:rPr>
          <w:rFonts w:eastAsia="Times New Roman" w:cs="Times New Roman"/>
          <w:szCs w:val="24"/>
        </w:rPr>
      </w:pPr>
      <w:r w:rsidRPr="00842D3D">
        <w:rPr>
          <w:rFonts w:eastAsia="Calibri" w:cs="Times New Roman"/>
          <w:szCs w:val="24"/>
        </w:rPr>
        <w:t xml:space="preserve">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9356B44" w14:textId="77777777" w:rsidR="00842D3D" w:rsidRPr="00842D3D" w:rsidRDefault="00842D3D" w:rsidP="00842D3D">
      <w:pPr>
        <w:rPr>
          <w:rFonts w:eastAsia="Calibri" w:cs="Times New Roman"/>
          <w:szCs w:val="24"/>
        </w:rPr>
      </w:pPr>
    </w:p>
    <w:p w14:paraId="4160F6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Fourteenth Amendment applies to excessive force claims brought by pretrial</w:t>
      </w:r>
    </w:p>
    <w:p w14:paraId="3FD4F5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detainees. Specifically, the Supreme Court has held, “It is clear . . . that the Due Process Clause</w:t>
      </w:r>
    </w:p>
    <w:p w14:paraId="67CEDB6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protects a pretrial detainee from the use of excessive force that amounts to punishment.” </w:t>
      </w:r>
      <w:r w:rsidRPr="00842D3D">
        <w:rPr>
          <w:rFonts w:eastAsia="Calibri" w:cs="Times New Roman"/>
          <w:i/>
          <w:szCs w:val="24"/>
        </w:rPr>
        <w:t>Graham v. Connor</w:t>
      </w:r>
      <w:r w:rsidRPr="00842D3D">
        <w:rPr>
          <w:rFonts w:eastAsia="Calibri" w:cs="Times New Roman"/>
          <w:szCs w:val="24"/>
        </w:rPr>
        <w:t xml:space="preserve">, 490 U.S. 386, 395 n.10 (1989). In </w:t>
      </w:r>
      <w:r w:rsidRPr="00842D3D">
        <w:rPr>
          <w:rFonts w:eastAsia="Calibri" w:cs="Times New Roman"/>
          <w:i/>
          <w:szCs w:val="24"/>
        </w:rPr>
        <w:t>Kingsley v. Hendrickson</w:t>
      </w:r>
      <w:r w:rsidRPr="00842D3D">
        <w:rPr>
          <w:rFonts w:eastAsia="Calibri" w:cs="Times New Roman"/>
          <w:szCs w:val="24"/>
        </w:rPr>
        <w:t xml:space="preserve">,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 Claims of excessive force asserted by pretrial detainees, while governed by the Fourteenth Amendment’s Due Process Clause, are likewise analyzed under an objective reasonableness standard. </w:t>
      </w:r>
      <w:r w:rsidRPr="00842D3D">
        <w:rPr>
          <w:rFonts w:eastAsia="Calibri" w:cs="Times New Roman"/>
          <w:i/>
          <w:szCs w:val="24"/>
        </w:rPr>
        <w:t>See Kingsley</w:t>
      </w:r>
      <w:r w:rsidRPr="00842D3D">
        <w:rPr>
          <w:rFonts w:eastAsia="Calibri" w:cs="Times New Roman"/>
          <w:szCs w:val="24"/>
        </w:rPr>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842D3D">
        <w:rPr>
          <w:rFonts w:eastAsia="Calibri" w:cs="Times New Roman"/>
          <w:i/>
          <w:szCs w:val="24"/>
        </w:rPr>
        <w:t>Id.</w:t>
      </w:r>
      <w:r w:rsidRPr="00842D3D">
        <w:rPr>
          <w:rFonts w:eastAsia="Calibri" w:cs="Times New Roman"/>
          <w:szCs w:val="24"/>
        </w:rPr>
        <w:t xml:space="preserve">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Bell v. Williams</w:t>
      </w:r>
      <w:r w:rsidRPr="00842D3D">
        <w:rPr>
          <w:rFonts w:eastAsia="Calibri" w:cs="Times New Roman"/>
          <w:szCs w:val="24"/>
        </w:rPr>
        <w:t xml:space="preserve">,108 F.4th 809, 819 (9th Cir. 2024) (citing </w:t>
      </w:r>
      <w:r w:rsidRPr="00842D3D">
        <w:rPr>
          <w:rFonts w:eastAsia="Calibri" w:cs="Times New Roman"/>
          <w:i/>
          <w:szCs w:val="24"/>
        </w:rPr>
        <w:t xml:space="preserve">Kingsley </w:t>
      </w:r>
      <w:r w:rsidRPr="00842D3D">
        <w:rPr>
          <w:rFonts w:eastAsia="Calibri" w:cs="Times New Roman"/>
          <w:szCs w:val="24"/>
        </w:rPr>
        <w:t>factors bearing on reasonableness of force used.).</w:t>
      </w:r>
    </w:p>
    <w:p w14:paraId="05C4A5CA" w14:textId="77777777" w:rsidR="00842D3D" w:rsidRPr="00842D3D" w:rsidRDefault="00842D3D" w:rsidP="00842D3D">
      <w:pPr>
        <w:autoSpaceDE w:val="0"/>
        <w:autoSpaceDN w:val="0"/>
        <w:adjustRightInd w:val="0"/>
        <w:rPr>
          <w:rFonts w:eastAsia="Calibri" w:cs="Times New Roman"/>
          <w:szCs w:val="24"/>
        </w:rPr>
      </w:pPr>
    </w:p>
    <w:p w14:paraId="6418EAE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Hyde v. City of Willcox</w:t>
      </w:r>
      <w:r w:rsidRPr="00842D3D">
        <w:rPr>
          <w:rFonts w:eastAsia="Calibri" w:cs="Times New Roman"/>
          <w:szCs w:val="24"/>
        </w:rPr>
        <w:t xml:space="preserve">, 23 F.4th 863 (9th Cir. 2022), the Ninth Circuit held that the use of force was constitutionally excessive when officers continued to use force after a pretrial </w:t>
      </w:r>
      <w:r w:rsidRPr="00842D3D">
        <w:rPr>
          <w:rFonts w:eastAsia="Calibri" w:cs="Times New Roman"/>
          <w:szCs w:val="24"/>
        </w:rPr>
        <w:lastRenderedPageBreak/>
        <w:t xml:space="preserve">detainee had been restrained and was not resisting, at least where the officers had sufficient time to realize that the detainee could no longer resist and did not pose a threat. </w:t>
      </w:r>
      <w:r w:rsidRPr="00842D3D">
        <w:rPr>
          <w:rFonts w:eastAsia="Calibri" w:cs="Times New Roman"/>
          <w:i/>
          <w:szCs w:val="24"/>
        </w:rPr>
        <w:t xml:space="preserve">Id. </w:t>
      </w:r>
      <w:r w:rsidRPr="00842D3D">
        <w:rPr>
          <w:rFonts w:eastAsia="Calibri" w:cs="Times New Roman"/>
          <w:szCs w:val="24"/>
        </w:rPr>
        <w:t xml:space="preserve">at 871. “The most important factor is whether the suspect posed an immediate threat.” </w:t>
      </w:r>
      <w:r w:rsidRPr="00842D3D">
        <w:rPr>
          <w:rFonts w:eastAsia="Calibri" w:cs="Times New Roman"/>
          <w:i/>
          <w:szCs w:val="24"/>
        </w:rPr>
        <w:t xml:space="preserve">Id. </w:t>
      </w:r>
      <w:r w:rsidRPr="00842D3D">
        <w:rPr>
          <w:rFonts w:eastAsia="Calibri" w:cs="Times New Roman"/>
          <w:szCs w:val="24"/>
        </w:rPr>
        <w:t xml:space="preserve">at 870 (citing </w:t>
      </w:r>
      <w:r w:rsidRPr="00842D3D">
        <w:rPr>
          <w:rFonts w:eastAsia="Calibri" w:cs="Times New Roman"/>
          <w:i/>
          <w:szCs w:val="24"/>
        </w:rPr>
        <w:t>Mattos v. Agarano</w:t>
      </w:r>
      <w:r w:rsidRPr="00842D3D">
        <w:rPr>
          <w:rFonts w:eastAsia="Calibri" w:cs="Times New Roman"/>
          <w:szCs w:val="24"/>
        </w:rPr>
        <w:t xml:space="preserve">, 661 F.3d 433, 441 (9th Cir. 2011) (en banc)). “This analysis is not static, and the reasonableness of force may change as the circumstances evolve.” </w:t>
      </w:r>
      <w:r w:rsidRPr="00842D3D">
        <w:rPr>
          <w:rFonts w:eastAsia="Calibri" w:cs="Times New Roman"/>
          <w:i/>
          <w:szCs w:val="24"/>
        </w:rPr>
        <w:t>Hyde</w:t>
      </w:r>
      <w:r w:rsidRPr="00842D3D">
        <w:rPr>
          <w:rFonts w:eastAsia="Calibri" w:cs="Times New Roman"/>
          <w:szCs w:val="24"/>
        </w:rPr>
        <w:t>, 23 F.4th</w:t>
      </w:r>
      <w:r w:rsidRPr="00842D3D">
        <w:rPr>
          <w:rFonts w:eastAsia="Calibri" w:cs="Times New Roman"/>
          <w:szCs w:val="24"/>
          <w:vertAlign w:val="superscript"/>
        </w:rPr>
        <w:t xml:space="preserve"> </w:t>
      </w:r>
      <w:r w:rsidRPr="00842D3D">
        <w:rPr>
          <w:rFonts w:eastAsia="Calibri" w:cs="Times New Roman"/>
          <w:szCs w:val="24"/>
        </w:rPr>
        <w:t xml:space="preserve">at 870 (citing </w:t>
      </w:r>
      <w:r w:rsidRPr="00842D3D">
        <w:rPr>
          <w:rFonts w:eastAsia="Calibri" w:cs="Times New Roman"/>
          <w:i/>
          <w:szCs w:val="24"/>
        </w:rPr>
        <w:t>Jones v. Las Vegas Metro. Police Dep’t</w:t>
      </w:r>
      <w:r w:rsidRPr="00842D3D">
        <w:rPr>
          <w:rFonts w:eastAsia="Calibri" w:cs="Times New Roman"/>
          <w:szCs w:val="24"/>
        </w:rPr>
        <w:t xml:space="preserve">, 873 F.3d 1123, 1130 (9th Cir. 2017)). Courts review these claims “from the perspective of a reasonable officer on the scene,” and take into account the particular facts and circumstances of each case. </w:t>
      </w:r>
      <w:r w:rsidRPr="00842D3D">
        <w:rPr>
          <w:rFonts w:eastAsia="Calibri" w:cs="Times New Roman"/>
          <w:i/>
          <w:szCs w:val="24"/>
        </w:rPr>
        <w:t>Bell</w:t>
      </w:r>
      <w:r w:rsidRPr="00842D3D">
        <w:rPr>
          <w:rFonts w:eastAsia="Calibri" w:cs="Times New Roman"/>
          <w:iCs/>
          <w:szCs w:val="24"/>
        </w:rPr>
        <w:t>,</w:t>
      </w:r>
      <w:r w:rsidRPr="00842D3D">
        <w:rPr>
          <w:rFonts w:eastAsia="Calibri" w:cs="Times New Roman"/>
          <w:i/>
          <w:szCs w:val="24"/>
        </w:rPr>
        <w:t xml:space="preserve"> </w:t>
      </w:r>
      <w:r w:rsidRPr="00842D3D">
        <w:rPr>
          <w:rFonts w:eastAsia="Calibri" w:cs="Times New Roman"/>
          <w:szCs w:val="24"/>
        </w:rPr>
        <w:t xml:space="preserve">108 F.4th at 819 (quoting </w:t>
      </w:r>
      <w:r w:rsidRPr="00842D3D">
        <w:rPr>
          <w:rFonts w:eastAsia="Calibri" w:cs="Times New Roman"/>
          <w:i/>
          <w:szCs w:val="24"/>
        </w:rPr>
        <w:t>Kingley</w:t>
      </w:r>
      <w:r w:rsidRPr="00842D3D">
        <w:rPr>
          <w:rFonts w:eastAsia="Calibri" w:cs="Times New Roman"/>
          <w:szCs w:val="24"/>
        </w:rPr>
        <w:t>, 576 U.S. at 397).</w:t>
      </w:r>
    </w:p>
    <w:p w14:paraId="2AF8ACC9" w14:textId="77777777" w:rsidR="00842D3D" w:rsidRPr="00842D3D" w:rsidRDefault="00842D3D" w:rsidP="00842D3D">
      <w:pPr>
        <w:ind w:firstLine="720"/>
        <w:rPr>
          <w:rFonts w:eastAsia="Calibri" w:cs="Times New Roman"/>
          <w:szCs w:val="24"/>
        </w:rPr>
      </w:pPr>
    </w:p>
    <w:p w14:paraId="210961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7FDE0FBB" w14:textId="77777777" w:rsidR="00842D3D" w:rsidRPr="00842D3D" w:rsidRDefault="00842D3D" w:rsidP="00842D3D">
      <w:pPr>
        <w:ind w:firstLine="720"/>
        <w:rPr>
          <w:rFonts w:eastAsia="Calibri" w:cs="Times New Roman"/>
          <w:szCs w:val="24"/>
        </w:rPr>
      </w:pPr>
    </w:p>
    <w:p w14:paraId="050E867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1949AE72" w14:textId="77777777" w:rsidR="00842D3D" w:rsidRPr="00842D3D" w:rsidRDefault="00842D3D" w:rsidP="00842D3D">
      <w:pPr>
        <w:rPr>
          <w:rFonts w:eastAsia="Calibri" w:cs="Times New Roman"/>
          <w:szCs w:val="24"/>
        </w:rPr>
      </w:pPr>
    </w:p>
    <w:p w14:paraId="3AB600C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w:t>
      </w:r>
      <w:r w:rsidRPr="00842D3D">
        <w:rPr>
          <w:rFonts w:eastAsia="Calibri" w:cs="Times New Roman"/>
          <w:szCs w:val="24"/>
        </w:rPr>
        <w:lastRenderedPageBreak/>
        <w:t xml:space="preserve">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73481F44" w14:textId="77777777" w:rsidR="00842D3D" w:rsidRPr="00842D3D" w:rsidRDefault="00842D3D" w:rsidP="00842D3D">
      <w:pPr>
        <w:rPr>
          <w:rFonts w:eastAsia="Calibri" w:cs="Times New Roman"/>
          <w:szCs w:val="24"/>
        </w:rPr>
      </w:pPr>
    </w:p>
    <w:p w14:paraId="30E4592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33D2B46" w14:textId="77777777" w:rsidR="00842D3D" w:rsidRPr="00842D3D" w:rsidRDefault="00842D3D" w:rsidP="00842D3D">
      <w:pPr>
        <w:rPr>
          <w:rFonts w:eastAsia="Calibri" w:cs="Times New Roman"/>
          <w:szCs w:val="24"/>
        </w:rPr>
      </w:pPr>
    </w:p>
    <w:p w14:paraId="1CB1EAC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089BA86" w14:textId="77777777" w:rsidR="00842D3D" w:rsidRPr="00842D3D" w:rsidRDefault="00842D3D" w:rsidP="00842D3D">
      <w:pPr>
        <w:rPr>
          <w:rFonts w:eastAsia="Calibri" w:cs="Times New Roman"/>
          <w:szCs w:val="24"/>
        </w:rPr>
      </w:pPr>
    </w:p>
    <w:p w14:paraId="6EC590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C5003ED" w14:textId="77777777" w:rsidR="00842D3D" w:rsidRPr="00842D3D" w:rsidRDefault="00842D3D" w:rsidP="00842D3D">
      <w:pPr>
        <w:rPr>
          <w:rFonts w:eastAsia="Calibri" w:cs="Times New Roman"/>
          <w:szCs w:val="24"/>
        </w:rPr>
      </w:pPr>
    </w:p>
    <w:p w14:paraId="14B368A7"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41C28212" w14:textId="77777777" w:rsidR="00842D3D" w:rsidRPr="00842D3D" w:rsidRDefault="00842D3D" w:rsidP="00842D3D">
      <w:pPr>
        <w:autoSpaceDE w:val="0"/>
        <w:autoSpaceDN w:val="0"/>
        <w:adjustRightInd w:val="0"/>
        <w:rPr>
          <w:rFonts w:eastAsia="Calibri" w:cs="Times New Roman"/>
          <w:szCs w:val="24"/>
          <w:shd w:val="clear" w:color="auto" w:fill="FFFFFF"/>
        </w:rPr>
      </w:pPr>
    </w:p>
    <w:p w14:paraId="5E04B7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5F6A3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11D95E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AFC9A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27C43A3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2DFA779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7CCAE8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0F4EC745" w14:textId="77777777" w:rsidR="00842D3D" w:rsidRPr="00842D3D" w:rsidRDefault="00842D3D" w:rsidP="00842D3D">
      <w:pPr>
        <w:autoSpaceDE w:val="0"/>
        <w:autoSpaceDN w:val="0"/>
        <w:adjustRightInd w:val="0"/>
        <w:rPr>
          <w:rFonts w:eastAsia="Calibri" w:cs="Times New Roman"/>
          <w:szCs w:val="24"/>
        </w:rPr>
      </w:pPr>
    </w:p>
    <w:p w14:paraId="5C3F4F3F"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September 2025</w:t>
      </w:r>
      <w:r w:rsidRPr="00842D3D">
        <w:rPr>
          <w:rFonts w:eastAsia="Calibri" w:cs="Times New Roman"/>
          <w:szCs w:val="24"/>
        </w:rPr>
        <w:br w:type="page"/>
      </w:r>
    </w:p>
    <w:p w14:paraId="03D01209" w14:textId="7AF71FF1" w:rsidR="00842D3D" w:rsidRPr="00842D3D" w:rsidRDefault="00842D3D" w:rsidP="00FF121D">
      <w:pPr>
        <w:pStyle w:val="Heading2"/>
      </w:pPr>
      <w:bookmarkStart w:id="192" w:name="_Toc221525198"/>
      <w:r w:rsidRPr="00842D3D">
        <w:lastRenderedPageBreak/>
        <w:t>9.3</w:t>
      </w:r>
      <w:r w:rsidR="003A1908">
        <w:t>4</w:t>
      </w:r>
      <w:r w:rsidRPr="00842D3D">
        <w:t xml:space="preserve"> Particular Rights—Fourteenth Amendment—Pretrial Detainee’s </w:t>
      </w:r>
      <w:r w:rsidRPr="00842D3D">
        <w:br/>
        <w:t>Claim Re Conditions of Confinement/Medical Care</w:t>
      </w:r>
      <w:bookmarkEnd w:id="192"/>
    </w:p>
    <w:p w14:paraId="605097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cr/>
      </w:r>
      <w:r w:rsidRPr="00842D3D">
        <w:rPr>
          <w:rFonts w:eastAsia="Calibri" w:cs="Times New Roman"/>
          <w:szCs w:val="24"/>
        </w:rPr>
        <w:tab/>
      </w:r>
      <w:bookmarkStart w:id="193" w:name="_Hlk86420009"/>
      <w:r w:rsidRPr="00842D3D">
        <w:rPr>
          <w:rFonts w:eastAsia="Calibri" w:cs="Times New Roman"/>
          <w:szCs w:val="24"/>
        </w:rPr>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brought a claim under the Fourteenth Amendment to the United States Constitution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asserts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failed to provide [safe conditions of confinement] [needed medical care].</w:t>
      </w:r>
    </w:p>
    <w:p w14:paraId="0EC52E49" w14:textId="77777777" w:rsidR="00842D3D" w:rsidRPr="00842D3D" w:rsidRDefault="00842D3D" w:rsidP="00842D3D">
      <w:pPr>
        <w:autoSpaceDE w:val="0"/>
        <w:autoSpaceDN w:val="0"/>
        <w:adjustRightInd w:val="0"/>
        <w:rPr>
          <w:rFonts w:eastAsia="Calibri" w:cs="Times New Roman"/>
          <w:szCs w:val="24"/>
        </w:rPr>
      </w:pPr>
    </w:p>
    <w:p w14:paraId="3D8D67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each of the following elements by a preponderance of the evidence:</w:t>
      </w:r>
    </w:p>
    <w:p w14:paraId="74BC468B" w14:textId="77777777" w:rsidR="00842D3D" w:rsidRPr="00842D3D" w:rsidRDefault="00842D3D" w:rsidP="00842D3D">
      <w:pPr>
        <w:autoSpaceDE w:val="0"/>
        <w:autoSpaceDN w:val="0"/>
        <w:adjustRightInd w:val="0"/>
        <w:rPr>
          <w:rFonts w:eastAsia="Calibri" w:cs="Times New Roman"/>
          <w:szCs w:val="24"/>
        </w:rPr>
      </w:pPr>
    </w:p>
    <w:p w14:paraId="75EB45D8"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was confined] [the denial of needed medical care];</w:t>
      </w:r>
    </w:p>
    <w:p w14:paraId="5DE35957" w14:textId="77777777" w:rsidR="00842D3D" w:rsidRPr="00842D3D" w:rsidRDefault="00842D3D" w:rsidP="00842D3D">
      <w:pPr>
        <w:autoSpaceDE w:val="0"/>
        <w:autoSpaceDN w:val="0"/>
        <w:adjustRightInd w:val="0"/>
        <w:rPr>
          <w:rFonts w:eastAsia="Calibri" w:cs="Times New Roman"/>
          <w:szCs w:val="24"/>
        </w:rPr>
      </w:pPr>
    </w:p>
    <w:p w14:paraId="75E751C4"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the [conditions of confinement] [denial of needed medical care]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4638D360" w14:textId="77777777" w:rsidR="00842D3D" w:rsidRPr="00842D3D" w:rsidRDefault="00842D3D" w:rsidP="00842D3D">
      <w:pPr>
        <w:autoSpaceDE w:val="0"/>
        <w:autoSpaceDN w:val="0"/>
        <w:adjustRightInd w:val="0"/>
        <w:rPr>
          <w:rFonts w:eastAsia="Calibri" w:cs="Times New Roman"/>
          <w:szCs w:val="24"/>
        </w:rPr>
      </w:pPr>
    </w:p>
    <w:p w14:paraId="0D11D76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the risk of serious harm, even though a reasonable officer under the circumstances would have understood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00824A5E" w14:textId="77777777" w:rsidR="00842D3D" w:rsidRPr="00842D3D" w:rsidRDefault="00842D3D" w:rsidP="00842D3D">
      <w:pPr>
        <w:autoSpaceDE w:val="0"/>
        <w:autoSpaceDN w:val="0"/>
        <w:adjustRightInd w:val="0"/>
        <w:rPr>
          <w:rFonts w:eastAsia="Calibri" w:cs="Times New Roman"/>
          <w:szCs w:val="24"/>
        </w:rPr>
      </w:pPr>
    </w:p>
    <w:p w14:paraId="216B9C7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]’s injuries.</w:t>
      </w:r>
    </w:p>
    <w:p w14:paraId="385F44EC" w14:textId="77777777" w:rsidR="00842D3D" w:rsidRPr="00842D3D" w:rsidRDefault="00842D3D" w:rsidP="00842D3D">
      <w:pPr>
        <w:autoSpaceDE w:val="0"/>
        <w:autoSpaceDN w:val="0"/>
        <w:adjustRightInd w:val="0"/>
        <w:rPr>
          <w:rFonts w:eastAsia="Calibri" w:cs="Times New Roman"/>
          <w:szCs w:val="24"/>
        </w:rPr>
      </w:pPr>
    </w:p>
    <w:p w14:paraId="39E3EB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With respect to the third element, the defendant [</w:t>
      </w:r>
      <w:r w:rsidRPr="00842D3D">
        <w:rPr>
          <w:rFonts w:eastAsia="Calibri" w:cs="Times New Roman"/>
          <w:i/>
          <w:iCs/>
          <w:szCs w:val="24"/>
          <w:u w:val="single"/>
        </w:rPr>
        <w:t>name</w:t>
      </w:r>
      <w:r w:rsidRPr="00842D3D">
        <w:rPr>
          <w:rFonts w:eastAsia="Calibri" w:cs="Times New Roman"/>
          <w:szCs w:val="24"/>
        </w:rPr>
        <w:t>]’s conduct must be objectively unreasonable.</w:t>
      </w:r>
    </w:p>
    <w:p w14:paraId="77BE88F3" w14:textId="77777777" w:rsidR="00842D3D" w:rsidRPr="00842D3D" w:rsidRDefault="00842D3D" w:rsidP="00842D3D">
      <w:pPr>
        <w:autoSpaceDE w:val="0"/>
        <w:autoSpaceDN w:val="0"/>
        <w:adjustRightInd w:val="0"/>
        <w:rPr>
          <w:rFonts w:eastAsia="Calibri" w:cs="Times New Roman"/>
          <w:szCs w:val="24"/>
        </w:rPr>
      </w:pPr>
    </w:p>
    <w:p w14:paraId="6398C9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787D92C" w14:textId="77777777" w:rsidR="00842D3D" w:rsidRPr="00842D3D" w:rsidRDefault="00842D3D" w:rsidP="00842D3D">
      <w:pPr>
        <w:shd w:val="clear" w:color="auto" w:fill="FFFFFF"/>
        <w:tabs>
          <w:tab w:val="left" w:pos="8640"/>
        </w:tabs>
        <w:ind w:firstLine="720"/>
        <w:rPr>
          <w:rFonts w:eastAsia="Calibri" w:cs="Times New Roman"/>
          <w:szCs w:val="24"/>
        </w:rPr>
      </w:pPr>
    </w:p>
    <w:p w14:paraId="31A356C9" w14:textId="77777777" w:rsidR="00842D3D" w:rsidRPr="00842D3D" w:rsidRDefault="00842D3D" w:rsidP="00842D3D">
      <w:pPr>
        <w:shd w:val="clear" w:color="auto" w:fill="FFFFFF"/>
        <w:tabs>
          <w:tab w:val="left" w:pos="8640"/>
        </w:tabs>
        <w:ind w:firstLine="720"/>
        <w:rPr>
          <w:rFonts w:eastAsia="Calibri" w:cs="Times New Roman"/>
        </w:rPr>
      </w:pPr>
      <w:r w:rsidRPr="00842D3D">
        <w:rPr>
          <w:rFonts w:eastAsia="Calibri" w:cs="Times New Roman"/>
        </w:rPr>
        <w:t>Use this instruction only in conjunction with the applicable elements instructions, Instructions 9.3-9.8, and when the plaintiff is a pretrial detainee and claims unconstitutional conditions of confinement or inadequate medical care.</w:t>
      </w:r>
    </w:p>
    <w:p w14:paraId="624522C7" w14:textId="77777777" w:rsidR="00842D3D" w:rsidRPr="00842D3D" w:rsidRDefault="00842D3D" w:rsidP="00842D3D">
      <w:pPr>
        <w:shd w:val="clear" w:color="auto" w:fill="FFFFFF"/>
        <w:tabs>
          <w:tab w:val="left" w:pos="8640"/>
        </w:tabs>
        <w:ind w:firstLine="720"/>
        <w:rPr>
          <w:rFonts w:eastAsia="Calibri" w:cs="Times New Roman"/>
          <w:szCs w:val="24"/>
        </w:rPr>
      </w:pPr>
    </w:p>
    <w:p w14:paraId="11540A42"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01A30E9" w14:textId="77777777" w:rsidR="00842D3D" w:rsidRPr="00842D3D" w:rsidRDefault="00842D3D" w:rsidP="00842D3D">
      <w:pPr>
        <w:autoSpaceDE w:val="0"/>
        <w:autoSpaceDN w:val="0"/>
        <w:adjustRightInd w:val="0"/>
        <w:rPr>
          <w:rFonts w:eastAsia="Calibri" w:cs="Times New Roman"/>
          <w:szCs w:val="24"/>
        </w:rPr>
      </w:pPr>
    </w:p>
    <w:p w14:paraId="67D3378E" w14:textId="35363654"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xml:space="preserve">, 833 F.3d 1060, 1070 (9th Cir. 2016) (en banc), the </w:t>
      </w:r>
      <w:r w:rsidRPr="00842D3D">
        <w:rPr>
          <w:rFonts w:eastAsia="Calibri" w:cs="Times New Roman"/>
          <w:szCs w:val="24"/>
        </w:rPr>
        <w:lastRenderedPageBreak/>
        <w:t xml:space="preserve">Ninth Circuit overruled </w:t>
      </w:r>
      <w:r w:rsidRPr="00842D3D">
        <w:rPr>
          <w:rFonts w:eastAsia="Calibri" w:cs="Times New Roman"/>
          <w:i/>
          <w:iCs/>
          <w:szCs w:val="24"/>
        </w:rPr>
        <w:t>Clouthier v. County of Contra Costa</w:t>
      </w:r>
      <w:r w:rsidRPr="00842D3D">
        <w:rPr>
          <w:rFonts w:eastAsia="Calibri" w:cs="Times New Roman"/>
          <w:szCs w:val="24"/>
        </w:rPr>
        <w:t xml:space="preserve">, 591 F.3d 1232, 1253-54 (9th Cir. 2010), “to the extent that it identified a single deliberate indifference standard for all § 1983 claims.” The Ninth Circuit in </w:t>
      </w:r>
      <w:r w:rsidRPr="00842D3D">
        <w:rPr>
          <w:rFonts w:eastAsia="Calibri" w:cs="Times New Roman"/>
          <w:i/>
          <w:iCs/>
          <w:szCs w:val="24"/>
        </w:rPr>
        <w:t xml:space="preserve">Castro </w:t>
      </w:r>
      <w:r w:rsidRPr="00842D3D">
        <w:rPr>
          <w:rFonts w:eastAsia="Calibri" w:cs="Times New Roman"/>
          <w:szCs w:val="24"/>
        </w:rPr>
        <w:t xml:space="preserve">also approved a jury instruction for a pretrial detainee’s claim of failure to protect. </w:t>
      </w:r>
      <w:r w:rsidRPr="00842D3D">
        <w:rPr>
          <w:rFonts w:eastAsia="Calibri" w:cs="Times New Roman"/>
          <w:i/>
          <w:iCs/>
          <w:szCs w:val="24"/>
        </w:rPr>
        <w:t xml:space="preserve">See </w:t>
      </w:r>
      <w:r w:rsidRPr="00842D3D">
        <w:rPr>
          <w:rFonts w:eastAsia="Calibri" w:cs="Times New Roman"/>
          <w:szCs w:val="24"/>
        </w:rPr>
        <w:t>Instruction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r w:rsidRPr="00842D3D">
        <w:rPr>
          <w:rFonts w:eastAsia="Calibri" w:cs="Times New Roman"/>
          <w:i/>
          <w:iCs/>
          <w:szCs w:val="24"/>
        </w:rPr>
        <w:t>see also Gordon v. County of Orange</w:t>
      </w:r>
      <w:r w:rsidRPr="00842D3D">
        <w:rPr>
          <w:rFonts w:eastAsia="Calibri" w:cs="Times New Roman"/>
          <w:szCs w:val="24"/>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842D3D">
        <w:rPr>
          <w:rFonts w:eastAsia="Calibri" w:cs="Times New Roman"/>
          <w:i/>
          <w:iCs/>
          <w:szCs w:val="24"/>
        </w:rPr>
        <w:t>Castro</w:t>
      </w:r>
      <w:r w:rsidRPr="00842D3D">
        <w:rPr>
          <w:rFonts w:eastAsia="Calibri" w:cs="Times New Roman"/>
          <w:szCs w:val="24"/>
        </w:rPr>
        <w:t xml:space="preserve">); </w:t>
      </w:r>
      <w:r w:rsidRPr="00842D3D">
        <w:rPr>
          <w:rFonts w:eastAsia="Calibri" w:cs="Times New Roman"/>
          <w:i/>
          <w:iCs/>
          <w:szCs w:val="24"/>
        </w:rPr>
        <w:t>Sandoval v. County of San Diego</w:t>
      </w:r>
      <w:r w:rsidRPr="00842D3D">
        <w:rPr>
          <w:rFonts w:eastAsia="Calibri" w:cs="Times New Roman"/>
          <w:szCs w:val="24"/>
        </w:rPr>
        <w:t xml:space="preserve">, 985 F.3d 657, 662 (9th Cir. 2021) (applying </w:t>
      </w:r>
      <w:r w:rsidRPr="00842D3D">
        <w:rPr>
          <w:rFonts w:eastAsia="Calibri" w:cs="Times New Roman"/>
          <w:i/>
          <w:iCs/>
          <w:szCs w:val="24"/>
        </w:rPr>
        <w:t xml:space="preserve">Gordon </w:t>
      </w:r>
      <w:r w:rsidRPr="00842D3D">
        <w:rPr>
          <w:rFonts w:eastAsia="Calibri" w:cs="Times New Roman"/>
          <w:szCs w:val="24"/>
        </w:rPr>
        <w:t>to nurses’ alleged failure to provide proper care to pretrial detainee).</w:t>
      </w:r>
    </w:p>
    <w:p w14:paraId="2D07256B" w14:textId="77777777" w:rsidR="00842D3D" w:rsidRPr="00842D3D" w:rsidRDefault="00842D3D" w:rsidP="00842D3D">
      <w:pPr>
        <w:widowControl w:val="0"/>
        <w:ind w:firstLine="720"/>
        <w:rPr>
          <w:rFonts w:eastAsia="Calibri" w:cs="Times New Roman"/>
          <w:szCs w:val="24"/>
        </w:rPr>
      </w:pPr>
    </w:p>
    <w:p w14:paraId="063343C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842D3D">
        <w:rPr>
          <w:rFonts w:eastAsia="Calibri" w:cs="Times New Roman"/>
          <w:i/>
          <w:szCs w:val="24"/>
        </w:rPr>
        <w:t>D’Braunstein v. Cal. Highway Patrol</w:t>
      </w:r>
      <w:r w:rsidRPr="00842D3D">
        <w:rPr>
          <w:rFonts w:eastAsia="Calibri" w:cs="Times New Roman"/>
          <w:szCs w:val="24"/>
        </w:rPr>
        <w:t xml:space="preserve">, 131 F.4th 764, 771 (9th Cir. 2025). “Officers may not act with objective deliberate indifference to such a medical need.” </w:t>
      </w:r>
      <w:r w:rsidRPr="00842D3D">
        <w:rPr>
          <w:rFonts w:eastAsia="Calibri" w:cs="Times New Roman"/>
          <w:i/>
          <w:szCs w:val="24"/>
        </w:rPr>
        <w:t>Id.</w:t>
      </w:r>
      <w:r w:rsidRPr="00842D3D">
        <w:rPr>
          <w:rFonts w:eastAsia="Calibri" w:cs="Times New Roman"/>
          <w:szCs w:val="24"/>
        </w:rPr>
        <w:t xml:space="preserve"> In</w:t>
      </w:r>
      <w:r w:rsidRPr="00842D3D">
        <w:rPr>
          <w:rFonts w:eastAsia="Calibri" w:cs="Times New Roman"/>
          <w:i/>
          <w:szCs w:val="24"/>
        </w:rPr>
        <w:t xml:space="preserve"> D’Braunstein</w:t>
      </w:r>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 </w:t>
      </w:r>
    </w:p>
    <w:p w14:paraId="77BAFA55" w14:textId="77777777" w:rsidR="00842D3D" w:rsidRPr="00842D3D" w:rsidRDefault="00842D3D" w:rsidP="00842D3D">
      <w:pPr>
        <w:widowControl w:val="0"/>
        <w:ind w:firstLine="720"/>
        <w:rPr>
          <w:rFonts w:eastAsia="Calibri" w:cs="Times New Roman"/>
          <w:szCs w:val="24"/>
        </w:rPr>
      </w:pPr>
    </w:p>
    <w:p w14:paraId="5B228A0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“pre-trial detainees do have a right to direct-view safety checks sufficient to determine whether their presentation indicates the need for medical treatment.” </w:t>
      </w:r>
      <w:r w:rsidRPr="00842D3D">
        <w:rPr>
          <w:rFonts w:eastAsia="Calibri" w:cs="Times New Roman"/>
          <w:i/>
          <w:iCs/>
          <w:szCs w:val="24"/>
        </w:rPr>
        <w:t>Gordon</w:t>
      </w:r>
      <w:r w:rsidRPr="00842D3D">
        <w:rPr>
          <w:rFonts w:eastAsia="Calibri"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infer” that a particular patient “was at serious medical risk.” </w:t>
      </w:r>
      <w:r w:rsidRPr="00842D3D">
        <w:rPr>
          <w:rFonts w:eastAsia="Calibri" w:cs="Times New Roman"/>
          <w:i/>
          <w:iCs/>
          <w:szCs w:val="24"/>
        </w:rPr>
        <w:t>Russell v. Lumitap</w:t>
      </w:r>
      <w:r w:rsidRPr="00842D3D">
        <w:rPr>
          <w:rFonts w:eastAsia="Calibri" w:cs="Times New Roman"/>
          <w:szCs w:val="24"/>
        </w:rPr>
        <w:t xml:space="preserve">, 31 F.4th 729, 742 (9th Cir. 2022). </w:t>
      </w:r>
    </w:p>
    <w:p w14:paraId="571752F7" w14:textId="77777777" w:rsidR="00842D3D" w:rsidRPr="00842D3D" w:rsidRDefault="00842D3D" w:rsidP="00842D3D">
      <w:pPr>
        <w:widowControl w:val="0"/>
        <w:ind w:firstLine="720"/>
        <w:rPr>
          <w:rFonts w:eastAsia="Calibri" w:cs="Times New Roman"/>
          <w:szCs w:val="24"/>
        </w:rPr>
      </w:pPr>
    </w:p>
    <w:p w14:paraId="34D6AE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r w:rsidRPr="00842D3D">
        <w:rPr>
          <w:rFonts w:eastAsia="Calibri" w:cs="Times New Roman"/>
          <w:i/>
          <w:iCs/>
          <w:szCs w:val="24"/>
        </w:rPr>
        <w:t>Kingsley v. Hendrickson</w:t>
      </w:r>
      <w:r w:rsidRPr="00842D3D">
        <w:rPr>
          <w:rFonts w:eastAsia="Calibri" w:cs="Times New Roman"/>
          <w:szCs w:val="24"/>
        </w:rPr>
        <w:t xml:space="preserve">, 576 U.S. 389 (2015).” The court added that under the third element discussed in the 2018 decision in </w:t>
      </w:r>
      <w:r w:rsidRPr="00842D3D">
        <w:rPr>
          <w:rFonts w:eastAsia="Calibri" w:cs="Times New Roman"/>
          <w:i/>
          <w:iCs/>
          <w:szCs w:val="24"/>
        </w:rPr>
        <w:t>Gordon</w:t>
      </w:r>
      <w:r w:rsidRPr="00842D3D">
        <w:rPr>
          <w:rFonts w:eastAsia="Calibri" w:cs="Times New Roman"/>
          <w:szCs w:val="24"/>
        </w:rPr>
        <w:t xml:space="preserve">, “[t]he plaintiff must ‘prove more than negligence but less than subjective intent—something akin to reckless disregard.’” </w:t>
      </w:r>
      <w:r w:rsidRPr="00842D3D">
        <w:rPr>
          <w:rFonts w:eastAsia="Calibri" w:cs="Times New Roman"/>
          <w:i/>
          <w:iCs/>
          <w:szCs w:val="24"/>
        </w:rPr>
        <w:t>Alexander</w:t>
      </w:r>
      <w:r w:rsidRPr="00842D3D">
        <w:rPr>
          <w:rFonts w:eastAsia="Calibri" w:cs="Times New Roman"/>
          <w:szCs w:val="24"/>
        </w:rPr>
        <w:t xml:space="preserve">, 78 F.4th at 1145 (stating that the “mere lack of due care by a state official is not enough to show a constitutional violation” under the Fourteenth Amendment) (quoting </w:t>
      </w:r>
      <w:r w:rsidRPr="00842D3D">
        <w:rPr>
          <w:rFonts w:eastAsia="Calibri" w:cs="Times New Roman"/>
          <w:i/>
          <w:iCs/>
          <w:szCs w:val="24"/>
        </w:rPr>
        <w:t>Gordon</w:t>
      </w:r>
      <w:r w:rsidRPr="00842D3D">
        <w:rPr>
          <w:rFonts w:eastAsia="Calibri" w:cs="Times New Roman"/>
          <w:szCs w:val="24"/>
        </w:rPr>
        <w:t>, 888 F.3d at 1125)).</w:t>
      </w:r>
    </w:p>
    <w:p w14:paraId="2AF8716D" w14:textId="77777777" w:rsidR="00842D3D" w:rsidRPr="00842D3D" w:rsidRDefault="00842D3D" w:rsidP="00842D3D">
      <w:pPr>
        <w:widowControl w:val="0"/>
        <w:rPr>
          <w:rFonts w:eastAsia="Calibri" w:cs="Times New Roman"/>
          <w:szCs w:val="24"/>
        </w:rPr>
      </w:pPr>
    </w:p>
    <w:p w14:paraId="182434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Fourth Amendment may also be applicable. In </w:t>
      </w:r>
      <w:r w:rsidRPr="00842D3D">
        <w:rPr>
          <w:rFonts w:eastAsia="Calibri" w:cs="Times New Roman"/>
          <w:i/>
          <w:iCs/>
          <w:szCs w:val="24"/>
        </w:rPr>
        <w:t>Graham v. Connor</w:t>
      </w:r>
      <w:r w:rsidRPr="00842D3D">
        <w:rPr>
          <w:rFonts w:eastAsia="Calibri" w:cs="Times New Roman"/>
          <w:szCs w:val="24"/>
        </w:rPr>
        <w:t xml:space="preserve">, 490 U.S. 386, 395 n.10 (1989), the Supreme Court observed that it was an open question “whether the Fourth Amendment continues to provide individuals with protection against deliberate use of excessive physical force beyond the point at which arrest ends and pretrial detention begins.” But with </w:t>
      </w:r>
      <w:r w:rsidRPr="00842D3D">
        <w:rPr>
          <w:rFonts w:eastAsia="Calibri" w:cs="Times New Roman"/>
          <w:szCs w:val="24"/>
        </w:rPr>
        <w:lastRenderedPageBreak/>
        <w:t xml:space="preserve">regard to pre-arraignment custody, the Ninth Circuit held that the Fourth Amendment provides protection against the use of excessive force. </w:t>
      </w:r>
      <w:r w:rsidRPr="00842D3D">
        <w:rPr>
          <w:rFonts w:eastAsia="Calibri" w:cs="Times New Roman"/>
          <w:i/>
          <w:iCs/>
          <w:szCs w:val="24"/>
        </w:rPr>
        <w:t>Pierce v. Multnomah County</w:t>
      </w:r>
      <w:r w:rsidRPr="00842D3D">
        <w:rPr>
          <w:rFonts w:eastAsia="Calibri" w:cs="Times New Roman"/>
          <w:szCs w:val="24"/>
        </w:rPr>
        <w:t xml:space="preserve">, 76 F.3d 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 </w:t>
      </w:r>
      <w:r w:rsidRPr="00842D3D">
        <w:rPr>
          <w:rFonts w:eastAsia="Calibri" w:cs="Times New Roman"/>
          <w:i/>
          <w:szCs w:val="24"/>
        </w:rPr>
        <w:t>see also D’Braunstein</w:t>
      </w:r>
      <w:r w:rsidRPr="00842D3D">
        <w:rPr>
          <w:rFonts w:eastAsia="Calibri" w:cs="Times New Roman"/>
          <w:szCs w:val="24"/>
        </w:rPr>
        <w:t>, 131 F.4th at 768-69 (explaining the relationship between Fourth and Fourteenth Amendment protections for arrestees and pretrial detainees regarding medical care).</w:t>
      </w:r>
    </w:p>
    <w:p w14:paraId="3FF054B7" w14:textId="77777777" w:rsidR="00842D3D" w:rsidRPr="00842D3D" w:rsidRDefault="00842D3D" w:rsidP="00842D3D">
      <w:pPr>
        <w:widowControl w:val="0"/>
        <w:ind w:firstLine="720"/>
        <w:rPr>
          <w:rFonts w:eastAsia="Calibri" w:cs="Times New Roman"/>
          <w:szCs w:val="24"/>
        </w:rPr>
      </w:pPr>
    </w:p>
    <w:p w14:paraId="01EEC6F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iCs/>
          <w:szCs w:val="24"/>
        </w:rPr>
        <w:t>Bell v. Wolfish</w:t>
      </w:r>
      <w:r w:rsidRPr="00842D3D">
        <w:rPr>
          <w:rFonts w:eastAsia="Calibri" w:cs="Times New Roman"/>
          <w:szCs w:val="24"/>
        </w:rPr>
        <w:t xml:space="preserve">, 441 U.S. 520, 547 (1979). Courts “must defer to the judgment of correctional officials unless the record contains substantial evidence showing [that] their policies are an unnecessary or unjustified response to problems of jail security.” </w:t>
      </w:r>
      <w:r w:rsidRPr="00842D3D">
        <w:rPr>
          <w:rFonts w:eastAsia="Calibri" w:cs="Times New Roman"/>
          <w:i/>
          <w:iCs/>
          <w:szCs w:val="24"/>
        </w:rPr>
        <w:t>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iCs/>
          <w:szCs w:val="24"/>
        </w:rPr>
        <w:t>Norwood v. Vance</w:t>
      </w:r>
      <w:r w:rsidRPr="00842D3D">
        <w:rPr>
          <w:rFonts w:eastAsia="Calibri" w:cs="Times New Roman"/>
          <w:szCs w:val="24"/>
        </w:rPr>
        <w:t xml:space="preserve">, 591 F.3d 1062, 1066 (9th Cir. 2010). </w:t>
      </w:r>
    </w:p>
    <w:p w14:paraId="40532348" w14:textId="77777777" w:rsidR="00842D3D" w:rsidRPr="00842D3D" w:rsidRDefault="00842D3D" w:rsidP="00842D3D">
      <w:pPr>
        <w:widowControl w:val="0"/>
        <w:ind w:firstLine="720"/>
        <w:rPr>
          <w:rFonts w:eastAsia="Calibri" w:cs="Times New Roman"/>
          <w:szCs w:val="24"/>
        </w:rPr>
      </w:pPr>
    </w:p>
    <w:p w14:paraId="507D54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iCs/>
          <w:szCs w:val="24"/>
        </w:rPr>
        <w:t xml:space="preserve">Bell </w:t>
      </w:r>
      <w:r w:rsidRPr="00842D3D">
        <w:rPr>
          <w:rFonts w:eastAsia="Calibri" w:cs="Times New Roman"/>
          <w:szCs w:val="24"/>
        </w:rPr>
        <w:t xml:space="preserve">was an error. </w:t>
      </w:r>
      <w:r w:rsidRPr="00842D3D">
        <w:rPr>
          <w:rFonts w:eastAsia="Calibri" w:cs="Times New Roman"/>
          <w:i/>
          <w:iCs/>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iCs/>
          <w:szCs w:val="24"/>
        </w:rPr>
        <w:t xml:space="preserve">Bell </w:t>
      </w:r>
      <w:r w:rsidRPr="00842D3D">
        <w:rPr>
          <w:rFonts w:eastAsia="Calibri" w:cs="Times New Roman"/>
          <w:szCs w:val="24"/>
        </w:rPr>
        <w:t xml:space="preserve">were present: first, the prison officials adopted and executed “policies and practices that in their judgment are needed to preserve internal order and discipline and to maintain institutional security,” </w:t>
      </w:r>
      <w:r w:rsidRPr="00842D3D">
        <w:rPr>
          <w:rFonts w:eastAsia="Calibri" w:cs="Times New Roman"/>
          <w:i/>
          <w:iCs/>
          <w:szCs w:val="24"/>
        </w:rPr>
        <w:t>Shorter v. Baca</w:t>
      </w:r>
      <w:r w:rsidRPr="00842D3D">
        <w:rPr>
          <w:rFonts w:eastAsia="Calibri" w:cs="Times New Roman"/>
          <w:szCs w:val="24"/>
        </w:rPr>
        <w:t xml:space="preserve">, 895 F.3d 1176, 1183 (9th Cir. 2018) (quoting </w:t>
      </w:r>
      <w:r w:rsidRPr="00842D3D">
        <w:rPr>
          <w:rFonts w:eastAsia="Calibri" w:cs="Times New Roman"/>
          <w:i/>
          <w:iCs/>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Florence</w:t>
      </w:r>
      <w:r w:rsidRPr="00842D3D">
        <w:rPr>
          <w:rFonts w:eastAsia="Calibri" w:cs="Times New Roman"/>
          <w:szCs w:val="24"/>
        </w:rPr>
        <w:t xml:space="preserve">, 566 U.S. at 323); </w:t>
      </w:r>
      <w:r w:rsidRPr="00842D3D">
        <w:rPr>
          <w:rFonts w:eastAsia="Calibri" w:cs="Times New Roman"/>
          <w:i/>
          <w:iCs/>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73133D14" w14:textId="77777777" w:rsidR="00842D3D" w:rsidRPr="00842D3D" w:rsidRDefault="00842D3D" w:rsidP="00842D3D">
      <w:pPr>
        <w:widowControl w:val="0"/>
        <w:ind w:firstLine="720"/>
        <w:rPr>
          <w:rFonts w:eastAsia="Calibri" w:cs="Times New Roman"/>
          <w:szCs w:val="24"/>
        </w:rPr>
      </w:pPr>
    </w:p>
    <w:p w14:paraId="441B16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iCs/>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iCs/>
          <w:szCs w:val="24"/>
        </w:rPr>
        <w:t>Fierro</w:t>
      </w:r>
      <w:r w:rsidRPr="00842D3D">
        <w:rPr>
          <w:rFonts w:eastAsia="Calibri" w:cs="Times New Roman"/>
          <w:szCs w:val="24"/>
        </w:rPr>
        <w:t xml:space="preserve">, 39 F.4th at 648; </w:t>
      </w:r>
      <w:r w:rsidRPr="00842D3D">
        <w:rPr>
          <w:rFonts w:eastAsia="Calibri" w:cs="Times New Roman"/>
          <w:i/>
          <w:iCs/>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w:t>
      </w:r>
      <w:r w:rsidRPr="00842D3D">
        <w:rPr>
          <w:rFonts w:eastAsia="Calibri" w:cs="Times New Roman"/>
          <w:szCs w:val="24"/>
        </w:rPr>
        <w:lastRenderedPageBreak/>
        <w:t xml:space="preserve">instruction. </w:t>
      </w:r>
      <w:r w:rsidRPr="00842D3D">
        <w:rPr>
          <w:rFonts w:eastAsia="Calibri" w:cs="Times New Roman"/>
          <w:i/>
          <w:iCs/>
          <w:szCs w:val="24"/>
        </w:rPr>
        <w:t>Fierro</w:t>
      </w:r>
      <w:r w:rsidRPr="00842D3D">
        <w:rPr>
          <w:rFonts w:eastAsia="Calibri" w:cs="Times New Roman"/>
          <w:szCs w:val="24"/>
        </w:rPr>
        <w:t>, 39 F.4th at 648.</w:t>
      </w:r>
    </w:p>
    <w:p w14:paraId="5E34B4A3" w14:textId="77777777" w:rsidR="00842D3D" w:rsidRPr="00842D3D" w:rsidRDefault="00842D3D" w:rsidP="00842D3D">
      <w:pPr>
        <w:widowControl w:val="0"/>
        <w:ind w:firstLine="720"/>
        <w:rPr>
          <w:rFonts w:eastAsia="Calibri" w:cs="Times New Roman"/>
          <w:szCs w:val="24"/>
        </w:rPr>
      </w:pPr>
    </w:p>
    <w:p w14:paraId="2702B16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cases involving the denial of medical care to prisoners, which highlight </w:t>
      </w:r>
      <w:r w:rsidRPr="00842D3D">
        <w:rPr>
          <w:rFonts w:eastAsia="Calibri" w:cs="Times New Roman"/>
          <w:i/>
          <w:iCs/>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iCs/>
          <w:szCs w:val="24"/>
        </w:rPr>
        <w:t>Chess v. Dovey</w:t>
      </w:r>
      <w:r w:rsidRPr="00842D3D">
        <w:rPr>
          <w:rFonts w:eastAsia="Calibri" w:cs="Times New Roman"/>
          <w:szCs w:val="24"/>
        </w:rPr>
        <w:t xml:space="preserve">, 790 F.3d 961, 972 (9th Cir. 2015); </w:t>
      </w:r>
      <w:r w:rsidRPr="00842D3D">
        <w:rPr>
          <w:rFonts w:eastAsia="Calibri" w:cs="Times New Roman"/>
          <w:i/>
          <w:iCs/>
          <w:szCs w:val="24"/>
        </w:rPr>
        <w:t>see also 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iCs/>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D5D5EC4" w14:textId="77777777" w:rsidR="00842D3D" w:rsidRPr="00842D3D" w:rsidRDefault="00842D3D" w:rsidP="00842D3D">
      <w:pPr>
        <w:widowControl w:val="0"/>
        <w:ind w:firstLine="720"/>
        <w:rPr>
          <w:rFonts w:eastAsia="Calibri" w:cs="Times New Roman"/>
          <w:szCs w:val="24"/>
        </w:rPr>
      </w:pPr>
    </w:p>
    <w:p w14:paraId="7209599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iCs/>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 895 F.3d at 1184 (stating that “jail officials concede[d] that there was no legitimate penological purpose for shackling mentally ill, virtually unclothed, female pretrial detainees to their cell doors for hours at a time”).</w:t>
      </w:r>
    </w:p>
    <w:p w14:paraId="6BBE241B" w14:textId="77777777" w:rsidR="00842D3D" w:rsidRPr="00842D3D" w:rsidRDefault="00842D3D" w:rsidP="00842D3D">
      <w:pPr>
        <w:widowControl w:val="0"/>
        <w:ind w:firstLine="720"/>
        <w:rPr>
          <w:rFonts w:eastAsia="Calibri" w:cs="Times New Roman"/>
          <w:szCs w:val="24"/>
        </w:rPr>
      </w:pPr>
    </w:p>
    <w:p w14:paraId="787C199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Finally, in some cases, whether or not to give deference to prison officials should be left to the jury to decide. </w:t>
      </w:r>
      <w:r w:rsidRPr="00842D3D">
        <w:rPr>
          <w:rFonts w:eastAsia="Calibri" w:cs="Times New Roman"/>
          <w:i/>
          <w:iCs/>
          <w:szCs w:val="24"/>
        </w:rPr>
        <w:t>Coston</w:t>
      </w:r>
      <w:r w:rsidRPr="00842D3D">
        <w:rPr>
          <w:rFonts w:eastAsia="Calibri" w:cs="Times New Roman"/>
          <w:szCs w:val="24"/>
        </w:rPr>
        <w:t xml:space="preserve">, 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iCs/>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iCs/>
          <w:szCs w:val="24"/>
        </w:rPr>
        <w:t>Fierro</w:t>
      </w:r>
      <w:r w:rsidRPr="00842D3D">
        <w:rPr>
          <w:rFonts w:eastAsia="Calibri" w:cs="Times New Roman"/>
          <w:szCs w:val="24"/>
        </w:rPr>
        <w:t xml:space="preserve">, 39 F.4th at 648-49 (quoting </w:t>
      </w:r>
      <w:r w:rsidRPr="00842D3D">
        <w:rPr>
          <w:rFonts w:eastAsia="Calibri" w:cs="Times New Roman"/>
          <w:i/>
          <w:iCs/>
          <w:szCs w:val="24"/>
        </w:rPr>
        <w:t>Coston</w:t>
      </w:r>
      <w:r w:rsidRPr="00842D3D">
        <w:rPr>
          <w:rFonts w:eastAsia="Calibri" w:cs="Times New Roman"/>
          <w:szCs w:val="24"/>
        </w:rPr>
        <w:t>, 13 F.4th at 735).</w:t>
      </w:r>
    </w:p>
    <w:p w14:paraId="4BEDAFF5" w14:textId="77777777" w:rsidR="00842D3D" w:rsidRPr="00842D3D" w:rsidRDefault="00842D3D" w:rsidP="00842D3D">
      <w:pPr>
        <w:widowControl w:val="0"/>
        <w:ind w:firstLine="720"/>
        <w:rPr>
          <w:rFonts w:eastAsia="Calibri" w:cs="Times New Roman"/>
          <w:szCs w:val="24"/>
        </w:rPr>
      </w:pPr>
    </w:p>
    <w:p w14:paraId="7884339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framework also applies to pretrial detainees challenging use of force and other conditions of confinement. </w:t>
      </w:r>
      <w:r w:rsidRPr="00842D3D">
        <w:rPr>
          <w:rFonts w:eastAsia="Calibri" w:cs="Times New Roman"/>
          <w:i/>
          <w:iCs/>
          <w:szCs w:val="24"/>
        </w:rPr>
        <w:t>See Fierro</w:t>
      </w:r>
      <w:r w:rsidRPr="00842D3D">
        <w:rPr>
          <w:rFonts w:eastAsia="Calibri" w:cs="Times New Roman"/>
          <w:szCs w:val="24"/>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 </w:t>
      </w:r>
      <w:r w:rsidRPr="00842D3D">
        <w:rPr>
          <w:rFonts w:eastAsia="Calibri" w:cs="Times New Roman"/>
          <w:i/>
          <w:iCs/>
          <w:szCs w:val="24"/>
        </w:rPr>
        <w:t>Kingsley</w:t>
      </w:r>
      <w:r w:rsidRPr="00842D3D">
        <w:rPr>
          <w:rFonts w:eastAsia="Calibri" w:cs="Times New Roman"/>
          <w:szCs w:val="24"/>
        </w:rPr>
        <w:t xml:space="preserve">, 576 U.S. at 397 (quoting </w:t>
      </w:r>
      <w:r w:rsidRPr="00842D3D">
        <w:rPr>
          <w:rFonts w:eastAsia="Calibri" w:cs="Times New Roman"/>
          <w:i/>
          <w:iCs/>
          <w:szCs w:val="24"/>
        </w:rPr>
        <w:t>Bell</w:t>
      </w:r>
      <w:r w:rsidRPr="00842D3D">
        <w:rPr>
          <w:rFonts w:eastAsia="Calibri" w:cs="Times New Roman"/>
          <w:szCs w:val="24"/>
        </w:rPr>
        <w:t xml:space="preserve">, 441 U.S. at 540); </w:t>
      </w:r>
      <w:r w:rsidRPr="00842D3D">
        <w:rPr>
          <w:rFonts w:eastAsia="Calibri" w:cs="Times New Roman"/>
          <w:i/>
          <w:iCs/>
          <w:szCs w:val="24"/>
        </w:rPr>
        <w:t>see also Bell v. Williams</w:t>
      </w:r>
      <w:r w:rsidRPr="00842D3D">
        <w:rPr>
          <w:rFonts w:eastAsia="Calibri" w:cs="Times New Roman"/>
          <w:szCs w:val="24"/>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02BB8BFC" w14:textId="77777777" w:rsidR="00842D3D" w:rsidRPr="00842D3D" w:rsidRDefault="00842D3D" w:rsidP="00842D3D">
      <w:pPr>
        <w:autoSpaceDE w:val="0"/>
        <w:autoSpaceDN w:val="0"/>
        <w:adjustRightInd w:val="0"/>
        <w:rPr>
          <w:rFonts w:eastAsia="Calibri" w:cs="Times New Roman"/>
          <w:szCs w:val="24"/>
        </w:rPr>
      </w:pPr>
    </w:p>
    <w:p w14:paraId="6FF60681" w14:textId="77777777" w:rsidR="00842D3D" w:rsidRPr="00842D3D" w:rsidRDefault="00842D3D" w:rsidP="00842D3D">
      <w:pPr>
        <w:jc w:val="right"/>
        <w:rPr>
          <w:rFonts w:eastAsia="Calibri" w:cs="Times New Roman"/>
          <w:szCs w:val="24"/>
        </w:rPr>
      </w:pPr>
      <w:r w:rsidRPr="00842D3D">
        <w:rPr>
          <w:rFonts w:eastAsia="Calibri" w:cs="Times New Roman"/>
          <w:i/>
          <w:iCs/>
          <w:szCs w:val="24"/>
        </w:rPr>
        <w:lastRenderedPageBreak/>
        <w:t xml:space="preserve">Revised </w:t>
      </w:r>
      <w:bookmarkEnd w:id="193"/>
      <w:r w:rsidRPr="00842D3D">
        <w:rPr>
          <w:rFonts w:eastAsia="Calibri" w:cs="Times New Roman"/>
          <w:i/>
          <w:iCs/>
          <w:szCs w:val="24"/>
        </w:rPr>
        <w:t>September 2025</w:t>
      </w:r>
    </w:p>
    <w:p w14:paraId="4C647967" w14:textId="77777777" w:rsidR="00842D3D" w:rsidRPr="00842D3D" w:rsidRDefault="00842D3D" w:rsidP="00842D3D">
      <w:pPr>
        <w:autoSpaceDE w:val="0"/>
        <w:autoSpaceDN w:val="0"/>
        <w:adjustRightInd w:val="0"/>
        <w:rPr>
          <w:rFonts w:eastAsia="Calibri" w:cs="Times New Roman"/>
          <w:szCs w:val="24"/>
        </w:rPr>
      </w:pPr>
    </w:p>
    <w:p w14:paraId="45923C9C" w14:textId="77777777" w:rsidR="00842D3D" w:rsidRPr="00842D3D" w:rsidRDefault="00842D3D" w:rsidP="00842D3D">
      <w:pPr>
        <w:jc w:val="right"/>
        <w:rPr>
          <w:rFonts w:eastAsia="Calibri" w:cs="Times New Roman"/>
          <w:szCs w:val="24"/>
        </w:rPr>
      </w:pPr>
      <w:r w:rsidRPr="00842D3D">
        <w:rPr>
          <w:rFonts w:eastAsia="Calibri" w:cs="Times New Roman"/>
          <w:szCs w:val="24"/>
        </w:rPr>
        <w:br w:type="page"/>
      </w:r>
    </w:p>
    <w:p w14:paraId="162BFE7F" w14:textId="621D61C2" w:rsidR="00842D3D" w:rsidRPr="00842D3D" w:rsidRDefault="00842D3D" w:rsidP="00FF121D">
      <w:pPr>
        <w:pStyle w:val="Heading2"/>
      </w:pPr>
      <w:bookmarkStart w:id="194" w:name="_Toc221525199"/>
      <w:r w:rsidRPr="00842D3D">
        <w:lastRenderedPageBreak/>
        <w:t>9.3</w:t>
      </w:r>
      <w:r w:rsidR="003A1908">
        <w:t>5</w:t>
      </w:r>
      <w:r w:rsidRPr="00842D3D">
        <w:t xml:space="preserve"> Particular Rights—Fourteenth Amendment—Pretrial </w:t>
      </w:r>
      <w:r w:rsidRPr="00842D3D">
        <w:br/>
        <w:t>Detainee’s Claim of Failure to Protect</w:t>
      </w:r>
      <w:bookmarkEnd w:id="194"/>
    </w:p>
    <w:p w14:paraId="30CF0F1A" w14:textId="77777777" w:rsidR="00842D3D" w:rsidRPr="00842D3D" w:rsidRDefault="00842D3D" w:rsidP="00842D3D">
      <w:pPr>
        <w:rPr>
          <w:rFonts w:eastAsia="Calibri" w:cs="Times New Roman"/>
          <w:szCs w:val="24"/>
        </w:rPr>
      </w:pPr>
    </w:p>
    <w:p w14:paraId="12831E6E" w14:textId="77777777" w:rsidR="00842D3D" w:rsidRPr="00842D3D" w:rsidRDefault="00842D3D" w:rsidP="00842D3D">
      <w:pPr>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Under the Fourteenth Amendment, a pretrial detainee has the right to be protected while in custody. </w:t>
      </w:r>
    </w:p>
    <w:p w14:paraId="4B332E76" w14:textId="77777777" w:rsidR="00842D3D" w:rsidRPr="00842D3D" w:rsidRDefault="00842D3D" w:rsidP="00842D3D">
      <w:pPr>
        <w:rPr>
          <w:rFonts w:eastAsia="Calibri" w:cs="Times New Roman"/>
          <w:szCs w:val="24"/>
        </w:rPr>
      </w:pPr>
    </w:p>
    <w:p w14:paraId="058A502B" w14:textId="77777777" w:rsidR="00842D3D" w:rsidRPr="00842D3D" w:rsidRDefault="00842D3D" w:rsidP="00842D3D">
      <w:pPr>
        <w:ind w:firstLine="720"/>
        <w:rPr>
          <w:rFonts w:eastAsia="Calibri" w:cs="Times New Roman"/>
          <w:szCs w:val="24"/>
        </w:rPr>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the following additional elements by a preponderance of the evidence:  </w:t>
      </w:r>
    </w:p>
    <w:p w14:paraId="2632394B" w14:textId="77777777" w:rsidR="00842D3D" w:rsidRPr="00842D3D" w:rsidRDefault="00842D3D" w:rsidP="00842D3D">
      <w:pPr>
        <w:rPr>
          <w:rFonts w:eastAsia="Calibri" w:cs="Times New Roman"/>
          <w:szCs w:val="24"/>
        </w:rPr>
      </w:pPr>
    </w:p>
    <w:p w14:paraId="6FCCCA82" w14:textId="77777777" w:rsidR="00842D3D" w:rsidRPr="00842D3D" w:rsidRDefault="00842D3D" w:rsidP="00842D3D">
      <w:pPr>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was confined;  </w:t>
      </w:r>
    </w:p>
    <w:p w14:paraId="1E81DC62" w14:textId="77777777" w:rsidR="00842D3D" w:rsidRPr="00842D3D" w:rsidRDefault="00842D3D" w:rsidP="00842D3D">
      <w:pPr>
        <w:ind w:firstLine="720"/>
        <w:rPr>
          <w:rFonts w:eastAsia="Calibri" w:cs="Times New Roman"/>
          <w:szCs w:val="24"/>
        </w:rPr>
      </w:pPr>
    </w:p>
    <w:p w14:paraId="76F05884" w14:textId="77777777" w:rsidR="00842D3D" w:rsidRPr="00842D3D" w:rsidRDefault="00842D3D" w:rsidP="00842D3D">
      <w:pPr>
        <w:ind w:firstLine="720"/>
        <w:rPr>
          <w:rFonts w:eastAsia="Calibri" w:cs="Times New Roman"/>
          <w:szCs w:val="24"/>
        </w:rPr>
      </w:pPr>
      <w:r w:rsidRPr="00842D3D">
        <w:rPr>
          <w:rFonts w:eastAsia="Calibri" w:cs="Times New Roman"/>
          <w:szCs w:val="24"/>
        </w:rPr>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at substantial risk of suffering serious harm;  </w:t>
      </w:r>
    </w:p>
    <w:p w14:paraId="7D80B3A4" w14:textId="77777777" w:rsidR="00842D3D" w:rsidRPr="00842D3D" w:rsidRDefault="00842D3D" w:rsidP="00842D3D">
      <w:pPr>
        <w:ind w:firstLine="720"/>
        <w:rPr>
          <w:rFonts w:eastAsia="Calibri" w:cs="Times New Roman"/>
          <w:szCs w:val="24"/>
        </w:rPr>
      </w:pPr>
    </w:p>
    <w:p w14:paraId="4D7885CD" w14:textId="77777777"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 xml:space="preserve">]’s conduct obvious; and  </w:t>
      </w:r>
    </w:p>
    <w:p w14:paraId="23B1E09E" w14:textId="77777777" w:rsidR="00842D3D" w:rsidRPr="00842D3D" w:rsidRDefault="00842D3D" w:rsidP="00842D3D">
      <w:pPr>
        <w:ind w:firstLine="720"/>
        <w:rPr>
          <w:rFonts w:eastAsia="Calibri" w:cs="Times New Roman"/>
          <w:szCs w:val="24"/>
        </w:rPr>
      </w:pPr>
    </w:p>
    <w:p w14:paraId="7A02CA63" w14:textId="77777777" w:rsidR="00842D3D" w:rsidRPr="00842D3D" w:rsidRDefault="00842D3D" w:rsidP="00842D3D">
      <w:pPr>
        <w:ind w:firstLine="720"/>
        <w:rPr>
          <w:rFonts w:eastAsia="Calibri" w:cs="Times New Roman"/>
          <w:szCs w:val="24"/>
        </w:rPr>
      </w:pPr>
      <w:r w:rsidRPr="00842D3D">
        <w:rPr>
          <w:rFonts w:eastAsia="Calibri" w:cs="Times New Roman"/>
          <w:szCs w:val="24"/>
        </w:rPr>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 xml:space="preserve">]’s injuries. </w:t>
      </w:r>
    </w:p>
    <w:p w14:paraId="581B329F" w14:textId="77777777" w:rsidR="00842D3D" w:rsidRPr="00842D3D" w:rsidRDefault="00842D3D" w:rsidP="00842D3D">
      <w:pPr>
        <w:rPr>
          <w:rFonts w:eastAsia="Calibri" w:cs="Times New Roman"/>
          <w:szCs w:val="24"/>
        </w:rPr>
      </w:pPr>
    </w:p>
    <w:p w14:paraId="2671E4F1" w14:textId="77777777" w:rsidR="00842D3D" w:rsidRPr="00842D3D" w:rsidRDefault="00842D3D" w:rsidP="00842D3D">
      <w:pPr>
        <w:rPr>
          <w:rFonts w:eastAsia="Calibri" w:cs="Times New Roman"/>
          <w:szCs w:val="24"/>
        </w:rPr>
      </w:pPr>
      <w:r w:rsidRPr="00842D3D">
        <w:rPr>
          <w:rFonts w:eastAsia="Calibri" w:cs="Times New Roman"/>
          <w:szCs w:val="24"/>
        </w:rPr>
        <w:tab/>
        <w:t>With respect to the third element, the defendant [</w:t>
      </w:r>
      <w:r w:rsidRPr="00842D3D">
        <w:rPr>
          <w:rFonts w:eastAsia="Calibri" w:cs="Times New Roman"/>
          <w:i/>
          <w:iCs/>
          <w:szCs w:val="24"/>
          <w:u w:val="single"/>
        </w:rPr>
        <w:t>name</w:t>
      </w:r>
      <w:r w:rsidRPr="00842D3D">
        <w:rPr>
          <w:rFonts w:eastAsia="Calibri" w:cs="Times New Roman"/>
          <w:szCs w:val="24"/>
        </w:rPr>
        <w:t xml:space="preserve">]’s conduct must be objectively unreasonable. </w:t>
      </w:r>
    </w:p>
    <w:p w14:paraId="7A68A998" w14:textId="77777777" w:rsidR="00842D3D" w:rsidRPr="00842D3D" w:rsidRDefault="00842D3D" w:rsidP="00842D3D">
      <w:pPr>
        <w:rPr>
          <w:rFonts w:eastAsia="Calibri" w:cs="Times New Roman"/>
          <w:szCs w:val="24"/>
        </w:rPr>
      </w:pPr>
    </w:p>
    <w:p w14:paraId="1C3F2754"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3DD485C7" w14:textId="77777777" w:rsidR="00842D3D" w:rsidRPr="00842D3D" w:rsidRDefault="00842D3D" w:rsidP="00842D3D">
      <w:pPr>
        <w:jc w:val="center"/>
        <w:rPr>
          <w:rFonts w:eastAsia="Calibri" w:cs="Times New Roman"/>
          <w:b/>
          <w:szCs w:val="24"/>
        </w:rPr>
      </w:pPr>
    </w:p>
    <w:p w14:paraId="1D1CE8FB" w14:textId="77777777" w:rsidR="00842D3D" w:rsidRPr="00842D3D" w:rsidRDefault="00842D3D" w:rsidP="00842D3D">
      <w:pPr>
        <w:ind w:firstLine="720"/>
        <w:rPr>
          <w:rFonts w:eastAsia="Calibri" w:cs="Times New Roman"/>
          <w:bCs/>
        </w:rPr>
      </w:pPr>
      <w:r w:rsidRPr="00842D3D">
        <w:rPr>
          <w:rFonts w:eastAsia="Calibri" w:cs="Times New Roman"/>
          <w:bCs/>
        </w:rPr>
        <w:t>Use this instruction only in conjunction with the applicable elements instructions, Instructions 9.3-9.8, and when the plaintiff is a pretrial detainee and claims a failure to protect the plaintiff.</w:t>
      </w:r>
    </w:p>
    <w:p w14:paraId="792295CF" w14:textId="77777777" w:rsidR="00842D3D" w:rsidRPr="00842D3D" w:rsidRDefault="00842D3D" w:rsidP="00842D3D">
      <w:pPr>
        <w:shd w:val="clear" w:color="auto" w:fill="FFFFFF"/>
        <w:tabs>
          <w:tab w:val="left" w:pos="8640"/>
        </w:tabs>
        <w:ind w:firstLine="720"/>
        <w:rPr>
          <w:rFonts w:eastAsia="Calibri" w:cs="Times New Roman"/>
          <w:szCs w:val="24"/>
        </w:rPr>
      </w:pPr>
    </w:p>
    <w:p w14:paraId="3EDA21FB"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15676B8" w14:textId="77777777" w:rsidR="00842D3D" w:rsidRPr="00842D3D" w:rsidRDefault="00842D3D" w:rsidP="00842D3D">
      <w:pPr>
        <w:rPr>
          <w:rFonts w:eastAsia="Calibri" w:cs="Times New Roman"/>
          <w:szCs w:val="24"/>
        </w:rPr>
      </w:pPr>
    </w:p>
    <w:p w14:paraId="7D15573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After the Supreme Court decided </w:t>
      </w:r>
      <w:r w:rsidRPr="00842D3D">
        <w:rPr>
          <w:rFonts w:eastAsia="Calibri" w:cs="Times New Roman"/>
          <w:i/>
          <w:szCs w:val="24"/>
        </w:rPr>
        <w:t>Kingsley v. Hendrickson</w:t>
      </w:r>
      <w:r w:rsidRPr="00842D3D">
        <w:rPr>
          <w:rFonts w:eastAsia="Calibri" w:cs="Times New Roman"/>
          <w:szCs w:val="24"/>
        </w:rPr>
        <w:t xml:space="preserve">, 576 U.S. 389 (2015), the Ninth Circuit decided </w:t>
      </w:r>
      <w:r w:rsidRPr="00842D3D">
        <w:rPr>
          <w:rFonts w:eastAsia="Calibri" w:cs="Times New Roman"/>
          <w:i/>
          <w:szCs w:val="24"/>
        </w:rPr>
        <w:t>Castro v. County of Los Angeles</w:t>
      </w:r>
      <w:r w:rsidRPr="00842D3D">
        <w:rPr>
          <w:rFonts w:eastAsia="Calibri" w:cs="Times New Roman"/>
          <w:szCs w:val="24"/>
        </w:rPr>
        <w:t xml:space="preserve">, 833 F.3d 1060 (9th Cir. 2016) (en banc). In </w:t>
      </w:r>
      <w:r w:rsidRPr="00842D3D">
        <w:rPr>
          <w:rFonts w:eastAsia="Calibri" w:cs="Times New Roman"/>
          <w:i/>
          <w:szCs w:val="24"/>
        </w:rPr>
        <w:t>Castro</w:t>
      </w:r>
      <w:r w:rsidRPr="00842D3D">
        <w:rPr>
          <w:rFonts w:eastAsia="Calibri" w:cs="Times New Roman"/>
          <w:szCs w:val="24"/>
        </w:rPr>
        <w:t xml:space="preserve">, the Ninth Circuit held that Castro, a pretrial detainee who was injured by an inmate while detained in a sobering cell, “had a due process right to be free from violence from other inmates.” </w:t>
      </w:r>
      <w:r w:rsidRPr="00842D3D">
        <w:rPr>
          <w:rFonts w:eastAsia="Calibri" w:cs="Times New Roman"/>
          <w:i/>
          <w:szCs w:val="24"/>
        </w:rPr>
        <w:t>Id.</w:t>
      </w:r>
      <w:r w:rsidRPr="00842D3D">
        <w:rPr>
          <w:rFonts w:eastAsia="Calibri" w:cs="Times New Roman"/>
          <w:szCs w:val="24"/>
        </w:rPr>
        <w:t xml:space="preserve"> at 1067. The Ninth Circuit focused its discussion on the Fourteenth Amendment, but “neither Castro nor the majority claim[ed] that any other constitutional right [was] at issue.” </w:t>
      </w:r>
      <w:r w:rsidRPr="00842D3D">
        <w:rPr>
          <w:rFonts w:eastAsia="Calibri" w:cs="Times New Roman"/>
          <w:i/>
          <w:szCs w:val="24"/>
        </w:rPr>
        <w:t>Id</w:t>
      </w:r>
      <w:r w:rsidRPr="00842D3D">
        <w:rPr>
          <w:rFonts w:eastAsia="Calibri" w:cs="Times New Roman"/>
          <w:szCs w:val="24"/>
        </w:rPr>
        <w:t xml:space="preserve">. at 1067-70, 1084 (Ikuta, J., dissenting). Analogizing to the Supreme Court’s excessive force analysis in </w:t>
      </w:r>
      <w:r w:rsidRPr="00842D3D">
        <w:rPr>
          <w:rFonts w:eastAsia="Calibri" w:cs="Times New Roman"/>
          <w:i/>
          <w:szCs w:val="24"/>
        </w:rPr>
        <w:t>Kingsley</w:t>
      </w:r>
      <w:r w:rsidRPr="00842D3D">
        <w:rPr>
          <w:rFonts w:eastAsia="Calibri" w:cs="Times New Roman"/>
          <w:szCs w:val="24"/>
        </w:rPr>
        <w:t xml:space="preserve">, the Ninth Circuit in </w:t>
      </w:r>
      <w:r w:rsidRPr="00842D3D">
        <w:rPr>
          <w:rFonts w:eastAsia="Calibri" w:cs="Times New Roman"/>
          <w:i/>
          <w:szCs w:val="24"/>
        </w:rPr>
        <w:t xml:space="preserve">Castro </w:t>
      </w:r>
      <w:r w:rsidRPr="00842D3D">
        <w:rPr>
          <w:rFonts w:eastAsia="Calibri" w:cs="Times New Roman"/>
          <w:szCs w:val="24"/>
        </w:rPr>
        <w:t xml:space="preserve">approved the following elements for a pretrial detainee’s failure-to-protect claim under the Fourteenth Amendment: </w:t>
      </w:r>
    </w:p>
    <w:p w14:paraId="36BEF7A6" w14:textId="77777777" w:rsidR="00842D3D" w:rsidRPr="00842D3D" w:rsidRDefault="00842D3D" w:rsidP="00842D3D">
      <w:pPr>
        <w:ind w:firstLine="720"/>
        <w:rPr>
          <w:rFonts w:eastAsia="Calibri" w:cs="Times New Roman"/>
          <w:szCs w:val="24"/>
        </w:rPr>
      </w:pPr>
    </w:p>
    <w:p w14:paraId="572F7717"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52F89AC0" w14:textId="77777777" w:rsidR="00842D3D" w:rsidRPr="00842D3D" w:rsidRDefault="00842D3D" w:rsidP="00842D3D">
      <w:pPr>
        <w:rPr>
          <w:rFonts w:eastAsia="Calibri" w:cs="Times New Roman"/>
          <w:i/>
          <w:szCs w:val="24"/>
        </w:rPr>
      </w:pPr>
    </w:p>
    <w:p w14:paraId="26559915" w14:textId="77777777" w:rsidR="00842D3D" w:rsidRPr="00842D3D" w:rsidRDefault="00842D3D" w:rsidP="00842D3D">
      <w:pPr>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at 1071.</w:t>
      </w:r>
    </w:p>
    <w:p w14:paraId="3CDE9298" w14:textId="77777777" w:rsidR="00842D3D" w:rsidRPr="00842D3D" w:rsidRDefault="00842D3D" w:rsidP="00842D3D">
      <w:pPr>
        <w:rPr>
          <w:rFonts w:eastAsia="Calibri" w:cs="Times New Roman"/>
          <w:szCs w:val="24"/>
        </w:rPr>
      </w:pPr>
    </w:p>
    <w:p w14:paraId="41AAB48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CDB5FD3" w14:textId="77777777" w:rsidR="00842D3D" w:rsidRPr="00842D3D" w:rsidRDefault="00842D3D" w:rsidP="00842D3D">
      <w:pPr>
        <w:ind w:firstLine="720"/>
        <w:rPr>
          <w:rFonts w:eastAsia="Calibri" w:cs="Times New Roman"/>
          <w:szCs w:val="24"/>
        </w:rPr>
      </w:pPr>
    </w:p>
    <w:p w14:paraId="16F80CE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w:t>
      </w:r>
      <w:r w:rsidRPr="00842D3D">
        <w:rPr>
          <w:rFonts w:eastAsia="Calibri" w:cs="Times New Roman"/>
          <w:szCs w:val="24"/>
        </w:rPr>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p>
    <w:p w14:paraId="4512C471" w14:textId="77777777" w:rsidR="00842D3D" w:rsidRPr="00842D3D" w:rsidRDefault="00842D3D" w:rsidP="00842D3D">
      <w:pPr>
        <w:rPr>
          <w:rFonts w:eastAsia="Calibri" w:cs="Times New Roman"/>
          <w:szCs w:val="24"/>
        </w:rPr>
      </w:pPr>
    </w:p>
    <w:p w14:paraId="7C06FF6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382441B" w14:textId="77777777" w:rsidR="00842D3D" w:rsidRPr="00842D3D" w:rsidRDefault="00842D3D" w:rsidP="00842D3D">
      <w:pPr>
        <w:rPr>
          <w:rFonts w:eastAsia="Calibri" w:cs="Times New Roman"/>
          <w:szCs w:val="24"/>
        </w:rPr>
      </w:pPr>
    </w:p>
    <w:p w14:paraId="277B802C"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7F0F2F2" w14:textId="77777777" w:rsidR="00842D3D" w:rsidRPr="00842D3D" w:rsidRDefault="00842D3D" w:rsidP="00842D3D">
      <w:pPr>
        <w:rPr>
          <w:rFonts w:eastAsia="Calibri" w:cs="Times New Roman"/>
          <w:szCs w:val="24"/>
        </w:rPr>
      </w:pPr>
    </w:p>
    <w:p w14:paraId="01A51B6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61866E7" w14:textId="77777777" w:rsidR="00842D3D" w:rsidRPr="00842D3D" w:rsidRDefault="00842D3D" w:rsidP="00842D3D">
      <w:pPr>
        <w:rPr>
          <w:rFonts w:eastAsia="Calibri" w:cs="Times New Roman"/>
          <w:szCs w:val="24"/>
        </w:rPr>
      </w:pPr>
    </w:p>
    <w:p w14:paraId="61307FC3"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1CA24AF6"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9228128"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5BC1A170" w14:textId="77777777" w:rsidR="00842D3D" w:rsidRPr="00842D3D" w:rsidRDefault="00842D3D" w:rsidP="00842D3D">
      <w:pPr>
        <w:autoSpaceDE w:val="0"/>
        <w:autoSpaceDN w:val="0"/>
        <w:adjustRightInd w:val="0"/>
        <w:rPr>
          <w:rFonts w:eastAsia="Calibri" w:cs="Times New Roman"/>
          <w:szCs w:val="24"/>
        </w:rPr>
      </w:pPr>
    </w:p>
    <w:p w14:paraId="2E5B319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B8A10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7AA9A8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9B2D2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3C38DCA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6C75F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04E1BB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62F435F6" w14:textId="77777777" w:rsidR="00842D3D" w:rsidRPr="00842D3D" w:rsidRDefault="00842D3D" w:rsidP="00842D3D">
      <w:pPr>
        <w:rPr>
          <w:rFonts w:eastAsia="Calibri" w:cs="Times New Roman"/>
          <w:szCs w:val="24"/>
        </w:rPr>
      </w:pPr>
    </w:p>
    <w:p w14:paraId="4DC712A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195" w:name="_Hlk157761360"/>
      <w:r w:rsidRPr="00842D3D">
        <w:rPr>
          <w:rFonts w:eastAsia="Calibri" w:cs="Times New Roman"/>
          <w:i/>
          <w:szCs w:val="24"/>
        </w:rPr>
        <w:t>Kingsley v. Hendrickson</w:t>
      </w:r>
      <w:r w:rsidRPr="00842D3D">
        <w:rPr>
          <w:rFonts w:eastAsia="Calibri" w:cs="Times New Roman"/>
          <w:szCs w:val="24"/>
        </w:rPr>
        <w:t>, 576 U.S. 389 (2015)</w:t>
      </w:r>
      <w:bookmarkEnd w:id="195"/>
      <w:r w:rsidRPr="00842D3D">
        <w:rPr>
          <w:rFonts w:eastAsia="Calibri" w:cs="Times New Roman"/>
          <w:szCs w:val="24"/>
        </w:rPr>
        <w:t xml:space="preserve">.” </w:t>
      </w:r>
      <w:r w:rsidRPr="00842D3D">
        <w:rPr>
          <w:rFonts w:eastAsia="Calibri" w:cs="Times New Roman"/>
          <w:i/>
          <w:szCs w:val="24"/>
        </w:rPr>
        <w:t>Alexander</w:t>
      </w:r>
      <w:r w:rsidRPr="00842D3D">
        <w:rPr>
          <w:rFonts w:eastAsia="Calibri" w:cs="Times New Roman"/>
          <w:szCs w:val="24"/>
        </w:rPr>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842D3D">
        <w:rPr>
          <w:rFonts w:eastAsia="Calibri" w:cs="Times New Roman"/>
          <w:i/>
          <w:szCs w:val="24"/>
        </w:rPr>
        <w:t>Gordon</w:t>
      </w:r>
      <w:r w:rsidRPr="00842D3D">
        <w:rPr>
          <w:rFonts w:eastAsia="Calibri" w:cs="Times New Roman"/>
          <w:szCs w:val="24"/>
        </w:rPr>
        <w:t xml:space="preserve"> that “[t]hough Alexander was, regrettably, attacked a second time, the evidence shows that </w:t>
      </w:r>
      <w:bookmarkStart w:id="196" w:name="_Hlk179274050"/>
      <w:r w:rsidRPr="00842D3D">
        <w:rPr>
          <w:rFonts w:eastAsia="Calibri" w:cs="Times New Roman"/>
          <w:szCs w:val="24"/>
        </w:rPr>
        <w:t xml:space="preserve">[the defendant doctor’s] </w:t>
      </w:r>
      <w:bookmarkEnd w:id="196"/>
      <w:r w:rsidRPr="00842D3D">
        <w:rPr>
          <w:rFonts w:eastAsia="Calibri" w:cs="Times New Roman"/>
          <w:szCs w:val="24"/>
        </w:rPr>
        <w:t>responses to both incidents were thorough and careful.”</w:t>
      </w:r>
      <w:r w:rsidRPr="00842D3D">
        <w:rPr>
          <w:rFonts w:eastAsia="Calibri" w:cs="Times New Roman"/>
          <w:i/>
          <w:szCs w:val="24"/>
        </w:rPr>
        <w:t xml:space="preserve"> Alexander</w:t>
      </w:r>
      <w:r w:rsidRPr="00842D3D">
        <w:rPr>
          <w:rFonts w:eastAsia="Calibri" w:cs="Times New Roman"/>
          <w:szCs w:val="24"/>
        </w:rPr>
        <w:t>, 78 F.4th at 1145 (“[T]he benefit of hindsight from the fact that Alexander was attacked a second time [by the same pretrial detainee] does not show that [the defendant doctor’s] original decision was unreasonable.”).</w:t>
      </w:r>
    </w:p>
    <w:p w14:paraId="69238D46" w14:textId="77777777" w:rsidR="00842D3D" w:rsidRPr="00842D3D" w:rsidRDefault="00842D3D" w:rsidP="00842D3D">
      <w:pPr>
        <w:rPr>
          <w:rFonts w:eastAsia="Calibri" w:cs="Times New Roman"/>
          <w:szCs w:val="24"/>
        </w:rPr>
      </w:pPr>
    </w:p>
    <w:p w14:paraId="13EF92E5"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68E31436"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A8B3E38" w14:textId="4BAAD2DB" w:rsidR="00842D3D" w:rsidRPr="00842D3D" w:rsidRDefault="00842D3D" w:rsidP="00FF121D">
      <w:pPr>
        <w:pStyle w:val="Heading2"/>
      </w:pPr>
      <w:bookmarkStart w:id="197" w:name="_Toc221525200"/>
      <w:r w:rsidRPr="00842D3D">
        <w:lastRenderedPageBreak/>
        <w:t>9.3</w:t>
      </w:r>
      <w:r w:rsidR="003A1908">
        <w:t>6</w:t>
      </w:r>
      <w:r w:rsidRPr="00842D3D">
        <w:t xml:space="preserve"> Particular Rights—Fourteenth Amendment—Due Process—</w:t>
      </w:r>
      <w:r w:rsidRPr="00842D3D">
        <w:br/>
        <w:t>Interference with Parent/Child Relationship</w:t>
      </w:r>
      <w:bookmarkEnd w:id="197"/>
    </w:p>
    <w:p w14:paraId="7ADEEC0B" w14:textId="77777777" w:rsidR="00842D3D" w:rsidRPr="00842D3D" w:rsidRDefault="00842D3D" w:rsidP="00842D3D">
      <w:pPr>
        <w:autoSpaceDE w:val="0"/>
        <w:autoSpaceDN w:val="0"/>
        <w:adjustRightInd w:val="0"/>
        <w:jc w:val="center"/>
        <w:rPr>
          <w:rFonts w:eastAsia="Calibri" w:cs="Times New Roman"/>
          <w:szCs w:val="24"/>
        </w:rPr>
      </w:pPr>
    </w:p>
    <w:p w14:paraId="55124BF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39F856C2" w14:textId="77777777" w:rsidR="00842D3D" w:rsidRPr="00842D3D" w:rsidRDefault="00842D3D" w:rsidP="00842D3D">
      <w:pPr>
        <w:autoSpaceDE w:val="0"/>
        <w:autoSpaceDN w:val="0"/>
        <w:adjustRightInd w:val="0"/>
        <w:jc w:val="center"/>
        <w:rPr>
          <w:rFonts w:eastAsia="Calibri" w:cs="Times New Roman"/>
          <w:szCs w:val="24"/>
        </w:rPr>
      </w:pPr>
    </w:p>
    <w:p w14:paraId="07253423" w14:textId="77777777" w:rsidR="00842D3D" w:rsidRPr="00842D3D" w:rsidRDefault="00842D3D" w:rsidP="00842D3D">
      <w:pPr>
        <w:numPr>
          <w:ilvl w:val="0"/>
          <w:numId w:val="14"/>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Introduction</w:t>
      </w:r>
    </w:p>
    <w:p w14:paraId="394DC628" w14:textId="77777777" w:rsidR="00842D3D" w:rsidRPr="00842D3D" w:rsidRDefault="00842D3D" w:rsidP="00842D3D">
      <w:pPr>
        <w:tabs>
          <w:tab w:val="left" w:pos="720"/>
        </w:tabs>
        <w:autoSpaceDE w:val="0"/>
        <w:autoSpaceDN w:val="0"/>
        <w:adjustRightInd w:val="0"/>
        <w:ind w:left="1080"/>
        <w:contextualSpacing/>
        <w:rPr>
          <w:rFonts w:eastAsia="Calibri" w:cs="Times New Roman"/>
          <w:b/>
          <w:szCs w:val="24"/>
        </w:rPr>
      </w:pPr>
    </w:p>
    <w:p w14:paraId="77B7C3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Parents and children possess a constitutionally protected liberty interest in companionship and society with each other</w:t>
      </w:r>
      <w:r w:rsidRPr="00842D3D">
        <w:rPr>
          <w:rFonts w:eastAsia="Calibri" w:cs="Times New Roman"/>
          <w:i/>
          <w:szCs w:val="24"/>
        </w:rPr>
        <w:t>. Smith v. City of Fontana</w:t>
      </w:r>
      <w:r w:rsidRPr="00842D3D">
        <w:rPr>
          <w:rFonts w:eastAsia="Calibri" w:cs="Times New Roman"/>
          <w:szCs w:val="24"/>
        </w:rPr>
        <w:t>, 818 F.2d 1411, 1418 (9th Cir. 1987)</w:t>
      </w:r>
      <w:r w:rsidRPr="00842D3D">
        <w:rPr>
          <w:rFonts w:eastAsia="Calibri" w:cs="Times New Roman"/>
          <w:iCs/>
          <w:szCs w:val="24"/>
        </w:rPr>
        <w:t>,</w:t>
      </w:r>
      <w:r w:rsidRPr="00842D3D">
        <w:rPr>
          <w:rFonts w:eastAsia="Calibri" w:cs="Times New Roman"/>
          <w:i/>
          <w:szCs w:val="24"/>
        </w:rPr>
        <w:t xml:space="preserve"> overruled on other grounds by Hodgers-Durgin v. de la Vina</w:t>
      </w:r>
      <w:r w:rsidRPr="00842D3D">
        <w:rPr>
          <w:rFonts w:eastAsia="Calibri" w:cs="Times New Roman"/>
          <w:szCs w:val="24"/>
        </w:rPr>
        <w:t xml:space="preserve">, 199 F.3d 1037 (9th Cir. 1999) (en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842D3D">
        <w:rPr>
          <w:rFonts w:eastAsia="Calibri" w:cs="Times New Roman"/>
          <w:i/>
          <w:szCs w:val="24"/>
        </w:rPr>
        <w:t>Kelson v. City of Springfield</w:t>
      </w:r>
      <w:r w:rsidRPr="00842D3D">
        <w:rPr>
          <w:rFonts w:eastAsia="Calibri" w:cs="Times New Roman"/>
          <w:szCs w:val="24"/>
        </w:rPr>
        <w:t xml:space="preserve">, 767 F.2d 651, 654 (9th Cir. 1985), </w:t>
      </w:r>
      <w:r w:rsidRPr="00842D3D">
        <w:rPr>
          <w:rFonts w:eastAsia="Calibri" w:cs="Times New Roman"/>
          <w:i/>
          <w:szCs w:val="24"/>
        </w:rPr>
        <w:t>overruled on other grounds by Daniels v. Williams</w:t>
      </w:r>
      <w:r w:rsidRPr="00842D3D">
        <w:rPr>
          <w:rFonts w:eastAsia="Calibri" w:cs="Times New Roman"/>
          <w:szCs w:val="24"/>
        </w:rPr>
        <w:t xml:space="preserve">, 474 U.S. 327 (1986)). </w:t>
      </w:r>
    </w:p>
    <w:p w14:paraId="5FC661BE" w14:textId="77777777" w:rsidR="00842D3D" w:rsidRPr="00842D3D" w:rsidRDefault="00842D3D" w:rsidP="00842D3D">
      <w:pPr>
        <w:autoSpaceDE w:val="0"/>
        <w:autoSpaceDN w:val="0"/>
        <w:adjustRightInd w:val="0"/>
        <w:rPr>
          <w:rFonts w:eastAsia="Calibri" w:cs="Times New Roman"/>
          <w:szCs w:val="24"/>
        </w:rPr>
      </w:pPr>
    </w:p>
    <w:p w14:paraId="58A0A73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protected liberty interest is independently held by both parent and child. </w:t>
      </w:r>
      <w:r w:rsidRPr="00842D3D">
        <w:rPr>
          <w:rFonts w:eastAsia="Calibri" w:cs="Times New Roman"/>
          <w:i/>
          <w:szCs w:val="24"/>
        </w:rPr>
        <w:t>City of Fontana</w:t>
      </w:r>
      <w:r w:rsidRPr="00842D3D">
        <w:rPr>
          <w:rFonts w:eastAsia="Calibri" w:cs="Times New Roman"/>
          <w:szCs w:val="24"/>
        </w:rPr>
        <w:t xml:space="preserve">, 818 F.2d at 1418. A parent’s right includes a custodial interest (but only while the child is a minor), and a companionship interest (even after a child reaches the age of majority). </w:t>
      </w:r>
      <w:r w:rsidRPr="00842D3D">
        <w:rPr>
          <w:rFonts w:eastAsia="Calibri" w:cs="Times New Roman"/>
          <w:i/>
          <w:szCs w:val="24"/>
        </w:rPr>
        <w:t xml:space="preserve">Id. </w:t>
      </w:r>
      <w:r w:rsidRPr="00842D3D">
        <w:rPr>
          <w:rFonts w:eastAsia="Calibri" w:cs="Times New Roman"/>
          <w:szCs w:val="24"/>
        </w:rPr>
        <w:t xml:space="preserve">at 1419; </w:t>
      </w:r>
      <w:r w:rsidRPr="00842D3D">
        <w:rPr>
          <w:rFonts w:eastAsia="Calibri" w:cs="Times New Roman"/>
          <w:i/>
          <w:szCs w:val="24"/>
        </w:rPr>
        <w:t>see, e.g.</w:t>
      </w:r>
      <w:r w:rsidRPr="00842D3D">
        <w:rPr>
          <w:rFonts w:eastAsia="Calibri" w:cs="Times New Roman"/>
          <w:szCs w:val="24"/>
        </w:rPr>
        <w:t>,</w:t>
      </w:r>
      <w:r w:rsidRPr="00842D3D">
        <w:rPr>
          <w:rFonts w:eastAsia="Calibri" w:cs="Times New Roman"/>
          <w:i/>
          <w:szCs w:val="24"/>
        </w:rPr>
        <w:t xml:space="preserve"> Strandberg v. City of Helena</w:t>
      </w:r>
      <w:r w:rsidRPr="00842D3D">
        <w:rPr>
          <w:rFonts w:eastAsia="Calibri" w:cs="Times New Roman"/>
          <w:szCs w:val="24"/>
        </w:rPr>
        <w:t xml:space="preserve">, 791 F.2d 744, 748 n.1 (9th Cir. 1986) (recognizing that parents of deceased 22-year-old son could not allege constitutional right to parent a minor child, but could claim violation of right to companionship and society). Children, including adult children, may claim a violation of their right to familial association, but that right includes only a companionship interest. </w:t>
      </w:r>
      <w:r w:rsidRPr="00842D3D">
        <w:rPr>
          <w:rFonts w:eastAsia="Calibri" w:cs="Times New Roman"/>
          <w:i/>
          <w:szCs w:val="24"/>
        </w:rPr>
        <w:t>City of Fontana</w:t>
      </w:r>
      <w:r w:rsidRPr="00842D3D">
        <w:rPr>
          <w:rFonts w:eastAsia="Calibri" w:cs="Times New Roman"/>
          <w:szCs w:val="24"/>
        </w:rPr>
        <w:t xml:space="preserve">, 818 F.2d at 1419; </w:t>
      </w:r>
      <w:bookmarkStart w:id="198" w:name="Instruction_9.32"/>
      <w:bookmarkEnd w:id="198"/>
      <w:r w:rsidRPr="00842D3D">
        <w:rPr>
          <w:rFonts w:eastAsia="Calibri" w:cs="Times New Roman"/>
          <w:i/>
          <w:szCs w:val="24"/>
        </w:rPr>
        <w:t>Moreland v. Las Vegas Metro. Police Dep’t</w:t>
      </w:r>
      <w:r w:rsidRPr="00842D3D">
        <w:rPr>
          <w:rFonts w:eastAsia="Calibri" w:cs="Times New Roman"/>
          <w:szCs w:val="24"/>
        </w:rPr>
        <w:t xml:space="preserve">, 159 F.3d 365, 371 (9th Cir. 1998). Parents and children raising such claims are alleging a deprivation of their own liberty rights; they are not asserting the rights of the decedent or injured child or parent. </w:t>
      </w:r>
      <w:r w:rsidRPr="00842D3D">
        <w:rPr>
          <w:rFonts w:eastAsia="Calibri" w:cs="Times New Roman"/>
          <w:i/>
          <w:szCs w:val="24"/>
        </w:rPr>
        <w:t>Kelson</w:t>
      </w:r>
      <w:r w:rsidRPr="00842D3D">
        <w:rPr>
          <w:rFonts w:eastAsia="Calibri" w:cs="Times New Roman"/>
          <w:szCs w:val="24"/>
        </w:rPr>
        <w:t>, 767 F.2d at</w:t>
      </w:r>
      <w:r w:rsidRPr="00842D3D">
        <w:rPr>
          <w:rFonts w:eastAsia="Calibri" w:cs="Times New Roman"/>
          <w:i/>
          <w:szCs w:val="24"/>
        </w:rPr>
        <w:t xml:space="preserve"> </w:t>
      </w:r>
      <w:r w:rsidRPr="00842D3D">
        <w:rPr>
          <w:rFonts w:eastAsia="Calibri" w:cs="Times New Roman"/>
          <w:szCs w:val="24"/>
        </w:rPr>
        <w:t>653 n.2.</w:t>
      </w:r>
    </w:p>
    <w:p w14:paraId="263CBA9C" w14:textId="77777777" w:rsidR="00842D3D" w:rsidRPr="00842D3D" w:rsidRDefault="00842D3D" w:rsidP="00842D3D">
      <w:pPr>
        <w:autoSpaceDE w:val="0"/>
        <w:autoSpaceDN w:val="0"/>
        <w:adjustRightInd w:val="0"/>
        <w:rPr>
          <w:rFonts w:eastAsia="Calibri" w:cs="Times New Roman"/>
          <w:szCs w:val="24"/>
        </w:rPr>
      </w:pPr>
    </w:p>
    <w:p w14:paraId="02CFB849" w14:textId="77777777" w:rsidR="00842D3D" w:rsidRPr="00842D3D" w:rsidRDefault="00842D3D" w:rsidP="00842D3D">
      <w:pPr>
        <w:keepLines/>
        <w:autoSpaceDE w:val="0"/>
        <w:autoSpaceDN w:val="0"/>
        <w:adjustRightInd w:val="0"/>
        <w:rPr>
          <w:rFonts w:eastAsia="Calibri" w:cs="Times New Roman"/>
          <w:szCs w:val="24"/>
        </w:rPr>
      </w:pPr>
      <w:r w:rsidRPr="00842D3D">
        <w:rPr>
          <w:rFonts w:eastAsia="Calibri" w:cs="Times New Roman"/>
          <w:szCs w:val="24"/>
        </w:rPr>
        <w:tab/>
        <w:t>The mere existence of a biological link between parent and child is not a sufficient basis to support a Fourteenth Amendment claim for loss of familial relationship rights.</w:t>
      </w:r>
      <w:r w:rsidRPr="00842D3D">
        <w:rPr>
          <w:rFonts w:eastAsia="Calibri" w:cs="Times New Roman"/>
          <w:i/>
          <w:szCs w:val="24"/>
        </w:rPr>
        <w:t xml:space="preserve"> Wheeler v. City of Santa Clara</w:t>
      </w:r>
      <w:r w:rsidRPr="00842D3D">
        <w:rPr>
          <w:rFonts w:eastAsia="Calibri" w:cs="Times New Roman"/>
          <w:szCs w:val="24"/>
        </w:rPr>
        <w:t xml:space="preserve">, 894 F.3d 1046, 1058 (9th Cir. 2018). To bring a Fourteenth Amendment due process claim, the parent and child must have relationships “which reflect some assumption ‘of parental responsibility.’” </w:t>
      </w:r>
      <w:r w:rsidRPr="00842D3D">
        <w:rPr>
          <w:rFonts w:eastAsia="Calibri" w:cs="Times New Roman"/>
          <w:i/>
          <w:szCs w:val="24"/>
        </w:rPr>
        <w:t>Kirkpatrick v. County of Washoe</w:t>
      </w:r>
      <w:r w:rsidRPr="00842D3D">
        <w:rPr>
          <w:rFonts w:eastAsia="Calibri" w:cs="Times New Roman"/>
          <w:szCs w:val="24"/>
        </w:rPr>
        <w:t xml:space="preserve">, 843 F.3d 784, 789 (9th Cir. 2016) (en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842D3D">
        <w:rPr>
          <w:rFonts w:eastAsia="Calibri" w:cs="Times New Roman"/>
          <w:i/>
          <w:szCs w:val="24"/>
        </w:rPr>
        <w:t>Wheeler</w:t>
      </w:r>
      <w:r w:rsidRPr="00842D3D">
        <w:rPr>
          <w:rFonts w:eastAsia="Calibri" w:cs="Times New Roman"/>
          <w:szCs w:val="24"/>
        </w:rPr>
        <w:t>, 894 F.3d at 1058.</w:t>
      </w:r>
      <w:r w:rsidRPr="00842D3D">
        <w:rPr>
          <w:rFonts w:eastAsia="Calibri" w:cs="Times New Roman"/>
          <w:i/>
          <w:szCs w:val="24"/>
        </w:rPr>
        <w:t xml:space="preserve"> </w:t>
      </w:r>
      <w:r w:rsidRPr="00842D3D">
        <w:rPr>
          <w:rFonts w:eastAsia="Calibri" w:cs="Times New Roman"/>
          <w:szCs w:val="24"/>
        </w:rPr>
        <w:t xml:space="preserve">Children must make the same showing. </w:t>
      </w:r>
      <w:r w:rsidRPr="00842D3D">
        <w:rPr>
          <w:rFonts w:eastAsia="Calibri" w:cs="Times New Roman"/>
          <w:i/>
          <w:szCs w:val="24"/>
        </w:rPr>
        <w:t xml:space="preserve">See id. </w:t>
      </w:r>
      <w:r w:rsidRPr="00842D3D">
        <w:rPr>
          <w:rFonts w:eastAsia="Calibri" w:cs="Times New Roman"/>
          <w:szCs w:val="24"/>
        </w:rPr>
        <w:t xml:space="preserve">(holding relationship between child adopted as infant and biological mother insufficient for child to bring Fourteenth Amendment loss of companionship claim). </w:t>
      </w:r>
    </w:p>
    <w:p w14:paraId="75DD722D" w14:textId="77777777" w:rsidR="00842D3D" w:rsidRPr="00842D3D" w:rsidRDefault="00842D3D" w:rsidP="00842D3D">
      <w:pPr>
        <w:keepLines/>
        <w:autoSpaceDE w:val="0"/>
        <w:autoSpaceDN w:val="0"/>
        <w:adjustRightInd w:val="0"/>
        <w:rPr>
          <w:rFonts w:eastAsia="Calibri" w:cs="Times New Roman"/>
          <w:szCs w:val="24"/>
        </w:rPr>
      </w:pPr>
    </w:p>
    <w:p w14:paraId="4B7228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Other familial relationships may not give rise to a protectable liberty interest. The extent to which grandparents have such an interest has not been decided, although a noncustodial </w:t>
      </w:r>
      <w:r w:rsidRPr="00842D3D">
        <w:rPr>
          <w:rFonts w:eastAsia="Calibri" w:cs="Times New Roman"/>
          <w:szCs w:val="24"/>
        </w:rPr>
        <w:lastRenderedPageBreak/>
        <w:t xml:space="preserve">grandparent generally does not have a protectable interest.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Miller v. California</w:t>
      </w:r>
      <w:r w:rsidRPr="00842D3D">
        <w:rPr>
          <w:rFonts w:eastAsia="Calibri" w:cs="Times New Roman"/>
          <w:szCs w:val="24"/>
        </w:rPr>
        <w:t xml:space="preserve">, 355 F.3d 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842D3D">
        <w:rPr>
          <w:rFonts w:eastAsia="Calibri" w:cs="Times New Roman"/>
          <w:i/>
          <w:szCs w:val="24"/>
        </w:rPr>
        <w:t>Ward v. City of San Jose</w:t>
      </w:r>
      <w:r w:rsidRPr="00842D3D">
        <w:rPr>
          <w:rFonts w:eastAsia="Calibri" w:cs="Times New Roman"/>
          <w:szCs w:val="24"/>
        </w:rPr>
        <w:t xml:space="preserve">, 967 F.2d 280, 284 (9th Cir. 1991), </w:t>
      </w:r>
      <w:r w:rsidRPr="00842D3D">
        <w:rPr>
          <w:rFonts w:eastAsia="Calibri" w:cs="Times New Roman"/>
          <w:i/>
          <w:szCs w:val="24"/>
        </w:rPr>
        <w:t xml:space="preserve">as amended on denial of reh’g </w:t>
      </w:r>
      <w:r w:rsidRPr="00842D3D">
        <w:rPr>
          <w:rFonts w:eastAsia="Calibri" w:cs="Times New Roman"/>
          <w:szCs w:val="24"/>
        </w:rPr>
        <w:t>(June 16, 1992).</w:t>
      </w:r>
    </w:p>
    <w:p w14:paraId="757F1269" w14:textId="77777777" w:rsidR="00842D3D" w:rsidRPr="00842D3D" w:rsidRDefault="00842D3D" w:rsidP="00842D3D">
      <w:pPr>
        <w:autoSpaceDE w:val="0"/>
        <w:autoSpaceDN w:val="0"/>
        <w:adjustRightInd w:val="0"/>
        <w:rPr>
          <w:rFonts w:eastAsia="Calibri" w:cs="Times New Roman"/>
          <w:szCs w:val="24"/>
        </w:rPr>
      </w:pPr>
    </w:p>
    <w:p w14:paraId="26F24D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Peck v. Montoya</w:t>
      </w:r>
      <w:r w:rsidRPr="00842D3D">
        <w:rPr>
          <w:rFonts w:eastAsia="Calibri" w:cs="Times New Roman"/>
          <w:szCs w:val="24"/>
        </w:rPr>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388CE9FA" w14:textId="77777777" w:rsidR="00842D3D" w:rsidRPr="00842D3D" w:rsidRDefault="00842D3D" w:rsidP="00842D3D">
      <w:pPr>
        <w:autoSpaceDE w:val="0"/>
        <w:autoSpaceDN w:val="0"/>
        <w:adjustRightInd w:val="0"/>
        <w:rPr>
          <w:rFonts w:eastAsia="Calibri" w:cs="Times New Roman"/>
          <w:szCs w:val="24"/>
        </w:rPr>
      </w:pPr>
    </w:p>
    <w:p w14:paraId="10F8F596" w14:textId="77777777" w:rsidR="00842D3D" w:rsidRPr="00842D3D" w:rsidRDefault="00842D3D" w:rsidP="00842D3D">
      <w:pPr>
        <w:keepNext/>
        <w:keepLines/>
        <w:numPr>
          <w:ilvl w:val="0"/>
          <w:numId w:val="14"/>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Two Types of Claims: Procedural and Substantive</w:t>
      </w:r>
    </w:p>
    <w:p w14:paraId="39F24632" w14:textId="77777777" w:rsidR="00842D3D" w:rsidRPr="00842D3D" w:rsidRDefault="00842D3D" w:rsidP="00842D3D">
      <w:pPr>
        <w:keepNext/>
        <w:keepLines/>
        <w:tabs>
          <w:tab w:val="left" w:pos="720"/>
        </w:tabs>
        <w:autoSpaceDE w:val="0"/>
        <w:autoSpaceDN w:val="0"/>
        <w:adjustRightInd w:val="0"/>
        <w:ind w:left="1080"/>
        <w:contextualSpacing/>
        <w:rPr>
          <w:rFonts w:eastAsia="Calibri" w:cs="Times New Roman"/>
          <w:szCs w:val="24"/>
        </w:rPr>
      </w:pPr>
    </w:p>
    <w:p w14:paraId="1E7BC9A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claim of interference with the parent/child relationship in violation of the Fourteenth Amendment may be brought as either a procedural due process claim or a substantive due process claim. </w:t>
      </w:r>
      <w:r w:rsidRPr="00842D3D">
        <w:rPr>
          <w:rFonts w:eastAsia="Calibri" w:cs="Times New Roman"/>
          <w:i/>
          <w:szCs w:val="24"/>
        </w:rPr>
        <w:t>See City of Fontana</w:t>
      </w:r>
      <w:r w:rsidRPr="00842D3D">
        <w:rPr>
          <w:rFonts w:eastAsia="Calibri" w:cs="Times New Roman"/>
          <w:szCs w:val="24"/>
        </w:rPr>
        <w:t>, 818 F.2d at 1419-20 (“whether a particular interference with a liberty interest constitutes a substantive or a procedural due process violation depends on whether the interference was ‘for purposes of oppression,’ rather than for the purpose of furthering legitimate state interests” (citation omitted)).</w:t>
      </w:r>
    </w:p>
    <w:p w14:paraId="0DF4BFB4" w14:textId="77777777" w:rsidR="00842D3D" w:rsidRPr="00842D3D" w:rsidRDefault="00842D3D" w:rsidP="00842D3D">
      <w:pPr>
        <w:autoSpaceDE w:val="0"/>
        <w:autoSpaceDN w:val="0"/>
        <w:adjustRightInd w:val="0"/>
        <w:rPr>
          <w:rFonts w:eastAsia="Calibri" w:cs="Times New Roman"/>
          <w:szCs w:val="24"/>
        </w:rPr>
      </w:pPr>
    </w:p>
    <w:p w14:paraId="016B05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procedural due process claim may arise when the state interferes with the parent-child relationship for the purpose of furthering a legitimate state interest. </w:t>
      </w:r>
      <w:r w:rsidRPr="00842D3D">
        <w:rPr>
          <w:rFonts w:eastAsia="Calibri" w:cs="Times New Roman"/>
          <w:i/>
          <w:szCs w:val="24"/>
        </w:rPr>
        <w:t xml:space="preserve">See id. </w:t>
      </w:r>
      <w:r w:rsidRPr="00842D3D">
        <w:rPr>
          <w:rFonts w:eastAsia="Calibri" w:cs="Times New Roman"/>
          <w:szCs w:val="24"/>
        </w:rPr>
        <w:t xml:space="preserve">at 1419. Thus, “where the best interests of the child arguably warrants termination of the parent’s custodial rights, the state may legitimately interfere so long as it provides ‘fundamentally fair procedures.’” </w:t>
      </w:r>
      <w:r w:rsidRPr="00842D3D">
        <w:rPr>
          <w:rFonts w:eastAsia="Calibri" w:cs="Times New Roman"/>
          <w:i/>
          <w:szCs w:val="24"/>
        </w:rPr>
        <w:t xml:space="preserve">Id. </w:t>
      </w:r>
      <w:r w:rsidRPr="00842D3D">
        <w:rPr>
          <w:rFonts w:eastAsia="Calibri" w:cs="Times New Roman"/>
          <w:szCs w:val="24"/>
        </w:rPr>
        <w:t xml:space="preserve">(quoting </w:t>
      </w:r>
      <w:r w:rsidRPr="00842D3D">
        <w:rPr>
          <w:rFonts w:eastAsia="Calibri" w:cs="Times New Roman"/>
          <w:i/>
          <w:szCs w:val="24"/>
        </w:rPr>
        <w:t>Santosky v. Kramer</w:t>
      </w:r>
      <w:r w:rsidRPr="00842D3D">
        <w:rPr>
          <w:rFonts w:eastAsia="Calibri" w:cs="Times New Roman"/>
          <w:szCs w:val="24"/>
        </w:rPr>
        <w:t xml:space="preserve">, 455 U.S. 745, 754 (1982)). </w:t>
      </w:r>
    </w:p>
    <w:p w14:paraId="01B73B8F" w14:textId="77777777" w:rsidR="00842D3D" w:rsidRPr="00842D3D" w:rsidRDefault="00842D3D" w:rsidP="00842D3D">
      <w:pPr>
        <w:autoSpaceDE w:val="0"/>
        <w:autoSpaceDN w:val="0"/>
        <w:adjustRightInd w:val="0"/>
        <w:rPr>
          <w:rFonts w:eastAsia="Calibri" w:cs="Times New Roman"/>
          <w:szCs w:val="24"/>
        </w:rPr>
      </w:pPr>
    </w:p>
    <w:p w14:paraId="6D7495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substantive due process claim may arise when the state interferes with the parent-child relationship “for purposes of oppression.”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Daniels v. Williams</w:t>
      </w:r>
      <w:r w:rsidRPr="00842D3D">
        <w:rPr>
          <w:rFonts w:eastAsia="Calibri" w:cs="Times New Roman"/>
          <w:szCs w:val="24"/>
        </w:rPr>
        <w:t xml:space="preserve">, 474 U.S. 327, 331 (1986)). For instance, “the state has no legitimate interest in interfering with this liberty interest through the use of </w:t>
      </w:r>
      <w:r w:rsidRPr="00842D3D">
        <w:rPr>
          <w:rFonts w:eastAsia="Calibri" w:cs="Times New Roman"/>
          <w:i/>
          <w:szCs w:val="24"/>
        </w:rPr>
        <w:t>excessive</w:t>
      </w:r>
      <w:r w:rsidRPr="00842D3D">
        <w:rPr>
          <w:rFonts w:eastAsia="Calibri" w:cs="Times New Roman"/>
          <w:szCs w:val="24"/>
        </w:rPr>
        <w:t xml:space="preserve"> force by police officers.” </w:t>
      </w:r>
      <w:r w:rsidRPr="00842D3D">
        <w:rPr>
          <w:rFonts w:eastAsia="Calibri" w:cs="Times New Roman"/>
          <w:i/>
          <w:szCs w:val="24"/>
        </w:rPr>
        <w:t xml:space="preserve">Id. </w:t>
      </w:r>
      <w:r w:rsidRPr="00842D3D">
        <w:rPr>
          <w:rFonts w:eastAsia="Calibri" w:cs="Times New Roman"/>
          <w:szCs w:val="24"/>
        </w:rPr>
        <w:t>at 1419-20. Each type of claim is evaluated under a distinct standard.</w:t>
      </w:r>
    </w:p>
    <w:p w14:paraId="2C9BD9D9" w14:textId="77777777" w:rsidR="00842D3D" w:rsidRPr="00842D3D" w:rsidRDefault="00842D3D" w:rsidP="00842D3D">
      <w:pPr>
        <w:autoSpaceDE w:val="0"/>
        <w:autoSpaceDN w:val="0"/>
        <w:adjustRightInd w:val="0"/>
        <w:rPr>
          <w:rFonts w:eastAsia="Calibri" w:cs="Times New Roman"/>
          <w:szCs w:val="24"/>
        </w:rPr>
      </w:pPr>
    </w:p>
    <w:p w14:paraId="72011B18" w14:textId="77777777" w:rsidR="00842D3D" w:rsidRPr="00842D3D" w:rsidRDefault="00842D3D" w:rsidP="00842D3D">
      <w:pPr>
        <w:keepNext/>
        <w:keepLines/>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A.</w:t>
      </w:r>
      <w:r w:rsidRPr="00842D3D">
        <w:rPr>
          <w:rFonts w:eastAsia="Calibri" w:cs="Times New Roman"/>
          <w:b/>
          <w:szCs w:val="24"/>
        </w:rPr>
        <w:tab/>
        <w:t>Standard for Procedural Due Process Violation</w:t>
      </w:r>
    </w:p>
    <w:p w14:paraId="2F794994" w14:textId="77777777" w:rsidR="00842D3D" w:rsidRPr="00842D3D" w:rsidRDefault="00842D3D" w:rsidP="00842D3D">
      <w:pPr>
        <w:keepNext/>
        <w:autoSpaceDE w:val="0"/>
        <w:autoSpaceDN w:val="0"/>
        <w:adjustRightInd w:val="0"/>
        <w:rPr>
          <w:rFonts w:eastAsia="Calibri" w:cs="Times New Roman"/>
          <w:b/>
          <w:szCs w:val="24"/>
        </w:rPr>
      </w:pPr>
    </w:p>
    <w:p w14:paraId="5B086E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842D3D">
        <w:rPr>
          <w:rFonts w:eastAsia="Calibri" w:cs="Times New Roman"/>
          <w:i/>
          <w:szCs w:val="24"/>
        </w:rPr>
        <w:t>Rogers v. County of San Joaquin</w:t>
      </w:r>
      <w:r w:rsidRPr="00842D3D">
        <w:rPr>
          <w:rFonts w:eastAsia="Calibri" w:cs="Times New Roman"/>
          <w:szCs w:val="24"/>
        </w:rPr>
        <w:t xml:space="preserve">, 487 F.3d 1288, 1294 (9th Cir. 2007) (quoting </w:t>
      </w:r>
      <w:r w:rsidRPr="00842D3D">
        <w:rPr>
          <w:rFonts w:eastAsia="Calibri" w:cs="Times New Roman"/>
          <w:i/>
          <w:szCs w:val="24"/>
        </w:rPr>
        <w:t>Mabe v. San Bernardino Cnty., Dep’t of Pub. Soc. Servs.</w:t>
      </w:r>
      <w:r w:rsidRPr="00842D3D">
        <w:rPr>
          <w:rFonts w:eastAsia="Calibri" w:cs="Times New Roman"/>
          <w:szCs w:val="24"/>
        </w:rPr>
        <w:t xml:space="preserve">,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w:t>
      </w:r>
      <w:r w:rsidRPr="00842D3D">
        <w:rPr>
          <w:rFonts w:eastAsia="Calibri" w:cs="Times New Roman"/>
          <w:szCs w:val="24"/>
        </w:rPr>
        <w:lastRenderedPageBreak/>
        <w:t>beyond that which is reasonably necessary.</w:t>
      </w:r>
      <w:r w:rsidRPr="00842D3D">
        <w:rPr>
          <w:rFonts w:eastAsia="Calibri" w:cs="Times New Roman"/>
          <w:i/>
          <w:szCs w:val="24"/>
        </w:rPr>
        <w:t xml:space="preserve"> Id. </w:t>
      </w:r>
      <w:r w:rsidRPr="00842D3D">
        <w:rPr>
          <w:rFonts w:eastAsia="Calibri" w:cs="Times New Roman"/>
          <w:szCs w:val="24"/>
        </w:rPr>
        <w:t xml:space="preserve">(quoting </w:t>
      </w:r>
      <w:r w:rsidRPr="00842D3D">
        <w:rPr>
          <w:rFonts w:eastAsia="Calibri" w:cs="Times New Roman"/>
          <w:i/>
          <w:szCs w:val="24"/>
        </w:rPr>
        <w:t>Mabe</w:t>
      </w:r>
      <w:r w:rsidRPr="00842D3D">
        <w:rPr>
          <w:rFonts w:eastAsia="Calibri" w:cs="Times New Roman"/>
          <w:szCs w:val="24"/>
        </w:rPr>
        <w:t xml:space="preserve">, 237 F.3d at 1106). 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deception.” </w:t>
      </w:r>
      <w:r w:rsidRPr="00842D3D">
        <w:rPr>
          <w:rFonts w:eastAsia="Calibri" w:cs="Times New Roman"/>
          <w:i/>
          <w:szCs w:val="24"/>
        </w:rPr>
        <w:t>David v. Kaulukukui</w:t>
      </w:r>
      <w:r w:rsidRPr="00842D3D">
        <w:rPr>
          <w:rFonts w:eastAsia="Calibri" w:cs="Times New Roman"/>
          <w:szCs w:val="24"/>
        </w:rPr>
        <w:t xml:space="preserve">, 38 F.4th 792, 801 (9th Cir. 2022). “A misrepresentation or omission is material if a court would have declined to issue the order had [the defendant] been truthful.” </w:t>
      </w:r>
      <w:r w:rsidRPr="00842D3D">
        <w:rPr>
          <w:rFonts w:eastAsia="Calibri" w:cs="Times New Roman"/>
          <w:i/>
          <w:szCs w:val="24"/>
        </w:rPr>
        <w:t>Id.</w:t>
      </w:r>
      <w:r w:rsidRPr="00842D3D">
        <w:rPr>
          <w:rFonts w:eastAsia="Calibri" w:cs="Times New Roman"/>
          <w:szCs w:val="24"/>
        </w:rPr>
        <w:t xml:space="preserve"> Judicial deception can arise when true observations are made misleading by omission of facts “that are not themselves material[, but] may result in an affidavit that, considered as a whole, is materially misleading.” </w:t>
      </w:r>
      <w:r w:rsidRPr="00842D3D">
        <w:rPr>
          <w:rFonts w:eastAsia="Calibri" w:cs="Times New Roman"/>
          <w:i/>
          <w:szCs w:val="24"/>
        </w:rPr>
        <w:t>Scanlon v. County of Los Angeles</w:t>
      </w:r>
      <w:r w:rsidRPr="00842D3D">
        <w:rPr>
          <w:rFonts w:eastAsia="Calibri" w:cs="Times New Roman"/>
          <w:szCs w:val="24"/>
        </w:rPr>
        <w:t xml:space="preserve">, 92 F.4th 781, 799 (9th Cir. 2024). The “mere threat of separation” is insufficient to give rise to a Fourteenth Amendment claim “based on a minor being separated from his or her parents.” </w:t>
      </w:r>
      <w:r w:rsidRPr="00842D3D">
        <w:rPr>
          <w:rFonts w:eastAsia="Calibri" w:cs="Times New Roman"/>
          <w:i/>
          <w:szCs w:val="24"/>
        </w:rPr>
        <w:t>Dees v. County of San Diego</w:t>
      </w:r>
      <w:r w:rsidRPr="00842D3D">
        <w:rPr>
          <w:rFonts w:eastAsia="Calibri" w:cs="Times New Roman"/>
          <w:szCs w:val="24"/>
        </w:rPr>
        <w:t xml:space="preserve">, 960 F.3d 1145, 1152 (9th Cir. 2020). </w:t>
      </w:r>
    </w:p>
    <w:p w14:paraId="6D949B31" w14:textId="77777777" w:rsidR="00842D3D" w:rsidRPr="00842D3D" w:rsidRDefault="00842D3D" w:rsidP="00842D3D">
      <w:pPr>
        <w:autoSpaceDE w:val="0"/>
        <w:autoSpaceDN w:val="0"/>
        <w:adjustRightInd w:val="0"/>
        <w:rPr>
          <w:rFonts w:eastAsia="Calibri" w:cs="Times New Roman"/>
          <w:szCs w:val="24"/>
        </w:rPr>
      </w:pPr>
    </w:p>
    <w:p w14:paraId="79129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842D3D">
        <w:rPr>
          <w:rFonts w:eastAsia="Calibri" w:cs="Times New Roman"/>
          <w:i/>
          <w:szCs w:val="24"/>
        </w:rPr>
        <w:t>Rogers</w:t>
      </w:r>
      <w:r w:rsidRPr="00842D3D">
        <w:rPr>
          <w:rFonts w:eastAsia="Calibri" w:cs="Times New Roman"/>
          <w:szCs w:val="24"/>
        </w:rPr>
        <w:t xml:space="preserve">, 487 F.3d at 1294-95; </w:t>
      </w:r>
      <w:r w:rsidRPr="00842D3D">
        <w:rPr>
          <w:rFonts w:eastAsia="Calibri" w:cs="Times New Roman"/>
          <w:i/>
          <w:szCs w:val="24"/>
        </w:rPr>
        <w:t>see also Wallis v. Spencer</w:t>
      </w:r>
      <w:r w:rsidRPr="00842D3D">
        <w:rPr>
          <w:rFonts w:eastAsia="Calibri"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r w:rsidRPr="00842D3D">
        <w:rPr>
          <w:rFonts w:eastAsia="Calibri" w:cs="Times New Roman"/>
          <w:i/>
          <w:szCs w:val="24"/>
        </w:rPr>
        <w:t>Demaree v. Pederson</w:t>
      </w:r>
      <w:r w:rsidRPr="00842D3D">
        <w:rPr>
          <w:rFonts w:eastAsia="Calibri" w:cs="Times New Roman"/>
          <w:szCs w:val="24"/>
        </w:rPr>
        <w:t xml:space="preserve">, 887 F.3d 870, 879 (9th Cir. 2018) (per curiam) (internal quotation marks omitted). There must be “specific, articulable evidence that provides reasonable cause to believe that a child is in imminent danger of abuse.” </w:t>
      </w:r>
      <w:r w:rsidRPr="00842D3D">
        <w:rPr>
          <w:rFonts w:eastAsia="Calibri" w:cs="Times New Roman"/>
          <w:i/>
          <w:szCs w:val="24"/>
        </w:rPr>
        <w:t>Wallis</w:t>
      </w:r>
      <w:r w:rsidRPr="00842D3D">
        <w:rPr>
          <w:rFonts w:eastAsia="Calibri" w:cs="Times New Roman"/>
          <w:szCs w:val="24"/>
        </w:rPr>
        <w:t xml:space="preserve">, 202 F.3d at 1138;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Sjurset v. Button</w:t>
      </w:r>
      <w:r w:rsidRPr="00842D3D">
        <w:rPr>
          <w:rFonts w:eastAsia="Calibri"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58E60268" w14:textId="77777777" w:rsidR="00842D3D" w:rsidRPr="00842D3D" w:rsidRDefault="00842D3D" w:rsidP="00842D3D">
      <w:pPr>
        <w:autoSpaceDE w:val="0"/>
        <w:autoSpaceDN w:val="0"/>
        <w:adjustRightInd w:val="0"/>
        <w:rPr>
          <w:rFonts w:eastAsia="Calibri" w:cs="Times New Roman"/>
          <w:szCs w:val="24"/>
        </w:rPr>
      </w:pPr>
    </w:p>
    <w:p w14:paraId="0AF730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Conversely, removing children from their parents’ custody without a court’s authorization can give rise to a violation of a liberty interest when there is no imminent risk of physical or sexual abuse. </w:t>
      </w:r>
      <w:r w:rsidRPr="00842D3D">
        <w:rPr>
          <w:rFonts w:eastAsia="Calibri" w:cs="Times New Roman"/>
          <w:i/>
          <w:szCs w:val="24"/>
        </w:rPr>
        <w:t>Demaree</w:t>
      </w:r>
      <w:r w:rsidRPr="00842D3D">
        <w:rPr>
          <w:rFonts w:eastAsia="Calibri" w:cs="Times New Roman"/>
          <w:szCs w:val="24"/>
        </w:rPr>
        <w:t xml:space="preserve">, 887 F.3d at 879 (holding that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842D3D">
        <w:rPr>
          <w:rFonts w:eastAsia="Calibri" w:cs="Times New Roman"/>
          <w:i/>
          <w:szCs w:val="24"/>
        </w:rPr>
        <w:t>Rogers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487 F.3d at 1296. </w:t>
      </w:r>
    </w:p>
    <w:p w14:paraId="47FBBF50" w14:textId="77777777" w:rsidR="00842D3D" w:rsidRPr="00842D3D" w:rsidRDefault="00842D3D" w:rsidP="00842D3D">
      <w:pPr>
        <w:autoSpaceDE w:val="0"/>
        <w:autoSpaceDN w:val="0"/>
        <w:adjustRightInd w:val="0"/>
        <w:rPr>
          <w:rFonts w:eastAsia="Calibri" w:cs="Times New Roman"/>
          <w:b/>
          <w:szCs w:val="24"/>
        </w:rPr>
      </w:pPr>
    </w:p>
    <w:p w14:paraId="1FE7305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B.</w:t>
      </w:r>
      <w:r w:rsidRPr="00842D3D">
        <w:rPr>
          <w:rFonts w:eastAsia="Calibri" w:cs="Times New Roman"/>
          <w:b/>
          <w:szCs w:val="24"/>
        </w:rPr>
        <w:tab/>
        <w:t>Standard for Substantive Due Process Violation</w:t>
      </w:r>
    </w:p>
    <w:p w14:paraId="0335352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p>
    <w:p w14:paraId="2B449C3E"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A substantive due process claim of impermissible interference with familial association arises when a state official harms a parent or child in a manner that shocks the conscience. </w:t>
      </w:r>
      <w:r w:rsidRPr="00842D3D">
        <w:rPr>
          <w:rFonts w:eastAsia="Calibri" w:cs="Times New Roman"/>
          <w:i/>
          <w:szCs w:val="24"/>
        </w:rPr>
        <w:t>Porter v. Osborn</w:t>
      </w:r>
      <w:r w:rsidRPr="00842D3D">
        <w:rPr>
          <w:rFonts w:eastAsia="Calibri" w:cs="Times New Roman"/>
          <w:szCs w:val="24"/>
        </w:rPr>
        <w:t xml:space="preserve">, 546 F.3d 1131, 1137 (9th Cir. 2008). Parents and children have a substantive due process right to a familial relationship free from unwarranted state interference. </w:t>
      </w:r>
      <w:r w:rsidRPr="00842D3D">
        <w:rPr>
          <w:rFonts w:eastAsia="Calibri" w:cs="Times New Roman"/>
          <w:i/>
          <w:iCs/>
          <w:szCs w:val="24"/>
        </w:rPr>
        <w:t>Scott v. Smith</w:t>
      </w:r>
      <w:r w:rsidRPr="00842D3D">
        <w:rPr>
          <w:rFonts w:eastAsia="Calibri" w:cs="Times New Roman"/>
          <w:szCs w:val="24"/>
        </w:rPr>
        <w:t xml:space="preserve">, 109 F.4th 1215, 1228 (9th Cir. 2024); </w:t>
      </w:r>
      <w:r w:rsidRPr="00842D3D">
        <w:rPr>
          <w:rFonts w:eastAsia="Calibri" w:cs="Times New Roman"/>
          <w:i/>
          <w:iCs/>
          <w:szCs w:val="24"/>
        </w:rPr>
        <w:t>Hardwick v. County of Orange</w:t>
      </w:r>
      <w:r w:rsidRPr="00842D3D">
        <w:rPr>
          <w:rFonts w:eastAsia="Calibri" w:cs="Times New Roman"/>
          <w:szCs w:val="24"/>
        </w:rPr>
        <w:t xml:space="preserve">, 980 F.3d 733, 740-41 &amp; n.9 (9th Cir. 2020). To show a violation of the right to familial association under the Fourteenth </w:t>
      </w:r>
      <w:r w:rsidRPr="00842D3D">
        <w:rPr>
          <w:rFonts w:eastAsia="Calibri" w:cs="Times New Roman"/>
          <w:szCs w:val="24"/>
        </w:rPr>
        <w:lastRenderedPageBreak/>
        <w:t xml:space="preserve">Amendment based on an officer’s use of force, a plaintiff must establish that an officer’s conduct “shocks the conscience.” </w:t>
      </w:r>
      <w:r w:rsidRPr="00842D3D">
        <w:rPr>
          <w:rFonts w:eastAsia="Calibri" w:cs="Times New Roman"/>
          <w:i/>
          <w:iCs/>
          <w:szCs w:val="24"/>
        </w:rPr>
        <w:t>Scott</w:t>
      </w:r>
      <w:r w:rsidRPr="00842D3D">
        <w:rPr>
          <w:rFonts w:eastAsia="Calibri" w:cs="Times New Roman"/>
          <w:szCs w:val="24"/>
        </w:rPr>
        <w:t>, 109 F.4th at 1228;</w:t>
      </w:r>
      <w:r w:rsidRPr="00842D3D">
        <w:rPr>
          <w:rFonts w:eastAsia="Calibri" w:cs="Times New Roman"/>
          <w:i/>
          <w:iCs/>
          <w:szCs w:val="24"/>
        </w:rPr>
        <w:t xml:space="preserve"> Nicholson v. City of Los Angeles</w:t>
      </w:r>
      <w:r w:rsidRPr="00842D3D">
        <w:rPr>
          <w:rFonts w:eastAsia="Calibri" w:cs="Times New Roman"/>
          <w:szCs w:val="24"/>
        </w:rPr>
        <w:t>, 935 F.3d 685, 692 (9th Cir. 2019</w:t>
      </w:r>
      <w:r w:rsidRPr="00842D3D">
        <w:rPr>
          <w:rFonts w:eastAsia="Calibri" w:cs="Times New Roman"/>
          <w:i/>
          <w:iCs/>
          <w:szCs w:val="24"/>
        </w:rPr>
        <w:t>).</w:t>
      </w:r>
    </w:p>
    <w:p w14:paraId="022ABB2A" w14:textId="77777777" w:rsidR="00842D3D" w:rsidRPr="00842D3D" w:rsidRDefault="00842D3D" w:rsidP="00842D3D">
      <w:pPr>
        <w:autoSpaceDE w:val="0"/>
        <w:autoSpaceDN w:val="0"/>
        <w:adjustRightInd w:val="0"/>
        <w:rPr>
          <w:rFonts w:eastAsia="Calibri" w:cs="Times New Roman"/>
          <w:szCs w:val="24"/>
        </w:rPr>
      </w:pPr>
    </w:p>
    <w:p w14:paraId="3C5AED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Fourteenth Amendment substantive due process claim is distinct from a claim arising under the Fourth Amendment. </w:t>
      </w:r>
      <w:r w:rsidRPr="00842D3D">
        <w:rPr>
          <w:rFonts w:eastAsia="Calibri" w:cs="Times New Roman"/>
          <w:i/>
          <w:szCs w:val="24"/>
        </w:rPr>
        <w:t>See Lewis</w:t>
      </w:r>
      <w:r w:rsidRPr="00842D3D">
        <w:rPr>
          <w:rFonts w:eastAsia="Calibri" w:cs="Times New Roman"/>
          <w:szCs w:val="24"/>
        </w:rPr>
        <w:t>, 523 U.S.</w:t>
      </w:r>
      <w:r w:rsidRPr="00842D3D">
        <w:rPr>
          <w:rFonts w:eastAsia="Calibri" w:cs="Times New Roman"/>
          <w:i/>
          <w:szCs w:val="24"/>
        </w:rPr>
        <w:t xml:space="preserve"> </w:t>
      </w:r>
      <w:r w:rsidRPr="00842D3D">
        <w:rPr>
          <w:rFonts w:eastAsia="Calibri" w:cs="Times New Roman"/>
          <w:szCs w:val="24"/>
        </w:rPr>
        <w:t xml:space="preserve">at 843. A Fourth Amendment excessive force claim requires the victim to establish that the officer’s conduct was objectively unreasonable. </w:t>
      </w:r>
      <w:r w:rsidRPr="00842D3D">
        <w:rPr>
          <w:rFonts w:eastAsia="Calibri" w:cs="Times New Roman"/>
          <w:i/>
          <w:szCs w:val="24"/>
        </w:rPr>
        <w:t>Ochoa v. City of Mesa</w:t>
      </w:r>
      <w:r w:rsidRPr="00842D3D">
        <w:rPr>
          <w:rFonts w:eastAsia="Calibri" w:cs="Times New Roman"/>
          <w:szCs w:val="24"/>
        </w:rPr>
        <w:t xml:space="preserve">, 26 F.4th 1050, 1056 (9th Cir. 2022). But that Fourth Amendment standard is less demanding than the “shocks the conscience” standard that applies to substantive due process familial association claims under the Fourteenth Amendment brought by the parent or child of the victim. </w:t>
      </w:r>
      <w:r w:rsidRPr="00842D3D">
        <w:rPr>
          <w:rFonts w:eastAsia="Calibri" w:cs="Times New Roman"/>
          <w:i/>
          <w:szCs w:val="24"/>
        </w:rPr>
        <w:t>See id.</w:t>
      </w:r>
      <w:r w:rsidRPr="00842D3D">
        <w:rPr>
          <w:rFonts w:eastAsia="Calibri"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842D3D">
        <w:rPr>
          <w:rFonts w:eastAsia="Calibri" w:cs="Times New Roman"/>
          <w:i/>
          <w:szCs w:val="24"/>
        </w:rPr>
        <w:t xml:space="preserve">Id. </w:t>
      </w:r>
      <w:r w:rsidRPr="00842D3D">
        <w:rPr>
          <w:rFonts w:eastAsia="Calibri" w:cs="Times New Roman"/>
          <w:szCs w:val="24"/>
        </w:rPr>
        <w:t>at 1057</w:t>
      </w:r>
      <w:r w:rsidRPr="00842D3D">
        <w:rPr>
          <w:rFonts w:eastAsia="Calibri" w:cs="Times New Roman"/>
          <w:i/>
          <w:szCs w:val="24"/>
        </w:rPr>
        <w:t xml:space="preserve"> </w:t>
      </w:r>
      <w:r w:rsidRPr="00842D3D">
        <w:rPr>
          <w:rFonts w:eastAsia="Calibri" w:cs="Times New Roman"/>
          <w:szCs w:val="24"/>
        </w:rPr>
        <w:t xml:space="preserve">(internal quotation marks and brackets omitted). </w:t>
      </w:r>
    </w:p>
    <w:p w14:paraId="07453824" w14:textId="77777777" w:rsidR="00842D3D" w:rsidRPr="00842D3D" w:rsidRDefault="00842D3D" w:rsidP="00842D3D">
      <w:pPr>
        <w:autoSpaceDE w:val="0"/>
        <w:autoSpaceDN w:val="0"/>
        <w:adjustRightInd w:val="0"/>
        <w:rPr>
          <w:rFonts w:eastAsia="Calibri" w:cs="Times New Roman"/>
          <w:szCs w:val="24"/>
          <w:highlight w:val="yellow"/>
        </w:rPr>
      </w:pPr>
    </w:p>
    <w:p w14:paraId="05875F7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two tests used to decide whether officers’ conduct ‘shocks the conscience.’” </w:t>
      </w:r>
      <w:r w:rsidRPr="00842D3D">
        <w:rPr>
          <w:rFonts w:eastAsia="Calibri" w:cs="Times New Roman"/>
          <w:i/>
          <w:szCs w:val="24"/>
        </w:rPr>
        <w:t xml:space="preserve">Id. </w:t>
      </w:r>
      <w:r w:rsidRPr="00842D3D">
        <w:rPr>
          <w:rFonts w:eastAsia="Calibri"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842D3D">
        <w:rPr>
          <w:rFonts w:eastAsia="Calibri" w:cs="Times New Roman"/>
          <w:i/>
          <w:iCs/>
          <w:szCs w:val="24"/>
        </w:rPr>
        <w:t xml:space="preserve">Scott </w:t>
      </w:r>
      <w:r w:rsidRPr="00842D3D">
        <w:rPr>
          <w:rFonts w:eastAsia="Calibri" w:cs="Times New Roman"/>
          <w:szCs w:val="24"/>
        </w:rPr>
        <w:t xml:space="preserve">109 F.4th at 1228. Which test applies turns on the specific circumstances of the underlying events in each case. </w:t>
      </w:r>
      <w:r w:rsidRPr="00842D3D">
        <w:rPr>
          <w:rFonts w:eastAsia="Calibri" w:cs="Times New Roman"/>
          <w:i/>
          <w:szCs w:val="24"/>
        </w:rPr>
        <w:t>Ochoa</w:t>
      </w:r>
      <w:r w:rsidRPr="00842D3D">
        <w:rPr>
          <w:rFonts w:eastAsia="Calibri" w:cs="Times New Roman"/>
          <w:szCs w:val="24"/>
        </w:rPr>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842D3D">
        <w:rPr>
          <w:rFonts w:eastAsia="Calibri" w:cs="Times New Roman"/>
          <w:i/>
          <w:szCs w:val="24"/>
        </w:rPr>
        <w:t>See Porter</w:t>
      </w:r>
      <w:r w:rsidRPr="00842D3D">
        <w:rPr>
          <w:rFonts w:eastAsia="Calibri" w:cs="Times New Roman"/>
          <w:szCs w:val="24"/>
        </w:rPr>
        <w:t xml:space="preserve">, 546 F.3d at 1137. However, if the situation evolved within a time frame that allowed officers to reflect before acting, the plaintiff must show the officer acted with “deliberate indifference.” </w:t>
      </w:r>
      <w:r w:rsidRPr="00842D3D">
        <w:rPr>
          <w:rFonts w:eastAsia="Calibri" w:cs="Times New Roman"/>
          <w:i/>
          <w:szCs w:val="24"/>
        </w:rPr>
        <w:t>See id.</w:t>
      </w:r>
      <w:r w:rsidRPr="00842D3D">
        <w:rPr>
          <w:rFonts w:eastAsia="Calibri" w:cs="Times New Roman"/>
          <w:szCs w:val="24"/>
        </w:rPr>
        <w:t xml:space="preserve"> To decide which test to apply, we must thus ask whether actual deliberation by the officer was “practical.” </w:t>
      </w:r>
      <w:r w:rsidRPr="00842D3D">
        <w:rPr>
          <w:rFonts w:eastAsia="Calibri" w:cs="Times New Roman"/>
          <w:i/>
          <w:iCs/>
          <w:szCs w:val="24"/>
        </w:rPr>
        <w:t>Scott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109 F.4th at 1228, citing </w:t>
      </w:r>
      <w:r w:rsidRPr="00842D3D">
        <w:rPr>
          <w:rFonts w:eastAsia="Calibri" w:cs="Times New Roman"/>
          <w:i/>
          <w:iCs/>
          <w:szCs w:val="24"/>
        </w:rPr>
        <w:t>Porter</w:t>
      </w:r>
      <w:r w:rsidRPr="00842D3D">
        <w:rPr>
          <w:rFonts w:eastAsia="Calibri" w:cs="Times New Roman"/>
          <w:szCs w:val="24"/>
        </w:rPr>
        <w:t>, 546 F.3d at 1137</w:t>
      </w:r>
      <w:r w:rsidRPr="00842D3D">
        <w:rPr>
          <w:rFonts w:eastAsia="Calibri" w:cs="Times New Roman"/>
          <w:i/>
          <w:iCs/>
          <w:szCs w:val="24"/>
        </w:rPr>
        <w:t>.</w:t>
      </w:r>
    </w:p>
    <w:p w14:paraId="356666BF" w14:textId="77777777" w:rsidR="00842D3D" w:rsidRPr="00842D3D" w:rsidRDefault="00842D3D" w:rsidP="00842D3D">
      <w:pPr>
        <w:autoSpaceDE w:val="0"/>
        <w:autoSpaceDN w:val="0"/>
        <w:adjustRightInd w:val="0"/>
        <w:rPr>
          <w:rFonts w:eastAsia="Calibri" w:cs="Times New Roman"/>
          <w:szCs w:val="24"/>
        </w:rPr>
      </w:pPr>
    </w:p>
    <w:p w14:paraId="3480734C"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Purpose to Harm Standard</w:t>
      </w:r>
    </w:p>
    <w:p w14:paraId="3ED3F025"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
    </w:p>
    <w:p w14:paraId="63B084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developed the purpose-to-harm standard in recognition that not every harm caused by government officials gives rise to a Fourteenth Amendment claim. </w:t>
      </w:r>
      <w:r w:rsidRPr="00842D3D">
        <w:rPr>
          <w:rFonts w:eastAsia="Calibri" w:cs="Times New Roman"/>
          <w:i/>
          <w:szCs w:val="24"/>
        </w:rPr>
        <w:t>See Lewis</w:t>
      </w:r>
      <w:r w:rsidRPr="00842D3D">
        <w:rPr>
          <w:rFonts w:eastAsia="Calibri" w:cs="Times New Roman"/>
          <w:szCs w:val="24"/>
        </w:rPr>
        <w:t xml:space="preserve">, 523 U.S. at 848-49. For instance, “when unforeseen circumstances demand an officer’s instant judgment, even precipitate recklessness fails to inch close enough to harmful purpose” so as to shock the conscience. </w:t>
      </w:r>
      <w:r w:rsidRPr="00842D3D">
        <w:rPr>
          <w:rFonts w:eastAsia="Calibri" w:cs="Times New Roman"/>
          <w:i/>
          <w:szCs w:val="24"/>
        </w:rPr>
        <w:t xml:space="preserve">Id. </w:t>
      </w:r>
      <w:r w:rsidRPr="00842D3D">
        <w:rPr>
          <w:rFonts w:eastAsia="Calibri" w:cs="Times New Roman"/>
          <w:szCs w:val="24"/>
        </w:rPr>
        <w:t>at 853.</w:t>
      </w:r>
      <w:r w:rsidRPr="00842D3D">
        <w:rPr>
          <w:rFonts w:eastAsia="Calibri" w:cs="Times New Roman"/>
          <w:i/>
          <w:szCs w:val="24"/>
        </w:rPr>
        <w:t xml:space="preserve"> </w:t>
      </w:r>
      <w:r w:rsidRPr="00842D3D">
        <w:rPr>
          <w:rFonts w:eastAsia="Calibri" w:cs="Times New Roman"/>
          <w:szCs w:val="24"/>
        </w:rPr>
        <w:t xml:space="preserve">These circumstances may include high speed police chases, </w:t>
      </w:r>
      <w:r w:rsidRPr="00842D3D">
        <w:rPr>
          <w:rFonts w:eastAsia="Calibri" w:cs="Times New Roman"/>
          <w:i/>
          <w:szCs w:val="24"/>
        </w:rPr>
        <w:t xml:space="preserve">see id. </w:t>
      </w:r>
      <w:r w:rsidRPr="00842D3D">
        <w:rPr>
          <w:rFonts w:eastAsia="Calibri" w:cs="Times New Roman"/>
          <w:szCs w:val="24"/>
        </w:rPr>
        <w:t xml:space="preserve">at 855, responding to a gunfight in a crowded parking lot, </w:t>
      </w:r>
      <w:r w:rsidRPr="00842D3D">
        <w:rPr>
          <w:rFonts w:eastAsia="Calibri" w:cs="Times New Roman"/>
          <w:i/>
          <w:szCs w:val="24"/>
        </w:rPr>
        <w:t>Moreland v. Las Vegas Metro. Police Dep’t</w:t>
      </w:r>
      <w:r w:rsidRPr="00842D3D">
        <w:rPr>
          <w:rFonts w:eastAsia="Calibri" w:cs="Times New Roman"/>
          <w:szCs w:val="24"/>
        </w:rPr>
        <w:t xml:space="preserve">, 159 F.3d 365, 368 (9th Cir. 1998), and other situations requiring split-second decisions, where the officer did not have a “practical” opportunity for “actual deliberation.” </w:t>
      </w:r>
      <w:r w:rsidRPr="00842D3D">
        <w:rPr>
          <w:rFonts w:eastAsia="Calibri" w:cs="Times New Roman"/>
          <w:i/>
          <w:szCs w:val="24"/>
        </w:rPr>
        <w:t>Lewis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523 U.S. at 851; </w:t>
      </w:r>
      <w:r w:rsidRPr="00842D3D">
        <w:rPr>
          <w:rFonts w:eastAsia="Calibri" w:cs="Times New Roman"/>
          <w:i/>
          <w:iCs/>
          <w:szCs w:val="24"/>
        </w:rPr>
        <w:t>see also Puente v. City of Phoenix</w:t>
      </w:r>
      <w:r w:rsidRPr="00842D3D">
        <w:rPr>
          <w:rFonts w:eastAsia="Calibri" w:cs="Times New Roman"/>
          <w:szCs w:val="24"/>
        </w:rPr>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p>
    <w:p w14:paraId="05D7D9CD" w14:textId="77777777" w:rsidR="00842D3D" w:rsidRPr="00842D3D" w:rsidRDefault="00842D3D" w:rsidP="00842D3D">
      <w:pPr>
        <w:autoSpaceDE w:val="0"/>
        <w:autoSpaceDN w:val="0"/>
        <w:adjustRightInd w:val="0"/>
        <w:rPr>
          <w:rFonts w:eastAsia="Calibri" w:cs="Times New Roman"/>
          <w:szCs w:val="24"/>
        </w:rPr>
      </w:pPr>
    </w:p>
    <w:p w14:paraId="44CB42E6" w14:textId="1010DA0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In </w:t>
      </w:r>
      <w:r w:rsidRPr="00842D3D">
        <w:rPr>
          <w:rFonts w:eastAsia="Calibri" w:cs="Times New Roman"/>
          <w:i/>
          <w:szCs w:val="24"/>
        </w:rPr>
        <w:t>Porter</w:t>
      </w:r>
      <w:r w:rsidRPr="00842D3D">
        <w:rPr>
          <w:rFonts w:eastAsia="Calibri" w:cs="Times New Roman"/>
          <w:i/>
          <w:iCs/>
          <w:szCs w:val="24"/>
        </w:rPr>
        <w:t xml:space="preserve"> v. Osborn</w:t>
      </w:r>
      <w:r w:rsidRPr="00842D3D">
        <w:rPr>
          <w:rFonts w:eastAsia="Calibri" w:cs="Times New Roman"/>
          <w:i/>
          <w:szCs w:val="24"/>
        </w:rPr>
        <w:t>,</w:t>
      </w:r>
      <w:r w:rsidRPr="00842D3D">
        <w:rPr>
          <w:rFonts w:eastAsia="Calibri" w:cs="Times New Roman"/>
          <w:szCs w:val="24"/>
        </w:rPr>
        <w:t xml:space="preserve"> 546 F.3d 1131, 1137 (9th Cir. 2008),</w:t>
      </w:r>
      <w:r w:rsidRPr="00842D3D">
        <w:rPr>
          <w:rFonts w:eastAsia="Calibri" w:cs="Times New Roman"/>
          <w:i/>
          <w:szCs w:val="24"/>
        </w:rPr>
        <w:t xml:space="preserve"> </w:t>
      </w:r>
      <w:r w:rsidRPr="00842D3D">
        <w:rPr>
          <w:rFonts w:eastAsia="Calibri" w:cs="Times New Roman"/>
          <w:szCs w:val="24"/>
        </w:rPr>
        <w:t xml:space="preserve">the Ninth Circuit held that the “purpose to harm” standard applied to a Fourteenth Amendment familial association claim brought by the surviving parents of a motorist who was shot and killed, “[d]ue to the rapidly escalating nature of the confrontation” with the motorist, such that actual deliberation was not practical. </w:t>
      </w:r>
      <w:r w:rsidRPr="00842D3D">
        <w:rPr>
          <w:rFonts w:eastAsia="Calibri" w:cs="Times New Roman"/>
          <w:i/>
          <w:szCs w:val="24"/>
        </w:rPr>
        <w:t xml:space="preserve">Id. </w:t>
      </w:r>
      <w:r w:rsidRPr="00842D3D">
        <w:rPr>
          <w:rFonts w:eastAsia="Calibri" w:cs="Times New Roman"/>
          <w:szCs w:val="24"/>
        </w:rPr>
        <w:t xml:space="preserve">at 1137. Similarly, in </w:t>
      </w:r>
      <w:r w:rsidRPr="00842D3D">
        <w:rPr>
          <w:rFonts w:eastAsia="Calibri" w:cs="Times New Roman"/>
          <w:i/>
          <w:szCs w:val="24"/>
        </w:rPr>
        <w:t>Ochoa</w:t>
      </w:r>
      <w:r w:rsidRPr="00842D3D">
        <w:rPr>
          <w:rFonts w:eastAsia="Calibri" w:cs="Times New Roman"/>
          <w:i/>
          <w:iCs/>
          <w:szCs w:val="24"/>
        </w:rPr>
        <w:t>,</w:t>
      </w:r>
      <w:r w:rsidRPr="00842D3D">
        <w:rPr>
          <w:rFonts w:eastAsia="Calibri" w:cs="Times New Roman"/>
          <w:i/>
          <w:szCs w:val="24"/>
        </w:rPr>
        <w:t xml:space="preserve"> </w:t>
      </w:r>
      <w:r w:rsidRPr="00842D3D">
        <w:rPr>
          <w:rFonts w:eastAsia="Calibri" w:cs="Times New Roman"/>
          <w:szCs w:val="24"/>
        </w:rPr>
        <w:t xml:space="preserve">the Ninth Circuit applied the purpose to harm standard to a familial association claim brought by the surviving relatives of a suspect who was fatally shot after he took a step towards officers while carrying a knife. </w:t>
      </w:r>
      <w:r w:rsidRPr="00842D3D">
        <w:rPr>
          <w:rFonts w:eastAsia="Calibri" w:cs="Times New Roman"/>
          <w:i/>
          <w:szCs w:val="24"/>
        </w:rPr>
        <w:t>Ochoa</w:t>
      </w:r>
      <w:r w:rsidRPr="00842D3D">
        <w:rPr>
          <w:rFonts w:eastAsia="Calibri" w:cs="Times New Roman"/>
          <w:szCs w:val="24"/>
        </w:rPr>
        <w:t xml:space="preserve">, 26 F.4th 1056 (stating that under the purpose to harm standard of culpability the plaintiffs must prove that the officer’s purpose was “to cause harm unrelated to the legitimate object of </w:t>
      </w:r>
      <w:r w:rsidRPr="00842D3D">
        <w:rPr>
          <w:rFonts w:eastAsia="Calibri" w:cs="Times New Roman"/>
        </w:rPr>
        <w:t>arrest”)</w:t>
      </w:r>
      <w:r w:rsidR="00F26F28" w:rsidRPr="003B463E">
        <w:rPr>
          <w:rFonts w:eastAsia="Calibri" w:cs="Times New Roman"/>
        </w:rPr>
        <w:t xml:space="preserve">; </w:t>
      </w:r>
      <w:r w:rsidR="00F26F28" w:rsidRPr="003B463E">
        <w:rPr>
          <w:rFonts w:eastAsia="Calibri" w:cs="Times New Roman"/>
          <w:i/>
        </w:rPr>
        <w:t>see also Hawatmeh v. City of Henderson</w:t>
      </w:r>
      <w:r w:rsidR="00F26F28" w:rsidRPr="003B463E">
        <w:rPr>
          <w:rFonts w:eastAsia="Calibri" w:cs="Times New Roman"/>
        </w:rPr>
        <w:t xml:space="preserve">, 159 F.4th 591, 602 (9th Cir. 2025) (applying the “purpose to </w:t>
      </w:r>
      <w:bookmarkStart w:id="199" w:name="Instruction_9.34"/>
      <w:bookmarkEnd w:id="199"/>
      <w:r w:rsidR="00F26F28" w:rsidRPr="003B463E">
        <w:rPr>
          <w:rFonts w:eastAsia="Calibri" w:cs="Times New Roman"/>
        </w:rPr>
        <w:t>harm” standard to the shooting of a 12-year-old hostage because the officers “were forced to make ‘a split-second decision’ in a rapidly evolving situation” after hearing the hostage-taker, who had already shot three people and repeatedly threatened the hostage, told the hostage to “open your mouth” less than one minute earlier).</w:t>
      </w:r>
      <w:r w:rsidRPr="00842D3D">
        <w:rPr>
          <w:rFonts w:eastAsia="Calibri" w:cs="Times New Roman"/>
        </w:rPr>
        <w:t xml:space="preserve"> And in </w:t>
      </w:r>
      <w:r w:rsidRPr="00842D3D">
        <w:rPr>
          <w:rFonts w:eastAsia="Calibri" w:cs="Times New Roman"/>
          <w:i/>
          <w:iCs/>
        </w:rPr>
        <w:t>Estate of Soakai v. Abdelaziz</w:t>
      </w:r>
      <w:r w:rsidRPr="00842D3D">
        <w:rPr>
          <w:rFonts w:eastAsia="Calibri" w:cs="Times New Roman"/>
        </w:rPr>
        <w:t>, the Ninth Circuit held that the plaintiffs, bystanders who were killed or injured after a suspect crashed into them, had “stated a substantive due process claim by plausibly alleging that they, as bystanders, were injured when Defendants engaged in a high-speed chase for the purpose of harming the fleeing suspect without a legitimate law enforcement objective.” 137 F.4th 969, 980 (9th Cir. 2025)</w:t>
      </w:r>
      <w:r w:rsidR="00E54E76">
        <w:rPr>
          <w:rFonts w:eastAsia="Calibri" w:cs="Times New Roman"/>
        </w:rPr>
        <w:t xml:space="preserve">. </w:t>
      </w:r>
      <w:r w:rsidRPr="00842D3D">
        <w:rPr>
          <w:rFonts w:eastAsia="Calibri" w:cs="Times New Roman"/>
        </w:rPr>
        <w:t xml:space="preserve">In that case, the plaintiffs alleged that the defendant officers had pursued the suspect at high speeds through city streets without activating their lights or sirens and had expressed their hope that the suspect had been killed in the crash. </w:t>
      </w:r>
      <w:r w:rsidRPr="00842D3D">
        <w:rPr>
          <w:rFonts w:eastAsia="Calibri" w:cs="Times New Roman"/>
          <w:i/>
          <w:iCs/>
        </w:rPr>
        <w:t>Id.</w:t>
      </w:r>
      <w:r w:rsidRPr="00842D3D">
        <w:rPr>
          <w:rFonts w:eastAsia="Calibri" w:cs="Times New Roman"/>
        </w:rPr>
        <w:t xml:space="preserve"> at 975.</w:t>
      </w:r>
    </w:p>
    <w:p w14:paraId="44D23896" w14:textId="77777777" w:rsidR="00842D3D" w:rsidRPr="00842D3D" w:rsidRDefault="00842D3D" w:rsidP="00842D3D">
      <w:pPr>
        <w:autoSpaceDE w:val="0"/>
        <w:autoSpaceDN w:val="0"/>
        <w:adjustRightInd w:val="0"/>
        <w:rPr>
          <w:rFonts w:eastAsia="Calibri" w:cs="Times New Roman"/>
          <w:szCs w:val="24"/>
        </w:rPr>
      </w:pPr>
    </w:p>
    <w:p w14:paraId="4FD1B3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rPr>
        <w:t xml:space="preserve">In </w:t>
      </w:r>
      <w:r w:rsidRPr="00842D3D">
        <w:rPr>
          <w:rFonts w:eastAsia="Calibri" w:cs="Times New Roman"/>
          <w:i/>
        </w:rPr>
        <w:t>A.D. v. Cal. Highway Patrol</w:t>
      </w:r>
      <w:r w:rsidRPr="00842D3D">
        <w:rPr>
          <w:rFonts w:eastAsia="Calibri" w:cs="Times New Roman"/>
          <w:iCs/>
        </w:rPr>
        <w:t xml:space="preserve">, </w:t>
      </w:r>
      <w:r w:rsidRPr="00842D3D">
        <w:rPr>
          <w:rFonts w:eastAsia="Calibri" w:cs="Times New Roman"/>
        </w:rPr>
        <w:t>the Ninth Circuit held that the jury could have reasonably concluded that the officer “acted with the purpose to harm unrelated to a legitimate law enforcement objective,” and upheld the jury’s verdict for the suspect’s surviving children when the officer shot twelve rounds at an occupied vehicle even though the car presented no immediate threat. 712 F.3d 446, 458 (9th Cir. 2013) (stating that the officer acted “with a purpose to harm unrelated to the legitimate law enforcement objectives of arrest, self-defense, or defense of others”).</w:t>
      </w:r>
    </w:p>
    <w:p w14:paraId="3AEC7D9E" w14:textId="77777777" w:rsidR="00842D3D" w:rsidRPr="00842D3D" w:rsidRDefault="00842D3D" w:rsidP="00842D3D">
      <w:pPr>
        <w:autoSpaceDE w:val="0"/>
        <w:autoSpaceDN w:val="0"/>
        <w:adjustRightInd w:val="0"/>
        <w:rPr>
          <w:rFonts w:eastAsia="Calibri" w:cs="Times New Roman"/>
          <w:szCs w:val="24"/>
        </w:rPr>
      </w:pPr>
    </w:p>
    <w:p w14:paraId="1D9BF9A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 xml:space="preserve">Zion v. County of Orange </w:t>
      </w:r>
      <w:r w:rsidRPr="00842D3D">
        <w:rPr>
          <w:rFonts w:eastAsia="Calibri" w:cs="Times New Roman"/>
          <w:szCs w:val="24"/>
        </w:rPr>
        <w:t xml:space="preserve">exemplifies the distinction between legitimate and illegitimate official conduct. The officer in </w:t>
      </w:r>
      <w:r w:rsidRPr="00842D3D">
        <w:rPr>
          <w:rFonts w:eastAsia="Calibri" w:cs="Times New Roman"/>
          <w:i/>
          <w:szCs w:val="24"/>
        </w:rPr>
        <w:t xml:space="preserve">Zion </w:t>
      </w:r>
      <w:r w:rsidRPr="00842D3D">
        <w:rPr>
          <w:rFonts w:eastAsia="Calibri" w:cs="Times New Roman"/>
          <w:szCs w:val="24"/>
        </w:rPr>
        <w:t xml:space="preserve">did not violate the Fourteenth Amendment when he emptied his weapon at a suspect who was fleeing after stabbing an officer because the officer had no time for reflection, and “[w]hether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842D3D">
        <w:rPr>
          <w:rFonts w:eastAsia="Calibri" w:cs="Times New Roman"/>
          <w:i/>
          <w:szCs w:val="24"/>
        </w:rPr>
        <w:t xml:space="preserve">See id. </w:t>
      </w:r>
      <w:r w:rsidRPr="00842D3D">
        <w:rPr>
          <w:rFonts w:eastAsia="Calibri" w:cs="Times New Roman"/>
          <w:szCs w:val="24"/>
        </w:rPr>
        <w:t>(reversing summary judgment in favor of officer defendant).</w:t>
      </w:r>
    </w:p>
    <w:p w14:paraId="03C6558A" w14:textId="77777777" w:rsidR="00842D3D" w:rsidRPr="00842D3D" w:rsidRDefault="00842D3D" w:rsidP="00842D3D">
      <w:pPr>
        <w:autoSpaceDE w:val="0"/>
        <w:autoSpaceDN w:val="0"/>
        <w:adjustRightInd w:val="0"/>
        <w:rPr>
          <w:rFonts w:eastAsia="Calibri" w:cs="Times New Roman"/>
          <w:szCs w:val="24"/>
        </w:rPr>
      </w:pPr>
    </w:p>
    <w:p w14:paraId="6ACC53FD"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szCs w:val="24"/>
        </w:rPr>
      </w:pPr>
      <w:r w:rsidRPr="00842D3D">
        <w:rPr>
          <w:rFonts w:eastAsia="Calibri" w:cs="Times New Roman"/>
          <w:b/>
          <w:szCs w:val="24"/>
        </w:rPr>
        <w:t>Deliberate Indifference Standard</w:t>
      </w:r>
      <w:r w:rsidRPr="00842D3D">
        <w:rPr>
          <w:rFonts w:eastAsia="Calibri" w:cs="Times New Roman"/>
          <w:szCs w:val="24"/>
        </w:rPr>
        <w:t xml:space="preserve">   </w:t>
      </w:r>
    </w:p>
    <w:p w14:paraId="3BBF0E57"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
    </w:p>
    <w:p w14:paraId="2B95FC25"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szCs w:val="24"/>
        </w:rPr>
        <w:tab/>
        <w:t xml:space="preserve">The deliberate indifference standard applies in situations where the officers who caused the harm to the parent or child acted (or failed to act) in a situation when “actual deliberation is practical.” </w:t>
      </w:r>
      <w:r w:rsidRPr="00842D3D">
        <w:rPr>
          <w:rFonts w:eastAsia="Calibri" w:cs="Times New Roman"/>
          <w:i/>
          <w:szCs w:val="24"/>
        </w:rPr>
        <w:t>Lewis</w:t>
      </w:r>
      <w:r w:rsidRPr="00842D3D">
        <w:rPr>
          <w:rFonts w:eastAsia="Calibri" w:cs="Times New Roman"/>
          <w:szCs w:val="24"/>
        </w:rPr>
        <w:t xml:space="preserve">, 523 U.S. at 851. When officials have “time to make unhurried judgments,” and </w:t>
      </w:r>
      <w:r w:rsidRPr="00842D3D">
        <w:rPr>
          <w:rFonts w:eastAsia="Calibri" w:cs="Times New Roman"/>
          <w:szCs w:val="24"/>
        </w:rPr>
        <w:lastRenderedPageBreak/>
        <w:t xml:space="preserve">“extended opportunities to do better,” but unreasonably allow harm to occur, then their “protracted failure even to care” can shock the conscience, thus giving rise to a substantive due process claim. </w:t>
      </w:r>
      <w:r w:rsidRPr="00842D3D">
        <w:rPr>
          <w:rFonts w:eastAsia="Calibri" w:cs="Times New Roman"/>
          <w:i/>
          <w:szCs w:val="24"/>
        </w:rPr>
        <w:t>Id</w:t>
      </w:r>
      <w:r w:rsidRPr="00842D3D">
        <w:rPr>
          <w:rFonts w:eastAsia="Calibri" w:cs="Times New Roman"/>
          <w:szCs w:val="24"/>
        </w:rPr>
        <w:t xml:space="preserve">. “Actual deliberation” requires a longer period of time than “deliberation” as that term is used in homicide law. </w:t>
      </w:r>
      <w:r w:rsidRPr="00842D3D">
        <w:rPr>
          <w:rFonts w:eastAsia="Calibri" w:cs="Times New Roman"/>
          <w:i/>
          <w:szCs w:val="24"/>
        </w:rPr>
        <w:t xml:space="preserve">See id. </w:t>
      </w:r>
      <w:r w:rsidRPr="00842D3D">
        <w:rPr>
          <w:rFonts w:eastAsia="Calibri" w:cs="Times New Roman"/>
          <w:szCs w:val="24"/>
        </w:rPr>
        <w:t xml:space="preserve">at 851 n.11 (“By ‘actual deliberation,’ we do not mean ‘deliberation’ in the narrow, technical sense in which it has sometimes been used in traditional homicide law.”). Deliberation may be practical even without an extended timeline of events. </w:t>
      </w:r>
      <w:r w:rsidRPr="00842D3D">
        <w:rPr>
          <w:rFonts w:eastAsia="Calibri" w:cs="Times New Roman"/>
          <w:i/>
          <w:iCs/>
          <w:szCs w:val="24"/>
        </w:rPr>
        <w:t>See Scott</w:t>
      </w:r>
      <w:r w:rsidRPr="00842D3D">
        <w:rPr>
          <w:rFonts w:eastAsia="Calibri" w:cs="Times New Roman"/>
          <w:szCs w:val="24"/>
        </w:rPr>
        <w:t xml:space="preserve">, 109 F.4th at 1228; </w:t>
      </w:r>
      <w:r w:rsidRPr="00842D3D">
        <w:rPr>
          <w:rFonts w:eastAsia="Calibri" w:cs="Times New Roman"/>
          <w:i/>
          <w:iCs/>
          <w:szCs w:val="24"/>
        </w:rPr>
        <w:t>Nicholson v. City of Los Angeles</w:t>
      </w:r>
      <w:r w:rsidRPr="00842D3D">
        <w:rPr>
          <w:rFonts w:eastAsia="Calibri" w:cs="Times New Roman"/>
          <w:szCs w:val="24"/>
        </w:rPr>
        <w:t xml:space="preserve">, 935 F.3d 685, 693-94 (9th Cir. 2019) (“An officer had time to deliberate when, after seeing a teenager with a toy gun, he jumped out of a car and fired several shots.”). Because it shocks the conscience for officials to cause harm to a parent or child with deliberate indifference, a substantive due process claim of impermissible interference with familial association can arise in these circumstances. </w:t>
      </w:r>
      <w:r w:rsidRPr="00842D3D">
        <w:rPr>
          <w:rFonts w:eastAsia="Calibri" w:cs="Times New Roman"/>
          <w:i/>
          <w:szCs w:val="24"/>
        </w:rPr>
        <w:t>Porter</w:t>
      </w:r>
      <w:r w:rsidRPr="00842D3D">
        <w:rPr>
          <w:rFonts w:eastAsia="Calibri" w:cs="Times New Roman"/>
          <w:szCs w:val="24"/>
        </w:rPr>
        <w:t xml:space="preserve">, 546 F.3d at 1137; </w:t>
      </w:r>
      <w:r w:rsidRPr="00842D3D">
        <w:rPr>
          <w:rFonts w:eastAsia="Calibri" w:cs="Times New Roman"/>
          <w:i/>
          <w:iCs/>
          <w:szCs w:val="24"/>
        </w:rPr>
        <w:t>Scott</w:t>
      </w:r>
      <w:r w:rsidRPr="00842D3D">
        <w:rPr>
          <w:rFonts w:eastAsia="Calibri" w:cs="Times New Roman"/>
          <w:szCs w:val="24"/>
        </w:rPr>
        <w:t>, 109 F.4th at 1228 (stating the officers had time to deliberate because the encounter was not escalating, officers had time to consider their next steps, seven minutes passed after the officers arrived on the scene and had called their sergeant to ask for guidance).</w:t>
      </w:r>
    </w:p>
    <w:p w14:paraId="33F6D76E" w14:textId="77777777" w:rsidR="00842D3D" w:rsidRPr="00842D3D" w:rsidRDefault="00842D3D" w:rsidP="00842D3D">
      <w:pPr>
        <w:autoSpaceDE w:val="0"/>
        <w:autoSpaceDN w:val="0"/>
        <w:adjustRightInd w:val="0"/>
        <w:rPr>
          <w:rFonts w:eastAsia="Calibri" w:cs="Times New Roman"/>
          <w:szCs w:val="24"/>
        </w:rPr>
      </w:pPr>
    </w:p>
    <w:p w14:paraId="1FB37573" w14:textId="56C3979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842D3D">
        <w:rPr>
          <w:rFonts w:eastAsia="Calibri" w:cs="Times New Roman"/>
          <w:i/>
          <w:szCs w:val="24"/>
        </w:rPr>
        <w:t>see DeShaney v. Winnebago Cnty. Dep’t of Soc. Servs.</w:t>
      </w:r>
      <w:r w:rsidRPr="00842D3D">
        <w:rPr>
          <w:rFonts w:eastAsia="Calibri"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842D3D">
        <w:rPr>
          <w:rFonts w:eastAsia="Calibri" w:cs="Times New Roman"/>
          <w:i/>
          <w:szCs w:val="24"/>
        </w:rPr>
        <w:t>Herrera v. Los Angeles Unified Sch. Dist.</w:t>
      </w:r>
      <w:r w:rsidRPr="00842D3D">
        <w:rPr>
          <w:rFonts w:eastAsia="Calibri"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r w:rsidRPr="00842D3D">
        <w:rPr>
          <w:rFonts w:eastAsia="Calibri" w:cs="Times New Roman"/>
          <w:i/>
          <w:szCs w:val="24"/>
        </w:rPr>
        <w:t>DeShaney</w:t>
      </w:r>
      <w:r w:rsidRPr="00842D3D">
        <w:rPr>
          <w:rFonts w:eastAsia="Calibri" w:cs="Times New Roman"/>
          <w:szCs w:val="24"/>
        </w:rPr>
        <w:t xml:space="preserve">, 489 U.S. at 199-200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842D3D">
        <w:rPr>
          <w:rFonts w:eastAsia="Calibri" w:cs="Times New Roman"/>
          <w:i/>
          <w:szCs w:val="24"/>
        </w:rPr>
        <w:t xml:space="preserve">Id. </w:t>
      </w:r>
      <w:r w:rsidRPr="00842D3D">
        <w:rPr>
          <w:rFonts w:eastAsia="Calibri" w:cs="Times New Roman"/>
          <w:szCs w:val="24"/>
        </w:rPr>
        <w:t xml:space="preserve">at 200.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The Ninth Circuit has clarified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Murguia v. Langdon</w:t>
      </w:r>
      <w:r w:rsidRPr="00842D3D">
        <w:rPr>
          <w:rFonts w:eastAsia="Calibri" w:cs="Times New Roman"/>
          <w:szCs w:val="24"/>
        </w:rPr>
        <w:t xml:space="preserve">, 61 F.4th 1096, 1108 (9th Cir. 2023) (“we make clear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Sinclair v. City of Seattle</w:t>
      </w:r>
      <w:r w:rsidRPr="00842D3D">
        <w:rPr>
          <w:rFonts w:eastAsia="Calibri" w:cs="Times New Roman"/>
          <w:szCs w:val="24"/>
        </w:rPr>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842D3D">
        <w:rPr>
          <w:rFonts w:eastAsia="Calibri" w:cs="Times New Roman"/>
          <w:i/>
          <w:szCs w:val="24"/>
        </w:rPr>
        <w:t>Murguia</w:t>
      </w:r>
      <w:r w:rsidRPr="00842D3D">
        <w:rPr>
          <w:rFonts w:eastAsia="Calibri" w:cs="Times New Roman"/>
          <w:szCs w:val="24"/>
        </w:rPr>
        <w:t>, 61 F.4th at 1108.</w:t>
      </w:r>
    </w:p>
    <w:p w14:paraId="42AD7220" w14:textId="77777777" w:rsidR="00842D3D" w:rsidRPr="00842D3D" w:rsidRDefault="00842D3D" w:rsidP="00842D3D">
      <w:pPr>
        <w:autoSpaceDE w:val="0"/>
        <w:autoSpaceDN w:val="0"/>
        <w:adjustRightInd w:val="0"/>
        <w:rPr>
          <w:rFonts w:eastAsia="Calibri" w:cs="Times New Roman"/>
          <w:szCs w:val="24"/>
        </w:rPr>
      </w:pPr>
    </w:p>
    <w:p w14:paraId="13001C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842D3D">
        <w:rPr>
          <w:rFonts w:eastAsia="Calibri" w:cs="Times New Roman"/>
          <w:i/>
          <w:szCs w:val="24"/>
        </w:rPr>
        <w:t>Herrera</w:t>
      </w:r>
      <w:r w:rsidRPr="00842D3D">
        <w:rPr>
          <w:rFonts w:eastAsia="Calibri" w:cs="Times New Roman"/>
          <w:szCs w:val="24"/>
        </w:rPr>
        <w:t>, 18 F.4th at 1158</w:t>
      </w:r>
      <w:r w:rsidRPr="00842D3D">
        <w:rPr>
          <w:rFonts w:eastAsia="Calibri" w:cs="Times New Roman"/>
          <w:i/>
          <w:szCs w:val="24"/>
        </w:rPr>
        <w:t xml:space="preserve"> </w:t>
      </w:r>
      <w:r w:rsidRPr="00842D3D">
        <w:rPr>
          <w:rFonts w:eastAsia="Calibri" w:cs="Times New Roman"/>
          <w:szCs w:val="24"/>
        </w:rPr>
        <w:t xml:space="preserve">(internal quotation marks and brackets omitted). “Ultimately, a state actor needs to know that something is going to happen but ignore the risk and expose the [victim] to it.” </w:t>
      </w:r>
      <w:r w:rsidRPr="00842D3D">
        <w:rPr>
          <w:rFonts w:eastAsia="Calibri" w:cs="Times New Roman"/>
          <w:i/>
          <w:szCs w:val="24"/>
        </w:rPr>
        <w:t xml:space="preserve">Id. </w:t>
      </w:r>
      <w:r w:rsidRPr="00842D3D">
        <w:rPr>
          <w:rFonts w:eastAsia="Calibri" w:cs="Times New Roman"/>
          <w:szCs w:val="24"/>
        </w:rPr>
        <w:t xml:space="preserve">at 1158-59 (internal </w:t>
      </w:r>
      <w:r w:rsidRPr="00842D3D">
        <w:rPr>
          <w:rFonts w:eastAsia="Calibri" w:cs="Times New Roman"/>
          <w:szCs w:val="24"/>
        </w:rPr>
        <w:lastRenderedPageBreak/>
        <w:t xml:space="preserve">quotation marks and brackets omitted); </w:t>
      </w:r>
      <w:r w:rsidRPr="00842D3D">
        <w:rPr>
          <w:rFonts w:eastAsia="Calibri" w:cs="Times New Roman"/>
          <w:i/>
          <w:szCs w:val="24"/>
        </w:rPr>
        <w:t>see</w:t>
      </w:r>
      <w:r w:rsidRPr="00842D3D">
        <w:rPr>
          <w:rFonts w:eastAsia="Calibri" w:cs="Times New Roman"/>
          <w:i/>
          <w:iCs/>
          <w:szCs w:val="24"/>
        </w:rPr>
        <w:t>,</w:t>
      </w:r>
      <w:r w:rsidRPr="00842D3D">
        <w:rPr>
          <w:rFonts w:eastAsia="Calibri" w:cs="Times New Roman"/>
          <w:szCs w:val="24"/>
        </w:rPr>
        <w:t xml:space="preserve"> </w:t>
      </w:r>
      <w:r w:rsidRPr="00842D3D">
        <w:rPr>
          <w:rFonts w:eastAsia="Calibri" w:cs="Times New Roman"/>
          <w:i/>
          <w:szCs w:val="24"/>
        </w:rPr>
        <w:t>e.g.</w:t>
      </w:r>
      <w:r w:rsidRPr="00842D3D">
        <w:rPr>
          <w:rFonts w:eastAsia="Calibri" w:cs="Times New Roman"/>
          <w:szCs w:val="24"/>
        </w:rPr>
        <w:t xml:space="preserve">, </w:t>
      </w:r>
      <w:r w:rsidRPr="00842D3D">
        <w:rPr>
          <w:rFonts w:eastAsia="Calibri" w:cs="Times New Roman"/>
          <w:i/>
          <w:szCs w:val="24"/>
        </w:rPr>
        <w:t>Polanco v. Diaz</w:t>
      </w:r>
      <w:r w:rsidRPr="00842D3D">
        <w:rPr>
          <w:rFonts w:eastAsia="Calibri" w:cs="Times New Roman"/>
          <w:szCs w:val="24"/>
        </w:rPr>
        <w:t xml:space="preserve">, 76 F.4th 918, 926-27 (9th Cir. 2023) (upholding claim of state-created danger by prison officials in a case arising from prison guard’s death from COVID-19 complications after 122 COVID ill inmates were transferred from another prison, placing decedent in a more dangerous position); </w:t>
      </w:r>
      <w:r w:rsidRPr="00842D3D">
        <w:rPr>
          <w:rFonts w:eastAsia="Calibri" w:cs="Times New Roman"/>
          <w:i/>
          <w:szCs w:val="24"/>
        </w:rPr>
        <w:t>Murguia</w:t>
      </w:r>
      <w:r w:rsidRPr="00842D3D">
        <w:rPr>
          <w:rFonts w:eastAsia="Calibri" w:cs="Times New Roman"/>
          <w:szCs w:val="24"/>
        </w:rPr>
        <w:t xml:space="preserve">, 61 F.4th at 1115-116 (determining that father stated a plausible claim against a social worker for subjective deliberate indifference under the state-created danger theory by alleging that social worker was aware of mother’s history of violence and mental health issues, including multiple specific instances of physical violence against her own family members, but falsely represented to police sergeant that mother was homeless and had no criminal history or history of child abuse); </w:t>
      </w:r>
      <w:r w:rsidRPr="00842D3D">
        <w:rPr>
          <w:rFonts w:eastAsia="Calibri" w:cs="Times New Roman"/>
          <w:i/>
          <w:szCs w:val="24"/>
        </w:rPr>
        <w:t>Sinclair</w:t>
      </w:r>
      <w:r w:rsidRPr="00842D3D">
        <w:rPr>
          <w:rFonts w:eastAsia="Calibri" w:cs="Times New Roman"/>
          <w:szCs w:val="24"/>
        </w:rPr>
        <w:t>, 61 F.4th at 674 (explaining the danger of uncontrolled lawlessness allegedly created by the city’s decision to withdraw law enforcement from neighborhood and surrender it to protestors was not sufficiently particularized to support mother’s claim that city’s actions deprived her of her substantive due process right to companionship of son pursuant to state-created danger doctrine because it was a generalized danger experienced by all members of the public).</w:t>
      </w:r>
    </w:p>
    <w:p w14:paraId="0641042E" w14:textId="77777777" w:rsidR="00842D3D" w:rsidRPr="00842D3D" w:rsidRDefault="00842D3D" w:rsidP="00842D3D">
      <w:pPr>
        <w:autoSpaceDE w:val="0"/>
        <w:autoSpaceDN w:val="0"/>
        <w:adjustRightInd w:val="0"/>
        <w:rPr>
          <w:rFonts w:eastAsia="Calibri" w:cs="Times New Roman"/>
          <w:szCs w:val="24"/>
        </w:rPr>
      </w:pPr>
    </w:p>
    <w:p w14:paraId="074A09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Herrera</w:t>
      </w:r>
      <w:r w:rsidRPr="00842D3D">
        <w:rPr>
          <w:rFonts w:eastAsia="Calibri" w:cs="Times New Roman"/>
          <w:szCs w:val="24"/>
        </w:rPr>
        <w:t xml:space="preserve"> shows how the subjective standard applies to a parent’s claim for deprivation of familial relationship. In </w:t>
      </w:r>
      <w:r w:rsidRPr="00842D3D">
        <w:rPr>
          <w:rFonts w:eastAsia="Calibri" w:cs="Times New Roman"/>
          <w:i/>
          <w:szCs w:val="24"/>
        </w:rPr>
        <w:t>Herrera</w:t>
      </w:r>
      <w:r w:rsidRPr="00842D3D">
        <w:rPr>
          <w:rFonts w:eastAsia="Calibri" w:cs="Times New Roman"/>
          <w:szCs w:val="24"/>
        </w:rPr>
        <w:t xml:space="preserve">, parents claimed that a school aide’s failure to protect their autistic child from drowning in a park swimming pool during a school outing was actionable under the state-created danger exception, and gave rise to a § 1983 claim for deprivation of a parent-child relationship in violation of the Fourteenth Amendment. </w:t>
      </w:r>
      <w:r w:rsidRPr="00842D3D">
        <w:rPr>
          <w:rFonts w:eastAsia="Calibri" w:cs="Times New Roman"/>
          <w:i/>
          <w:szCs w:val="24"/>
        </w:rPr>
        <w:t xml:space="preserve">See </w:t>
      </w:r>
      <w:r w:rsidRPr="00842D3D">
        <w:rPr>
          <w:rFonts w:eastAsia="Calibri" w:cs="Times New Roman"/>
          <w:szCs w:val="24"/>
        </w:rPr>
        <w:t>18 F.4th</w:t>
      </w:r>
      <w:r w:rsidRPr="00842D3D">
        <w:rPr>
          <w:rFonts w:eastAsia="Calibri" w:cs="Times New Roman"/>
          <w:i/>
          <w:szCs w:val="24"/>
        </w:rPr>
        <w:t xml:space="preserve"> </w:t>
      </w:r>
      <w:r w:rsidRPr="00842D3D">
        <w:rPr>
          <w:rFonts w:eastAsia="Calibri"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842D3D">
        <w:rPr>
          <w:rFonts w:eastAsia="Calibri" w:cs="Times New Roman"/>
          <w:i/>
          <w:szCs w:val="24"/>
        </w:rPr>
        <w:t xml:space="preserve">See id. </w:t>
      </w:r>
      <w:r w:rsidRPr="00842D3D">
        <w:rPr>
          <w:rFonts w:eastAsia="Calibri" w:cs="Times New Roman"/>
          <w:szCs w:val="24"/>
        </w:rPr>
        <w:t xml:space="preserve">at 1162. Accordingly, no reasonable jury could conclude that the parents’ Fourteenth Amendment rights were violated. </w:t>
      </w:r>
      <w:r w:rsidRPr="00842D3D">
        <w:rPr>
          <w:rFonts w:eastAsia="Calibri" w:cs="Times New Roman"/>
          <w:i/>
          <w:szCs w:val="24"/>
        </w:rPr>
        <w:t>See id.</w:t>
      </w:r>
      <w:r w:rsidRPr="00842D3D">
        <w:rPr>
          <w:rFonts w:eastAsia="Calibri" w:cs="Times New Roman"/>
          <w:szCs w:val="24"/>
        </w:rPr>
        <w:t xml:space="preserve">; </w:t>
      </w:r>
      <w:r w:rsidRPr="00842D3D">
        <w:rPr>
          <w:rFonts w:eastAsia="Calibri" w:cs="Times New Roman"/>
          <w:i/>
          <w:szCs w:val="24"/>
        </w:rPr>
        <w:t>see also Patel v. Kent Sch. Dist.</w:t>
      </w:r>
      <w:r w:rsidRPr="00842D3D">
        <w:rPr>
          <w:rFonts w:eastAsia="Calibri" w:cs="Times New Roman"/>
          <w:szCs w:val="24"/>
        </w:rPr>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3E6C22FD" w14:textId="77777777" w:rsidR="00842D3D" w:rsidRPr="00842D3D" w:rsidRDefault="00842D3D" w:rsidP="00842D3D">
      <w:pPr>
        <w:autoSpaceDE w:val="0"/>
        <w:autoSpaceDN w:val="0"/>
        <w:adjustRightInd w:val="0"/>
        <w:rPr>
          <w:rFonts w:eastAsia="Calibri" w:cs="Times New Roman"/>
          <w:szCs w:val="24"/>
        </w:rPr>
      </w:pPr>
    </w:p>
    <w:p w14:paraId="558725D7" w14:textId="744EB7C5"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Pretrial detainees have a Fourteenth Amendment due process right “to be free from violence from other inmates.” </w:t>
      </w:r>
      <w:r w:rsidRPr="00842D3D">
        <w:rPr>
          <w:rFonts w:eastAsia="Calibri" w:cs="Times New Roman"/>
          <w:i/>
          <w:iCs/>
          <w:szCs w:val="24"/>
        </w:rPr>
        <w:t>Castro v. County of Los Angeles</w:t>
      </w:r>
      <w:r w:rsidRPr="00842D3D">
        <w:rPr>
          <w:rFonts w:eastAsia="Calibri" w:cs="Times New Roman"/>
          <w:szCs w:val="24"/>
        </w:rPr>
        <w:t xml:space="preserve">, 833 F.3d 1060, 1067 (9th Cir. 2016) (en banc). In cases where the victim is a detainee and the plaintiff is the victim or the victim’s estate, the Ninth Circuit has applied an objective standard for the deliberate indifference inquiry. </w:t>
      </w:r>
      <w:r w:rsidRPr="00842D3D">
        <w:rPr>
          <w:rFonts w:eastAsia="Calibri" w:cs="Times New Roman"/>
          <w:i/>
          <w:iCs/>
          <w:szCs w:val="24"/>
        </w:rPr>
        <w:t>Castro</w:t>
      </w:r>
      <w:r w:rsidRPr="00842D3D">
        <w:rPr>
          <w:rFonts w:eastAsia="Calibri" w:cs="Times New Roman"/>
          <w:szCs w:val="24"/>
        </w:rPr>
        <w:t xml:space="preserve">, 833 F.3d at 1070-71. Under the objective standard, a pretrial detainee can maintain a Fourteenth Amendment claim by proving the conduct was objectively unreasonable. </w:t>
      </w:r>
      <w:r w:rsidRPr="00842D3D">
        <w:rPr>
          <w:rFonts w:eastAsia="Calibri" w:cs="Times New Roman"/>
          <w:i/>
          <w:iCs/>
          <w:szCs w:val="24"/>
        </w:rPr>
        <w:t xml:space="preserve">See id. </w:t>
      </w:r>
      <w:r w:rsidRPr="00842D3D">
        <w:rPr>
          <w:rFonts w:eastAsia="Calibri" w:cs="Times New Roman"/>
          <w:szCs w:val="24"/>
        </w:rPr>
        <w:t xml:space="preserve">at 1071. The objective standard has been extended to cases where the detainee is in an immigration facility, </w:t>
      </w:r>
      <w:r w:rsidRPr="00842D3D">
        <w:rPr>
          <w:rFonts w:eastAsia="Calibri" w:cs="Times New Roman"/>
          <w:i/>
          <w:iCs/>
          <w:szCs w:val="24"/>
        </w:rPr>
        <w:t>see Roman v. Wolf</w:t>
      </w:r>
      <w:r w:rsidRPr="00842D3D">
        <w:rPr>
          <w:rFonts w:eastAsia="Calibri" w:cs="Times New Roman"/>
          <w:szCs w:val="24"/>
        </w:rPr>
        <w:t xml:space="preserve">, 977 F.3d 935, 943 (9th Cir. 2020) (per curiam), and where the detainee alleges that state officials failed to provide medical care, </w:t>
      </w:r>
      <w:r w:rsidRPr="00842D3D">
        <w:rPr>
          <w:rFonts w:eastAsia="Calibri" w:cs="Times New Roman"/>
          <w:i/>
          <w:iCs/>
          <w:szCs w:val="24"/>
        </w:rPr>
        <w:t>see Gordon v. County of Orange</w:t>
      </w:r>
      <w:r w:rsidRPr="00842D3D">
        <w:rPr>
          <w:rFonts w:eastAsia="Calibri" w:cs="Times New Roman"/>
          <w:szCs w:val="24"/>
        </w:rPr>
        <w:t xml:space="preserve">, 888 F.3d 1118, 1122-24 (9th Cir. 2018). </w:t>
      </w:r>
      <w:r w:rsidRPr="00842D3D">
        <w:rPr>
          <w:rFonts w:eastAsia="Calibri" w:cs="Times New Roman"/>
          <w:i/>
          <w:iCs/>
          <w:szCs w:val="24"/>
        </w:rPr>
        <w:t>See</w:t>
      </w:r>
      <w:r w:rsidRPr="00842D3D">
        <w:rPr>
          <w:rFonts w:eastAsia="Calibri" w:cs="Times New Roman"/>
          <w:szCs w:val="24"/>
        </w:rPr>
        <w:t xml:space="preserve"> Instruction</w:t>
      </w:r>
      <w:r w:rsidR="0081679E">
        <w:rPr>
          <w:rFonts w:eastAsia="Calibri" w:cs="Times New Roman"/>
          <w:szCs w:val="24"/>
        </w:rPr>
        <w:t xml:space="preserve"> </w:t>
      </w:r>
      <w:r w:rsidRPr="00842D3D">
        <w:rPr>
          <w:rFonts w:eastAsia="Calibri" w:cs="Times New Roman"/>
          <w:szCs w:val="24"/>
        </w:rPr>
        <w:t>9.29 (Particular Rights—Fourteenth Amendment—Pretrial Detainee’s Claim of Excessive Force)</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5</w:t>
      </w:r>
      <w:r w:rsidRPr="00842D3D">
        <w:rPr>
          <w:rFonts w:eastAsia="Calibri" w:cs="Times New Roman"/>
          <w:szCs w:val="24"/>
        </w:rPr>
        <w:t xml:space="preserve"> (Particular Rights—Fourteenth Amendment—Pretrial Detainee’s Claim of Failure to Protect)</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7</w:t>
      </w:r>
      <w:r w:rsidRPr="00842D3D">
        <w:rPr>
          <w:rFonts w:eastAsia="Calibri" w:cs="Times New Roman"/>
          <w:szCs w:val="24"/>
        </w:rPr>
        <w:t xml:space="preserve"> (Particular Rights—Fourteenth Amendment—Due Process—Civil Commitment).</w:t>
      </w:r>
    </w:p>
    <w:p w14:paraId="3CC39275" w14:textId="77777777" w:rsidR="00842D3D" w:rsidRPr="00842D3D" w:rsidRDefault="00842D3D" w:rsidP="00842D3D">
      <w:pPr>
        <w:autoSpaceDE w:val="0"/>
        <w:autoSpaceDN w:val="0"/>
        <w:adjustRightInd w:val="0"/>
        <w:rPr>
          <w:rFonts w:eastAsia="Calibri" w:cs="Times New Roman"/>
          <w:szCs w:val="24"/>
        </w:rPr>
      </w:pPr>
    </w:p>
    <w:p w14:paraId="35D654D1" w14:textId="77777777" w:rsidR="00842D3D" w:rsidRPr="00842D3D" w:rsidRDefault="00842D3D" w:rsidP="00842D3D">
      <w:pPr>
        <w:rPr>
          <w:rFonts w:eastAsia="Calibri" w:cs="Times New Roman"/>
          <w:szCs w:val="24"/>
        </w:rPr>
      </w:pPr>
      <w:r w:rsidRPr="00842D3D">
        <w:rPr>
          <w:rFonts w:eastAsia="Calibri" w:cs="Times New Roman"/>
          <w:szCs w:val="24"/>
        </w:rPr>
        <w:lastRenderedPageBreak/>
        <w:tab/>
        <w:t xml:space="preserve">In considering whether the objective or subjective standard applied, </w:t>
      </w:r>
      <w:r w:rsidRPr="00842D3D">
        <w:rPr>
          <w:rFonts w:eastAsia="Calibri" w:cs="Times New Roman"/>
          <w:i/>
          <w:szCs w:val="24"/>
        </w:rPr>
        <w:t>Herrera</w:t>
      </w:r>
      <w:r w:rsidRPr="00842D3D">
        <w:rPr>
          <w:rFonts w:eastAsia="Calibri" w:cs="Times New Roman"/>
          <w:szCs w:val="24"/>
        </w:rPr>
        <w:t xml:space="preserve"> discussed the objective standard as applied in </w:t>
      </w:r>
      <w:r w:rsidRPr="00842D3D">
        <w:rPr>
          <w:rFonts w:eastAsia="Calibri" w:cs="Times New Roman"/>
          <w:i/>
          <w:szCs w:val="24"/>
        </w:rPr>
        <w:t xml:space="preserve">Castro </w:t>
      </w:r>
      <w:r w:rsidRPr="00842D3D">
        <w:rPr>
          <w:rFonts w:eastAsia="Calibri" w:cs="Times New Roman"/>
          <w:szCs w:val="24"/>
        </w:rPr>
        <w:t xml:space="preserve">and its progeny, but concluded that the subjective standard for deliberate indifference applied because the victim in the case was not a detainee. </w:t>
      </w:r>
      <w:r w:rsidRPr="00842D3D">
        <w:rPr>
          <w:rFonts w:eastAsia="Calibri" w:cs="Times New Roman"/>
          <w:i/>
          <w:szCs w:val="24"/>
        </w:rPr>
        <w:t xml:space="preserve">See </w:t>
      </w:r>
      <w:r w:rsidRPr="00842D3D">
        <w:rPr>
          <w:rFonts w:eastAsia="Calibri" w:cs="Times New Roman"/>
          <w:szCs w:val="24"/>
        </w:rPr>
        <w:t xml:space="preserve">18 F.4th at 1160 (“Erick was not detained at the time of his death . . . . We therefore apply a purely subjective standard, consistent with our precedent, requiring the plaintiff to show that the state actor recognized an unreasonable risk and actually intended to expose the plaintiff to such risk.”). </w:t>
      </w:r>
      <w:r w:rsidRPr="00842D3D">
        <w:rPr>
          <w:rFonts w:eastAsia="Calibri" w:cs="Times New Roman"/>
          <w:i/>
          <w:iCs/>
          <w:szCs w:val="24"/>
        </w:rPr>
        <w:t>Herrera</w:t>
      </w:r>
      <w:r w:rsidRPr="00842D3D">
        <w:rPr>
          <w:rFonts w:eastAsia="Calibri" w:cs="Times New Roman"/>
          <w:szCs w:val="24"/>
        </w:rPr>
        <w:t xml:space="preserve">’s analysis suggests that the objective standard applies in a case alleging a deprivation of familial association when the victim is a detainee. However, the Ninth Circuit has not squarely addressed that question. </w:t>
      </w:r>
    </w:p>
    <w:p w14:paraId="7A80A63F" w14:textId="77777777" w:rsidR="00842D3D" w:rsidRPr="00842D3D" w:rsidRDefault="00842D3D" w:rsidP="00842D3D">
      <w:pPr>
        <w:rPr>
          <w:rFonts w:eastAsia="Calibri" w:cs="Times New Roman"/>
          <w:szCs w:val="24"/>
        </w:rPr>
      </w:pPr>
    </w:p>
    <w:p w14:paraId="3476B44D" w14:textId="79DDD1AF"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F26F28">
        <w:rPr>
          <w:rFonts w:eastAsia="Calibri" w:cs="Times New Roman"/>
          <w:i/>
          <w:iCs/>
          <w:szCs w:val="24"/>
        </w:rPr>
        <w:t xml:space="preserve">December </w:t>
      </w:r>
      <w:r w:rsidRPr="00842D3D">
        <w:rPr>
          <w:rFonts w:eastAsia="Calibri" w:cs="Times New Roman"/>
          <w:i/>
          <w:iCs/>
          <w:szCs w:val="24"/>
        </w:rPr>
        <w:t>2025</w:t>
      </w:r>
    </w:p>
    <w:p w14:paraId="48EFB9BA" w14:textId="3FE0BD7E" w:rsidR="00842D3D" w:rsidRPr="00842D3D" w:rsidRDefault="00842D3D" w:rsidP="00FF121D">
      <w:pPr>
        <w:pStyle w:val="Heading2"/>
      </w:pPr>
      <w:r w:rsidRPr="00842D3D">
        <w:br w:type="page"/>
      </w:r>
      <w:bookmarkStart w:id="200" w:name="_Toc221525201"/>
      <w:r w:rsidRPr="00842D3D">
        <w:lastRenderedPageBreak/>
        <w:t>9.3</w:t>
      </w:r>
      <w:r w:rsidR="003A1908">
        <w:t>7</w:t>
      </w:r>
      <w:r w:rsidRPr="00842D3D">
        <w:t xml:space="preserve"> Particular Rights–Fourteenth Amendment—</w:t>
      </w:r>
      <w:r w:rsidRPr="00842D3D">
        <w:br/>
        <w:t>Due Process—Civil Commitment</w:t>
      </w:r>
      <w:bookmarkEnd w:id="200"/>
    </w:p>
    <w:p w14:paraId="2FB4E08D" w14:textId="77777777" w:rsidR="00842D3D" w:rsidRPr="00842D3D" w:rsidRDefault="00842D3D" w:rsidP="00842D3D">
      <w:pPr>
        <w:autoSpaceDE w:val="0"/>
        <w:autoSpaceDN w:val="0"/>
        <w:adjustRightInd w:val="0"/>
        <w:jc w:val="center"/>
        <w:rPr>
          <w:rFonts w:eastAsia="Calibri" w:cs="Times New Roman"/>
          <w:szCs w:val="24"/>
        </w:rPr>
      </w:pPr>
    </w:p>
    <w:p w14:paraId="49173BB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B5BBC8C" w14:textId="77777777" w:rsidR="00842D3D" w:rsidRPr="00842D3D" w:rsidRDefault="00842D3D" w:rsidP="00842D3D">
      <w:pPr>
        <w:autoSpaceDE w:val="0"/>
        <w:autoSpaceDN w:val="0"/>
        <w:adjustRightInd w:val="0"/>
        <w:jc w:val="center"/>
        <w:rPr>
          <w:rFonts w:eastAsia="Calibri" w:cs="Times New Roman"/>
          <w:szCs w:val="24"/>
        </w:rPr>
      </w:pPr>
    </w:p>
    <w:p w14:paraId="295CF62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King v. County of Los Angeles</w:t>
      </w:r>
      <w:r w:rsidRPr="00842D3D">
        <w:rPr>
          <w:rFonts w:eastAsia="Calibri" w:cs="Times New Roman"/>
          <w:szCs w:val="24"/>
        </w:rPr>
        <w:t xml:space="preserve">, 885 F.3d 548 (9th Cir. 2018), the Ninth Circuit recognized a substantive due process constitutional claim for individuals confined pursuant to a civil commitment, if the conditions of confinement “amount to punishment.” </w:t>
      </w:r>
      <w:r w:rsidRPr="00842D3D">
        <w:rPr>
          <w:rFonts w:eastAsia="Calibri" w:cs="Times New Roman"/>
          <w:i/>
          <w:iCs/>
          <w:szCs w:val="24"/>
        </w:rPr>
        <w:t>Id</w:t>
      </w:r>
      <w:r w:rsidRPr="00842D3D">
        <w:rPr>
          <w:rFonts w:eastAsia="Calibri"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842D3D">
        <w:rPr>
          <w:rFonts w:eastAsia="Calibri" w:cs="Times New Roman"/>
          <w:i/>
          <w:iCs/>
          <w:szCs w:val="24"/>
        </w:rPr>
        <w:t>Id</w:t>
      </w:r>
      <w:r w:rsidRPr="00842D3D">
        <w:rPr>
          <w:rFonts w:eastAsia="Calibri" w:cs="Times New Roman"/>
          <w:szCs w:val="24"/>
        </w:rPr>
        <w:t>.</w:t>
      </w:r>
    </w:p>
    <w:p w14:paraId="6E5B8E27" w14:textId="77777777" w:rsidR="00842D3D" w:rsidRPr="00842D3D" w:rsidRDefault="00842D3D" w:rsidP="00842D3D">
      <w:pPr>
        <w:autoSpaceDE w:val="0"/>
        <w:autoSpaceDN w:val="0"/>
        <w:adjustRightInd w:val="0"/>
        <w:rPr>
          <w:rFonts w:eastAsia="Calibri" w:cs="Times New Roman"/>
          <w:szCs w:val="24"/>
        </w:rPr>
      </w:pPr>
    </w:p>
    <w:p w14:paraId="49696E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Relying on the court’s prior decision in </w:t>
      </w:r>
      <w:r w:rsidRPr="00842D3D">
        <w:rPr>
          <w:rFonts w:eastAsia="Calibri" w:cs="Times New Roman"/>
          <w:i/>
          <w:iCs/>
          <w:szCs w:val="24"/>
        </w:rPr>
        <w:t>Jones v. Blanas</w:t>
      </w:r>
      <w:r w:rsidRPr="00842D3D">
        <w:rPr>
          <w:rFonts w:eastAsia="Calibri"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842D3D">
        <w:rPr>
          <w:rFonts w:eastAsia="Calibri" w:cs="Times New Roman"/>
          <w:i/>
          <w:iCs/>
          <w:szCs w:val="24"/>
        </w:rPr>
        <w:t>King</w:t>
      </w:r>
      <w:r w:rsidRPr="00842D3D">
        <w:rPr>
          <w:rFonts w:eastAsia="Calibri" w:cs="Times New Roman"/>
          <w:szCs w:val="24"/>
        </w:rPr>
        <w:t xml:space="preserve">, 885 F.3d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842D3D">
        <w:rPr>
          <w:rFonts w:eastAsia="Calibri" w:cs="Times New Roman"/>
          <w:i/>
          <w:iCs/>
          <w:szCs w:val="24"/>
        </w:rPr>
        <w:t>Id</w:t>
      </w:r>
      <w:r w:rsidRPr="00842D3D">
        <w:rPr>
          <w:rFonts w:eastAsia="Calibri"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842D3D">
        <w:rPr>
          <w:rFonts w:eastAsia="Calibri" w:cs="Times New Roman"/>
          <w:i/>
          <w:iCs/>
          <w:szCs w:val="24"/>
        </w:rPr>
        <w:t>Id</w:t>
      </w:r>
      <w:r w:rsidRPr="00842D3D">
        <w:rPr>
          <w:rFonts w:eastAsia="Calibri" w:cs="Times New Roman"/>
          <w:szCs w:val="24"/>
        </w:rPr>
        <w:t xml:space="preserve">. Legitimate interests may include “ensuring a detainee’s presence at trial, maintaining jail security, and effective management of a detention facility.” </w:t>
      </w:r>
      <w:r w:rsidRPr="00842D3D">
        <w:rPr>
          <w:rFonts w:eastAsia="Calibri" w:cs="Times New Roman"/>
          <w:i/>
          <w:iCs/>
          <w:szCs w:val="24"/>
        </w:rPr>
        <w:t>Id</w:t>
      </w:r>
      <w:r w:rsidRPr="00842D3D">
        <w:rPr>
          <w:rFonts w:eastAsia="Calibri" w:cs="Times New Roman"/>
          <w:szCs w:val="24"/>
        </w:rPr>
        <w:t xml:space="preserve">. at 558. However, conditions of confinement may still be considered punitive if “alternative and less harsh” methods exist to achieve the specified interests.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Fraihat v. U.S. Immigration &amp; Customs Enf’t</w:t>
      </w:r>
      <w:r w:rsidRPr="00842D3D">
        <w:rPr>
          <w:rFonts w:eastAsia="Calibri" w:cs="Times New Roman"/>
          <w:szCs w:val="24"/>
        </w:rPr>
        <w:t xml:space="preserve">, 16 F.4th 613, 648-49 (9th Cir. 2021) (assuming without deciding that </w:t>
      </w:r>
      <w:r w:rsidRPr="00842D3D">
        <w:rPr>
          <w:rFonts w:eastAsia="Calibri" w:cs="Times New Roman"/>
          <w:i/>
          <w:iCs/>
          <w:szCs w:val="24"/>
        </w:rPr>
        <w:t>King v. County of Los Angeles</w:t>
      </w:r>
      <w:r w:rsidRPr="00842D3D">
        <w:rPr>
          <w:rFonts w:eastAsia="Calibri" w:cs="Times New Roman"/>
          <w:szCs w:val="24"/>
        </w:rPr>
        <w:t xml:space="preserve"> and </w:t>
      </w:r>
      <w:r w:rsidRPr="00842D3D">
        <w:rPr>
          <w:rFonts w:eastAsia="Calibri" w:cs="Times New Roman"/>
          <w:i/>
          <w:iCs/>
          <w:szCs w:val="24"/>
        </w:rPr>
        <w:t>Jones v. Blanas</w:t>
      </w:r>
      <w:r w:rsidRPr="00842D3D">
        <w:rPr>
          <w:rFonts w:eastAsia="Calibri" w:cs="Times New Roman"/>
          <w:szCs w:val="24"/>
        </w:rPr>
        <w:t xml:space="preserve"> would “be appropriate to invoke that presumption in the immigration context” but ultimately stating that the “record lacks evidence from which to draw any relevant comparisons between the overall conditions of confinement of ICE detainees as compared to those in criminal custody”).</w:t>
      </w:r>
    </w:p>
    <w:p w14:paraId="6CC1C3FF" w14:textId="77777777" w:rsidR="00842D3D" w:rsidRPr="00842D3D" w:rsidRDefault="00842D3D" w:rsidP="00842D3D">
      <w:pPr>
        <w:autoSpaceDE w:val="0"/>
        <w:autoSpaceDN w:val="0"/>
        <w:adjustRightInd w:val="0"/>
        <w:rPr>
          <w:rFonts w:eastAsia="Calibri" w:cs="Times New Roman"/>
          <w:szCs w:val="24"/>
        </w:rPr>
      </w:pPr>
    </w:p>
    <w:p w14:paraId="60890C1D" w14:textId="64894AC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a pretrial detainee, violations arise under the Due Process Clause of the Fourteenth Amendment. For such instances, use Instructions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9.3</w:t>
      </w:r>
      <w:r w:rsidR="00047AF1">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 and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p>
    <w:p w14:paraId="04A2A5C1" w14:textId="77777777" w:rsidR="00842D3D" w:rsidRPr="00842D3D" w:rsidRDefault="00842D3D" w:rsidP="00842D3D">
      <w:pPr>
        <w:autoSpaceDE w:val="0"/>
        <w:autoSpaceDN w:val="0"/>
        <w:adjustRightInd w:val="0"/>
        <w:rPr>
          <w:rFonts w:eastAsia="Calibri" w:cs="Times New Roman"/>
          <w:szCs w:val="24"/>
        </w:rPr>
      </w:pPr>
    </w:p>
    <w:p w14:paraId="6EBDA232" w14:textId="77777777" w:rsidR="00842D3D" w:rsidRPr="00842D3D" w:rsidRDefault="00842D3D" w:rsidP="00842D3D">
      <w:pPr>
        <w:rPr>
          <w:rFonts w:eastAsia="Calibri" w:cs="Times New Roman"/>
          <w:szCs w:val="24"/>
        </w:rPr>
      </w:pPr>
    </w:p>
    <w:p w14:paraId="7C044422" w14:textId="77777777" w:rsidR="00842D3D" w:rsidRPr="00842D3D" w:rsidRDefault="00842D3D" w:rsidP="00842D3D">
      <w:pPr>
        <w:jc w:val="right"/>
        <w:rPr>
          <w:rFonts w:eastAsia="Calibri" w:cs="Times New Roman"/>
          <w:szCs w:val="24"/>
        </w:rPr>
      </w:pPr>
      <w:r w:rsidRPr="00842D3D">
        <w:rPr>
          <w:rFonts w:eastAsia="Calibri" w:cs="Times New Roman"/>
          <w:i/>
          <w:szCs w:val="24"/>
        </w:rPr>
        <w:t>Revised September 2024</w:t>
      </w:r>
    </w:p>
    <w:p w14:paraId="4AB6C2D0" w14:textId="3EE6C9AD" w:rsidR="00842D3D" w:rsidRPr="00842D3D" w:rsidRDefault="00842D3D" w:rsidP="00FF121D">
      <w:pPr>
        <w:pStyle w:val="Heading2"/>
      </w:pPr>
      <w:r w:rsidRPr="00842D3D">
        <w:br w:type="page"/>
      </w:r>
      <w:bookmarkStart w:id="201" w:name="_Toc221525202"/>
      <w:r w:rsidRPr="00842D3D">
        <w:lastRenderedPageBreak/>
        <w:t>9.3</w:t>
      </w:r>
      <w:r w:rsidR="003A1908">
        <w:t>8</w:t>
      </w:r>
      <w:r w:rsidRPr="00842D3D">
        <w:t xml:space="preserve"> Particular Rights—Fourteenth Amendment—Due </w:t>
      </w:r>
      <w:r w:rsidRPr="00842D3D">
        <w:br/>
        <w:t>Process—Deliberate Fabrication of Evidence</w:t>
      </w:r>
      <w:bookmarkEnd w:id="201"/>
      <w:r w:rsidRPr="00842D3D">
        <w:t xml:space="preserve">  </w:t>
      </w:r>
    </w:p>
    <w:p w14:paraId="605C8625" w14:textId="77777777" w:rsidR="00842D3D" w:rsidRPr="00842D3D" w:rsidRDefault="00842D3D" w:rsidP="00842D3D">
      <w:pPr>
        <w:autoSpaceDE w:val="0"/>
        <w:autoSpaceDN w:val="0"/>
        <w:adjustRightInd w:val="0"/>
        <w:jc w:val="center"/>
        <w:rPr>
          <w:rFonts w:eastAsia="Calibri" w:cs="Times New Roman"/>
          <w:szCs w:val="24"/>
        </w:rPr>
      </w:pPr>
    </w:p>
    <w:p w14:paraId="589318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being subjected to criminal charges on the basis of false evidence that was deliberately fabricated.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1E1DD9E8" w14:textId="77777777" w:rsidR="00842D3D" w:rsidRPr="00842D3D" w:rsidRDefault="00842D3D" w:rsidP="00842D3D">
      <w:pPr>
        <w:autoSpaceDE w:val="0"/>
        <w:autoSpaceDN w:val="0"/>
        <w:adjustRightInd w:val="0"/>
        <w:rPr>
          <w:rFonts w:eastAsia="Calibri" w:cs="Times New Roman"/>
          <w:szCs w:val="24"/>
        </w:rPr>
      </w:pPr>
    </w:p>
    <w:p w14:paraId="7A3D62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 [her] [</w:t>
      </w:r>
      <w:r w:rsidRPr="00842D3D">
        <w:rPr>
          <w:rFonts w:eastAsia="Calibri" w:cs="Times New Roman"/>
          <w:i/>
          <w:iCs/>
          <w:szCs w:val="24"/>
          <w:u w:val="single"/>
        </w:rPr>
        <w:t>other pronoun</w:t>
      </w:r>
      <w:r w:rsidRPr="00842D3D">
        <w:rPr>
          <w:rFonts w:eastAsia="Calibri" w:cs="Times New Roman"/>
          <w:szCs w:val="24"/>
        </w:rPr>
        <w:t>] claim of deliberate fabrication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[at least one of] the following element[s] by a preponderance of the evidence:</w:t>
      </w:r>
    </w:p>
    <w:p w14:paraId="20067A00" w14:textId="77777777" w:rsidR="00842D3D" w:rsidRPr="00842D3D" w:rsidRDefault="00842D3D" w:rsidP="00842D3D">
      <w:pPr>
        <w:autoSpaceDE w:val="0"/>
        <w:autoSpaceDN w:val="0"/>
        <w:adjustRightInd w:val="0"/>
        <w:rPr>
          <w:rFonts w:eastAsia="Calibri" w:cs="Times New Roman"/>
          <w:szCs w:val="24"/>
        </w:rPr>
      </w:pPr>
    </w:p>
    <w:p w14:paraId="33831104"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deliberately fabricated evidence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46309713" w14:textId="77777777" w:rsidR="00842D3D" w:rsidRPr="00842D3D" w:rsidRDefault="00842D3D" w:rsidP="00842D3D">
      <w:pPr>
        <w:autoSpaceDE w:val="0"/>
        <w:autoSpaceDN w:val="0"/>
        <w:adjustRightInd w:val="0"/>
        <w:ind w:right="720"/>
        <w:rPr>
          <w:rFonts w:eastAsia="Calibri" w:cs="Times New Roman"/>
          <w:szCs w:val="24"/>
        </w:rPr>
      </w:pPr>
    </w:p>
    <w:p w14:paraId="51209ED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6B79E635" w14:textId="77777777" w:rsidR="00842D3D" w:rsidRPr="00842D3D" w:rsidRDefault="00842D3D" w:rsidP="00842D3D">
      <w:pPr>
        <w:autoSpaceDE w:val="0"/>
        <w:autoSpaceDN w:val="0"/>
        <w:adjustRightInd w:val="0"/>
        <w:rPr>
          <w:rFonts w:eastAsia="Calibri" w:cs="Times New Roman"/>
          <w:szCs w:val="24"/>
        </w:rPr>
      </w:pPr>
    </w:p>
    <w:p w14:paraId="3E816C20"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continued [his] [her] [</w:t>
      </w:r>
      <w:r w:rsidRPr="00842D3D">
        <w:rPr>
          <w:rFonts w:eastAsia="Calibri" w:cs="Times New Roman"/>
          <w:i/>
          <w:iCs/>
          <w:szCs w:val="24"/>
          <w:u w:val="single"/>
        </w:rPr>
        <w:t>other pronoun</w:t>
      </w:r>
      <w:r w:rsidRPr="00842D3D">
        <w:rPr>
          <w:rFonts w:eastAsia="Calibri" w:cs="Times New Roman"/>
          <w:szCs w:val="24"/>
        </w:rPr>
        <w:t>] investigation of the plaintiff [</w:t>
      </w:r>
      <w:r w:rsidRPr="00842D3D">
        <w:rPr>
          <w:rFonts w:eastAsia="Calibri" w:cs="Times New Roman"/>
          <w:i/>
          <w:iCs/>
          <w:szCs w:val="24"/>
          <w:u w:val="single"/>
        </w:rPr>
        <w:t>name</w:t>
      </w:r>
      <w:r w:rsidRPr="00842D3D">
        <w:rPr>
          <w:rFonts w:eastAsia="Calibri" w:cs="Times New Roman"/>
          <w:szCs w:val="24"/>
        </w:rPr>
        <w:t>] despite the fact that [he] [she] [</w:t>
      </w:r>
      <w:r w:rsidRPr="00842D3D">
        <w:rPr>
          <w:rFonts w:eastAsia="Calibri" w:cs="Times New Roman"/>
          <w:i/>
          <w:iCs/>
          <w:szCs w:val="24"/>
          <w:u w:val="single"/>
        </w:rPr>
        <w:t>other pronoun</w:t>
      </w:r>
      <w:r w:rsidRPr="00842D3D">
        <w:rPr>
          <w:rFonts w:eastAsia="Calibri" w:cs="Times New Roman"/>
          <w:szCs w:val="24"/>
        </w:rPr>
        <w:t>] knew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innocent, or was deliberately indifferent to the plaintiff [</w:t>
      </w:r>
      <w:r w:rsidRPr="00842D3D">
        <w:rPr>
          <w:rFonts w:eastAsia="Calibri" w:cs="Times New Roman"/>
          <w:i/>
          <w:iCs/>
          <w:szCs w:val="24"/>
          <w:u w:val="single"/>
        </w:rPr>
        <w:t>name</w:t>
      </w:r>
      <w:r w:rsidRPr="00842D3D">
        <w:rPr>
          <w:rFonts w:eastAsia="Calibri" w:cs="Times New Roman"/>
          <w:szCs w:val="24"/>
        </w:rPr>
        <w:t>]’s innocence, and the results of the investigation were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061DDE9F" w14:textId="77777777" w:rsidR="00842D3D" w:rsidRPr="00842D3D" w:rsidRDefault="00842D3D" w:rsidP="00842D3D">
      <w:pPr>
        <w:autoSpaceDE w:val="0"/>
        <w:autoSpaceDN w:val="0"/>
        <w:adjustRightInd w:val="0"/>
        <w:rPr>
          <w:rFonts w:eastAsia="Calibri" w:cs="Times New Roman"/>
          <w:szCs w:val="24"/>
        </w:rPr>
      </w:pPr>
    </w:p>
    <w:p w14:paraId="42F228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5F14B676" w14:textId="77777777" w:rsidR="00842D3D" w:rsidRPr="00842D3D" w:rsidRDefault="00842D3D" w:rsidP="00842D3D">
      <w:pPr>
        <w:autoSpaceDE w:val="0"/>
        <w:autoSpaceDN w:val="0"/>
        <w:adjustRightInd w:val="0"/>
        <w:rPr>
          <w:rFonts w:eastAsia="Calibri" w:cs="Times New Roman"/>
          <w:szCs w:val="24"/>
        </w:rPr>
      </w:pPr>
    </w:p>
    <w:p w14:paraId="38A8B338"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techniques that were so coercive and abusive that [he] [she] [</w:t>
      </w:r>
      <w:r w:rsidRPr="00842D3D">
        <w:rPr>
          <w:rFonts w:eastAsia="Calibri" w:cs="Times New Roman"/>
          <w:i/>
          <w:iCs/>
          <w:szCs w:val="24"/>
          <w:u w:val="single"/>
        </w:rPr>
        <w:t>other pronoun</w:t>
      </w:r>
      <w:r w:rsidRPr="00842D3D">
        <w:rPr>
          <w:rFonts w:eastAsia="Calibri" w:cs="Times New Roman"/>
          <w:szCs w:val="24"/>
        </w:rPr>
        <w:t>] knew, or was deliberately indifferent, that those techniques would yield false information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3AF049D4" w14:textId="77777777" w:rsidR="00842D3D" w:rsidRPr="00842D3D" w:rsidRDefault="00842D3D" w:rsidP="00842D3D">
      <w:pPr>
        <w:autoSpaceDE w:val="0"/>
        <w:autoSpaceDN w:val="0"/>
        <w:adjustRightInd w:val="0"/>
        <w:rPr>
          <w:rFonts w:eastAsia="Calibri" w:cs="Times New Roman"/>
          <w:szCs w:val="24"/>
        </w:rPr>
      </w:pPr>
    </w:p>
    <w:p w14:paraId="2F4D25B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or reckless disregard of the consequences of one’s acts or omissions. </w:t>
      </w:r>
    </w:p>
    <w:p w14:paraId="3DAD36FF" w14:textId="77777777" w:rsidR="00842D3D" w:rsidRPr="00842D3D" w:rsidRDefault="00842D3D" w:rsidP="00842D3D">
      <w:pPr>
        <w:autoSpaceDE w:val="0"/>
        <w:autoSpaceDN w:val="0"/>
        <w:adjustRightInd w:val="0"/>
        <w:rPr>
          <w:rFonts w:eastAsia="Calibri" w:cs="Times New Roman"/>
          <w:szCs w:val="24"/>
        </w:rPr>
      </w:pPr>
    </w:p>
    <w:p w14:paraId="3923BA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proves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deliberately fabricated evidence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 then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is not required to prove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knew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innocent or was deliberately indifferent to the plaintiff [</w:t>
      </w:r>
      <w:r w:rsidRPr="00842D3D">
        <w:rPr>
          <w:rFonts w:eastAsia="Calibri" w:cs="Times New Roman"/>
          <w:i/>
          <w:iCs/>
          <w:szCs w:val="24"/>
          <w:u w:val="single"/>
        </w:rPr>
        <w:t>name</w:t>
      </w:r>
      <w:r w:rsidRPr="00842D3D">
        <w:rPr>
          <w:rFonts w:eastAsia="Calibri" w:cs="Times New Roman"/>
          <w:szCs w:val="24"/>
        </w:rPr>
        <w:t>]’s innocence.]</w:t>
      </w:r>
    </w:p>
    <w:p w14:paraId="2AA6DBF3" w14:textId="77777777" w:rsidR="00842D3D" w:rsidRPr="00842D3D" w:rsidRDefault="00842D3D" w:rsidP="00842D3D">
      <w:pPr>
        <w:autoSpaceDE w:val="0"/>
        <w:autoSpaceDN w:val="0"/>
        <w:adjustRightInd w:val="0"/>
        <w:rPr>
          <w:rFonts w:eastAsia="Calibri" w:cs="Times New Roman"/>
          <w:szCs w:val="24"/>
        </w:rPr>
      </w:pPr>
    </w:p>
    <w:p w14:paraId="5E50B9B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9F18369" w14:textId="77777777" w:rsidR="00842D3D" w:rsidRPr="00842D3D" w:rsidRDefault="00842D3D" w:rsidP="00842D3D">
      <w:pPr>
        <w:autoSpaceDE w:val="0"/>
        <w:autoSpaceDN w:val="0"/>
        <w:adjustRightInd w:val="0"/>
        <w:rPr>
          <w:rFonts w:eastAsia="Calibri" w:cs="Times New Roman"/>
          <w:szCs w:val="24"/>
        </w:rPr>
      </w:pPr>
    </w:p>
    <w:p w14:paraId="214B3C7F" w14:textId="77777777" w:rsid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Use this instruction only in conjunction with the applicable elements instructions, Instructions 9.3-9.8. </w:t>
      </w:r>
    </w:p>
    <w:p w14:paraId="4591FE3F" w14:textId="77777777" w:rsidR="00047AF1" w:rsidRPr="00842D3D" w:rsidRDefault="00047AF1" w:rsidP="00842D3D">
      <w:pPr>
        <w:autoSpaceDE w:val="0"/>
        <w:autoSpaceDN w:val="0"/>
        <w:adjustRightInd w:val="0"/>
        <w:rPr>
          <w:rFonts w:eastAsia="Calibri" w:cs="Times New Roman"/>
          <w:szCs w:val="24"/>
        </w:rPr>
      </w:pPr>
    </w:p>
    <w:p w14:paraId="5E5C96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1048A1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4632D6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a clearly established constitutional due process right not to be subjected to criminal charges on the basis of false evidence that was deliberately fabricated by the government.” </w:t>
      </w:r>
      <w:r w:rsidRPr="00842D3D">
        <w:rPr>
          <w:rFonts w:eastAsia="Calibri" w:cs="Times New Roman"/>
          <w:i/>
          <w:szCs w:val="24"/>
        </w:rPr>
        <w:t>Devereaux v. Abbey</w:t>
      </w:r>
      <w:r w:rsidRPr="00842D3D">
        <w:rPr>
          <w:rFonts w:eastAsia="Calibri" w:cs="Times New Roman"/>
          <w:szCs w:val="24"/>
        </w:rPr>
        <w:t xml:space="preserve">, 263 F.3d 1070, 1074-75 (9th Cir. 2001) (en banc). The deliberate fabrication of evidence implicates “the fundamental due process right to a fair trial.” </w:t>
      </w:r>
      <w:r w:rsidRPr="00842D3D">
        <w:rPr>
          <w:rFonts w:eastAsia="Calibri" w:cs="Times New Roman"/>
          <w:i/>
          <w:szCs w:val="24"/>
        </w:rPr>
        <w:t>Richards v. County of San Bernadino</w:t>
      </w:r>
      <w:r w:rsidRPr="00842D3D">
        <w:rPr>
          <w:rFonts w:eastAsia="Calibri" w:cs="Times New Roman"/>
          <w:szCs w:val="24"/>
        </w:rPr>
        <w:t xml:space="preserve">, 39 F.4th 562, 572 (9th Cir. 2022). This is true “regardless of the plaintiff’s innocence or guilt . . . the right to a fair trial is impinged either way.” </w:t>
      </w:r>
      <w:r w:rsidRPr="00842D3D">
        <w:rPr>
          <w:rFonts w:eastAsia="Calibri" w:cs="Times New Roman"/>
          <w:i/>
          <w:szCs w:val="24"/>
        </w:rPr>
        <w:t xml:space="preserve">Id. </w:t>
      </w:r>
      <w:r w:rsidRPr="00842D3D">
        <w:rPr>
          <w:rFonts w:eastAsia="Calibri" w:cs="Times New Roman"/>
          <w:szCs w:val="24"/>
        </w:rPr>
        <w:t xml:space="preserve">In </w:t>
      </w:r>
      <w:r w:rsidRPr="00842D3D">
        <w:rPr>
          <w:rFonts w:eastAsia="Calibri" w:cs="Times New Roman"/>
          <w:i/>
          <w:szCs w:val="24"/>
        </w:rPr>
        <w:t>Devereaux</w:t>
      </w:r>
      <w:r w:rsidRPr="00842D3D">
        <w:rPr>
          <w:rFonts w:eastAsia="Calibri" w:cs="Times New Roman"/>
          <w:szCs w:val="24"/>
        </w:rPr>
        <w:t>, the Ninth Circuit stated that to establish deliberate fabrication of evidence, a plaintiff:</w:t>
      </w:r>
    </w:p>
    <w:p w14:paraId="275B91D1" w14:textId="77777777" w:rsidR="00842D3D" w:rsidRPr="00842D3D" w:rsidRDefault="00842D3D" w:rsidP="00842D3D">
      <w:pPr>
        <w:autoSpaceDE w:val="0"/>
        <w:autoSpaceDN w:val="0"/>
        <w:adjustRightInd w:val="0"/>
        <w:rPr>
          <w:rFonts w:eastAsia="Calibri" w:cs="Times New Roman"/>
          <w:szCs w:val="24"/>
        </w:rPr>
      </w:pPr>
    </w:p>
    <w:p w14:paraId="7EF5C3E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356A8CD4" w14:textId="77777777" w:rsidR="00842D3D" w:rsidRPr="00842D3D" w:rsidRDefault="00842D3D" w:rsidP="00842D3D">
      <w:pPr>
        <w:autoSpaceDE w:val="0"/>
        <w:autoSpaceDN w:val="0"/>
        <w:adjustRightInd w:val="0"/>
        <w:rPr>
          <w:rFonts w:eastAsia="Calibri" w:cs="Times New Roman"/>
          <w:szCs w:val="24"/>
        </w:rPr>
      </w:pPr>
    </w:p>
    <w:p w14:paraId="53A9752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263 F.3d at 1076. Stated another way, “[t]o prevail on a § 1983 claim of deliberate fabrication, a plaintiff must prove that (1) the defendant official deliberately fabricated evidence and (2) the deliberate fabrication caused the plaintiff's deprivation of liberty.” </w:t>
      </w:r>
      <w:r w:rsidRPr="00842D3D">
        <w:rPr>
          <w:rFonts w:eastAsia="Calibri" w:cs="Times New Roman"/>
          <w:i/>
          <w:szCs w:val="24"/>
        </w:rPr>
        <w:t>Spencer v. Peters</w:t>
      </w:r>
      <w:r w:rsidRPr="00842D3D">
        <w:rPr>
          <w:rFonts w:eastAsia="Calibri" w:cs="Times New Roman"/>
          <w:szCs w:val="24"/>
        </w:rPr>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842D3D">
        <w:rPr>
          <w:rFonts w:eastAsia="Calibri" w:cs="Times New Roman"/>
          <w:i/>
          <w:szCs w:val="24"/>
        </w:rPr>
        <w:t>Spencer</w:t>
      </w:r>
      <w:r w:rsidRPr="00842D3D">
        <w:rPr>
          <w:rFonts w:eastAsia="Calibri" w:cs="Times New Roman"/>
          <w:szCs w:val="24"/>
        </w:rPr>
        <w:t xml:space="preserve">, 857 F.3d at 798 (citations omitted). In </w:t>
      </w:r>
      <w:r w:rsidRPr="00842D3D">
        <w:rPr>
          <w:rFonts w:eastAsia="Calibri" w:cs="Times New Roman"/>
          <w:i/>
          <w:szCs w:val="24"/>
        </w:rPr>
        <w:t>Richards</w:t>
      </w:r>
      <w:r w:rsidRPr="00842D3D">
        <w:rPr>
          <w:rFonts w:eastAsia="Calibri" w:cs="Times New Roman"/>
          <w:szCs w:val="24"/>
        </w:rPr>
        <w:t xml:space="preserve">, the court said that rather than a but-for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842D3D">
        <w:rPr>
          <w:rFonts w:eastAsia="Calibri" w:cs="Times New Roman"/>
          <w:i/>
          <w:szCs w:val="24"/>
        </w:rPr>
        <w:t>Richards</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at 573-74; s</w:t>
      </w:r>
      <w:r w:rsidRPr="00842D3D">
        <w:rPr>
          <w:rFonts w:eastAsia="Calibri" w:cs="Times New Roman"/>
          <w:i/>
          <w:szCs w:val="24"/>
        </w:rPr>
        <w:t xml:space="preserve">ee Caldwell v. City &amp; County of San Francisco, </w:t>
      </w:r>
      <w:r w:rsidRPr="00842D3D">
        <w:rPr>
          <w:rFonts w:eastAsia="Calibri" w:cs="Times New Roman"/>
          <w:szCs w:val="24"/>
        </w:rPr>
        <w:t>889 F.3d 1105, 1115 (9th Cir. 2018) (“[P]laintiff need not be convicted on the basis of the fabricated evidence to have suffered a deprivation of liberty—being criminally charged is enough.”).</w:t>
      </w:r>
    </w:p>
    <w:p w14:paraId="27007F10" w14:textId="77777777" w:rsidR="00842D3D" w:rsidRPr="00842D3D" w:rsidRDefault="00842D3D" w:rsidP="00842D3D">
      <w:pPr>
        <w:autoSpaceDE w:val="0"/>
        <w:autoSpaceDN w:val="0"/>
        <w:adjustRightInd w:val="0"/>
        <w:rPr>
          <w:rFonts w:eastAsia="Calibri" w:cs="Times New Roman"/>
          <w:szCs w:val="24"/>
        </w:rPr>
      </w:pPr>
    </w:p>
    <w:p w14:paraId="59174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Inaccuracies in an investigative report do not all give rise to a constitutional claim. “Mere carelessness is insufficient, as are mistakes of tone. Errors concerning trivial matters cannot establish causation, a necessary element of any § 1983 claim. And fabricated evidence does not give rise to a claim if the plaintiff cannot show the fabrication actually injured her in some way.” </w:t>
      </w:r>
      <w:r w:rsidRPr="00842D3D">
        <w:rPr>
          <w:rFonts w:eastAsia="Calibri" w:cs="Times New Roman"/>
          <w:i/>
          <w:szCs w:val="24"/>
        </w:rPr>
        <w:t>Spencer</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857 F.3d at 798 (citations and internal quotations omitted); </w:t>
      </w:r>
      <w:r w:rsidRPr="00842D3D">
        <w:rPr>
          <w:rFonts w:eastAsia="Calibri" w:cs="Times New Roman"/>
          <w:i/>
          <w:szCs w:val="24"/>
        </w:rPr>
        <w:t>see also O’Doan v. Sanford</w:t>
      </w:r>
      <w:r w:rsidRPr="00842D3D">
        <w:rPr>
          <w:rFonts w:eastAsia="Calibri" w:cs="Times New Roman"/>
          <w:szCs w:val="24"/>
        </w:rPr>
        <w:t xml:space="preserve">, 991 F.3d 1027, 1046 (9th Cir. 2021) (following </w:t>
      </w:r>
      <w:r w:rsidRPr="00842D3D">
        <w:rPr>
          <w:rFonts w:eastAsia="Calibri" w:cs="Times New Roman"/>
          <w:i/>
          <w:szCs w:val="24"/>
        </w:rPr>
        <w:t>Devereaux v. Abbey</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but noting that “a minor discrepancy” is not fabrication).</w:t>
      </w:r>
    </w:p>
    <w:p w14:paraId="6C50EA77" w14:textId="77777777" w:rsidR="00842D3D" w:rsidRPr="00842D3D" w:rsidRDefault="00842D3D" w:rsidP="00842D3D">
      <w:pPr>
        <w:autoSpaceDE w:val="0"/>
        <w:autoSpaceDN w:val="0"/>
        <w:adjustRightInd w:val="0"/>
        <w:rPr>
          <w:rFonts w:eastAsia="Calibri" w:cs="Times New Roman"/>
          <w:szCs w:val="24"/>
        </w:rPr>
      </w:pPr>
    </w:p>
    <w:p w14:paraId="773FC8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language in a Ninth Circuit case suggests that the mere use of fabricated evidence is violative of due process regardless of whether the person was convicted. In </w:t>
      </w:r>
      <w:r w:rsidRPr="00842D3D">
        <w:rPr>
          <w:rFonts w:eastAsia="Calibri" w:cs="Times New Roman"/>
          <w:i/>
          <w:iCs/>
          <w:szCs w:val="24"/>
        </w:rPr>
        <w:t>Richards</w:t>
      </w:r>
      <w:r w:rsidRPr="00842D3D">
        <w:rPr>
          <w:rFonts w:eastAsia="Calibri" w:cs="Times New Roman"/>
          <w:szCs w:val="24"/>
        </w:rPr>
        <w:t>, the plaintiff had been convicted of first-degree murder, but that conviction was later vacated based on false evidence.</w:t>
      </w:r>
      <w:r w:rsidRPr="00842D3D">
        <w:rPr>
          <w:rFonts w:eastAsia="Calibri" w:cs="Times New Roman"/>
          <w:i/>
          <w:iCs/>
          <w:szCs w:val="24"/>
        </w:rPr>
        <w:t xml:space="preserve"> Richards</w:t>
      </w:r>
      <w:r w:rsidRPr="00842D3D">
        <w:rPr>
          <w:rFonts w:eastAsia="Calibri" w:cs="Times New Roman"/>
          <w:szCs w:val="24"/>
        </w:rPr>
        <w:t>, 39 F.4th</w:t>
      </w:r>
      <w:r w:rsidRPr="00842D3D">
        <w:rPr>
          <w:rFonts w:eastAsia="Calibri" w:cs="Times New Roman"/>
          <w:i/>
          <w:iCs/>
          <w:szCs w:val="24"/>
        </w:rPr>
        <w:t xml:space="preserve"> </w:t>
      </w:r>
      <w:r w:rsidRPr="00842D3D">
        <w:rPr>
          <w:rFonts w:eastAsia="Calibri" w:cs="Times New Roman"/>
          <w:szCs w:val="24"/>
        </w:rPr>
        <w:t>at 566. The plaintiff then filed a § 1983 action against the County and various law enforcement officers. The court said “regardless of the plaintiff’s innocence or guilt, that “[i]t would be anomalous to turn away a plaintiff who has been injured by deliberately fabricated evidence simply because that evidence alone was not sufficient to cause the conviction - the right to a fair trial is impinged either way.”</w:t>
      </w:r>
      <w:r w:rsidRPr="00842D3D">
        <w:rPr>
          <w:rFonts w:eastAsia="Calibri" w:cs="Times New Roman"/>
          <w:i/>
          <w:iCs/>
          <w:szCs w:val="24"/>
        </w:rPr>
        <w:t xml:space="preserve"> Id. </w:t>
      </w:r>
      <w:r w:rsidRPr="00842D3D">
        <w:rPr>
          <w:rFonts w:eastAsia="Calibri" w:cs="Times New Roman"/>
          <w:szCs w:val="24"/>
        </w:rPr>
        <w:t xml:space="preserve">at 573. Other courts have held that such evidence may not be used to prosecute or convict an individual. </w:t>
      </w:r>
      <w:r w:rsidRPr="00842D3D">
        <w:rPr>
          <w:rFonts w:eastAsia="Calibri" w:cs="Times New Roman"/>
          <w:i/>
          <w:iCs/>
          <w:szCs w:val="24"/>
        </w:rPr>
        <w:t>Devereaux</w:t>
      </w:r>
      <w:r w:rsidRPr="00842D3D">
        <w:rPr>
          <w:rFonts w:eastAsia="Calibri" w:cs="Times New Roman"/>
          <w:szCs w:val="24"/>
        </w:rPr>
        <w:t xml:space="preserve">, 263 F.3d. at 1075 (“the knowing use by the prosecution of perjured testimony in order to secure a criminal conviction violates the Constitution”); </w:t>
      </w:r>
      <w:r w:rsidRPr="00842D3D">
        <w:rPr>
          <w:rFonts w:eastAsia="Calibri" w:cs="Times New Roman"/>
          <w:i/>
          <w:iCs/>
          <w:szCs w:val="24"/>
        </w:rPr>
        <w:t>Cole v. Carson</w:t>
      </w:r>
      <w:r w:rsidRPr="00842D3D">
        <w:rPr>
          <w:rFonts w:eastAsia="Calibri"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64F9A8EF" w14:textId="77777777" w:rsidR="00842D3D" w:rsidRPr="00842D3D" w:rsidRDefault="00842D3D" w:rsidP="00842D3D">
      <w:pPr>
        <w:autoSpaceDE w:val="0"/>
        <w:autoSpaceDN w:val="0"/>
        <w:adjustRightInd w:val="0"/>
        <w:rPr>
          <w:rFonts w:eastAsia="Calibri" w:cs="Times New Roman"/>
          <w:szCs w:val="24"/>
        </w:rPr>
      </w:pPr>
    </w:p>
    <w:p w14:paraId="58D2CBD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“Typically, in constitutional tort cases the ‘[f]iling of a criminal complaint immunizes</w:t>
      </w:r>
    </w:p>
    <w:p w14:paraId="29E2C9F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investigating officers . . . because it is presumed that the prosecutor filing the complaint</w:t>
      </w:r>
    </w:p>
    <w:p w14:paraId="7C6B51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exercised independent judgment in determining that probable cause for an accused’s arrest</w:t>
      </w:r>
    </w:p>
    <w:p w14:paraId="3C26CD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exists at that time.’” </w:t>
      </w:r>
      <w:r w:rsidRPr="00842D3D">
        <w:rPr>
          <w:rFonts w:eastAsia="Calibri" w:cs="Times New Roman"/>
          <w:i/>
          <w:szCs w:val="24"/>
        </w:rPr>
        <w:t>Caldwell</w:t>
      </w:r>
      <w:r w:rsidRPr="00842D3D">
        <w:rPr>
          <w:rFonts w:eastAsia="Calibri" w:cs="Times New Roman"/>
          <w:szCs w:val="24"/>
        </w:rPr>
        <w:t xml:space="preserve">, 889 F.3d at 1115 (quoting </w:t>
      </w:r>
      <w:r w:rsidRPr="00842D3D">
        <w:rPr>
          <w:rFonts w:eastAsia="Calibri" w:cs="Times New Roman"/>
          <w:i/>
          <w:szCs w:val="24"/>
        </w:rPr>
        <w:t>Smiddy v. Varney</w:t>
      </w:r>
      <w:r w:rsidRPr="00842D3D">
        <w:rPr>
          <w:rFonts w:eastAsia="Calibri" w:cs="Times New Roman"/>
          <w:szCs w:val="24"/>
        </w:rPr>
        <w:t xml:space="preserve">, 665 F.2d 261, 266 (9th Cir. 1981), </w:t>
      </w:r>
      <w:r w:rsidRPr="00842D3D">
        <w:rPr>
          <w:rFonts w:eastAsia="Calibri" w:cs="Times New Roman"/>
          <w:i/>
          <w:szCs w:val="24"/>
        </w:rPr>
        <w:t>overruled on other grounds by Beck v. City of Upland</w:t>
      </w:r>
      <w:r w:rsidRPr="00842D3D">
        <w:rPr>
          <w:rFonts w:eastAsia="Calibri" w:cs="Times New Roman"/>
          <w:szCs w:val="24"/>
        </w:rPr>
        <w:t xml:space="preserve">, 527 F.3d 853, 865 (9th Cir. 2008)). However, the presumption can be overcome if a plaintiff establishes that officers “either presented false evidence to or withheld crucial information from the prosecutor.” </w:t>
      </w:r>
      <w:r w:rsidRPr="00842D3D">
        <w:rPr>
          <w:rFonts w:eastAsia="Calibri" w:cs="Times New Roman"/>
          <w:i/>
          <w:szCs w:val="24"/>
        </w:rPr>
        <w:t>Caldwell</w:t>
      </w:r>
      <w:r w:rsidRPr="00842D3D">
        <w:rPr>
          <w:rFonts w:eastAsia="Calibri" w:cs="Times New Roman"/>
          <w:szCs w:val="24"/>
        </w:rPr>
        <w:t xml:space="preserve">, 889 F.3d at 1116. At that point, “the analysis reverts back to a normal causation question” and the issue again becomes whether the constitutional violation caused the plaintiff’s harm. </w:t>
      </w:r>
      <w:r w:rsidRPr="00842D3D">
        <w:rPr>
          <w:rFonts w:eastAsia="Calibri" w:cs="Times New Roman"/>
          <w:i/>
          <w:szCs w:val="24"/>
        </w:rPr>
        <w:t>Id</w:t>
      </w:r>
      <w:r w:rsidRPr="00842D3D">
        <w:rPr>
          <w:rFonts w:eastAsia="Calibri" w:cs="Times New Roman"/>
          <w:szCs w:val="24"/>
        </w:rPr>
        <w:t>.</w:t>
      </w:r>
    </w:p>
    <w:p w14:paraId="37953D78" w14:textId="77777777" w:rsidR="00842D3D" w:rsidRPr="00842D3D" w:rsidRDefault="00842D3D" w:rsidP="00842D3D">
      <w:pPr>
        <w:autoSpaceDE w:val="0"/>
        <w:autoSpaceDN w:val="0"/>
        <w:adjustRightInd w:val="0"/>
        <w:rPr>
          <w:rFonts w:eastAsia="Calibri" w:cs="Times New Roman"/>
          <w:szCs w:val="24"/>
        </w:rPr>
      </w:pPr>
    </w:p>
    <w:p w14:paraId="736404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official’s deliberate fabrication of evidence or use of perjury also violates the rights</w:t>
      </w:r>
    </w:p>
    <w:p w14:paraId="5F1ECEB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of a parent or child when introduced in a civil dependency proceeding. “[G]overnment perjury</w:t>
      </w:r>
    </w:p>
    <w:p w14:paraId="3BEE41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and knowing use of false evidence are absolutely and obviously irreconcilable with the</w:t>
      </w:r>
    </w:p>
    <w:p w14:paraId="3E570D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Amendment’s guarantee of Due Process in our courts . . . There are no</w:t>
      </w:r>
    </w:p>
    <w:p w14:paraId="2CA54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circumstances in a dependency proceeding that would permit government officials to bear false</w:t>
      </w:r>
    </w:p>
    <w:p w14:paraId="5C4712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witness against a parent.” </w:t>
      </w:r>
      <w:r w:rsidRPr="00842D3D">
        <w:rPr>
          <w:rFonts w:eastAsia="Calibri" w:cs="Times New Roman"/>
          <w:i/>
          <w:szCs w:val="24"/>
        </w:rPr>
        <w:t>Hardwick v. Vreeken</w:t>
      </w:r>
      <w:r w:rsidRPr="00842D3D">
        <w:rPr>
          <w:rFonts w:eastAsia="Calibri" w:cs="Times New Roman"/>
          <w:szCs w:val="24"/>
        </w:rPr>
        <w:t xml:space="preserve">, 844 F.3d 1112, 1120 (9th Cir. 2017). For claims against social workers involving fabrication of evidence in child dependency proceedings, see </w:t>
      </w:r>
      <w:r w:rsidRPr="00842D3D">
        <w:rPr>
          <w:rFonts w:eastAsia="Calibri" w:cs="Times New Roman"/>
          <w:szCs w:val="24"/>
        </w:rPr>
        <w:lastRenderedPageBreak/>
        <w:t>9.32 (Particular Rights—Fourteenth Amendment—Due Process—Interference with Parent/Child Relationship).</w:t>
      </w:r>
    </w:p>
    <w:p w14:paraId="2DAA35E5" w14:textId="77777777" w:rsidR="00842D3D" w:rsidRPr="00842D3D" w:rsidRDefault="00842D3D" w:rsidP="00842D3D">
      <w:pPr>
        <w:autoSpaceDE w:val="0"/>
        <w:autoSpaceDN w:val="0"/>
        <w:adjustRightInd w:val="0"/>
        <w:rPr>
          <w:rFonts w:eastAsia="Calibri" w:cs="Times New Roman"/>
          <w:szCs w:val="24"/>
        </w:rPr>
      </w:pPr>
    </w:p>
    <w:p w14:paraId="75E254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Imposing a deliberate indifference or reckless disregard for an accused’s rights or for the truth standard is appropriate in the substantive due process context. </w:t>
      </w:r>
      <w:r w:rsidRPr="00842D3D">
        <w:rPr>
          <w:rFonts w:eastAsia="Calibri" w:cs="Times New Roman"/>
          <w:i/>
          <w:szCs w:val="24"/>
        </w:rPr>
        <w:t>See Gantt v. City of Los Angeles</w:t>
      </w:r>
      <w:r w:rsidRPr="00842D3D">
        <w:rPr>
          <w:rFonts w:eastAsia="Calibri" w:cs="Times New Roman"/>
          <w:szCs w:val="24"/>
        </w:rPr>
        <w:t xml:space="preserve">, 717 F.3d 702, 708 (9th Cir. 2013) (approving a deliberate indifference instruction, stating that “[d]eliberate indifference is the conscious or reckless disregard of the consequences of one's acts or omissions. It entails something more than negligence but is satisfied by something less than acts or omissions for the very purpose of causing harm or with knowledge that harm will result”); </w:t>
      </w:r>
      <w:r w:rsidRPr="00842D3D">
        <w:rPr>
          <w:rFonts w:eastAsia="Calibri" w:cs="Times New Roman"/>
          <w:i/>
          <w:szCs w:val="24"/>
        </w:rPr>
        <w:t>Tennison v. City &amp; County of San Francisco</w:t>
      </w:r>
      <w:r w:rsidRPr="00842D3D">
        <w:rPr>
          <w:rFonts w:eastAsia="Calibri" w:cs="Times New Roman"/>
          <w:szCs w:val="24"/>
        </w:rPr>
        <w:t xml:space="preserve">, 570 F.3d 1078, 1089 (9th Cir. 2009). Deliberate indifference encompasses recklessness. </w:t>
      </w:r>
      <w:r w:rsidRPr="00842D3D">
        <w:rPr>
          <w:rFonts w:eastAsia="Calibri" w:cs="Times New Roman"/>
          <w:i/>
          <w:szCs w:val="24"/>
        </w:rPr>
        <w:t>Castro v. County of Los Angeles</w:t>
      </w:r>
      <w:r w:rsidRPr="00842D3D">
        <w:rPr>
          <w:rFonts w:eastAsia="Calibri" w:cs="Times New Roman"/>
          <w:szCs w:val="24"/>
        </w:rPr>
        <w:t xml:space="preserve">, 833 F.3d 1060, 1071 (9th Cir. 2016) (en banc), noted that the “deliberate indifference” standard, at least in the context of a Fourteenth Amendment failure to protect claim, requires the plaintiff “to prove more than negligence but less than subjective intent—something akin to reckless disregard.” </w:t>
      </w:r>
      <w:r w:rsidRPr="00842D3D">
        <w:rPr>
          <w:rFonts w:eastAsia="Calibri" w:cs="Times New Roman"/>
          <w:i/>
          <w:szCs w:val="24"/>
        </w:rPr>
        <w:t>See Gantt</w:t>
      </w:r>
      <w:r w:rsidRPr="00842D3D">
        <w:rPr>
          <w:rFonts w:eastAsia="Calibri" w:cs="Times New Roman"/>
          <w:szCs w:val="24"/>
        </w:rPr>
        <w:t>, 717 F.3d at 708 (concluding no error in the portion of instruction stating “deliberate indifference is the conscious or reckless disregard of the consequences of one’s acts or omissions”);</w:t>
      </w:r>
      <w:r w:rsidRPr="00842D3D">
        <w:rPr>
          <w:rFonts w:eastAsia="Calibri" w:cs="Times New Roman"/>
          <w:i/>
          <w:szCs w:val="24"/>
        </w:rPr>
        <w:t xml:space="preserve"> see also Tatum v. Moody</w:t>
      </w:r>
      <w:r w:rsidRPr="00842D3D">
        <w:rPr>
          <w:rFonts w:eastAsia="Calibri" w:cs="Times New Roman"/>
          <w:szCs w:val="24"/>
        </w:rPr>
        <w:t>, 768 F.3d 806, 821 (9th Cir. 2014) (approving alternative instruction that also encompassed recklessness).</w:t>
      </w:r>
    </w:p>
    <w:p w14:paraId="06D948CD"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58CAA33C" w14:textId="5AF72B38" w:rsidR="00842D3D" w:rsidRPr="00842D3D" w:rsidRDefault="00842D3D" w:rsidP="00FF121D">
      <w:pPr>
        <w:pStyle w:val="Heading2"/>
      </w:pPr>
      <w:r w:rsidRPr="00842D3D">
        <w:br w:type="page"/>
      </w:r>
      <w:bookmarkStart w:id="202" w:name="_Toc221525203"/>
      <w:r w:rsidRPr="00842D3D">
        <w:lastRenderedPageBreak/>
        <w:t>9.3</w:t>
      </w:r>
      <w:r w:rsidR="003A1908">
        <w:t>9</w:t>
      </w:r>
      <w:r w:rsidRPr="00842D3D">
        <w:t xml:space="preserve"> Particular Rights—Fourteenth Amendment—Due Process—</w:t>
      </w:r>
      <w:r w:rsidRPr="00842D3D">
        <w:br/>
        <w:t>Deliberate or Reckless Suppression of Evidence</w:t>
      </w:r>
      <w:bookmarkEnd w:id="202"/>
    </w:p>
    <w:p w14:paraId="70E50890" w14:textId="77777777" w:rsidR="00842D3D" w:rsidRPr="00842D3D" w:rsidRDefault="00842D3D" w:rsidP="00842D3D">
      <w:pPr>
        <w:autoSpaceDE w:val="0"/>
        <w:autoSpaceDN w:val="0"/>
        <w:adjustRightInd w:val="0"/>
        <w:jc w:val="center"/>
        <w:rPr>
          <w:rFonts w:eastAsia="Calibri" w:cs="Times New Roman"/>
          <w:szCs w:val="24"/>
        </w:rPr>
      </w:pPr>
    </w:p>
    <w:p w14:paraId="1D867F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a person being subjected to a criminal trial when favorable evidence has been deliberately or recklessly withheld from the prosecutor.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4BD0E0C9" w14:textId="77777777" w:rsidR="00842D3D" w:rsidRPr="00842D3D" w:rsidRDefault="00842D3D" w:rsidP="00842D3D">
      <w:pPr>
        <w:autoSpaceDE w:val="0"/>
        <w:autoSpaceDN w:val="0"/>
        <w:adjustRightInd w:val="0"/>
        <w:rPr>
          <w:rFonts w:eastAsia="Calibri" w:cs="Times New Roman"/>
          <w:szCs w:val="24"/>
        </w:rPr>
      </w:pPr>
    </w:p>
    <w:p w14:paraId="274C5C3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 [her] [</w:t>
      </w:r>
      <w:r w:rsidRPr="00842D3D">
        <w:rPr>
          <w:rFonts w:eastAsia="Calibri" w:cs="Times New Roman"/>
          <w:i/>
          <w:iCs/>
          <w:szCs w:val="24"/>
          <w:u w:val="single"/>
        </w:rPr>
        <w:t>other pronoun</w:t>
      </w:r>
      <w:r w:rsidRPr="00842D3D">
        <w:rPr>
          <w:rFonts w:eastAsia="Calibri" w:cs="Times New Roman"/>
          <w:szCs w:val="24"/>
        </w:rPr>
        <w:t>] claim of deliberate or reckless suppression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377B1BC6" w14:textId="77777777" w:rsidR="00842D3D" w:rsidRPr="00842D3D" w:rsidRDefault="00842D3D" w:rsidP="00842D3D">
      <w:pPr>
        <w:autoSpaceDE w:val="0"/>
        <w:autoSpaceDN w:val="0"/>
        <w:adjustRightInd w:val="0"/>
        <w:rPr>
          <w:rFonts w:eastAsia="Calibri" w:cs="Times New Roman"/>
          <w:szCs w:val="24"/>
        </w:rPr>
      </w:pPr>
    </w:p>
    <w:p w14:paraId="08E55AB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suppressed evidence that was favorable to the accused from the prosecutor and the defense;</w:t>
      </w:r>
    </w:p>
    <w:p w14:paraId="61D4F105" w14:textId="77777777" w:rsidR="00842D3D" w:rsidRPr="00842D3D" w:rsidRDefault="00842D3D" w:rsidP="00842D3D">
      <w:pPr>
        <w:autoSpaceDE w:val="0"/>
        <w:autoSpaceDN w:val="0"/>
        <w:adjustRightInd w:val="0"/>
        <w:ind w:firstLine="720"/>
        <w:rPr>
          <w:rFonts w:eastAsia="Calibri" w:cs="Times New Roman"/>
          <w:szCs w:val="24"/>
        </w:rPr>
      </w:pPr>
    </w:p>
    <w:p w14:paraId="412F39E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suppression harmed the accused; and</w:t>
      </w:r>
    </w:p>
    <w:p w14:paraId="4BCD8B77" w14:textId="77777777" w:rsidR="00842D3D" w:rsidRPr="00842D3D" w:rsidRDefault="00842D3D" w:rsidP="00842D3D">
      <w:pPr>
        <w:autoSpaceDE w:val="0"/>
        <w:autoSpaceDN w:val="0"/>
        <w:adjustRightInd w:val="0"/>
        <w:ind w:firstLine="720"/>
        <w:rPr>
          <w:rFonts w:eastAsia="Calibri" w:cs="Times New Roman"/>
          <w:szCs w:val="24"/>
        </w:rPr>
      </w:pPr>
    </w:p>
    <w:p w14:paraId="276C3CA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an accused’s rights or for the truth in suppressing the evidence.</w:t>
      </w:r>
    </w:p>
    <w:p w14:paraId="7E60C0FD" w14:textId="77777777" w:rsidR="00842D3D" w:rsidRPr="00842D3D" w:rsidRDefault="00842D3D" w:rsidP="00842D3D">
      <w:pPr>
        <w:autoSpaceDE w:val="0"/>
        <w:autoSpaceDN w:val="0"/>
        <w:adjustRightInd w:val="0"/>
        <w:rPr>
          <w:rFonts w:eastAsia="Calibri" w:cs="Times New Roman"/>
          <w:szCs w:val="24"/>
        </w:rPr>
      </w:pPr>
    </w:p>
    <w:p w14:paraId="60D8AB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“Deliberate indifference” is the conscious or reckless disregard of the consequences of one’s acts or omissions.</w:t>
      </w:r>
    </w:p>
    <w:p w14:paraId="733F497D" w14:textId="77777777" w:rsidR="00842D3D" w:rsidRPr="00842D3D" w:rsidRDefault="00842D3D" w:rsidP="00842D3D">
      <w:pPr>
        <w:autoSpaceDE w:val="0"/>
        <w:autoSpaceDN w:val="0"/>
        <w:adjustRightInd w:val="0"/>
        <w:jc w:val="center"/>
        <w:rPr>
          <w:rFonts w:eastAsia="Calibri" w:cs="Times New Roman"/>
          <w:szCs w:val="24"/>
        </w:rPr>
      </w:pPr>
    </w:p>
    <w:p w14:paraId="5DF336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678CA93" w14:textId="77777777" w:rsidR="00842D3D" w:rsidRPr="00842D3D" w:rsidRDefault="00842D3D" w:rsidP="00842D3D">
      <w:pPr>
        <w:autoSpaceDE w:val="0"/>
        <w:autoSpaceDN w:val="0"/>
        <w:adjustRightInd w:val="0"/>
        <w:jc w:val="center"/>
        <w:rPr>
          <w:rFonts w:eastAsia="Calibri" w:cs="Times New Roman"/>
          <w:szCs w:val="24"/>
        </w:rPr>
      </w:pPr>
    </w:p>
    <w:p w14:paraId="730045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elements instructions, Instructions 9.3-9.8. </w:t>
      </w:r>
    </w:p>
    <w:p w14:paraId="6C850EAB" w14:textId="77777777" w:rsidR="00842D3D" w:rsidRPr="00842D3D" w:rsidRDefault="00842D3D" w:rsidP="00842D3D">
      <w:pPr>
        <w:autoSpaceDE w:val="0"/>
        <w:autoSpaceDN w:val="0"/>
        <w:adjustRightInd w:val="0"/>
        <w:rPr>
          <w:rFonts w:eastAsia="Calibri" w:cs="Times New Roman"/>
          <w:szCs w:val="24"/>
        </w:rPr>
      </w:pPr>
    </w:p>
    <w:p w14:paraId="479098CD"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1142D2DB" w14:textId="77777777" w:rsidR="00842D3D" w:rsidRPr="00842D3D" w:rsidRDefault="00842D3D" w:rsidP="00842D3D">
      <w:pPr>
        <w:autoSpaceDE w:val="0"/>
        <w:autoSpaceDN w:val="0"/>
        <w:adjustRightInd w:val="0"/>
        <w:rPr>
          <w:rFonts w:eastAsia="Calibri" w:cs="Times New Roman"/>
          <w:szCs w:val="24"/>
        </w:rPr>
      </w:pPr>
    </w:p>
    <w:p w14:paraId="4B9FE1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Tatum</w:t>
      </w:r>
      <w:r w:rsidRPr="00842D3D">
        <w:rPr>
          <w:rFonts w:eastAsia="Calibri" w:cs="Times New Roman"/>
          <w:szCs w:val="24"/>
        </w:rPr>
        <w:t xml:space="preserve">, the Ninth Circuit permitted a criminal defendant to pursue a due process claim for 27 months of pretrial detention that would not have occurred if “significant exculpatory evidence” had been disclosed by law enforcement to prosecutors. </w:t>
      </w:r>
      <w:r w:rsidRPr="00842D3D">
        <w:rPr>
          <w:rFonts w:eastAsia="Calibri" w:cs="Times New Roman"/>
          <w:i/>
          <w:szCs w:val="24"/>
        </w:rPr>
        <w:t>Tatum v. Moody</w:t>
      </w:r>
      <w:r w:rsidRPr="00842D3D">
        <w:rPr>
          <w:rFonts w:eastAsia="Calibri" w:cs="Times New Roman"/>
          <w:szCs w:val="24"/>
        </w:rPr>
        <w:t xml:space="preserve">, 768 F.3d 806, </w:t>
      </w:r>
      <w:r w:rsidRPr="00842D3D">
        <w:rPr>
          <w:rFonts w:eastAsia="Calibri" w:cs="Times New Roman"/>
          <w:szCs w:val="24"/>
        </w:rPr>
        <w:lastRenderedPageBreak/>
        <w:t xml:space="preserve">819-820 (9th Cir. 2014). The Ninth Circuit resolved the appeal without deciding “the scope and protections established by </w:t>
      </w:r>
      <w:r w:rsidRPr="00842D3D">
        <w:rPr>
          <w:rFonts w:eastAsia="Calibri" w:cs="Times New Roman"/>
          <w:i/>
          <w:szCs w:val="24"/>
        </w:rPr>
        <w:t>Brady</w:t>
      </w:r>
      <w:r w:rsidRPr="00842D3D">
        <w:rPr>
          <w:rFonts w:eastAsia="Calibri" w:cs="Times New Roman"/>
          <w:szCs w:val="24"/>
        </w:rPr>
        <w:t xml:space="preserve"> and its progeny,” </w:t>
      </w:r>
      <w:r w:rsidRPr="00842D3D">
        <w:rPr>
          <w:rFonts w:eastAsia="Calibri" w:cs="Times New Roman"/>
          <w:i/>
          <w:iCs/>
          <w:szCs w:val="24"/>
        </w:rPr>
        <w:t>id.</w:t>
      </w:r>
      <w:r w:rsidRPr="00842D3D">
        <w:rPr>
          <w:rFonts w:eastAsia="Calibri" w:cs="Times New Roman"/>
          <w:szCs w:val="24"/>
        </w:rPr>
        <w:t xml:space="preserve">, instead,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842D3D">
        <w:rPr>
          <w:rFonts w:eastAsia="Calibri" w:cs="Times New Roman"/>
          <w:i/>
          <w:szCs w:val="24"/>
        </w:rPr>
        <w:t>Id</w:t>
      </w:r>
      <w:r w:rsidRPr="00842D3D">
        <w:rPr>
          <w:rFonts w:eastAsia="Calibri" w:cs="Times New Roman"/>
          <w:szCs w:val="24"/>
        </w:rPr>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4FAD9D39" w14:textId="77777777" w:rsidR="00842D3D" w:rsidRPr="00842D3D" w:rsidRDefault="00842D3D" w:rsidP="00842D3D">
      <w:pPr>
        <w:autoSpaceDE w:val="0"/>
        <w:autoSpaceDN w:val="0"/>
        <w:adjustRightInd w:val="0"/>
        <w:ind w:firstLine="720"/>
        <w:rPr>
          <w:rFonts w:eastAsia="Calibri" w:cs="Times New Roman"/>
          <w:szCs w:val="24"/>
        </w:rPr>
      </w:pPr>
    </w:p>
    <w:p w14:paraId="5275664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szCs w:val="24"/>
        </w:rPr>
        <w:t>See also Mellen v. Winn</w:t>
      </w:r>
      <w:r w:rsidRPr="00842D3D">
        <w:rPr>
          <w:rFonts w:eastAsia="Calibri" w:cs="Times New Roman"/>
          <w:szCs w:val="24"/>
        </w:rPr>
        <w:t xml:space="preserve">, 900 F.3d 1085, 1096 (9th Cir. 2018) (stating elements); </w:t>
      </w:r>
      <w:r w:rsidRPr="00842D3D">
        <w:rPr>
          <w:rFonts w:eastAsia="Calibri" w:cs="Times New Roman"/>
          <w:i/>
          <w:szCs w:val="24"/>
        </w:rPr>
        <w:t>Tennison v. City &amp; County of San Francisco</w:t>
      </w:r>
      <w:r w:rsidRPr="00842D3D">
        <w:rPr>
          <w:rFonts w:eastAsia="Calibri" w:cs="Times New Roman"/>
          <w:szCs w:val="24"/>
        </w:rPr>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842D3D">
        <w:rPr>
          <w:rFonts w:eastAsia="Calibri" w:cs="Times New Roman"/>
          <w:i/>
          <w:szCs w:val="24"/>
        </w:rPr>
        <w:t xml:space="preserve"> see also Carrillo v. County of Los Angeles</w:t>
      </w:r>
      <w:r w:rsidRPr="00842D3D">
        <w:rPr>
          <w:rFonts w:eastAsia="Calibri" w:cs="Times New Roman"/>
          <w:szCs w:val="24"/>
        </w:rPr>
        <w:t>, 798 F.3d 1210, 1219 (9th Cir. 2015) (“The law in 1984 clearly established that police officers were bound to disclose material, exculpatory evidence.”).</w:t>
      </w:r>
    </w:p>
    <w:p w14:paraId="7CE19213" w14:textId="77777777" w:rsidR="00842D3D" w:rsidRPr="00842D3D" w:rsidRDefault="00842D3D" w:rsidP="00842D3D">
      <w:pPr>
        <w:autoSpaceDE w:val="0"/>
        <w:autoSpaceDN w:val="0"/>
        <w:adjustRightInd w:val="0"/>
        <w:rPr>
          <w:rFonts w:eastAsia="Calibri" w:cs="Times New Roman"/>
          <w:szCs w:val="24"/>
        </w:rPr>
      </w:pPr>
    </w:p>
    <w:p w14:paraId="74ADCC66"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4A875BAA" w14:textId="63639A36" w:rsidR="00842D3D" w:rsidRPr="00842D3D" w:rsidRDefault="00842D3D" w:rsidP="00FF121D">
      <w:pPr>
        <w:pStyle w:val="Heading2"/>
      </w:pPr>
      <w:r w:rsidRPr="00842D3D">
        <w:br w:type="page"/>
      </w:r>
      <w:bookmarkStart w:id="203" w:name="_Toc221525204"/>
      <w:r w:rsidRPr="00842D3D">
        <w:lastRenderedPageBreak/>
        <w:t>9.</w:t>
      </w:r>
      <w:r w:rsidR="003A1908">
        <w:t>40</w:t>
      </w:r>
      <w:r w:rsidRPr="00842D3D">
        <w:t xml:space="preserve"> Particular Rights—Fourteenth Amendment—Due Process—State-Created Danger</w:t>
      </w:r>
      <w:bookmarkEnd w:id="203"/>
    </w:p>
    <w:p w14:paraId="45D47747" w14:textId="77777777" w:rsidR="00842D3D" w:rsidRPr="00842D3D" w:rsidRDefault="00842D3D" w:rsidP="00842D3D">
      <w:pPr>
        <w:autoSpaceDE w:val="0"/>
        <w:autoSpaceDN w:val="0"/>
        <w:adjustRightInd w:val="0"/>
        <w:jc w:val="center"/>
        <w:rPr>
          <w:rFonts w:eastAsia="Calibri" w:cs="Times New Roman"/>
          <w:szCs w:val="24"/>
        </w:rPr>
      </w:pPr>
    </w:p>
    <w:p w14:paraId="02F0B59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w:t>
      </w:r>
    </w:p>
    <w:p w14:paraId="677215D3" w14:textId="77777777" w:rsidR="00842D3D" w:rsidRPr="00842D3D" w:rsidRDefault="00842D3D" w:rsidP="00842D3D">
      <w:pPr>
        <w:autoSpaceDE w:val="0"/>
        <w:autoSpaceDN w:val="0"/>
        <w:adjustRightInd w:val="0"/>
        <w:rPr>
          <w:rFonts w:eastAsia="Calibri" w:cs="Times New Roman"/>
          <w:szCs w:val="24"/>
        </w:rPr>
      </w:pPr>
    </w:p>
    <w:p w14:paraId="1EBC2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xml:space="preserve">] rights under the Fourteenth Amendment to the Constitution when </w:t>
      </w:r>
      <w:r w:rsidRPr="00842D3D">
        <w:rPr>
          <w:rFonts w:eastAsia="Calibri" w:cs="Times New Roman"/>
          <w:iCs/>
          <w:szCs w:val="24"/>
        </w:rPr>
        <w:t>[</w:t>
      </w:r>
      <w:r w:rsidRPr="00842D3D">
        <w:rPr>
          <w:rFonts w:eastAsia="Calibri" w:cs="Times New Roman"/>
          <w:i/>
          <w:szCs w:val="24"/>
          <w:u w:val="single"/>
        </w:rPr>
        <w:t>insert factual basis of the plaintiff’s claim</w:t>
      </w:r>
      <w:r w:rsidRPr="00842D3D">
        <w:rPr>
          <w:rFonts w:eastAsia="Calibri" w:cs="Times New Roman"/>
          <w:szCs w:val="24"/>
        </w:rPr>
        <w:t>].</w:t>
      </w:r>
    </w:p>
    <w:p w14:paraId="336CA574" w14:textId="77777777" w:rsidR="00842D3D" w:rsidRPr="00842D3D" w:rsidRDefault="00842D3D" w:rsidP="00842D3D">
      <w:pPr>
        <w:autoSpaceDE w:val="0"/>
        <w:autoSpaceDN w:val="0"/>
        <w:adjustRightInd w:val="0"/>
        <w:rPr>
          <w:rFonts w:eastAsia="Calibri" w:cs="Times New Roman"/>
          <w:szCs w:val="24"/>
        </w:rPr>
      </w:pPr>
    </w:p>
    <w:p w14:paraId="6A1433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23FA2041" w14:textId="77777777" w:rsidR="00842D3D" w:rsidRPr="00842D3D" w:rsidRDefault="00842D3D" w:rsidP="00842D3D">
      <w:pPr>
        <w:autoSpaceDE w:val="0"/>
        <w:autoSpaceDN w:val="0"/>
        <w:adjustRightInd w:val="0"/>
        <w:rPr>
          <w:rFonts w:eastAsia="Calibri" w:cs="Times New Roman"/>
          <w:szCs w:val="24"/>
        </w:rPr>
      </w:pPr>
    </w:p>
    <w:p w14:paraId="4DB417F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1108E522" w14:textId="77777777" w:rsidR="00842D3D" w:rsidRPr="00842D3D" w:rsidRDefault="00842D3D" w:rsidP="00842D3D">
      <w:pPr>
        <w:autoSpaceDE w:val="0"/>
        <w:autoSpaceDN w:val="0"/>
        <w:adjustRightInd w:val="0"/>
        <w:rPr>
          <w:rFonts w:eastAsia="Calibri" w:cs="Times New Roman"/>
          <w:szCs w:val="24"/>
        </w:rPr>
      </w:pPr>
    </w:p>
    <w:p w14:paraId="1D4B00E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committed an affirmative act;</w:t>
      </w:r>
    </w:p>
    <w:p w14:paraId="616D5BB4"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B63E96C"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affirmative act placed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 a position of an actual, particularized danger by creating or exposing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a danger that [he] [she] [</w:t>
      </w:r>
      <w:r w:rsidRPr="00842D3D">
        <w:rPr>
          <w:rFonts w:eastAsia="Calibri" w:cs="Times New Roman"/>
          <w:i/>
          <w:iCs/>
          <w:szCs w:val="24"/>
          <w:u w:val="single"/>
        </w:rPr>
        <w:t>other pronoun</w:t>
      </w:r>
      <w:r w:rsidRPr="00842D3D">
        <w:rPr>
          <w:rFonts w:eastAsia="Calibri" w:cs="Times New Roman"/>
          <w:szCs w:val="24"/>
        </w:rPr>
        <w:t>] not have otherwise faced;</w:t>
      </w:r>
    </w:p>
    <w:p w14:paraId="02FEB6B2"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00B371B5"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 known or obvious danger; and</w:t>
      </w:r>
    </w:p>
    <w:p w14:paraId="7F1DD238"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616984A"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affirmative act that created the actual, particularized danger caused injury to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was foreseeable.</w:t>
      </w:r>
    </w:p>
    <w:p w14:paraId="1BDD0F8C" w14:textId="77777777" w:rsidR="00842D3D" w:rsidRPr="00842D3D" w:rsidRDefault="00842D3D" w:rsidP="00842D3D">
      <w:pPr>
        <w:autoSpaceDE w:val="0"/>
        <w:autoSpaceDN w:val="0"/>
        <w:adjustRightInd w:val="0"/>
        <w:rPr>
          <w:rFonts w:eastAsia="Calibri" w:cs="Times New Roman"/>
          <w:szCs w:val="24"/>
        </w:rPr>
      </w:pPr>
    </w:p>
    <w:p w14:paraId="0AAA3E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context, “deliberate indifference” means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disregarded a known or obvious consequence of [his] [her] [</w:t>
      </w:r>
      <w:r w:rsidRPr="00842D3D">
        <w:rPr>
          <w:rFonts w:eastAsia="Calibri" w:cs="Times New Roman"/>
          <w:i/>
          <w:iCs/>
          <w:szCs w:val="24"/>
          <w:u w:val="single"/>
        </w:rPr>
        <w:t>other pronoun</w:t>
      </w:r>
      <w:r w:rsidRPr="00842D3D">
        <w:rPr>
          <w:rFonts w:eastAsia="Calibri" w:cs="Times New Roman"/>
          <w:szCs w:val="24"/>
        </w:rPr>
        <w:t>] action[s]. In other words,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have known that something was going to happen but ignored the risk and still exposed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that risk.</w:t>
      </w:r>
    </w:p>
    <w:p w14:paraId="40261FDD" w14:textId="77777777" w:rsidR="00842D3D" w:rsidRPr="00842D3D" w:rsidRDefault="00842D3D" w:rsidP="00842D3D">
      <w:pPr>
        <w:autoSpaceDE w:val="0"/>
        <w:autoSpaceDN w:val="0"/>
        <w:adjustRightInd w:val="0"/>
        <w:rPr>
          <w:rFonts w:eastAsia="Calibri" w:cs="Times New Roman"/>
          <w:szCs w:val="24"/>
        </w:rPr>
      </w:pPr>
    </w:p>
    <w:p w14:paraId="11A14B16"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3CA50BF" w14:textId="77777777" w:rsidR="00842D3D" w:rsidRPr="00842D3D" w:rsidRDefault="00842D3D" w:rsidP="00842D3D">
      <w:pPr>
        <w:autoSpaceDE w:val="0"/>
        <w:autoSpaceDN w:val="0"/>
        <w:adjustRightInd w:val="0"/>
        <w:jc w:val="center"/>
        <w:rPr>
          <w:rFonts w:eastAsia="Calibri" w:cs="Times New Roman"/>
          <w:szCs w:val="24"/>
        </w:rPr>
      </w:pPr>
    </w:p>
    <w:p w14:paraId="3388B3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 from Instructions 9.3-9.8.</w:t>
      </w:r>
    </w:p>
    <w:p w14:paraId="1E631E91" w14:textId="77777777" w:rsidR="00842D3D" w:rsidRPr="00842D3D" w:rsidRDefault="00842D3D" w:rsidP="00842D3D">
      <w:pPr>
        <w:autoSpaceDE w:val="0"/>
        <w:autoSpaceDN w:val="0"/>
        <w:adjustRightInd w:val="0"/>
        <w:rPr>
          <w:rFonts w:eastAsia="Calibri" w:cs="Times New Roman"/>
          <w:szCs w:val="24"/>
        </w:rPr>
      </w:pPr>
    </w:p>
    <w:p w14:paraId="5B98652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 xml:space="preserve">the instructions </w:t>
      </w:r>
      <w:r w:rsidRPr="00842D3D">
        <w:rPr>
          <w:rFonts w:eastAsia="Times New Roman" w:cs="Times New Roman"/>
          <w:szCs w:val="24"/>
        </w:rPr>
        <w:lastRenderedPageBreak/>
        <w:t>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006DB07D" w14:textId="77777777" w:rsidR="00842D3D" w:rsidRPr="00842D3D" w:rsidRDefault="00842D3D" w:rsidP="00842D3D">
      <w:pPr>
        <w:autoSpaceDE w:val="0"/>
        <w:autoSpaceDN w:val="0"/>
        <w:adjustRightInd w:val="0"/>
        <w:rPr>
          <w:rFonts w:eastAsia="Calibri" w:cs="Times New Roman"/>
          <w:szCs w:val="24"/>
        </w:rPr>
      </w:pPr>
    </w:p>
    <w:p w14:paraId="0B184FA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“state may be constitutionally required to protect a plaintiff that it affirmatively places in danger by acting with deliberate indifference to a known or obvious danger.” </w:t>
      </w:r>
      <w:r w:rsidRPr="00842D3D">
        <w:rPr>
          <w:rFonts w:eastAsia="Calibri" w:cs="Times New Roman"/>
          <w:i/>
          <w:szCs w:val="24"/>
        </w:rPr>
        <w:t>Martinez v. City of Clovis</w:t>
      </w:r>
      <w:r w:rsidRPr="00842D3D">
        <w:rPr>
          <w:rFonts w:eastAsia="Calibri" w:cs="Times New Roman"/>
          <w:szCs w:val="24"/>
        </w:rPr>
        <w:t xml:space="preserve">, 943 F.3d 1260, 1271 (9th Cir. 2019) (quotations omitted); </w:t>
      </w:r>
      <w:r w:rsidRPr="00842D3D">
        <w:rPr>
          <w:rFonts w:eastAsia="Calibri" w:cs="Times New Roman"/>
          <w:i/>
        </w:rPr>
        <w:t>see also Est. of Soakai v. Abdelaziz</w:t>
      </w:r>
      <w:r w:rsidRPr="00842D3D">
        <w:rPr>
          <w:rFonts w:eastAsia="Calibri" w:cs="Times New Roman"/>
          <w:iCs/>
        </w:rPr>
        <w:t>, 137 F.4th 969,</w:t>
      </w:r>
      <w:r w:rsidRPr="00842D3D">
        <w:rPr>
          <w:rFonts w:eastAsia="Calibri" w:cs="Times New Roman"/>
          <w:i/>
          <w:iCs/>
        </w:rPr>
        <w:t xml:space="preserve"> </w:t>
      </w:r>
      <w:r w:rsidRPr="00842D3D">
        <w:rPr>
          <w:rFonts w:eastAsia="Calibri" w:cs="Times New Roman"/>
          <w:iCs/>
        </w:rPr>
        <w:t xml:space="preserve">983-85 (9th Cir. 2025) (holding that the plaintiffs plausibly alleged a state-created danger claim where the plaintiffs asserted that the defendants initiated a high speed car chase that led to a crash injuring the bystander plaintiffs and that defendants acted with deliberate indifference to the plaintiffs’ medical conditions because the defendants witnessed the crash and did not stop to render aid nor did they call for help); </w:t>
      </w:r>
      <w:r w:rsidRPr="00842D3D">
        <w:rPr>
          <w:rFonts w:eastAsia="Calibri" w:cs="Times New Roman"/>
          <w:i/>
        </w:rPr>
        <w:t>Martinez</w:t>
      </w:r>
      <w:r w:rsidRPr="00842D3D">
        <w:rPr>
          <w:rFonts w:eastAsia="Calibri" w:cs="Times New Roman"/>
          <w:i/>
          <w:szCs w:val="24"/>
        </w:rPr>
        <w:t xml:space="preserve"> v. High</w:t>
      </w:r>
      <w:r w:rsidRPr="00842D3D">
        <w:rPr>
          <w:rFonts w:eastAsia="Calibri" w:cs="Times New Roman"/>
          <w:szCs w:val="24"/>
        </w:rPr>
        <w:t xml:space="preserve">, 91 F.4th 1022, 1028-29 (9th Cir. 2024) (explaining that an officer acted with deliberate indifference when the police officer disclosed a domestic violence victim’s confidential report of domestic violence to victim’s alleged abuser, who was another police officer, and knew victim was in the room with the abuser and would thus be exposed to his violent reaction, after which the abuser further physically abused the plaintiff); </w:t>
      </w:r>
      <w:r w:rsidRPr="00842D3D">
        <w:rPr>
          <w:rFonts w:eastAsia="Calibri" w:cs="Times New Roman"/>
          <w:i/>
          <w:szCs w:val="24"/>
        </w:rPr>
        <w:t>Polanco v. Diaz</w:t>
      </w:r>
      <w:r w:rsidRPr="00842D3D">
        <w:rPr>
          <w:rFonts w:eastAsia="Calibri" w:cs="Times New Roman"/>
          <w:szCs w:val="24"/>
        </w:rPr>
        <w:t xml:space="preserve">, 76 F.4th 918, 925-29 (9th Cir. 2023) (upholding a claim of state-created danger against prison officials in a case arising from prison guard’s death from COVID-19 complications after 122 ill inmates with COVID-19 were transferred from another prison); </w:t>
      </w:r>
      <w:r w:rsidRPr="00842D3D">
        <w:rPr>
          <w:rFonts w:eastAsia="Calibri" w:cs="Times New Roman"/>
          <w:i/>
          <w:szCs w:val="24"/>
        </w:rPr>
        <w:t>Murguia v. Langdon</w:t>
      </w:r>
      <w:r w:rsidRPr="00842D3D">
        <w:rPr>
          <w:rFonts w:eastAsia="Calibri" w:cs="Times New Roman"/>
          <w:szCs w:val="24"/>
        </w:rPr>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204" w:name="_Hlk173656853"/>
      <w:r w:rsidRPr="00842D3D">
        <w:rPr>
          <w:rFonts w:eastAsia="Calibri" w:cs="Times New Roman"/>
          <w:i/>
          <w:szCs w:val="24"/>
        </w:rPr>
        <w:t>Sinclair v. City of Seattle</w:t>
      </w:r>
      <w:r w:rsidRPr="00842D3D">
        <w:rPr>
          <w:rFonts w:eastAsia="Calibri" w:cs="Times New Roman"/>
          <w:szCs w:val="24"/>
        </w:rPr>
        <w:t xml:space="preserve">, 61 F.4th 674, 682 (9th Cir. 2023) (holding that the danger of uncontrolled </w:t>
      </w:r>
      <w:bookmarkEnd w:id="204"/>
      <w:r w:rsidRPr="00842D3D">
        <w:rPr>
          <w:rFonts w:eastAsia="Calibri" w:cs="Times New Roman"/>
          <w:szCs w:val="24"/>
        </w:rPr>
        <w:t xml:space="preserve">lawlessness created by the city’s decision to withdraw law enforcement from a neighborhood and surrender it to protestors failed to allege that the danger was sufficiently particularized to support a mother’s claim that the city’s actions deprived her of her substantive due process right to son’s companionship); </w:t>
      </w:r>
      <w:r w:rsidRPr="00842D3D">
        <w:rPr>
          <w:rFonts w:eastAsia="Calibri" w:cs="Times New Roman"/>
          <w:i/>
          <w:szCs w:val="24"/>
        </w:rPr>
        <w:t>Hernandez v. City of San Jose</w:t>
      </w:r>
      <w:r w:rsidRPr="00842D3D">
        <w:rPr>
          <w:rFonts w:eastAsia="Calibri" w:cs="Times New Roman"/>
          <w:szCs w:val="24"/>
        </w:rPr>
        <w:t>, 897 F.3d 1125, 1133-35 (9th Cir. 2018) (stating police officers “shepherding” of presidential candidate’s supporters into a crowd of violent counter-protesters increased the danger to the attendees and was in deliberate indifference to that danger).</w:t>
      </w:r>
    </w:p>
    <w:p w14:paraId="3EB57664" w14:textId="77777777" w:rsidR="00842D3D" w:rsidRPr="00842D3D" w:rsidRDefault="00842D3D" w:rsidP="00842D3D">
      <w:pPr>
        <w:autoSpaceDE w:val="0"/>
        <w:autoSpaceDN w:val="0"/>
        <w:adjustRightInd w:val="0"/>
        <w:rPr>
          <w:rFonts w:eastAsia="Calibri" w:cs="Times New Roman"/>
          <w:szCs w:val="24"/>
        </w:rPr>
      </w:pPr>
    </w:p>
    <w:p w14:paraId="528BB7CD" w14:textId="77777777" w:rsidR="00842D3D" w:rsidRPr="00842D3D" w:rsidRDefault="00842D3D" w:rsidP="00842D3D">
      <w:pPr>
        <w:autoSpaceDE w:val="0"/>
        <w:autoSpaceDN w:val="0"/>
        <w:adjustRightInd w:val="0"/>
        <w:rPr>
          <w:rFonts w:eastAsia="Calibri" w:cs="Times New Roman"/>
          <w:strike/>
          <w:szCs w:val="24"/>
        </w:rPr>
      </w:pPr>
    </w:p>
    <w:p w14:paraId="551710FB"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70F36165" w14:textId="2EBADBB5" w:rsidR="00842D3D" w:rsidRPr="00842D3D" w:rsidRDefault="00842D3D" w:rsidP="00FF121D">
      <w:pPr>
        <w:pStyle w:val="Heading2"/>
      </w:pPr>
      <w:r w:rsidRPr="00842D3D">
        <w:br w:type="page"/>
      </w:r>
      <w:bookmarkStart w:id="205" w:name="Qualified_Immunity"/>
      <w:bookmarkStart w:id="206" w:name="_Toc221525205"/>
      <w:r w:rsidRPr="00842D3D">
        <w:lastRenderedPageBreak/>
        <w:t>9.</w:t>
      </w:r>
      <w:r w:rsidR="003A1908">
        <w:t>41</w:t>
      </w:r>
      <w:r w:rsidRPr="00842D3D">
        <w:t xml:space="preserve"> Qualified Immunity</w:t>
      </w:r>
      <w:bookmarkStart w:id="207" w:name="_Hlk89841304"/>
      <w:bookmarkEnd w:id="205"/>
      <w:bookmarkEnd w:id="206"/>
    </w:p>
    <w:p w14:paraId="43EC5554" w14:textId="77777777" w:rsidR="00842D3D" w:rsidRPr="00842D3D" w:rsidRDefault="00842D3D" w:rsidP="00842D3D">
      <w:pPr>
        <w:rPr>
          <w:rFonts w:eastAsia="Calibri" w:cs="Times New Roman"/>
          <w:szCs w:val="24"/>
        </w:rPr>
      </w:pPr>
    </w:p>
    <w:bookmarkEnd w:id="207"/>
    <w:p w14:paraId="5C92583F"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755055D4" w14:textId="77777777" w:rsidR="00842D3D" w:rsidRPr="00842D3D" w:rsidRDefault="00842D3D" w:rsidP="00842D3D">
      <w:pPr>
        <w:autoSpaceDE w:val="0"/>
        <w:autoSpaceDN w:val="0"/>
        <w:adjustRightInd w:val="0"/>
        <w:rPr>
          <w:rFonts w:eastAsia="Calibri" w:cs="Times New Roman"/>
          <w:szCs w:val="24"/>
        </w:rPr>
      </w:pPr>
    </w:p>
    <w:p w14:paraId="25F9AA4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842D3D">
        <w:rPr>
          <w:rFonts w:eastAsia="Calibri" w:cs="Times New Roman"/>
          <w:i/>
          <w:szCs w:val="24"/>
        </w:rPr>
        <w:t>Morales v. Fry</w:t>
      </w:r>
      <w:r w:rsidRPr="00842D3D">
        <w:rPr>
          <w:rFonts w:eastAsia="Calibri" w:cs="Times New Roman"/>
          <w:szCs w:val="24"/>
        </w:rPr>
        <w:t xml:space="preserve">, 873 F.3d 817, 823 (9th Cir. 2017). </w:t>
      </w:r>
    </w:p>
    <w:p w14:paraId="7605BD1B" w14:textId="77777777" w:rsidR="00842D3D" w:rsidRPr="00842D3D" w:rsidRDefault="00842D3D" w:rsidP="00842D3D">
      <w:pPr>
        <w:autoSpaceDE w:val="0"/>
        <w:autoSpaceDN w:val="0"/>
        <w:adjustRightInd w:val="0"/>
        <w:rPr>
          <w:rFonts w:eastAsia="Calibri" w:cs="Times New Roman"/>
          <w:szCs w:val="24"/>
        </w:rPr>
      </w:pPr>
    </w:p>
    <w:p w14:paraId="55349CCF" w14:textId="77777777" w:rsidR="00842D3D" w:rsidRPr="00842D3D" w:rsidRDefault="00842D3D" w:rsidP="00842D3D">
      <w:pPr>
        <w:ind w:firstLine="720"/>
        <w:rPr>
          <w:rFonts w:eastAsia="Calibri" w:cs="Times New Roman"/>
          <w:szCs w:val="24"/>
          <w:shd w:val="clear" w:color="auto" w:fill="FFFFFF"/>
        </w:rPr>
      </w:pPr>
      <w:r w:rsidRPr="00842D3D">
        <w:rPr>
          <w:rFonts w:eastAsia="Calibri" w:cs="Times New Roman"/>
          <w:szCs w:val="24"/>
        </w:rPr>
        <w:t>To guide the trial court and the parties, t</w:t>
      </w:r>
      <w:r w:rsidRPr="00842D3D">
        <w:rPr>
          <w:rFonts w:eastAsia="Calibri" w:cs="Times New Roman"/>
          <w:szCs w:val="24"/>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5E708F88" w14:textId="77777777" w:rsidR="00842D3D" w:rsidRPr="00842D3D" w:rsidRDefault="00842D3D" w:rsidP="00842D3D">
      <w:pPr>
        <w:ind w:firstLine="720"/>
        <w:rPr>
          <w:rFonts w:eastAsia="Calibri" w:cs="Times New Roman"/>
          <w:szCs w:val="24"/>
          <w:shd w:val="clear" w:color="auto" w:fill="FFFFFF"/>
        </w:rPr>
      </w:pPr>
    </w:p>
    <w:p w14:paraId="1F3F488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u w:val="single"/>
        </w:rPr>
        <w:t>Two-Prong Analysis</w:t>
      </w:r>
    </w:p>
    <w:p w14:paraId="59CEEB2A" w14:textId="77777777" w:rsidR="00842D3D" w:rsidRPr="00842D3D" w:rsidRDefault="00842D3D" w:rsidP="00842D3D">
      <w:pPr>
        <w:autoSpaceDE w:val="0"/>
        <w:autoSpaceDN w:val="0"/>
        <w:adjustRightInd w:val="0"/>
        <w:rPr>
          <w:rFonts w:eastAsia="Calibri" w:cs="Times New Roman"/>
          <w:szCs w:val="24"/>
        </w:rPr>
      </w:pPr>
    </w:p>
    <w:p w14:paraId="72208EF5" w14:textId="77777777" w:rsidR="00842D3D" w:rsidRPr="00842D3D" w:rsidRDefault="00842D3D" w:rsidP="00842D3D">
      <w:pPr>
        <w:widowControl w:val="0"/>
        <w:rPr>
          <w:rFonts w:eastAsia="Calibri" w:cs="Times New Roman"/>
          <w:szCs w:val="24"/>
        </w:rPr>
      </w:pPr>
      <w:r w:rsidRPr="00842D3D">
        <w:rPr>
          <w:rFonts w:eastAsia="Calibri" w:cs="Times New Roman"/>
          <w:szCs w:val="24"/>
        </w:rPr>
        <w:tab/>
      </w:r>
      <w:bookmarkStart w:id="208" w:name="_Hlk167365182"/>
      <w:r w:rsidRPr="00842D3D">
        <w:rPr>
          <w:rFonts w:eastAsia="Calibri" w:cs="Times New Roman"/>
          <w:szCs w:val="24"/>
        </w:rPr>
        <w:t xml:space="preserve">The qualified immunity analysis consists of two prongs: whether the defendant’s conduct “(1) violated a constitutional right that (2) was clearly established at the time of the violation.” </w:t>
      </w:r>
      <w:r w:rsidRPr="00842D3D">
        <w:rPr>
          <w:rFonts w:eastAsia="Calibri" w:cs="Times New Roman"/>
          <w:i/>
          <w:iCs/>
          <w:szCs w:val="24"/>
        </w:rPr>
        <w:t>Polanco v. Diaz</w:t>
      </w:r>
      <w:r w:rsidRPr="00842D3D">
        <w:rPr>
          <w:rFonts w:eastAsia="Calibri" w:cs="Times New Roman"/>
          <w:szCs w:val="24"/>
        </w:rPr>
        <w:t xml:space="preserve">, 76 F.4th 918, 925 (9th Cir. 2023); </w:t>
      </w:r>
      <w:r w:rsidRPr="00842D3D">
        <w:rPr>
          <w:rFonts w:eastAsia="Calibri" w:cs="Times New Roman"/>
          <w:i/>
          <w:iCs/>
          <w:szCs w:val="24"/>
        </w:rPr>
        <w:t>Orn v. City of Tacoma</w:t>
      </w:r>
      <w:r w:rsidRPr="00842D3D">
        <w:rPr>
          <w:rFonts w:eastAsia="Calibri" w:cs="Times New Roman"/>
          <w:szCs w:val="24"/>
        </w:rPr>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Pr="00842D3D">
        <w:rPr>
          <w:rFonts w:eastAsia="Calibri" w:cs="Times New Roman"/>
          <w:i/>
          <w:iCs/>
          <w:szCs w:val="24"/>
        </w:rPr>
        <w:t>Pearson v. Callahan</w:t>
      </w:r>
      <w:r w:rsidRPr="00842D3D">
        <w:rPr>
          <w:rFonts w:eastAsia="Calibri" w:cs="Times New Roman"/>
          <w:szCs w:val="24"/>
        </w:rPr>
        <w:t xml:space="preserve">, 555 U.S. 223, 236 (2009); </w:t>
      </w:r>
      <w:r w:rsidRPr="00842D3D">
        <w:rPr>
          <w:rFonts w:eastAsia="Calibri" w:cs="Times New Roman"/>
          <w:i/>
          <w:iCs/>
          <w:szCs w:val="24"/>
        </w:rPr>
        <w:t>Evans v. Skolni</w:t>
      </w:r>
      <w:r w:rsidRPr="00842D3D">
        <w:rPr>
          <w:rFonts w:eastAsia="Calibri" w:cs="Times New Roman"/>
          <w:i/>
          <w:iCs/>
          <w:strike/>
          <w:szCs w:val="24"/>
        </w:rPr>
        <w:t>c</w:t>
      </w:r>
      <w:r w:rsidRPr="00842D3D">
        <w:rPr>
          <w:rFonts w:eastAsia="Calibri" w:cs="Times New Roman"/>
          <w:i/>
          <w:iCs/>
          <w:szCs w:val="24"/>
        </w:rPr>
        <w:t>k</w:t>
      </w:r>
      <w:r w:rsidRPr="00842D3D">
        <w:rPr>
          <w:rFonts w:eastAsia="Calibri" w:cs="Times New Roman"/>
          <w:szCs w:val="24"/>
        </w:rPr>
        <w:t xml:space="preserve">, 997 F.3d 1060, 1064 (9th Cir. 2021) (noting that a court may address the two prong analysis in either order); </w:t>
      </w:r>
      <w:r w:rsidRPr="00842D3D">
        <w:rPr>
          <w:rFonts w:eastAsia="Calibri" w:cs="Times New Roman"/>
          <w:i/>
          <w:iCs/>
          <w:szCs w:val="24"/>
        </w:rPr>
        <w:t>O’Doan v. Sanford</w:t>
      </w:r>
      <w:r w:rsidRPr="00842D3D">
        <w:rPr>
          <w:rFonts w:eastAsia="Calibri" w:cs="Times New Roman"/>
          <w:szCs w:val="24"/>
        </w:rPr>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66195200" w14:textId="77777777" w:rsidR="00842D3D" w:rsidRPr="00842D3D" w:rsidRDefault="00842D3D" w:rsidP="00842D3D">
      <w:pPr>
        <w:widowControl w:val="0"/>
        <w:ind w:firstLine="720"/>
        <w:rPr>
          <w:rFonts w:eastAsia="Calibri" w:cs="Times New Roman"/>
          <w:szCs w:val="24"/>
        </w:rPr>
      </w:pPr>
    </w:p>
    <w:p w14:paraId="746BB3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“Under the first prong [of the qualified immunity inquiry,] we ask whether, ‘[t]aken in the light most favorable to the party asserting the injury, do the facts alleged show the officer’s conduct violated a constitutional right?’” </w:t>
      </w:r>
      <w:r w:rsidRPr="00842D3D">
        <w:rPr>
          <w:rFonts w:eastAsia="Calibri" w:cs="Times New Roman"/>
          <w:i/>
          <w:iCs/>
          <w:szCs w:val="24"/>
        </w:rPr>
        <w:t>Ballentine v. Tucker</w:t>
      </w:r>
      <w:r w:rsidRPr="00842D3D">
        <w:rPr>
          <w:rFonts w:eastAsia="Calibri" w:cs="Times New Roman"/>
          <w:szCs w:val="24"/>
        </w:rPr>
        <w:t xml:space="preserve">, 28 F.4th 54, 61 (9th Cir. 2022); </w:t>
      </w:r>
      <w:r w:rsidRPr="00842D3D">
        <w:rPr>
          <w:rFonts w:eastAsia="Calibri" w:cs="Times New Roman"/>
          <w:i/>
          <w:iCs/>
          <w:szCs w:val="24"/>
        </w:rPr>
        <w:t>Pearson</w:t>
      </w:r>
      <w:r w:rsidRPr="00842D3D">
        <w:rPr>
          <w:rFonts w:eastAsia="Calibri" w:cs="Times New Roman"/>
          <w:szCs w:val="24"/>
        </w:rPr>
        <w:t xml:space="preserve">, 555 U.S. at 236 (noting that analyzing the first then second prong, while not mandatory, “is often beneficial[,]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842D3D">
        <w:rPr>
          <w:rFonts w:eastAsia="Calibri" w:cs="Times New Roman"/>
          <w:i/>
          <w:iCs/>
          <w:szCs w:val="24"/>
        </w:rPr>
        <w:t>See Sandoval v. County of San Diego</w:t>
      </w:r>
      <w:r w:rsidRPr="00842D3D">
        <w:rPr>
          <w:rFonts w:eastAsia="Calibri" w:cs="Times New Roman"/>
          <w:szCs w:val="24"/>
        </w:rPr>
        <w:t xml:space="preserve">, 985 F.3d 657, 678 (9th Cir. 2021) (stating that “when the governing law has changed since the time of the incident, we apply the current law to determine if a constitutional violation took place under the first prong of qualified immunity analysis”); </w:t>
      </w:r>
      <w:r w:rsidRPr="00842D3D">
        <w:rPr>
          <w:rFonts w:eastAsia="Calibri" w:cs="Times New Roman"/>
          <w:i/>
          <w:iCs/>
          <w:szCs w:val="24"/>
        </w:rPr>
        <w:t>see Singh v. City of Phoenix</w:t>
      </w:r>
      <w:r w:rsidRPr="00842D3D">
        <w:rPr>
          <w:rFonts w:eastAsia="Calibri" w:cs="Times New Roman"/>
          <w:szCs w:val="24"/>
        </w:rPr>
        <w:t xml:space="preserve">, 124 F.4th 746 (9th Cir. 2024) (comparing the instant case with key facts from a plaintiff-identified similar case for the </w:t>
      </w:r>
      <w:r w:rsidRPr="00842D3D">
        <w:rPr>
          <w:rFonts w:eastAsia="Calibri" w:cs="Times New Roman"/>
          <w:szCs w:val="24"/>
        </w:rPr>
        <w:lastRenderedPageBreak/>
        <w:t>second step of qualified immunity which purportedly put the defendant officer on notice that the officer’s conduct might violate the Constitution and the instant case).</w:t>
      </w:r>
    </w:p>
    <w:p w14:paraId="62DAA55C" w14:textId="77777777" w:rsidR="00842D3D" w:rsidRPr="00842D3D" w:rsidRDefault="00842D3D" w:rsidP="00842D3D">
      <w:pPr>
        <w:widowControl w:val="0"/>
        <w:ind w:firstLine="720"/>
        <w:rPr>
          <w:rFonts w:eastAsia="Calibri" w:cs="Times New Roman"/>
          <w:szCs w:val="24"/>
        </w:rPr>
      </w:pPr>
    </w:p>
    <w:p w14:paraId="79069CA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the second prong, the Ninth Circuit has explained: “We begin our inquiry into whether this constitutional violation was clearly established by defining the law at issue in a concrete, particularized manner.” </w:t>
      </w:r>
      <w:r w:rsidRPr="00842D3D">
        <w:rPr>
          <w:rFonts w:eastAsia="Calibri" w:cs="Times New Roman"/>
          <w:i/>
          <w:iCs/>
          <w:szCs w:val="24"/>
        </w:rPr>
        <w:t>Shafer v. County of Santa Barbara</w:t>
      </w:r>
      <w:r w:rsidRPr="00842D3D">
        <w:rPr>
          <w:rFonts w:eastAsia="Calibri" w:cs="Times New Roman"/>
          <w:szCs w:val="24"/>
        </w:rPr>
        <w:t xml:space="preserve">, 868 F.3d 1110, 1117-18 (9th Cir. 2017) (stating that the plaintiff bears the burden of showing that the rights allegedly violated were clearly established); </w:t>
      </w:r>
      <w:r w:rsidRPr="00842D3D">
        <w:rPr>
          <w:rFonts w:eastAsia="Calibri" w:cs="Times New Roman"/>
          <w:i/>
          <w:iCs/>
          <w:szCs w:val="24"/>
        </w:rPr>
        <w:t>Gordon v. County of Orange</w:t>
      </w:r>
      <w:r w:rsidRPr="00842D3D">
        <w:rPr>
          <w:rFonts w:eastAsia="Calibri" w:cs="Times New Roman"/>
          <w:szCs w:val="24"/>
        </w:rPr>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842D3D">
        <w:rPr>
          <w:rFonts w:eastAsia="Calibri" w:cs="Times New Roman"/>
          <w:i/>
          <w:iCs/>
          <w:szCs w:val="24"/>
        </w:rPr>
        <w:t>See Ballentine</w:t>
      </w:r>
      <w:r w:rsidRPr="00842D3D">
        <w:rPr>
          <w:rFonts w:eastAsia="Calibri" w:cs="Times New Roman"/>
          <w:szCs w:val="24"/>
        </w:rPr>
        <w:t xml:space="preserve">, 28 F.4th at 64. A case directly on point is not necessary to defeat qualified immunity, but existing case law must have put “every reasonable official” on notice that the conduct was unconstitutional. </w:t>
      </w:r>
      <w:r w:rsidRPr="00842D3D">
        <w:rPr>
          <w:rFonts w:eastAsia="Calibri" w:cs="Times New Roman"/>
          <w:i/>
          <w:iCs/>
          <w:szCs w:val="24"/>
        </w:rPr>
        <w:t>Martinez v. High</w:t>
      </w:r>
      <w:r w:rsidRPr="00842D3D">
        <w:rPr>
          <w:rFonts w:eastAsia="Calibri" w:cs="Times New Roman"/>
          <w:szCs w:val="24"/>
        </w:rPr>
        <w:t xml:space="preserve">, 91 F.4th 1022, 1031 (9th Cir. 2024); </w:t>
      </w:r>
      <w:r w:rsidRPr="00842D3D">
        <w:rPr>
          <w:rFonts w:eastAsia="Calibri" w:cs="Times New Roman"/>
          <w:i/>
          <w:iCs/>
          <w:szCs w:val="24"/>
        </w:rPr>
        <w:t>Ashcroft v. al-Kidd</w:t>
      </w:r>
      <w:r w:rsidRPr="00842D3D">
        <w:rPr>
          <w:rFonts w:eastAsia="Calibri" w:cs="Times New Roman"/>
          <w:szCs w:val="24"/>
        </w:rPr>
        <w:t xml:space="preserve">, 563 U.S. 731, 741 (2011) (stating that a plaintiff need not find “a case directly on point,” but existing precedent must have placed the statutory or constitutional question beyond debate); </w:t>
      </w:r>
      <w:r w:rsidRPr="00842D3D">
        <w:rPr>
          <w:rFonts w:eastAsia="Calibri" w:cs="Times New Roman"/>
          <w:i/>
          <w:iCs/>
          <w:szCs w:val="24"/>
        </w:rPr>
        <w:t>accord Rivas-Villegas v. Cortesluna</w:t>
      </w:r>
      <w:r w:rsidRPr="00842D3D">
        <w:rPr>
          <w:rFonts w:eastAsia="Calibri" w:cs="Times New Roman"/>
          <w:szCs w:val="24"/>
        </w:rPr>
        <w:t xml:space="preserve">, 595 U.S. 1, 5-6 (2021) (per curiam) (“Although this Court’s caselaw does not require a case directly on point for a right to be clearly established, existing precedent must have placed the statutory or constitutional question beyond debate. This inquiry must be undertaken in light of the specific context of the case, not as a broad general proposition.” (internal quotation marks and citations omitted)); </w:t>
      </w:r>
      <w:r w:rsidRPr="00842D3D">
        <w:rPr>
          <w:rFonts w:eastAsia="Calibri" w:cs="Times New Roman"/>
          <w:i/>
          <w:iCs/>
          <w:szCs w:val="24"/>
        </w:rPr>
        <w:t>Sandoval</w:t>
      </w:r>
      <w:r w:rsidRPr="00842D3D">
        <w:rPr>
          <w:rFonts w:eastAsia="Calibri" w:cs="Times New Roman"/>
          <w:szCs w:val="24"/>
        </w:rPr>
        <w:t xml:space="preserve">,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 </w:t>
      </w:r>
    </w:p>
    <w:p w14:paraId="0DB49188" w14:textId="77777777" w:rsidR="00842D3D" w:rsidRPr="00842D3D" w:rsidRDefault="00842D3D" w:rsidP="00842D3D">
      <w:pPr>
        <w:widowControl w:val="0"/>
        <w:ind w:firstLine="720"/>
        <w:rPr>
          <w:rFonts w:eastAsia="Calibri" w:cs="Times New Roman"/>
          <w:szCs w:val="24"/>
        </w:rPr>
      </w:pPr>
    </w:p>
    <w:p w14:paraId="633FC06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deciding which precedents apply, the Ninth Circuit routinely relies “on the intersection of multiple cases when holding that a constitutional right has been clearly established.” </w:t>
      </w:r>
      <w:r w:rsidRPr="00842D3D">
        <w:rPr>
          <w:rFonts w:eastAsia="Calibri" w:cs="Times New Roman"/>
          <w:i/>
          <w:iCs/>
          <w:szCs w:val="24"/>
        </w:rPr>
        <w:t>Polanco</w:t>
      </w:r>
      <w:r w:rsidRPr="00842D3D">
        <w:rPr>
          <w:rFonts w:eastAsia="Calibri" w:cs="Times New Roman"/>
          <w:szCs w:val="24"/>
        </w:rPr>
        <w:t xml:space="preserve">, 76 F.4th at 930 n.8 (“We routinely rely on the intersection of multiple cases when holding that a constitutional right has been clearly established . . . This approach is required by the Supreme Court’s instruction that qualified immunity is improper where ‘a legal principle [has] a sufficiently clear foundation in then-existing precedent.’”) (citations omitted); </w:t>
      </w:r>
      <w:r w:rsidRPr="00842D3D">
        <w:rPr>
          <w:rFonts w:eastAsia="Calibri" w:cs="Times New Roman"/>
          <w:i/>
          <w:iCs/>
          <w:szCs w:val="24"/>
        </w:rPr>
        <w:t>see also Russell v. Lumitap</w:t>
      </w:r>
      <w:r w:rsidRPr="00842D3D">
        <w:rPr>
          <w:rFonts w:eastAsia="Calibri" w:cs="Times New Roman"/>
          <w:szCs w:val="24"/>
        </w:rPr>
        <w:t xml:space="preserve">, 31 F.4th 729, 737 (9th Cir. 2022) (“The precedent must be ‘controlling’—from the Ninth Circuit or the Supreme Court—or otherwise be embraced by a ‘consensus’ of courts outside the relevant jurisdiction.”); </w:t>
      </w:r>
      <w:r w:rsidRPr="00842D3D">
        <w:rPr>
          <w:rFonts w:eastAsia="Calibri" w:cs="Times New Roman"/>
          <w:i/>
          <w:iCs/>
          <w:szCs w:val="24"/>
        </w:rPr>
        <w:t xml:space="preserve">accord Martinez, </w:t>
      </w:r>
      <w:r w:rsidRPr="00842D3D">
        <w:rPr>
          <w:rFonts w:eastAsia="Calibri" w:cs="Times New Roman"/>
          <w:szCs w:val="24"/>
        </w:rPr>
        <w:t xml:space="preserve">91 F.4th at 1031 (“existing case law must be ‘controlling law’—from the Ninth Circuit, the Supreme Court, or from a consensus of courts outside the relevant jurisdiction.”). “Because the focus is on whether the officer had fair notice that her conduct was unlawful, reasonableness is judged against the backdrop of the law at the time of the conduct.” </w:t>
      </w:r>
      <w:r w:rsidRPr="00842D3D">
        <w:rPr>
          <w:rFonts w:eastAsia="Calibri" w:cs="Times New Roman"/>
          <w:i/>
          <w:iCs/>
          <w:szCs w:val="24"/>
        </w:rPr>
        <w:t>Scanlon v. County of Los Angeles</w:t>
      </w:r>
      <w:r w:rsidRPr="00842D3D">
        <w:rPr>
          <w:rFonts w:eastAsia="Calibri" w:cs="Times New Roman"/>
          <w:szCs w:val="24"/>
        </w:rPr>
        <w:t xml:space="preserve">, 92 F.4th 781, 809 (9th Cir. 2024) (quoting </w:t>
      </w:r>
      <w:r w:rsidRPr="00842D3D">
        <w:rPr>
          <w:rFonts w:eastAsia="Calibri" w:cs="Times New Roman"/>
          <w:i/>
          <w:iCs/>
          <w:szCs w:val="24"/>
        </w:rPr>
        <w:t>Brosseau v. Haugen</w:t>
      </w:r>
      <w:r w:rsidRPr="00842D3D">
        <w:rPr>
          <w:rFonts w:eastAsia="Calibri" w:cs="Times New Roman"/>
          <w:szCs w:val="24"/>
        </w:rPr>
        <w:t xml:space="preserve">, 543 U.S. 194, 198 (2004) (per curiam)). Only the judge can decide whether a particular constitutional right was “clearly established” once any factual issues are resolved by a fact finder. </w:t>
      </w:r>
      <w:r w:rsidRPr="00842D3D">
        <w:rPr>
          <w:rFonts w:eastAsia="Calibri" w:cs="Times New Roman"/>
          <w:i/>
          <w:iCs/>
          <w:szCs w:val="24"/>
        </w:rPr>
        <w:t>See Morales</w:t>
      </w:r>
      <w:r w:rsidRPr="00842D3D">
        <w:rPr>
          <w:rFonts w:eastAsia="Calibri" w:cs="Times New Roman"/>
          <w:szCs w:val="24"/>
        </w:rPr>
        <w:t xml:space="preserve">, 873 F.3d at 823. </w:t>
      </w:r>
    </w:p>
    <w:p w14:paraId="1FC44F5D" w14:textId="77777777" w:rsidR="00842D3D" w:rsidRPr="00842D3D" w:rsidRDefault="00842D3D" w:rsidP="00842D3D">
      <w:pPr>
        <w:widowControl w:val="0"/>
        <w:rPr>
          <w:rFonts w:eastAsia="Calibri" w:cs="Times New Roman"/>
          <w:szCs w:val="24"/>
        </w:rPr>
      </w:pPr>
    </w:p>
    <w:p w14:paraId="49255B81"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as a Matter of Law </w:t>
      </w:r>
    </w:p>
    <w:p w14:paraId="393450F6" w14:textId="77777777" w:rsidR="00842D3D" w:rsidRPr="00842D3D" w:rsidRDefault="00842D3D" w:rsidP="00842D3D">
      <w:pPr>
        <w:widowControl w:val="0"/>
        <w:ind w:firstLine="720"/>
        <w:rPr>
          <w:rFonts w:eastAsia="Calibri" w:cs="Times New Roman"/>
          <w:szCs w:val="24"/>
        </w:rPr>
      </w:pPr>
    </w:p>
    <w:p w14:paraId="2712B2D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 xml:space="preserve">A defendant is entitled to qualified immunity as a matter of law only if, taking the facts in the light most favorable to the nonmoving party, he or she did not violate any clearly established constitutional right. </w:t>
      </w:r>
      <w:r w:rsidRPr="00842D3D">
        <w:rPr>
          <w:rFonts w:eastAsia="Calibri" w:cs="Times New Roman"/>
          <w:i/>
          <w:iCs/>
          <w:szCs w:val="24"/>
        </w:rPr>
        <w:t>Torres v. City of Los Angeles</w:t>
      </w:r>
      <w:r w:rsidRPr="00842D3D">
        <w:rPr>
          <w:rFonts w:eastAsia="Calibri" w:cs="Times New Roman"/>
          <w:szCs w:val="24"/>
        </w:rPr>
        <w:t xml:space="preserve">, 548 F.3d 1197, 1210 (9th Cir. 2008). If reasonable jurors could believe that the defendant violated the plaintiff’s constitutional right, and the right at issue was clearly established, the case should proceed to trial.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LaLonde v. County of Riverside</w:t>
      </w:r>
      <w:r w:rsidRPr="00842D3D">
        <w:rPr>
          <w:rFonts w:eastAsia="Calibri" w:cs="Times New Roman"/>
          <w:szCs w:val="24"/>
        </w:rPr>
        <w:t xml:space="preserve">, 204 F.3d 947, 953 (9th Cir. 2000) (“If . . . there is a material dispute as to the facts regarding what the officer or the plaintiff actually did, the case must proceed to trial, before a jury if requested.”). “Though we may excuse the reasonable officer for . . . a mistake, it sometimes proves necessary for a jury to determine first whether the mistake, was, in fact, reasonable.” </w:t>
      </w:r>
      <w:r w:rsidRPr="00842D3D">
        <w:rPr>
          <w:rFonts w:eastAsia="Calibri" w:cs="Times New Roman"/>
          <w:i/>
          <w:iCs/>
          <w:szCs w:val="24"/>
        </w:rPr>
        <w:t>Johnson v. Bay Area Rapid Transit Dist.</w:t>
      </w:r>
      <w:r w:rsidRPr="00842D3D">
        <w:rPr>
          <w:rFonts w:eastAsia="Calibri" w:cs="Times New Roman"/>
          <w:szCs w:val="24"/>
        </w:rPr>
        <w:t xml:space="preserve">, 724 F.3d 1159, 1168 (9th Cir. 2013) (citations omitted). </w:t>
      </w:r>
    </w:p>
    <w:p w14:paraId="1363311B" w14:textId="77777777" w:rsidR="00842D3D" w:rsidRPr="00842D3D" w:rsidRDefault="00842D3D" w:rsidP="00842D3D">
      <w:pPr>
        <w:widowControl w:val="0"/>
        <w:ind w:firstLine="720"/>
        <w:rPr>
          <w:rFonts w:eastAsia="Calibri" w:cs="Times New Roman"/>
          <w:szCs w:val="24"/>
        </w:rPr>
      </w:pPr>
    </w:p>
    <w:p w14:paraId="5F5F943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decided numerous cases of “clearly established” law. Limited examples of “clearly established” law follow. The Committee suggests review of the Ninth Circuit’s website for a more robust accumulation of case authorities. </w:t>
      </w:r>
      <w:r w:rsidRPr="00842D3D">
        <w:rPr>
          <w:rFonts w:eastAsia="Calibri" w:cs="Times New Roman"/>
          <w:i/>
          <w:iCs/>
          <w:szCs w:val="24"/>
        </w:rPr>
        <w:t xml:space="preserve">See </w:t>
      </w:r>
      <w:r w:rsidRPr="00842D3D">
        <w:rPr>
          <w:rFonts w:eastAsia="Calibri" w:cs="Times New Roman"/>
          <w:szCs w:val="24"/>
        </w:rPr>
        <w:t>Ninth Circuit Section 1983 Outline ((</w:t>
      </w:r>
      <w:hyperlink r:id="rId17" w:history="1">
        <w:r w:rsidRPr="00842D3D">
          <w:rPr>
            <w:rFonts w:eastAsia="Calibri" w:cs="Times New Roman"/>
            <w:color w:val="467886"/>
            <w:szCs w:val="24"/>
            <w:u w:val="single"/>
          </w:rPr>
          <w:t>https://www.ca9.uscourts.gov/guides/section-1983-outline/</w:t>
        </w:r>
      </w:hyperlink>
      <w:r w:rsidRPr="00842D3D">
        <w:rPr>
          <w:rFonts w:eastAsia="Calibri" w:cs="Times New Roman"/>
          <w:szCs w:val="24"/>
        </w:rPr>
        <w:t xml:space="preserve"> or </w:t>
      </w:r>
      <w:hyperlink r:id="rId18" w:history="1">
        <w:r w:rsidRPr="00842D3D">
          <w:rPr>
            <w:rFonts w:eastAsia="Calibri" w:cs="Times New Roman"/>
            <w:color w:val="467886"/>
            <w:szCs w:val="24"/>
            <w:u w:val="single"/>
          </w:rPr>
          <w:t>https://perma.cc/GHB2-93XS</w:t>
        </w:r>
      </w:hyperlink>
      <w:r w:rsidRPr="00842D3D">
        <w:rPr>
          <w:rFonts w:eastAsia="Calibri" w:cs="Times New Roman"/>
          <w:szCs w:val="24"/>
        </w:rPr>
        <w:t>).</w:t>
      </w:r>
    </w:p>
    <w:p w14:paraId="70C6507B" w14:textId="77777777" w:rsidR="00842D3D" w:rsidRPr="00842D3D" w:rsidRDefault="00842D3D" w:rsidP="00842D3D">
      <w:pPr>
        <w:widowControl w:val="0"/>
        <w:ind w:firstLine="720"/>
        <w:rPr>
          <w:rFonts w:eastAsia="Calibri" w:cs="Times New Roman"/>
          <w:szCs w:val="24"/>
        </w:rPr>
      </w:pPr>
    </w:p>
    <w:p w14:paraId="030A6F9B"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1.</w:t>
      </w:r>
      <w:r w:rsidRPr="00842D3D">
        <w:rPr>
          <w:rFonts w:eastAsia="Calibri" w:cs="Times New Roman"/>
          <w:szCs w:val="24"/>
        </w:rPr>
        <w:tab/>
      </w:r>
      <w:r w:rsidRPr="00842D3D">
        <w:rPr>
          <w:rFonts w:eastAsia="Calibri" w:cs="Times New Roman"/>
          <w:i/>
          <w:iCs/>
          <w:szCs w:val="24"/>
        </w:rPr>
        <w:t xml:space="preserve">Excessive Force </w:t>
      </w:r>
    </w:p>
    <w:p w14:paraId="42683698" w14:textId="77777777" w:rsidR="00842D3D" w:rsidRPr="00842D3D" w:rsidRDefault="00842D3D" w:rsidP="00842D3D">
      <w:pPr>
        <w:widowControl w:val="0"/>
        <w:ind w:firstLine="720"/>
        <w:rPr>
          <w:rFonts w:eastAsia="Calibri" w:cs="Times New Roman"/>
          <w:szCs w:val="24"/>
        </w:rPr>
      </w:pPr>
    </w:p>
    <w:p w14:paraId="330342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Rice v. Morehouse</w:t>
      </w:r>
      <w:r w:rsidRPr="00842D3D">
        <w:rPr>
          <w:rFonts w:eastAsia="Calibri" w:cs="Times New Roman"/>
          <w:szCs w:val="24"/>
        </w:rPr>
        <w:t xml:space="preserve">, the Ninth Circuit reiterated that, for purposes of clearly established law, “we clearly established one’s ‘right to be free from the application of non-trivial force for engaging in mere passive resistance.’” 989 F.3d 1112, 1125 (9th Cir. 2021) (quoting </w:t>
      </w:r>
      <w:r w:rsidRPr="00842D3D">
        <w:rPr>
          <w:rFonts w:eastAsia="Calibri" w:cs="Times New Roman"/>
          <w:i/>
          <w:iCs/>
          <w:szCs w:val="24"/>
        </w:rPr>
        <w:t>Gravelet-Blondin v. Shelton</w:t>
      </w:r>
      <w:r w:rsidRPr="00842D3D">
        <w:rPr>
          <w:rFonts w:eastAsia="Calibri" w:cs="Times New Roman"/>
          <w:szCs w:val="24"/>
        </w:rPr>
        <w:t xml:space="preserve">, 728 F.3d 1086, 1093 (9th Cir. 2013)) (citing </w:t>
      </w:r>
      <w:r w:rsidRPr="00842D3D">
        <w:rPr>
          <w:rFonts w:eastAsia="Calibri" w:cs="Times New Roman"/>
          <w:i/>
          <w:iCs/>
          <w:szCs w:val="24"/>
        </w:rPr>
        <w:t>Nelson v. City of Davis</w:t>
      </w:r>
      <w:r w:rsidRPr="00842D3D">
        <w:rPr>
          <w:rFonts w:eastAsia="Calibri" w:cs="Times New Roman"/>
          <w:szCs w:val="24"/>
        </w:rPr>
        <w:t xml:space="preserve">, 685 F.3d 867, 881 (9th Cir. 2012) (explaining that cases dating back to 2001 established that “a failure to fully or immediately comply with an officer’s orders neither rises to the level of active resistance nor justifies the application of a non-trivial amount of force”); </w:t>
      </w:r>
      <w:r w:rsidRPr="00842D3D">
        <w:rPr>
          <w:rFonts w:eastAsia="Calibri" w:cs="Times New Roman"/>
          <w:i/>
          <w:iCs/>
          <w:szCs w:val="24"/>
        </w:rPr>
        <w:t>Sanderlin v. Dwyer</w:t>
      </w:r>
      <w:r w:rsidRPr="00842D3D">
        <w:rPr>
          <w:rFonts w:eastAsia="Calibri" w:cs="Times New Roman"/>
          <w:szCs w:val="24"/>
        </w:rPr>
        <w:t xml:space="preserve">, 116 F.4th 905, 915-17 (9th Cir. 2024) (holding that, under </w:t>
      </w:r>
      <w:r w:rsidRPr="00842D3D">
        <w:rPr>
          <w:rFonts w:eastAsia="Calibri" w:cs="Times New Roman"/>
          <w:i/>
          <w:iCs/>
          <w:szCs w:val="24"/>
        </w:rPr>
        <w:t>Nelson v. City of Davis</w:t>
      </w:r>
      <w:r w:rsidRPr="00842D3D">
        <w:rPr>
          <w:rFonts w:eastAsia="Calibri" w:cs="Times New Roman"/>
          <w:szCs w:val="24"/>
        </w:rPr>
        <w:t>, it was clearly established that an officer’s use of a foam projectile on protestor who was standing in front of the officer holding a sign above his head and who did not move when ordered to stand aside constituted excessive force).</w:t>
      </w:r>
    </w:p>
    <w:p w14:paraId="1F12A591" w14:textId="77777777" w:rsidR="00842D3D" w:rsidRPr="00842D3D" w:rsidRDefault="00842D3D" w:rsidP="00842D3D">
      <w:pPr>
        <w:widowControl w:val="0"/>
        <w:ind w:firstLine="720"/>
        <w:rPr>
          <w:rFonts w:eastAsia="Calibri" w:cs="Times New Roman"/>
          <w:szCs w:val="24"/>
        </w:rPr>
      </w:pPr>
    </w:p>
    <w:p w14:paraId="493A45AD" w14:textId="77777777" w:rsidR="000A16ED" w:rsidRDefault="000A16ED" w:rsidP="000A16ED">
      <w:pPr>
        <w:widowControl w:val="0"/>
        <w:ind w:firstLine="720"/>
        <w:rPr>
          <w:rFonts w:eastAsia="Calibri" w:cs="Times New Roman"/>
        </w:rPr>
      </w:pPr>
      <w:r w:rsidRPr="00842D3D">
        <w:rPr>
          <w:rFonts w:eastAsia="Calibri" w:cs="Times New Roman"/>
        </w:rPr>
        <w:t xml:space="preserve">It is clearly established that officers cannot use intermediate force when a suspect is restrained, has stopped resisting, and does not pose a threat. </w:t>
      </w:r>
      <w:r w:rsidRPr="00427862">
        <w:rPr>
          <w:rFonts w:eastAsia="Calibri" w:cs="Times New Roman"/>
          <w:i/>
          <w:iCs/>
        </w:rPr>
        <w:t>See</w:t>
      </w:r>
      <w:r w:rsidRPr="00427862">
        <w:t xml:space="preserve"> </w:t>
      </w:r>
      <w:r w:rsidRPr="00427862">
        <w:rPr>
          <w:rFonts w:eastAsia="Calibri" w:cs="Times New Roman"/>
          <w:i/>
          <w:iCs/>
        </w:rPr>
        <w:t>Gonzalez v. City of Phoenix</w:t>
      </w:r>
      <w:r w:rsidRPr="00427862">
        <w:rPr>
          <w:rFonts w:eastAsia="Calibri" w:cs="Times New Roman"/>
        </w:rPr>
        <w:t>, 163 F.4th 1289 (9th Cir. 2026) (holding that placing pressure on a prone, “hog-tied” person who was suspected of drug use, after physical exertion when temperature was 101 degrees constituted excessive force)</w:t>
      </w:r>
      <w:r>
        <w:rPr>
          <w:rFonts w:eastAsia="Calibri" w:cs="Times New Roman"/>
        </w:rPr>
        <w:t xml:space="preserve">.  </w:t>
      </w:r>
      <w:r w:rsidRPr="002251CF">
        <w:rPr>
          <w:rFonts w:eastAsia="Calibri" w:cs="Times New Roman"/>
          <w:i/>
          <w:iCs/>
        </w:rPr>
        <w:t>See also</w:t>
      </w:r>
      <w:r w:rsidRPr="00842D3D">
        <w:rPr>
          <w:rFonts w:eastAsia="Calibri" w:cs="Times New Roman"/>
        </w:rPr>
        <w:t xml:space="preserve"> </w:t>
      </w:r>
      <w:r w:rsidRPr="00842D3D">
        <w:rPr>
          <w:rFonts w:eastAsia="Calibri" w:cs="Times New Roman"/>
          <w:i/>
          <w:iCs/>
        </w:rPr>
        <w:t>Tuuamalemalo v. Greene</w:t>
      </w:r>
      <w:r w:rsidRPr="00842D3D">
        <w:rPr>
          <w:rFonts w:eastAsia="Calibri" w:cs="Times New Roman"/>
        </w:rPr>
        <w:t xml:space="preserve">, 946 F.3d 471, 477 (9th Cir. 2019) (per curiam) (“[I]t was clearly established that the use of a chokehold on a non-resisting, restrained person violates the Fourth Amendment’s prohibition on the use of excessive force.”); </w:t>
      </w:r>
      <w:r w:rsidRPr="00842D3D">
        <w:rPr>
          <w:rFonts w:eastAsia="Calibri" w:cs="Times New Roman"/>
          <w:i/>
          <w:iCs/>
        </w:rPr>
        <w:t>Rosenbaum v. City of San Jose</w:t>
      </w:r>
      <w:r w:rsidRPr="00842D3D">
        <w:rPr>
          <w:rFonts w:eastAsia="Calibri" w:cs="Times New Roman"/>
        </w:rPr>
        <w:t>, 107 F.4th 919, 926 (9th Cir. 2024) (stating that it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 officers had immobilized his arms and legs and were pointing their firearm at him);</w:t>
      </w:r>
      <w:r w:rsidRPr="00842D3D">
        <w:rPr>
          <w:rFonts w:eastAsia="Calibri" w:cs="Times New Roman"/>
          <w:i/>
          <w:iCs/>
        </w:rPr>
        <w:t xml:space="preserve"> Drummond ex rel. </w:t>
      </w:r>
      <w:r w:rsidRPr="00842D3D">
        <w:rPr>
          <w:rFonts w:eastAsia="Calibri" w:cs="Times New Roman"/>
          <w:i/>
          <w:iCs/>
        </w:rPr>
        <w:lastRenderedPageBreak/>
        <w:t>Drummond v. City of Anaheim</w:t>
      </w:r>
      <w:r w:rsidRPr="00842D3D">
        <w:rPr>
          <w:rFonts w:eastAsia="Calibri" w:cs="Times New Roman"/>
        </w:rPr>
        <w:t xml:space="preserve">, 343 F.3d 1052, 1056-57 (9th Cir. 2003) (holding that police officers’ alleged act of continuing to press their weight onto mentally ill detainee’s neck and torso as he lay handcuffed on ground and begged for air constituted use of excessive force under the circumstances); </w:t>
      </w:r>
      <w:r w:rsidRPr="00842D3D">
        <w:rPr>
          <w:rFonts w:eastAsia="Calibri" w:cs="Times New Roman"/>
          <w:i/>
          <w:iCs/>
        </w:rPr>
        <w:t>Spencer v. Pew</w:t>
      </w:r>
      <w:r w:rsidRPr="00842D3D">
        <w:rPr>
          <w:rFonts w:eastAsia="Calibri" w:cs="Times New Roman"/>
        </w:rPr>
        <w:t xml:space="preserve">, 117 F.4th 1130, 1143-44 (9th Cir. 2024) (holding that </w:t>
      </w:r>
      <w:r w:rsidRPr="00842D3D">
        <w:rPr>
          <w:rFonts w:eastAsia="Calibri" w:cs="Times New Roman"/>
          <w:i/>
          <w:iCs/>
        </w:rPr>
        <w:t xml:space="preserve">Drummond </w:t>
      </w:r>
      <w:r w:rsidRPr="00842D3D">
        <w:rPr>
          <w:rFonts w:eastAsia="Calibri" w:cs="Times New Roman"/>
        </w:rPr>
        <w:t xml:space="preserve">was “sufficiently materially similar to this case to provide adequate notice to [the defendant] that his post-handcuffing compression of [plaintiff’s] back and neck with his knee was excessive”); </w:t>
      </w:r>
      <w:r w:rsidRPr="00842D3D">
        <w:rPr>
          <w:rFonts w:eastAsia="Calibri" w:cs="Times New Roman"/>
          <w:i/>
          <w:iCs/>
        </w:rPr>
        <w:t>compare Perez v. City of Fresno</w:t>
      </w:r>
      <w:r w:rsidRPr="00842D3D">
        <w:rPr>
          <w:rFonts w:eastAsia="Calibri" w:cs="Times New Roman"/>
        </w:rPr>
        <w:t xml:space="preserve">, 98 F.4th 919, 926 (9th Cir. 2024) (“Given the specific context of this case, we cannot conclude that </w:t>
      </w:r>
      <w:r w:rsidRPr="00842D3D">
        <w:rPr>
          <w:rFonts w:eastAsia="Calibri" w:cs="Times New Roman"/>
          <w:i/>
          <w:iCs/>
        </w:rPr>
        <w:t xml:space="preserve">Drummond </w:t>
      </w:r>
      <w:r w:rsidRPr="00842D3D">
        <w:rPr>
          <w:rFonts w:eastAsia="Calibri" w:cs="Times New Roman"/>
        </w:rPr>
        <w:t xml:space="preserve">put the officers on fair notice that their actions—pressing on a backboard on top of a prone individual being restrained for medical transport, at the direction of a paramedic working to provide medical care—was unlawful.”). </w:t>
      </w:r>
    </w:p>
    <w:p w14:paraId="5820A40B" w14:textId="77777777" w:rsidR="00842D3D" w:rsidRPr="00842D3D" w:rsidRDefault="00842D3D" w:rsidP="00842D3D">
      <w:pPr>
        <w:widowControl w:val="0"/>
        <w:ind w:firstLine="720"/>
        <w:rPr>
          <w:rFonts w:eastAsia="Calibri" w:cs="Times New Roman"/>
        </w:rPr>
      </w:pPr>
    </w:p>
    <w:p w14:paraId="77422E0F"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842D3D">
        <w:rPr>
          <w:rFonts w:eastAsia="Calibri" w:cs="Times New Roman"/>
          <w:i/>
          <w:iCs/>
        </w:rPr>
        <w:t>Nicholson v. City of Los Angeles</w:t>
      </w:r>
      <w:r w:rsidRPr="00842D3D">
        <w:rPr>
          <w:rFonts w:eastAsia="Calibri" w:cs="Times New Roman"/>
        </w:rPr>
        <w:t xml:space="preserve">, 935 F.3d 685, 691 (9th Cir. 2019). </w:t>
      </w:r>
    </w:p>
    <w:p w14:paraId="40EDDD26" w14:textId="77777777" w:rsidR="00842D3D" w:rsidRPr="00842D3D" w:rsidRDefault="00842D3D" w:rsidP="00842D3D">
      <w:pPr>
        <w:widowControl w:val="0"/>
        <w:ind w:firstLine="720"/>
        <w:rPr>
          <w:rFonts w:eastAsia="Calibri" w:cs="Times New Roman"/>
        </w:rPr>
      </w:pPr>
    </w:p>
    <w:p w14:paraId="0049E3A2"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In </w:t>
      </w:r>
      <w:r w:rsidRPr="00842D3D">
        <w:rPr>
          <w:rFonts w:eastAsia="Calibri" w:cs="Times New Roman"/>
          <w:i/>
          <w:iCs/>
        </w:rPr>
        <w:t>Hyer v. City and County of Honolulu</w:t>
      </w:r>
      <w:r w:rsidRPr="00842D3D">
        <w:rPr>
          <w:rFonts w:eastAsia="Calibri" w:cs="Times New Roman"/>
        </w:rPr>
        <w:t>, the Ninth Circuit analyzed a situation where police officers used both intermediate and deadly force during their encounter with a suspect.  The Ninth Circuit held that that the suspect’s right to be free from the use of deadly force as long as he was not directly threatening a police officer with a weapon was clearly established at the time of the decedent’s death in June 2018. And the suspect’s right to be free from the use of chemical munitions as long as he was suspected of a minor crime, posed no threat to officers or others, and was engaged in only passive resistance was also clearly established at that time. But the individual’s right to be free from the use of a police dog under the circumstances was not then clearly established. 118 F.4th 1044, 1067-70 (9th Cir. 2024).</w:t>
      </w:r>
    </w:p>
    <w:p w14:paraId="2DAE75C0" w14:textId="77777777" w:rsidR="00842D3D" w:rsidRPr="00842D3D" w:rsidRDefault="00842D3D" w:rsidP="00842D3D">
      <w:pPr>
        <w:widowControl w:val="0"/>
        <w:ind w:firstLine="720"/>
        <w:rPr>
          <w:rFonts w:eastAsia="Calibri" w:cs="Times New Roman"/>
        </w:rPr>
      </w:pPr>
    </w:p>
    <w:p w14:paraId="18E80D9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Regarding the use of deadly force, it was clearly established that the use of deadly force against a man who was walking down the street carrying gun in his waistband, posing no immediate threat, and failing to comply with conflicting commands violated the Fourth Amendment. </w:t>
      </w:r>
      <w:r w:rsidRPr="00842D3D">
        <w:rPr>
          <w:rFonts w:eastAsia="Calibri" w:cs="Times New Roman"/>
          <w:i/>
          <w:iCs/>
        </w:rPr>
        <w:t>Calonge v. City of San Jose</w:t>
      </w:r>
      <w:r w:rsidRPr="00842D3D">
        <w:rPr>
          <w:rFonts w:eastAsia="Calibri" w:cs="Times New Roman"/>
        </w:rPr>
        <w:t xml:space="preserve">, 104 F.4th 39, 48 (9th Cir. 2024) (“When a man is walking down the street carrying a gun in his waistband, posing no immediate threat, police officers may not shout conflicting commands at him and then kill him.”) </w:t>
      </w:r>
      <w:r w:rsidRPr="00842D3D">
        <w:rPr>
          <w:rFonts w:eastAsia="Calibri" w:cs="Times New Roman"/>
          <w:i/>
          <w:iCs/>
        </w:rPr>
        <w:t>Scott v. Smith</w:t>
      </w:r>
      <w:r w:rsidRPr="00842D3D">
        <w:rPr>
          <w:rFonts w:eastAsia="Calibri" w:cs="Times New Roman"/>
        </w:rPr>
        <w:t xml:space="preserve">, 109 F.4th 1215, 1226 (9th Cir. 2024) (stating that it was clearly established that bodyweight force on the back of a prone, unarmed person suffering a mental health crisis, who is not suspected of a crime and that resulted in the person’s death is constitutionally excessive); </w:t>
      </w:r>
      <w:r w:rsidRPr="00842D3D">
        <w:rPr>
          <w:rFonts w:eastAsia="Calibri" w:cs="Times New Roman"/>
          <w:i/>
          <w:iCs/>
        </w:rPr>
        <w:t>Est. of Hernandez v. City of Los Angeles</w:t>
      </w:r>
      <w:r w:rsidRPr="00842D3D">
        <w:rPr>
          <w:rFonts w:eastAsia="Calibri" w:cs="Times New Roman"/>
        </w:rPr>
        <w:t>, 139 F.4th 790, 795 (9th Cir. 2025) (“It has been clearly established for more than a decade that when an officer shoots and wounds a suspect, and he falls to the ground, the officer cannot continue to shoot him, absent some indication that he presents a continuing threat, without first reassessing the need for lethal force.”).</w:t>
      </w:r>
    </w:p>
    <w:p w14:paraId="195D01C4" w14:textId="77777777" w:rsidR="00842D3D" w:rsidRPr="00842D3D" w:rsidRDefault="00842D3D" w:rsidP="00842D3D">
      <w:pPr>
        <w:widowControl w:val="0"/>
        <w:ind w:firstLine="720"/>
        <w:rPr>
          <w:rFonts w:eastAsia="Calibri" w:cs="Times New Roman"/>
          <w:szCs w:val="24"/>
        </w:rPr>
      </w:pPr>
    </w:p>
    <w:p w14:paraId="20197560"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2.</w:t>
      </w:r>
      <w:r w:rsidRPr="00842D3D">
        <w:rPr>
          <w:rFonts w:eastAsia="Calibri" w:cs="Times New Roman"/>
          <w:szCs w:val="24"/>
        </w:rPr>
        <w:tab/>
      </w:r>
      <w:r w:rsidRPr="00842D3D">
        <w:rPr>
          <w:rFonts w:eastAsia="Calibri" w:cs="Times New Roman"/>
          <w:i/>
          <w:iCs/>
          <w:szCs w:val="24"/>
        </w:rPr>
        <w:t xml:space="preserve">First Amendment </w:t>
      </w:r>
    </w:p>
    <w:p w14:paraId="0BB8AE0F" w14:textId="77777777" w:rsidR="00842D3D" w:rsidRPr="00842D3D" w:rsidRDefault="00842D3D" w:rsidP="00842D3D">
      <w:pPr>
        <w:widowControl w:val="0"/>
        <w:ind w:firstLine="720"/>
        <w:rPr>
          <w:rFonts w:eastAsia="Calibri" w:cs="Times New Roman"/>
          <w:szCs w:val="24"/>
        </w:rPr>
      </w:pPr>
    </w:p>
    <w:p w14:paraId="46FA22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 xml:space="preserve">It is clearly established that the First Amendment protects a person’s right to record or attempt to record police when the person is in a place where the person is permitted to be, is unarmed, and is not a suspect. </w:t>
      </w:r>
      <w:r w:rsidRPr="00842D3D">
        <w:rPr>
          <w:rFonts w:eastAsia="Calibri" w:cs="Times New Roman"/>
          <w:i/>
          <w:iCs/>
          <w:szCs w:val="24"/>
        </w:rPr>
        <w:t>See Bernal v. Sacramento Cnty. Sheriff’s Dep’t</w:t>
      </w:r>
      <w:r w:rsidRPr="00842D3D">
        <w:rPr>
          <w:rFonts w:eastAsia="Calibri" w:cs="Times New Roman"/>
          <w:szCs w:val="24"/>
        </w:rPr>
        <w:t xml:space="preserve">, 73 F.4th 678, 698-99 (9th Cir. 2023) (holding that qualified immunity did not shield law enforcement officers who forcibly restrained the unarmed, non-suspect plaintiff after he yelled at and filmed the officers in his front yard). “It was clearly established at the time of Defendants’ conduct that the First Amendment prohibits public officials from threatening to remove a child from an individual’s custody to chill protected speech out of retaliatory animus for such speech.” </w:t>
      </w:r>
      <w:r w:rsidRPr="00842D3D">
        <w:rPr>
          <w:rFonts w:eastAsia="Calibri" w:cs="Times New Roman"/>
          <w:i/>
          <w:iCs/>
          <w:szCs w:val="24"/>
        </w:rPr>
        <w:t>Sampson v. County of Los Angeles</w:t>
      </w:r>
      <w:r w:rsidRPr="00842D3D">
        <w:rPr>
          <w:rFonts w:eastAsia="Calibri" w:cs="Times New Roman"/>
          <w:szCs w:val="24"/>
        </w:rPr>
        <w:t>, 974 F.3d 1012, 1020 (9th Cir. 2020). For a discussion of when a law enforcement officer may rely on a policy, an ordinance, or a permit scheme underlying the officer’s challenged actions that is not itself challenged, see</w:t>
      </w:r>
      <w:r w:rsidRPr="00842D3D">
        <w:rPr>
          <w:rFonts w:eastAsia="Calibri" w:cs="Times New Roman"/>
          <w:i/>
          <w:iCs/>
          <w:szCs w:val="24"/>
        </w:rPr>
        <w:t xml:space="preserve"> Saved Mag. v. Spokane Police Dep’t</w:t>
      </w:r>
      <w:r w:rsidRPr="00842D3D">
        <w:rPr>
          <w:rFonts w:eastAsia="Calibri" w:cs="Times New Roman"/>
          <w:szCs w:val="24"/>
        </w:rPr>
        <w:t>, 19 F.4th 1193, 1200-01 (9th Cir. 2021).</w:t>
      </w:r>
    </w:p>
    <w:p w14:paraId="04FE296A" w14:textId="77777777" w:rsidR="00842D3D" w:rsidRPr="00842D3D" w:rsidRDefault="00842D3D" w:rsidP="00842D3D">
      <w:pPr>
        <w:widowControl w:val="0"/>
        <w:ind w:firstLine="720"/>
        <w:rPr>
          <w:rFonts w:eastAsia="Calibri" w:cs="Times New Roman"/>
          <w:szCs w:val="24"/>
        </w:rPr>
      </w:pPr>
    </w:p>
    <w:p w14:paraId="25876DCC" w14:textId="77777777" w:rsid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public employees’ First Amendment rights, see the Comment to Instruction 9.9. “[G]enerally, ‘when public employees make statements pursuant to their official duties, the employees are not speaking as citizens for First Amendment purposes, and the Constitution does not insulate their communications from employer discipline.’” </w:t>
      </w:r>
      <w:r w:rsidRPr="00842D3D">
        <w:rPr>
          <w:rFonts w:eastAsia="Calibri" w:cs="Times New Roman"/>
          <w:i/>
          <w:szCs w:val="24"/>
        </w:rPr>
        <w:t>Jensen v. Brown</w:t>
      </w:r>
      <w:r w:rsidRPr="00842D3D">
        <w:rPr>
          <w:rFonts w:eastAsia="Calibri" w:cs="Times New Roman"/>
          <w:szCs w:val="24"/>
        </w:rPr>
        <w:t xml:space="preserve">, 131 F.4th 677, 688 (9th Cir. 2025) (quoting </w:t>
      </w:r>
      <w:r w:rsidRPr="00842D3D">
        <w:rPr>
          <w:rFonts w:eastAsia="Calibri" w:cs="Times New Roman"/>
          <w:i/>
          <w:szCs w:val="24"/>
        </w:rPr>
        <w:t>Garcetti v. Ceballos</w:t>
      </w:r>
      <w:r w:rsidRPr="00842D3D">
        <w:rPr>
          <w:rFonts w:eastAsia="Calibri" w:cs="Times New Roman"/>
          <w:szCs w:val="24"/>
        </w:rPr>
        <w:t xml:space="preserve">, 547 U.S. 410, 421 (2006)). But this rule “does not apply to ‘speech related to scholarship or teaching,’” that is “performed ‘pursuant to the official duties’ of a teacher and professor.” </w:t>
      </w:r>
      <w:r w:rsidRPr="00842D3D">
        <w:rPr>
          <w:rFonts w:eastAsia="Calibri" w:cs="Times New Roman"/>
          <w:i/>
          <w:szCs w:val="24"/>
        </w:rPr>
        <w:t>Demers v. Austin</w:t>
      </w:r>
      <w:r w:rsidRPr="00842D3D">
        <w:rPr>
          <w:rFonts w:eastAsia="Calibri" w:cs="Times New Roman"/>
          <w:szCs w:val="24"/>
        </w:rPr>
        <w:t xml:space="preserve">, 746 F.3d 402, 406, 412 (9th Cir. 2014) (quoting </w:t>
      </w:r>
      <w:r w:rsidRPr="00842D3D">
        <w:rPr>
          <w:rFonts w:eastAsia="Calibri" w:cs="Times New Roman"/>
          <w:i/>
          <w:szCs w:val="24"/>
        </w:rPr>
        <w:t>Garcetti</w:t>
      </w:r>
      <w:r w:rsidRPr="00842D3D">
        <w:rPr>
          <w:rFonts w:eastAsia="Calibri" w:cs="Times New Roman"/>
          <w:szCs w:val="24"/>
        </w:rPr>
        <w:t xml:space="preserve">, 547 U.S. at 425). “Rather, speech ‘related to scholarship or teaching’ is covered by the </w:t>
      </w:r>
      <w:r w:rsidRPr="00842D3D">
        <w:rPr>
          <w:rFonts w:eastAsia="Calibri" w:cs="Times New Roman"/>
          <w:i/>
          <w:szCs w:val="24"/>
        </w:rPr>
        <w:t>Pickering</w:t>
      </w:r>
      <w:r w:rsidRPr="00842D3D">
        <w:rPr>
          <w:rFonts w:eastAsia="Calibri" w:cs="Times New Roman"/>
          <w:szCs w:val="24"/>
        </w:rPr>
        <w:t xml:space="preserve"> [</w:t>
      </w:r>
      <w:r w:rsidRPr="00842D3D">
        <w:rPr>
          <w:rFonts w:eastAsia="Calibri" w:cs="Times New Roman"/>
          <w:i/>
          <w:iCs/>
          <w:szCs w:val="24"/>
        </w:rPr>
        <w:t>v. Board of Education</w:t>
      </w:r>
      <w:r w:rsidRPr="00842D3D">
        <w:rPr>
          <w:rFonts w:eastAsia="Calibri" w:cs="Times New Roman"/>
          <w:szCs w:val="24"/>
        </w:rPr>
        <w:t xml:space="preserve">, 391 U.S. 563 (1968)] doctrine even if it was made pursuant to a public employee’s official duties.” </w:t>
      </w:r>
      <w:r w:rsidRPr="00842D3D">
        <w:rPr>
          <w:rFonts w:eastAsia="Calibri" w:cs="Times New Roman"/>
          <w:i/>
          <w:szCs w:val="24"/>
        </w:rPr>
        <w:t>Jensen</w:t>
      </w:r>
      <w:r w:rsidRPr="00842D3D">
        <w:rPr>
          <w:rFonts w:eastAsia="Calibri" w:cs="Times New Roman"/>
          <w:szCs w:val="24"/>
        </w:rPr>
        <w:t xml:space="preserve">, 131 F.4th at 688 (quoting </w:t>
      </w:r>
      <w:r w:rsidRPr="00842D3D">
        <w:rPr>
          <w:rFonts w:eastAsia="Calibri" w:cs="Times New Roman"/>
          <w:i/>
          <w:szCs w:val="24"/>
        </w:rPr>
        <w:t>Demers</w:t>
      </w:r>
      <w:r w:rsidRPr="00842D3D">
        <w:rPr>
          <w:rFonts w:eastAsia="Calibri" w:cs="Times New Roman"/>
          <w:szCs w:val="24"/>
        </w:rPr>
        <w:t xml:space="preserve">, 746 F.3d at 412). It is “clearly established that a professor has a right to speak about a school’s curriculum without being reprimanded, given negative performance reviews, and put through an investigation and termination hearing.” </w:t>
      </w:r>
      <w:r w:rsidRPr="00842D3D">
        <w:rPr>
          <w:rFonts w:eastAsia="Calibri" w:cs="Times New Roman"/>
          <w:i/>
          <w:szCs w:val="24"/>
        </w:rPr>
        <w:t>Id.</w:t>
      </w:r>
      <w:r w:rsidRPr="00842D3D">
        <w:rPr>
          <w:rFonts w:eastAsia="Calibri" w:cs="Times New Roman"/>
          <w:szCs w:val="24"/>
        </w:rPr>
        <w:t xml:space="preserve"> at 694.</w:t>
      </w:r>
    </w:p>
    <w:p w14:paraId="39376F6B" w14:textId="77777777" w:rsidR="000A16ED" w:rsidRDefault="000A16ED" w:rsidP="00842D3D">
      <w:pPr>
        <w:widowControl w:val="0"/>
        <w:ind w:firstLine="720"/>
        <w:rPr>
          <w:rFonts w:eastAsia="Calibri" w:cs="Times New Roman"/>
          <w:szCs w:val="24"/>
        </w:rPr>
      </w:pPr>
    </w:p>
    <w:p w14:paraId="554371C5" w14:textId="1EBA2813" w:rsidR="000A16ED" w:rsidRPr="00842D3D" w:rsidRDefault="000A16ED" w:rsidP="000A16ED">
      <w:pPr>
        <w:widowControl w:val="0"/>
        <w:ind w:firstLine="720"/>
        <w:rPr>
          <w:rFonts w:eastAsia="Calibri" w:cs="Times New Roman"/>
          <w:szCs w:val="24"/>
        </w:rPr>
      </w:pPr>
      <w:r w:rsidRPr="006B3367">
        <w:rPr>
          <w:rFonts w:eastAsia="Calibri" w:cs="Times New Roman"/>
          <w:szCs w:val="24"/>
        </w:rPr>
        <w:t xml:space="preserve">The law is clearly established that denying or delaying mail to prisoners without a legitimate penological interest violates the First Amendment, although there is no bright line rule on how long of a delay constitutes a violation. </w:t>
      </w:r>
      <w:r w:rsidRPr="006B3367">
        <w:rPr>
          <w:rFonts w:eastAsia="Calibri" w:cs="Times New Roman"/>
          <w:i/>
          <w:iCs/>
          <w:szCs w:val="24"/>
        </w:rPr>
        <w:t>Human Rights Defense C</w:t>
      </w:r>
      <w:r>
        <w:rPr>
          <w:rFonts w:eastAsia="Calibri" w:cs="Times New Roman"/>
          <w:i/>
          <w:iCs/>
          <w:szCs w:val="24"/>
        </w:rPr>
        <w:t>tr.</w:t>
      </w:r>
      <w:r w:rsidRPr="006B3367">
        <w:rPr>
          <w:rFonts w:eastAsia="Calibri" w:cs="Times New Roman"/>
          <w:i/>
          <w:iCs/>
          <w:szCs w:val="24"/>
        </w:rPr>
        <w:t>, Inc. v. Uttecht,</w:t>
      </w:r>
      <w:r w:rsidRPr="006B3367">
        <w:rPr>
          <w:rFonts w:eastAsia="Calibri" w:cs="Times New Roman"/>
          <w:szCs w:val="24"/>
        </w:rPr>
        <w:t xml:space="preserve">161 F.4th 1141 (9th Cir. 2025).  </w:t>
      </w:r>
    </w:p>
    <w:p w14:paraId="578BFDFB" w14:textId="77777777" w:rsidR="00842D3D" w:rsidRPr="00842D3D" w:rsidRDefault="00842D3D" w:rsidP="00842D3D">
      <w:pPr>
        <w:widowControl w:val="0"/>
        <w:rPr>
          <w:rFonts w:eastAsia="Calibri" w:cs="Times New Roman"/>
          <w:szCs w:val="24"/>
        </w:rPr>
      </w:pPr>
    </w:p>
    <w:p w14:paraId="309B5BFA"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3.</w:t>
      </w:r>
      <w:r w:rsidRPr="00842D3D">
        <w:rPr>
          <w:rFonts w:eastAsia="Calibri" w:cs="Times New Roman"/>
          <w:szCs w:val="24"/>
        </w:rPr>
        <w:tab/>
      </w:r>
      <w:r w:rsidRPr="00842D3D">
        <w:rPr>
          <w:rFonts w:eastAsia="Calibri" w:cs="Times New Roman"/>
          <w:i/>
          <w:iCs/>
          <w:szCs w:val="24"/>
        </w:rPr>
        <w:t xml:space="preserve">Search and Seizure </w:t>
      </w:r>
    </w:p>
    <w:p w14:paraId="53245ED6" w14:textId="77777777" w:rsidR="00842D3D" w:rsidRPr="00842D3D" w:rsidRDefault="00842D3D" w:rsidP="00842D3D">
      <w:pPr>
        <w:widowControl w:val="0"/>
        <w:ind w:firstLine="720"/>
        <w:rPr>
          <w:rFonts w:eastAsia="Calibri" w:cs="Times New Roman"/>
          <w:szCs w:val="24"/>
        </w:rPr>
      </w:pPr>
    </w:p>
    <w:p w14:paraId="3557097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also “clearly established” that “officers can be held liable for conducting a high-risk vehicle stop based on nothing more than a reasonable suspicion that the vehicle was stolen.” </w:t>
      </w:r>
      <w:r w:rsidRPr="00842D3D">
        <w:rPr>
          <w:rFonts w:eastAsia="Calibri" w:cs="Times New Roman"/>
          <w:i/>
          <w:iCs/>
          <w:szCs w:val="24"/>
        </w:rPr>
        <w:t>Chinaryan v. City of Los Angeles</w:t>
      </w:r>
      <w:r w:rsidRPr="00842D3D">
        <w:rPr>
          <w:rFonts w:eastAsia="Calibri" w:cs="Times New Roman"/>
          <w:szCs w:val="24"/>
        </w:rPr>
        <w:t xml:space="preserve">, 113 F.4th 888, 893 (9th Cir. 2024) (citing </w:t>
      </w:r>
      <w:r w:rsidRPr="00842D3D">
        <w:rPr>
          <w:rFonts w:eastAsia="Calibri" w:cs="Times New Roman"/>
          <w:i/>
          <w:iCs/>
          <w:szCs w:val="24"/>
        </w:rPr>
        <w:t>Washington v. Lambert</w:t>
      </w:r>
      <w:r w:rsidRPr="00842D3D">
        <w:rPr>
          <w:rFonts w:eastAsia="Calibri" w:cs="Times New Roman"/>
          <w:szCs w:val="24"/>
        </w:rPr>
        <w:t xml:space="preserve">, 98 F.3d 1181 (9th Cir. 1996), and </w:t>
      </w:r>
      <w:r w:rsidRPr="00842D3D">
        <w:rPr>
          <w:rFonts w:eastAsia="Calibri" w:cs="Times New Roman"/>
          <w:i/>
          <w:iCs/>
          <w:szCs w:val="24"/>
        </w:rPr>
        <w:t>Green v. City &amp; County of San Francisco</w:t>
      </w:r>
      <w:r w:rsidRPr="00842D3D">
        <w:rPr>
          <w:rFonts w:eastAsia="Calibri" w:cs="Times New Roman"/>
          <w:szCs w:val="24"/>
        </w:rPr>
        <w:t xml:space="preserve">, 751 F.3d 1039 (9th Cir. 2014)). Property owners brought § 1983 action against city and city police officers, alleging that officers violated the owners’ Fourth Amendment rights by stealing their property after conducting search and seizure pursuant to a warrant. </w:t>
      </w:r>
      <w:r w:rsidRPr="00842D3D">
        <w:rPr>
          <w:rFonts w:eastAsia="Calibri" w:cs="Times New Roman"/>
          <w:i/>
          <w:iCs/>
          <w:szCs w:val="24"/>
        </w:rPr>
        <w:t>Jessop v. City of Fresno</w:t>
      </w:r>
      <w:r w:rsidRPr="00842D3D">
        <w:rPr>
          <w:rFonts w:eastAsia="Calibri" w:cs="Times New Roman"/>
          <w:szCs w:val="24"/>
        </w:rPr>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842D3D">
        <w:rPr>
          <w:rFonts w:eastAsia="Calibri" w:cs="Times New Roman"/>
          <w:i/>
          <w:iCs/>
          <w:szCs w:val="24"/>
        </w:rPr>
        <w:t xml:space="preserve">Id. </w:t>
      </w:r>
      <w:r w:rsidRPr="00842D3D">
        <w:rPr>
          <w:rFonts w:eastAsia="Calibri" w:cs="Times New Roman"/>
          <w:szCs w:val="24"/>
        </w:rPr>
        <w:t xml:space="preserve">Although officers “ought to have recognized that” stealing seized property “was </w:t>
      </w:r>
      <w:r w:rsidRPr="00842D3D">
        <w:rPr>
          <w:rFonts w:eastAsia="Calibri" w:cs="Times New Roman"/>
          <w:szCs w:val="24"/>
        </w:rPr>
        <w:lastRenderedPageBreak/>
        <w:t xml:space="preserve">morally wrong, they did not have clear notice that it violated the Fourth Amendment.” </w:t>
      </w:r>
      <w:r w:rsidRPr="00842D3D">
        <w:rPr>
          <w:rFonts w:eastAsia="Calibri" w:cs="Times New Roman"/>
          <w:i/>
          <w:iCs/>
          <w:szCs w:val="24"/>
        </w:rPr>
        <w:t xml:space="preserve">Id. </w:t>
      </w:r>
      <w:r w:rsidRPr="00842D3D">
        <w:rPr>
          <w:rFonts w:eastAsia="Calibri" w:cs="Times New Roman"/>
          <w:szCs w:val="24"/>
        </w:rPr>
        <w:t xml:space="preserve">at 942. </w:t>
      </w:r>
    </w:p>
    <w:p w14:paraId="6713E0C4" w14:textId="77777777" w:rsidR="00842D3D" w:rsidRPr="00842D3D" w:rsidRDefault="00842D3D" w:rsidP="00842D3D">
      <w:pPr>
        <w:autoSpaceDE w:val="0"/>
        <w:autoSpaceDN w:val="0"/>
        <w:adjustRightInd w:val="0"/>
        <w:ind w:firstLine="720"/>
        <w:rPr>
          <w:rFonts w:eastAsia="Calibri" w:cs="Times New Roman"/>
        </w:rPr>
      </w:pPr>
    </w:p>
    <w:p w14:paraId="00A2AFA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In </w:t>
      </w:r>
      <w:r w:rsidRPr="00842D3D">
        <w:rPr>
          <w:rFonts w:eastAsia="Calibri" w:cs="Times New Roman"/>
          <w:i/>
          <w:iCs/>
        </w:rPr>
        <w:t>Olson v. County of Grant</w:t>
      </w:r>
      <w:r w:rsidRPr="00842D3D">
        <w:rPr>
          <w:rFonts w:eastAsia="Calibri" w:cs="Times New Roman"/>
        </w:rPr>
        <w:t>, 127 F.4th 1193, 1203 (9th Cir. 2025), the Ninth Circuit held that a plaintiff’s consent to allowing one law enforcement agency to search the plaintiff’s cell phone did not extend to a search by a different law enforcement agency. The plaintiff, Olson, was arrested in Idaho for marijuana possession and signed a form giving Idaho police consent to search her phone, and an “extraction,” or copy, of her phone contents was made. Defendant Carpenter, county prosecutor in Oregon, requested and reviewed Olson’s phone data for evidence of criminal activity, found none, and deleted his copy of the extraction. Olson sued Carpenter for violation of the Fourth Amendment. The court upheld qualified immunity for Carpenter because the law was not clearly established at the time, but took the opportunity to conclude that “[b]ecause it is important to lay down a marker for future cases, we heed the Court’s call in</w:t>
      </w:r>
      <w:r w:rsidRPr="00842D3D">
        <w:rPr>
          <w:rFonts w:eastAsia="Calibri" w:cs="Times New Roman"/>
          <w:i/>
          <w:iCs/>
        </w:rPr>
        <w:t xml:space="preserve"> Pearson</w:t>
      </w:r>
      <w:r w:rsidRPr="00842D3D">
        <w:rPr>
          <w:rFonts w:eastAsia="Calibri" w:cs="Times New Roman"/>
        </w:rPr>
        <w:t xml:space="preserve"> to develop constitutional precedent and conclude that Carpenter’s search infringed on Olson’s Fourth Amendment rights.” Here, Carpenter’s review of the cell phone extraction was without consent, without a warrant, and without a reasonable suspicion of further criminal activity by Olson. Thus, after </w:t>
      </w:r>
      <w:r w:rsidRPr="00842D3D">
        <w:rPr>
          <w:rFonts w:eastAsia="Calibri" w:cs="Times New Roman"/>
          <w:i/>
          <w:iCs/>
        </w:rPr>
        <w:t>Olson</w:t>
      </w:r>
      <w:r w:rsidRPr="00842D3D">
        <w:rPr>
          <w:rFonts w:eastAsia="Calibri" w:cs="Times New Roman"/>
        </w:rPr>
        <w:t>, the law is clearly established that this kind of search is a violation of the Fourth Amendment.</w:t>
      </w:r>
    </w:p>
    <w:p w14:paraId="7C3A259C" w14:textId="77777777" w:rsidR="00842D3D" w:rsidRPr="00842D3D" w:rsidRDefault="00842D3D" w:rsidP="00842D3D">
      <w:pPr>
        <w:widowControl w:val="0"/>
        <w:ind w:firstLine="720"/>
        <w:rPr>
          <w:rFonts w:eastAsia="Calibri" w:cs="Times New Roman"/>
          <w:szCs w:val="24"/>
        </w:rPr>
      </w:pPr>
    </w:p>
    <w:p w14:paraId="5DC1C07E"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4.</w:t>
      </w:r>
      <w:r w:rsidRPr="00842D3D">
        <w:rPr>
          <w:rFonts w:eastAsia="Calibri" w:cs="Times New Roman"/>
          <w:szCs w:val="24"/>
        </w:rPr>
        <w:tab/>
        <w:t>“</w:t>
      </w:r>
      <w:r w:rsidRPr="00842D3D">
        <w:rPr>
          <w:rFonts w:eastAsia="Calibri" w:cs="Times New Roman"/>
          <w:i/>
          <w:iCs/>
          <w:szCs w:val="24"/>
        </w:rPr>
        <w:t xml:space="preserve">Obvious” Unlawful Conduct without Controlling Case Law </w:t>
      </w:r>
    </w:p>
    <w:p w14:paraId="6D0279A9" w14:textId="77777777" w:rsidR="00842D3D" w:rsidRPr="00842D3D" w:rsidRDefault="00842D3D" w:rsidP="00842D3D">
      <w:pPr>
        <w:widowControl w:val="0"/>
        <w:ind w:firstLine="720"/>
        <w:rPr>
          <w:rFonts w:eastAsia="Calibri" w:cs="Times New Roman"/>
          <w:szCs w:val="24"/>
        </w:rPr>
      </w:pPr>
    </w:p>
    <w:p w14:paraId="775F13A5" w14:textId="77777777" w:rsidR="00A35B30" w:rsidRPr="00A35B30" w:rsidRDefault="00842D3D" w:rsidP="00A35B30">
      <w:pPr>
        <w:autoSpaceDE w:val="0"/>
        <w:autoSpaceDN w:val="0"/>
        <w:adjustRightInd w:val="0"/>
        <w:rPr>
          <w:rFonts w:ascii="TimesNewRomanPS-ItalicMT" w:eastAsia="Aptos" w:hAnsi="TimesNewRomanPS-ItalicMT" w:cs="TimesNewRomanPS-ItalicMT"/>
          <w:i/>
          <w:iCs/>
          <w:szCs w:val="24"/>
          <w14:ligatures w14:val="standardContextual"/>
        </w:rPr>
      </w:pPr>
      <w:r w:rsidRPr="00842D3D">
        <w:rPr>
          <w:rFonts w:eastAsia="Calibri" w:cs="Times New Roman"/>
          <w:szCs w:val="24"/>
        </w:rPr>
        <w:t>“[T]here can be the rare ‘obvious case,’ where the unlawfulness of the officer’s conduct is sufficiently clear even though existing precedent does not address similar circumstances.”</w:t>
      </w:r>
      <w:r w:rsidR="00A35B30">
        <w:rPr>
          <w:rFonts w:eastAsia="Calibri" w:cs="Times New Roman"/>
          <w:szCs w:val="24"/>
        </w:rPr>
        <w:t xml:space="preserve"> </w:t>
      </w:r>
      <w:r w:rsidRPr="00842D3D">
        <w:rPr>
          <w:rFonts w:eastAsia="Calibri" w:cs="Times New Roman"/>
          <w:i/>
          <w:iCs/>
          <w:szCs w:val="24"/>
        </w:rPr>
        <w:t>District of Columbia v. Wesby</w:t>
      </w:r>
      <w:r w:rsidRPr="00842D3D">
        <w:rPr>
          <w:rFonts w:eastAsia="Calibri" w:cs="Times New Roman"/>
          <w:szCs w:val="24"/>
        </w:rPr>
        <w:t xml:space="preserve">, 583 U.S. 48, 64 (2018) (citing </w:t>
      </w:r>
      <w:r w:rsidRPr="00842D3D">
        <w:rPr>
          <w:rFonts w:eastAsia="Calibri" w:cs="Times New Roman"/>
          <w:i/>
          <w:iCs/>
          <w:szCs w:val="24"/>
        </w:rPr>
        <w:t>Brosseau</w:t>
      </w:r>
      <w:r w:rsidRPr="00842D3D">
        <w:rPr>
          <w:rFonts w:eastAsia="Calibri" w:cs="Times New Roman"/>
          <w:szCs w:val="24"/>
        </w:rPr>
        <w:t>, 543 U.S. at 199</w:t>
      </w:r>
      <w:r w:rsidRPr="00A35B30">
        <w:rPr>
          <w:rFonts w:eastAsia="Calibri" w:cs="Times New Roman"/>
          <w:szCs w:val="24"/>
        </w:rPr>
        <w:t xml:space="preserve">); </w:t>
      </w:r>
      <w:r w:rsidR="00A35B30" w:rsidRPr="00A35B30">
        <w:rPr>
          <w:rFonts w:ascii="TimesNewRomanPS-ItalicMT" w:eastAsia="Aptos" w:hAnsi="TimesNewRomanPS-ItalicMT" w:cs="TimesNewRomanPS-ItalicMT"/>
          <w:i/>
          <w:iCs/>
          <w:szCs w:val="24"/>
          <w14:ligatures w14:val="standardContextual"/>
        </w:rPr>
        <w:t>Estate</w:t>
      </w:r>
    </w:p>
    <w:p w14:paraId="158192E9" w14:textId="77777777" w:rsidR="00A35B30" w:rsidRPr="00A35B30" w:rsidRDefault="00A35B30" w:rsidP="00A35B30">
      <w:pPr>
        <w:autoSpaceDE w:val="0"/>
        <w:autoSpaceDN w:val="0"/>
        <w:adjustRightInd w:val="0"/>
        <w:rPr>
          <w:rFonts w:ascii="TimesNewRomanPSMT" w:eastAsia="Aptos" w:hAnsi="TimesNewRomanPSMT" w:cs="TimesNewRomanPSMT"/>
          <w:szCs w:val="24"/>
          <w14:ligatures w14:val="standardContextual"/>
        </w:rPr>
      </w:pPr>
      <w:r w:rsidRPr="00A35B30">
        <w:rPr>
          <w:rFonts w:ascii="TimesNewRomanPS-ItalicMT" w:eastAsia="Aptos" w:hAnsi="TimesNewRomanPS-ItalicMT" w:cs="TimesNewRomanPS-ItalicMT"/>
          <w:i/>
          <w:iCs/>
          <w:szCs w:val="24"/>
          <w14:ligatures w14:val="standardContextual"/>
        </w:rPr>
        <w:t>of Soakai v. Abdelaziz</w:t>
      </w:r>
      <w:r w:rsidRPr="00A35B30">
        <w:rPr>
          <w:rFonts w:ascii="TimesNewRomanPSMT" w:eastAsia="Aptos" w:hAnsi="TimesNewRomanPSMT" w:cs="TimesNewRomanPSMT"/>
          <w:szCs w:val="24"/>
          <w14:ligatures w14:val="standardContextual"/>
        </w:rPr>
        <w:t>, 137 F.4th 969 (9th Cir. 2025) (absence of a controlling case applying</w:t>
      </w:r>
    </w:p>
    <w:p w14:paraId="50732865" w14:textId="5C345216" w:rsidR="00842D3D" w:rsidRPr="00A35B30" w:rsidRDefault="00A35B30" w:rsidP="00A35B30">
      <w:pPr>
        <w:autoSpaceDE w:val="0"/>
        <w:autoSpaceDN w:val="0"/>
        <w:adjustRightInd w:val="0"/>
        <w:rPr>
          <w:rFonts w:ascii="TimesNewRomanPSMT" w:eastAsia="Aptos" w:hAnsi="TimesNewRomanPSMT" w:cs="TimesNewRomanPSMT"/>
          <w:color w:val="FF0000"/>
          <w:szCs w:val="24"/>
          <w14:ligatures w14:val="standardContextual"/>
        </w:rPr>
      </w:pPr>
      <w:r w:rsidRPr="00A35B30">
        <w:rPr>
          <w:rFonts w:ascii="TimesNewRomanPSMT" w:eastAsia="Aptos" w:hAnsi="TimesNewRomanPSMT" w:cs="TimesNewRomanPSMT"/>
          <w:szCs w:val="24"/>
          <w14:ligatures w14:val="standardContextual"/>
        </w:rPr>
        <w:t xml:space="preserve">theory of state-created danger to injuries suffered by bystanders after a high-speed police chase was not necessary because existing precedent placed the constitutional question beyond debate that officers violate substantive due process rights when they affirmatively place an individual in danger and then, with deliberate indifference, do nothing to address that danger); </w:t>
      </w:r>
      <w:r w:rsidR="00842D3D" w:rsidRPr="00A35B30">
        <w:rPr>
          <w:rFonts w:eastAsia="Calibri" w:cs="Times New Roman"/>
          <w:i/>
          <w:iCs/>
          <w:szCs w:val="24"/>
        </w:rPr>
        <w:t xml:space="preserve">Hernandez </w:t>
      </w:r>
      <w:r w:rsidR="00842D3D" w:rsidRPr="00842D3D">
        <w:rPr>
          <w:rFonts w:eastAsia="Calibri" w:cs="Times New Roman"/>
          <w:i/>
          <w:iCs/>
          <w:szCs w:val="24"/>
        </w:rPr>
        <w:t>v. City of San Jose</w:t>
      </w:r>
      <w:r w:rsidR="00842D3D" w:rsidRPr="00842D3D">
        <w:rPr>
          <w:rFonts w:eastAsia="Calibri" w:cs="Times New Roman"/>
          <w:szCs w:val="24"/>
        </w:rPr>
        <w:t xml:space="preserve">, 897 F.3d 1125, 1138 (9th Cir. 2018) (stating police officers “shepherding” of presidential candidate’s supporters into crowd of violent counter-protesters to be one such rare but obvious circumstance); </w:t>
      </w:r>
      <w:r w:rsidR="00842D3D" w:rsidRPr="00842D3D">
        <w:rPr>
          <w:rFonts w:eastAsia="Calibri" w:cs="Times New Roman"/>
          <w:i/>
          <w:iCs/>
          <w:szCs w:val="24"/>
        </w:rPr>
        <w:t>Hardwick v. Vreeken</w:t>
      </w:r>
      <w:r w:rsidR="00842D3D" w:rsidRPr="00842D3D">
        <w:rPr>
          <w:rFonts w:eastAsia="Calibri" w:cs="Times New Roman"/>
          <w:szCs w:val="24"/>
        </w:rPr>
        <w:t xml:space="preserve">, 844 F.3d 1112, 1120 (9th Cir. 2017) (identifying intentional use of perjured or fabricated evidence in child dependency hearing to be one such rare but obvious circumstance); </w:t>
      </w:r>
      <w:r w:rsidR="00842D3D" w:rsidRPr="00842D3D">
        <w:rPr>
          <w:rFonts w:eastAsia="Calibri" w:cs="Times New Roman"/>
          <w:i/>
          <w:iCs/>
          <w:szCs w:val="24"/>
        </w:rPr>
        <w:t>Rieman v. Vazquez</w:t>
      </w:r>
      <w:r w:rsidR="00842D3D" w:rsidRPr="00842D3D">
        <w:rPr>
          <w:rFonts w:eastAsia="Calibri" w:cs="Times New Roman"/>
          <w:szCs w:val="24"/>
        </w:rPr>
        <w:t xml:space="preserve">, 96 F.4th 1085, 1094 (9th Cir. 2024) (providing incomplete and false information to the juvenile court to convince the court the social worker had satisfied the due process notice requirement constitutes judicial deception and was an obvious violation of the Fourth Amendment). “[A] right can be clearly established despite a lack of factually analogous preexisting case law, and officers can be on notice that their conduct is unlawful even in novel factual circumstances.” </w:t>
      </w:r>
      <w:r w:rsidR="00842D3D" w:rsidRPr="00842D3D">
        <w:rPr>
          <w:rFonts w:eastAsia="Calibri" w:cs="Times New Roman"/>
          <w:i/>
          <w:iCs/>
          <w:szCs w:val="24"/>
        </w:rPr>
        <w:t>Ballentine</w:t>
      </w:r>
      <w:r w:rsidR="00842D3D" w:rsidRPr="00842D3D">
        <w:rPr>
          <w:rFonts w:eastAsia="Calibri" w:cs="Times New Roman"/>
          <w:szCs w:val="24"/>
        </w:rPr>
        <w:t xml:space="preserve">, 28 F.4th at 66 (stating it was “clearly established” that an arrest supported by probable cause, but made in retaliation for protected speech, violates the First Amendment) (quoting </w:t>
      </w:r>
      <w:r w:rsidR="00842D3D" w:rsidRPr="00842D3D">
        <w:rPr>
          <w:rFonts w:eastAsia="Calibri" w:cs="Times New Roman"/>
          <w:i/>
          <w:iCs/>
          <w:szCs w:val="24"/>
        </w:rPr>
        <w:t>Ford v. City of Yakima</w:t>
      </w:r>
      <w:r w:rsidR="00842D3D" w:rsidRPr="00842D3D">
        <w:rPr>
          <w:rFonts w:eastAsia="Calibri" w:cs="Times New Roman"/>
          <w:szCs w:val="24"/>
        </w:rPr>
        <w:t xml:space="preserve">, 706 F.3d 1188, 1195 (9th Cir. 2013) (holding that a plaintiff pressing a retaliatory arrest claim based on speech protected by the First Amendment generally must plead and prove the absence of probable cause for the arrest), </w:t>
      </w:r>
      <w:r w:rsidR="00842D3D" w:rsidRPr="00842D3D">
        <w:rPr>
          <w:rFonts w:eastAsia="Calibri" w:cs="Times New Roman"/>
          <w:i/>
          <w:iCs/>
          <w:szCs w:val="24"/>
        </w:rPr>
        <w:t>abrogated on other grounds by Nieves v. Bartlett</w:t>
      </w:r>
      <w:r w:rsidR="00842D3D" w:rsidRPr="00842D3D">
        <w:rPr>
          <w:rFonts w:eastAsia="Calibri" w:cs="Times New Roman"/>
          <w:szCs w:val="24"/>
        </w:rPr>
        <w:t xml:space="preserve">, 587 U.S. 391 (2019); </w:t>
      </w:r>
      <w:r w:rsidR="00842D3D" w:rsidRPr="00842D3D">
        <w:rPr>
          <w:rFonts w:eastAsia="Calibri" w:cs="Times New Roman"/>
          <w:i/>
          <w:iCs/>
          <w:szCs w:val="24"/>
        </w:rPr>
        <w:t>Spencer</w:t>
      </w:r>
      <w:r w:rsidR="00842D3D" w:rsidRPr="00842D3D">
        <w:rPr>
          <w:rFonts w:eastAsia="Calibri" w:cs="Times New Roman"/>
          <w:szCs w:val="24"/>
        </w:rPr>
        <w:t xml:space="preserve">, 117 F.4th at 1138-40 (rejecting plaintiff’s assertion that his excessive force claim was an “obvious case,” because it was not obvious “from the </w:t>
      </w:r>
      <w:r w:rsidR="00842D3D" w:rsidRPr="00842D3D">
        <w:rPr>
          <w:rFonts w:eastAsia="Calibri" w:cs="Times New Roman"/>
          <w:i/>
          <w:iCs/>
          <w:szCs w:val="24"/>
        </w:rPr>
        <w:t xml:space="preserve">Graham </w:t>
      </w:r>
      <w:r w:rsidR="00842D3D" w:rsidRPr="00842D3D">
        <w:rPr>
          <w:rFonts w:eastAsia="Calibri" w:cs="Times New Roman"/>
          <w:szCs w:val="24"/>
        </w:rPr>
        <w:t xml:space="preserve">factors alone, that every </w:t>
      </w:r>
      <w:r w:rsidR="00842D3D" w:rsidRPr="00842D3D">
        <w:rPr>
          <w:rFonts w:eastAsia="Calibri" w:cs="Times New Roman"/>
          <w:szCs w:val="24"/>
        </w:rPr>
        <w:lastRenderedPageBreak/>
        <w:t xml:space="preserve">reasonable official would have understood that what he is doing violates the right to be free from excessive force” (citing </w:t>
      </w:r>
      <w:r w:rsidR="00842D3D" w:rsidRPr="00842D3D">
        <w:rPr>
          <w:rFonts w:eastAsia="Calibri" w:cs="Times New Roman"/>
          <w:i/>
          <w:iCs/>
          <w:szCs w:val="24"/>
        </w:rPr>
        <w:t>Graham v. Connor</w:t>
      </w:r>
      <w:r w:rsidR="00842D3D" w:rsidRPr="00842D3D">
        <w:rPr>
          <w:rFonts w:eastAsia="Calibri" w:cs="Times New Roman"/>
          <w:szCs w:val="24"/>
        </w:rPr>
        <w:t xml:space="preserve">, 490 U.S. 386 (1989) (additional quotations and citations omitted)). The Ninth Circuit noted the scarcity of such rare and obvious cases: “[W]e have repeatedly emphasized that such cases are few and far between, and thus, we are hesitant to find a right clearly established without a body of relevant case law.” </w:t>
      </w:r>
      <w:r w:rsidR="00842D3D" w:rsidRPr="00842D3D">
        <w:rPr>
          <w:rFonts w:eastAsia="Calibri" w:cs="Times New Roman"/>
          <w:i/>
          <w:iCs/>
          <w:szCs w:val="24"/>
        </w:rPr>
        <w:t>Sabra v. Maricopa Cnty. Cmty. Coll. Dist</w:t>
      </w:r>
      <w:r w:rsidR="00842D3D" w:rsidRPr="00842D3D">
        <w:rPr>
          <w:rFonts w:eastAsia="Calibri" w:cs="Times New Roman"/>
          <w:szCs w:val="24"/>
        </w:rPr>
        <w:t>., 44 F.4th 867, 888 (9th Cir. 2022) (citations omitted).</w:t>
      </w:r>
    </w:p>
    <w:p w14:paraId="6CE18547" w14:textId="77777777" w:rsidR="00842D3D" w:rsidRPr="00842D3D" w:rsidRDefault="00842D3D" w:rsidP="00842D3D">
      <w:pPr>
        <w:widowControl w:val="0"/>
        <w:ind w:firstLine="720"/>
        <w:rPr>
          <w:rFonts w:eastAsia="Calibri" w:cs="Times New Roman"/>
          <w:szCs w:val="24"/>
        </w:rPr>
      </w:pPr>
    </w:p>
    <w:p w14:paraId="22C2E5C9" w14:textId="77777777" w:rsidR="00842D3D" w:rsidRPr="00842D3D" w:rsidRDefault="00842D3D" w:rsidP="00A35B30">
      <w:pPr>
        <w:widowControl w:val="0"/>
        <w:ind w:left="720"/>
        <w:rPr>
          <w:rFonts w:eastAsia="Calibri" w:cs="Times New Roman"/>
          <w:szCs w:val="24"/>
        </w:rPr>
      </w:pPr>
      <w:r w:rsidRPr="00842D3D">
        <w:rPr>
          <w:rFonts w:eastAsia="Calibri" w:cs="Times New Roman"/>
          <w:szCs w:val="24"/>
        </w:rPr>
        <w:t>5.</w:t>
      </w:r>
      <w:r w:rsidRPr="00842D3D">
        <w:rPr>
          <w:rFonts w:eastAsia="Calibri" w:cs="Times New Roman"/>
          <w:szCs w:val="24"/>
        </w:rPr>
        <w:tab/>
      </w:r>
      <w:r w:rsidRPr="00842D3D">
        <w:rPr>
          <w:rFonts w:eastAsia="Calibri" w:cs="Times New Roman"/>
          <w:i/>
          <w:iCs/>
          <w:szCs w:val="24"/>
        </w:rPr>
        <w:t xml:space="preserve">State Action Required </w:t>
      </w:r>
    </w:p>
    <w:p w14:paraId="29F62690" w14:textId="77777777" w:rsidR="00842D3D" w:rsidRPr="00842D3D" w:rsidRDefault="00842D3D" w:rsidP="00842D3D">
      <w:pPr>
        <w:widowControl w:val="0"/>
        <w:ind w:firstLine="720"/>
        <w:rPr>
          <w:rFonts w:eastAsia="Calibri" w:cs="Times New Roman"/>
          <w:szCs w:val="24"/>
        </w:rPr>
      </w:pPr>
    </w:p>
    <w:p w14:paraId="633234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Circuit’s historical view of qualified immunity finds no basis to grant qualified immunity to officials not engaged in their duties as public servants. “State action for § 1983 purposes is not necessarily co-extensive with state action for which qualified immunity is available.” </w:t>
      </w:r>
      <w:r w:rsidRPr="00842D3D">
        <w:rPr>
          <w:rFonts w:eastAsia="Calibri" w:cs="Times New Roman"/>
          <w:i/>
          <w:iCs/>
          <w:szCs w:val="24"/>
        </w:rPr>
        <w:t>Bracken v. Okura</w:t>
      </w:r>
      <w:r w:rsidRPr="00842D3D">
        <w:rPr>
          <w:rFonts w:eastAsia="Calibri" w:cs="Times New Roman"/>
          <w:szCs w:val="24"/>
        </w:rPr>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842D3D">
        <w:rPr>
          <w:rFonts w:eastAsia="Calibri" w:cs="Times New Roman"/>
          <w:i/>
          <w:iCs/>
          <w:szCs w:val="24"/>
        </w:rPr>
        <w:t>Id</w:t>
      </w:r>
      <w:r w:rsidRPr="00842D3D">
        <w:rPr>
          <w:rFonts w:eastAsia="Calibri" w:cs="Times New Roman"/>
          <w:szCs w:val="24"/>
        </w:rPr>
        <w:t xml:space="preserve">. at 776-78 (stating that qualified immunity would not be available when a government officer uses the badge of his authority in service of a private non-governmental goal). </w:t>
      </w:r>
    </w:p>
    <w:p w14:paraId="180CA36C" w14:textId="77777777" w:rsidR="00842D3D" w:rsidRPr="00842D3D" w:rsidRDefault="00842D3D" w:rsidP="00842D3D">
      <w:pPr>
        <w:widowControl w:val="0"/>
        <w:ind w:firstLine="720"/>
        <w:rPr>
          <w:rFonts w:eastAsia="Calibri" w:cs="Times New Roman"/>
          <w:szCs w:val="24"/>
        </w:rPr>
      </w:pPr>
    </w:p>
    <w:p w14:paraId="37E623F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r>
      <w:r w:rsidRPr="00842D3D">
        <w:rPr>
          <w:rFonts w:eastAsia="Calibri" w:cs="Times New Roman"/>
          <w:i/>
          <w:iCs/>
          <w:szCs w:val="24"/>
        </w:rPr>
        <w:t xml:space="preserve">State-Created Danger </w:t>
      </w:r>
    </w:p>
    <w:p w14:paraId="12FEFB13" w14:textId="77777777" w:rsidR="00842D3D" w:rsidRPr="00842D3D" w:rsidRDefault="00842D3D" w:rsidP="00842D3D">
      <w:pPr>
        <w:widowControl w:val="0"/>
        <w:ind w:firstLine="720"/>
        <w:rPr>
          <w:rFonts w:eastAsia="Calibri" w:cs="Times New Roman"/>
          <w:szCs w:val="24"/>
        </w:rPr>
      </w:pPr>
    </w:p>
    <w:p w14:paraId="5AF2C5CB" w14:textId="2447D405" w:rsidR="00842D3D" w:rsidRDefault="00842D3D" w:rsidP="00842D3D">
      <w:pPr>
        <w:widowControl w:val="0"/>
        <w:ind w:firstLine="720"/>
        <w:rPr>
          <w:rFonts w:eastAsia="Calibri" w:cs="Times New Roman"/>
        </w:rPr>
      </w:pPr>
      <w:r w:rsidRPr="00842D3D">
        <w:rPr>
          <w:rFonts w:eastAsia="Calibri" w:cs="Times New Roman"/>
          <w:szCs w:val="24"/>
        </w:rPr>
        <w:t xml:space="preserve">“As a general rule, members of the public have no constitutional right to sue [public] employees who fail to protect them against harm inflicted by third parties.” </w:t>
      </w:r>
      <w:r w:rsidRPr="00842D3D">
        <w:rPr>
          <w:rFonts w:eastAsia="Calibri" w:cs="Times New Roman"/>
          <w:i/>
          <w:iCs/>
          <w:szCs w:val="24"/>
        </w:rPr>
        <w:t>Hernandez v. City of San Jose</w:t>
      </w:r>
      <w:r w:rsidRPr="00842D3D">
        <w:rPr>
          <w:rFonts w:eastAsia="Calibri" w:cs="Times New Roman"/>
          <w:szCs w:val="24"/>
        </w:rPr>
        <w:t xml:space="preserve">, 897 F.3d 1125, 1133 (9th Cir. 2018) (quoting </w:t>
      </w:r>
      <w:r w:rsidRPr="00842D3D">
        <w:rPr>
          <w:rFonts w:eastAsia="Calibri" w:cs="Times New Roman"/>
          <w:i/>
          <w:iCs/>
          <w:szCs w:val="24"/>
        </w:rPr>
        <w:t>L.W. v. Grubbs</w:t>
      </w:r>
      <w:r w:rsidRPr="00842D3D">
        <w:rPr>
          <w:rFonts w:eastAsia="Calibri"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842D3D">
        <w:rPr>
          <w:rFonts w:eastAsia="Calibri" w:cs="Times New Roman"/>
          <w:i/>
          <w:iCs/>
          <w:szCs w:val="24"/>
        </w:rPr>
        <w:t>Id</w:t>
      </w:r>
      <w:r w:rsidRPr="00842D3D">
        <w:rPr>
          <w:rFonts w:eastAsia="Calibri" w:cs="Times New Roman"/>
          <w:szCs w:val="24"/>
        </w:rPr>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842D3D">
        <w:rPr>
          <w:rFonts w:eastAsia="Calibri" w:cs="Times New Roman"/>
          <w:i/>
          <w:iCs/>
          <w:szCs w:val="24"/>
        </w:rPr>
        <w:t>Id</w:t>
      </w:r>
      <w:r w:rsidRPr="00842D3D">
        <w:rPr>
          <w:rFonts w:eastAsia="Calibri" w:cs="Times New Roman"/>
          <w:szCs w:val="24"/>
        </w:rPr>
        <w:t xml:space="preserve">. (citations omitted). As an example, it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842D3D">
        <w:rPr>
          <w:rFonts w:eastAsia="Calibri" w:cs="Times New Roman"/>
          <w:i/>
          <w:iCs/>
          <w:szCs w:val="24"/>
        </w:rPr>
        <w:t>Martinez</w:t>
      </w:r>
      <w:r w:rsidRPr="00842D3D">
        <w:rPr>
          <w:rFonts w:eastAsia="Calibri" w:cs="Times New Roman"/>
          <w:szCs w:val="24"/>
        </w:rPr>
        <w:t xml:space="preserve">, 91 F.4th at 1031-32 (“[W]e now clarify that right going forward. An officer is liable under the state-created danger doctrine when the officer discloses a victim’s confidential report to a violent perpetrator in a manner that increases the risk of retaliation against the </w:t>
      </w:r>
      <w:r w:rsidRPr="00842D3D">
        <w:rPr>
          <w:rFonts w:eastAsia="Calibri" w:cs="Times New Roman"/>
        </w:rPr>
        <w:t xml:space="preserve">victim.”). In </w:t>
      </w:r>
      <w:r w:rsidRPr="00842D3D">
        <w:rPr>
          <w:rFonts w:eastAsia="Calibri" w:cs="Times New Roman"/>
          <w:i/>
          <w:iCs/>
        </w:rPr>
        <w:t>Estate of Soakai v. Abdelaziz</w:t>
      </w:r>
      <w:r w:rsidRPr="00842D3D">
        <w:rPr>
          <w:rFonts w:eastAsia="Calibri" w:cs="Times New Roman"/>
        </w:rPr>
        <w:t xml:space="preserve">, the Ninth Circuit held that it was clearly established that “hampering an individual’s access to emergency treatment can constitute a substantive due process violation when the ‘affirmative conduct’ prong of the state-created danger exception is also satisfied” and that “an officer’s inaction—such as failing to provide aid—can violate the Due Process Clause if the officer previously put another in danger, even if the officer’s earlier danger-creating conduct </w:t>
      </w:r>
      <w:r w:rsidRPr="00842D3D">
        <w:rPr>
          <w:rFonts w:eastAsia="Calibri" w:cs="Times New Roman"/>
        </w:rPr>
        <w:lastRenderedPageBreak/>
        <w:t xml:space="preserve">served legitimate law enforcement objectives.” 137 </w:t>
      </w:r>
      <w:r w:rsidR="00A35B30">
        <w:rPr>
          <w:rFonts w:eastAsia="Calibri" w:cs="Times New Roman"/>
        </w:rPr>
        <w:t xml:space="preserve">at </w:t>
      </w:r>
      <w:r w:rsidRPr="00842D3D">
        <w:rPr>
          <w:rFonts w:eastAsia="Calibri" w:cs="Times New Roman"/>
        </w:rPr>
        <w:t xml:space="preserve">986 (9th Cir. 2025). For a discussion of the state-created danger doctrine and the clearly established requirement in the context of a state prison exposing guards and inmates to a heightened danger from COVID-19, see </w:t>
      </w:r>
      <w:r w:rsidRPr="00842D3D">
        <w:rPr>
          <w:rFonts w:eastAsia="Calibri" w:cs="Times New Roman"/>
          <w:i/>
          <w:iCs/>
        </w:rPr>
        <w:t>Polanco</w:t>
      </w:r>
      <w:r w:rsidRPr="00842D3D">
        <w:rPr>
          <w:rFonts w:eastAsia="Calibri" w:cs="Times New Roman"/>
        </w:rPr>
        <w:t xml:space="preserve">, 76 F.4th at 926-31. For a discussion of foster children’s clearly established right to state protection in the supervision, protection, and safe foster care placement by a social worker, see </w:t>
      </w:r>
      <w:r w:rsidRPr="00842D3D">
        <w:rPr>
          <w:rFonts w:eastAsia="Calibri" w:cs="Times New Roman"/>
          <w:i/>
          <w:iCs/>
        </w:rPr>
        <w:t>Tamas v. Dep’t of Soc. &amp; Health Servs</w:t>
      </w:r>
      <w:r w:rsidRPr="00842D3D">
        <w:rPr>
          <w:rFonts w:eastAsia="Calibri" w:cs="Times New Roman"/>
        </w:rPr>
        <w:t>., 630 F.3d 833, 846-47 (9th Cir. 2010).</w:t>
      </w:r>
    </w:p>
    <w:p w14:paraId="092C4FCC" w14:textId="77777777" w:rsidR="00A35B30" w:rsidRPr="00842D3D" w:rsidRDefault="00A35B30" w:rsidP="00842D3D">
      <w:pPr>
        <w:widowControl w:val="0"/>
        <w:ind w:firstLine="720"/>
        <w:rPr>
          <w:rFonts w:eastAsia="Calibri" w:cs="Times New Roman"/>
          <w:szCs w:val="24"/>
        </w:rPr>
      </w:pPr>
    </w:p>
    <w:p w14:paraId="2E9AD7EF" w14:textId="77777777" w:rsidR="00842D3D" w:rsidRPr="00842D3D" w:rsidRDefault="00842D3D" w:rsidP="00842D3D">
      <w:pPr>
        <w:widowControl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r>
      <w:r w:rsidRPr="00842D3D">
        <w:rPr>
          <w:rFonts w:eastAsia="Calibri" w:cs="Times New Roman"/>
          <w:i/>
          <w:iCs/>
          <w:szCs w:val="24"/>
        </w:rPr>
        <w:t xml:space="preserve">Fourteenth Amendment </w:t>
      </w:r>
    </w:p>
    <w:p w14:paraId="055AC7D7" w14:textId="77777777" w:rsidR="00842D3D" w:rsidRPr="00842D3D" w:rsidRDefault="00842D3D" w:rsidP="00842D3D">
      <w:pPr>
        <w:widowControl w:val="0"/>
        <w:ind w:firstLine="720"/>
        <w:rPr>
          <w:rFonts w:eastAsia="Calibri" w:cs="Times New Roman"/>
          <w:szCs w:val="24"/>
        </w:rPr>
      </w:pPr>
    </w:p>
    <w:p w14:paraId="06B138A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bodily privacy. </w:t>
      </w:r>
      <w:r w:rsidRPr="00842D3D">
        <w:rPr>
          <w:rFonts w:eastAsia="Calibri" w:cs="Times New Roman"/>
          <w:i/>
          <w:iCs/>
          <w:szCs w:val="24"/>
        </w:rPr>
        <w:t>Vazquez v. County of Kern</w:t>
      </w:r>
      <w:r w:rsidRPr="00842D3D">
        <w:rPr>
          <w:rFonts w:eastAsia="Calibri" w:cs="Times New Roman"/>
          <w:szCs w:val="24"/>
        </w:rPr>
        <w:t xml:space="preserve">, 949 F.3d 1153, 1165 (9th Cir. 2020) (stating that a correctional officer at a juvenile detention facility was not entitled to qualified immunity for allegedly violating female ward’s Fourteenth Amendment right to bodily privacy by peering through a gap in a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842D3D">
        <w:rPr>
          <w:rFonts w:eastAsia="Calibri" w:cs="Times New Roman"/>
          <w:i/>
          <w:iCs/>
          <w:szCs w:val="24"/>
        </w:rPr>
        <w:t>Ioane v. Hodges</w:t>
      </w:r>
      <w:r w:rsidRPr="00842D3D">
        <w:rPr>
          <w:rFonts w:eastAsia="Calibri" w:cs="Times New Roman"/>
          <w:szCs w:val="24"/>
        </w:rPr>
        <w:t xml:space="preserve">, 939 F.3d 945, 957 (9th Cir. 2019). </w:t>
      </w:r>
    </w:p>
    <w:p w14:paraId="57D8402E" w14:textId="77777777" w:rsidR="00842D3D" w:rsidRPr="00842D3D" w:rsidRDefault="00842D3D" w:rsidP="00842D3D">
      <w:pPr>
        <w:widowControl w:val="0"/>
        <w:ind w:firstLine="720"/>
        <w:rPr>
          <w:rFonts w:eastAsia="Calibri" w:cs="Times New Roman"/>
          <w:szCs w:val="24"/>
        </w:rPr>
      </w:pPr>
    </w:p>
    <w:p w14:paraId="1E22FDC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be free from judicial deception in child custody proceedings.” </w:t>
      </w:r>
      <w:r w:rsidRPr="00842D3D">
        <w:rPr>
          <w:rFonts w:eastAsia="Calibri" w:cs="Times New Roman"/>
          <w:i/>
          <w:iCs/>
          <w:szCs w:val="24"/>
        </w:rPr>
        <w:t>Benavidez v. County of San Diego</w:t>
      </w:r>
      <w:r w:rsidRPr="00842D3D">
        <w:rPr>
          <w:rFonts w:eastAsia="Calibri" w:cs="Times New Roman"/>
          <w:szCs w:val="24"/>
        </w:rPr>
        <w:t xml:space="preserve">, 993 F.3d 1134, 1152-53 (9th Cir. 2021) (stating that county social workers were not entitled to qualified immunity for obtaining medical examinations of children that they had removed from parents’ home by means of knowingly or recklessly false representations to the juvenile court judge who authorized the examinations). </w:t>
      </w:r>
    </w:p>
    <w:p w14:paraId="3F6F7A30" w14:textId="77777777" w:rsidR="00842D3D" w:rsidRPr="00842D3D" w:rsidRDefault="00842D3D" w:rsidP="00842D3D">
      <w:pPr>
        <w:widowControl w:val="0"/>
        <w:ind w:firstLine="720"/>
        <w:rPr>
          <w:rFonts w:eastAsia="Calibri" w:cs="Times New Roman"/>
          <w:szCs w:val="24"/>
        </w:rPr>
      </w:pPr>
    </w:p>
    <w:p w14:paraId="32AF5FA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Gordon v. County of Orange</w:t>
      </w:r>
      <w:r w:rsidRPr="00842D3D">
        <w:rPr>
          <w:rFonts w:eastAsia="Calibri" w:cs="Times New Roman"/>
          <w:szCs w:val="24"/>
        </w:rPr>
        <w:t xml:space="preserve">, the Ninth Circuit stated that “[w]e now hold that pre-trial detainees do have a right to direct-view safety checks sufficient to determine whether their presentation indicates the need for medical treatment.” 6 F.4th 961, 973 (9th Cir. 2021) (“[L]aw enforcement and prison personnel should heed this warning because the recognition of this constitutional right will protect future detainees.”); </w:t>
      </w:r>
      <w:r w:rsidRPr="00842D3D">
        <w:rPr>
          <w:rFonts w:eastAsia="Calibri" w:cs="Times New Roman"/>
          <w:i/>
          <w:iCs/>
          <w:szCs w:val="24"/>
        </w:rPr>
        <w:t>see also Sandoval v. County of San Diego</w:t>
      </w:r>
      <w:r w:rsidRPr="00842D3D">
        <w:rPr>
          <w:rFonts w:eastAsia="Calibri" w:cs="Times New Roman"/>
          <w:szCs w:val="24"/>
        </w:rPr>
        <w:t xml:space="preserve">, 985 F.3d 657, 679-81 (9th Cir. 2021)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 </w:t>
      </w:r>
    </w:p>
    <w:p w14:paraId="0CF63A54" w14:textId="77777777" w:rsidR="00842D3D" w:rsidRPr="00842D3D" w:rsidRDefault="00842D3D" w:rsidP="00842D3D">
      <w:pPr>
        <w:widowControl w:val="0"/>
        <w:ind w:firstLine="720"/>
        <w:rPr>
          <w:rFonts w:eastAsia="Calibri" w:cs="Times New Roman"/>
          <w:szCs w:val="24"/>
        </w:rPr>
      </w:pPr>
    </w:p>
    <w:p w14:paraId="5D2871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Scott</w:t>
      </w:r>
      <w:r w:rsidRPr="00842D3D">
        <w:rPr>
          <w:rFonts w:eastAsia="Calibri" w:cs="Times New Roman"/>
          <w:szCs w:val="24"/>
        </w:rPr>
        <w:t xml:space="preserve">, the Ninth Circuit recognized as a clearly established right under the Fourteenth Amendment “going forward,” that a child has a constitutionally protected interest in the companionship of a parent. 109 F.4th at 1229-30. That right was violated by the officers’ “conscience shocking” use of force against the child’s parent, where the parent presented no immediate risk, was unarmed and in mental distress, complied with officers’ orders, and was not suspected of a crime, yet the officers used their bodyweight to forcefully restrain the parent, who “cried out in distress,” became “increasingly muffled and incoherent,” and shortly after lost consciousness (and ultimately died). </w:t>
      </w:r>
      <w:r w:rsidRPr="00842D3D">
        <w:rPr>
          <w:rFonts w:eastAsia="Calibri" w:cs="Times New Roman"/>
          <w:i/>
          <w:szCs w:val="24"/>
        </w:rPr>
        <w:t>Id.</w:t>
      </w:r>
      <w:r w:rsidRPr="00842D3D">
        <w:rPr>
          <w:rFonts w:eastAsia="Calibri" w:cs="Times New Roman"/>
          <w:szCs w:val="24"/>
        </w:rPr>
        <w:t xml:space="preserve"> at 1121, 1128-30.</w:t>
      </w:r>
    </w:p>
    <w:p w14:paraId="73888C79" w14:textId="77777777" w:rsidR="00842D3D" w:rsidRPr="00842D3D" w:rsidRDefault="00842D3D" w:rsidP="00842D3D">
      <w:pPr>
        <w:widowControl w:val="0"/>
        <w:ind w:firstLine="720"/>
        <w:rPr>
          <w:rFonts w:eastAsia="Calibri" w:cs="Times New Roman"/>
          <w:szCs w:val="24"/>
        </w:rPr>
      </w:pPr>
    </w:p>
    <w:p w14:paraId="5881F27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K.J. v. Jackson</w:t>
      </w:r>
      <w:r w:rsidRPr="00842D3D">
        <w:rPr>
          <w:rFonts w:eastAsia="Calibri" w:cs="Times New Roman"/>
          <w:szCs w:val="24"/>
        </w:rPr>
        <w:t xml:space="preserve">, 127 F.4th 1239, 1250 (9th Cir. 2025) (citing </w:t>
      </w:r>
      <w:r w:rsidRPr="00842D3D">
        <w:rPr>
          <w:rFonts w:eastAsia="Calibri" w:cs="Times New Roman"/>
          <w:i/>
          <w:iCs/>
          <w:szCs w:val="24"/>
        </w:rPr>
        <w:t>Goss v. Lopez</w:t>
      </w:r>
      <w:r w:rsidRPr="00842D3D">
        <w:rPr>
          <w:rFonts w:eastAsia="Calibri" w:cs="Times New Roman"/>
          <w:szCs w:val="24"/>
        </w:rPr>
        <w:t>, 419 U.S. 565 (1975)), the Ninth Circuit recognized as a clearly established right under the Fourteenth 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w:t>
      </w:r>
    </w:p>
    <w:p w14:paraId="0C3FD0D2"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 xml:space="preserve">In </w:t>
      </w:r>
      <w:r w:rsidRPr="00842D3D">
        <w:rPr>
          <w:rFonts w:eastAsia="Calibri" w:cs="Times New Roman"/>
          <w:i/>
          <w:iCs/>
        </w:rPr>
        <w:t>Estate of Soakai</w:t>
      </w:r>
      <w:r w:rsidRPr="00842D3D">
        <w:rPr>
          <w:rFonts w:eastAsia="Calibri" w:cs="Times New Roman"/>
        </w:rPr>
        <w:t>, the Ninth Circuit held that it was clearly established law that bystanders could bring a purpose-to-harm claim against defendant officers when the plaintiffs alleged that the defendants initiated a high speed car chase of a suspect without activating their lights or sirens, the suspect crashed into the plaintiffs, killing or injuring them, and the defendants expressed their hope that the suspect had died in the crash. 137 F.4th at 980-81, 986 (holding that three prior Ninth Circuit cases provided fair warning to defendants that their alleged conduct was unconstitutional).</w:t>
      </w:r>
    </w:p>
    <w:p w14:paraId="073AB8FF" w14:textId="77777777" w:rsidR="00842D3D" w:rsidRPr="00842D3D" w:rsidRDefault="00842D3D" w:rsidP="00842D3D">
      <w:pPr>
        <w:widowControl w:val="0"/>
        <w:ind w:firstLine="720"/>
        <w:rPr>
          <w:rFonts w:eastAsia="Calibri" w:cs="Times New Roman"/>
          <w:szCs w:val="24"/>
        </w:rPr>
      </w:pPr>
    </w:p>
    <w:p w14:paraId="72D7C4A8"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In</w:t>
      </w:r>
      <w:r w:rsidRPr="00842D3D">
        <w:rPr>
          <w:rFonts w:eastAsia="Calibri" w:cs="Times New Roman"/>
          <w:i/>
        </w:rPr>
        <w:t xml:space="preserve"> D’Braunstein v. Cal. Highway Patrol</w:t>
      </w:r>
      <w:r w:rsidRPr="00842D3D">
        <w:rPr>
          <w:rFonts w:eastAsia="Calibri" w:cs="Times New Roman"/>
        </w:rPr>
        <w:t xml:space="preserve">, the Ninth Circuit stated that “it is clearly established [under the Fourth and Fourteenth Amendments] that officers must seek to provide an injured detainee or arrestee with objectively reasonable medical care in the face of medical necessity creating a substantial and obvious risk of serious harm, including by summoning medical assistance.” 131 F.4th 764, 771 (9th Cir. 2025). “Officers may not act with objective deliberate indifference to such a medical need.” </w:t>
      </w:r>
      <w:r w:rsidRPr="00842D3D">
        <w:rPr>
          <w:rFonts w:eastAsia="Calibri" w:cs="Times New Roman"/>
          <w:i/>
        </w:rPr>
        <w:t>Id.</w:t>
      </w:r>
      <w:r w:rsidRPr="00842D3D">
        <w:rPr>
          <w:rFonts w:eastAsia="Calibri" w:cs="Times New Roman"/>
        </w:rPr>
        <w:t xml:space="preserve">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rPr>
        <w:t>Id.</w:t>
      </w:r>
      <w:r w:rsidRPr="00842D3D">
        <w:rPr>
          <w:rFonts w:eastAsia="Calibri" w:cs="Times New Roman"/>
        </w:rPr>
        <w:t xml:space="preserve"> at 769.</w:t>
      </w:r>
    </w:p>
    <w:p w14:paraId="5AA05FCF" w14:textId="77777777" w:rsidR="00842D3D" w:rsidRPr="00842D3D" w:rsidRDefault="00842D3D" w:rsidP="00842D3D">
      <w:pPr>
        <w:widowControl w:val="0"/>
        <w:rPr>
          <w:rFonts w:eastAsia="Calibri" w:cs="Times New Roman"/>
          <w:szCs w:val="24"/>
        </w:rPr>
      </w:pPr>
    </w:p>
    <w:p w14:paraId="55886EED" w14:textId="77777777" w:rsidR="00842D3D" w:rsidRPr="00842D3D" w:rsidRDefault="00842D3D" w:rsidP="00842D3D">
      <w:pPr>
        <w:widowControl w:val="0"/>
        <w:ind w:left="2160" w:hanging="720"/>
        <w:rPr>
          <w:rFonts w:eastAsia="Calibri" w:cs="Times New Roman"/>
          <w:i/>
          <w:iCs/>
          <w:szCs w:val="24"/>
        </w:rPr>
      </w:pPr>
      <w:r w:rsidRPr="00842D3D">
        <w:rPr>
          <w:rFonts w:eastAsia="Calibri" w:cs="Times New Roman"/>
          <w:szCs w:val="24"/>
        </w:rPr>
        <w:t>8.</w:t>
      </w:r>
      <w:r w:rsidRPr="00842D3D">
        <w:rPr>
          <w:rFonts w:eastAsia="Calibri" w:cs="Times New Roman"/>
          <w:szCs w:val="24"/>
        </w:rPr>
        <w:tab/>
        <w:t>Monell</w:t>
      </w:r>
      <w:r w:rsidRPr="00842D3D">
        <w:rPr>
          <w:rFonts w:eastAsia="Calibri" w:cs="Times New Roman"/>
          <w:i/>
          <w:iCs/>
          <w:szCs w:val="24"/>
        </w:rPr>
        <w:t xml:space="preserve"> Liability </w:t>
      </w:r>
    </w:p>
    <w:p w14:paraId="6E14550F" w14:textId="77777777" w:rsidR="00842D3D" w:rsidRPr="00842D3D" w:rsidRDefault="00842D3D" w:rsidP="00842D3D">
      <w:pPr>
        <w:widowControl w:val="0"/>
        <w:ind w:firstLine="720"/>
        <w:rPr>
          <w:rFonts w:eastAsia="Calibri" w:cs="Times New Roman"/>
          <w:szCs w:val="24"/>
        </w:rPr>
      </w:pPr>
    </w:p>
    <w:p w14:paraId="1D100DE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Qualified immunity does not apply to municipalities. </w:t>
      </w:r>
      <w:r w:rsidRPr="00842D3D">
        <w:rPr>
          <w:rFonts w:eastAsia="Calibri" w:cs="Times New Roman"/>
          <w:i/>
          <w:iCs/>
          <w:szCs w:val="24"/>
        </w:rPr>
        <w:t>Owen v. City of Independence</w:t>
      </w:r>
      <w:r w:rsidRPr="00842D3D">
        <w:rPr>
          <w:rFonts w:eastAsia="Calibri" w:cs="Times New Roman"/>
          <w:szCs w:val="24"/>
        </w:rPr>
        <w:t xml:space="preserve">, 445 U.S. 622, 645-47 (1980); </w:t>
      </w:r>
      <w:r w:rsidRPr="00842D3D">
        <w:rPr>
          <w:rFonts w:eastAsia="Calibri" w:cs="Times New Roman"/>
          <w:i/>
          <w:iCs/>
          <w:szCs w:val="24"/>
        </w:rPr>
        <w:t>Allen v. Santa Clara Cnty. Corr. Peace Officers Ass’n</w:t>
      </w:r>
      <w:r w:rsidRPr="00842D3D">
        <w:rPr>
          <w:rFonts w:eastAsia="Calibri" w:cs="Times New Roman"/>
          <w:szCs w:val="24"/>
        </w:rPr>
        <w:t xml:space="preserve">, 38 F.4th 68, 71 (9th Cir. 2022) (“[P]recedent recognizes that municipalities are generally liable in the same way as private corporations in § 1983 actions” and a good faith defense may apply in limited circumstances). </w:t>
      </w:r>
    </w:p>
    <w:p w14:paraId="0BF2D8C0" w14:textId="77777777" w:rsidR="00842D3D" w:rsidRPr="00842D3D" w:rsidRDefault="00842D3D" w:rsidP="00842D3D">
      <w:pPr>
        <w:widowControl w:val="0"/>
        <w:ind w:firstLine="720"/>
        <w:rPr>
          <w:rFonts w:eastAsia="Calibri" w:cs="Times New Roman"/>
          <w:szCs w:val="24"/>
        </w:rPr>
      </w:pPr>
    </w:p>
    <w:p w14:paraId="7E71F23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rejected the view that municipal liability is precluded as a matter of law under § 1983 when the individual officers are exonerated of constitutional wrongdoing. </w:t>
      </w:r>
      <w:r w:rsidRPr="00842D3D">
        <w:rPr>
          <w:rFonts w:eastAsia="Calibri" w:cs="Times New Roman"/>
          <w:i/>
          <w:iCs/>
          <w:szCs w:val="24"/>
        </w:rPr>
        <w:t>Richards v. County of San Bernardino</w:t>
      </w:r>
      <w:r w:rsidRPr="00842D3D">
        <w:rPr>
          <w:rFonts w:eastAsia="Calibri" w:cs="Times New Roman"/>
          <w:szCs w:val="24"/>
        </w:rPr>
        <w:t xml:space="preserve">, 39 F.4th 562, 574 (9th Cir. 2022). If a plaintiff established he suffered constitutional injury by the county, the fact that individual officers are exonerated is immaterial to liability under § 1983. </w:t>
      </w:r>
      <w:r w:rsidRPr="00842D3D">
        <w:rPr>
          <w:rFonts w:eastAsia="Calibri" w:cs="Times New Roman"/>
          <w:i/>
          <w:iCs/>
          <w:szCs w:val="24"/>
        </w:rPr>
        <w:t>Mendiola-Martinez v. Arpaio</w:t>
      </w:r>
      <w:r w:rsidRPr="00842D3D">
        <w:rPr>
          <w:rFonts w:eastAsia="Calibri" w:cs="Times New Roman"/>
          <w:szCs w:val="24"/>
        </w:rPr>
        <w:t xml:space="preserve">, 836 F.3d 1239, 1250 n.12 (9th Cir. 2016) (citing </w:t>
      </w:r>
      <w:r w:rsidRPr="00842D3D">
        <w:rPr>
          <w:rFonts w:eastAsia="Calibri" w:cs="Times New Roman"/>
          <w:i/>
          <w:iCs/>
          <w:szCs w:val="24"/>
        </w:rPr>
        <w:t>Fairley v. Luman</w:t>
      </w:r>
      <w:r w:rsidRPr="00842D3D">
        <w:rPr>
          <w:rFonts w:eastAsia="Calibri" w:cs="Times New Roman"/>
          <w:szCs w:val="24"/>
        </w:rPr>
        <w:t xml:space="preserve">, 281 F.3d 913, 917 (9th Cir. 2002)). “This is true whether the officers are exonerated on the basis of qualified immunity, because they were merely negligent, or for other failure of proof.” </w:t>
      </w:r>
      <w:r w:rsidRPr="00842D3D">
        <w:rPr>
          <w:rFonts w:eastAsia="Calibri" w:cs="Times New Roman"/>
          <w:i/>
          <w:iCs/>
          <w:szCs w:val="24"/>
        </w:rPr>
        <w:t>Fairley</w:t>
      </w:r>
      <w:r w:rsidRPr="00842D3D">
        <w:rPr>
          <w:rFonts w:eastAsia="Calibri" w:cs="Times New Roman"/>
          <w:szCs w:val="24"/>
        </w:rPr>
        <w:t xml:space="preserve">, 281 F.3d at 917 n.4. </w:t>
      </w:r>
    </w:p>
    <w:p w14:paraId="74656E0F" w14:textId="77777777" w:rsidR="00842D3D" w:rsidRPr="00842D3D" w:rsidRDefault="00842D3D" w:rsidP="00842D3D">
      <w:pPr>
        <w:widowControl w:val="0"/>
        <w:ind w:firstLine="720"/>
        <w:rPr>
          <w:rFonts w:eastAsia="Calibri" w:cs="Times New Roman"/>
          <w:szCs w:val="24"/>
        </w:rPr>
      </w:pPr>
    </w:p>
    <w:p w14:paraId="723C2610" w14:textId="77777777" w:rsidR="00842D3D" w:rsidRDefault="00842D3D" w:rsidP="00842D3D">
      <w:pPr>
        <w:widowControl w:val="0"/>
        <w:ind w:firstLine="720"/>
        <w:rPr>
          <w:rFonts w:eastAsia="Calibri" w:cs="Times New Roman"/>
          <w:szCs w:val="24"/>
        </w:rPr>
      </w:pPr>
      <w:r w:rsidRPr="00842D3D">
        <w:rPr>
          <w:rFonts w:eastAsia="Calibri" w:cs="Times New Roman"/>
          <w:szCs w:val="24"/>
        </w:rPr>
        <w:t xml:space="preserve">For instructions against local governing bodies, see the following instructions: 9.5 (Section 1983 Claim Against Local Governing Body Defendants Based on Unlawful Official </w:t>
      </w:r>
      <w:r w:rsidRPr="00842D3D">
        <w:rPr>
          <w:rFonts w:eastAsia="Calibri" w:cs="Times New Roman"/>
          <w:szCs w:val="24"/>
        </w:rPr>
        <w:lastRenderedPageBreak/>
        <w:t xml:space="preserve">Policy, Practice, or Custom—Elements and Burden of Proof),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 </w:t>
      </w:r>
    </w:p>
    <w:p w14:paraId="6452D2CD" w14:textId="77777777" w:rsidR="000A16ED" w:rsidRDefault="000A16ED" w:rsidP="000A16ED">
      <w:pPr>
        <w:widowControl w:val="0"/>
        <w:ind w:firstLine="720"/>
        <w:rPr>
          <w:rFonts w:eastAsia="Calibri" w:cs="Times New Roman"/>
          <w:szCs w:val="24"/>
        </w:rPr>
      </w:pPr>
    </w:p>
    <w:p w14:paraId="586DF3EA" w14:textId="77777777" w:rsidR="000A16ED" w:rsidRDefault="000A16ED" w:rsidP="000A16ED">
      <w:pPr>
        <w:widowControl w:val="0"/>
        <w:ind w:firstLine="720"/>
        <w:rPr>
          <w:rFonts w:eastAsia="Calibri" w:cs="Times New Roman"/>
        </w:rPr>
      </w:pPr>
      <w:r w:rsidRPr="00A06E29">
        <w:rPr>
          <w:rFonts w:eastAsia="Calibri" w:cs="Times New Roman"/>
        </w:rPr>
        <w:t>9.</w:t>
      </w:r>
      <w:r w:rsidRPr="00A06E29">
        <w:rPr>
          <w:rFonts w:eastAsia="Calibri" w:cs="Times New Roman"/>
        </w:rPr>
        <w:tab/>
      </w:r>
      <w:r w:rsidRPr="00A06E29">
        <w:rPr>
          <w:rFonts w:eastAsia="Calibri" w:cs="Times New Roman"/>
          <w:i/>
          <w:iCs/>
        </w:rPr>
        <w:t>Eighth Amendment</w:t>
      </w:r>
      <w:r w:rsidRPr="00A06E29">
        <w:rPr>
          <w:rFonts w:eastAsia="Calibri" w:cs="Times New Roman"/>
        </w:rPr>
        <w:t xml:space="preserve"> </w:t>
      </w:r>
    </w:p>
    <w:p w14:paraId="0D333200" w14:textId="77777777" w:rsidR="000A16ED" w:rsidRPr="00A06E29" w:rsidRDefault="000A16ED" w:rsidP="000A16ED">
      <w:pPr>
        <w:widowControl w:val="0"/>
        <w:ind w:firstLine="720"/>
        <w:rPr>
          <w:rFonts w:eastAsia="Calibri" w:cs="Times New Roman"/>
        </w:rPr>
      </w:pPr>
    </w:p>
    <w:p w14:paraId="0011E340" w14:textId="77777777" w:rsidR="000A16ED" w:rsidRPr="00A815ED" w:rsidRDefault="000A16ED" w:rsidP="000A16ED">
      <w:pPr>
        <w:ind w:firstLine="720"/>
        <w:rPr>
          <w:rFonts w:eastAsia="Calibri" w:cs="Times New Roman"/>
        </w:rPr>
      </w:pPr>
      <w:r w:rsidRPr="00A06E29">
        <w:rPr>
          <w:rFonts w:eastAsia="Calibri" w:cs="Times New Roman"/>
        </w:rPr>
        <w:t xml:space="preserve">There is a clearly established right under the Eighth Amendment for prisoners to have outdoor exercise or “otherwise meaningful opportunities for recreation.” </w:t>
      </w:r>
      <w:r w:rsidRPr="00A06E29">
        <w:rPr>
          <w:rFonts w:cs="Times New Roman"/>
          <w:i/>
          <w:iCs/>
        </w:rPr>
        <w:t>Cardenas-Ornelas v. Johnson</w:t>
      </w:r>
      <w:r w:rsidRPr="00A06E29">
        <w:rPr>
          <w:rFonts w:cs="Times New Roman"/>
        </w:rPr>
        <w:t>, 165 F.4th 1234, 1240 (9th Cir. 202</w:t>
      </w:r>
      <w:r>
        <w:rPr>
          <w:rFonts w:cs="Times New Roman"/>
        </w:rPr>
        <w:t>6</w:t>
      </w:r>
      <w:r w:rsidRPr="00A06E29">
        <w:rPr>
          <w:rFonts w:cs="Times New Roman"/>
        </w:rPr>
        <w:t>)</w:t>
      </w:r>
      <w:r>
        <w:rPr>
          <w:rFonts w:cs="Times New Roman"/>
        </w:rPr>
        <w:t xml:space="preserve">; </w:t>
      </w:r>
      <w:r w:rsidRPr="00A06E29">
        <w:rPr>
          <w:rFonts w:cs="Times New Roman"/>
          <w:i/>
          <w:iCs/>
        </w:rPr>
        <w:t>Shorter v. Baca</w:t>
      </w:r>
      <w:r w:rsidRPr="00A06E29">
        <w:rPr>
          <w:rFonts w:cs="Times New Roman"/>
        </w:rPr>
        <w:t>, 895 F.3d 1176, 1185</w:t>
      </w:r>
      <w:r>
        <w:rPr>
          <w:rFonts w:cs="Times New Roman"/>
        </w:rPr>
        <w:t>-</w:t>
      </w:r>
      <w:r w:rsidRPr="00A06E29">
        <w:rPr>
          <w:rFonts w:cs="Times New Roman"/>
        </w:rPr>
        <w:t xml:space="preserve">86 (9th Cir. 2018); </w:t>
      </w:r>
      <w:r w:rsidRPr="00A06E29">
        <w:rPr>
          <w:rFonts w:cs="Times New Roman"/>
          <w:i/>
          <w:iCs/>
        </w:rPr>
        <w:t>Thomas v. Ponder</w:t>
      </w:r>
      <w:r w:rsidRPr="00A06E29">
        <w:rPr>
          <w:rFonts w:cs="Times New Roman"/>
        </w:rPr>
        <w:t xml:space="preserve">, 611 F.3d 1144, 1152 (9th Cir. 2010); </w:t>
      </w:r>
      <w:r w:rsidRPr="00A06E29">
        <w:rPr>
          <w:rFonts w:cs="Times New Roman"/>
          <w:i/>
          <w:iCs/>
        </w:rPr>
        <w:t>LeMaire v. Maass</w:t>
      </w:r>
      <w:r w:rsidRPr="00A06E29">
        <w:rPr>
          <w:rFonts w:cs="Times New Roman"/>
        </w:rPr>
        <w:t xml:space="preserve">, 12 F.3d 1444, 1457 (9th Cir. 1993); </w:t>
      </w:r>
      <w:r w:rsidRPr="00A06E29">
        <w:rPr>
          <w:rFonts w:cs="Times New Roman"/>
          <w:i/>
          <w:iCs/>
        </w:rPr>
        <w:t>Spain v. Procunier</w:t>
      </w:r>
      <w:r w:rsidRPr="00A06E29">
        <w:rPr>
          <w:rFonts w:cs="Times New Roman"/>
        </w:rPr>
        <w:t>, 600 F.2d 189, 199</w:t>
      </w:r>
      <w:r>
        <w:rPr>
          <w:rFonts w:cs="Times New Roman"/>
        </w:rPr>
        <w:t>-</w:t>
      </w:r>
      <w:r w:rsidRPr="00A06E29">
        <w:rPr>
          <w:rFonts w:cs="Times New Roman"/>
        </w:rPr>
        <w:t xml:space="preserve">200 (9th Cir. 1979). </w:t>
      </w:r>
    </w:p>
    <w:p w14:paraId="4947B909" w14:textId="77777777" w:rsidR="000A16ED" w:rsidRDefault="000A16ED" w:rsidP="000A16ED">
      <w:pPr>
        <w:widowControl w:val="0"/>
        <w:ind w:firstLine="720"/>
        <w:rPr>
          <w:rFonts w:eastAsia="Calibri" w:cs="Times New Roman"/>
          <w:szCs w:val="24"/>
        </w:rPr>
      </w:pPr>
    </w:p>
    <w:p w14:paraId="5F925D3E" w14:textId="77777777" w:rsidR="000A16ED" w:rsidRPr="000D394D" w:rsidRDefault="000A16ED" w:rsidP="000A16ED">
      <w:pPr>
        <w:ind w:firstLine="720"/>
        <w:rPr>
          <w:rFonts w:cs="Times New Roman"/>
        </w:rPr>
      </w:pPr>
      <w:r w:rsidRPr="000D394D">
        <w:rPr>
          <w:rFonts w:cs="Times New Roman"/>
        </w:rPr>
        <w:t>10.</w:t>
      </w:r>
      <w:r w:rsidRPr="000D394D">
        <w:rPr>
          <w:rFonts w:cs="Times New Roman"/>
          <w:i/>
          <w:iCs/>
        </w:rPr>
        <w:tab/>
        <w:t>Fourth Amendment</w:t>
      </w:r>
      <w:r w:rsidRPr="000D394D">
        <w:rPr>
          <w:rFonts w:cs="Times New Roman"/>
        </w:rPr>
        <w:t xml:space="preserve"> </w:t>
      </w:r>
    </w:p>
    <w:p w14:paraId="0D100C3D" w14:textId="77777777" w:rsidR="000A16ED" w:rsidRPr="000D394D" w:rsidRDefault="000A16ED" w:rsidP="000A16ED">
      <w:pPr>
        <w:ind w:firstLine="720"/>
        <w:rPr>
          <w:rFonts w:cs="Times New Roman"/>
        </w:rPr>
      </w:pPr>
    </w:p>
    <w:p w14:paraId="3BB2252D" w14:textId="77777777" w:rsidR="000A16ED" w:rsidRDefault="000A16ED" w:rsidP="000A16ED">
      <w:pPr>
        <w:ind w:firstLine="720"/>
        <w:rPr>
          <w:rFonts w:cs="Times New Roman"/>
        </w:rPr>
      </w:pPr>
      <w:r w:rsidRPr="000D394D">
        <w:rPr>
          <w:rFonts w:cs="Times New Roman"/>
        </w:rPr>
        <w:t xml:space="preserve">Although prosecutors enjoy immunity for prosecutorial actions, it is clearly established that a state actor who presents knowingly false testimony for an arrest warrant violates the Fourth Amendment. </w:t>
      </w:r>
      <w:r w:rsidRPr="000D394D">
        <w:rPr>
          <w:rFonts w:cs="Times New Roman"/>
          <w:i/>
          <w:iCs/>
        </w:rPr>
        <w:t xml:space="preserve">Gibson v. City of Portland, </w:t>
      </w:r>
      <w:r w:rsidRPr="000D394D">
        <w:rPr>
          <w:rFonts w:cs="Times New Roman"/>
        </w:rPr>
        <w:t>165 F.4th 1265, 1285 (9th Cir. 2026)</w:t>
      </w:r>
      <w:r>
        <w:rPr>
          <w:rFonts w:cs="Times New Roman"/>
        </w:rPr>
        <w:t>.</w:t>
      </w:r>
    </w:p>
    <w:p w14:paraId="5790AD3D" w14:textId="77777777" w:rsidR="000A16ED" w:rsidRPr="00842D3D" w:rsidRDefault="000A16ED" w:rsidP="00842D3D">
      <w:pPr>
        <w:widowControl w:val="0"/>
        <w:ind w:firstLine="720"/>
        <w:rPr>
          <w:rFonts w:eastAsia="Calibri" w:cs="Times New Roman"/>
          <w:szCs w:val="24"/>
        </w:rPr>
      </w:pPr>
    </w:p>
    <w:p w14:paraId="088D3451" w14:textId="77777777" w:rsidR="00842D3D" w:rsidRPr="00842D3D" w:rsidRDefault="00842D3D" w:rsidP="00842D3D">
      <w:pPr>
        <w:widowControl w:val="0"/>
        <w:rPr>
          <w:rFonts w:eastAsia="Calibri" w:cs="Times New Roman"/>
          <w:szCs w:val="24"/>
        </w:rPr>
      </w:pPr>
    </w:p>
    <w:p w14:paraId="2C1CCEAF"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at Trial </w:t>
      </w:r>
    </w:p>
    <w:p w14:paraId="6831DF72" w14:textId="77777777" w:rsidR="00842D3D" w:rsidRPr="00842D3D" w:rsidRDefault="00842D3D" w:rsidP="00842D3D">
      <w:pPr>
        <w:widowControl w:val="0"/>
        <w:ind w:firstLine="720"/>
        <w:rPr>
          <w:rFonts w:eastAsia="Calibri" w:cs="Times New Roman"/>
          <w:szCs w:val="24"/>
        </w:rPr>
      </w:pPr>
    </w:p>
    <w:p w14:paraId="5C560A6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842D3D">
        <w:rPr>
          <w:rFonts w:eastAsia="Calibri" w:cs="Times New Roman"/>
          <w:i/>
          <w:iCs/>
          <w:szCs w:val="24"/>
        </w:rPr>
        <w:t>See Torres</w:t>
      </w:r>
      <w:r w:rsidRPr="00842D3D">
        <w:rPr>
          <w:rFonts w:eastAsia="Calibri" w:cs="Times New Roman"/>
          <w:szCs w:val="24"/>
        </w:rPr>
        <w:t xml:space="preserve">, 548 F.3d at 1211 n.9. When a case proceeds to trial “qualified immunity can no longer rightly be called an ‘immunity from suit’ (since the suit has already proceeded to its conclusion); rather, it is now effectively a defense.” </w:t>
      </w:r>
      <w:r w:rsidRPr="00842D3D">
        <w:rPr>
          <w:rFonts w:eastAsia="Calibri" w:cs="Times New Roman"/>
          <w:i/>
          <w:iCs/>
          <w:szCs w:val="24"/>
        </w:rPr>
        <w:t xml:space="preserve">Sloman v. Tadlock, </w:t>
      </w:r>
      <w:r w:rsidRPr="00842D3D">
        <w:rPr>
          <w:rFonts w:eastAsia="Calibri" w:cs="Times New Roman"/>
          <w:szCs w:val="24"/>
        </w:rPr>
        <w:t xml:space="preserve">21 F.3d 1462, 1468 n.6 (9th Cir. 1994). </w:t>
      </w:r>
    </w:p>
    <w:p w14:paraId="6BD90FA4" w14:textId="77777777" w:rsidR="00842D3D" w:rsidRPr="00842D3D" w:rsidRDefault="00842D3D" w:rsidP="00842D3D">
      <w:pPr>
        <w:widowControl w:val="0"/>
        <w:ind w:firstLine="720"/>
        <w:rPr>
          <w:rFonts w:eastAsia="Calibri" w:cs="Times New Roman"/>
          <w:szCs w:val="24"/>
        </w:rPr>
      </w:pPr>
    </w:p>
    <w:p w14:paraId="0139EFB5"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dilemma arises when a qualified immunity case goes to trial because disputed factual issues remain. </w:t>
      </w:r>
      <w:r w:rsidRPr="00842D3D">
        <w:rPr>
          <w:rFonts w:eastAsia="Calibri" w:cs="Times New Roman"/>
          <w:i/>
          <w:iCs/>
          <w:szCs w:val="24"/>
        </w:rPr>
        <w:t>Torres</w:t>
      </w:r>
      <w:r w:rsidRPr="00842D3D">
        <w:rPr>
          <w:rFonts w:eastAsia="Calibri" w:cs="Times New Roman"/>
          <w:szCs w:val="24"/>
        </w:rPr>
        <w:t xml:space="preserve">, 548 F.3d at 1211 n.9. When there are disputed factual issues that are necessary to a qualified immunity decision, these issues must first be determined by the jury before the court can rule on qualified immunity. </w:t>
      </w:r>
      <w:r w:rsidRPr="00842D3D">
        <w:rPr>
          <w:rFonts w:eastAsia="Calibri" w:cs="Times New Roman"/>
          <w:i/>
          <w:iCs/>
          <w:szCs w:val="24"/>
        </w:rPr>
        <w:t>Morales</w:t>
      </w:r>
      <w:r w:rsidRPr="00842D3D">
        <w:rPr>
          <w:rFonts w:eastAsia="Calibri" w:cs="Times New Roman"/>
          <w:szCs w:val="24"/>
        </w:rPr>
        <w:t xml:space="preserve">, 873 F.3d at 824. “[C]omparing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842D3D">
        <w:rPr>
          <w:rFonts w:eastAsia="Calibri" w:cs="Times New Roman"/>
          <w:i/>
          <w:iCs/>
          <w:szCs w:val="24"/>
        </w:rPr>
        <w:t>Id</w:t>
      </w:r>
      <w:r w:rsidRPr="00842D3D">
        <w:rPr>
          <w:rFonts w:eastAsia="Calibri" w:cs="Times New Roman"/>
          <w:szCs w:val="24"/>
        </w:rPr>
        <w:t xml:space="preserve">. </w:t>
      </w:r>
    </w:p>
    <w:p w14:paraId="26ADA03D" w14:textId="77777777" w:rsidR="00842D3D" w:rsidRPr="00842D3D" w:rsidRDefault="00842D3D" w:rsidP="00842D3D">
      <w:pPr>
        <w:widowControl w:val="0"/>
        <w:ind w:firstLine="720"/>
        <w:rPr>
          <w:rFonts w:eastAsia="Calibri" w:cs="Times New Roman"/>
          <w:szCs w:val="24"/>
        </w:rPr>
      </w:pPr>
    </w:p>
    <w:p w14:paraId="6DE9017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Special interrogatories to the jury can be used to establish disputed material facts. </w:t>
      </w:r>
      <w:r w:rsidRPr="00842D3D">
        <w:rPr>
          <w:rFonts w:eastAsia="Calibri" w:cs="Times New Roman"/>
          <w:i/>
          <w:iCs/>
          <w:szCs w:val="24"/>
        </w:rPr>
        <w:t>Morales</w:t>
      </w:r>
      <w:r w:rsidRPr="00842D3D">
        <w:rPr>
          <w:rFonts w:eastAsia="Calibri" w:cs="Times New Roman"/>
          <w:szCs w:val="24"/>
        </w:rPr>
        <w:t xml:space="preserve">, 873 F.3d at 824 (acknowledging jury interrogatories should be restricted to the who-what-when-where-why type of historical fact issues) (citing cases from the First, Second, Third, Fourth, Sixth, Seventh, Eighth, Eleventh, and District of Columbia Circuits); </w:t>
      </w:r>
      <w:r w:rsidRPr="00842D3D">
        <w:rPr>
          <w:rFonts w:eastAsia="Calibri" w:cs="Times New Roman"/>
          <w:i/>
          <w:iCs/>
          <w:szCs w:val="24"/>
        </w:rPr>
        <w:t>Conner v. Heiman</w:t>
      </w:r>
      <w:r w:rsidRPr="00842D3D">
        <w:rPr>
          <w:rFonts w:eastAsia="Calibri" w:cs="Times New Roman"/>
          <w:szCs w:val="24"/>
        </w:rPr>
        <w:t xml:space="preserve">, </w:t>
      </w:r>
      <w:r w:rsidRPr="00842D3D">
        <w:rPr>
          <w:rFonts w:eastAsia="Calibri" w:cs="Times New Roman"/>
          <w:szCs w:val="24"/>
        </w:rPr>
        <w:lastRenderedPageBreak/>
        <w:t xml:space="preserve">672 F.3d 1126, 1131 n.2 (9th Cir. 2012) (“[W]hile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842D3D">
        <w:rPr>
          <w:rFonts w:eastAsia="Calibri" w:cs="Times New Roman"/>
          <w:i/>
          <w:iCs/>
          <w:szCs w:val="24"/>
        </w:rPr>
        <w:t>Morales</w:t>
      </w:r>
      <w:r w:rsidRPr="00842D3D">
        <w:rPr>
          <w:rFonts w:eastAsia="Calibri" w:cs="Times New Roman"/>
          <w:szCs w:val="24"/>
        </w:rPr>
        <w:t xml:space="preserve">, 873 F.3d at 824-25. Thus, consistent with this case law, there may be particular cases in which a special verdict on a discrete fact is warranted to resolve a qualified immunity claim. </w:t>
      </w:r>
    </w:p>
    <w:p w14:paraId="1EE99473" w14:textId="77777777" w:rsidR="00842D3D" w:rsidRPr="00842D3D" w:rsidRDefault="00842D3D" w:rsidP="00842D3D">
      <w:pPr>
        <w:widowControl w:val="0"/>
        <w:ind w:firstLine="720"/>
        <w:rPr>
          <w:rFonts w:eastAsia="Calibri" w:cs="Times New Roman"/>
          <w:szCs w:val="24"/>
        </w:rPr>
      </w:pPr>
    </w:p>
    <w:p w14:paraId="01F0BE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But a special verdict is not required in every qualified immunity case involving disputed issues of material fact for the purpose of evaluating a post-verdict qualified immunity defense. </w:t>
      </w:r>
      <w:r w:rsidRPr="00842D3D">
        <w:rPr>
          <w:rFonts w:eastAsia="Calibri" w:cs="Times New Roman"/>
          <w:i/>
          <w:iCs/>
          <w:szCs w:val="24"/>
        </w:rPr>
        <w:t>See Lam v. City of San Jose</w:t>
      </w:r>
      <w:r w:rsidRPr="00842D3D">
        <w:rPr>
          <w:rFonts w:eastAsia="Calibri" w:cs="Times New Roman"/>
          <w:szCs w:val="24"/>
        </w:rPr>
        <w:t xml:space="preserve">, 869 F.3d 1077, 1086 (9th Cir. 2017) (“[T]he decision ‘whether to submit special interrogatories to the jury is a matter committed to the discretion of the district court.’” (quoting </w:t>
      </w:r>
      <w:r w:rsidRPr="00842D3D">
        <w:rPr>
          <w:rFonts w:eastAsia="Calibri" w:cs="Times New Roman"/>
          <w:i/>
          <w:iCs/>
          <w:szCs w:val="24"/>
        </w:rPr>
        <w:t>Ruvalcaba v. City of Los Angeles</w:t>
      </w:r>
      <w:r w:rsidRPr="00842D3D">
        <w:rPr>
          <w:rFonts w:eastAsia="Calibri" w:cs="Times New Roman"/>
          <w:szCs w:val="24"/>
        </w:rPr>
        <w:t xml:space="preserve">, 167 F.3d 514, 522 (9th Cir. 1999)); </w:t>
      </w:r>
      <w:r w:rsidRPr="00842D3D">
        <w:rPr>
          <w:rFonts w:eastAsia="Calibri" w:cs="Times New Roman"/>
          <w:i/>
          <w:iCs/>
          <w:szCs w:val="24"/>
        </w:rPr>
        <w:t>see also Ruvalcaba</w:t>
      </w:r>
      <w:r w:rsidRPr="00842D3D">
        <w:rPr>
          <w:rFonts w:eastAsia="Calibri" w:cs="Times New Roman"/>
          <w:szCs w:val="24"/>
        </w:rPr>
        <w:t xml:space="preserve">, 167 F.3d at 522 (stating that submitting special interrogatories to the jury is a matter of trial court discretion, but that “[w]e now expressly hold that a district court shall disclose [to the parties] at least the substance of special interrogatories before closing arguments have been completed”)); </w:t>
      </w:r>
      <w:r w:rsidRPr="00842D3D">
        <w:rPr>
          <w:rFonts w:eastAsia="Calibri" w:cs="Times New Roman"/>
          <w:i/>
          <w:iCs/>
          <w:szCs w:val="24"/>
        </w:rPr>
        <w:t>Sloman</w:t>
      </w:r>
      <w:r w:rsidRPr="00842D3D">
        <w:rPr>
          <w:rFonts w:eastAsia="Calibri" w:cs="Times New Roman"/>
          <w:szCs w:val="24"/>
        </w:rPr>
        <w:t xml:space="preserve">,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 </w:t>
      </w:r>
    </w:p>
    <w:p w14:paraId="0BD4425F" w14:textId="77777777" w:rsidR="00842D3D" w:rsidRPr="00842D3D" w:rsidRDefault="00842D3D" w:rsidP="00842D3D">
      <w:pPr>
        <w:widowControl w:val="0"/>
        <w:ind w:firstLine="720"/>
        <w:rPr>
          <w:rFonts w:eastAsia="Calibri" w:cs="Times New Roman"/>
          <w:szCs w:val="24"/>
        </w:rPr>
      </w:pPr>
    </w:p>
    <w:p w14:paraId="6902FB1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motion at the close of evidence and then revisited, if appropriate, after the verdict in a Rule 50(b) motion. </w:t>
      </w:r>
      <w:r w:rsidRPr="00842D3D">
        <w:rPr>
          <w:rFonts w:eastAsia="Calibri" w:cs="Times New Roman"/>
          <w:i/>
          <w:iCs/>
          <w:szCs w:val="24"/>
        </w:rPr>
        <w:t>Tortu v. L. V. Metro. Police Dep’t</w:t>
      </w:r>
      <w:r w:rsidRPr="00842D3D">
        <w:rPr>
          <w:rFonts w:eastAsia="Calibri"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842D3D">
        <w:rPr>
          <w:rFonts w:eastAsia="Calibri" w:cs="Times New Roman"/>
          <w:i/>
          <w:iCs/>
          <w:szCs w:val="24"/>
        </w:rPr>
        <w:t xml:space="preserve">Lam, </w:t>
      </w:r>
      <w:r w:rsidRPr="00842D3D">
        <w:rPr>
          <w:rFonts w:eastAsia="Calibri" w:cs="Times New Roman"/>
          <w:szCs w:val="24"/>
        </w:rPr>
        <w:t xml:space="preserve">869 F.3d at 1089 (stating that the qualified immunity defense at trial is waived by “failure to preserve the defense by filing rule 50 motions”); </w:t>
      </w:r>
      <w:r w:rsidRPr="00842D3D">
        <w:rPr>
          <w:rFonts w:eastAsia="Calibri" w:cs="Times New Roman"/>
          <w:i/>
          <w:iCs/>
          <w:szCs w:val="24"/>
        </w:rPr>
        <w:t>see also A.D. v. Cal. Highway Patrol</w:t>
      </w:r>
      <w:r w:rsidRPr="00842D3D">
        <w:rPr>
          <w:rFonts w:eastAsia="Calibri" w:cs="Times New Roman"/>
          <w:szCs w:val="24"/>
        </w:rPr>
        <w:t xml:space="preserve">, 712 F.3d 446, 452 n.2 (9th Cir. 2013) (noting that the defendant preserved his position on qualified immunity—renewed in Rule 50(b) motion after trial—by bringing Rule 50(a) motion for judgment as a matter of law before the case was submitted to jury). “[P]ost-verdict, a court must apply the qualified immunity framework to the facts that the jury found (including the defendant’s subjective intent).” </w:t>
      </w:r>
      <w:r w:rsidRPr="00842D3D">
        <w:rPr>
          <w:rFonts w:eastAsia="Calibri" w:cs="Times New Roman"/>
          <w:i/>
          <w:iCs/>
          <w:szCs w:val="24"/>
        </w:rPr>
        <w:t>A.D.</w:t>
      </w:r>
      <w:r w:rsidRPr="00842D3D">
        <w:rPr>
          <w:rFonts w:eastAsia="Calibri" w:cs="Times New Roman"/>
          <w:szCs w:val="24"/>
        </w:rPr>
        <w:t xml:space="preserve">, 712 F.3d at 459. </w:t>
      </w:r>
    </w:p>
    <w:p w14:paraId="3266DA17" w14:textId="77777777" w:rsidR="00842D3D" w:rsidRPr="00842D3D" w:rsidRDefault="00842D3D" w:rsidP="00842D3D">
      <w:pPr>
        <w:autoSpaceDE w:val="0"/>
        <w:autoSpaceDN w:val="0"/>
        <w:adjustRightInd w:val="0"/>
        <w:rPr>
          <w:rFonts w:eastAsia="Calibri" w:cs="Times New Roman"/>
          <w:szCs w:val="24"/>
        </w:rPr>
      </w:pPr>
    </w:p>
    <w:bookmarkEnd w:id="208"/>
    <w:p w14:paraId="2EC978E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Please also refer to </w:t>
      </w:r>
      <w:r w:rsidRPr="00842D3D">
        <w:rPr>
          <w:rFonts w:eastAsia="Calibri" w:cs="Times New Roman"/>
        </w:rPr>
        <w:t xml:space="preserve">the </w:t>
      </w:r>
      <w:hyperlink r:id="rId19" w:history="1">
        <w:r w:rsidRPr="00842D3D">
          <w:rPr>
            <w:rFonts w:eastAsia="Calibri" w:cs="Times New Roman"/>
            <w:color w:val="0563C1"/>
            <w:u w:val="single"/>
          </w:rPr>
          <w:t>Ninth Circuit Section 1983 Outline</w:t>
        </w:r>
      </w:hyperlink>
      <w:r w:rsidRPr="00842D3D">
        <w:rPr>
          <w:rFonts w:eastAsia="Calibri" w:cs="Times New Roman"/>
        </w:rPr>
        <w:t xml:space="preserve"> </w:t>
      </w:r>
      <w:bookmarkStart w:id="209" w:name="_Hlk214267627"/>
      <w:r w:rsidRPr="00842D3D">
        <w:rPr>
          <w:rFonts w:eastAsia="Calibri" w:cs="Times New Roman"/>
        </w:rPr>
        <w:t>(</w:t>
      </w:r>
      <w:hyperlink r:id="rId20" w:history="1">
        <w:r w:rsidRPr="00842D3D">
          <w:rPr>
            <w:rFonts w:eastAsia="Calibri" w:cs="Times New Roman"/>
            <w:color w:val="0563C1"/>
            <w:u w:val="single"/>
          </w:rPr>
          <w:t>https://www.ca9.uscourts.gov/guides/section-1983-outline/</w:t>
        </w:r>
      </w:hyperlink>
      <w:r w:rsidRPr="00842D3D">
        <w:rPr>
          <w:rFonts w:eastAsia="Calibri" w:cs="Times New Roman"/>
        </w:rPr>
        <w:t xml:space="preserve"> or </w:t>
      </w:r>
      <w:hyperlink r:id="rId21" w:history="1">
        <w:r w:rsidRPr="00842D3D">
          <w:rPr>
            <w:rFonts w:eastAsia="Calibri" w:cs="Times New Roman"/>
            <w:color w:val="0563C1"/>
            <w:u w:val="single"/>
          </w:rPr>
          <w:t>https://perma.cc/GHB2-93XS</w:t>
        </w:r>
      </w:hyperlink>
      <w:r w:rsidRPr="00842D3D">
        <w:rPr>
          <w:rFonts w:eastAsia="Calibri" w:cs="Times New Roman"/>
        </w:rPr>
        <w:t xml:space="preserve">) </w:t>
      </w:r>
      <w:bookmarkEnd w:id="209"/>
      <w:r w:rsidRPr="00842D3D">
        <w:rPr>
          <w:rFonts w:eastAsia="Calibri" w:cs="Times New Roman"/>
        </w:rPr>
        <w:t>for</w:t>
      </w:r>
      <w:r w:rsidRPr="00842D3D">
        <w:rPr>
          <w:rFonts w:eastAsia="Calibri" w:cs="Times New Roman"/>
          <w:szCs w:val="24"/>
        </w:rPr>
        <w:t xml:space="preserve"> further discussion of qualified immunity cases maintained therein. </w:t>
      </w:r>
    </w:p>
    <w:p w14:paraId="022EFF06" w14:textId="77777777" w:rsidR="00842D3D" w:rsidRPr="00842D3D" w:rsidRDefault="00842D3D" w:rsidP="00842D3D">
      <w:pPr>
        <w:rPr>
          <w:rFonts w:eastAsia="Calibri" w:cs="Times New Roman"/>
          <w:i/>
          <w:iCs/>
          <w:szCs w:val="24"/>
        </w:rPr>
      </w:pPr>
    </w:p>
    <w:p w14:paraId="5FFA2DE5" w14:textId="41CC6596"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0A16ED">
        <w:rPr>
          <w:rFonts w:eastAsia="Calibri" w:cs="Times New Roman"/>
          <w:i/>
          <w:iCs/>
          <w:szCs w:val="24"/>
        </w:rPr>
        <w:t>March 2026</w:t>
      </w:r>
    </w:p>
    <w:p w14:paraId="1BBF84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br w:type="page"/>
      </w:r>
    </w:p>
    <w:p w14:paraId="1D3ECF53" w14:textId="543D4225" w:rsidR="00842D3D" w:rsidRPr="00842D3D" w:rsidRDefault="00842D3D" w:rsidP="00FF121D">
      <w:pPr>
        <w:pStyle w:val="Heading2"/>
      </w:pPr>
      <w:bookmarkStart w:id="210" w:name="_Toc221525206"/>
      <w:bookmarkStart w:id="211" w:name="_Hlk97030895"/>
      <w:r w:rsidRPr="00842D3D">
        <w:lastRenderedPageBreak/>
        <w:t>9.</w:t>
      </w:r>
      <w:r w:rsidR="003A1908">
        <w:t>42</w:t>
      </w:r>
      <w:r w:rsidRPr="00842D3D">
        <w:t xml:space="preserve"> </w:t>
      </w:r>
      <w:bookmarkStart w:id="212" w:name="_Hlk147387928"/>
      <w:r w:rsidRPr="00842D3D">
        <w:rPr>
          <w:i/>
          <w:iCs/>
        </w:rPr>
        <w:t xml:space="preserve">Bivens </w:t>
      </w:r>
      <w:r w:rsidRPr="00842D3D">
        <w:t>Claim Against Federal Defendant in Individual Capacity—</w:t>
      </w:r>
      <w:r w:rsidRPr="00842D3D">
        <w:br/>
        <w:t>Elements and Burden of Proof</w:t>
      </w:r>
      <w:bookmarkEnd w:id="210"/>
      <w:bookmarkEnd w:id="212"/>
    </w:p>
    <w:p w14:paraId="0DA46B3D" w14:textId="77777777" w:rsidR="00842D3D" w:rsidRPr="00842D3D" w:rsidRDefault="00842D3D" w:rsidP="00842D3D">
      <w:pPr>
        <w:jc w:val="center"/>
        <w:rPr>
          <w:rFonts w:eastAsia="Calibri" w:cs="Times New Roman"/>
          <w:b/>
          <w:bCs/>
          <w:szCs w:val="24"/>
        </w:rPr>
      </w:pPr>
    </w:p>
    <w:bookmarkEnd w:id="211"/>
    <w:p w14:paraId="77B2AC98" w14:textId="77777777" w:rsidR="00842D3D" w:rsidRPr="00842D3D" w:rsidRDefault="00842D3D" w:rsidP="00842D3D">
      <w:pPr>
        <w:rPr>
          <w:rFonts w:eastAsia="Calibri" w:cs="Times New Roman"/>
          <w:szCs w:val="24"/>
        </w:rPr>
      </w:pPr>
      <w:r w:rsidRPr="00842D3D">
        <w:rPr>
          <w:rFonts w:eastAsia="Calibri" w:cs="Times New Roman"/>
          <w:szCs w:val="24"/>
        </w:rPr>
        <w:tab/>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claim[s] under a Supreme Court decision known as “</w:t>
      </w:r>
      <w:r w:rsidRPr="00842D3D">
        <w:rPr>
          <w:rFonts w:eastAsia="Calibri" w:cs="Times New Roman"/>
          <w:i/>
          <w:szCs w:val="24"/>
        </w:rPr>
        <w:t>Bivens</w:t>
      </w:r>
      <w:r w:rsidRPr="00842D3D">
        <w:rPr>
          <w:rFonts w:eastAsia="Calibri" w:cs="Times New Roman"/>
          <w:szCs w:val="24"/>
        </w:rPr>
        <w:t xml:space="preserve">,” which permits a plaintiff to seek damages from any person who, acting under color of federal law, deprives the plaintiff of certain rights, privileges, or immunities secured by the Constitution of the United States. </w:t>
      </w:r>
    </w:p>
    <w:p w14:paraId="1C942E38" w14:textId="77777777" w:rsidR="00842D3D" w:rsidRPr="00842D3D" w:rsidRDefault="00842D3D" w:rsidP="00842D3D">
      <w:pPr>
        <w:rPr>
          <w:rFonts w:eastAsia="Calibri" w:cs="Times New Roman"/>
          <w:szCs w:val="24"/>
        </w:rPr>
      </w:pPr>
    </w:p>
    <w:p w14:paraId="7BBDDC81" w14:textId="77777777" w:rsidR="00842D3D" w:rsidRPr="00842D3D" w:rsidRDefault="00842D3D" w:rsidP="00842D3D">
      <w:pPr>
        <w:rPr>
          <w:rFonts w:eastAsia="Calibri" w:cs="Times New Roman"/>
          <w:szCs w:val="24"/>
        </w:rPr>
      </w:pPr>
      <w:r w:rsidRPr="00842D3D">
        <w:rPr>
          <w:rFonts w:eastAsia="Calibri" w:cs="Times New Roman"/>
          <w:szCs w:val="24"/>
        </w:rPr>
        <w:tab/>
        <w:t>To prevail on [his] [her] [</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i/>
          <w:szCs w:val="24"/>
        </w:rPr>
        <w:t xml:space="preserve">Bivens </w:t>
      </w:r>
      <w:r w:rsidRPr="00842D3D">
        <w:rPr>
          <w:rFonts w:eastAsia="Calibri" w:cs="Times New Roman"/>
          <w:szCs w:val="24"/>
        </w:rPr>
        <w:t>claim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each of the following elements by a preponderance of the evidence:</w:t>
      </w:r>
    </w:p>
    <w:p w14:paraId="3DC1299D" w14:textId="77777777" w:rsidR="00842D3D" w:rsidRPr="00842D3D" w:rsidRDefault="00842D3D" w:rsidP="00842D3D">
      <w:pPr>
        <w:rPr>
          <w:rFonts w:eastAsia="Calibri" w:cs="Times New Roman"/>
          <w:szCs w:val="24"/>
        </w:rPr>
      </w:pPr>
    </w:p>
    <w:p w14:paraId="3666437A" w14:textId="77777777" w:rsidR="00842D3D" w:rsidRPr="00842D3D" w:rsidRDefault="00842D3D" w:rsidP="00842D3D">
      <w:pPr>
        <w:ind w:left="1440" w:hanging="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federal law; and </w:t>
      </w:r>
    </w:p>
    <w:p w14:paraId="0C377830" w14:textId="77777777" w:rsidR="00842D3D" w:rsidRPr="00842D3D" w:rsidRDefault="00842D3D" w:rsidP="00842D3D">
      <w:pPr>
        <w:ind w:left="1440"/>
        <w:contextualSpacing/>
        <w:rPr>
          <w:rFonts w:eastAsia="Calibri" w:cs="Times New Roman"/>
          <w:szCs w:val="24"/>
        </w:rPr>
      </w:pPr>
    </w:p>
    <w:p w14:paraId="470A8D3F"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particular rights under the United States Constitution, as explained elsewhere in these instructions.</w:t>
      </w:r>
    </w:p>
    <w:p w14:paraId="7AD9927C" w14:textId="77777777" w:rsidR="00842D3D" w:rsidRPr="00842D3D" w:rsidRDefault="00842D3D" w:rsidP="00842D3D">
      <w:pPr>
        <w:rPr>
          <w:rFonts w:eastAsia="Calibri" w:cs="Times New Roman"/>
          <w:szCs w:val="24"/>
        </w:rPr>
      </w:pPr>
    </w:p>
    <w:p w14:paraId="07D58EC5" w14:textId="77777777" w:rsidR="00842D3D" w:rsidRPr="00842D3D" w:rsidRDefault="00842D3D" w:rsidP="00842D3D">
      <w:pPr>
        <w:rPr>
          <w:rFonts w:eastAsia="Calibri" w:cs="Times New Roman"/>
          <w:szCs w:val="24"/>
        </w:rPr>
      </w:pPr>
      <w:r w:rsidRPr="00842D3D">
        <w:rPr>
          <w:rFonts w:eastAsia="Calibri" w:cs="Times New Roman"/>
          <w:szCs w:val="24"/>
        </w:rPr>
        <w:tab/>
        <w:t>A person acts “under color of federal law” when the person acts or purports to act in the performance of official duties under any federal law. [[The parties have stipulated] [I instruct you] that the defendant acted under color of federal law.]</w:t>
      </w:r>
    </w:p>
    <w:p w14:paraId="26D2C873" w14:textId="77777777" w:rsidR="00842D3D" w:rsidRPr="00842D3D" w:rsidRDefault="00842D3D" w:rsidP="00842D3D">
      <w:pPr>
        <w:rPr>
          <w:rFonts w:eastAsia="Calibri" w:cs="Times New Roman"/>
          <w:szCs w:val="24"/>
        </w:rPr>
      </w:pPr>
    </w:p>
    <w:p w14:paraId="7F60B60C" w14:textId="77777777" w:rsidR="00842D3D" w:rsidRPr="00842D3D" w:rsidRDefault="00842D3D" w:rsidP="00842D3D">
      <w:pPr>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proved each of these two elements, and if you also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proved all the elements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szCs w:val="24"/>
          <w:u w:val="single"/>
        </w:rPr>
        <w:t>specify the instruction[s] that deal</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i/>
          <w:szCs w:val="24"/>
          <w:u w:val="single"/>
        </w:rPr>
        <w:t xml:space="preserve"> with the particular right</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3C34D522" w14:textId="77777777" w:rsidR="00842D3D" w:rsidRPr="00842D3D" w:rsidRDefault="00842D3D" w:rsidP="00842D3D">
      <w:pPr>
        <w:rPr>
          <w:rFonts w:eastAsia="Calibri" w:cs="Times New Roman"/>
          <w:szCs w:val="24"/>
        </w:rPr>
      </w:pPr>
    </w:p>
    <w:p w14:paraId="51E14D0C"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4B559B14" w14:textId="77777777" w:rsidR="00842D3D" w:rsidRPr="00842D3D" w:rsidRDefault="00842D3D" w:rsidP="00842D3D">
      <w:pPr>
        <w:rPr>
          <w:rFonts w:eastAsia="Calibri" w:cs="Times New Roman"/>
          <w:szCs w:val="24"/>
        </w:rPr>
      </w:pPr>
    </w:p>
    <w:p w14:paraId="2E2B2050" w14:textId="037C6A3C" w:rsidR="00842D3D" w:rsidRPr="00842D3D" w:rsidRDefault="00842D3D" w:rsidP="00842D3D">
      <w:pPr>
        <w:ind w:firstLine="720"/>
        <w:rPr>
          <w:rFonts w:eastAsia="Calibri" w:cs="Times New Roman"/>
          <w:szCs w:val="24"/>
        </w:rPr>
      </w:pPr>
      <w:r w:rsidRPr="00842D3D">
        <w:rPr>
          <w:rFonts w:eastAsia="Calibri" w:cs="Times New Roman"/>
          <w:szCs w:val="24"/>
        </w:rPr>
        <w:t>Use this instruction only in conjunction with an applicable “particular rights” instruction, such as Instructions 9.9-9.3</w:t>
      </w:r>
      <w:r w:rsidR="00047AF1">
        <w:rPr>
          <w:rFonts w:eastAsia="Calibri" w:cs="Times New Roman"/>
          <w:szCs w:val="24"/>
        </w:rPr>
        <w:t>8</w:t>
      </w:r>
      <w:r w:rsidRPr="00842D3D">
        <w:rPr>
          <w:rFonts w:eastAsia="Calibri" w:cs="Times New Roman"/>
          <w:szCs w:val="24"/>
        </w:rPr>
        <w:t>, modified as necessary to reflect that the defendant is a federal actor, not a state actor. Such an instruction should set forth the additional elements a plaintiff must establish to prove the violation of a particular constitutional right.</w:t>
      </w:r>
    </w:p>
    <w:p w14:paraId="478372EE" w14:textId="77777777" w:rsidR="00842D3D" w:rsidRPr="00842D3D" w:rsidRDefault="00842D3D" w:rsidP="00842D3D">
      <w:pPr>
        <w:jc w:val="center"/>
        <w:rPr>
          <w:rFonts w:eastAsia="Calibri" w:cs="Times New Roman"/>
          <w:b/>
          <w:szCs w:val="24"/>
        </w:rPr>
      </w:pPr>
    </w:p>
    <w:p w14:paraId="18DCF4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F9A870A" w14:textId="77777777" w:rsidR="00842D3D" w:rsidRPr="00842D3D" w:rsidRDefault="00842D3D" w:rsidP="00842D3D">
      <w:pPr>
        <w:rPr>
          <w:rFonts w:eastAsia="Calibri" w:cs="Times New Roman"/>
          <w:szCs w:val="24"/>
        </w:rPr>
      </w:pPr>
    </w:p>
    <w:p w14:paraId="163B6B5E"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1971, the Supreme Court in </w:t>
      </w:r>
      <w:r w:rsidRPr="00842D3D">
        <w:rPr>
          <w:rFonts w:eastAsia="Calibri" w:cs="Times New Roman"/>
          <w:i/>
          <w:szCs w:val="24"/>
        </w:rPr>
        <w:t>Bivens</w:t>
      </w:r>
      <w:r w:rsidRPr="00842D3D">
        <w:rPr>
          <w:rFonts w:eastAsia="Calibri" w:cs="Times New Roman"/>
          <w:szCs w:val="24"/>
        </w:rPr>
        <w:t xml:space="preserve"> adopted an “implied cause of action theory” that permits a plaintiff to seek damages from federal officers for the unreasonable search and seizure in plaintiff’s home. </w:t>
      </w:r>
      <w:r w:rsidRPr="00842D3D">
        <w:rPr>
          <w:rFonts w:eastAsia="Calibri" w:cs="Times New Roman"/>
          <w:i/>
          <w:szCs w:val="24"/>
        </w:rPr>
        <w:t>See Bivens v. Six Unknown Named Agents of Fed. Bureau of Narcotics</w:t>
      </w:r>
      <w:r w:rsidRPr="00842D3D">
        <w:rPr>
          <w:rFonts w:eastAsia="Calibri" w:cs="Times New Roman"/>
          <w:szCs w:val="24"/>
        </w:rPr>
        <w:t xml:space="preserve">, 403 U.S. 388 (1971). Since then, the Supreme Court has limited the scope of </w:t>
      </w:r>
      <w:r w:rsidRPr="00842D3D">
        <w:rPr>
          <w:rFonts w:eastAsia="Calibri" w:cs="Times New Roman"/>
          <w:i/>
          <w:szCs w:val="24"/>
        </w:rPr>
        <w:t>Bivens</w:t>
      </w:r>
      <w:r w:rsidRPr="00842D3D">
        <w:rPr>
          <w:rFonts w:eastAsia="Calibri" w:cs="Times New Roman"/>
          <w:szCs w:val="24"/>
        </w:rPr>
        <w:t xml:space="preserve"> actions. </w:t>
      </w:r>
      <w:r w:rsidRPr="00842D3D">
        <w:rPr>
          <w:rFonts w:eastAsia="Calibri" w:cs="Times New Roman"/>
          <w:i/>
          <w:szCs w:val="24"/>
        </w:rPr>
        <w:t>See Egbert v. Boule</w:t>
      </w:r>
      <w:r w:rsidRPr="00842D3D">
        <w:rPr>
          <w:rFonts w:eastAsia="Calibri" w:cs="Times New Roman"/>
          <w:szCs w:val="24"/>
        </w:rPr>
        <w:t xml:space="preserve">, 596 U.S. 482 (2022). </w:t>
      </w:r>
      <w:r w:rsidRPr="00842D3D">
        <w:rPr>
          <w:rFonts w:eastAsia="Calibri" w:cs="Times New Roman"/>
          <w:i/>
          <w:szCs w:val="24"/>
        </w:rPr>
        <w:t xml:space="preserve">Egbert </w:t>
      </w:r>
      <w:r w:rsidRPr="00842D3D">
        <w:rPr>
          <w:rFonts w:eastAsia="Calibri" w:cs="Times New Roman"/>
          <w:szCs w:val="24"/>
        </w:rPr>
        <w:t xml:space="preserve">“emphasized that recognizing a cause of action under </w:t>
      </w:r>
      <w:r w:rsidRPr="00842D3D">
        <w:rPr>
          <w:rFonts w:eastAsia="Calibri" w:cs="Times New Roman"/>
          <w:i/>
          <w:szCs w:val="24"/>
        </w:rPr>
        <w:t>Bivens</w:t>
      </w:r>
      <w:r w:rsidRPr="00842D3D">
        <w:rPr>
          <w:rFonts w:eastAsia="Calibri" w:cs="Times New Roman"/>
          <w:szCs w:val="24"/>
        </w:rPr>
        <w:t xml:space="preserve"> is a ‘disfavored judicial activity.’” </w:t>
      </w:r>
      <w:r w:rsidRPr="00842D3D">
        <w:rPr>
          <w:rFonts w:eastAsia="Calibri" w:cs="Times New Roman"/>
          <w:i/>
          <w:szCs w:val="24"/>
        </w:rPr>
        <w:t>Id.</w:t>
      </w:r>
      <w:r w:rsidRPr="00842D3D">
        <w:rPr>
          <w:rFonts w:eastAsia="Calibri" w:cs="Times New Roman"/>
          <w:szCs w:val="24"/>
        </w:rPr>
        <w:t xml:space="preserve"> at 491 (quoting </w:t>
      </w:r>
      <w:r w:rsidRPr="00842D3D">
        <w:rPr>
          <w:rFonts w:eastAsia="Calibri" w:cs="Times New Roman"/>
          <w:i/>
          <w:szCs w:val="24"/>
        </w:rPr>
        <w:t>Ziglar v. Abassi</w:t>
      </w:r>
      <w:r w:rsidRPr="00842D3D">
        <w:rPr>
          <w:rFonts w:eastAsia="Calibri" w:cs="Times New Roman"/>
          <w:szCs w:val="24"/>
        </w:rPr>
        <w:t xml:space="preserve">, </w:t>
      </w:r>
      <w:bookmarkStart w:id="213" w:name="_Hlk165538660"/>
      <w:r w:rsidRPr="00842D3D">
        <w:rPr>
          <w:rFonts w:eastAsia="Calibri" w:cs="Times New Roman"/>
          <w:szCs w:val="24"/>
        </w:rPr>
        <w:t>582 U.S.</w:t>
      </w:r>
      <w:bookmarkEnd w:id="213"/>
      <w:r w:rsidRPr="00842D3D">
        <w:rPr>
          <w:rFonts w:eastAsia="Calibri" w:cs="Times New Roman"/>
          <w:szCs w:val="24"/>
        </w:rPr>
        <w:t xml:space="preserve"> 120, 121 (2017)). </w:t>
      </w:r>
    </w:p>
    <w:p w14:paraId="0092BBCF" w14:textId="77777777" w:rsidR="00842D3D" w:rsidRPr="00842D3D" w:rsidRDefault="00842D3D" w:rsidP="00842D3D">
      <w:pPr>
        <w:rPr>
          <w:rFonts w:eastAsia="Calibri" w:cs="Times New Roman"/>
          <w:szCs w:val="24"/>
        </w:rPr>
      </w:pPr>
    </w:p>
    <w:p w14:paraId="183BB2B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With that consideration in mind, </w:t>
      </w:r>
      <w:r w:rsidRPr="00842D3D">
        <w:rPr>
          <w:rFonts w:eastAsia="Calibri" w:cs="Times New Roman"/>
          <w:i/>
          <w:szCs w:val="24"/>
        </w:rPr>
        <w:t xml:space="preserve">Egbert </w:t>
      </w:r>
      <w:r w:rsidRPr="00842D3D">
        <w:rPr>
          <w:rFonts w:eastAsia="Calibri" w:cs="Times New Roman"/>
          <w:szCs w:val="24"/>
        </w:rPr>
        <w:t xml:space="preserve">explained that to determine whether a </w:t>
      </w:r>
      <w:r w:rsidRPr="00842D3D">
        <w:rPr>
          <w:rFonts w:eastAsia="Calibri" w:cs="Times New Roman"/>
          <w:i/>
          <w:szCs w:val="24"/>
        </w:rPr>
        <w:t xml:space="preserve">Bivens </w:t>
      </w:r>
      <w:r w:rsidRPr="00842D3D">
        <w:rPr>
          <w:rFonts w:eastAsia="Calibri" w:cs="Times New Roman"/>
          <w:szCs w:val="24"/>
        </w:rPr>
        <w:t xml:space="preserve">remedy exists in a particular case, the court must undertake a two-step process. At the first step, a court must “ask whether the case presents a new </w:t>
      </w:r>
      <w:r w:rsidRPr="00842D3D">
        <w:rPr>
          <w:rFonts w:eastAsia="Calibri" w:cs="Times New Roman"/>
          <w:i/>
          <w:szCs w:val="24"/>
        </w:rPr>
        <w:t>Bivens</w:t>
      </w:r>
      <w:r w:rsidRPr="00842D3D">
        <w:rPr>
          <w:rFonts w:eastAsia="Calibri" w:cs="Times New Roman"/>
          <w:szCs w:val="24"/>
        </w:rPr>
        <w:t xml:space="preserve"> context—</w:t>
      </w:r>
      <w:r w:rsidRPr="00842D3D">
        <w:rPr>
          <w:rFonts w:eastAsia="Calibri" w:cs="Times New Roman"/>
          <w:i/>
          <w:szCs w:val="24"/>
        </w:rPr>
        <w:t>i.e</w:t>
      </w:r>
      <w:r w:rsidRPr="00842D3D">
        <w:rPr>
          <w:rFonts w:eastAsia="Calibri" w:cs="Times New Roman"/>
          <w:szCs w:val="24"/>
        </w:rPr>
        <w:t xml:space="preserve">., is it meaningfully different from the three cases in which the [Supreme] Court has implied a damages action.” </w:t>
      </w:r>
      <w:r w:rsidRPr="00842D3D">
        <w:rPr>
          <w:rFonts w:eastAsia="Calibri" w:cs="Times New Roman"/>
          <w:i/>
          <w:szCs w:val="24"/>
        </w:rPr>
        <w:t>Egbert</w:t>
      </w:r>
      <w:r w:rsidRPr="00842D3D">
        <w:rPr>
          <w:rFonts w:eastAsia="Calibri" w:cs="Times New Roman"/>
          <w:szCs w:val="24"/>
        </w:rPr>
        <w:t xml:space="preserve">, 596 U.S. at 492 (internal quotations and alterations omitted). The three cases in which the Supreme Court has held that the Constitution provides an implied cause of action through which plaintiffs can seek damages from federal officers who violate their constitutional rights are </w:t>
      </w:r>
      <w:r w:rsidRPr="00842D3D">
        <w:rPr>
          <w:rFonts w:eastAsia="Calibri" w:cs="Times New Roman"/>
          <w:i/>
          <w:szCs w:val="24"/>
        </w:rPr>
        <w:t>Bivens</w:t>
      </w:r>
      <w:r w:rsidRPr="00842D3D">
        <w:rPr>
          <w:rFonts w:eastAsia="Calibri" w:cs="Times New Roman"/>
          <w:szCs w:val="24"/>
        </w:rPr>
        <w:t xml:space="preserve">, in which the Court held that a plaintiff could seek damages from the Federal Bureau of Narcotics agents who allegedly violated his Fourth Amendment right to be free from unreasonable searches and seizures; </w:t>
      </w:r>
      <w:r w:rsidRPr="00842D3D">
        <w:rPr>
          <w:rFonts w:eastAsia="Calibri" w:cs="Times New Roman"/>
          <w:i/>
          <w:szCs w:val="24"/>
        </w:rPr>
        <w:t>Davis v. Passman</w:t>
      </w:r>
      <w:r w:rsidRPr="00842D3D">
        <w:rPr>
          <w:rFonts w:eastAsia="Calibri" w:cs="Times New Roman"/>
          <w:szCs w:val="24"/>
        </w:rPr>
        <w:t xml:space="preserve">, 442 U.S. 228 (1979), in which the Court provided a remedy for the plaintiff who alleged that her employer, a Member of Congress, had discriminated against her because of her sex, which was a Fifth Amendment due process violation; and </w:t>
      </w:r>
      <w:r w:rsidRPr="00842D3D">
        <w:rPr>
          <w:rFonts w:eastAsia="Calibri" w:cs="Times New Roman"/>
          <w:i/>
          <w:szCs w:val="24"/>
        </w:rPr>
        <w:t>Carlson v. Green</w:t>
      </w:r>
      <w:r w:rsidRPr="00842D3D">
        <w:rPr>
          <w:rFonts w:eastAsia="Calibri" w:cs="Times New Roman"/>
          <w:szCs w:val="24"/>
        </w:rPr>
        <w:t xml:space="preserve">, 446 U.S. 14 (1980), in which the Court held that the estate of a deceased prisoner could seek damages from federal prison officials for violating the prisoner’s Eighth Amendment right to be free from cruel and unusual punishment. </w:t>
      </w:r>
      <w:r w:rsidRPr="00842D3D">
        <w:rPr>
          <w:rFonts w:eastAsia="Calibri" w:cs="Times New Roman"/>
          <w:i/>
          <w:szCs w:val="24"/>
        </w:rPr>
        <w:t>Pettibone v. Russell</w:t>
      </w:r>
      <w:r w:rsidRPr="00842D3D">
        <w:rPr>
          <w:rFonts w:eastAsia="Calibri" w:cs="Times New Roman"/>
          <w:szCs w:val="24"/>
        </w:rPr>
        <w:t xml:space="preserve">, 59 F.4th 449, 454 (9th Cir. 2023). In </w:t>
      </w:r>
      <w:r w:rsidRPr="00842D3D">
        <w:rPr>
          <w:rFonts w:eastAsia="Calibri" w:cs="Times New Roman"/>
          <w:i/>
          <w:szCs w:val="24"/>
        </w:rPr>
        <w:t>Pettibone</w:t>
      </w:r>
      <w:r w:rsidRPr="00842D3D">
        <w:rPr>
          <w:rFonts w:eastAsia="Calibri" w:cs="Times New Roman"/>
          <w:szCs w:val="24"/>
        </w:rPr>
        <w:t xml:space="preserve">, the Ninth Circuit explained that the plaintiff’s asserted </w:t>
      </w:r>
      <w:r w:rsidRPr="00842D3D">
        <w:rPr>
          <w:rFonts w:eastAsia="Calibri" w:cs="Times New Roman"/>
          <w:i/>
          <w:szCs w:val="24"/>
        </w:rPr>
        <w:t>Bivens</w:t>
      </w:r>
      <w:r w:rsidRPr="00842D3D">
        <w:rPr>
          <w:rFonts w:eastAsia="Calibri" w:cs="Times New Roman"/>
          <w:szCs w:val="24"/>
        </w:rPr>
        <w:t xml:space="preserve"> claim that the defendant violated the Fourth Amendment presented a new context because the federal officer defendant was of a different rank than the officers in </w:t>
      </w:r>
      <w:r w:rsidRPr="00842D3D">
        <w:rPr>
          <w:rFonts w:eastAsia="Calibri" w:cs="Times New Roman"/>
          <w:i/>
          <w:szCs w:val="24"/>
        </w:rPr>
        <w:t>Bivens</w:t>
      </w:r>
      <w:r w:rsidRPr="00842D3D">
        <w:rPr>
          <w:rFonts w:eastAsia="Calibri" w:cs="Times New Roman"/>
          <w:szCs w:val="24"/>
        </w:rPr>
        <w:t xml:space="preserve">, his actions took place at a higher level of generality than the </w:t>
      </w:r>
      <w:r w:rsidRPr="00842D3D">
        <w:rPr>
          <w:rFonts w:eastAsia="Calibri" w:cs="Times New Roman"/>
          <w:i/>
          <w:szCs w:val="24"/>
        </w:rPr>
        <w:t>Bivens</w:t>
      </w:r>
      <w:r w:rsidRPr="00842D3D">
        <w:rPr>
          <w:rFonts w:eastAsia="Calibri" w:cs="Times New Roman"/>
          <w:szCs w:val="24"/>
        </w:rPr>
        <w:t xml:space="preserve"> officers, his legal mandate of directing a multi-agency operation to protect federal property was under an executive order, and providing a </w:t>
      </w:r>
      <w:r w:rsidRPr="00842D3D">
        <w:rPr>
          <w:rFonts w:eastAsia="Calibri" w:cs="Times New Roman"/>
          <w:i/>
          <w:szCs w:val="24"/>
        </w:rPr>
        <w:t>Bivens</w:t>
      </w:r>
      <w:r w:rsidRPr="00842D3D">
        <w:rPr>
          <w:rFonts w:eastAsia="Calibri" w:cs="Times New Roman"/>
          <w:szCs w:val="24"/>
        </w:rPr>
        <w:t xml:space="preserve"> remedy would create an increased risk of disruptive intrusion by the courts into the other branches’ functioning. </w:t>
      </w:r>
      <w:bookmarkStart w:id="214" w:name="_Hlk147387142"/>
      <w:r w:rsidRPr="00842D3D">
        <w:rPr>
          <w:rFonts w:eastAsia="Calibri" w:cs="Times New Roman"/>
          <w:i/>
          <w:szCs w:val="24"/>
        </w:rPr>
        <w:t>Id.</w:t>
      </w:r>
      <w:r w:rsidRPr="00842D3D">
        <w:rPr>
          <w:rFonts w:eastAsia="Calibri" w:cs="Times New Roman"/>
          <w:szCs w:val="24"/>
        </w:rPr>
        <w:t xml:space="preserve"> at 455, 457 (concluding that “no </w:t>
      </w:r>
      <w:r w:rsidRPr="00842D3D">
        <w:rPr>
          <w:rFonts w:eastAsia="Calibri" w:cs="Times New Roman"/>
          <w:i/>
          <w:szCs w:val="24"/>
        </w:rPr>
        <w:t>Bivens</w:t>
      </w:r>
      <w:r w:rsidRPr="00842D3D">
        <w:rPr>
          <w:rFonts w:eastAsia="Calibri" w:cs="Times New Roman"/>
          <w:szCs w:val="24"/>
        </w:rPr>
        <w:t xml:space="preserve"> cause of action exists in this case”).</w:t>
      </w:r>
    </w:p>
    <w:p w14:paraId="4542F683" w14:textId="77777777" w:rsidR="00842D3D" w:rsidRPr="00842D3D" w:rsidRDefault="00842D3D" w:rsidP="00842D3D">
      <w:pPr>
        <w:ind w:firstLine="720"/>
        <w:rPr>
          <w:rFonts w:eastAsia="Calibri" w:cs="Times New Roman"/>
          <w:szCs w:val="24"/>
        </w:rPr>
      </w:pPr>
    </w:p>
    <w:p w14:paraId="34F7C623" w14:textId="77777777" w:rsidR="00842D3D" w:rsidRPr="00842D3D" w:rsidRDefault="00842D3D" w:rsidP="00842D3D">
      <w:pPr>
        <w:ind w:firstLine="720"/>
        <w:rPr>
          <w:rFonts w:eastAsia="Calibri" w:cs="Times New Roman"/>
        </w:rPr>
      </w:pPr>
      <w:r w:rsidRPr="00842D3D">
        <w:rPr>
          <w:rFonts w:eastAsia="Calibri" w:cs="Times New Roman"/>
        </w:rPr>
        <w:t xml:space="preserve">In </w:t>
      </w:r>
      <w:r w:rsidRPr="00842D3D">
        <w:rPr>
          <w:rFonts w:eastAsia="Calibri" w:cs="Times New Roman"/>
          <w:i/>
          <w:iCs/>
        </w:rPr>
        <w:t>Goldey v. Fields</w:t>
      </w:r>
      <w:r w:rsidRPr="00842D3D">
        <w:rPr>
          <w:rFonts w:eastAsia="Calibri" w:cs="Times New Roman"/>
        </w:rPr>
        <w:t xml:space="preserve">, the Supreme Court held that an excessive force claim against federal prison officials by a federal prisoner arose in a new context and that special factors counselled against implying a </w:t>
      </w:r>
      <w:r w:rsidRPr="00842D3D">
        <w:rPr>
          <w:rFonts w:eastAsia="Calibri" w:cs="Times New Roman"/>
          <w:i/>
          <w:iCs/>
        </w:rPr>
        <w:t>Bivens</w:t>
      </w:r>
      <w:r w:rsidRPr="00842D3D">
        <w:rPr>
          <w:rFonts w:eastAsia="Calibri" w:cs="Times New Roman"/>
        </w:rPr>
        <w:t xml:space="preserve"> remedy for such a claim. 606 U.S. 942, 943-44 (2025) (per curiam). Specifically, “Congress has actively legislated in the area of prisoner litigation but has not enacted a statutory cause of action for money damages,” such that “extending </w:t>
      </w:r>
      <w:r w:rsidRPr="00842D3D">
        <w:rPr>
          <w:rFonts w:eastAsia="Calibri" w:cs="Times New Roman"/>
          <w:i/>
          <w:iCs/>
        </w:rPr>
        <w:t>Bivens</w:t>
      </w:r>
      <w:r w:rsidRPr="00842D3D">
        <w:rPr>
          <w:rFonts w:eastAsia="Calibri" w:cs="Times New Roman"/>
        </w:rPr>
        <w:t xml:space="preserve"> to allow an Eighth Amendment claim for excessive force could have negative systemic consequences for prison officials and the ‘inordinately difficult undertaking’ of running a prison,” and “‘an alternative remedial structure’ already exists for aggrieved federal prisoners.”  </w:t>
      </w:r>
      <w:r w:rsidRPr="00842D3D">
        <w:rPr>
          <w:rFonts w:eastAsia="Calibri" w:cs="Times New Roman"/>
          <w:i/>
          <w:iCs/>
        </w:rPr>
        <w:t>Id.</w:t>
      </w:r>
      <w:r w:rsidRPr="00842D3D">
        <w:rPr>
          <w:rFonts w:eastAsia="Calibri" w:cs="Times New Roman"/>
        </w:rPr>
        <w:t xml:space="preserve"> at 944 (citation omitted).</w:t>
      </w:r>
      <w:r w:rsidRPr="00842D3D">
        <w:rPr>
          <w:rFonts w:eastAsia="Calibri" w:cs="Times New Roman"/>
          <w:szCs w:val="24"/>
        </w:rPr>
        <w:t xml:space="preserve"> </w:t>
      </w:r>
    </w:p>
    <w:p w14:paraId="2078F3E6" w14:textId="77777777" w:rsidR="00842D3D" w:rsidRPr="00842D3D" w:rsidRDefault="00842D3D" w:rsidP="00842D3D">
      <w:pPr>
        <w:ind w:firstLine="720"/>
        <w:rPr>
          <w:rFonts w:eastAsia="Calibri" w:cs="Times New Roman"/>
          <w:szCs w:val="24"/>
        </w:rPr>
      </w:pPr>
    </w:p>
    <w:p w14:paraId="5B31877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likewise rejected a claim in </w:t>
      </w:r>
      <w:r w:rsidRPr="00842D3D">
        <w:rPr>
          <w:rFonts w:eastAsia="Calibri" w:cs="Times New Roman"/>
          <w:i/>
          <w:szCs w:val="24"/>
        </w:rPr>
        <w:t>Mejia v. Miller</w:t>
      </w:r>
      <w:r w:rsidRPr="00842D3D">
        <w:rPr>
          <w:rFonts w:eastAsia="Calibri" w:cs="Times New Roman"/>
          <w:szCs w:val="24"/>
        </w:rPr>
        <w:t xml:space="preserve">, </w:t>
      </w:r>
      <w:bookmarkStart w:id="215" w:name="_Hlk147387825"/>
      <w:r w:rsidRPr="00842D3D">
        <w:rPr>
          <w:rFonts w:eastAsia="Calibri" w:cs="Times New Roman"/>
          <w:szCs w:val="24"/>
        </w:rPr>
        <w:t>61 F.4th</w:t>
      </w:r>
      <w:bookmarkEnd w:id="215"/>
      <w:r w:rsidRPr="00842D3D">
        <w:rPr>
          <w:rFonts w:eastAsia="Calibri" w:cs="Times New Roman"/>
          <w:szCs w:val="24"/>
        </w:rPr>
        <w:t xml:space="preserve"> 663, 668-69 (9th Cir. 2023), where the plaintiff’s </w:t>
      </w:r>
      <w:r w:rsidRPr="00842D3D">
        <w:rPr>
          <w:rFonts w:eastAsia="Calibri" w:cs="Times New Roman"/>
          <w:i/>
          <w:szCs w:val="24"/>
        </w:rPr>
        <w:t>Bivens</w:t>
      </w:r>
      <w:r w:rsidRPr="00842D3D">
        <w:rPr>
          <w:rFonts w:eastAsia="Calibri" w:cs="Times New Roman"/>
          <w:szCs w:val="24"/>
        </w:rPr>
        <w:t xml:space="preserve"> excessive force claim against Bureau of Land </w:t>
      </w:r>
      <w:r w:rsidRPr="00842D3D">
        <w:rPr>
          <w:rFonts w:eastAsia="Calibri" w:cs="Times New Roman"/>
          <w:szCs w:val="24"/>
        </w:rPr>
        <w:lastRenderedPageBreak/>
        <w:t xml:space="preserve">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842D3D">
        <w:rPr>
          <w:rFonts w:eastAsia="Calibri" w:cs="Times New Roman"/>
          <w:i/>
          <w:szCs w:val="24"/>
        </w:rPr>
        <w:t>Harper v. Nedd</w:t>
      </w:r>
      <w:r w:rsidRPr="00842D3D">
        <w:rPr>
          <w:rFonts w:eastAsia="Calibri" w:cs="Times New Roman"/>
          <w:szCs w:val="24"/>
        </w:rPr>
        <w:t xml:space="preserve">, 71 F.4th 1181, 1187-8 (9th Cir. 2023), the court held that the employee plaintiff’s Fifth Amendment due process </w:t>
      </w:r>
      <w:r w:rsidRPr="00842D3D">
        <w:rPr>
          <w:rFonts w:eastAsia="Calibri" w:cs="Times New Roman"/>
          <w:i/>
          <w:szCs w:val="24"/>
        </w:rPr>
        <w:t>Bivens</w:t>
      </w:r>
      <w:r w:rsidRPr="00842D3D">
        <w:rPr>
          <w:rFonts w:eastAsia="Calibri" w:cs="Times New Roman"/>
          <w:szCs w:val="24"/>
        </w:rPr>
        <w:t xml:space="preserve"> claim presented a new context from </w:t>
      </w:r>
      <w:r w:rsidRPr="00842D3D">
        <w:rPr>
          <w:rFonts w:eastAsia="Calibri" w:cs="Times New Roman"/>
          <w:i/>
          <w:szCs w:val="24"/>
        </w:rPr>
        <w:t>Davis</w:t>
      </w:r>
      <w:r w:rsidRPr="00842D3D">
        <w:rPr>
          <w:rFonts w:eastAsia="Calibri" w:cs="Times New Roman"/>
          <w:szCs w:val="24"/>
        </w:rPr>
        <w:t xml:space="preserve">, because “extending </w:t>
      </w:r>
      <w:r w:rsidRPr="00842D3D">
        <w:rPr>
          <w:rFonts w:eastAsia="Calibri" w:cs="Times New Roman"/>
          <w:i/>
          <w:iCs/>
          <w:szCs w:val="24"/>
        </w:rPr>
        <w:t xml:space="preserve">Bivens </w:t>
      </w:r>
      <w:r w:rsidRPr="00842D3D">
        <w:rPr>
          <w:rFonts w:eastAsia="Calibri" w:cs="Times New Roman"/>
          <w:szCs w:val="24"/>
        </w:rPr>
        <w:t xml:space="preserve">to allow government employees to sue their supervisors for damages over disciplinary actions would significantly intrude into [the Executive Branch in addressing disciplinary disputes].” </w:t>
      </w:r>
      <w:r w:rsidRPr="00842D3D">
        <w:rPr>
          <w:rFonts w:eastAsia="Calibri" w:cs="Times New Roman"/>
          <w:i/>
          <w:szCs w:val="24"/>
        </w:rPr>
        <w:t>See also Sheikh v. U.S. Dep’t of Homeland Sec</w:t>
      </w:r>
      <w:r w:rsidRPr="00842D3D">
        <w:rPr>
          <w:rFonts w:eastAsia="Calibri" w:cs="Times New Roman"/>
          <w:szCs w:val="24"/>
        </w:rPr>
        <w:t xml:space="preserve">., 106 F.4th 918, 926 (9th Cir. 2024) (holding Fourth and Fifth Amendment claims based on alleged fabrication of evidence by Department of Homeland Security agents arose in a new context from </w:t>
      </w:r>
      <w:r w:rsidRPr="00842D3D">
        <w:rPr>
          <w:rFonts w:eastAsia="Calibri" w:cs="Times New Roman"/>
          <w:i/>
          <w:szCs w:val="24"/>
        </w:rPr>
        <w:t>Bivens</w:t>
      </w:r>
      <w:r w:rsidRPr="00842D3D">
        <w:rPr>
          <w:rFonts w:eastAsia="Calibri" w:cs="Times New Roman"/>
          <w:szCs w:val="24"/>
        </w:rPr>
        <w:t xml:space="preserve">, and special factors counseled against extending </w:t>
      </w:r>
      <w:r w:rsidRPr="00842D3D">
        <w:rPr>
          <w:rFonts w:eastAsia="Calibri" w:cs="Times New Roman"/>
          <w:i/>
          <w:szCs w:val="24"/>
        </w:rPr>
        <w:t>Bivens</w:t>
      </w:r>
      <w:r w:rsidRPr="00842D3D">
        <w:rPr>
          <w:rFonts w:eastAsia="Calibri" w:cs="Times New Roman"/>
          <w:szCs w:val="24"/>
        </w:rPr>
        <w:t xml:space="preserve"> to new context).</w:t>
      </w:r>
    </w:p>
    <w:p w14:paraId="16268998" w14:textId="77777777" w:rsidR="00842D3D" w:rsidRPr="00842D3D" w:rsidRDefault="00842D3D" w:rsidP="00842D3D">
      <w:pPr>
        <w:ind w:firstLine="720"/>
        <w:rPr>
          <w:rFonts w:eastAsia="Calibri" w:cs="Times New Roman"/>
          <w:i/>
          <w:szCs w:val="24"/>
        </w:rPr>
      </w:pPr>
    </w:p>
    <w:p w14:paraId="0602A5FB" w14:textId="77777777" w:rsidR="008C39DC" w:rsidRPr="00842D3D" w:rsidRDefault="008C39DC" w:rsidP="008C39DC">
      <w:pPr>
        <w:ind w:firstLine="720"/>
        <w:rPr>
          <w:rFonts w:eastAsia="Calibri" w:cs="Times New Roman"/>
          <w:iCs/>
          <w:szCs w:val="24"/>
        </w:rPr>
      </w:pPr>
      <w:r w:rsidRPr="00842D3D">
        <w:rPr>
          <w:rFonts w:eastAsia="Calibri" w:cs="Times New Roman"/>
          <w:iCs/>
          <w:szCs w:val="24"/>
        </w:rPr>
        <w:t xml:space="preserve">On the other hand, the Ninth Circuit has held that a prisoner’s claim of deliberate medical indifference under the Eighth Amendment was not meaningfully different from </w:t>
      </w:r>
      <w:r w:rsidRPr="00842D3D">
        <w:rPr>
          <w:rFonts w:eastAsia="Calibri" w:cs="Times New Roman"/>
          <w:i/>
          <w:szCs w:val="24"/>
        </w:rPr>
        <w:t>Carlson</w:t>
      </w:r>
      <w:r w:rsidRPr="00842D3D">
        <w:rPr>
          <w:rFonts w:eastAsia="Calibri" w:cs="Times New Roman"/>
          <w:iCs/>
          <w:szCs w:val="24"/>
        </w:rPr>
        <w:t xml:space="preserve"> because, applying the </w:t>
      </w:r>
      <w:r w:rsidRPr="00842D3D">
        <w:rPr>
          <w:rFonts w:eastAsia="Calibri" w:cs="Times New Roman"/>
          <w:i/>
          <w:iCs/>
          <w:szCs w:val="24"/>
        </w:rPr>
        <w:t>Ziglar</w:t>
      </w:r>
      <w:r w:rsidRPr="00842D3D">
        <w:rPr>
          <w:rFonts w:eastAsia="Calibri" w:cs="Times New Roman"/>
          <w:iCs/>
          <w:szCs w:val="24"/>
        </w:rPr>
        <w:t xml:space="preserve"> factors, the plaintiff’s claim involved an officer of the same rank, it implicated the same constitutional right, the claim was of the same specificity, there was extensive judicial guidance on how an officer should respond to the problem, the officer operated under the same legal framework, and there was the same risk of judicial disruption by recognizing a cause of action. </w:t>
      </w:r>
      <w:r w:rsidRPr="00842D3D">
        <w:rPr>
          <w:rFonts w:eastAsia="Calibri" w:cs="Times New Roman"/>
          <w:i/>
          <w:iCs/>
          <w:szCs w:val="24"/>
        </w:rPr>
        <w:t>Watanabe v. Derr</w:t>
      </w:r>
      <w:r w:rsidRPr="00842D3D">
        <w:rPr>
          <w:rFonts w:eastAsia="Calibri" w:cs="Times New Roman"/>
          <w:iCs/>
          <w:szCs w:val="24"/>
        </w:rPr>
        <w:t xml:space="preserve">, 115 F.4th 1034, 1039-40 (9th Cir. 2024). In </w:t>
      </w:r>
      <w:r w:rsidRPr="00842D3D">
        <w:rPr>
          <w:rFonts w:eastAsia="Calibri" w:cs="Times New Roman"/>
          <w:i/>
          <w:iCs/>
          <w:szCs w:val="24"/>
        </w:rPr>
        <w:t>Watanabe</w:t>
      </w:r>
      <w:r w:rsidRPr="00842D3D">
        <w:rPr>
          <w:rFonts w:eastAsia="Calibri" w:cs="Times New Roman"/>
          <w:iCs/>
          <w:szCs w:val="24"/>
        </w:rPr>
        <w:t xml:space="preserve">, the Ninth Circuit rejected the defendant’s arguments that Watanabe’s claim meaningfully differed from </w:t>
      </w:r>
      <w:r w:rsidRPr="00842D3D">
        <w:rPr>
          <w:rFonts w:eastAsia="Calibri" w:cs="Times New Roman"/>
          <w:i/>
          <w:iCs/>
          <w:szCs w:val="24"/>
        </w:rPr>
        <w:t xml:space="preserve">Carlson </w:t>
      </w:r>
      <w:r w:rsidRPr="00842D3D">
        <w:rPr>
          <w:rFonts w:eastAsia="Calibri" w:cs="Times New Roman"/>
          <w:iCs/>
          <w:szCs w:val="24"/>
        </w:rPr>
        <w:t xml:space="preserve">because Watanabe’s injury was less serious or that a distinction existed based on whether the allegedly unconstitutional conduct was an overt act or an omission. </w:t>
      </w:r>
      <w:r w:rsidRPr="00842D3D">
        <w:rPr>
          <w:rFonts w:eastAsia="Calibri" w:cs="Times New Roman"/>
          <w:i/>
          <w:iCs/>
          <w:szCs w:val="24"/>
        </w:rPr>
        <w:t xml:space="preserve">Id. </w:t>
      </w:r>
      <w:r w:rsidRPr="00842D3D">
        <w:rPr>
          <w:rFonts w:eastAsia="Calibri" w:cs="Times New Roman"/>
          <w:iCs/>
          <w:szCs w:val="24"/>
        </w:rPr>
        <w:t>at 1041-42 (collecting cases</w:t>
      </w:r>
      <w:r w:rsidRPr="00F43C08">
        <w:rPr>
          <w:rFonts w:eastAsia="Calibri" w:cs="Times New Roman"/>
          <w:iCs/>
          <w:szCs w:val="24"/>
        </w:rPr>
        <w:t xml:space="preserve">); </w:t>
      </w:r>
      <w:r w:rsidRPr="00F43C08">
        <w:rPr>
          <w:rFonts w:eastAsia="Calibri" w:cs="Times New Roman"/>
          <w:i/>
          <w:iCs/>
          <w:szCs w:val="24"/>
        </w:rPr>
        <w:t>see also Schwartz v. Miller</w:t>
      </w:r>
      <w:r w:rsidRPr="00F43C08">
        <w:rPr>
          <w:rFonts w:eastAsia="Calibri" w:cs="Times New Roman"/>
          <w:iCs/>
          <w:szCs w:val="24"/>
        </w:rPr>
        <w:t xml:space="preserve">, 153 F.4th 918, 931-32 (9th Cir. 2025) (“To conclude that a claim extends </w:t>
      </w:r>
      <w:r w:rsidRPr="00F43C08">
        <w:rPr>
          <w:rFonts w:eastAsia="Calibri" w:cs="Times New Roman"/>
          <w:i/>
          <w:iCs/>
          <w:szCs w:val="24"/>
        </w:rPr>
        <w:t xml:space="preserve">Carlson </w:t>
      </w:r>
      <w:r w:rsidRPr="00F43C08">
        <w:rPr>
          <w:rFonts w:eastAsia="Calibri" w:cs="Times New Roman"/>
          <w:iCs/>
          <w:szCs w:val="24"/>
        </w:rPr>
        <w:t xml:space="preserve">because it is weaker than the claim in </w:t>
      </w:r>
      <w:r w:rsidRPr="00F43C08">
        <w:rPr>
          <w:rFonts w:eastAsia="Calibri" w:cs="Times New Roman"/>
          <w:i/>
          <w:iCs/>
          <w:szCs w:val="24"/>
        </w:rPr>
        <w:t xml:space="preserve">Carlson </w:t>
      </w:r>
      <w:r w:rsidRPr="00F43C08">
        <w:rPr>
          <w:rFonts w:eastAsia="Calibri" w:cs="Times New Roman"/>
          <w:iCs/>
          <w:szCs w:val="24"/>
        </w:rPr>
        <w:t xml:space="preserve">is to undermine </w:t>
      </w:r>
      <w:r w:rsidRPr="00F43C08">
        <w:rPr>
          <w:rFonts w:eastAsia="Calibri" w:cs="Times New Roman"/>
          <w:i/>
          <w:iCs/>
          <w:szCs w:val="24"/>
        </w:rPr>
        <w:t xml:space="preserve">Carlson </w:t>
      </w:r>
      <w:r w:rsidRPr="00F43C08">
        <w:rPr>
          <w:rFonts w:eastAsia="Calibri" w:cs="Times New Roman"/>
          <w:iCs/>
          <w:szCs w:val="24"/>
        </w:rPr>
        <w:t xml:space="preserve">itself—the very thing the Supreme Court has asked us not to do.” (quoting </w:t>
      </w:r>
      <w:r w:rsidRPr="00F43C08">
        <w:rPr>
          <w:rFonts w:eastAsia="Calibri" w:cs="Times New Roman"/>
          <w:i/>
          <w:iCs/>
          <w:szCs w:val="24"/>
        </w:rPr>
        <w:t>Waltermeyer v. Hazlewood</w:t>
      </w:r>
      <w:r w:rsidRPr="00F43C08">
        <w:rPr>
          <w:rFonts w:eastAsia="Calibri" w:cs="Times New Roman"/>
          <w:iCs/>
          <w:szCs w:val="24"/>
        </w:rPr>
        <w:t xml:space="preserve">, 136 F.4th 361, 371 (1st Cir. 2025) (Breyer, J., dissenting)). The Ninth Circuit also clarified that consideration of alternative remedial schemes is improper during the first step and is only relevant at step two. </w:t>
      </w:r>
      <w:r w:rsidRPr="00F43C08">
        <w:rPr>
          <w:rFonts w:eastAsia="Calibri" w:cs="Times New Roman"/>
          <w:i/>
          <w:iCs/>
        </w:rPr>
        <w:t>Watanabe</w:t>
      </w:r>
      <w:r w:rsidRPr="00F43C08">
        <w:rPr>
          <w:rFonts w:eastAsia="Calibri" w:cs="Times New Roman"/>
        </w:rPr>
        <w:t>, 115 F.4th</w:t>
      </w:r>
      <w:r w:rsidRPr="00F43C08">
        <w:rPr>
          <w:rFonts w:eastAsia="Calibri" w:cs="Times New Roman"/>
          <w:i/>
          <w:iCs/>
          <w:szCs w:val="24"/>
        </w:rPr>
        <w:t xml:space="preserve"> </w:t>
      </w:r>
      <w:r w:rsidRPr="00F43C08">
        <w:rPr>
          <w:rFonts w:eastAsia="Calibri" w:cs="Times New Roman"/>
          <w:iCs/>
          <w:szCs w:val="24"/>
        </w:rPr>
        <w:t>at 1042</w:t>
      </w:r>
      <w:r w:rsidRPr="00F43C08">
        <w:rPr>
          <w:rFonts w:eastAsia="Calibri" w:cs="Times New Roman"/>
          <w:iCs/>
        </w:rPr>
        <w:t xml:space="preserve">; </w:t>
      </w:r>
      <w:r w:rsidRPr="00F43C08">
        <w:rPr>
          <w:rFonts w:eastAsia="Calibri" w:cs="Times New Roman"/>
          <w:i/>
          <w:iCs/>
        </w:rPr>
        <w:t>see also Schwartz</w:t>
      </w:r>
      <w:r w:rsidRPr="00F43C08">
        <w:rPr>
          <w:rFonts w:eastAsia="Calibri" w:cs="Times New Roman"/>
          <w:iCs/>
        </w:rPr>
        <w:t>, 153 F.4th at 930 (collecting cases)</w:t>
      </w:r>
      <w:r w:rsidRPr="00F43C08">
        <w:rPr>
          <w:rFonts w:eastAsia="Calibri" w:cs="Times New Roman"/>
          <w:iCs/>
          <w:szCs w:val="24"/>
        </w:rPr>
        <w:t>.</w:t>
      </w:r>
    </w:p>
    <w:p w14:paraId="4B144FBF" w14:textId="77777777" w:rsidR="00842D3D" w:rsidRPr="00842D3D" w:rsidRDefault="00842D3D" w:rsidP="00842D3D">
      <w:pPr>
        <w:ind w:firstLine="720"/>
        <w:rPr>
          <w:rFonts w:eastAsia="Calibri" w:cs="Times New Roman"/>
          <w:iCs/>
          <w:szCs w:val="24"/>
        </w:rPr>
      </w:pPr>
    </w:p>
    <w:bookmarkEnd w:id="214"/>
    <w:p w14:paraId="65443A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If the answer at the first step is yes, meaning that the “claim arises in a new context,” the second step dictates that “a </w:t>
      </w:r>
      <w:r w:rsidRPr="00842D3D">
        <w:rPr>
          <w:rFonts w:eastAsia="Calibri" w:cs="Times New Roman"/>
          <w:i/>
          <w:szCs w:val="24"/>
        </w:rPr>
        <w:t xml:space="preserve">Bivens </w:t>
      </w:r>
      <w:r w:rsidRPr="00842D3D">
        <w:rPr>
          <w:rFonts w:eastAsia="Calibri" w:cs="Times New Roman"/>
          <w:szCs w:val="24"/>
        </w:rPr>
        <w:t xml:space="preserve">remedy is unavailable if there are ‘special factors’ indicating that the Judiciary is at least arguably less equipped than Congress to ‘weigh the costs and benefits of allowing a damages action to proceed.’” </w:t>
      </w:r>
      <w:r w:rsidRPr="00842D3D">
        <w:rPr>
          <w:rFonts w:eastAsia="Calibri" w:cs="Times New Roman"/>
          <w:i/>
          <w:szCs w:val="24"/>
        </w:rPr>
        <w:t>Egbert</w:t>
      </w:r>
      <w:r w:rsidRPr="00842D3D">
        <w:rPr>
          <w:rFonts w:eastAsia="Calibri" w:cs="Times New Roman"/>
          <w:szCs w:val="24"/>
        </w:rPr>
        <w:t xml:space="preserve">, 596 U.S. at 492 (quoting </w:t>
      </w:r>
      <w:r w:rsidRPr="00842D3D">
        <w:rPr>
          <w:rFonts w:eastAsia="Calibri" w:cs="Times New Roman"/>
          <w:i/>
          <w:szCs w:val="24"/>
        </w:rPr>
        <w:t>Ziglar,</w:t>
      </w:r>
      <w:r w:rsidRPr="00842D3D">
        <w:rPr>
          <w:rFonts w:eastAsia="Calibri" w:cs="Times New Roman"/>
          <w:szCs w:val="24"/>
        </w:rPr>
        <w:t xml:space="preserve"> 582 U.S. at 136). “If there is even a single ‘reason to pause before applying </w:t>
      </w:r>
      <w:r w:rsidRPr="00842D3D">
        <w:rPr>
          <w:rFonts w:eastAsia="Calibri" w:cs="Times New Roman"/>
          <w:i/>
          <w:szCs w:val="24"/>
        </w:rPr>
        <w:t>Bivens</w:t>
      </w:r>
      <w:r w:rsidRPr="00842D3D">
        <w:rPr>
          <w:rFonts w:eastAsia="Calibri" w:cs="Times New Roman"/>
          <w:szCs w:val="24"/>
        </w:rPr>
        <w:t xml:space="preserve"> in a new context,’ a court may not recognize a </w:t>
      </w:r>
      <w:r w:rsidRPr="00842D3D">
        <w:rPr>
          <w:rFonts w:eastAsia="Calibri" w:cs="Times New Roman"/>
          <w:i/>
          <w:szCs w:val="24"/>
        </w:rPr>
        <w:t xml:space="preserve">Bivens </w:t>
      </w:r>
      <w:r w:rsidRPr="00842D3D">
        <w:rPr>
          <w:rFonts w:eastAsia="Calibri" w:cs="Times New Roman"/>
          <w:szCs w:val="24"/>
        </w:rPr>
        <w:t xml:space="preserve">remedy.”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Hernández v. Mesa</w:t>
      </w:r>
      <w:r w:rsidRPr="00842D3D">
        <w:rPr>
          <w:rFonts w:eastAsia="Calibri" w:cs="Times New Roman"/>
          <w:szCs w:val="24"/>
        </w:rPr>
        <w:t xml:space="preserve">, 589 U.S. 93, 102 (2020)). For example, “a court may not fashion a </w:t>
      </w:r>
      <w:r w:rsidRPr="00842D3D">
        <w:rPr>
          <w:rFonts w:eastAsia="Calibri" w:cs="Times New Roman"/>
          <w:i/>
          <w:szCs w:val="24"/>
        </w:rPr>
        <w:t xml:space="preserve">Bivens </w:t>
      </w:r>
      <w:r w:rsidRPr="00842D3D">
        <w:rPr>
          <w:rFonts w:eastAsia="Calibri" w:cs="Times New Roman"/>
          <w:szCs w:val="24"/>
        </w:rPr>
        <w:t xml:space="preserve">remedy if Congress already has provided, or has authorized the Executive to provide, ‘an alternative remedial structure.’” </w:t>
      </w:r>
      <w:r w:rsidRPr="00842D3D">
        <w:rPr>
          <w:rFonts w:eastAsia="Calibri" w:cs="Times New Roman"/>
          <w:i/>
          <w:szCs w:val="24"/>
        </w:rPr>
        <w:t xml:space="preserve">Id. </w:t>
      </w:r>
      <w:r w:rsidRPr="00842D3D">
        <w:rPr>
          <w:rFonts w:eastAsia="Calibri" w:cs="Times New Roman"/>
          <w:szCs w:val="24"/>
        </w:rPr>
        <w:t xml:space="preserve">at 493 (quoting </w:t>
      </w:r>
      <w:r w:rsidRPr="00842D3D">
        <w:rPr>
          <w:rFonts w:eastAsia="Calibri" w:cs="Times New Roman"/>
          <w:i/>
          <w:szCs w:val="24"/>
        </w:rPr>
        <w:t>Ziglar,</w:t>
      </w:r>
      <w:r w:rsidRPr="00842D3D">
        <w:rPr>
          <w:rFonts w:eastAsia="Calibri" w:cs="Times New Roman"/>
          <w:szCs w:val="24"/>
        </w:rPr>
        <w:t xml:space="preserve"> 582 U.S. at 137); </w:t>
      </w:r>
      <w:r w:rsidRPr="00842D3D">
        <w:rPr>
          <w:rFonts w:eastAsia="Calibri" w:cs="Times New Roman"/>
          <w:i/>
          <w:szCs w:val="24"/>
        </w:rPr>
        <w:t>accord Harper</w:t>
      </w:r>
      <w:r w:rsidRPr="00842D3D">
        <w:rPr>
          <w:rFonts w:eastAsia="Calibri" w:cs="Times New Roman"/>
          <w:szCs w:val="24"/>
        </w:rPr>
        <w:t xml:space="preserve">, 71 F.4th at 1188 (noting that Congress provided alternative remedies for employment disputes which the plaintiff pursued). The existence of an alternative remedial structure precludes a </w:t>
      </w:r>
      <w:r w:rsidRPr="00842D3D">
        <w:rPr>
          <w:rFonts w:eastAsia="Calibri" w:cs="Times New Roman"/>
          <w:i/>
          <w:szCs w:val="24"/>
        </w:rPr>
        <w:t xml:space="preserve">Bivens </w:t>
      </w:r>
      <w:r w:rsidRPr="00842D3D">
        <w:rPr>
          <w:rFonts w:eastAsia="Calibri" w:cs="Times New Roman"/>
          <w:szCs w:val="24"/>
        </w:rPr>
        <w:t xml:space="preserve">action even where the available remedial scheme does not provide monetary relief. </w:t>
      </w:r>
      <w:r w:rsidRPr="00842D3D">
        <w:rPr>
          <w:rFonts w:eastAsia="Calibri" w:cs="Times New Roman"/>
          <w:i/>
          <w:szCs w:val="24"/>
        </w:rPr>
        <w:t>Pettibone,</w:t>
      </w:r>
      <w:r w:rsidRPr="00842D3D">
        <w:rPr>
          <w:rFonts w:eastAsia="Calibri" w:cs="Times New Roman"/>
          <w:szCs w:val="24"/>
        </w:rPr>
        <w:t xml:space="preserve"> 59 F.4th at 457; </w:t>
      </w:r>
      <w:r w:rsidRPr="00842D3D">
        <w:rPr>
          <w:rFonts w:eastAsia="Calibri" w:cs="Times New Roman"/>
          <w:i/>
          <w:szCs w:val="24"/>
        </w:rPr>
        <w:t>see also Stanard v. Dy,</w:t>
      </w:r>
      <w:r w:rsidRPr="00842D3D">
        <w:rPr>
          <w:rFonts w:eastAsia="Calibri" w:cs="Times New Roman"/>
          <w:szCs w:val="24"/>
        </w:rPr>
        <w:t xml:space="preserve"> 88 F.4th 811, 818 (9th Cir. 2023) (concluding that a Fifth Amendment claim for disparate treatment between pre-trial and post-sentencing inmates arises in a new context but special factors existed, therefore a </w:t>
      </w:r>
      <w:r w:rsidRPr="00842D3D">
        <w:rPr>
          <w:rFonts w:eastAsia="Calibri" w:cs="Times New Roman"/>
          <w:i/>
          <w:szCs w:val="24"/>
        </w:rPr>
        <w:t>Bivens</w:t>
      </w:r>
      <w:r w:rsidRPr="00842D3D">
        <w:rPr>
          <w:rFonts w:eastAsia="Calibri" w:cs="Times New Roman"/>
          <w:szCs w:val="24"/>
        </w:rPr>
        <w:t xml:space="preserve"> remedy was not available). </w:t>
      </w:r>
      <w:bookmarkStart w:id="216" w:name="_Hlk147387157"/>
      <w:r w:rsidRPr="00842D3D">
        <w:rPr>
          <w:rFonts w:eastAsia="Calibri" w:cs="Times New Roman"/>
          <w:szCs w:val="24"/>
        </w:rPr>
        <w:t xml:space="preserve">Nor may a </w:t>
      </w:r>
      <w:r w:rsidRPr="00842D3D">
        <w:rPr>
          <w:rFonts w:eastAsia="Calibri" w:cs="Times New Roman"/>
          <w:i/>
          <w:szCs w:val="24"/>
        </w:rPr>
        <w:t>Bivens</w:t>
      </w:r>
      <w:r w:rsidRPr="00842D3D">
        <w:rPr>
          <w:rFonts w:eastAsia="Calibri" w:cs="Times New Roman"/>
          <w:szCs w:val="24"/>
        </w:rPr>
        <w:t xml:space="preserve"> cause of action </w:t>
      </w:r>
      <w:r w:rsidRPr="00842D3D">
        <w:rPr>
          <w:rFonts w:eastAsia="Calibri" w:cs="Times New Roman"/>
          <w:szCs w:val="24"/>
        </w:rPr>
        <w:lastRenderedPageBreak/>
        <w:t xml:space="preserve">lie “where . . . national security is at issue.” </w:t>
      </w:r>
      <w:r w:rsidRPr="00842D3D">
        <w:rPr>
          <w:rFonts w:eastAsia="Calibri" w:cs="Times New Roman"/>
          <w:i/>
          <w:szCs w:val="24"/>
        </w:rPr>
        <w:t>Egbert</w:t>
      </w:r>
      <w:r w:rsidRPr="00842D3D">
        <w:rPr>
          <w:rFonts w:eastAsia="Calibri" w:cs="Times New Roman"/>
          <w:szCs w:val="24"/>
        </w:rPr>
        <w:t xml:space="preserve">, 596 U.S. at 494. </w:t>
      </w:r>
      <w:r w:rsidRPr="00842D3D">
        <w:rPr>
          <w:rFonts w:eastAsia="Calibri" w:cs="Times New Roman"/>
          <w:i/>
          <w:szCs w:val="24"/>
        </w:rPr>
        <w:t>See also Pettibone</w:t>
      </w:r>
      <w:r w:rsidRPr="00842D3D">
        <w:rPr>
          <w:rFonts w:eastAsia="Calibri" w:cs="Times New Roman"/>
          <w:szCs w:val="24"/>
        </w:rPr>
        <w:t xml:space="preserve">, 59 F.4th at 455 (holding that </w:t>
      </w:r>
      <w:r w:rsidRPr="00842D3D">
        <w:rPr>
          <w:rFonts w:eastAsia="Calibri" w:cs="Times New Roman"/>
          <w:i/>
          <w:szCs w:val="24"/>
        </w:rPr>
        <w:t xml:space="preserve">Bivens </w:t>
      </w:r>
      <w:r w:rsidRPr="00842D3D">
        <w:rPr>
          <w:rFonts w:eastAsia="Calibri" w:cs="Times New Roman"/>
          <w:szCs w:val="24"/>
        </w:rPr>
        <w:t xml:space="preserve">remedy cannot be extended where, </w:t>
      </w:r>
      <w:r w:rsidRPr="00842D3D">
        <w:rPr>
          <w:rFonts w:eastAsia="Calibri" w:cs="Times New Roman"/>
          <w:iCs/>
          <w:szCs w:val="24"/>
        </w:rPr>
        <w:t>“</w:t>
      </w:r>
      <w:r w:rsidRPr="00842D3D">
        <w:rPr>
          <w:rFonts w:eastAsia="Calibri" w:cs="Times New Roman"/>
          <w:szCs w:val="24"/>
        </w:rPr>
        <w:t xml:space="preserve">because [defendant] was carrying out an executive order, providing a </w:t>
      </w:r>
      <w:r w:rsidRPr="00842D3D">
        <w:rPr>
          <w:rFonts w:eastAsia="Calibri" w:cs="Times New Roman"/>
          <w:i/>
          <w:szCs w:val="24"/>
        </w:rPr>
        <w:t xml:space="preserve">Bivens </w:t>
      </w:r>
      <w:r w:rsidRPr="00842D3D">
        <w:rPr>
          <w:rFonts w:eastAsia="Calibri" w:cs="Times New Roman"/>
          <w:szCs w:val="24"/>
        </w:rPr>
        <w:t xml:space="preserve">remedy. . . would carry a greater risk of ‘disruptive intrusion by the Judiciary into the functioning of other branches’ than was present in </w:t>
      </w:r>
      <w:r w:rsidRPr="00842D3D">
        <w:rPr>
          <w:rFonts w:eastAsia="Calibri" w:cs="Times New Roman"/>
          <w:i/>
          <w:szCs w:val="24"/>
        </w:rPr>
        <w:t>Bivens</w:t>
      </w:r>
      <w:r w:rsidRPr="00842D3D">
        <w:rPr>
          <w:rFonts w:eastAsia="Calibri" w:cs="Times New Roman"/>
          <w:szCs w:val="24"/>
        </w:rPr>
        <w:t xml:space="preserve">.”) (quoting </w:t>
      </w:r>
      <w:r w:rsidRPr="00842D3D">
        <w:rPr>
          <w:rFonts w:eastAsia="Calibri" w:cs="Times New Roman"/>
          <w:i/>
          <w:szCs w:val="24"/>
        </w:rPr>
        <w:t>Ziglar</w:t>
      </w:r>
      <w:r w:rsidRPr="00842D3D">
        <w:rPr>
          <w:rFonts w:eastAsia="Calibri" w:cs="Times New Roman"/>
          <w:szCs w:val="24"/>
        </w:rPr>
        <w:t xml:space="preserve">, 582 U.S. at 122).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Marquez v. Rodriguez</w:t>
      </w:r>
      <w:r w:rsidRPr="00842D3D">
        <w:rPr>
          <w:rFonts w:eastAsia="Calibri" w:cs="Times New Roman"/>
          <w:szCs w:val="24"/>
        </w:rPr>
        <w:t xml:space="preserve">, 81 F.4th 1027, 1031 (9th Cir. 2023) (rejecting the </w:t>
      </w:r>
      <w:r w:rsidRPr="00842D3D">
        <w:rPr>
          <w:rFonts w:eastAsia="Calibri" w:cs="Times New Roman"/>
          <w:i/>
          <w:szCs w:val="24"/>
        </w:rPr>
        <w:t xml:space="preserve">Bivens </w:t>
      </w:r>
      <w:r w:rsidRPr="00842D3D">
        <w:rPr>
          <w:rFonts w:eastAsia="Calibri" w:cs="Times New Roman"/>
          <w:szCs w:val="24"/>
        </w:rPr>
        <w:t xml:space="preserve">claim of a pretrial detainee alleging that federal correctional officers failed to protect him from other detainees because the claim presents a new </w:t>
      </w:r>
      <w:r w:rsidRPr="00842D3D">
        <w:rPr>
          <w:rFonts w:eastAsia="Calibri" w:cs="Times New Roman"/>
          <w:i/>
          <w:szCs w:val="24"/>
        </w:rPr>
        <w:t>Bivens</w:t>
      </w:r>
      <w:r w:rsidRPr="00842D3D">
        <w:rPr>
          <w:rFonts w:eastAsia="Calibri" w:cs="Times New Roman"/>
          <w:szCs w:val="24"/>
        </w:rPr>
        <w:t xml:space="preserve"> context, there were no special factors, and Congress has already legislated on prison administration without providing a damages remedy against jail officials); </w:t>
      </w:r>
      <w:r w:rsidRPr="00842D3D">
        <w:rPr>
          <w:rFonts w:eastAsia="Calibri" w:cs="Times New Roman"/>
          <w:i/>
          <w:szCs w:val="24"/>
        </w:rPr>
        <w:t>Mejia</w:t>
      </w:r>
      <w:r w:rsidRPr="00842D3D">
        <w:rPr>
          <w:rFonts w:eastAsia="Calibri" w:cs="Times New Roman"/>
          <w:szCs w:val="24"/>
        </w:rPr>
        <w:t>, 61 F.4th at 669 (explaining plaintiff has alternative remedies to address his grievance).</w:t>
      </w:r>
    </w:p>
    <w:bookmarkEnd w:id="216"/>
    <w:p w14:paraId="058F25A8" w14:textId="77777777" w:rsidR="00842D3D" w:rsidRPr="00842D3D" w:rsidRDefault="00842D3D" w:rsidP="00842D3D">
      <w:pPr>
        <w:rPr>
          <w:rFonts w:eastAsia="Calibri" w:cs="Times New Roman"/>
          <w:szCs w:val="24"/>
        </w:rPr>
      </w:pPr>
    </w:p>
    <w:p w14:paraId="5FA45733" w14:textId="77777777" w:rsidR="00842D3D" w:rsidRPr="00842D3D" w:rsidRDefault="00842D3D" w:rsidP="00842D3D">
      <w:pPr>
        <w:rPr>
          <w:rFonts w:eastAsia="Calibri" w:cs="Times New Roman"/>
          <w:szCs w:val="24"/>
        </w:rPr>
      </w:pPr>
      <w:r w:rsidRPr="00842D3D">
        <w:rPr>
          <w:rFonts w:eastAsia="Calibri" w:cs="Times New Roman"/>
          <w:szCs w:val="24"/>
        </w:rPr>
        <w:tab/>
        <w:t xml:space="preserve">A </w:t>
      </w:r>
      <w:r w:rsidRPr="00842D3D">
        <w:rPr>
          <w:rFonts w:eastAsia="Calibri" w:cs="Times New Roman"/>
          <w:i/>
          <w:szCs w:val="24"/>
        </w:rPr>
        <w:t>Bivens</w:t>
      </w:r>
      <w:r w:rsidRPr="00842D3D">
        <w:rPr>
          <w:rFonts w:eastAsia="Calibri" w:cs="Times New Roman"/>
          <w:szCs w:val="24"/>
        </w:rPr>
        <w:t xml:space="preserve"> defendant is at risk of personal liability, including punitive damages, and a plaintiff is entitled to a jury trial in a </w:t>
      </w:r>
      <w:r w:rsidRPr="00842D3D">
        <w:rPr>
          <w:rFonts w:eastAsia="Calibri" w:cs="Times New Roman"/>
          <w:i/>
          <w:szCs w:val="24"/>
        </w:rPr>
        <w:t>Bivens</w:t>
      </w:r>
      <w:r w:rsidRPr="00842D3D">
        <w:rPr>
          <w:rFonts w:eastAsia="Calibri" w:cs="Times New Roman"/>
          <w:szCs w:val="24"/>
        </w:rPr>
        <w:t xml:space="preserve"> action. </w:t>
      </w:r>
      <w:r w:rsidRPr="00842D3D">
        <w:rPr>
          <w:rFonts w:eastAsia="Calibri" w:cs="Times New Roman"/>
          <w:i/>
          <w:szCs w:val="24"/>
        </w:rPr>
        <w:t>See Carlson</w:t>
      </w:r>
      <w:r w:rsidRPr="00842D3D">
        <w:rPr>
          <w:rFonts w:eastAsia="Calibri" w:cs="Times New Roman"/>
          <w:szCs w:val="24"/>
        </w:rPr>
        <w:t xml:space="preserve">, 446 U.S. at 22. Because a </w:t>
      </w:r>
      <w:r w:rsidRPr="00842D3D">
        <w:rPr>
          <w:rFonts w:eastAsia="Calibri" w:cs="Times New Roman"/>
          <w:i/>
          <w:szCs w:val="24"/>
        </w:rPr>
        <w:t>Bivens</w:t>
      </w:r>
      <w:r w:rsidRPr="00842D3D">
        <w:rPr>
          <w:rFonts w:eastAsia="Calibri" w:cs="Times New Roman"/>
          <w:szCs w:val="24"/>
        </w:rPr>
        <w:t xml:space="preserve"> action is brought against a federal official in the official’s personal capacity, it is not considered to be an action against the United States and thus is not barred by sovereign immunity. To be individually liable in a </w:t>
      </w:r>
      <w:r w:rsidRPr="00842D3D">
        <w:rPr>
          <w:rFonts w:eastAsia="Calibri" w:cs="Times New Roman"/>
          <w:i/>
          <w:szCs w:val="24"/>
        </w:rPr>
        <w:t>Bivens</w:t>
      </w:r>
      <w:r w:rsidRPr="00842D3D">
        <w:rPr>
          <w:rFonts w:eastAsia="Calibri" w:cs="Times New Roman"/>
          <w:szCs w:val="24"/>
        </w:rPr>
        <w:t xml:space="preserve"> action, an individual must personally participate in an alleged deprivation of rights. </w:t>
      </w:r>
      <w:r w:rsidRPr="00842D3D">
        <w:rPr>
          <w:rFonts w:eastAsia="Calibri" w:cs="Times New Roman"/>
          <w:i/>
          <w:szCs w:val="24"/>
        </w:rPr>
        <w:t>See Avalos v. Baca</w:t>
      </w:r>
      <w:r w:rsidRPr="00842D3D">
        <w:rPr>
          <w:rFonts w:eastAsia="Calibri" w:cs="Times New Roman"/>
          <w:szCs w:val="24"/>
        </w:rPr>
        <w:t xml:space="preserve">, 596 F.3d 583, 587 (9th Cir. 2010). In a </w:t>
      </w:r>
      <w:r w:rsidRPr="00842D3D">
        <w:rPr>
          <w:rFonts w:eastAsia="Calibri" w:cs="Times New Roman"/>
          <w:i/>
          <w:szCs w:val="24"/>
        </w:rPr>
        <w:t>Bivens</w:t>
      </w:r>
      <w:r w:rsidRPr="00842D3D">
        <w:rPr>
          <w:rFonts w:eastAsia="Calibri" w:cs="Times New Roman"/>
          <w:szCs w:val="24"/>
        </w:rPr>
        <w:t xml:space="preserve"> action, as with a § 1983 action, “the plaintiff must also demonstrate that the defendant’s conduct was the actionable cause of the claimed injury.” </w:t>
      </w:r>
      <w:r w:rsidRPr="00842D3D">
        <w:rPr>
          <w:rFonts w:eastAsia="Calibri" w:cs="Times New Roman"/>
          <w:i/>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szCs w:val="24"/>
        </w:rPr>
        <w:t>Id</w:t>
      </w:r>
      <w:r w:rsidRPr="00842D3D">
        <w:rPr>
          <w:rFonts w:eastAsia="Calibri" w:cs="Times New Roman"/>
          <w:szCs w:val="24"/>
        </w:rPr>
        <w:t>.</w:t>
      </w:r>
    </w:p>
    <w:p w14:paraId="3EB23012" w14:textId="77777777" w:rsidR="00842D3D" w:rsidRPr="00842D3D" w:rsidRDefault="00842D3D" w:rsidP="00842D3D">
      <w:pPr>
        <w:rPr>
          <w:rFonts w:eastAsia="Calibri" w:cs="Times New Roman"/>
          <w:szCs w:val="24"/>
        </w:rPr>
      </w:pPr>
      <w:r w:rsidRPr="00842D3D">
        <w:rPr>
          <w:rFonts w:eastAsia="Calibri" w:cs="Times New Roman"/>
          <w:szCs w:val="24"/>
        </w:rPr>
        <w:tab/>
      </w:r>
    </w:p>
    <w:p w14:paraId="54EAF5A2"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w:t>
      </w:r>
      <w:r w:rsidRPr="00842D3D">
        <w:rPr>
          <w:rFonts w:eastAsia="Calibri" w:cs="Times New Roman"/>
          <w:i/>
          <w:szCs w:val="24"/>
        </w:rPr>
        <w:t xml:space="preserve">Bivens </w:t>
      </w:r>
      <w:r w:rsidRPr="00842D3D">
        <w:rPr>
          <w:rFonts w:eastAsia="Calibri" w:cs="Times New Roman"/>
          <w:szCs w:val="24"/>
        </w:rPr>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842D3D">
        <w:rPr>
          <w:rFonts w:eastAsia="Calibri" w:cs="Times New Roman"/>
          <w:i/>
          <w:szCs w:val="24"/>
        </w:rPr>
        <w:t>Hansen v. Black</w:t>
      </w:r>
      <w:r w:rsidRPr="00842D3D">
        <w:rPr>
          <w:rFonts w:eastAsia="Calibri" w:cs="Times New Roman"/>
          <w:szCs w:val="24"/>
        </w:rPr>
        <w:t xml:space="preserve">, 885 F.2d 642, 645-46 (9th Cir. 1989); </w:t>
      </w:r>
      <w:r w:rsidRPr="00842D3D">
        <w:rPr>
          <w:rFonts w:eastAsia="Calibri" w:cs="Times New Roman"/>
          <w:i/>
          <w:szCs w:val="24"/>
        </w:rPr>
        <w:t>see also Chavez v. United States</w:t>
      </w:r>
      <w:r w:rsidRPr="00842D3D">
        <w:rPr>
          <w:rFonts w:eastAsia="Calibri" w:cs="Times New Roman"/>
          <w:szCs w:val="24"/>
        </w:rPr>
        <w:t xml:space="preserve">, 683 F.3d 1102, 1110 (9th Cir. 2012) (“[T]aking qualified immunity into account, a supervisor faces liability under the Fourth Amendment only where it would be clear to a reasonable [supervisor] that his conduct was unlawful in the situation he confronted.” (quotation marks omitted; first brackets added; second brackets in original)). Moreover, for liability to attach, supervisors must have actual supervisory authority over the government actor who committed the alleged violations. </w:t>
      </w:r>
      <w:r w:rsidRPr="00842D3D">
        <w:rPr>
          <w:rFonts w:eastAsia="Calibri" w:cs="Times New Roman"/>
          <w:i/>
          <w:szCs w:val="24"/>
        </w:rPr>
        <w:t>See 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szCs w:val="24"/>
        </w:rPr>
        <w:t>Id</w:t>
      </w:r>
      <w:r w:rsidRPr="00842D3D">
        <w:rPr>
          <w:rFonts w:eastAsia="Calibri" w:cs="Times New Roman"/>
          <w:szCs w:val="24"/>
        </w:rPr>
        <w:t xml:space="preserve">. </w:t>
      </w:r>
    </w:p>
    <w:p w14:paraId="54DE328C" w14:textId="77777777" w:rsidR="00842D3D" w:rsidRPr="00842D3D" w:rsidRDefault="00842D3D" w:rsidP="00842D3D">
      <w:pPr>
        <w:rPr>
          <w:rFonts w:eastAsia="Calibri" w:cs="Times New Roman"/>
          <w:szCs w:val="24"/>
        </w:rPr>
      </w:pPr>
    </w:p>
    <w:p w14:paraId="6B4617DF" w14:textId="77777777" w:rsidR="00842D3D" w:rsidRPr="00842D3D" w:rsidRDefault="00842D3D" w:rsidP="00842D3D">
      <w:pPr>
        <w:rPr>
          <w:rFonts w:eastAsia="Calibri" w:cs="Times New Roman"/>
          <w:szCs w:val="24"/>
        </w:rPr>
      </w:pPr>
      <w:r w:rsidRPr="00842D3D">
        <w:rPr>
          <w:rFonts w:eastAsia="Calibri" w:cs="Times New Roman"/>
          <w:szCs w:val="24"/>
        </w:rPr>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(Section 1983 Claim Against Supervisory Defendant in Individual Capacity—Elements and Burden of Proof) and replace “state law” with “federal law.”</w:t>
      </w:r>
    </w:p>
    <w:p w14:paraId="7B0EBF3E" w14:textId="77777777" w:rsidR="00842D3D" w:rsidRPr="00842D3D" w:rsidRDefault="00842D3D" w:rsidP="00842D3D">
      <w:pPr>
        <w:rPr>
          <w:rFonts w:eastAsia="Calibri" w:cs="Times New Roman"/>
          <w:szCs w:val="24"/>
        </w:rPr>
      </w:pPr>
    </w:p>
    <w:p w14:paraId="7FCBA9D3" w14:textId="3A92CAB2" w:rsidR="00842D3D" w:rsidRPr="00842D3D" w:rsidRDefault="00842D3D" w:rsidP="00842D3D">
      <w:pPr>
        <w:rPr>
          <w:rFonts w:eastAsia="Calibri" w:cs="Times New Roman"/>
          <w:szCs w:val="24"/>
        </w:rPr>
      </w:pPr>
      <w:r w:rsidRPr="00842D3D">
        <w:rPr>
          <w:rFonts w:eastAsia="Calibri" w:cs="Times New Roman"/>
          <w:szCs w:val="24"/>
        </w:rPr>
        <w:tab/>
        <w:t xml:space="preserve">One of the defenses that may be available to a federal official in a </w:t>
      </w:r>
      <w:r w:rsidRPr="00842D3D">
        <w:rPr>
          <w:rFonts w:eastAsia="Calibri" w:cs="Times New Roman"/>
          <w:i/>
          <w:szCs w:val="24"/>
        </w:rPr>
        <w:t>Bivens</w:t>
      </w:r>
      <w:r w:rsidRPr="00842D3D">
        <w:rPr>
          <w:rFonts w:eastAsia="Calibri" w:cs="Times New Roman"/>
          <w:szCs w:val="24"/>
        </w:rPr>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w:t>
      </w:r>
      <w:r w:rsidRPr="00842D3D">
        <w:rPr>
          <w:rFonts w:eastAsia="Calibri" w:cs="Times New Roman"/>
          <w:szCs w:val="24"/>
        </w:rPr>
        <w:lastRenderedPageBreak/>
        <w:t xml:space="preserve">duties. </w:t>
      </w:r>
      <w:r w:rsidRPr="00842D3D">
        <w:rPr>
          <w:rFonts w:eastAsia="Calibri" w:cs="Times New Roman"/>
          <w:i/>
          <w:szCs w:val="24"/>
        </w:rPr>
        <w:t>Trump v. United States</w:t>
      </w:r>
      <w:r w:rsidRPr="00842D3D">
        <w:rPr>
          <w:rFonts w:eastAsia="Calibri" w:cs="Times New Roman"/>
          <w:szCs w:val="24"/>
        </w:rPr>
        <w:t xml:space="preserve">, 603 U.S. 593, </w:t>
      </w:r>
      <w:r w:rsidRPr="00842D3D">
        <w:rPr>
          <w:rFonts w:eastAsia="Calibri" w:cs="Times New Roman"/>
        </w:rPr>
        <w:t>613-15 (2024)</w:t>
      </w:r>
      <w:r w:rsidRPr="00842D3D">
        <w:rPr>
          <w:rFonts w:eastAsia="Calibri" w:cs="Times New Roman"/>
          <w:szCs w:val="24"/>
        </w:rPr>
        <w:t xml:space="preserve"> (discussing the scope of absolute presidential immunity as within the outer perimeter of his official responsibility). Qualified immunity applies to all other federal officials. </w:t>
      </w:r>
      <w:r w:rsidRPr="00842D3D">
        <w:rPr>
          <w:rFonts w:eastAsia="Calibri" w:cs="Times New Roman"/>
          <w:i/>
          <w:szCs w:val="24"/>
        </w:rPr>
        <w:t>See Harlow v. Fitzgerald</w:t>
      </w:r>
      <w:r w:rsidRPr="00842D3D">
        <w:rPr>
          <w:rFonts w:eastAsia="Calibri" w:cs="Times New Roman"/>
          <w:szCs w:val="24"/>
        </w:rPr>
        <w:t xml:space="preserve">, 457 U.S. 800, 807-808 (1982). “For purposes of immunity, we have not distinguished actions brought under 42 U.S.C. § 1983 against state officials from </w:t>
      </w:r>
      <w:r w:rsidRPr="00842D3D">
        <w:rPr>
          <w:rFonts w:eastAsia="Calibri" w:cs="Times New Roman"/>
          <w:i/>
          <w:szCs w:val="24"/>
        </w:rPr>
        <w:t>Bivens</w:t>
      </w:r>
      <w:r w:rsidRPr="00842D3D">
        <w:rPr>
          <w:rFonts w:eastAsia="Calibri" w:cs="Times New Roman"/>
          <w:szCs w:val="24"/>
        </w:rPr>
        <w:t xml:space="preserve"> actions brought against federal officials.” </w:t>
      </w:r>
      <w:r w:rsidRPr="00842D3D">
        <w:rPr>
          <w:rFonts w:eastAsia="Calibri" w:cs="Times New Roman"/>
          <w:i/>
          <w:szCs w:val="24"/>
        </w:rPr>
        <w:t>Antoine v. Byers &amp; Anderson, Inc</w:t>
      </w:r>
      <w:r w:rsidRPr="00842D3D">
        <w:rPr>
          <w:rFonts w:eastAsia="Calibri" w:cs="Times New Roman"/>
          <w:szCs w:val="24"/>
        </w:rPr>
        <w:t xml:space="preserve">., 508 U.S. 429, 433 n.5 (1993). For a discussion of qualified immunity under § 1983, </w:t>
      </w:r>
      <w:r w:rsidRPr="00842D3D">
        <w:rPr>
          <w:rFonts w:eastAsia="Calibri" w:cs="Times New Roman"/>
          <w:iCs/>
          <w:szCs w:val="24"/>
        </w:rPr>
        <w:t>see</w:t>
      </w:r>
      <w:r w:rsidRPr="00842D3D">
        <w:rPr>
          <w:rFonts w:eastAsia="Calibri" w:cs="Times New Roman"/>
          <w:szCs w:val="24"/>
        </w:rPr>
        <w:t xml:space="preserve"> Comment at Instruction 9.</w:t>
      </w:r>
      <w:r w:rsidR="00047AF1">
        <w:rPr>
          <w:rFonts w:eastAsia="Calibri" w:cs="Times New Roman"/>
          <w:szCs w:val="24"/>
        </w:rPr>
        <w:t>41</w:t>
      </w:r>
      <w:r w:rsidRPr="00842D3D">
        <w:rPr>
          <w:rFonts w:eastAsia="Calibri" w:cs="Times New Roman"/>
          <w:szCs w:val="24"/>
        </w:rPr>
        <w:t xml:space="preserve"> (Qualified Immunity).</w:t>
      </w:r>
    </w:p>
    <w:p w14:paraId="433F110B" w14:textId="77777777" w:rsidR="00842D3D" w:rsidRPr="00842D3D" w:rsidRDefault="00842D3D" w:rsidP="00842D3D">
      <w:pPr>
        <w:rPr>
          <w:rFonts w:eastAsia="Calibri" w:cs="Times New Roman"/>
          <w:szCs w:val="24"/>
        </w:rPr>
      </w:pPr>
    </w:p>
    <w:p w14:paraId="657DA38B" w14:textId="77777777" w:rsidR="00842D3D" w:rsidRPr="00842D3D" w:rsidRDefault="00842D3D" w:rsidP="00842D3D">
      <w:pPr>
        <w:autoSpaceDE w:val="0"/>
        <w:autoSpaceDN w:val="0"/>
        <w:adjustRightInd w:val="0"/>
        <w:rPr>
          <w:rFonts w:eastAsia="Calibri" w:cs="Times New Roman"/>
          <w:szCs w:val="24"/>
        </w:rPr>
      </w:pPr>
    </w:p>
    <w:p w14:paraId="1FF7EF74" w14:textId="264416CF"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8C39DC">
        <w:rPr>
          <w:rFonts w:eastAsia="Calibri" w:cs="Times New Roman"/>
          <w:i/>
          <w:iCs/>
          <w:szCs w:val="24"/>
        </w:rPr>
        <w:t xml:space="preserve">December </w:t>
      </w:r>
      <w:r w:rsidRPr="00842D3D">
        <w:rPr>
          <w:rFonts w:eastAsia="Calibri" w:cs="Times New Roman"/>
          <w:i/>
          <w:iCs/>
          <w:szCs w:val="24"/>
        </w:rPr>
        <w:t>2025</w:t>
      </w:r>
    </w:p>
    <w:p w14:paraId="05A9F475"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413F2A3" w14:textId="7D248B15" w:rsidR="00842D3D" w:rsidRPr="00842D3D" w:rsidRDefault="00842D3D" w:rsidP="00FF121D">
      <w:pPr>
        <w:pStyle w:val="Heading2"/>
      </w:pPr>
      <w:bookmarkStart w:id="217" w:name="_Toc221525207"/>
      <w:r w:rsidRPr="00842D3D">
        <w:lastRenderedPageBreak/>
        <w:t>9.</w:t>
      </w:r>
      <w:r w:rsidR="003A1908">
        <w:t>43</w:t>
      </w:r>
      <w:r w:rsidRPr="00842D3D">
        <w:t xml:space="preserve"> </w:t>
      </w:r>
      <w:r w:rsidRPr="00842D3D">
        <w:rPr>
          <w:spacing w:val="-8"/>
        </w:rPr>
        <w:t xml:space="preserve">Discrimination </w:t>
      </w:r>
      <w:r w:rsidRPr="00842D3D">
        <w:t>in</w:t>
      </w:r>
      <w:r w:rsidRPr="00842D3D">
        <w:rPr>
          <w:spacing w:val="-8"/>
        </w:rPr>
        <w:t xml:space="preserve"> </w:t>
      </w:r>
      <w:r w:rsidRPr="00842D3D">
        <w:t>Making</w:t>
      </w:r>
      <w:r w:rsidRPr="00842D3D">
        <w:rPr>
          <w:spacing w:val="-8"/>
        </w:rPr>
        <w:t xml:space="preserve"> </w:t>
      </w:r>
      <w:r w:rsidRPr="00842D3D">
        <w:t>and</w:t>
      </w:r>
      <w:r w:rsidRPr="00842D3D">
        <w:rPr>
          <w:spacing w:val="-8"/>
        </w:rPr>
        <w:t xml:space="preserve"> </w:t>
      </w:r>
      <w:r w:rsidRPr="00842D3D">
        <w:t>Enforcing</w:t>
      </w:r>
      <w:r w:rsidRPr="00842D3D">
        <w:rPr>
          <w:spacing w:val="-8"/>
        </w:rPr>
        <w:t xml:space="preserve"> </w:t>
      </w:r>
      <w:r w:rsidRPr="00842D3D">
        <w:t>Contracts (42 U.S.C. § 1981)</w:t>
      </w:r>
      <w:bookmarkEnd w:id="217"/>
    </w:p>
    <w:p w14:paraId="6C5031A7" w14:textId="77777777" w:rsidR="00842D3D" w:rsidRPr="00842D3D" w:rsidRDefault="00842D3D" w:rsidP="00842D3D">
      <w:pPr>
        <w:widowControl w:val="0"/>
        <w:autoSpaceDE w:val="0"/>
        <w:autoSpaceDN w:val="0"/>
        <w:ind w:firstLine="720"/>
        <w:rPr>
          <w:rFonts w:eastAsia="Times New Roman" w:cs="Times New Roman"/>
          <w:b/>
          <w:szCs w:val="24"/>
        </w:rPr>
      </w:pPr>
    </w:p>
    <w:p w14:paraId="5B8DB6B9"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claims</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defendant</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prevented</w:t>
      </w:r>
      <w:r w:rsidRPr="00842D3D">
        <w:rPr>
          <w:rFonts w:eastAsia="Times New Roman" w:cs="Times New Roman"/>
          <w:spacing w:val="-5"/>
          <w:szCs w:val="24"/>
        </w:rPr>
        <w:t xml:space="preserve"> </w:t>
      </w:r>
      <w:r w:rsidRPr="00842D3D">
        <w:rPr>
          <w:rFonts w:eastAsia="Times New Roman" w:cs="Times New Roman"/>
          <w:szCs w:val="24"/>
        </w:rPr>
        <w:t>[him]</w:t>
      </w:r>
      <w:r w:rsidRPr="00842D3D">
        <w:rPr>
          <w:rFonts w:eastAsia="Times New Roman" w:cs="Times New Roman"/>
          <w:spacing w:val="-7"/>
          <w:szCs w:val="24"/>
        </w:rPr>
        <w:t xml:space="preserve"> </w:t>
      </w:r>
      <w:r w:rsidRPr="00842D3D">
        <w:rPr>
          <w:rFonts w:eastAsia="Times New Roman" w:cs="Times New Roman"/>
          <w:szCs w:val="24"/>
        </w:rPr>
        <w:t>[her]</w:t>
      </w:r>
      <w:r w:rsidRPr="00842D3D">
        <w:rPr>
          <w:rFonts w:eastAsia="Times New Roman" w:cs="Times New Roman"/>
          <w:spacing w:val="-7"/>
          <w:szCs w:val="24"/>
        </w:rPr>
        <w:t xml:space="preserve"> </w:t>
      </w:r>
      <w:r w:rsidRPr="00842D3D">
        <w:rPr>
          <w:rFonts w:eastAsia="Times New Roman" w:cs="Times New Roman"/>
          <w:szCs w:val="24"/>
        </w:rPr>
        <w:t>[</w:t>
      </w:r>
      <w:r w:rsidRPr="00842D3D">
        <w:rPr>
          <w:rFonts w:eastAsia="Times New Roman" w:cs="Times New Roman"/>
          <w:i/>
          <w:iCs/>
          <w:szCs w:val="24"/>
          <w:u w:val="single"/>
        </w:rPr>
        <w:t>other pronoun</w:t>
      </w:r>
      <w:r w:rsidRPr="00842D3D">
        <w:rPr>
          <w:rFonts w:eastAsia="Times New Roman" w:cs="Times New Roman"/>
          <w:szCs w:val="24"/>
        </w:rPr>
        <w:t>]</w:t>
      </w:r>
      <w:r w:rsidRPr="00842D3D">
        <w:rPr>
          <w:rFonts w:eastAsia="Times New Roman" w:cs="Times New Roman"/>
          <w:spacing w:val="-7"/>
          <w:szCs w:val="24"/>
        </w:rPr>
        <w:t xml:space="preserve"> </w:t>
      </w:r>
      <w:r w:rsidRPr="00842D3D">
        <w:rPr>
          <w:rFonts w:eastAsia="Times New Roman" w:cs="Times New Roman"/>
          <w:szCs w:val="24"/>
        </w:rPr>
        <w:t>from</w:t>
      </w:r>
      <w:r w:rsidRPr="00842D3D">
        <w:rPr>
          <w:rFonts w:eastAsia="Times New Roman" w:cs="Times New Roman"/>
          <w:spacing w:val="-6"/>
          <w:szCs w:val="24"/>
        </w:rPr>
        <w:t xml:space="preserve"> </w:t>
      </w:r>
      <w:r w:rsidRPr="00842D3D">
        <w:rPr>
          <w:rFonts w:eastAsia="Times New Roman" w:cs="Times New Roman"/>
          <w:szCs w:val="24"/>
        </w:rPr>
        <w:t>[making] [performing] [modifying] [terminating] [enjoying a benefit, privilege, term, or condition of] a contract because of the plaintiff [</w:t>
      </w:r>
      <w:r w:rsidRPr="00842D3D">
        <w:rPr>
          <w:rFonts w:eastAsia="Times New Roman" w:cs="Times New Roman"/>
          <w:i/>
          <w:iCs/>
          <w:szCs w:val="24"/>
          <w:u w:val="single"/>
        </w:rPr>
        <w:t>name</w:t>
      </w:r>
      <w:r w:rsidRPr="00842D3D">
        <w:rPr>
          <w:rFonts w:eastAsia="Times New Roman" w:cs="Times New Roman"/>
          <w:szCs w:val="24"/>
        </w:rPr>
        <w:t>]’s race. To prevail on this claim, the</w:t>
      </w:r>
      <w:r w:rsidRPr="00842D3D">
        <w:rPr>
          <w:rFonts w:eastAsia="Times New Roman" w:cs="Times New Roman"/>
          <w:spacing w:val="-2"/>
          <w:szCs w:val="24"/>
        </w:rPr>
        <w:t xml:space="preserve"> </w:t>
      </w:r>
      <w:r w:rsidRPr="00842D3D">
        <w:rPr>
          <w:rFonts w:eastAsia="Times New Roman" w:cs="Times New Roman"/>
          <w:szCs w:val="24"/>
        </w:rPr>
        <w:t>plaintiff</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burden</w:t>
      </w:r>
      <w:r w:rsidRPr="00842D3D">
        <w:rPr>
          <w:rFonts w:eastAsia="Times New Roman" w:cs="Times New Roman"/>
          <w:spacing w:val="-2"/>
          <w:szCs w:val="24"/>
        </w:rPr>
        <w:t xml:space="preserve"> </w:t>
      </w:r>
      <w:r w:rsidRPr="00842D3D">
        <w:rPr>
          <w:rFonts w:eastAsia="Times New Roman" w:cs="Times New Roman"/>
          <w:szCs w:val="24"/>
        </w:rPr>
        <w:t>of</w:t>
      </w:r>
      <w:r w:rsidRPr="00842D3D">
        <w:rPr>
          <w:rFonts w:eastAsia="Times New Roman" w:cs="Times New Roman"/>
          <w:spacing w:val="-2"/>
          <w:szCs w:val="24"/>
        </w:rPr>
        <w:t xml:space="preserve"> </w:t>
      </w:r>
      <w:r w:rsidRPr="00842D3D">
        <w:rPr>
          <w:rFonts w:eastAsia="Times New Roman" w:cs="Times New Roman"/>
          <w:szCs w:val="24"/>
        </w:rPr>
        <w:t>proving</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following</w:t>
      </w:r>
      <w:r w:rsidRPr="00842D3D">
        <w:rPr>
          <w:rFonts w:eastAsia="Times New Roman" w:cs="Times New Roman"/>
          <w:spacing w:val="-2"/>
          <w:szCs w:val="24"/>
        </w:rPr>
        <w:t xml:space="preserve"> </w:t>
      </w:r>
      <w:r w:rsidRPr="00842D3D">
        <w:rPr>
          <w:rFonts w:eastAsia="Times New Roman" w:cs="Times New Roman"/>
          <w:szCs w:val="24"/>
        </w:rPr>
        <w:t>elements</w:t>
      </w:r>
      <w:r w:rsidRPr="00842D3D">
        <w:rPr>
          <w:rFonts w:eastAsia="Times New Roman" w:cs="Times New Roman"/>
          <w:spacing w:val="-2"/>
          <w:szCs w:val="24"/>
        </w:rPr>
        <w:t xml:space="preserve"> </w:t>
      </w:r>
      <w:r w:rsidRPr="00842D3D">
        <w:rPr>
          <w:rFonts w:eastAsia="Times New Roman" w:cs="Times New Roman"/>
          <w:szCs w:val="24"/>
        </w:rPr>
        <w:t>by</w:t>
      </w:r>
      <w:r w:rsidRPr="00842D3D">
        <w:rPr>
          <w:rFonts w:eastAsia="Times New Roman" w:cs="Times New Roman"/>
          <w:spacing w:val="-2"/>
          <w:szCs w:val="24"/>
        </w:rPr>
        <w:t xml:space="preserve"> </w:t>
      </w:r>
      <w:r w:rsidRPr="00842D3D">
        <w:rPr>
          <w:rFonts w:eastAsia="Times New Roman" w:cs="Times New Roman"/>
          <w:szCs w:val="24"/>
        </w:rPr>
        <w:t>a</w:t>
      </w:r>
      <w:r w:rsidRPr="00842D3D">
        <w:rPr>
          <w:rFonts w:eastAsia="Times New Roman" w:cs="Times New Roman"/>
          <w:spacing w:val="-2"/>
          <w:szCs w:val="24"/>
        </w:rPr>
        <w:t xml:space="preserve"> </w:t>
      </w:r>
      <w:r w:rsidRPr="00842D3D">
        <w:rPr>
          <w:rFonts w:eastAsia="Times New Roman" w:cs="Times New Roman"/>
          <w:szCs w:val="24"/>
        </w:rPr>
        <w:t>preponderance of the evidence:</w:t>
      </w:r>
    </w:p>
    <w:p w14:paraId="66A7B624" w14:textId="77777777" w:rsidR="00842D3D" w:rsidRPr="00842D3D" w:rsidRDefault="00842D3D" w:rsidP="00842D3D">
      <w:pPr>
        <w:widowControl w:val="0"/>
        <w:autoSpaceDE w:val="0"/>
        <w:autoSpaceDN w:val="0"/>
        <w:ind w:firstLine="720"/>
        <w:rPr>
          <w:rFonts w:eastAsia="Times New Roman" w:cs="Times New Roman"/>
          <w:szCs w:val="24"/>
        </w:rPr>
      </w:pPr>
    </w:p>
    <w:p w14:paraId="4B03623D" w14:textId="77777777" w:rsidR="00842D3D" w:rsidRPr="00842D3D" w:rsidRDefault="00842D3D" w:rsidP="00842D3D">
      <w:pPr>
        <w:widowControl w:val="0"/>
        <w:autoSpaceDE w:val="0"/>
        <w:autoSpaceDN w:val="0"/>
        <w:ind w:right="122" w:firstLine="720"/>
        <w:rPr>
          <w:rFonts w:eastAsia="Calibri" w:cs="Times New Roman"/>
          <w:szCs w:val="24"/>
        </w:rPr>
      </w:pPr>
      <w:r w:rsidRPr="00842D3D">
        <w:rPr>
          <w:rFonts w:eastAsia="Calibri" w:cs="Times New Roman"/>
          <w:szCs w:val="24"/>
        </w:rPr>
        <w:t>[</w:t>
      </w:r>
      <w:r w:rsidRPr="00842D3D">
        <w:rPr>
          <w:rFonts w:eastAsia="Times New Roman" w:cs="Times New Roman"/>
          <w:szCs w:val="24"/>
        </w:rPr>
        <w:t>First, 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party</w:t>
      </w:r>
      <w:r w:rsidRPr="00842D3D">
        <w:rPr>
          <w:rFonts w:eastAsia="Calibri" w:cs="Times New Roman"/>
          <w:spacing w:val="-3"/>
          <w:szCs w:val="24"/>
        </w:rPr>
        <w:t xml:space="preserve"> </w:t>
      </w:r>
      <w:r w:rsidRPr="00842D3D">
        <w:rPr>
          <w:rFonts w:eastAsia="Calibri" w:cs="Times New Roman"/>
          <w:szCs w:val="24"/>
        </w:rPr>
        <w:t>to</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contract.</w:t>
      </w:r>
      <w:r w:rsidRPr="00842D3D">
        <w:rPr>
          <w:rFonts w:eastAsia="Calibri" w:cs="Times New Roman"/>
          <w:spacing w:val="-3"/>
          <w:szCs w:val="24"/>
        </w:rPr>
        <w:t xml:space="preserve"> </w:t>
      </w:r>
      <w:r w:rsidRPr="00842D3D">
        <w:rPr>
          <w:rFonts w:eastAsia="Calibri" w:cs="Times New Roman"/>
          <w:szCs w:val="24"/>
        </w:rPr>
        <w:t>[I</w:t>
      </w:r>
      <w:r w:rsidRPr="00842D3D">
        <w:rPr>
          <w:rFonts w:eastAsia="Calibri" w:cs="Times New Roman"/>
          <w:spacing w:val="-3"/>
          <w:szCs w:val="24"/>
        </w:rPr>
        <w:t xml:space="preserve"> </w:t>
      </w:r>
      <w:r w:rsidRPr="00842D3D">
        <w:rPr>
          <w:rFonts w:eastAsia="Calibri" w:cs="Times New Roman"/>
          <w:szCs w:val="24"/>
        </w:rPr>
        <w:t>instruct</w:t>
      </w:r>
      <w:r w:rsidRPr="00842D3D">
        <w:rPr>
          <w:rFonts w:eastAsia="Calibri" w:cs="Times New Roman"/>
          <w:spacing w:val="-3"/>
          <w:szCs w:val="24"/>
        </w:rPr>
        <w:t xml:space="preserve"> </w:t>
      </w:r>
      <w:r w:rsidRPr="00842D3D">
        <w:rPr>
          <w:rFonts w:eastAsia="Calibri" w:cs="Times New Roman"/>
          <w:szCs w:val="24"/>
        </w:rPr>
        <w:t>you</w:t>
      </w:r>
      <w:r w:rsidRPr="00842D3D">
        <w:rPr>
          <w:rFonts w:eastAsia="Calibri" w:cs="Times New Roman"/>
          <w:spacing w:val="-3"/>
          <w:szCs w:val="24"/>
        </w:rPr>
        <w:t xml:space="preserve"> </w:t>
      </w:r>
      <w:r w:rsidRPr="00842D3D">
        <w:rPr>
          <w:rFonts w:eastAsia="Calibri" w:cs="Times New Roman"/>
          <w:szCs w:val="24"/>
        </w:rPr>
        <w:t>that</w:t>
      </w:r>
      <w:r w:rsidRPr="00842D3D">
        <w:rPr>
          <w:rFonts w:eastAsia="Calibri" w:cs="Times New Roman"/>
          <w:spacing w:val="-3"/>
          <w:szCs w:val="24"/>
        </w:rPr>
        <w:t xml:space="preserve"> </w:t>
      </w:r>
      <w:r w:rsidRPr="00842D3D">
        <w:rPr>
          <w:rFonts w:eastAsia="Calibri" w:cs="Times New Roman"/>
          <w:szCs w:val="24"/>
        </w:rPr>
        <w:t>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 xml:space="preserve">has established this element.] </w:t>
      </w:r>
    </w:p>
    <w:p w14:paraId="5BDC8BDC" w14:textId="77777777" w:rsidR="00842D3D" w:rsidRPr="00842D3D" w:rsidRDefault="00842D3D" w:rsidP="00842D3D">
      <w:pPr>
        <w:widowControl w:val="0"/>
        <w:autoSpaceDE w:val="0"/>
        <w:autoSpaceDN w:val="0"/>
        <w:ind w:right="122"/>
        <w:jc w:val="center"/>
        <w:rPr>
          <w:rFonts w:eastAsia="Calibri" w:cs="Times New Roman"/>
          <w:szCs w:val="24"/>
        </w:rPr>
      </w:pPr>
    </w:p>
    <w:p w14:paraId="36EE5EA0" w14:textId="77777777" w:rsidR="00842D3D" w:rsidRPr="00842D3D" w:rsidRDefault="00842D3D" w:rsidP="00842D3D">
      <w:pPr>
        <w:widowControl w:val="0"/>
        <w:autoSpaceDE w:val="0"/>
        <w:autoSpaceDN w:val="0"/>
        <w:ind w:right="122"/>
        <w:jc w:val="center"/>
        <w:rPr>
          <w:rFonts w:eastAsia="Times New Roman" w:cs="Times New Roman"/>
          <w:i/>
          <w:iCs/>
          <w:szCs w:val="24"/>
        </w:rPr>
      </w:pPr>
      <w:r w:rsidRPr="00842D3D">
        <w:rPr>
          <w:rFonts w:eastAsia="Calibri" w:cs="Times New Roman"/>
          <w:i/>
          <w:szCs w:val="24"/>
        </w:rPr>
        <w:t>or</w:t>
      </w:r>
    </w:p>
    <w:p w14:paraId="71B0E295" w14:textId="77777777" w:rsidR="00842D3D" w:rsidRPr="00842D3D" w:rsidRDefault="00842D3D" w:rsidP="00842D3D">
      <w:pPr>
        <w:widowControl w:val="0"/>
        <w:autoSpaceDE w:val="0"/>
        <w:autoSpaceDN w:val="0"/>
        <w:ind w:right="122" w:firstLine="720"/>
        <w:rPr>
          <w:rFonts w:eastAsia="Times New Roman" w:cs="Times New Roman"/>
          <w:szCs w:val="24"/>
        </w:rPr>
      </w:pPr>
    </w:p>
    <w:p w14:paraId="29F172C1" w14:textId="77777777" w:rsidR="00842D3D" w:rsidRPr="00842D3D" w:rsidRDefault="00842D3D" w:rsidP="00842D3D">
      <w:pPr>
        <w:widowControl w:val="0"/>
        <w:autoSpaceDE w:val="0"/>
        <w:autoSpaceDN w:val="0"/>
        <w:ind w:right="122" w:firstLine="720"/>
        <w:rPr>
          <w:rFonts w:eastAsia="Times New Roman" w:cs="Times New Roman"/>
          <w:i/>
          <w:szCs w:val="24"/>
        </w:rPr>
      </w:pPr>
      <w:r w:rsidRPr="00842D3D">
        <w:rPr>
          <w:rFonts w:eastAsia="Times New Roman" w:cs="Times New Roman"/>
          <w:szCs w:val="24"/>
        </w:rPr>
        <w:t>[First, the plaintiff [</w:t>
      </w:r>
      <w:r w:rsidRPr="00842D3D">
        <w:rPr>
          <w:rFonts w:eastAsia="Times New Roman" w:cs="Times New Roman"/>
          <w:i/>
          <w:iCs/>
          <w:szCs w:val="24"/>
          <w:u w:val="single"/>
        </w:rPr>
        <w:t>name</w:t>
      </w:r>
      <w:r w:rsidRPr="00842D3D">
        <w:rPr>
          <w:rFonts w:eastAsia="Times New Roman" w:cs="Times New Roman"/>
          <w:szCs w:val="24"/>
        </w:rPr>
        <w:t>] attempted but was unable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 of the contractual relationship]].</w:t>
      </w:r>
    </w:p>
    <w:p w14:paraId="2ECC1D12" w14:textId="77777777" w:rsidR="00842D3D" w:rsidRPr="00842D3D" w:rsidRDefault="00842D3D" w:rsidP="00842D3D">
      <w:pPr>
        <w:widowControl w:val="0"/>
        <w:autoSpaceDE w:val="0"/>
        <w:autoSpaceDN w:val="0"/>
        <w:ind w:firstLine="720"/>
        <w:rPr>
          <w:rFonts w:eastAsia="Times New Roman" w:cs="Times New Roman"/>
          <w:szCs w:val="24"/>
        </w:rPr>
      </w:pPr>
    </w:p>
    <w:p w14:paraId="678415E7"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Second, the plaintiff [</w:t>
      </w:r>
      <w:r w:rsidRPr="00842D3D">
        <w:rPr>
          <w:rFonts w:eastAsia="Times New Roman" w:cs="Times New Roman"/>
          <w:i/>
          <w:iCs/>
          <w:szCs w:val="24"/>
          <w:u w:val="single"/>
        </w:rPr>
        <w:t>name</w:t>
      </w:r>
      <w:r w:rsidRPr="00842D3D">
        <w:rPr>
          <w:rFonts w:eastAsia="Times New Roman" w:cs="Times New Roman"/>
          <w:szCs w:val="24"/>
        </w:rPr>
        <w:t>]’s inability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“because</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r w:rsidRPr="00842D3D">
        <w:rPr>
          <w:rFonts w:eastAsia="Times New Roman" w:cs="Times New Roman"/>
          <w:spacing w:val="-5"/>
          <w:szCs w:val="24"/>
        </w:rPr>
        <w:t xml:space="preserve"> </w:t>
      </w:r>
      <w:r w:rsidRPr="00842D3D">
        <w:rPr>
          <w:rFonts w:eastAsia="Times New Roman" w:cs="Times New Roman"/>
          <w:szCs w:val="24"/>
        </w:rPr>
        <w:t>purposeful discrimination against the plaintiff [</w:t>
      </w:r>
      <w:r w:rsidRPr="00842D3D">
        <w:rPr>
          <w:rFonts w:eastAsia="Times New Roman" w:cs="Times New Roman"/>
          <w:i/>
          <w:iCs/>
          <w:szCs w:val="24"/>
          <w:u w:val="single"/>
        </w:rPr>
        <w:t>name</w:t>
      </w:r>
      <w:r w:rsidRPr="00842D3D">
        <w:rPr>
          <w:rFonts w:eastAsia="Times New Roman" w:cs="Times New Roman"/>
          <w:szCs w:val="24"/>
        </w:rPr>
        <w:t>] on the basis of the plaintiff [</w:t>
      </w:r>
      <w:r w:rsidRPr="00842D3D">
        <w:rPr>
          <w:rFonts w:eastAsia="Times New Roman" w:cs="Times New Roman"/>
          <w:i/>
          <w:iCs/>
          <w:szCs w:val="24"/>
          <w:u w:val="single"/>
        </w:rPr>
        <w:t>name</w:t>
      </w:r>
      <w:r w:rsidRPr="00842D3D">
        <w:rPr>
          <w:rFonts w:eastAsia="Times New Roman" w:cs="Times New Roman"/>
          <w:szCs w:val="24"/>
        </w:rPr>
        <w:t>]’s race.</w:t>
      </w:r>
    </w:p>
    <w:p w14:paraId="51491B01" w14:textId="77777777" w:rsidR="00842D3D" w:rsidRPr="00842D3D" w:rsidRDefault="00842D3D" w:rsidP="00842D3D">
      <w:pPr>
        <w:widowControl w:val="0"/>
        <w:autoSpaceDE w:val="0"/>
        <w:autoSpaceDN w:val="0"/>
        <w:ind w:firstLine="720"/>
        <w:rPr>
          <w:rFonts w:eastAsia="Times New Roman" w:cs="Times New Roman"/>
          <w:szCs w:val="24"/>
        </w:rPr>
      </w:pPr>
    </w:p>
    <w:p w14:paraId="7C9DD844" w14:textId="77777777" w:rsidR="00842D3D" w:rsidRPr="00842D3D" w:rsidRDefault="00842D3D" w:rsidP="00842D3D">
      <w:pPr>
        <w:widowControl w:val="0"/>
        <w:autoSpaceDE w:val="0"/>
        <w:autoSpaceDN w:val="0"/>
        <w:ind w:right="244" w:firstLine="720"/>
        <w:rPr>
          <w:rFonts w:eastAsia="Times New Roman" w:cs="Times New Roman"/>
          <w:szCs w:val="24"/>
        </w:rPr>
      </w:pPr>
      <w:r w:rsidRPr="00842D3D">
        <w:rPr>
          <w:rFonts w:eastAsia="Times New Roman" w:cs="Times New Roman"/>
          <w:szCs w:val="24"/>
        </w:rPr>
        <w:t>If</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plaintiff</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4"/>
          <w:szCs w:val="24"/>
        </w:rPr>
        <w:t xml:space="preserve"> </w:t>
      </w:r>
      <w:r w:rsidRPr="00842D3D">
        <w:rPr>
          <w:rFonts w:eastAsia="Times New Roman" w:cs="Times New Roman"/>
          <w:szCs w:val="24"/>
        </w:rPr>
        <w:t>proven</w:t>
      </w:r>
      <w:r w:rsidRPr="00842D3D">
        <w:rPr>
          <w:rFonts w:eastAsia="Times New Roman" w:cs="Times New Roman"/>
          <w:spacing w:val="-4"/>
          <w:szCs w:val="24"/>
        </w:rPr>
        <w:t xml:space="preserve"> </w:t>
      </w:r>
      <w:r w:rsidRPr="00842D3D">
        <w:rPr>
          <w:rFonts w:eastAsia="Times New Roman" w:cs="Times New Roman"/>
          <w:szCs w:val="24"/>
        </w:rPr>
        <w:t>both of</w:t>
      </w:r>
      <w:r w:rsidRPr="00842D3D">
        <w:rPr>
          <w:rFonts w:eastAsia="Times New Roman" w:cs="Times New Roman"/>
          <w:spacing w:val="-4"/>
          <w:szCs w:val="24"/>
        </w:rPr>
        <w:t xml:space="preserve"> </w:t>
      </w:r>
      <w:r w:rsidRPr="00842D3D">
        <w:rPr>
          <w:rFonts w:eastAsia="Times New Roman" w:cs="Times New Roman"/>
          <w:szCs w:val="24"/>
        </w:rPr>
        <w:t>these</w:t>
      </w:r>
      <w:r w:rsidRPr="00842D3D">
        <w:rPr>
          <w:rFonts w:eastAsia="Times New Roman" w:cs="Times New Roman"/>
          <w:spacing w:val="-4"/>
          <w:szCs w:val="24"/>
        </w:rPr>
        <w:t xml:space="preserve"> </w:t>
      </w:r>
      <w:r w:rsidRPr="00842D3D">
        <w:rPr>
          <w:rFonts w:eastAsia="Times New Roman" w:cs="Times New Roman"/>
          <w:szCs w:val="24"/>
        </w:rPr>
        <w:t>elements</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preponderance</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the evidence, the plaintiff [</w:t>
      </w:r>
      <w:r w:rsidRPr="00842D3D">
        <w:rPr>
          <w:rFonts w:eastAsia="Times New Roman" w:cs="Times New Roman"/>
          <w:i/>
          <w:iCs/>
          <w:szCs w:val="24"/>
          <w:u w:val="single"/>
        </w:rPr>
        <w:t>name</w:t>
      </w:r>
      <w:r w:rsidRPr="00842D3D">
        <w:rPr>
          <w:rFonts w:eastAsia="Times New Roman" w:cs="Times New Roman"/>
          <w:szCs w:val="24"/>
        </w:rPr>
        <w:t>] is entitled to your verdict.</w:t>
      </w:r>
    </w:p>
    <w:p w14:paraId="4E7E9FEA" w14:textId="77777777" w:rsidR="00842D3D" w:rsidRPr="00842D3D" w:rsidRDefault="00842D3D" w:rsidP="00842D3D">
      <w:pPr>
        <w:widowControl w:val="0"/>
        <w:autoSpaceDE w:val="0"/>
        <w:autoSpaceDN w:val="0"/>
        <w:ind w:right="244" w:firstLine="720"/>
        <w:rPr>
          <w:rFonts w:eastAsia="Times New Roman" w:cs="Times New Roman"/>
          <w:szCs w:val="24"/>
        </w:rPr>
      </w:pPr>
    </w:p>
    <w:p w14:paraId="6AC9AD8B"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5613B005" w14:textId="77777777" w:rsidR="00842D3D" w:rsidRPr="00842D3D" w:rsidRDefault="00842D3D" w:rsidP="00842D3D">
      <w:pPr>
        <w:widowControl w:val="0"/>
        <w:autoSpaceDE w:val="0"/>
        <w:autoSpaceDN w:val="0"/>
        <w:rPr>
          <w:rFonts w:eastAsia="Times New Roman" w:cs="Times New Roman"/>
          <w:b/>
          <w:szCs w:val="24"/>
        </w:rPr>
      </w:pPr>
    </w:p>
    <w:p w14:paraId="4C5499D7" w14:textId="77777777" w:rsidR="00842D3D" w:rsidRPr="00842D3D" w:rsidRDefault="00842D3D" w:rsidP="00842D3D">
      <w:pPr>
        <w:widowControl w:val="0"/>
        <w:autoSpaceDE w:val="0"/>
        <w:autoSpaceDN w:val="0"/>
        <w:ind w:right="211" w:firstLine="720"/>
        <w:rPr>
          <w:rFonts w:eastAsia="Times New Roman" w:cs="Times New Roman"/>
          <w:spacing w:val="-2"/>
          <w:szCs w:val="24"/>
        </w:rPr>
      </w:pPr>
      <w:r w:rsidRPr="00842D3D">
        <w:rPr>
          <w:rFonts w:eastAsia="Times New Roman" w:cs="Times New Roman"/>
          <w:szCs w:val="24"/>
        </w:rPr>
        <w:t>The definition of “because of” in this instruction is the same as that in Instruction</w:t>
      </w:r>
      <w:r w:rsidRPr="00842D3D">
        <w:rPr>
          <w:rFonts w:eastAsia="Times New Roman" w:cs="Times New Roman"/>
          <w:spacing w:val="-7"/>
          <w:szCs w:val="24"/>
        </w:rPr>
        <w:t xml:space="preserve"> </w:t>
      </w:r>
      <w:r w:rsidRPr="00842D3D">
        <w:rPr>
          <w:rFonts w:eastAsia="Times New Roman" w:cs="Times New Roman"/>
          <w:szCs w:val="24"/>
        </w:rPr>
        <w:t>10.3</w:t>
      </w:r>
      <w:r w:rsidRPr="00842D3D">
        <w:rPr>
          <w:rFonts w:eastAsia="Times New Roman" w:cs="Times New Roman"/>
          <w:spacing w:val="-7"/>
          <w:szCs w:val="24"/>
        </w:rPr>
        <w:t xml:space="preserve"> </w:t>
      </w:r>
      <w:r w:rsidRPr="00842D3D">
        <w:rPr>
          <w:rFonts w:eastAsia="Times New Roman" w:cs="Times New Roman"/>
          <w:szCs w:val="24"/>
        </w:rPr>
        <w:t>(Civil</w:t>
      </w:r>
      <w:r w:rsidRPr="00842D3D">
        <w:rPr>
          <w:rFonts w:eastAsia="Times New Roman" w:cs="Times New Roman"/>
          <w:spacing w:val="-7"/>
          <w:szCs w:val="24"/>
        </w:rPr>
        <w:t xml:space="preserve"> </w:t>
      </w:r>
      <w:r w:rsidRPr="00842D3D">
        <w:rPr>
          <w:rFonts w:eastAsia="Times New Roman" w:cs="Times New Roman"/>
          <w:szCs w:val="24"/>
        </w:rPr>
        <w:t>Rights—Title</w:t>
      </w:r>
      <w:r w:rsidRPr="00842D3D">
        <w:rPr>
          <w:rFonts w:eastAsia="Times New Roman" w:cs="Times New Roman"/>
          <w:spacing w:val="-7"/>
          <w:szCs w:val="24"/>
        </w:rPr>
        <w:t xml:space="preserve"> </w:t>
      </w:r>
      <w:r w:rsidRPr="00842D3D">
        <w:rPr>
          <w:rFonts w:eastAsia="Times New Roman" w:cs="Times New Roman"/>
          <w:szCs w:val="24"/>
        </w:rPr>
        <w:t>VII—Disparate</w:t>
      </w:r>
      <w:r w:rsidRPr="00842D3D">
        <w:rPr>
          <w:rFonts w:eastAsia="Times New Roman" w:cs="Times New Roman"/>
          <w:spacing w:val="-7"/>
          <w:szCs w:val="24"/>
        </w:rPr>
        <w:t xml:space="preserve"> </w:t>
      </w:r>
      <w:r w:rsidRPr="00842D3D">
        <w:rPr>
          <w:rFonts w:eastAsia="Times New Roman" w:cs="Times New Roman"/>
          <w:szCs w:val="24"/>
        </w:rPr>
        <w:t>Treatment—“Because</w:t>
      </w:r>
      <w:r w:rsidRPr="00842D3D">
        <w:rPr>
          <w:rFonts w:eastAsia="Times New Roman" w:cs="Times New Roman"/>
          <w:spacing w:val="-7"/>
          <w:szCs w:val="24"/>
        </w:rPr>
        <w:t xml:space="preserve"> </w:t>
      </w:r>
      <w:r w:rsidRPr="00842D3D">
        <w:rPr>
          <w:rFonts w:eastAsia="Times New Roman" w:cs="Times New Roman"/>
          <w:szCs w:val="24"/>
        </w:rPr>
        <w:t xml:space="preserve">of” </w:t>
      </w:r>
      <w:r w:rsidRPr="00842D3D">
        <w:rPr>
          <w:rFonts w:eastAsia="Times New Roman" w:cs="Times New Roman"/>
          <w:spacing w:val="-2"/>
          <w:szCs w:val="24"/>
        </w:rPr>
        <w:t>Defined).</w:t>
      </w:r>
    </w:p>
    <w:p w14:paraId="649EA7C4" w14:textId="77777777" w:rsidR="00842D3D" w:rsidRPr="00842D3D" w:rsidRDefault="00842D3D" w:rsidP="00842D3D">
      <w:pPr>
        <w:widowControl w:val="0"/>
        <w:autoSpaceDE w:val="0"/>
        <w:autoSpaceDN w:val="0"/>
        <w:ind w:right="211" w:firstLine="720"/>
        <w:rPr>
          <w:rFonts w:eastAsia="Times New Roman" w:cs="Times New Roman"/>
          <w:szCs w:val="24"/>
        </w:rPr>
      </w:pPr>
    </w:p>
    <w:p w14:paraId="3597022A"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Section</w:t>
      </w:r>
      <w:r w:rsidRPr="00842D3D">
        <w:rPr>
          <w:rFonts w:eastAsia="Times New Roman" w:cs="Times New Roman"/>
          <w:spacing w:val="-2"/>
          <w:szCs w:val="24"/>
        </w:rPr>
        <w:t xml:space="preserve"> </w:t>
      </w:r>
      <w:r w:rsidRPr="00842D3D">
        <w:rPr>
          <w:rFonts w:eastAsia="Times New Roman" w:cs="Times New Roman"/>
          <w:szCs w:val="24"/>
        </w:rPr>
        <w:t>1981(a)</w:t>
      </w:r>
      <w:r w:rsidRPr="00842D3D">
        <w:rPr>
          <w:rFonts w:eastAsia="Times New Roman" w:cs="Times New Roman"/>
          <w:spacing w:val="-2"/>
          <w:szCs w:val="24"/>
        </w:rPr>
        <w:t xml:space="preserve"> </w:t>
      </w:r>
      <w:r w:rsidRPr="00842D3D">
        <w:rPr>
          <w:rFonts w:eastAsia="Times New Roman" w:cs="Times New Roman"/>
          <w:szCs w:val="24"/>
        </w:rPr>
        <w:t>states</w:t>
      </w:r>
      <w:r w:rsidRPr="00842D3D">
        <w:rPr>
          <w:rFonts w:eastAsia="Times New Roman" w:cs="Times New Roman"/>
          <w:spacing w:val="-2"/>
          <w:szCs w:val="24"/>
        </w:rPr>
        <w:t xml:space="preserve"> </w:t>
      </w:r>
      <w:r w:rsidRPr="00842D3D">
        <w:rPr>
          <w:rFonts w:eastAsia="Times New Roman" w:cs="Times New Roman"/>
          <w:szCs w:val="24"/>
        </w:rPr>
        <w:t>in</w:t>
      </w:r>
      <w:r w:rsidRPr="00842D3D">
        <w:rPr>
          <w:rFonts w:eastAsia="Times New Roman" w:cs="Times New Roman"/>
          <w:spacing w:val="-2"/>
          <w:szCs w:val="24"/>
        </w:rPr>
        <w:t xml:space="preserve"> </w:t>
      </w:r>
      <w:r w:rsidRPr="00842D3D">
        <w:rPr>
          <w:rFonts w:eastAsia="Times New Roman" w:cs="Times New Roman"/>
          <w:szCs w:val="24"/>
        </w:rPr>
        <w:t>relevant</w:t>
      </w:r>
      <w:r w:rsidRPr="00842D3D">
        <w:rPr>
          <w:rFonts w:eastAsia="Times New Roman" w:cs="Times New Roman"/>
          <w:spacing w:val="-2"/>
          <w:szCs w:val="24"/>
        </w:rPr>
        <w:t xml:space="preserve"> </w:t>
      </w:r>
      <w:r w:rsidRPr="00842D3D">
        <w:rPr>
          <w:rFonts w:eastAsia="Times New Roman" w:cs="Times New Roman"/>
          <w:szCs w:val="24"/>
        </w:rPr>
        <w:t>part</w:t>
      </w:r>
      <w:r w:rsidRPr="00842D3D">
        <w:rPr>
          <w:rFonts w:eastAsia="Times New Roman" w:cs="Times New Roman"/>
          <w:spacing w:val="-2"/>
          <w:szCs w:val="24"/>
        </w:rPr>
        <w:t xml:space="preserve"> </w:t>
      </w:r>
      <w:r w:rsidRPr="00842D3D">
        <w:rPr>
          <w:rFonts w:eastAsia="Times New Roman" w:cs="Times New Roman"/>
          <w:szCs w:val="24"/>
        </w:rPr>
        <w:t>as</w:t>
      </w:r>
      <w:r w:rsidRPr="00842D3D">
        <w:rPr>
          <w:rFonts w:eastAsia="Times New Roman" w:cs="Times New Roman"/>
          <w:spacing w:val="-2"/>
          <w:szCs w:val="24"/>
        </w:rPr>
        <w:t xml:space="preserve"> </w:t>
      </w:r>
      <w:r w:rsidRPr="00842D3D">
        <w:rPr>
          <w:rFonts w:eastAsia="Times New Roman" w:cs="Times New Roman"/>
          <w:szCs w:val="24"/>
        </w:rPr>
        <w:t>follows:</w:t>
      </w:r>
      <w:r w:rsidRPr="00842D3D">
        <w:rPr>
          <w:rFonts w:eastAsia="Times New Roman" w:cs="Times New Roman"/>
          <w:spacing w:val="-2"/>
          <w:szCs w:val="24"/>
        </w:rPr>
        <w:t xml:space="preserve"> </w:t>
      </w:r>
      <w:r w:rsidRPr="00842D3D">
        <w:rPr>
          <w:rFonts w:eastAsia="Times New Roman" w:cs="Times New Roman"/>
          <w:szCs w:val="24"/>
        </w:rPr>
        <w:t>“All</w:t>
      </w:r>
      <w:r w:rsidRPr="00842D3D">
        <w:rPr>
          <w:rFonts w:eastAsia="Times New Roman" w:cs="Times New Roman"/>
          <w:spacing w:val="-2"/>
          <w:szCs w:val="24"/>
        </w:rPr>
        <w:t xml:space="preserve"> </w:t>
      </w:r>
      <w:r w:rsidRPr="00842D3D">
        <w:rPr>
          <w:rFonts w:eastAsia="Times New Roman" w:cs="Times New Roman"/>
          <w:szCs w:val="24"/>
        </w:rPr>
        <w:t>persons</w:t>
      </w:r>
      <w:r w:rsidRPr="00842D3D">
        <w:rPr>
          <w:rFonts w:eastAsia="Times New Roman" w:cs="Times New Roman"/>
          <w:spacing w:val="-2"/>
          <w:szCs w:val="24"/>
        </w:rPr>
        <w:t xml:space="preserve"> </w:t>
      </w:r>
      <w:r w:rsidRPr="00842D3D">
        <w:rPr>
          <w:rFonts w:eastAsia="Times New Roman" w:cs="Times New Roman"/>
          <w:szCs w:val="24"/>
        </w:rPr>
        <w:t>within</w:t>
      </w:r>
      <w:r w:rsidRPr="00842D3D">
        <w:rPr>
          <w:rFonts w:eastAsia="Times New Roman" w:cs="Times New Roman"/>
          <w:spacing w:val="-2"/>
          <w:szCs w:val="24"/>
        </w:rPr>
        <w:t xml:space="preserve"> </w:t>
      </w:r>
      <w:r w:rsidRPr="00842D3D">
        <w:rPr>
          <w:rFonts w:eastAsia="Times New Roman" w:cs="Times New Roman"/>
          <w:szCs w:val="24"/>
        </w:rPr>
        <w:t>the jurisdiction of the United States shall have the same right in every State and Territory</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as</w:t>
      </w:r>
      <w:r w:rsidRPr="00842D3D">
        <w:rPr>
          <w:rFonts w:eastAsia="Times New Roman" w:cs="Times New Roman"/>
          <w:spacing w:val="-4"/>
          <w:szCs w:val="24"/>
        </w:rPr>
        <w:t xml:space="preserve"> </w:t>
      </w:r>
      <w:r w:rsidRPr="00842D3D">
        <w:rPr>
          <w:rFonts w:eastAsia="Times New Roman" w:cs="Times New Roman"/>
          <w:szCs w:val="24"/>
        </w:rPr>
        <w:t>is</w:t>
      </w:r>
      <w:r w:rsidRPr="00842D3D">
        <w:rPr>
          <w:rFonts w:eastAsia="Times New Roman" w:cs="Times New Roman"/>
          <w:spacing w:val="-4"/>
          <w:szCs w:val="24"/>
        </w:rPr>
        <w:t xml:space="preserve"> </w:t>
      </w:r>
      <w:r w:rsidRPr="00842D3D">
        <w:rPr>
          <w:rFonts w:eastAsia="Times New Roman" w:cs="Times New Roman"/>
          <w:szCs w:val="24"/>
        </w:rPr>
        <w:t>enjoyed</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white</w:t>
      </w:r>
      <w:r w:rsidRPr="00842D3D">
        <w:rPr>
          <w:rFonts w:eastAsia="Times New Roman" w:cs="Times New Roman"/>
          <w:spacing w:val="-4"/>
          <w:szCs w:val="24"/>
        </w:rPr>
        <w:t xml:space="preserve"> </w:t>
      </w:r>
      <w:r w:rsidRPr="00842D3D">
        <w:rPr>
          <w:rFonts w:eastAsia="Times New Roman" w:cs="Times New Roman"/>
          <w:szCs w:val="24"/>
        </w:rPr>
        <w:t>citizens.” 42 U.S.C.</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spacing w:val="-5"/>
          <w:szCs w:val="24"/>
        </w:rPr>
        <w:t xml:space="preserve"> </w:t>
      </w:r>
      <w:r w:rsidRPr="00842D3D">
        <w:rPr>
          <w:rFonts w:eastAsia="Times New Roman" w:cs="Times New Roman"/>
          <w:szCs w:val="24"/>
        </w:rPr>
        <w:t>1981(a). “[T]he</w:t>
      </w:r>
      <w:r w:rsidRPr="00842D3D">
        <w:rPr>
          <w:rFonts w:eastAsia="Times New Roman" w:cs="Times New Roman"/>
          <w:spacing w:val="-5"/>
          <w:szCs w:val="24"/>
        </w:rPr>
        <w:t xml:space="preserve"> </w:t>
      </w:r>
      <w:r w:rsidRPr="00842D3D">
        <w:rPr>
          <w:rFonts w:eastAsia="Times New Roman" w:cs="Times New Roman"/>
          <w:szCs w:val="24"/>
        </w:rPr>
        <w:t>term</w:t>
      </w:r>
      <w:r w:rsidRPr="00842D3D">
        <w:rPr>
          <w:rFonts w:eastAsia="Times New Roman" w:cs="Times New Roman"/>
          <w:spacing w:val="-6"/>
          <w:szCs w:val="24"/>
        </w:rPr>
        <w:t xml:space="preserve"> </w:t>
      </w:r>
      <w:r w:rsidRPr="00842D3D">
        <w:rPr>
          <w:rFonts w:eastAsia="Times New Roman" w:cs="Times New Roman"/>
          <w:szCs w:val="24"/>
        </w:rPr>
        <w:t>‘make</w:t>
      </w:r>
      <w:r w:rsidRPr="00842D3D">
        <w:rPr>
          <w:rFonts w:eastAsia="Times New Roman" w:cs="Times New Roman"/>
          <w:spacing w:val="-5"/>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enforce</w:t>
      </w:r>
      <w:r w:rsidRPr="00842D3D">
        <w:rPr>
          <w:rFonts w:eastAsia="Times New Roman" w:cs="Times New Roman"/>
          <w:spacing w:val="-5"/>
          <w:szCs w:val="24"/>
        </w:rPr>
        <w:t xml:space="preserve"> </w:t>
      </w:r>
      <w:r w:rsidRPr="00842D3D">
        <w:rPr>
          <w:rFonts w:eastAsia="Times New Roman" w:cs="Times New Roman"/>
          <w:szCs w:val="24"/>
        </w:rPr>
        <w:t>contracts’</w:t>
      </w:r>
      <w:r w:rsidRPr="00842D3D">
        <w:rPr>
          <w:rFonts w:eastAsia="Times New Roman" w:cs="Times New Roman"/>
          <w:spacing w:val="-5"/>
          <w:szCs w:val="24"/>
        </w:rPr>
        <w:t xml:space="preserve"> </w:t>
      </w:r>
      <w:r w:rsidRPr="00842D3D">
        <w:rPr>
          <w:rFonts w:eastAsia="Times New Roman" w:cs="Times New Roman"/>
          <w:szCs w:val="24"/>
        </w:rPr>
        <w:t>includes</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making, performance,</w:t>
      </w:r>
      <w:r w:rsidRPr="00842D3D">
        <w:rPr>
          <w:rFonts w:eastAsia="Times New Roman" w:cs="Times New Roman"/>
          <w:spacing w:val="-3"/>
          <w:szCs w:val="24"/>
        </w:rPr>
        <w:t xml:space="preserve"> </w:t>
      </w:r>
      <w:r w:rsidRPr="00842D3D">
        <w:rPr>
          <w:rFonts w:eastAsia="Times New Roman" w:cs="Times New Roman"/>
          <w:szCs w:val="24"/>
        </w:rPr>
        <w:t>modification,</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termination</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contracts,</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enjoyment</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all benefits, privileges, terms, and conditions of the contractual relationship.”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spacing w:val="-2"/>
          <w:szCs w:val="24"/>
        </w:rPr>
        <w:t xml:space="preserve"> 1981(b).</w:t>
      </w:r>
    </w:p>
    <w:p w14:paraId="7D3AD7AD" w14:textId="77777777" w:rsidR="00842D3D" w:rsidRPr="00842D3D" w:rsidRDefault="00842D3D" w:rsidP="00842D3D">
      <w:pPr>
        <w:widowControl w:val="0"/>
        <w:autoSpaceDE w:val="0"/>
        <w:autoSpaceDN w:val="0"/>
        <w:jc w:val="both"/>
        <w:rPr>
          <w:rFonts w:eastAsia="Times New Roman" w:cs="Times New Roman"/>
          <w:szCs w:val="24"/>
        </w:rPr>
      </w:pPr>
    </w:p>
    <w:p w14:paraId="5571008E" w14:textId="77777777" w:rsidR="00842D3D" w:rsidRPr="00842D3D" w:rsidRDefault="00842D3D" w:rsidP="00842D3D">
      <w:pPr>
        <w:widowControl w:val="0"/>
        <w:tabs>
          <w:tab w:val="left" w:pos="720"/>
          <w:tab w:val="left" w:pos="5330"/>
        </w:tabs>
        <w:autoSpaceDE w:val="0"/>
        <w:autoSpaceDN w:val="0"/>
        <w:ind w:right="313" w:firstLine="720"/>
        <w:rPr>
          <w:rFonts w:eastAsia="Times New Roman" w:cs="Times New Roman"/>
          <w:szCs w:val="24"/>
        </w:rPr>
      </w:pPr>
      <w:r w:rsidRPr="00842D3D">
        <w:rPr>
          <w:rFonts w:eastAsia="Times New Roman" w:cs="Times New Roman"/>
          <w:szCs w:val="24"/>
        </w:rPr>
        <w:t xml:space="preserve">Section 1981 does not provide a cause of action against state actors. </w:t>
      </w:r>
      <w:r w:rsidRPr="00842D3D">
        <w:rPr>
          <w:rFonts w:eastAsia="Times New Roman" w:cs="Times New Roman"/>
          <w:i/>
          <w:szCs w:val="24"/>
        </w:rPr>
        <w:t>See Yoshikawa v. Seguirant</w:t>
      </w:r>
      <w:r w:rsidRPr="00842D3D">
        <w:rPr>
          <w:rFonts w:eastAsia="Times New Roman" w:cs="Times New Roman"/>
          <w:szCs w:val="24"/>
        </w:rPr>
        <w:t xml:space="preserve">, 74 F.4th 1042, 1047 (9th Cir. 2023) (en banc) (“Section 1981 establishes substantive rights that a state actor may violate. It does not itself contain a remedy against a state actor for such violations. A plaintiff seeking to enforce rights secured by § 1981 against a state actor must bring a cause of action under § 1983.”); </w:t>
      </w:r>
      <w:r w:rsidRPr="00842D3D">
        <w:rPr>
          <w:rFonts w:eastAsia="Times New Roman" w:cs="Times New Roman"/>
          <w:i/>
          <w:szCs w:val="24"/>
        </w:rPr>
        <w:t xml:space="preserve">see also </w:t>
      </w:r>
      <w:r w:rsidRPr="00842D3D">
        <w:rPr>
          <w:rFonts w:eastAsia="Times New Roman" w:cs="Times New Roman"/>
          <w:szCs w:val="24"/>
        </w:rPr>
        <w:t>42 U.S.C. § 1981(c) (“The rights protected by this section are protected against impairment by nongovernmental discrimination</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impairment</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color</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State</w:t>
      </w:r>
      <w:r w:rsidRPr="00842D3D">
        <w:rPr>
          <w:rFonts w:eastAsia="Times New Roman" w:cs="Times New Roman"/>
          <w:spacing w:val="-4"/>
          <w:szCs w:val="24"/>
        </w:rPr>
        <w:t xml:space="preserve"> </w:t>
      </w:r>
      <w:r w:rsidRPr="00842D3D">
        <w:rPr>
          <w:rFonts w:eastAsia="Times New Roman" w:cs="Times New Roman"/>
          <w:szCs w:val="24"/>
        </w:rPr>
        <w:t xml:space="preserve">law.”). </w:t>
      </w:r>
    </w:p>
    <w:p w14:paraId="6B2F3966" w14:textId="77777777" w:rsidR="00842D3D" w:rsidRPr="00842D3D" w:rsidRDefault="00842D3D" w:rsidP="00842D3D">
      <w:pPr>
        <w:widowControl w:val="0"/>
        <w:tabs>
          <w:tab w:val="left" w:pos="3706"/>
          <w:tab w:val="left" w:pos="5330"/>
        </w:tabs>
        <w:autoSpaceDE w:val="0"/>
        <w:autoSpaceDN w:val="0"/>
        <w:ind w:right="313"/>
        <w:rPr>
          <w:rFonts w:eastAsia="Times New Roman" w:cs="Times New Roman"/>
          <w:szCs w:val="24"/>
        </w:rPr>
      </w:pPr>
    </w:p>
    <w:p w14:paraId="0DB9FAE3" w14:textId="77777777" w:rsidR="00842D3D" w:rsidRPr="00842D3D" w:rsidRDefault="00842D3D" w:rsidP="00842D3D">
      <w:pPr>
        <w:widowControl w:val="0"/>
        <w:autoSpaceDE w:val="0"/>
        <w:autoSpaceDN w:val="0"/>
        <w:ind w:right="172" w:firstLine="720"/>
        <w:rPr>
          <w:rFonts w:eastAsia="Times New Roman" w:cs="Times New Roman"/>
          <w:szCs w:val="24"/>
        </w:rPr>
      </w:pPr>
      <w:r w:rsidRPr="00842D3D">
        <w:rPr>
          <w:rFonts w:eastAsia="Times New Roman" w:cs="Times New Roman"/>
          <w:szCs w:val="24"/>
        </w:rPr>
        <w:lastRenderedPageBreak/>
        <w:t xml:space="preserve">Section 1981 “can be violated only by purposeful discrimination.” </w:t>
      </w:r>
      <w:r w:rsidRPr="00842D3D">
        <w:rPr>
          <w:rFonts w:eastAsia="Times New Roman" w:cs="Times New Roman"/>
          <w:i/>
          <w:szCs w:val="24"/>
        </w:rPr>
        <w:t>Gen. Bldg. Contractor’s Ass’n, Inc. v. Pennsylvania</w:t>
      </w:r>
      <w:r w:rsidRPr="00842D3D">
        <w:rPr>
          <w:rFonts w:eastAsia="Times New Roman" w:cs="Times New Roman"/>
          <w:szCs w:val="24"/>
        </w:rPr>
        <w:t xml:space="preserve">, 458 U.S. 375, 391 (1982). The statute “reaches only intentional discrimination” on the basis of race, </w:t>
      </w:r>
      <w:r w:rsidRPr="00842D3D">
        <w:rPr>
          <w:rFonts w:eastAsia="Times New Roman" w:cs="Times New Roman"/>
          <w:i/>
          <w:szCs w:val="24"/>
        </w:rPr>
        <w:t xml:space="preserve">id. </w:t>
      </w:r>
      <w:r w:rsidRPr="00842D3D">
        <w:rPr>
          <w:rFonts w:eastAsia="Times New Roman" w:cs="Times New Roman"/>
          <w:szCs w:val="24"/>
        </w:rPr>
        <w:t>at 396, and</w:t>
      </w:r>
      <w:r w:rsidRPr="00842D3D">
        <w:rPr>
          <w:rFonts w:eastAsia="Times New Roman" w:cs="Times New Roman"/>
          <w:spacing w:val="-4"/>
          <w:szCs w:val="24"/>
        </w:rPr>
        <w:t xml:space="preserve"> </w:t>
      </w:r>
      <w:r w:rsidRPr="00842D3D">
        <w:rPr>
          <w:rFonts w:eastAsia="Times New Roman" w:cs="Times New Roman"/>
          <w:szCs w:val="24"/>
        </w:rPr>
        <w:t>does</w:t>
      </w:r>
      <w:r w:rsidRPr="00842D3D">
        <w:rPr>
          <w:rFonts w:eastAsia="Times New Roman" w:cs="Times New Roman"/>
          <w:spacing w:val="-4"/>
          <w:szCs w:val="24"/>
        </w:rPr>
        <w:t xml:space="preserve"> </w:t>
      </w:r>
      <w:r w:rsidRPr="00842D3D">
        <w:rPr>
          <w:rFonts w:eastAsia="Times New Roman" w:cs="Times New Roman"/>
          <w:szCs w:val="24"/>
        </w:rPr>
        <w:t>not</w:t>
      </w:r>
      <w:r w:rsidRPr="00842D3D">
        <w:rPr>
          <w:rFonts w:eastAsia="Times New Roman" w:cs="Times New Roman"/>
          <w:spacing w:val="-4"/>
          <w:szCs w:val="24"/>
        </w:rPr>
        <w:t xml:space="preserve"> </w:t>
      </w:r>
      <w:r w:rsidRPr="00842D3D">
        <w:rPr>
          <w:rFonts w:eastAsia="Times New Roman" w:cs="Times New Roman"/>
          <w:szCs w:val="24"/>
        </w:rPr>
        <w:t>impose</w:t>
      </w:r>
      <w:r w:rsidRPr="00842D3D">
        <w:rPr>
          <w:rFonts w:eastAsia="Times New Roman" w:cs="Times New Roman"/>
          <w:spacing w:val="-4"/>
          <w:szCs w:val="24"/>
        </w:rPr>
        <w:t xml:space="preserve"> </w:t>
      </w:r>
      <w:r w:rsidRPr="00842D3D">
        <w:rPr>
          <w:rFonts w:eastAsia="Times New Roman" w:cs="Times New Roman"/>
          <w:szCs w:val="24"/>
        </w:rPr>
        <w:t>liability</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“practices</w:t>
      </w:r>
      <w:r w:rsidRPr="00842D3D">
        <w:rPr>
          <w:rFonts w:eastAsia="Times New Roman" w:cs="Times New Roman"/>
          <w:spacing w:val="-4"/>
          <w:szCs w:val="24"/>
        </w:rPr>
        <w:t xml:space="preserve"> </w:t>
      </w:r>
      <w:r w:rsidRPr="00842D3D">
        <w:rPr>
          <w:rFonts w:eastAsia="Times New Roman" w:cs="Times New Roman"/>
          <w:szCs w:val="24"/>
        </w:rPr>
        <w:t>that</w:t>
      </w:r>
      <w:r w:rsidRPr="00842D3D">
        <w:rPr>
          <w:rFonts w:eastAsia="Times New Roman" w:cs="Times New Roman"/>
          <w:spacing w:val="-4"/>
          <w:szCs w:val="24"/>
        </w:rPr>
        <w:t xml:space="preserve"> </w:t>
      </w:r>
      <w:r w:rsidRPr="00842D3D">
        <w:rPr>
          <w:rFonts w:eastAsia="Times New Roman" w:cs="Times New Roman"/>
          <w:szCs w:val="24"/>
        </w:rPr>
        <w:t>merely</w:t>
      </w:r>
      <w:r w:rsidRPr="00842D3D">
        <w:rPr>
          <w:rFonts w:eastAsia="Times New Roman" w:cs="Times New Roman"/>
          <w:spacing w:val="-4"/>
          <w:szCs w:val="24"/>
        </w:rPr>
        <w:t xml:space="preserve"> </w:t>
      </w:r>
      <w:r w:rsidRPr="00842D3D">
        <w:rPr>
          <w:rFonts w:eastAsia="Times New Roman" w:cs="Times New Roman"/>
          <w:szCs w:val="24"/>
        </w:rPr>
        <w:t>result</w:t>
      </w:r>
      <w:r w:rsidRPr="00842D3D">
        <w:rPr>
          <w:rFonts w:eastAsia="Times New Roman" w:cs="Times New Roman"/>
          <w:spacing w:val="-4"/>
          <w:szCs w:val="24"/>
        </w:rPr>
        <w:t xml:space="preserve"> </w:t>
      </w:r>
      <w:r w:rsidRPr="00842D3D">
        <w:rPr>
          <w:rFonts w:eastAsia="Times New Roman" w:cs="Times New Roman"/>
          <w:szCs w:val="24"/>
        </w:rPr>
        <w:t>in</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 xml:space="preserve">disproportionate impact on a particular class.” </w:t>
      </w:r>
      <w:r w:rsidRPr="00842D3D">
        <w:rPr>
          <w:rFonts w:eastAsia="Times New Roman" w:cs="Times New Roman"/>
          <w:i/>
          <w:szCs w:val="24"/>
        </w:rPr>
        <w:t xml:space="preserve">Id. </w:t>
      </w:r>
      <w:r w:rsidRPr="00842D3D">
        <w:rPr>
          <w:rFonts w:eastAsia="Times New Roman" w:cs="Times New Roman"/>
          <w:szCs w:val="24"/>
        </w:rPr>
        <w:t>at 386.</w:t>
      </w:r>
    </w:p>
    <w:p w14:paraId="32DAA19E" w14:textId="77777777" w:rsidR="00842D3D" w:rsidRPr="00842D3D" w:rsidRDefault="00842D3D" w:rsidP="00842D3D">
      <w:pPr>
        <w:widowControl w:val="0"/>
        <w:autoSpaceDE w:val="0"/>
        <w:autoSpaceDN w:val="0"/>
        <w:ind w:right="172" w:firstLine="720"/>
        <w:rPr>
          <w:rFonts w:eastAsia="Times New Roman" w:cs="Times New Roman"/>
          <w:szCs w:val="24"/>
        </w:rPr>
      </w:pPr>
    </w:p>
    <w:p w14:paraId="08770B5C"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A plaintiff bringing a race discrimination claim under § 1981 must first “identify an impaired ‘contractual relationship,’ § 1981(b), under which the plaintiff</w:t>
      </w:r>
      <w:r w:rsidRPr="00842D3D">
        <w:rPr>
          <w:rFonts w:eastAsia="Times New Roman" w:cs="Times New Roman"/>
          <w:spacing w:val="-4"/>
          <w:szCs w:val="24"/>
        </w:rPr>
        <w:t xml:space="preserve"> </w:t>
      </w:r>
      <w:r w:rsidRPr="00842D3D">
        <w:rPr>
          <w:rFonts w:eastAsia="Times New Roman" w:cs="Times New Roman"/>
          <w:szCs w:val="24"/>
        </w:rPr>
        <w:t>has</w:t>
      </w:r>
      <w:r w:rsidRPr="00842D3D">
        <w:rPr>
          <w:rFonts w:eastAsia="Times New Roman" w:cs="Times New Roman"/>
          <w:spacing w:val="-4"/>
          <w:szCs w:val="24"/>
        </w:rPr>
        <w:t xml:space="preserve"> </w:t>
      </w:r>
      <w:r w:rsidRPr="00842D3D">
        <w:rPr>
          <w:rFonts w:eastAsia="Times New Roman" w:cs="Times New Roman"/>
          <w:szCs w:val="24"/>
        </w:rPr>
        <w:t>rights.”</w:t>
      </w:r>
      <w:r w:rsidRPr="00842D3D">
        <w:rPr>
          <w:rFonts w:eastAsia="Times New Roman" w:cs="Times New Roman"/>
          <w:spacing w:val="40"/>
          <w:szCs w:val="24"/>
        </w:rPr>
        <w:t xml:space="preserve"> </w:t>
      </w:r>
      <w:r w:rsidRPr="00842D3D">
        <w:rPr>
          <w:rFonts w:eastAsia="Times New Roman" w:cs="Times New Roman"/>
          <w:i/>
          <w:szCs w:val="24"/>
        </w:rPr>
        <w:t>Domino’s</w:t>
      </w:r>
      <w:r w:rsidRPr="00842D3D">
        <w:rPr>
          <w:rFonts w:eastAsia="Times New Roman" w:cs="Times New Roman"/>
          <w:i/>
          <w:spacing w:val="-4"/>
          <w:szCs w:val="24"/>
        </w:rPr>
        <w:t xml:space="preserve"> </w:t>
      </w:r>
      <w:r w:rsidRPr="00842D3D">
        <w:rPr>
          <w:rFonts w:eastAsia="Times New Roman" w:cs="Times New Roman"/>
          <w:i/>
          <w:szCs w:val="24"/>
        </w:rPr>
        <w:t>Pizza,</w:t>
      </w:r>
      <w:r w:rsidRPr="00842D3D">
        <w:rPr>
          <w:rFonts w:eastAsia="Times New Roman" w:cs="Times New Roman"/>
          <w:i/>
          <w:spacing w:val="-4"/>
          <w:szCs w:val="24"/>
        </w:rPr>
        <w:t xml:space="preserve"> </w:t>
      </w:r>
      <w:r w:rsidRPr="00842D3D">
        <w:rPr>
          <w:rFonts w:eastAsia="Times New Roman" w:cs="Times New Roman"/>
          <w:i/>
          <w:szCs w:val="24"/>
        </w:rPr>
        <w:t>Inc.</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McDonald</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546</w:t>
      </w:r>
      <w:r w:rsidRPr="00842D3D">
        <w:rPr>
          <w:rFonts w:eastAsia="Times New Roman" w:cs="Times New Roman"/>
          <w:spacing w:val="-4"/>
          <w:szCs w:val="24"/>
        </w:rPr>
        <w:t xml:space="preserve">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470,</w:t>
      </w:r>
      <w:r w:rsidRPr="00842D3D">
        <w:rPr>
          <w:rFonts w:eastAsia="Times New Roman" w:cs="Times New Roman"/>
          <w:spacing w:val="-4"/>
          <w:szCs w:val="24"/>
        </w:rPr>
        <w:t xml:space="preserve"> </w:t>
      </w:r>
      <w:r w:rsidRPr="00842D3D">
        <w:rPr>
          <w:rFonts w:eastAsia="Times New Roman" w:cs="Times New Roman"/>
          <w:szCs w:val="24"/>
        </w:rPr>
        <w:t>476</w:t>
      </w:r>
      <w:r w:rsidRPr="00842D3D">
        <w:rPr>
          <w:rFonts w:eastAsia="Times New Roman" w:cs="Times New Roman"/>
          <w:spacing w:val="-4"/>
          <w:szCs w:val="24"/>
        </w:rPr>
        <w:t xml:space="preserve"> </w:t>
      </w:r>
      <w:r w:rsidRPr="00842D3D">
        <w:rPr>
          <w:rFonts w:eastAsia="Times New Roman" w:cs="Times New Roman"/>
          <w:szCs w:val="24"/>
        </w:rPr>
        <w:t>(2006). The “contractual relationship” can be one that the plaintiff seeks to create, or one that already exists, “so long as the plaintiff has or would have rights under the existing or proposed contractual relationship.”</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i/>
          <w:szCs w:val="24"/>
        </w:rPr>
        <w:t xml:space="preserve">see also id. </w:t>
      </w:r>
      <w:r w:rsidRPr="00842D3D">
        <w:rPr>
          <w:rFonts w:eastAsia="Times New Roman" w:cs="Times New Roman"/>
          <w:szCs w:val="24"/>
        </w:rPr>
        <w:t>at 479-80 (“[A] plaintiff cannot state a claim under § 1981 unless he has (or would have) rights under the existing (or proposed) contract that he wishes ‘to make and enforce.’”). Further, the plaintiff may bring an action against a person who interferes with the plaintiff’s</w:t>
      </w:r>
      <w:r w:rsidRPr="00842D3D">
        <w:rPr>
          <w:rFonts w:eastAsia="Times New Roman" w:cs="Times New Roman"/>
          <w:spacing w:val="-4"/>
          <w:szCs w:val="24"/>
        </w:rPr>
        <w:t xml:space="preserve"> </w:t>
      </w:r>
      <w:r w:rsidRPr="00842D3D">
        <w:rPr>
          <w:rFonts w:eastAsia="Times New Roman" w:cs="Times New Roman"/>
          <w:szCs w:val="24"/>
        </w:rPr>
        <w:t>right</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purposes</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42</w:t>
      </w:r>
      <w:r w:rsidRPr="00842D3D">
        <w:rPr>
          <w:rFonts w:eastAsia="Times New Roman" w:cs="Times New Roman"/>
          <w:spacing w:val="-4"/>
          <w:szCs w:val="24"/>
        </w:rPr>
        <w:t xml:space="preserve"> </w:t>
      </w:r>
      <w:r w:rsidRPr="00842D3D">
        <w:rPr>
          <w:rFonts w:eastAsia="Times New Roman" w:cs="Times New Roman"/>
          <w:szCs w:val="24"/>
        </w:rPr>
        <w:t>U.S.C.</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 xml:space="preserve">1981. </w:t>
      </w:r>
      <w:r w:rsidRPr="00842D3D">
        <w:rPr>
          <w:rFonts w:eastAsia="Times New Roman" w:cs="Times New Roman"/>
          <w:i/>
          <w:szCs w:val="24"/>
        </w:rPr>
        <w:t>See Woods v. Graphic Commc’ns</w:t>
      </w:r>
      <w:r w:rsidRPr="00842D3D">
        <w:rPr>
          <w:rFonts w:eastAsia="Times New Roman" w:cs="Times New Roman"/>
          <w:szCs w:val="24"/>
        </w:rPr>
        <w:t>, 925 F.2d 1195, 1202-03 (9th Cir. 1991) (“[A] union, entrusted with the enforcement of a labor contract, may violate [Title VII and § 1981] if by racial discrimination it interferes with its members’ ability to enforce their contract.”).</w:t>
      </w:r>
    </w:p>
    <w:p w14:paraId="59FB7D8B" w14:textId="77777777" w:rsidR="00842D3D" w:rsidRPr="00842D3D" w:rsidRDefault="00842D3D" w:rsidP="00842D3D">
      <w:pPr>
        <w:widowControl w:val="0"/>
        <w:autoSpaceDE w:val="0"/>
        <w:autoSpaceDN w:val="0"/>
        <w:ind w:right="122"/>
        <w:rPr>
          <w:rFonts w:eastAsia="Times New Roman" w:cs="Times New Roman"/>
          <w:szCs w:val="24"/>
        </w:rPr>
      </w:pPr>
    </w:p>
    <w:p w14:paraId="200C3562"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 xml:space="preserve">After the plaintiff has identified an “existing or proposed contractual relationship,” </w:t>
      </w:r>
      <w:r w:rsidRPr="00842D3D">
        <w:rPr>
          <w:rFonts w:eastAsia="Times New Roman" w:cs="Times New Roman"/>
          <w:i/>
          <w:szCs w:val="24"/>
        </w:rPr>
        <w:t>Domino’s Pizza</w:t>
      </w:r>
      <w:r w:rsidRPr="00842D3D">
        <w:rPr>
          <w:rFonts w:eastAsia="Times New Roman" w:cs="Times New Roman"/>
          <w:szCs w:val="24"/>
        </w:rPr>
        <w:t>, 546 U.S. at 476, the plaintiff must establish that he or she was unable to make, perform, modify, terminate or otherwise enjoy all benefits,</w:t>
      </w:r>
      <w:r w:rsidRPr="00842D3D">
        <w:rPr>
          <w:rFonts w:eastAsia="Times New Roman" w:cs="Times New Roman"/>
          <w:spacing w:val="-5"/>
          <w:szCs w:val="24"/>
        </w:rPr>
        <w:t xml:space="preserve"> </w:t>
      </w:r>
      <w:r w:rsidRPr="00842D3D">
        <w:rPr>
          <w:rFonts w:eastAsia="Times New Roman" w:cs="Times New Roman"/>
          <w:szCs w:val="24"/>
        </w:rPr>
        <w:t>privileges,</w:t>
      </w:r>
      <w:r w:rsidRPr="00842D3D">
        <w:rPr>
          <w:rFonts w:eastAsia="Times New Roman" w:cs="Times New Roman"/>
          <w:spacing w:val="-5"/>
          <w:szCs w:val="24"/>
        </w:rPr>
        <w:t xml:space="preserve"> </w:t>
      </w:r>
      <w:r w:rsidRPr="00842D3D">
        <w:rPr>
          <w:rFonts w:eastAsia="Times New Roman" w:cs="Times New Roman"/>
          <w:szCs w:val="24"/>
        </w:rPr>
        <w:t>terms,</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42</w:t>
      </w:r>
      <w:r w:rsidRPr="00842D3D">
        <w:rPr>
          <w:rFonts w:eastAsia="Times New Roman" w:cs="Times New Roman"/>
          <w:spacing w:val="-5"/>
          <w:szCs w:val="24"/>
        </w:rPr>
        <w:t xml:space="preserve"> </w:t>
      </w:r>
      <w:r w:rsidRPr="00842D3D">
        <w:rPr>
          <w:rFonts w:eastAsia="Times New Roman" w:cs="Times New Roman"/>
          <w:szCs w:val="24"/>
        </w:rPr>
        <w:t>U.S.C. § 1981(a), (b).</w:t>
      </w:r>
      <w:r w:rsidRPr="00842D3D">
        <w:rPr>
          <w:rFonts w:eastAsia="Times New Roman" w:cs="Times New Roman"/>
          <w:spacing w:val="40"/>
          <w:szCs w:val="24"/>
        </w:rPr>
        <w:t xml:space="preserve"> </w:t>
      </w:r>
      <w:r w:rsidRPr="00842D3D">
        <w:rPr>
          <w:rFonts w:eastAsia="Times New Roman" w:cs="Times New Roman"/>
          <w:szCs w:val="24"/>
        </w:rPr>
        <w:t>Section 1981’s “prohibition against racial discrimination in the making and enforcement of contracts applies to all phases and incidents of the contractual</w:t>
      </w:r>
      <w:r w:rsidRPr="00842D3D">
        <w:rPr>
          <w:rFonts w:eastAsia="Times New Roman" w:cs="Times New Roman"/>
          <w:spacing w:val="-6"/>
          <w:szCs w:val="24"/>
        </w:rPr>
        <w:t xml:space="preserve"> </w:t>
      </w:r>
      <w:r w:rsidRPr="00842D3D">
        <w:rPr>
          <w:rFonts w:eastAsia="Times New Roman" w:cs="Times New Roman"/>
          <w:szCs w:val="24"/>
        </w:rPr>
        <w:t>relationship,</w:t>
      </w:r>
      <w:r w:rsidRPr="00842D3D">
        <w:rPr>
          <w:rFonts w:eastAsia="Times New Roman" w:cs="Times New Roman"/>
          <w:spacing w:val="-6"/>
          <w:szCs w:val="24"/>
        </w:rPr>
        <w:t xml:space="preserve"> </w:t>
      </w:r>
      <w:r w:rsidRPr="00842D3D">
        <w:rPr>
          <w:rFonts w:eastAsia="Times New Roman" w:cs="Times New Roman"/>
          <w:szCs w:val="24"/>
        </w:rPr>
        <w:t>including</w:t>
      </w:r>
      <w:r w:rsidRPr="00842D3D">
        <w:rPr>
          <w:rFonts w:eastAsia="Times New Roman" w:cs="Times New Roman"/>
          <w:spacing w:val="-6"/>
          <w:szCs w:val="24"/>
        </w:rPr>
        <w:t xml:space="preserve"> </w:t>
      </w:r>
      <w:r w:rsidRPr="00842D3D">
        <w:rPr>
          <w:rFonts w:eastAsia="Times New Roman" w:cs="Times New Roman"/>
          <w:szCs w:val="24"/>
        </w:rPr>
        <w:t>discriminatory</w:t>
      </w:r>
      <w:r w:rsidRPr="00842D3D">
        <w:rPr>
          <w:rFonts w:eastAsia="Times New Roman" w:cs="Times New Roman"/>
          <w:spacing w:val="-6"/>
          <w:szCs w:val="24"/>
        </w:rPr>
        <w:t xml:space="preserve"> </w:t>
      </w:r>
      <w:r w:rsidRPr="00842D3D">
        <w:rPr>
          <w:rFonts w:eastAsia="Times New Roman" w:cs="Times New Roman"/>
          <w:szCs w:val="24"/>
        </w:rPr>
        <w:t>contract</w:t>
      </w:r>
      <w:r w:rsidRPr="00842D3D">
        <w:rPr>
          <w:rFonts w:eastAsia="Times New Roman" w:cs="Times New Roman"/>
          <w:spacing w:val="-6"/>
          <w:szCs w:val="24"/>
        </w:rPr>
        <w:t xml:space="preserve"> </w:t>
      </w:r>
      <w:r w:rsidRPr="00842D3D">
        <w:rPr>
          <w:rFonts w:eastAsia="Times New Roman" w:cs="Times New Roman"/>
          <w:szCs w:val="24"/>
        </w:rPr>
        <w:t xml:space="preserve">terminations.” </w:t>
      </w:r>
      <w:r w:rsidRPr="00842D3D">
        <w:rPr>
          <w:rFonts w:eastAsia="Times New Roman" w:cs="Times New Roman"/>
          <w:i/>
          <w:szCs w:val="24"/>
        </w:rPr>
        <w:t>Rivers</w:t>
      </w:r>
      <w:r w:rsidRPr="00842D3D">
        <w:rPr>
          <w:rFonts w:eastAsia="Times New Roman" w:cs="Times New Roman"/>
          <w:i/>
          <w:spacing w:val="-6"/>
          <w:szCs w:val="24"/>
        </w:rPr>
        <w:t xml:space="preserve"> </w:t>
      </w:r>
      <w:r w:rsidRPr="00842D3D">
        <w:rPr>
          <w:rFonts w:eastAsia="Times New Roman" w:cs="Times New Roman"/>
          <w:i/>
          <w:szCs w:val="24"/>
        </w:rPr>
        <w:t>v. Roadway Exp., Inc.</w:t>
      </w:r>
      <w:r w:rsidRPr="00842D3D">
        <w:rPr>
          <w:rFonts w:eastAsia="Times New Roman" w:cs="Times New Roman"/>
          <w:szCs w:val="24"/>
        </w:rPr>
        <w:t>, 511 U.S. 298, 302 (1994).</w:t>
      </w:r>
    </w:p>
    <w:p w14:paraId="0F68BC0F" w14:textId="77777777" w:rsidR="00842D3D" w:rsidRPr="00842D3D" w:rsidRDefault="00842D3D" w:rsidP="00842D3D">
      <w:pPr>
        <w:widowControl w:val="0"/>
        <w:autoSpaceDE w:val="0"/>
        <w:autoSpaceDN w:val="0"/>
        <w:ind w:right="122"/>
        <w:rPr>
          <w:rFonts w:eastAsia="Times New Roman" w:cs="Times New Roman"/>
          <w:szCs w:val="24"/>
        </w:rPr>
      </w:pPr>
    </w:p>
    <w:p w14:paraId="40033B8E" w14:textId="77777777" w:rsidR="00842D3D" w:rsidRPr="00842D3D" w:rsidRDefault="00842D3D" w:rsidP="00842D3D">
      <w:pPr>
        <w:widowControl w:val="0"/>
        <w:autoSpaceDE w:val="0"/>
        <w:autoSpaceDN w:val="0"/>
        <w:ind w:right="211" w:firstLine="720"/>
        <w:rPr>
          <w:rFonts w:eastAsia="Times New Roman" w:cs="Times New Roman"/>
          <w:i/>
          <w:szCs w:val="24"/>
        </w:rPr>
      </w:pPr>
      <w:r w:rsidRPr="00842D3D">
        <w:rPr>
          <w:rFonts w:eastAsia="Times New Roman" w:cs="Times New Roman"/>
          <w:szCs w:val="24"/>
        </w:rPr>
        <w:t>Finally,</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must</w:t>
      </w:r>
      <w:r w:rsidRPr="00842D3D">
        <w:rPr>
          <w:rFonts w:eastAsia="Times New Roman" w:cs="Times New Roman"/>
          <w:spacing w:val="-5"/>
          <w:szCs w:val="24"/>
        </w:rPr>
        <w:t xml:space="preserve"> </w:t>
      </w:r>
      <w:r w:rsidRPr="00842D3D">
        <w:rPr>
          <w:rFonts w:eastAsia="Times New Roman" w:cs="Times New Roman"/>
          <w:szCs w:val="24"/>
        </w:rPr>
        <w:t>establish</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“purposeful</w:t>
      </w:r>
      <w:r w:rsidRPr="00842D3D">
        <w:rPr>
          <w:rFonts w:eastAsia="Times New Roman" w:cs="Times New Roman"/>
          <w:spacing w:val="-5"/>
          <w:szCs w:val="24"/>
        </w:rPr>
        <w:t xml:space="preserve"> </w:t>
      </w:r>
      <w:r w:rsidRPr="00842D3D">
        <w:rPr>
          <w:rFonts w:eastAsia="Times New Roman" w:cs="Times New Roman"/>
          <w:szCs w:val="24"/>
        </w:rPr>
        <w:t>discrimination”</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the reason why he or she was unable to make or enforce the contract.</w:t>
      </w:r>
      <w:r w:rsidRPr="00842D3D">
        <w:rPr>
          <w:rFonts w:eastAsia="Times New Roman" w:cs="Times New Roman"/>
          <w:spacing w:val="80"/>
          <w:szCs w:val="24"/>
        </w:rPr>
        <w:t xml:space="preserve"> </w:t>
      </w:r>
      <w:r w:rsidRPr="00842D3D">
        <w:rPr>
          <w:rFonts w:eastAsia="Times New Roman" w:cs="Times New Roman"/>
          <w:i/>
          <w:szCs w:val="24"/>
        </w:rPr>
        <w:t>Gen. Bldg. Contractor’s Ass’n</w:t>
      </w:r>
      <w:r w:rsidRPr="00842D3D">
        <w:rPr>
          <w:rFonts w:eastAsia="Times New Roman" w:cs="Times New Roman"/>
          <w:szCs w:val="24"/>
        </w:rPr>
        <w:t>, 458 U.S. at 391.To establish this element, the plaintiff must “ultimately prove that, but for race, [he or she] would not have suffered the loss of a</w:t>
      </w:r>
      <w:r w:rsidRPr="00842D3D">
        <w:rPr>
          <w:rFonts w:eastAsia="Times New Roman" w:cs="Times New Roman"/>
          <w:spacing w:val="-4"/>
          <w:szCs w:val="24"/>
        </w:rPr>
        <w:t xml:space="preserve"> </w:t>
      </w:r>
      <w:r w:rsidRPr="00842D3D">
        <w:rPr>
          <w:rFonts w:eastAsia="Times New Roman" w:cs="Times New Roman"/>
          <w:szCs w:val="24"/>
        </w:rPr>
        <w:t>legally</w:t>
      </w:r>
      <w:r w:rsidRPr="00842D3D">
        <w:rPr>
          <w:rFonts w:eastAsia="Times New Roman" w:cs="Times New Roman"/>
          <w:spacing w:val="-4"/>
          <w:szCs w:val="24"/>
        </w:rPr>
        <w:t xml:space="preserve"> </w:t>
      </w:r>
      <w:r w:rsidRPr="00842D3D">
        <w:rPr>
          <w:rFonts w:eastAsia="Times New Roman" w:cs="Times New Roman"/>
          <w:szCs w:val="24"/>
        </w:rPr>
        <w:t>protected</w:t>
      </w:r>
      <w:r w:rsidRPr="00842D3D">
        <w:rPr>
          <w:rFonts w:eastAsia="Times New Roman" w:cs="Times New Roman"/>
          <w:spacing w:val="-4"/>
          <w:szCs w:val="24"/>
        </w:rPr>
        <w:t xml:space="preserve"> </w:t>
      </w:r>
      <w:r w:rsidRPr="00842D3D">
        <w:rPr>
          <w:rFonts w:eastAsia="Times New Roman" w:cs="Times New Roman"/>
          <w:szCs w:val="24"/>
        </w:rPr>
        <w:t xml:space="preserve">right.”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Nat’l</w:t>
      </w:r>
      <w:r w:rsidRPr="00842D3D">
        <w:rPr>
          <w:rFonts w:eastAsia="Times New Roman" w:cs="Times New Roman"/>
          <w:i/>
          <w:spacing w:val="-4"/>
          <w:szCs w:val="24"/>
        </w:rPr>
        <w:t xml:space="preserve"> </w:t>
      </w:r>
      <w:r w:rsidRPr="00842D3D">
        <w:rPr>
          <w:rFonts w:eastAsia="Times New Roman" w:cs="Times New Roman"/>
          <w:i/>
          <w:szCs w:val="24"/>
        </w:rPr>
        <w:t>Ass’n</w:t>
      </w:r>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Afr.</w:t>
      </w:r>
      <w:r w:rsidRPr="00842D3D">
        <w:rPr>
          <w:rFonts w:eastAsia="Times New Roman" w:cs="Times New Roman"/>
          <w:i/>
          <w:spacing w:val="-4"/>
          <w:szCs w:val="24"/>
        </w:rPr>
        <w:t xml:space="preserve"> </w:t>
      </w:r>
      <w:r w:rsidRPr="00842D3D">
        <w:rPr>
          <w:rFonts w:eastAsia="Times New Roman" w:cs="Times New Roman"/>
          <w:i/>
          <w:szCs w:val="24"/>
        </w:rPr>
        <w:t>Am.-Owned</w:t>
      </w:r>
      <w:r w:rsidRPr="00842D3D">
        <w:rPr>
          <w:rFonts w:eastAsia="Times New Roman" w:cs="Times New Roman"/>
          <w:i/>
          <w:spacing w:val="-4"/>
          <w:szCs w:val="24"/>
        </w:rPr>
        <w:t xml:space="preserve"> </w:t>
      </w:r>
      <w:r w:rsidRPr="00842D3D">
        <w:rPr>
          <w:rFonts w:eastAsia="Times New Roman" w:cs="Times New Roman"/>
          <w:i/>
          <w:szCs w:val="24"/>
        </w:rPr>
        <w:t>Media</w:t>
      </w:r>
      <w:r w:rsidRPr="00842D3D">
        <w:rPr>
          <w:rFonts w:eastAsia="Times New Roman" w:cs="Times New Roman"/>
          <w:szCs w:val="24"/>
        </w:rPr>
        <w:t>, 589 U.S. 327, 340 (2020).</w:t>
      </w:r>
      <w:r w:rsidRPr="00842D3D">
        <w:rPr>
          <w:rFonts w:eastAsia="Times New Roman" w:cs="Times New Roman"/>
          <w:spacing w:val="40"/>
          <w:szCs w:val="24"/>
        </w:rPr>
        <w:t xml:space="preserve"> </w:t>
      </w:r>
      <w:r w:rsidRPr="00842D3D">
        <w:rPr>
          <w:rFonts w:eastAsia="Times New Roman" w:cs="Times New Roman"/>
          <w:szCs w:val="24"/>
        </w:rPr>
        <w:t>Thus, “[i]f the defendant would have responded the same way to the plaintiff even if he had been” a member of a favored race, then “the plaintiff received the ‘same’ legally protected right as” that member of a favored race and the plaintiff cannot prevail.</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szCs w:val="24"/>
        </w:rPr>
        <w:t>“Conversely, if the defendant would have responded differently but for the plaintiff’s race, it follows that the plaintiff has not received the same right as a white person.”</w:t>
      </w:r>
      <w:r w:rsidRPr="00842D3D">
        <w:rPr>
          <w:rFonts w:eastAsia="Times New Roman" w:cs="Times New Roman"/>
          <w:spacing w:val="8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i/>
          <w:szCs w:val="24"/>
        </w:rPr>
        <w:t xml:space="preserve">See </w:t>
      </w:r>
      <w:r w:rsidRPr="00842D3D">
        <w:rPr>
          <w:rFonts w:eastAsia="Times New Roman" w:cs="Times New Roman"/>
          <w:szCs w:val="24"/>
        </w:rPr>
        <w:t>Instruction 10.3</w:t>
      </w:r>
      <w:r w:rsidRPr="00842D3D">
        <w:rPr>
          <w:rFonts w:eastAsia="Times New Roman" w:cs="Times New Roman"/>
          <w:spacing w:val="-17"/>
          <w:szCs w:val="24"/>
        </w:rPr>
        <w:t xml:space="preserve"> </w:t>
      </w:r>
      <w:r w:rsidRPr="00842D3D">
        <w:rPr>
          <w:rFonts w:eastAsia="Times New Roman" w:cs="Times New Roman"/>
          <w:szCs w:val="24"/>
        </w:rPr>
        <w:t>(Civil</w:t>
      </w:r>
      <w:r w:rsidRPr="00842D3D">
        <w:rPr>
          <w:rFonts w:eastAsia="Times New Roman" w:cs="Times New Roman"/>
          <w:spacing w:val="-16"/>
          <w:szCs w:val="24"/>
        </w:rPr>
        <w:t xml:space="preserve"> </w:t>
      </w:r>
      <w:r w:rsidRPr="00842D3D">
        <w:rPr>
          <w:rFonts w:eastAsia="Times New Roman" w:cs="Times New Roman"/>
          <w:szCs w:val="24"/>
        </w:rPr>
        <w:t>Rights—Title</w:t>
      </w:r>
      <w:r w:rsidRPr="00842D3D">
        <w:rPr>
          <w:rFonts w:eastAsia="Times New Roman" w:cs="Times New Roman"/>
          <w:spacing w:val="-17"/>
          <w:szCs w:val="24"/>
        </w:rPr>
        <w:t xml:space="preserve"> </w:t>
      </w:r>
      <w:r w:rsidRPr="00842D3D">
        <w:rPr>
          <w:rFonts w:eastAsia="Times New Roman" w:cs="Times New Roman"/>
          <w:szCs w:val="24"/>
        </w:rPr>
        <w:t>VII—Disparate</w:t>
      </w:r>
      <w:r w:rsidRPr="00842D3D">
        <w:rPr>
          <w:rFonts w:eastAsia="Times New Roman" w:cs="Times New Roman"/>
          <w:spacing w:val="-16"/>
          <w:szCs w:val="24"/>
        </w:rPr>
        <w:t xml:space="preserve"> </w:t>
      </w:r>
      <w:r w:rsidRPr="00842D3D">
        <w:rPr>
          <w:rFonts w:eastAsia="Times New Roman" w:cs="Times New Roman"/>
          <w:szCs w:val="24"/>
        </w:rPr>
        <w:t>Treatment—“Because</w:t>
      </w:r>
      <w:r w:rsidRPr="00842D3D">
        <w:rPr>
          <w:rFonts w:eastAsia="Times New Roman" w:cs="Times New Roman"/>
          <w:spacing w:val="-17"/>
          <w:szCs w:val="24"/>
        </w:rPr>
        <w:t xml:space="preserve"> </w:t>
      </w:r>
      <w:r w:rsidRPr="00842D3D">
        <w:rPr>
          <w:rFonts w:eastAsia="Times New Roman" w:cs="Times New Roman"/>
          <w:szCs w:val="24"/>
        </w:rPr>
        <w:t>of”</w:t>
      </w:r>
      <w:r w:rsidRPr="00842D3D">
        <w:rPr>
          <w:rFonts w:eastAsia="Times New Roman" w:cs="Times New Roman"/>
          <w:spacing w:val="-16"/>
          <w:szCs w:val="24"/>
        </w:rPr>
        <w:t xml:space="preserve"> </w:t>
      </w:r>
      <w:r w:rsidRPr="00842D3D">
        <w:rPr>
          <w:rFonts w:eastAsia="Times New Roman" w:cs="Times New Roman"/>
          <w:spacing w:val="-2"/>
          <w:szCs w:val="24"/>
        </w:rPr>
        <w:t>Defined).</w:t>
      </w:r>
    </w:p>
    <w:p w14:paraId="57108197" w14:textId="77777777" w:rsidR="00842D3D" w:rsidRPr="00842D3D" w:rsidRDefault="00842D3D" w:rsidP="00842D3D">
      <w:pPr>
        <w:widowControl w:val="0"/>
        <w:autoSpaceDE w:val="0"/>
        <w:autoSpaceDN w:val="0"/>
        <w:rPr>
          <w:rFonts w:eastAsia="Times New Roman" w:cs="Times New Roman"/>
          <w:szCs w:val="24"/>
        </w:rPr>
      </w:pPr>
    </w:p>
    <w:p w14:paraId="2F4850E1"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In</w:t>
      </w:r>
      <w:r w:rsidRPr="00842D3D">
        <w:rPr>
          <w:rFonts w:eastAsia="Times New Roman" w:cs="Times New Roman"/>
          <w:spacing w:val="-9"/>
          <w:szCs w:val="24"/>
        </w:rPr>
        <w:t xml:space="preserve"> </w:t>
      </w:r>
      <w:r w:rsidRPr="00842D3D">
        <w:rPr>
          <w:rFonts w:eastAsia="Times New Roman" w:cs="Times New Roman"/>
          <w:szCs w:val="24"/>
        </w:rPr>
        <w:t>evaluating</w:t>
      </w:r>
      <w:r w:rsidRPr="00842D3D">
        <w:rPr>
          <w:rFonts w:eastAsia="Times New Roman" w:cs="Times New Roman"/>
          <w:spacing w:val="-8"/>
          <w:szCs w:val="24"/>
        </w:rPr>
        <w:t xml:space="preserve"> </w:t>
      </w:r>
      <w:r w:rsidRPr="00842D3D">
        <w:rPr>
          <w:rFonts w:eastAsia="Times New Roman" w:cs="Times New Roman"/>
          <w:szCs w:val="24"/>
        </w:rPr>
        <w:t>whether</w:t>
      </w:r>
      <w:r w:rsidRPr="00842D3D">
        <w:rPr>
          <w:rFonts w:eastAsia="Times New Roman" w:cs="Times New Roman"/>
          <w:spacing w:val="-8"/>
          <w:szCs w:val="24"/>
        </w:rPr>
        <w:t xml:space="preserve"> </w:t>
      </w:r>
      <w:r w:rsidRPr="00842D3D">
        <w:rPr>
          <w:rFonts w:eastAsia="Times New Roman" w:cs="Times New Roman"/>
          <w:szCs w:val="24"/>
        </w:rPr>
        <w:t>a</w:t>
      </w:r>
      <w:r w:rsidRPr="00842D3D">
        <w:rPr>
          <w:rFonts w:eastAsia="Times New Roman" w:cs="Times New Roman"/>
          <w:spacing w:val="-8"/>
          <w:szCs w:val="24"/>
        </w:rPr>
        <w:t xml:space="preserve"> </w:t>
      </w:r>
      <w:r w:rsidRPr="00842D3D">
        <w:rPr>
          <w:rFonts w:eastAsia="Times New Roman" w:cs="Times New Roman"/>
          <w:szCs w:val="24"/>
        </w:rPr>
        <w:t>plaintiff</w:t>
      </w:r>
      <w:r w:rsidRPr="00842D3D">
        <w:rPr>
          <w:rFonts w:eastAsia="Times New Roman" w:cs="Times New Roman"/>
          <w:spacing w:val="-8"/>
          <w:szCs w:val="24"/>
        </w:rPr>
        <w:t xml:space="preserve"> </w:t>
      </w:r>
      <w:r w:rsidRPr="00842D3D">
        <w:rPr>
          <w:rFonts w:eastAsia="Times New Roman" w:cs="Times New Roman"/>
          <w:szCs w:val="24"/>
        </w:rPr>
        <w:t>had</w:t>
      </w:r>
      <w:r w:rsidRPr="00842D3D">
        <w:rPr>
          <w:rFonts w:eastAsia="Times New Roman" w:cs="Times New Roman"/>
          <w:spacing w:val="-8"/>
          <w:szCs w:val="24"/>
        </w:rPr>
        <w:t xml:space="preserve"> </w:t>
      </w:r>
      <w:r w:rsidRPr="00842D3D">
        <w:rPr>
          <w:rFonts w:eastAsia="Times New Roman" w:cs="Times New Roman"/>
          <w:szCs w:val="24"/>
        </w:rPr>
        <w:t>presented</w:t>
      </w:r>
      <w:r w:rsidRPr="00842D3D">
        <w:rPr>
          <w:rFonts w:eastAsia="Times New Roman" w:cs="Times New Roman"/>
          <w:spacing w:val="-8"/>
          <w:szCs w:val="24"/>
        </w:rPr>
        <w:t xml:space="preserve"> </w:t>
      </w:r>
      <w:r w:rsidRPr="00842D3D">
        <w:rPr>
          <w:rFonts w:eastAsia="Times New Roman" w:cs="Times New Roman"/>
          <w:szCs w:val="24"/>
        </w:rPr>
        <w:t>sufficient</w:t>
      </w:r>
      <w:r w:rsidRPr="00842D3D">
        <w:rPr>
          <w:rFonts w:eastAsia="Times New Roman" w:cs="Times New Roman"/>
          <w:spacing w:val="-8"/>
          <w:szCs w:val="24"/>
        </w:rPr>
        <w:t xml:space="preserve"> </w:t>
      </w:r>
      <w:r w:rsidRPr="00842D3D">
        <w:rPr>
          <w:rFonts w:eastAsia="Times New Roman" w:cs="Times New Roman"/>
          <w:szCs w:val="24"/>
        </w:rPr>
        <w:t>evidence</w:t>
      </w:r>
      <w:r w:rsidRPr="00842D3D">
        <w:rPr>
          <w:rFonts w:eastAsia="Times New Roman" w:cs="Times New Roman"/>
          <w:spacing w:val="-8"/>
          <w:szCs w:val="24"/>
        </w:rPr>
        <w:t xml:space="preserve"> </w:t>
      </w:r>
      <w:r w:rsidRPr="00842D3D">
        <w:rPr>
          <w:rFonts w:eastAsia="Times New Roman" w:cs="Times New Roman"/>
          <w:szCs w:val="24"/>
        </w:rPr>
        <w:t>to</w:t>
      </w:r>
      <w:r w:rsidRPr="00842D3D">
        <w:rPr>
          <w:rFonts w:eastAsia="Times New Roman" w:cs="Times New Roman"/>
          <w:spacing w:val="-8"/>
          <w:szCs w:val="24"/>
        </w:rPr>
        <w:t xml:space="preserve"> </w:t>
      </w:r>
      <w:r w:rsidRPr="00842D3D">
        <w:rPr>
          <w:rFonts w:eastAsia="Times New Roman" w:cs="Times New Roman"/>
          <w:spacing w:val="-2"/>
          <w:szCs w:val="24"/>
        </w:rPr>
        <w:t>survive s</w:t>
      </w:r>
      <w:r w:rsidRPr="00842D3D">
        <w:rPr>
          <w:rFonts w:eastAsia="Times New Roman" w:cs="Times New Roman"/>
          <w:szCs w:val="24"/>
        </w:rPr>
        <w:t>ummary</w:t>
      </w:r>
      <w:r w:rsidRPr="00842D3D">
        <w:rPr>
          <w:rFonts w:eastAsia="Times New Roman" w:cs="Times New Roman"/>
          <w:spacing w:val="-4"/>
          <w:szCs w:val="24"/>
        </w:rPr>
        <w:t xml:space="preserve"> </w:t>
      </w:r>
      <w:r w:rsidRPr="00842D3D">
        <w:rPr>
          <w:rFonts w:eastAsia="Times New Roman" w:cs="Times New Roman"/>
          <w:szCs w:val="24"/>
        </w:rPr>
        <w:t>judgment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his</w:t>
      </w:r>
      <w:r w:rsidRPr="00842D3D">
        <w:rPr>
          <w:rFonts w:eastAsia="Times New Roman" w:cs="Times New Roman"/>
          <w:spacing w:val="-4"/>
          <w:szCs w:val="24"/>
        </w:rPr>
        <w:t xml:space="preserve"> </w:t>
      </w:r>
      <w:r w:rsidRPr="00842D3D">
        <w:rPr>
          <w:rFonts w:eastAsia="Times New Roman" w:cs="Times New Roman"/>
          <w:szCs w:val="24"/>
        </w:rPr>
        <w:t>claim</w:t>
      </w:r>
      <w:r w:rsidRPr="00842D3D">
        <w:rPr>
          <w:rFonts w:eastAsia="Times New Roman" w:cs="Times New Roman"/>
          <w:spacing w:val="-5"/>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race</w:t>
      </w:r>
      <w:r w:rsidRPr="00842D3D">
        <w:rPr>
          <w:rFonts w:eastAsia="Times New Roman" w:cs="Times New Roman"/>
          <w:spacing w:val="-4"/>
          <w:szCs w:val="24"/>
        </w:rPr>
        <w:t xml:space="preserve"> </w:t>
      </w:r>
      <w:r w:rsidRPr="00842D3D">
        <w:rPr>
          <w:rFonts w:eastAsia="Times New Roman" w:cs="Times New Roman"/>
          <w:szCs w:val="24"/>
        </w:rPr>
        <w:t>discrimination</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1981,</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 xml:space="preserve">Ninth Circuit applies a burden-shifting analysis based on the </w:t>
      </w:r>
      <w:r w:rsidRPr="00842D3D">
        <w:rPr>
          <w:rFonts w:eastAsia="Times New Roman" w:cs="Times New Roman"/>
          <w:i/>
          <w:szCs w:val="24"/>
        </w:rPr>
        <w:t xml:space="preserve">McDonnell-Douglas </w:t>
      </w:r>
      <w:r w:rsidRPr="00842D3D">
        <w:rPr>
          <w:rFonts w:eastAsia="Times New Roman" w:cs="Times New Roman"/>
          <w:szCs w:val="24"/>
        </w:rPr>
        <w:t xml:space="preserve">framework that applies in employment discrimination cases under Title VII. </w:t>
      </w:r>
      <w:r w:rsidRPr="00842D3D">
        <w:rPr>
          <w:rFonts w:eastAsia="Times New Roman" w:cs="Times New Roman"/>
          <w:i/>
          <w:szCs w:val="24"/>
        </w:rPr>
        <w:t>Lindsey v. SLT L.A., LLC</w:t>
      </w:r>
      <w:r w:rsidRPr="00842D3D">
        <w:rPr>
          <w:rFonts w:eastAsia="Times New Roman" w:cs="Times New Roman"/>
          <w:szCs w:val="24"/>
        </w:rPr>
        <w:t xml:space="preserve">, 447 F.3d 1138, 1144-45 (9th Cir. 2005). The </w:t>
      </w:r>
      <w:r w:rsidRPr="00842D3D">
        <w:rPr>
          <w:rFonts w:eastAsia="Times New Roman" w:cs="Times New Roman"/>
          <w:i/>
          <w:szCs w:val="24"/>
        </w:rPr>
        <w:t>McDonnell-Douglas</w:t>
      </w:r>
      <w:r w:rsidRPr="00842D3D">
        <w:rPr>
          <w:rFonts w:eastAsia="Times New Roman" w:cs="Times New Roman"/>
          <w:i/>
          <w:spacing w:val="-5"/>
          <w:szCs w:val="24"/>
        </w:rPr>
        <w:t xml:space="preserve"> </w:t>
      </w:r>
      <w:r w:rsidRPr="00842D3D">
        <w:rPr>
          <w:rFonts w:eastAsia="Times New Roman" w:cs="Times New Roman"/>
          <w:szCs w:val="24"/>
        </w:rPr>
        <w:t>framework,</w:t>
      </w:r>
      <w:r w:rsidRPr="00842D3D">
        <w:rPr>
          <w:rFonts w:eastAsia="Times New Roman" w:cs="Times New Roman"/>
          <w:spacing w:val="-6"/>
          <w:szCs w:val="24"/>
        </w:rPr>
        <w:t xml:space="preserve"> </w:t>
      </w:r>
      <w:r w:rsidRPr="00842D3D">
        <w:rPr>
          <w:rFonts w:eastAsia="Times New Roman" w:cs="Times New Roman"/>
          <w:szCs w:val="24"/>
        </w:rPr>
        <w:t>however,</w:t>
      </w:r>
      <w:r w:rsidRPr="00842D3D">
        <w:rPr>
          <w:rFonts w:eastAsia="Times New Roman" w:cs="Times New Roman"/>
          <w:spacing w:val="-6"/>
          <w:szCs w:val="24"/>
        </w:rPr>
        <w:t xml:space="preserve"> </w:t>
      </w:r>
      <w:r w:rsidRPr="00842D3D">
        <w:rPr>
          <w:rFonts w:eastAsia="Times New Roman" w:cs="Times New Roman"/>
          <w:szCs w:val="24"/>
        </w:rPr>
        <w:t>“is</w:t>
      </w:r>
      <w:r w:rsidRPr="00842D3D">
        <w:rPr>
          <w:rFonts w:eastAsia="Times New Roman" w:cs="Times New Roman"/>
          <w:spacing w:val="-6"/>
          <w:szCs w:val="24"/>
        </w:rPr>
        <w:t xml:space="preserve"> </w:t>
      </w:r>
      <w:r w:rsidRPr="00842D3D">
        <w:rPr>
          <w:rFonts w:eastAsia="Times New Roman" w:cs="Times New Roman"/>
          <w:szCs w:val="24"/>
        </w:rPr>
        <w:t>an</w:t>
      </w:r>
      <w:r w:rsidRPr="00842D3D">
        <w:rPr>
          <w:rFonts w:eastAsia="Times New Roman" w:cs="Times New Roman"/>
          <w:spacing w:val="-6"/>
          <w:szCs w:val="24"/>
        </w:rPr>
        <w:t xml:space="preserve"> </w:t>
      </w:r>
      <w:r w:rsidRPr="00842D3D">
        <w:rPr>
          <w:rFonts w:eastAsia="Times New Roman" w:cs="Times New Roman"/>
          <w:szCs w:val="24"/>
        </w:rPr>
        <w:t>evidentiary</w:t>
      </w:r>
      <w:r w:rsidRPr="00842D3D">
        <w:rPr>
          <w:rFonts w:eastAsia="Times New Roman" w:cs="Times New Roman"/>
          <w:spacing w:val="-6"/>
          <w:szCs w:val="24"/>
        </w:rPr>
        <w:t xml:space="preserve"> </w:t>
      </w:r>
      <w:r w:rsidRPr="00842D3D">
        <w:rPr>
          <w:rFonts w:eastAsia="Times New Roman" w:cs="Times New Roman"/>
          <w:szCs w:val="24"/>
        </w:rPr>
        <w:t>standard,</w:t>
      </w:r>
      <w:r w:rsidRPr="00842D3D">
        <w:rPr>
          <w:rFonts w:eastAsia="Times New Roman" w:cs="Times New Roman"/>
          <w:spacing w:val="-6"/>
          <w:szCs w:val="24"/>
        </w:rPr>
        <w:t xml:space="preserve"> </w:t>
      </w:r>
      <w:r w:rsidRPr="00842D3D">
        <w:rPr>
          <w:rFonts w:eastAsia="Times New Roman" w:cs="Times New Roman"/>
          <w:szCs w:val="24"/>
        </w:rPr>
        <w:t>not</w:t>
      </w:r>
      <w:r w:rsidRPr="00842D3D">
        <w:rPr>
          <w:rFonts w:eastAsia="Times New Roman" w:cs="Times New Roman"/>
          <w:spacing w:val="-6"/>
          <w:szCs w:val="24"/>
        </w:rPr>
        <w:t xml:space="preserve"> </w:t>
      </w:r>
      <w:r w:rsidRPr="00842D3D">
        <w:rPr>
          <w:rFonts w:eastAsia="Times New Roman" w:cs="Times New Roman"/>
          <w:szCs w:val="24"/>
        </w:rPr>
        <w:t xml:space="preserve">a pleading requirement” that sets forth the elements of the plaintiff’s claim. </w:t>
      </w:r>
      <w:r w:rsidRPr="00842D3D">
        <w:rPr>
          <w:rFonts w:eastAsia="Times New Roman" w:cs="Times New Roman"/>
          <w:i/>
          <w:szCs w:val="24"/>
        </w:rPr>
        <w:t>Swierkiewicz v. Sorema N.A.</w:t>
      </w:r>
      <w:r w:rsidRPr="00842D3D">
        <w:rPr>
          <w:rFonts w:eastAsia="Times New Roman" w:cs="Times New Roman"/>
          <w:szCs w:val="24"/>
        </w:rPr>
        <w:t>, 534 U.S. 506, 510-11 (2002).</w:t>
      </w:r>
      <w:r w:rsidRPr="00842D3D">
        <w:rPr>
          <w:rFonts w:eastAsia="Times New Roman" w:cs="Times New Roman"/>
          <w:spacing w:val="40"/>
          <w:szCs w:val="24"/>
        </w:rPr>
        <w:t xml:space="preserve"> </w:t>
      </w:r>
      <w:r w:rsidRPr="00842D3D">
        <w:rPr>
          <w:rFonts w:eastAsia="Times New Roman" w:cs="Times New Roman"/>
          <w:szCs w:val="24"/>
        </w:rPr>
        <w:t xml:space="preserve">The framework is “a tool for assessing claims, </w:t>
      </w:r>
      <w:r w:rsidRPr="00842D3D">
        <w:rPr>
          <w:rFonts w:eastAsia="Times New Roman" w:cs="Times New Roman"/>
          <w:szCs w:val="24"/>
        </w:rPr>
        <w:lastRenderedPageBreak/>
        <w:t>typically at summary judgment, when the plaintiff relies on</w:t>
      </w:r>
      <w:r w:rsidRPr="00842D3D">
        <w:rPr>
          <w:rFonts w:eastAsia="Times New Roman" w:cs="Times New Roman"/>
          <w:spacing w:val="-3"/>
          <w:szCs w:val="24"/>
        </w:rPr>
        <w:t xml:space="preserve"> </w:t>
      </w:r>
      <w:r w:rsidRPr="00842D3D">
        <w:rPr>
          <w:rFonts w:eastAsia="Times New Roman" w:cs="Times New Roman"/>
          <w:szCs w:val="24"/>
        </w:rPr>
        <w:t>indirect</w:t>
      </w:r>
      <w:r w:rsidRPr="00842D3D">
        <w:rPr>
          <w:rFonts w:eastAsia="Times New Roman" w:cs="Times New Roman"/>
          <w:spacing w:val="-3"/>
          <w:szCs w:val="24"/>
        </w:rPr>
        <w:t xml:space="preserve"> </w:t>
      </w:r>
      <w:r w:rsidRPr="00842D3D">
        <w:rPr>
          <w:rFonts w:eastAsia="Times New Roman" w:cs="Times New Roman"/>
          <w:szCs w:val="24"/>
        </w:rPr>
        <w:t>proof</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discrimination.”</w:t>
      </w:r>
      <w:r w:rsidRPr="00842D3D">
        <w:rPr>
          <w:rFonts w:eastAsia="Times New Roman" w:cs="Times New Roman"/>
          <w:spacing w:val="40"/>
          <w:szCs w:val="24"/>
        </w:rPr>
        <w:t xml:space="preserve"> </w:t>
      </w:r>
      <w:r w:rsidRPr="00842D3D">
        <w:rPr>
          <w:rFonts w:eastAsia="Times New Roman" w:cs="Times New Roman"/>
          <w:i/>
          <w:szCs w:val="24"/>
        </w:rPr>
        <w:t>Comcast</w:t>
      </w:r>
      <w:r w:rsidRPr="00842D3D">
        <w:rPr>
          <w:rFonts w:eastAsia="Times New Roman" w:cs="Times New Roman"/>
          <w:i/>
          <w:spacing w:val="-3"/>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589 U.S. at 340.</w:t>
      </w:r>
      <w:r w:rsidRPr="00842D3D">
        <w:rPr>
          <w:rFonts w:eastAsia="Times New Roman" w:cs="Times New Roman"/>
          <w:spacing w:val="40"/>
          <w:szCs w:val="24"/>
        </w:rPr>
        <w:t xml:space="preserve"> </w:t>
      </w:r>
      <w:r w:rsidRPr="00842D3D">
        <w:rPr>
          <w:rFonts w:eastAsia="Times New Roman" w:cs="Times New Roman"/>
          <w:szCs w:val="24"/>
        </w:rPr>
        <w:t>Thus,</w:t>
      </w:r>
      <w:r w:rsidRPr="00842D3D">
        <w:rPr>
          <w:rFonts w:eastAsia="Times New Roman" w:cs="Times New Roman"/>
          <w:spacing w:val="-3"/>
          <w:szCs w:val="24"/>
        </w:rPr>
        <w:t xml:space="preserve"> </w:t>
      </w:r>
      <w:r w:rsidRPr="00842D3D">
        <w:rPr>
          <w:rFonts w:eastAsia="Times New Roman" w:cs="Times New Roman"/>
          <w:szCs w:val="24"/>
        </w:rPr>
        <w:t xml:space="preserve">the Ninth Circuit has explained that </w:t>
      </w:r>
      <w:r w:rsidRPr="00842D3D">
        <w:rPr>
          <w:rFonts w:eastAsia="Times New Roman" w:cs="Times New Roman"/>
          <w:i/>
          <w:szCs w:val="24"/>
        </w:rPr>
        <w:t xml:space="preserve">McDonnell-Douglas </w:t>
      </w:r>
      <w:r w:rsidRPr="00842D3D">
        <w:rPr>
          <w:rFonts w:eastAsia="Times New Roman" w:cs="Times New Roman"/>
          <w:szCs w:val="24"/>
        </w:rPr>
        <w:t>provides a “summary judgment evidentiary approach to employment discrimination claims under 42 U.S.C.</w:t>
      </w:r>
      <w:r w:rsidRPr="00842D3D">
        <w:rPr>
          <w:rFonts w:eastAsia="Times New Roman" w:cs="Times New Roman"/>
          <w:spacing w:val="-3"/>
          <w:szCs w:val="24"/>
        </w:rPr>
        <w:t xml:space="preserve"> </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i/>
          <w:szCs w:val="24"/>
        </w:rPr>
        <w:t>Maduka</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Sunrise</w:t>
      </w:r>
      <w:r w:rsidRPr="00842D3D">
        <w:rPr>
          <w:rFonts w:eastAsia="Times New Roman" w:cs="Times New Roman"/>
          <w:i/>
          <w:spacing w:val="-3"/>
          <w:szCs w:val="24"/>
        </w:rPr>
        <w:t xml:space="preserve"> </w:t>
      </w:r>
      <w:r w:rsidRPr="00842D3D">
        <w:rPr>
          <w:rFonts w:eastAsia="Times New Roman" w:cs="Times New Roman"/>
          <w:i/>
          <w:szCs w:val="24"/>
        </w:rPr>
        <w:t>Hosp.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375</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909,</w:t>
      </w:r>
      <w:r w:rsidRPr="00842D3D">
        <w:rPr>
          <w:rFonts w:eastAsia="Times New Roman" w:cs="Times New Roman"/>
          <w:spacing w:val="-3"/>
          <w:szCs w:val="24"/>
        </w:rPr>
        <w:t xml:space="preserve"> </w:t>
      </w:r>
      <w:r w:rsidRPr="00842D3D">
        <w:rPr>
          <w:rFonts w:eastAsia="Times New Roman" w:cs="Times New Roman"/>
          <w:szCs w:val="24"/>
        </w:rPr>
        <w:t>912</w:t>
      </w:r>
      <w:r w:rsidRPr="00842D3D">
        <w:rPr>
          <w:rFonts w:eastAsia="Times New Roman" w:cs="Times New Roman"/>
          <w:spacing w:val="-3"/>
          <w:szCs w:val="24"/>
        </w:rPr>
        <w:t xml:space="preserve"> </w:t>
      </w:r>
      <w:r w:rsidRPr="00842D3D">
        <w:rPr>
          <w:rFonts w:eastAsia="Times New Roman" w:cs="Times New Roman"/>
          <w:szCs w:val="24"/>
        </w:rPr>
        <w:t>(9th</w:t>
      </w:r>
      <w:r w:rsidRPr="00842D3D">
        <w:rPr>
          <w:rFonts w:eastAsia="Times New Roman" w:cs="Times New Roman"/>
          <w:spacing w:val="-3"/>
          <w:szCs w:val="24"/>
        </w:rPr>
        <w:t xml:space="preserve"> </w:t>
      </w:r>
      <w:r w:rsidRPr="00842D3D">
        <w:rPr>
          <w:rFonts w:eastAsia="Times New Roman" w:cs="Times New Roman"/>
          <w:szCs w:val="24"/>
        </w:rPr>
        <w:t>Cir.</w:t>
      </w:r>
      <w:r w:rsidRPr="00842D3D">
        <w:rPr>
          <w:rFonts w:eastAsia="Times New Roman" w:cs="Times New Roman"/>
          <w:spacing w:val="-3"/>
          <w:szCs w:val="24"/>
        </w:rPr>
        <w:t xml:space="preserve"> </w:t>
      </w:r>
      <w:r w:rsidRPr="00842D3D">
        <w:rPr>
          <w:rFonts w:eastAsia="Times New Roman" w:cs="Times New Roman"/>
          <w:szCs w:val="24"/>
        </w:rPr>
        <w:t>2004).</w:t>
      </w:r>
      <w:r w:rsidRPr="00842D3D">
        <w:rPr>
          <w:rFonts w:eastAsia="Times New Roman" w:cs="Times New Roman"/>
          <w:spacing w:val="40"/>
          <w:szCs w:val="24"/>
        </w:rPr>
        <w:t xml:space="preserve"> </w:t>
      </w:r>
      <w:r w:rsidRPr="00842D3D">
        <w:rPr>
          <w:rFonts w:eastAsia="Times New Roman" w:cs="Times New Roman"/>
          <w:szCs w:val="24"/>
        </w:rPr>
        <w:t xml:space="preserve">For this reason, in cases of employment discrimination brought under Title VII, “it is error to charge the jury with the elements of the </w:t>
      </w:r>
      <w:r w:rsidRPr="00842D3D">
        <w:rPr>
          <w:rFonts w:eastAsia="Times New Roman" w:cs="Times New Roman"/>
          <w:i/>
          <w:szCs w:val="24"/>
        </w:rPr>
        <w:t xml:space="preserve">McDonnell Douglas </w:t>
      </w:r>
      <w:r w:rsidRPr="00842D3D">
        <w:rPr>
          <w:rFonts w:eastAsia="Times New Roman" w:cs="Times New Roman"/>
          <w:szCs w:val="24"/>
        </w:rPr>
        <w:t xml:space="preserve">prima facie case.” </w:t>
      </w:r>
      <w:r w:rsidRPr="00842D3D">
        <w:rPr>
          <w:rFonts w:eastAsia="Times New Roman" w:cs="Times New Roman"/>
          <w:i/>
          <w:szCs w:val="24"/>
        </w:rPr>
        <w:t>Sanghvi v. City of Claremont</w:t>
      </w:r>
      <w:r w:rsidRPr="00842D3D">
        <w:rPr>
          <w:rFonts w:eastAsia="Times New Roman" w:cs="Times New Roman"/>
          <w:szCs w:val="24"/>
        </w:rPr>
        <w:t>, 328 F.3d 532, 540 (9th Cir. 2003).</w:t>
      </w:r>
      <w:r w:rsidRPr="00842D3D">
        <w:rPr>
          <w:rFonts w:eastAsia="Times New Roman" w:cs="Times New Roman"/>
          <w:spacing w:val="40"/>
          <w:szCs w:val="24"/>
        </w:rPr>
        <w:t xml:space="preserve"> </w:t>
      </w:r>
      <w:r w:rsidRPr="00842D3D">
        <w:rPr>
          <w:rFonts w:eastAsia="Times New Roman" w:cs="Times New Roman"/>
          <w:szCs w:val="24"/>
        </w:rPr>
        <w:t>The foregoing authority indicates that, in cases alleging race discrimination under §</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spacing w:val="-3"/>
          <w:szCs w:val="24"/>
        </w:rPr>
        <w:t xml:space="preserve"> </w:t>
      </w:r>
      <w:r w:rsidRPr="00842D3D">
        <w:rPr>
          <w:rFonts w:eastAsia="Times New Roman" w:cs="Times New Roman"/>
          <w:szCs w:val="24"/>
        </w:rPr>
        <w:t>it</w:t>
      </w:r>
      <w:r w:rsidRPr="00842D3D">
        <w:rPr>
          <w:rFonts w:eastAsia="Times New Roman" w:cs="Times New Roman"/>
          <w:spacing w:val="-3"/>
          <w:szCs w:val="24"/>
        </w:rPr>
        <w:t xml:space="preserve"> </w:t>
      </w:r>
      <w:r w:rsidRPr="00842D3D">
        <w:rPr>
          <w:rFonts w:eastAsia="Times New Roman" w:cs="Times New Roman"/>
          <w:szCs w:val="24"/>
        </w:rPr>
        <w:t>would</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error</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charge</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jury</w:t>
      </w:r>
      <w:r w:rsidRPr="00842D3D">
        <w:rPr>
          <w:rFonts w:eastAsia="Times New Roman" w:cs="Times New Roman"/>
          <w:spacing w:val="-3"/>
          <w:szCs w:val="24"/>
        </w:rPr>
        <w:t xml:space="preserve"> </w:t>
      </w:r>
      <w:r w:rsidRPr="00842D3D">
        <w:rPr>
          <w:rFonts w:eastAsia="Times New Roman" w:cs="Times New Roman"/>
          <w:szCs w:val="24"/>
        </w:rPr>
        <w:t>with</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elements</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the </w:t>
      </w:r>
      <w:r w:rsidRPr="00842D3D">
        <w:rPr>
          <w:rFonts w:eastAsia="Times New Roman" w:cs="Times New Roman"/>
          <w:i/>
          <w:szCs w:val="24"/>
        </w:rPr>
        <w:t>McDonnell Douglas</w:t>
      </w:r>
      <w:r w:rsidRPr="00842D3D">
        <w:rPr>
          <w:rFonts w:eastAsia="Times New Roman" w:cs="Times New Roman"/>
          <w:i/>
          <w:spacing w:val="-8"/>
          <w:szCs w:val="24"/>
        </w:rPr>
        <w:t xml:space="preserve"> </w:t>
      </w:r>
      <w:r w:rsidRPr="00842D3D">
        <w:rPr>
          <w:rFonts w:eastAsia="Times New Roman" w:cs="Times New Roman"/>
          <w:szCs w:val="24"/>
        </w:rPr>
        <w:t>prima</w:t>
      </w:r>
      <w:r w:rsidRPr="00842D3D">
        <w:rPr>
          <w:rFonts w:eastAsia="Times New Roman" w:cs="Times New Roman"/>
          <w:spacing w:val="-9"/>
          <w:szCs w:val="24"/>
        </w:rPr>
        <w:t xml:space="preserve"> </w:t>
      </w:r>
      <w:r w:rsidRPr="00842D3D">
        <w:rPr>
          <w:rFonts w:eastAsia="Times New Roman" w:cs="Times New Roman"/>
          <w:szCs w:val="24"/>
        </w:rPr>
        <w:t>facie</w:t>
      </w:r>
      <w:r w:rsidRPr="00842D3D">
        <w:rPr>
          <w:rFonts w:eastAsia="Times New Roman" w:cs="Times New Roman"/>
          <w:spacing w:val="-8"/>
          <w:szCs w:val="24"/>
        </w:rPr>
        <w:t xml:space="preserve"> </w:t>
      </w:r>
      <w:r w:rsidRPr="00842D3D">
        <w:rPr>
          <w:rFonts w:eastAsia="Times New Roman" w:cs="Times New Roman"/>
          <w:szCs w:val="24"/>
        </w:rPr>
        <w:t xml:space="preserve">case. </w:t>
      </w:r>
      <w:r w:rsidRPr="00842D3D">
        <w:rPr>
          <w:rFonts w:eastAsia="Times New Roman" w:cs="Times New Roman"/>
          <w:i/>
          <w:szCs w:val="24"/>
        </w:rPr>
        <w:t>See</w:t>
      </w:r>
      <w:r w:rsidRPr="00842D3D">
        <w:rPr>
          <w:rFonts w:eastAsia="Times New Roman" w:cs="Times New Roman"/>
          <w:i/>
          <w:spacing w:val="-9"/>
          <w:szCs w:val="24"/>
        </w:rPr>
        <w:t xml:space="preserve"> </w:t>
      </w:r>
      <w:r w:rsidRPr="00842D3D">
        <w:rPr>
          <w:rFonts w:eastAsia="Times New Roman" w:cs="Times New Roman"/>
          <w:i/>
          <w:szCs w:val="24"/>
        </w:rPr>
        <w:t>id.</w:t>
      </w:r>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i/>
          <w:szCs w:val="24"/>
        </w:rPr>
        <w:t>Swierkiewicz</w:t>
      </w:r>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spacing w:val="-5"/>
          <w:szCs w:val="24"/>
        </w:rPr>
        <w:t xml:space="preserve">534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at</w:t>
      </w:r>
      <w:r w:rsidRPr="00842D3D">
        <w:rPr>
          <w:rFonts w:eastAsia="Times New Roman" w:cs="Times New Roman"/>
          <w:spacing w:val="-4"/>
          <w:szCs w:val="24"/>
        </w:rPr>
        <w:t xml:space="preserve"> </w:t>
      </w:r>
      <w:r w:rsidRPr="00842D3D">
        <w:rPr>
          <w:rFonts w:eastAsia="Times New Roman" w:cs="Times New Roman"/>
          <w:szCs w:val="24"/>
        </w:rPr>
        <w:t>510-11;</w:t>
      </w:r>
      <w:r w:rsidRPr="00842D3D">
        <w:rPr>
          <w:rFonts w:eastAsia="Times New Roman" w:cs="Times New Roman"/>
          <w:spacing w:val="-3"/>
          <w:szCs w:val="24"/>
        </w:rPr>
        <w:t xml:space="preserve">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589 U.S. at 340 (“[A] plaintiff must initially plead and ultimately prove that, but for race, it would not have suffered the loss of a legally protected right.”).</w:t>
      </w:r>
      <w:r w:rsidRPr="00842D3D">
        <w:rPr>
          <w:rFonts w:eastAsia="Times New Roman" w:cs="Times New Roman"/>
          <w:spacing w:val="40"/>
          <w:szCs w:val="24"/>
        </w:rPr>
        <w:t xml:space="preserve"> </w:t>
      </w:r>
      <w:r w:rsidRPr="00842D3D">
        <w:rPr>
          <w:rFonts w:eastAsia="Times New Roman" w:cs="Times New Roman"/>
          <w:szCs w:val="24"/>
        </w:rPr>
        <w:t>However,</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Ninth</w:t>
      </w:r>
      <w:r w:rsidRPr="00842D3D">
        <w:rPr>
          <w:rFonts w:eastAsia="Times New Roman" w:cs="Times New Roman"/>
          <w:spacing w:val="-4"/>
          <w:szCs w:val="24"/>
        </w:rPr>
        <w:t xml:space="preserve"> </w:t>
      </w:r>
      <w:r w:rsidRPr="00842D3D">
        <w:rPr>
          <w:rFonts w:eastAsia="Times New Roman" w:cs="Times New Roman"/>
          <w:szCs w:val="24"/>
        </w:rPr>
        <w:t>Circuit</w:t>
      </w:r>
      <w:r w:rsidRPr="00842D3D">
        <w:rPr>
          <w:rFonts w:eastAsia="Times New Roman" w:cs="Times New Roman"/>
          <w:spacing w:val="-4"/>
          <w:szCs w:val="24"/>
        </w:rPr>
        <w:t xml:space="preserve"> </w:t>
      </w:r>
      <w:r w:rsidRPr="00842D3D">
        <w:rPr>
          <w:rFonts w:eastAsia="Times New Roman" w:cs="Times New Roman"/>
          <w:szCs w:val="24"/>
        </w:rPr>
        <w:t>has not directly addressed that question.</w:t>
      </w:r>
    </w:p>
    <w:p w14:paraId="0453851C" w14:textId="77777777" w:rsidR="00842D3D" w:rsidRPr="00842D3D" w:rsidRDefault="00842D3D" w:rsidP="00842D3D">
      <w:pPr>
        <w:rPr>
          <w:rFonts w:eastAsia="Calibri" w:cs="Times New Roman"/>
          <w:i/>
          <w:szCs w:val="24"/>
        </w:rPr>
      </w:pPr>
    </w:p>
    <w:p w14:paraId="7C233D29" w14:textId="36C4F83B" w:rsidR="00FF121D" w:rsidRDefault="00842D3D" w:rsidP="00FF121D">
      <w:pPr>
        <w:jc w:val="right"/>
        <w:rPr>
          <w:rFonts w:eastAsia="Calibri" w:cs="Times New Roman"/>
          <w:i/>
          <w:iCs/>
          <w:szCs w:val="24"/>
        </w:rPr>
      </w:pPr>
      <w:r w:rsidRPr="00842D3D">
        <w:rPr>
          <w:rFonts w:eastAsia="Calibri" w:cs="Times New Roman"/>
          <w:i/>
          <w:iCs/>
          <w:szCs w:val="24"/>
        </w:rPr>
        <w:t>Revised November 2024</w:t>
      </w:r>
      <w:r w:rsidR="00FF121D">
        <w:rPr>
          <w:rFonts w:eastAsia="Calibri" w:cs="Times New Roman"/>
          <w:i/>
          <w:iCs/>
          <w:szCs w:val="24"/>
        </w:rPr>
        <w:br w:type="page"/>
      </w:r>
    </w:p>
    <w:p w14:paraId="3D73B5F1" w14:textId="77777777" w:rsidR="00842D3D" w:rsidRDefault="00842D3D" w:rsidP="00FF121D">
      <w:pPr>
        <w:jc w:val="right"/>
      </w:pPr>
    </w:p>
    <w:p w14:paraId="69989E24" w14:textId="69730211" w:rsidR="006A4CD7" w:rsidRPr="002B283E" w:rsidRDefault="006A4CD7" w:rsidP="002B283E">
      <w:pPr>
        <w:pStyle w:val="Heading1"/>
        <w:spacing w:before="0" w:line="240" w:lineRule="auto"/>
      </w:pPr>
      <w:bookmarkStart w:id="218" w:name="_Toc221525208"/>
      <w:r w:rsidRPr="002B283E">
        <w:t>10</w:t>
      </w:r>
      <w:r w:rsidR="00A87F6E">
        <w:t xml:space="preserve">. </w:t>
      </w:r>
      <w:r w:rsidRPr="002B283E">
        <w:t>C</w:t>
      </w:r>
      <w:r w:rsidR="00C52F1D" w:rsidRPr="002B283E">
        <w:t>IVIL</w:t>
      </w:r>
      <w:r w:rsidRPr="002B283E">
        <w:t xml:space="preserve"> R</w:t>
      </w:r>
      <w:r w:rsidR="00C52F1D" w:rsidRPr="002B283E">
        <w:t>IGHTS</w:t>
      </w:r>
      <w:r w:rsidRPr="002B283E">
        <w:t>—T</w:t>
      </w:r>
      <w:r w:rsidR="00C52F1D" w:rsidRPr="002B283E">
        <w:t xml:space="preserve">ITLE </w:t>
      </w:r>
      <w:r w:rsidRPr="002B283E">
        <w:t>VII—E</w:t>
      </w:r>
      <w:r w:rsidR="00C52F1D" w:rsidRPr="002B283E">
        <w:t>MPLOYMENT</w:t>
      </w:r>
      <w:r w:rsidR="00B3575B" w:rsidRPr="002B283E">
        <w:t xml:space="preserve"> </w:t>
      </w:r>
      <w:r w:rsidRPr="002B283E">
        <w:t>D</w:t>
      </w:r>
      <w:r w:rsidR="00C52F1D" w:rsidRPr="002B283E">
        <w:t>ISCRIMINATION</w:t>
      </w:r>
      <w:r w:rsidRPr="002B283E">
        <w:t>; H</w:t>
      </w:r>
      <w:r w:rsidR="00C52F1D" w:rsidRPr="002B283E">
        <w:t>ARASSMENT</w:t>
      </w:r>
      <w:r w:rsidRPr="002B283E">
        <w:t>; R</w:t>
      </w:r>
      <w:r w:rsidR="00C52F1D" w:rsidRPr="002B283E">
        <w:t>ETALIATION</w:t>
      </w:r>
      <w:bookmarkEnd w:id="218"/>
    </w:p>
    <w:p w14:paraId="1EF7C105" w14:textId="77777777" w:rsidR="006A4CD7" w:rsidRPr="002B283E" w:rsidRDefault="006A4CD7" w:rsidP="002B283E">
      <w:pPr>
        <w:rPr>
          <w:rFonts w:cs="Times New Roman"/>
          <w:szCs w:val="24"/>
        </w:rPr>
      </w:pPr>
    </w:p>
    <w:p w14:paraId="21B48C8C" w14:textId="77777777"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2680A563" w14:textId="77777777" w:rsidR="006A4CD7" w:rsidRPr="002B283E" w:rsidRDefault="006A4CD7" w:rsidP="002B283E">
      <w:pPr>
        <w:rPr>
          <w:rFonts w:cs="Times New Roman"/>
          <w:szCs w:val="24"/>
        </w:rPr>
      </w:pPr>
    </w:p>
    <w:p w14:paraId="3055883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5C57FAED" w14:textId="6478571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10.1</w:t>
      </w:r>
      <w:r w:rsidR="00D7108D" w:rsidRPr="002B283E">
        <w:rPr>
          <w:rFonts w:cs="Times New Roman"/>
          <w:szCs w:val="24"/>
        </w:rPr>
        <w:tab/>
      </w:r>
      <w:r w:rsidRPr="002B283E">
        <w:rPr>
          <w:rFonts w:cs="Times New Roman"/>
          <w:szCs w:val="24"/>
        </w:rPr>
        <w:t>Civil Rights—Title VII—Disparate Treatment</w:t>
      </w:r>
      <w:r w:rsidRPr="002B283E">
        <w:rPr>
          <w:rFonts w:cs="Times New Roman"/>
          <w:b/>
          <w:bCs/>
          <w:szCs w:val="24"/>
        </w:rPr>
        <w:t>—</w:t>
      </w:r>
      <w:r w:rsidR="00D34A9C" w:rsidRPr="002B283E">
        <w:rPr>
          <w:rFonts w:cs="Times New Roman"/>
          <w:szCs w:val="24"/>
        </w:rPr>
        <w:t>Without Affirmative Defense of “Same Decision”</w:t>
      </w:r>
    </w:p>
    <w:p w14:paraId="3642387B" w14:textId="51ACE2C8"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10.2</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With Affirmative Defense of “Same Decision”</w:t>
      </w:r>
    </w:p>
    <w:p w14:paraId="257D8D1E" w14:textId="2E85156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10.3</w:t>
      </w:r>
      <w:r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“Because of” Defined</w:t>
      </w:r>
    </w:p>
    <w:p w14:paraId="5C9B87D8" w14:textId="01AF5185"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10.4</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w:t>
      </w:r>
    </w:p>
    <w:p w14:paraId="3D7F68D6" w14:textId="74115616" w:rsidR="00207B39" w:rsidRPr="002B283E" w:rsidRDefault="00207B39"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5</w:t>
      </w:r>
      <w:r w:rsidRPr="002B283E">
        <w:rPr>
          <w:rFonts w:cs="Times New Roman"/>
          <w:szCs w:val="24"/>
        </w:rPr>
        <w:tab/>
      </w:r>
      <w:r w:rsidRPr="002B283E">
        <w:rPr>
          <w:rFonts w:cs="Times New Roman"/>
          <w:szCs w:val="24"/>
        </w:rPr>
        <w:tab/>
        <w:t>Civil Rights—Title VII—Hostile Work Environment—Definition</w:t>
      </w:r>
    </w:p>
    <w:p w14:paraId="55B76267" w14:textId="6FC4DB8D"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 Because of Protected Characteristics</w:t>
      </w:r>
      <w:r w:rsidRPr="002B283E">
        <w:rPr>
          <w:rFonts w:cs="Times New Roman"/>
          <w:b/>
          <w:bCs/>
          <w:szCs w:val="24"/>
        </w:rPr>
        <w:t>—</w:t>
      </w:r>
      <w:r w:rsidRPr="002B283E">
        <w:rPr>
          <w:rFonts w:cs="Times New Roman"/>
          <w:szCs w:val="24"/>
        </w:rPr>
        <w:t>Elements</w:t>
      </w:r>
    </w:p>
    <w:p w14:paraId="7746E9B3" w14:textId="024687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7</w:t>
      </w:r>
      <w:r w:rsidRPr="002B283E">
        <w:rPr>
          <w:rFonts w:cs="Times New Roman"/>
          <w:szCs w:val="24"/>
        </w:rPr>
        <w:tab/>
        <w:t>Civil Rights—Title VII—Hostile Work Environment Caused by Supervisor—Claim Based on Vicarious Liability</w:t>
      </w:r>
      <w:r w:rsidRPr="002B283E">
        <w:rPr>
          <w:rFonts w:cs="Times New Roman"/>
          <w:b/>
          <w:bCs/>
          <w:szCs w:val="24"/>
        </w:rPr>
        <w:t>—</w:t>
      </w:r>
      <w:r w:rsidRPr="002B283E">
        <w:rPr>
          <w:rFonts w:cs="Times New Roman"/>
          <w:szCs w:val="24"/>
        </w:rPr>
        <w:t>Tangible Employment Action</w:t>
      </w:r>
      <w:r w:rsidRPr="002B283E">
        <w:rPr>
          <w:rFonts w:cs="Times New Roman"/>
          <w:b/>
          <w:bCs/>
          <w:szCs w:val="24"/>
        </w:rPr>
        <w:t>—</w:t>
      </w:r>
      <w:r w:rsidRPr="002B283E">
        <w:rPr>
          <w:rFonts w:cs="Times New Roman"/>
          <w:szCs w:val="24"/>
        </w:rPr>
        <w:t>Affirmative Defense</w:t>
      </w:r>
    </w:p>
    <w:p w14:paraId="76806186" w14:textId="6EF82CA9"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8</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44276A6F" w14:textId="53C653B2" w:rsidR="004A5EC1" w:rsidRPr="002B283E" w:rsidRDefault="004A5EC1"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9</w:t>
      </w:r>
      <w:r w:rsidRPr="002B283E">
        <w:rPr>
          <w:rFonts w:cs="Times New Roman"/>
          <w:szCs w:val="24"/>
        </w:rPr>
        <w:tab/>
      </w:r>
      <w:r w:rsidRPr="002B283E">
        <w:rPr>
          <w:rFonts w:cs="Times New Roman"/>
          <w:szCs w:val="24"/>
        </w:rPr>
        <w:tab/>
      </w:r>
      <w:r w:rsidR="00535F4F" w:rsidRPr="002B283E">
        <w:rPr>
          <w:rFonts w:cs="Times New Roman"/>
          <w:bCs/>
          <w:szCs w:val="24"/>
        </w:rPr>
        <w:t>“Hostile Work Environment” Defined</w:t>
      </w:r>
    </w:p>
    <w:p w14:paraId="362A484B" w14:textId="16C5DCA0"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10</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VII—Retaliation</w:t>
      </w:r>
      <w:r w:rsidRPr="002B283E">
        <w:rPr>
          <w:rFonts w:cs="Times New Roman"/>
          <w:b/>
          <w:bCs/>
          <w:szCs w:val="24"/>
        </w:rPr>
        <w:t>—</w:t>
      </w:r>
      <w:r w:rsidRPr="002B283E">
        <w:rPr>
          <w:rFonts w:cs="Times New Roman"/>
          <w:szCs w:val="24"/>
        </w:rPr>
        <w:t>Elements and Burden of Proof</w:t>
      </w:r>
    </w:p>
    <w:p w14:paraId="0F242D68" w14:textId="55F2EFFC"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11</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Defined</w:t>
      </w:r>
    </w:p>
    <w:p w14:paraId="79EE9F2F" w14:textId="2A980E20"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2</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in Retaliation Cases</w:t>
      </w:r>
    </w:p>
    <w:p w14:paraId="525DB4F3" w14:textId="31E7569F"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3</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in Disparate Treatment Cases</w:t>
      </w:r>
    </w:p>
    <w:p w14:paraId="6FF3B740" w14:textId="0D3999A1"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4</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Tangible Employment Action” Defined</w:t>
      </w:r>
    </w:p>
    <w:p w14:paraId="73C9FE72" w14:textId="7D40C6D7"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5</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Constructive Discharge” Defined</w:t>
      </w:r>
    </w:p>
    <w:p w14:paraId="27334058" w14:textId="13E84192"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Occupational Qualification</w:t>
      </w:r>
    </w:p>
    <w:p w14:paraId="74383D38" w14:textId="33592B99"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7</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Seniority System</w:t>
      </w:r>
    </w:p>
    <w:p w14:paraId="2C917199" w14:textId="7EBECD8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8</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After-Acquired Evidence</w:t>
      </w:r>
    </w:p>
    <w:p w14:paraId="4537441F" w14:textId="5E263B99" w:rsidR="00CF3698" w:rsidRPr="002B283E" w:rsidRDefault="00CF3698"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9</w:t>
      </w:r>
      <w:r w:rsidR="00A5664A" w:rsidRPr="002B283E">
        <w:rPr>
          <w:rFonts w:cs="Times New Roman"/>
          <w:szCs w:val="24"/>
        </w:rPr>
        <w:tab/>
      </w:r>
      <w:r w:rsidR="00A5664A" w:rsidRPr="002B283E">
        <w:rPr>
          <w:rFonts w:cs="Times New Roman"/>
          <w:szCs w:val="24"/>
        </w:rPr>
        <w:tab/>
        <w:t>Civil Rights—Title VII—Defense</w:t>
      </w:r>
      <w:r w:rsidR="00A5664A" w:rsidRPr="002B283E">
        <w:rPr>
          <w:rFonts w:cs="Times New Roman"/>
          <w:b/>
          <w:bCs/>
          <w:szCs w:val="24"/>
        </w:rPr>
        <w:t>—</w:t>
      </w:r>
      <w:r w:rsidR="00A5664A" w:rsidRPr="002B283E">
        <w:rPr>
          <w:rFonts w:cs="Times New Roman"/>
          <w:szCs w:val="24"/>
        </w:rPr>
        <w:t>Undue Hardship in Religious Accommodation Cases</w:t>
      </w:r>
    </w:p>
    <w:p w14:paraId="62BFD5EB" w14:textId="77777777" w:rsidR="006A4CD7" w:rsidRPr="002B283E" w:rsidRDefault="006A4CD7" w:rsidP="002B283E">
      <w:pPr>
        <w:autoSpaceDE w:val="0"/>
        <w:autoSpaceDN w:val="0"/>
        <w:adjustRightInd w:val="0"/>
        <w:ind w:hanging="900"/>
        <w:rPr>
          <w:rFonts w:cs="Times New Roman"/>
          <w:szCs w:val="24"/>
        </w:rPr>
      </w:pPr>
    </w:p>
    <w:p w14:paraId="747E8251" w14:textId="1A1AF69E" w:rsidR="006A4CD7" w:rsidRPr="002B283E" w:rsidRDefault="00F95243" w:rsidP="002B283E">
      <w:pPr>
        <w:autoSpaceDE w:val="0"/>
        <w:autoSpaceDN w:val="0"/>
        <w:adjustRightInd w:val="0"/>
        <w:jc w:val="center"/>
        <w:rPr>
          <w:rFonts w:cs="Times New Roman"/>
          <w:szCs w:val="24"/>
        </w:rPr>
      </w:pPr>
      <w:r w:rsidRPr="002B283E">
        <w:rPr>
          <w:rFonts w:cs="Times New Roman"/>
          <w:szCs w:val="24"/>
        </w:rPr>
        <w:t>____________________</w:t>
      </w:r>
    </w:p>
    <w:p w14:paraId="1773D129" w14:textId="77777777" w:rsidR="00671B7F" w:rsidRPr="002B283E" w:rsidRDefault="00671B7F" w:rsidP="002B283E">
      <w:pPr>
        <w:autoSpaceDE w:val="0"/>
        <w:autoSpaceDN w:val="0"/>
        <w:adjustRightInd w:val="0"/>
        <w:jc w:val="center"/>
        <w:rPr>
          <w:rFonts w:cs="Times New Roman"/>
          <w:szCs w:val="24"/>
        </w:rPr>
      </w:pPr>
    </w:p>
    <w:p w14:paraId="345A577C" w14:textId="594C86C2" w:rsidR="006A4CD7" w:rsidRPr="002B283E" w:rsidRDefault="006A4CD7" w:rsidP="002B283E">
      <w:pPr>
        <w:autoSpaceDE w:val="0"/>
        <w:autoSpaceDN w:val="0"/>
        <w:adjustRightInd w:val="0"/>
        <w:jc w:val="center"/>
        <w:rPr>
          <w:rFonts w:cs="Times New Roman"/>
          <w:b/>
          <w:bCs/>
          <w:szCs w:val="24"/>
        </w:rPr>
      </w:pPr>
    </w:p>
    <w:p w14:paraId="67DAA9E6" w14:textId="4AB4CC33" w:rsidR="00671B7F" w:rsidRPr="002B283E" w:rsidRDefault="00671B7F" w:rsidP="002B283E">
      <w:pPr>
        <w:autoSpaceDE w:val="0"/>
        <w:autoSpaceDN w:val="0"/>
        <w:adjustRightInd w:val="0"/>
        <w:jc w:val="center"/>
        <w:rPr>
          <w:rFonts w:cs="Times New Roman"/>
          <w:b/>
          <w:bCs/>
          <w:szCs w:val="24"/>
        </w:rPr>
      </w:pPr>
    </w:p>
    <w:p w14:paraId="150A8CBB" w14:textId="5334AA88" w:rsidR="00671B7F" w:rsidRPr="002B283E" w:rsidRDefault="00671B7F" w:rsidP="002B283E">
      <w:pPr>
        <w:autoSpaceDE w:val="0"/>
        <w:autoSpaceDN w:val="0"/>
        <w:adjustRightInd w:val="0"/>
        <w:jc w:val="center"/>
        <w:rPr>
          <w:rFonts w:cs="Times New Roman"/>
          <w:b/>
          <w:bCs/>
          <w:szCs w:val="24"/>
        </w:rPr>
      </w:pPr>
    </w:p>
    <w:p w14:paraId="267F0A49" w14:textId="394CE930" w:rsidR="00671B7F" w:rsidRPr="002B283E" w:rsidRDefault="00671B7F" w:rsidP="002B283E">
      <w:pPr>
        <w:autoSpaceDE w:val="0"/>
        <w:autoSpaceDN w:val="0"/>
        <w:adjustRightInd w:val="0"/>
        <w:jc w:val="center"/>
        <w:rPr>
          <w:rFonts w:cs="Times New Roman"/>
          <w:b/>
          <w:bCs/>
          <w:szCs w:val="24"/>
        </w:rPr>
      </w:pPr>
    </w:p>
    <w:p w14:paraId="569AAA48" w14:textId="779614C3" w:rsidR="00671B7F" w:rsidRPr="002B283E" w:rsidRDefault="00671B7F" w:rsidP="002B283E">
      <w:pPr>
        <w:autoSpaceDE w:val="0"/>
        <w:autoSpaceDN w:val="0"/>
        <w:adjustRightInd w:val="0"/>
        <w:jc w:val="center"/>
        <w:rPr>
          <w:rFonts w:cs="Times New Roman"/>
          <w:b/>
          <w:bCs/>
          <w:szCs w:val="24"/>
        </w:rPr>
      </w:pPr>
    </w:p>
    <w:p w14:paraId="53A77C24" w14:textId="2CE6EC46" w:rsidR="00671B7F" w:rsidRPr="002B283E" w:rsidRDefault="00671B7F" w:rsidP="002B283E">
      <w:pPr>
        <w:autoSpaceDE w:val="0"/>
        <w:autoSpaceDN w:val="0"/>
        <w:adjustRightInd w:val="0"/>
        <w:jc w:val="center"/>
        <w:rPr>
          <w:rFonts w:cs="Times New Roman"/>
          <w:b/>
          <w:bCs/>
          <w:szCs w:val="24"/>
        </w:rPr>
      </w:pPr>
    </w:p>
    <w:p w14:paraId="32030975" w14:textId="638D75D1" w:rsidR="00671B7F" w:rsidRDefault="00671B7F" w:rsidP="002B283E">
      <w:pPr>
        <w:autoSpaceDE w:val="0"/>
        <w:autoSpaceDN w:val="0"/>
        <w:adjustRightInd w:val="0"/>
        <w:jc w:val="center"/>
        <w:rPr>
          <w:rFonts w:cs="Times New Roman"/>
          <w:b/>
          <w:bCs/>
          <w:szCs w:val="24"/>
        </w:rPr>
      </w:pPr>
    </w:p>
    <w:p w14:paraId="0FE789DF" w14:textId="77777777" w:rsidR="00842D3D" w:rsidRPr="002B283E" w:rsidRDefault="00842D3D" w:rsidP="002B283E">
      <w:pPr>
        <w:autoSpaceDE w:val="0"/>
        <w:autoSpaceDN w:val="0"/>
        <w:adjustRightInd w:val="0"/>
        <w:jc w:val="center"/>
        <w:rPr>
          <w:rFonts w:cs="Times New Roman"/>
          <w:b/>
          <w:bCs/>
          <w:szCs w:val="24"/>
        </w:rPr>
      </w:pPr>
    </w:p>
    <w:p w14:paraId="44EDC5F1" w14:textId="477FFFA2" w:rsidR="00671B7F" w:rsidRPr="002B283E" w:rsidRDefault="00671B7F" w:rsidP="002B283E">
      <w:pPr>
        <w:autoSpaceDE w:val="0"/>
        <w:autoSpaceDN w:val="0"/>
        <w:adjustRightInd w:val="0"/>
        <w:jc w:val="center"/>
        <w:rPr>
          <w:rFonts w:cs="Times New Roman"/>
          <w:b/>
          <w:bCs/>
          <w:szCs w:val="24"/>
        </w:rPr>
      </w:pPr>
    </w:p>
    <w:p w14:paraId="147EC292" w14:textId="2AF3A304" w:rsidR="00671B7F" w:rsidRPr="002B283E" w:rsidRDefault="00671B7F" w:rsidP="002B283E">
      <w:pPr>
        <w:autoSpaceDE w:val="0"/>
        <w:autoSpaceDN w:val="0"/>
        <w:adjustRightInd w:val="0"/>
        <w:jc w:val="center"/>
        <w:rPr>
          <w:rFonts w:cs="Times New Roman"/>
          <w:b/>
          <w:bCs/>
          <w:szCs w:val="24"/>
        </w:rPr>
      </w:pPr>
    </w:p>
    <w:p w14:paraId="5FC1AAAA" w14:textId="724EB813" w:rsidR="00671B7F" w:rsidRPr="002B283E" w:rsidRDefault="00671B7F" w:rsidP="002B283E">
      <w:pPr>
        <w:autoSpaceDE w:val="0"/>
        <w:autoSpaceDN w:val="0"/>
        <w:adjustRightInd w:val="0"/>
        <w:jc w:val="center"/>
        <w:rPr>
          <w:rFonts w:cs="Times New Roman"/>
          <w:b/>
          <w:bCs/>
          <w:szCs w:val="24"/>
        </w:rPr>
      </w:pPr>
      <w:bookmarkStart w:id="219" w:name="_Hlk225423429"/>
    </w:p>
    <w:p w14:paraId="557BE21F" w14:textId="0B81FA7C" w:rsidR="006A4CD7" w:rsidRPr="002B283E" w:rsidRDefault="006A4CD7" w:rsidP="002B283E">
      <w:pPr>
        <w:pStyle w:val="Heading2"/>
      </w:pPr>
      <w:bookmarkStart w:id="220" w:name="_Toc221525209"/>
      <w:r w:rsidRPr="002B283E">
        <w:t>Introductory Comment</w:t>
      </w:r>
      <w:bookmarkEnd w:id="220"/>
    </w:p>
    <w:p w14:paraId="0C9E9103" w14:textId="77777777" w:rsidR="006A4CD7" w:rsidRPr="002B283E" w:rsidRDefault="006A4CD7" w:rsidP="002B283E">
      <w:pPr>
        <w:rPr>
          <w:rFonts w:cs="Times New Roman"/>
          <w:szCs w:val="24"/>
        </w:rPr>
      </w:pPr>
    </w:p>
    <w:p w14:paraId="60E9F230" w14:textId="5AD42246" w:rsidR="003F26D9" w:rsidRPr="002B283E" w:rsidRDefault="003F26D9" w:rsidP="002B283E">
      <w:pPr>
        <w:pStyle w:val="Default"/>
        <w:ind w:firstLine="720"/>
        <w:rPr>
          <w:color w:val="auto"/>
        </w:rPr>
      </w:pPr>
      <w:r w:rsidRPr="002B283E">
        <w:rPr>
          <w:color w:val="auto"/>
        </w:rPr>
        <w:t xml:space="preserve">Employment discrimination law under Title VII of the Civil Rights Act of 1964 (Title VII), codified as Subchapter VI of Chapter 21 of title 42 of the United States Code, 42 U.S.C. § 2000e </w:t>
      </w:r>
      <w:r w:rsidRPr="002B283E">
        <w:rPr>
          <w:i/>
          <w:iCs/>
          <w:color w:val="auto"/>
        </w:rPr>
        <w:t>et seq</w:t>
      </w:r>
      <w:r w:rsidRPr="002B283E">
        <w:rPr>
          <w:color w:val="auto"/>
        </w:rPr>
        <w:t xml:space="preserve">., is both complex and evolving. </w:t>
      </w:r>
    </w:p>
    <w:p w14:paraId="790B49CE" w14:textId="77777777" w:rsidR="00F76F8E" w:rsidRPr="00AC059F" w:rsidRDefault="00F76F8E" w:rsidP="00F76F8E">
      <w:pPr>
        <w:autoSpaceDE w:val="0"/>
        <w:autoSpaceDN w:val="0"/>
        <w:adjustRightInd w:val="0"/>
        <w:ind w:firstLine="720"/>
        <w:rPr>
          <w:rFonts w:cs="Times New Roman"/>
          <w:szCs w:val="24"/>
        </w:rPr>
      </w:pPr>
    </w:p>
    <w:p w14:paraId="411B67C9"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Overview of Title VII for Employment Discrimination Claims</w:t>
      </w:r>
    </w:p>
    <w:p w14:paraId="53695EEA" w14:textId="77777777" w:rsidR="00F76F8E" w:rsidRPr="00AC059F" w:rsidRDefault="00F76F8E" w:rsidP="00F76F8E">
      <w:pPr>
        <w:autoSpaceDE w:val="0"/>
        <w:autoSpaceDN w:val="0"/>
        <w:adjustRightInd w:val="0"/>
        <w:jc w:val="center"/>
        <w:rPr>
          <w:rFonts w:cs="Times New Roman"/>
          <w:szCs w:val="24"/>
        </w:rPr>
      </w:pPr>
    </w:p>
    <w:p w14:paraId="0C6B0922" w14:textId="290AECEE"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Civil Rights Act of 1991 amended Title VII</w:t>
      </w:r>
      <w:r w:rsidR="00A87F6E">
        <w:rPr>
          <w:rFonts w:cs="Times New Roman"/>
          <w:szCs w:val="24"/>
        </w:rPr>
        <w:t xml:space="preserve">. </w:t>
      </w:r>
      <w:r w:rsidRPr="00AC059F">
        <w:rPr>
          <w:rFonts w:cs="Times New Roman"/>
          <w:szCs w:val="24"/>
        </w:rPr>
        <w:t>Before 1991, Title VII provided only equitable remedies, and jury trials were not available. 42 U.S.C. § 2000e-5(g)(1) (providing for reinstatement, back pay</w:t>
      </w:r>
      <w:r w:rsidR="001A3D65">
        <w:rPr>
          <w:rFonts w:cs="Times New Roman"/>
          <w:szCs w:val="24"/>
        </w:rPr>
        <w:t>,</w:t>
      </w:r>
      <w:r w:rsidRPr="00AC059F">
        <w:rPr>
          <w:rFonts w:cs="Times New Roman"/>
          <w:szCs w:val="24"/>
        </w:rPr>
        <w:t xml:space="preserve">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w:t>
      </w:r>
      <w:r w:rsidR="00AD3029">
        <w:rPr>
          <w:rFonts w:cs="Times New Roman"/>
          <w:szCs w:val="24"/>
        </w:rPr>
        <w:t>’</w:t>
      </w:r>
      <w:r w:rsidRPr="00AC059F">
        <w:rPr>
          <w:rFonts w:cs="Times New Roman"/>
          <w:szCs w:val="24"/>
        </w:rPr>
        <w:t xml:space="preserve"> fees</w:t>
      </w:r>
      <w:r w:rsidR="00A87F6E">
        <w:rPr>
          <w:rFonts w:cs="Times New Roman"/>
          <w:szCs w:val="24"/>
        </w:rPr>
        <w:t xml:space="preserve">. </w:t>
      </w:r>
      <w:r w:rsidRPr="00AC059F">
        <w:rPr>
          <w:rFonts w:cs="Times New Roman"/>
          <w:szCs w:val="24"/>
        </w:rPr>
        <w:t xml:space="preserve">42 U.S.C. §§ 1981a(a)(1), 2000e-5(g)(1), (k). </w:t>
      </w:r>
    </w:p>
    <w:p w14:paraId="014A13D4" w14:textId="77777777" w:rsidR="00F76F8E" w:rsidRPr="00AC059F" w:rsidRDefault="00F76F8E" w:rsidP="00F76F8E">
      <w:pPr>
        <w:autoSpaceDE w:val="0"/>
        <w:autoSpaceDN w:val="0"/>
        <w:adjustRightInd w:val="0"/>
        <w:ind w:firstLine="720"/>
        <w:rPr>
          <w:rFonts w:cs="Times New Roman"/>
          <w:szCs w:val="24"/>
        </w:rPr>
      </w:pPr>
    </w:p>
    <w:p w14:paraId="11E76184" w14:textId="08DAA8CA" w:rsidR="00F76F8E" w:rsidRPr="00AC059F" w:rsidRDefault="00F76F8E" w:rsidP="00F76F8E">
      <w:pPr>
        <w:adjustRightInd w:val="0"/>
        <w:ind w:firstLine="720"/>
      </w:pPr>
      <w:r w:rsidRPr="00AC059F">
        <w:rPr>
          <w:rFonts w:cs="Times New Roman"/>
          <w:szCs w:val="24"/>
        </w:rPr>
        <w:t>Recovery of compensatory and punitive damages under Title VII, however, may not exceed certain statutory limits under 42 U.S.C. § 1981a(b)(3). The level at which damages are capped depends on the size of the employer. 42 U.S.C. § 1981a(b)(3)(A)-(D). A jury must not be advised of these limitations</w:t>
      </w:r>
      <w:r w:rsidR="00786C78">
        <w:rPr>
          <w:rFonts w:cs="Times New Roman"/>
          <w:szCs w:val="24"/>
        </w:rPr>
        <w:t>.</w:t>
      </w:r>
      <w:r w:rsidRPr="00AC059F">
        <w:rPr>
          <w:rFonts w:cs="Times New Roman"/>
          <w:szCs w:val="24"/>
        </w:rPr>
        <w:t xml:space="preserve"> 42 U.S.C. § 1981a(c)(2). Because awards of back pay are not an element of compensatory damages, they are not subject to the statutory limits. 42 U.S.C. § 1981a(b)(2). The Supreme Court has extended this rationale to exclude front pay from the statutory limits. </w:t>
      </w:r>
      <w:r w:rsidRPr="00AC059F">
        <w:rPr>
          <w:rFonts w:cs="Times New Roman"/>
          <w:i/>
          <w:iCs/>
          <w:szCs w:val="24"/>
        </w:rPr>
        <w:t>Pollard v. E.I. du Pont de Nemours &amp; Co</w:t>
      </w:r>
      <w:r w:rsidRPr="00AC059F">
        <w:rPr>
          <w:rFonts w:cs="Times New Roman"/>
          <w:szCs w:val="24"/>
        </w:rPr>
        <w:t xml:space="preserve">., 532 U.S. 843, 848 (2001) (holding that </w:t>
      </w:r>
      <w:r w:rsidR="00876A43">
        <w:rPr>
          <w:rFonts w:cs="Times New Roman"/>
          <w:szCs w:val="24"/>
        </w:rPr>
        <w:t xml:space="preserve">the </w:t>
      </w:r>
      <w:r w:rsidRPr="00AC059F">
        <w:rPr>
          <w:rFonts w:cs="Times New Roman"/>
          <w:szCs w:val="24"/>
        </w:rPr>
        <w:t xml:space="preserve">1991 amendments did not alter </w:t>
      </w:r>
      <w:r w:rsidR="00876A43">
        <w:rPr>
          <w:rFonts w:cs="Times New Roman"/>
          <w:szCs w:val="24"/>
        </w:rPr>
        <w:t xml:space="preserve">the </w:t>
      </w:r>
      <w:r w:rsidRPr="00AC059F">
        <w:rPr>
          <w:rFonts w:cs="Times New Roman"/>
          <w:szCs w:val="24"/>
        </w:rPr>
        <w:t xml:space="preserve">nature of front pay as </w:t>
      </w:r>
      <w:r w:rsidR="00876A43">
        <w:rPr>
          <w:rFonts w:cs="Times New Roman"/>
          <w:szCs w:val="24"/>
        </w:rPr>
        <w:t xml:space="preserve">an </w:t>
      </w:r>
      <w:r w:rsidRPr="00AC059F">
        <w:rPr>
          <w:rFonts w:cs="Times New Roman"/>
          <w:szCs w:val="24"/>
        </w:rPr>
        <w:t xml:space="preserve">equitable remedy provided for in 42 U.S.C. § 2000e-5(g)), </w:t>
      </w:r>
      <w:bookmarkStart w:id="221" w:name="Ch._10_Introductory_Comment"/>
      <w:bookmarkEnd w:id="221"/>
      <w:r w:rsidRPr="00AC059F">
        <w:rPr>
          <w:rFonts w:cs="Times New Roman"/>
          <w:szCs w:val="24"/>
        </w:rPr>
        <w:t>U.S.C. § 2000e-5(g))</w:t>
      </w:r>
      <w:r w:rsidR="00786C78">
        <w:rPr>
          <w:rFonts w:cs="Times New Roman"/>
          <w:szCs w:val="24"/>
        </w:rPr>
        <w:t>;</w:t>
      </w:r>
      <w:r w:rsidRPr="00AC059F">
        <w:rPr>
          <w:rFonts w:cs="Times New Roman"/>
          <w:szCs w:val="24"/>
        </w:rPr>
        <w:t xml:space="preserve"> </w:t>
      </w:r>
      <w:r w:rsidRPr="00AC059F">
        <w:rPr>
          <w:rFonts w:cs="Times New Roman"/>
          <w:i/>
          <w:iCs/>
          <w:szCs w:val="24"/>
        </w:rPr>
        <w:t>Teutscher v. Woodson</w:t>
      </w:r>
      <w:r w:rsidRPr="00AC059F">
        <w:rPr>
          <w:rFonts w:cs="Times New Roman"/>
          <w:szCs w:val="24"/>
        </w:rPr>
        <w:t>, 835 F.3d 936, 954 (9th Cir. 2016) (“Reinstatement and front pay are alternative remedies, which cannot be awarded for the same period of time.”</w:t>
      </w:r>
      <w:r w:rsidRPr="00AC059F">
        <w:t xml:space="preserve"> </w:t>
      </w:r>
      <w:r w:rsidRPr="00AC059F">
        <w:rPr>
          <w:rFonts w:cs="Times New Roman"/>
          <w:szCs w:val="24"/>
        </w:rPr>
        <w:t xml:space="preserve">(citing </w:t>
      </w:r>
      <w:r w:rsidRPr="00AC059F">
        <w:rPr>
          <w:rFonts w:cs="Times New Roman"/>
          <w:i/>
          <w:iCs/>
          <w:szCs w:val="24"/>
        </w:rPr>
        <w:t>Pollard</w:t>
      </w:r>
      <w:r w:rsidRPr="00AC059F">
        <w:rPr>
          <w:rFonts w:cs="Times New Roman"/>
          <w:szCs w:val="24"/>
        </w:rPr>
        <w:t>, 532 U.S. at 846)).</w:t>
      </w:r>
    </w:p>
    <w:p w14:paraId="7494D2F4" w14:textId="77777777" w:rsidR="00F76F8E" w:rsidRPr="00AC059F" w:rsidRDefault="00F76F8E" w:rsidP="00F76F8E">
      <w:pPr>
        <w:autoSpaceDE w:val="0"/>
        <w:autoSpaceDN w:val="0"/>
        <w:adjustRightInd w:val="0"/>
        <w:ind w:firstLine="720"/>
        <w:rPr>
          <w:rFonts w:cs="Times New Roman"/>
          <w:szCs w:val="24"/>
        </w:rPr>
      </w:pPr>
    </w:p>
    <w:p w14:paraId="0C6DC35B" w14:textId="6A06BB92" w:rsidR="00F76F8E" w:rsidRPr="00AC059F" w:rsidRDefault="00F76F8E" w:rsidP="00F76F8E">
      <w:pPr>
        <w:adjustRightInd w:val="0"/>
        <w:ind w:firstLine="720"/>
        <w:rPr>
          <w:rFonts w:cs="Times New Roman"/>
          <w:szCs w:val="24"/>
        </w:rPr>
      </w:pPr>
      <w:r w:rsidRPr="00AC059F">
        <w:rPr>
          <w:rFonts w:cs="Times New Roman"/>
          <w:szCs w:val="24"/>
        </w:rPr>
        <w:t xml:space="preserve">Although the Supreme Court has declined to address definitively whether a Title VII plaintiff has a right to a jury trial on the issue of back pay, </w:t>
      </w:r>
      <w:r w:rsidRPr="00AC059F">
        <w:rPr>
          <w:rFonts w:cs="Times New Roman"/>
          <w:i/>
          <w:iCs/>
          <w:szCs w:val="24"/>
        </w:rPr>
        <w:t>see Landgraf v. USI Film Prods</w:t>
      </w:r>
      <w:r w:rsidRPr="00AC059F">
        <w:rPr>
          <w:rFonts w:cs="Times New Roman"/>
          <w:szCs w:val="24"/>
        </w:rPr>
        <w:t xml:space="preserve">., 511 U.S. 244, 252 n.4 (1994), the Ninth Circuit has held that there is no such right. </w:t>
      </w:r>
      <w:r w:rsidRPr="00AC059F">
        <w:rPr>
          <w:rFonts w:cs="Times New Roman"/>
          <w:i/>
          <w:iCs/>
          <w:szCs w:val="24"/>
        </w:rPr>
        <w:t>Lutz v. Glendale Union High Sch</w:t>
      </w:r>
      <w:r w:rsidRPr="00AC059F">
        <w:rPr>
          <w:rFonts w:cs="Times New Roman"/>
          <w:szCs w:val="24"/>
        </w:rPr>
        <w:t xml:space="preserve">., 403 F.3d 1061, 1069 (9th Cir. 2005). The holding in </w:t>
      </w:r>
      <w:r w:rsidRPr="00AC059F">
        <w:rPr>
          <w:rFonts w:cs="Times New Roman"/>
          <w:i/>
          <w:iCs/>
          <w:szCs w:val="24"/>
        </w:rPr>
        <w:t xml:space="preserve">Pollard </w:t>
      </w:r>
      <w:r w:rsidRPr="00AC059F">
        <w:rPr>
          <w:rFonts w:cs="Times New Roman"/>
          <w:szCs w:val="24"/>
        </w:rPr>
        <w:t xml:space="preserve">that front pay is excluded from the statutory limits because it is an equitable remedy suggests that similarly there is no entitlement to a jury trial for that remedy. </w:t>
      </w:r>
      <w:r w:rsidRPr="00AC059F">
        <w:rPr>
          <w:rFonts w:cs="Times New Roman"/>
          <w:i/>
          <w:iCs/>
          <w:szCs w:val="24"/>
        </w:rPr>
        <w:t>See Pollard</w:t>
      </w:r>
      <w:r w:rsidRPr="00AC059F">
        <w:rPr>
          <w:rFonts w:cs="Times New Roman"/>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004B0645">
        <w:rPr>
          <w:rFonts w:cs="Times New Roman"/>
          <w:szCs w:val="24"/>
        </w:rPr>
        <w:t xml:space="preserve">For a discussion of rules </w:t>
      </w:r>
      <w:r w:rsidR="004B0645" w:rsidRPr="00AC059F">
        <w:rPr>
          <w:rFonts w:cs="Times New Roman"/>
          <w:szCs w:val="24"/>
        </w:rPr>
        <w:t>of special damages that apply to Title VII cases</w:t>
      </w:r>
      <w:r w:rsidR="004B0645">
        <w:rPr>
          <w:rFonts w:cs="Times New Roman"/>
          <w:szCs w:val="24"/>
        </w:rPr>
        <w:t>, see</w:t>
      </w:r>
      <w:r w:rsidR="004B0645" w:rsidRPr="00AC059F">
        <w:rPr>
          <w:rFonts w:cs="Times New Roman"/>
          <w:i/>
          <w:iCs/>
          <w:szCs w:val="24"/>
        </w:rPr>
        <w:t xml:space="preserve"> </w:t>
      </w:r>
      <w:r w:rsidRPr="00AC059F">
        <w:rPr>
          <w:rFonts w:cs="Times New Roman"/>
          <w:szCs w:val="24"/>
        </w:rPr>
        <w:t>Chapter 5 (“Damages”)</w:t>
      </w:r>
      <w:r w:rsidR="004B0645">
        <w:rPr>
          <w:rFonts w:cs="Times New Roman"/>
          <w:szCs w:val="24"/>
        </w:rPr>
        <w:t>,</w:t>
      </w:r>
      <w:r w:rsidRPr="00AC059F">
        <w:rPr>
          <w:rFonts w:cs="Times New Roman"/>
          <w:szCs w:val="24"/>
        </w:rPr>
        <w:t xml:space="preserve"> Comments to Instructions 5.2 (Measures of Types of Damages)</w:t>
      </w:r>
      <w:r w:rsidR="004B0645">
        <w:rPr>
          <w:rFonts w:cs="Times New Roman"/>
          <w:szCs w:val="24"/>
        </w:rPr>
        <w:t xml:space="preserve">, and Instruction </w:t>
      </w:r>
      <w:r w:rsidRPr="00AC059F">
        <w:rPr>
          <w:rFonts w:cs="Times New Roman"/>
          <w:szCs w:val="24"/>
        </w:rPr>
        <w:t>5.5 (Punitive Damages</w:t>
      </w:r>
      <w:r w:rsidR="004B0645">
        <w:rPr>
          <w:rFonts w:cs="Times New Roman"/>
          <w:szCs w:val="24"/>
        </w:rPr>
        <w:t>)</w:t>
      </w:r>
      <w:r w:rsidRPr="00AC059F">
        <w:rPr>
          <w:rFonts w:cs="Times New Roman"/>
          <w:szCs w:val="24"/>
        </w:rPr>
        <w:t xml:space="preserve">. </w:t>
      </w:r>
      <w:r w:rsidRPr="00AC059F">
        <w:t xml:space="preserve">However, </w:t>
      </w:r>
      <w:r w:rsidRPr="00AC059F">
        <w:rPr>
          <w:rFonts w:cs="Times New Roman"/>
          <w:szCs w:val="24"/>
        </w:rPr>
        <w:t xml:space="preserve">front pay can be awarded by a jury as a legal remedy for a state-law cause of action. </w:t>
      </w:r>
      <w:r w:rsidRPr="00AC059F">
        <w:rPr>
          <w:rFonts w:cs="Times New Roman"/>
          <w:i/>
          <w:iCs/>
          <w:szCs w:val="24"/>
        </w:rPr>
        <w:t>Teuscher</w:t>
      </w:r>
      <w:r w:rsidRPr="00AC059F">
        <w:rPr>
          <w:rFonts w:cs="Times New Roman"/>
          <w:szCs w:val="24"/>
        </w:rPr>
        <w:t xml:space="preserve">, 835 F.3d at 947 n.5 (noting </w:t>
      </w:r>
      <w:r w:rsidR="003137E9">
        <w:rPr>
          <w:rFonts w:cs="Times New Roman"/>
          <w:szCs w:val="24"/>
        </w:rPr>
        <w:t xml:space="preserve">that </w:t>
      </w:r>
      <w:r w:rsidRPr="00AC059F">
        <w:rPr>
          <w:rFonts w:cs="Times New Roman"/>
          <w:szCs w:val="24"/>
        </w:rPr>
        <w:t xml:space="preserve">jury awards of front pay have been upheld where state law provides for that remedy (citing </w:t>
      </w:r>
      <w:r w:rsidRPr="00AC059F">
        <w:rPr>
          <w:rFonts w:cs="Times New Roman"/>
          <w:i/>
          <w:iCs/>
          <w:szCs w:val="24"/>
        </w:rPr>
        <w:t>Passatino v. Johnson &amp; Johnson Consumer Prods., Inc.</w:t>
      </w:r>
      <w:r w:rsidRPr="00AC059F">
        <w:rPr>
          <w:rFonts w:cs="Times New Roman"/>
          <w:szCs w:val="24"/>
        </w:rPr>
        <w:t>, 212 F.3d 493, 512 (9th Cir. 2000))).</w:t>
      </w:r>
    </w:p>
    <w:p w14:paraId="69EC3AB8" w14:textId="77777777" w:rsidR="00F76F8E" w:rsidRPr="00AC059F" w:rsidRDefault="00F76F8E" w:rsidP="00F76F8E">
      <w:pPr>
        <w:adjustRightInd w:val="0"/>
        <w:ind w:firstLine="720"/>
      </w:pPr>
    </w:p>
    <w:p w14:paraId="26959BAF" w14:textId="77777777" w:rsidR="00F76F8E" w:rsidRPr="00AC059F" w:rsidRDefault="00F76F8E" w:rsidP="00F76F8E">
      <w:pPr>
        <w:widowControl w:val="0"/>
        <w:ind w:firstLine="720"/>
      </w:pPr>
      <w:r w:rsidRPr="00AC059F">
        <w:t xml:space="preserve">Further, a </w:t>
      </w:r>
      <w:r w:rsidRPr="00AC059F">
        <w:rPr>
          <w:i/>
          <w:iCs/>
        </w:rPr>
        <w:t>McDonnell Douglas</w:t>
      </w:r>
      <w:r w:rsidRPr="00AC059F">
        <w:t xml:space="preserve"> burden-shifting instruction should not be given in a Title VII case. </w:t>
      </w:r>
      <w:r w:rsidRPr="00AC059F">
        <w:rPr>
          <w:i/>
          <w:iCs/>
        </w:rPr>
        <w:t>Costa v. Desert Palace, Inc.</w:t>
      </w:r>
      <w:r w:rsidRPr="00AC059F">
        <w:t xml:space="preserve">, 299 F.3d 838, 855 (9th Cir. 2002) (en banc) (“[I]t is not normally appropriate to introduce the </w:t>
      </w:r>
      <w:r w:rsidRPr="00AC059F">
        <w:rPr>
          <w:i/>
          <w:iCs/>
        </w:rPr>
        <w:t>McDonnell Douglas</w:t>
      </w:r>
      <w:r w:rsidRPr="00AC059F">
        <w:t xml:space="preserve"> burden-shifting framework to the jury.”), </w:t>
      </w:r>
      <w:r w:rsidRPr="00AC059F">
        <w:rPr>
          <w:i/>
          <w:iCs/>
        </w:rPr>
        <w:t>aff’d</w:t>
      </w:r>
      <w:r w:rsidRPr="00AC059F">
        <w:t xml:space="preserve">, 539 U.S. 90 (2003); </w:t>
      </w:r>
      <w:r w:rsidRPr="00AC059F">
        <w:rPr>
          <w:i/>
          <w:iCs/>
        </w:rPr>
        <w:t>see also Sanghvi v. City of Claremont</w:t>
      </w:r>
      <w:r w:rsidRPr="00AC059F">
        <w:t xml:space="preserve">, 328 F.3d 532, 540 (9th Cir. 2003) (“[I]t is error to charge the jury with the elements of the </w:t>
      </w:r>
      <w:r w:rsidRPr="00AC059F">
        <w:rPr>
          <w:i/>
          <w:iCs/>
        </w:rPr>
        <w:t>McDonnell Douglas</w:t>
      </w:r>
      <w:r w:rsidRPr="00AC059F">
        <w:t xml:space="preserve"> prima facie case.”). Cases discussing pretext and burden shifting arise only in the context of</w:t>
      </w:r>
      <w:r w:rsidRPr="00AC059F">
        <w:rPr>
          <w:i/>
          <w:iCs/>
        </w:rPr>
        <w:t xml:space="preserve"> </w:t>
      </w:r>
      <w:r w:rsidRPr="00AC059F">
        <w:t xml:space="preserve">summary judgment and motions for judgment as a matter of law. </w:t>
      </w:r>
      <w:r w:rsidRPr="00AC059F">
        <w:rPr>
          <w:i/>
          <w:iCs/>
        </w:rPr>
        <w:t>See</w:t>
      </w:r>
      <w:r w:rsidRPr="003137E9">
        <w:rPr>
          <w:i/>
          <w:iCs/>
        </w:rPr>
        <w:t xml:space="preserve">, </w:t>
      </w:r>
      <w:r w:rsidRPr="00AC059F">
        <w:rPr>
          <w:i/>
          <w:iCs/>
        </w:rPr>
        <w:t>e.g.</w:t>
      </w:r>
      <w:r w:rsidRPr="00AC059F">
        <w:t xml:space="preserve">, </w:t>
      </w:r>
      <w:r w:rsidRPr="00AC059F">
        <w:rPr>
          <w:i/>
          <w:iCs/>
        </w:rPr>
        <w:t>Opara v. Yellen</w:t>
      </w:r>
      <w:r w:rsidRPr="00AC059F">
        <w:t xml:space="preserve">, 57 F.4th 709, 721 (9th Cir. 2023); </w:t>
      </w:r>
      <w:r w:rsidRPr="00AC059F">
        <w:rPr>
          <w:i/>
          <w:iCs/>
        </w:rPr>
        <w:t>Yartzoff v. Thomas</w:t>
      </w:r>
      <w:r w:rsidRPr="00AC059F">
        <w:t>, 809 F.2d 1371, 1375 (9th Cir. 1987).</w:t>
      </w:r>
    </w:p>
    <w:p w14:paraId="54823F32" w14:textId="77777777" w:rsidR="00F76F8E" w:rsidRPr="00AC059F" w:rsidRDefault="00F76F8E" w:rsidP="00F76F8E">
      <w:pPr>
        <w:autoSpaceDE w:val="0"/>
        <w:autoSpaceDN w:val="0"/>
        <w:adjustRightInd w:val="0"/>
        <w:rPr>
          <w:rFonts w:cs="Times New Roman"/>
          <w:szCs w:val="24"/>
        </w:rPr>
      </w:pPr>
    </w:p>
    <w:p w14:paraId="23BF4AF7"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The Evolving Interpretation of “Because of” and But-for Causation in Title VII Cases</w:t>
      </w:r>
    </w:p>
    <w:p w14:paraId="7CABAB7C" w14:textId="77777777" w:rsidR="00F76F8E" w:rsidRPr="00AC059F" w:rsidRDefault="00F76F8E" w:rsidP="00F76F8E">
      <w:pPr>
        <w:autoSpaceDE w:val="0"/>
        <w:autoSpaceDN w:val="0"/>
        <w:adjustRightInd w:val="0"/>
        <w:jc w:val="center"/>
        <w:rPr>
          <w:rFonts w:cs="Times New Roman"/>
          <w:szCs w:val="24"/>
        </w:rPr>
      </w:pPr>
    </w:p>
    <w:p w14:paraId="60DEB85E" w14:textId="3CE41D9A"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One of the more difficult aspects of Title VII jury instructions involves the meaning and application of the term “because of.” Indeed, in 2020, the legal landscape changed significantly</w:t>
      </w:r>
      <w:r w:rsidR="00A87F6E">
        <w:rPr>
          <w:rFonts w:cs="Times New Roman"/>
          <w:szCs w:val="24"/>
        </w:rPr>
        <w:t xml:space="preserve">. </w:t>
      </w:r>
      <w:r w:rsidRPr="00AC059F">
        <w:rPr>
          <w:rFonts w:cs="Times New Roman"/>
          <w:szCs w:val="24"/>
        </w:rPr>
        <w:t xml:space="preserve">A bit of history may be helpful. </w:t>
      </w:r>
    </w:p>
    <w:p w14:paraId="5B53E5F5" w14:textId="77777777" w:rsidR="00F76F8E" w:rsidRPr="00AC059F" w:rsidRDefault="00F76F8E" w:rsidP="00F76F8E">
      <w:pPr>
        <w:autoSpaceDE w:val="0"/>
        <w:autoSpaceDN w:val="0"/>
        <w:adjustRightInd w:val="0"/>
        <w:ind w:firstLine="720"/>
        <w:rPr>
          <w:rFonts w:cs="Times New Roman"/>
          <w:szCs w:val="24"/>
        </w:rPr>
      </w:pPr>
    </w:p>
    <w:p w14:paraId="3CA9D2DA" w14:textId="7F4E0EA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explained by the Supreme Court in </w:t>
      </w:r>
      <w:r w:rsidRPr="00AC059F">
        <w:rPr>
          <w:rFonts w:cs="Times New Roman"/>
          <w:i/>
          <w:iCs/>
          <w:szCs w:val="24"/>
        </w:rPr>
        <w:t>University of Texas Southwestern Medical Center v. Nassar</w:t>
      </w:r>
      <w:r w:rsidRPr="00AC059F">
        <w:rPr>
          <w:rFonts w:cs="Times New Roman"/>
          <w:szCs w:val="24"/>
        </w:rPr>
        <w:t>,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w:t>
      </w:r>
      <w:r w:rsidR="00A87F6E">
        <w:rPr>
          <w:rFonts w:cs="Times New Roman"/>
          <w:szCs w:val="24"/>
        </w:rPr>
        <w:t xml:space="preserve">. </w:t>
      </w:r>
      <w:r w:rsidRPr="00AC059F">
        <w:rPr>
          <w:rFonts w:cs="Times New Roman"/>
          <w:szCs w:val="24"/>
        </w:rPr>
        <w:t xml:space="preserve">These latter two categories are covered by a separate, subsequent section of Title VII, § 2000e-3(a).”  </w:t>
      </w:r>
      <w:r w:rsidRPr="00AC059F">
        <w:rPr>
          <w:rFonts w:cs="Times New Roman"/>
          <w:i/>
          <w:iCs/>
          <w:szCs w:val="24"/>
        </w:rPr>
        <w:t>Id</w:t>
      </w:r>
      <w:r w:rsidRPr="00AC059F">
        <w:rPr>
          <w:rFonts w:cs="Times New Roman"/>
          <w:szCs w:val="24"/>
        </w:rPr>
        <w:t>. at 347-</w:t>
      </w:r>
      <w:r w:rsidR="003137E9">
        <w:rPr>
          <w:rFonts w:cs="Times New Roman"/>
          <w:szCs w:val="24"/>
        </w:rPr>
        <w:t>4</w:t>
      </w:r>
      <w:r w:rsidRPr="00AC059F">
        <w:rPr>
          <w:rFonts w:cs="Times New Roman"/>
          <w:szCs w:val="24"/>
        </w:rPr>
        <w:t xml:space="preserve">8. Claims alleging discrimination based on these latter forms of protected employee conduct often are referred to as retaliation claims. </w:t>
      </w:r>
    </w:p>
    <w:p w14:paraId="5A0ACFC8" w14:textId="77777777" w:rsidR="00F76F8E" w:rsidRPr="00AC059F" w:rsidRDefault="00F76F8E" w:rsidP="00F76F8E">
      <w:pPr>
        <w:autoSpaceDE w:val="0"/>
        <w:autoSpaceDN w:val="0"/>
        <w:adjustRightInd w:val="0"/>
        <w:ind w:firstLine="720"/>
        <w:rPr>
          <w:rFonts w:cs="Times New Roman"/>
          <w:szCs w:val="24"/>
        </w:rPr>
      </w:pPr>
    </w:p>
    <w:p w14:paraId="6BD21CA5" w14:textId="27DB813C"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race, color, religion, sex, or national origin” (emphasis added). In </w:t>
      </w:r>
      <w:r w:rsidRPr="00AC059F">
        <w:rPr>
          <w:rFonts w:cs="Times New Roman"/>
          <w:i/>
          <w:iCs/>
          <w:szCs w:val="24"/>
        </w:rPr>
        <w:t>Price Waterhouse v. Hopkins</w:t>
      </w:r>
      <w:r w:rsidRPr="00AC059F">
        <w:rPr>
          <w:rFonts w:cs="Times New Roman"/>
          <w:szCs w:val="24"/>
        </w:rPr>
        <w:t>, 490 U.S. 228 (1989), the Supreme Court addressed what it means for an employment action to be taken “because of” an individual’s protected characteristic</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explained the </w:t>
      </w:r>
      <w:r w:rsidRPr="00AC059F">
        <w:rPr>
          <w:rFonts w:cs="Times New Roman"/>
          <w:i/>
          <w:iCs/>
          <w:szCs w:val="24"/>
        </w:rPr>
        <w:t xml:space="preserve">Price Waterhouse </w:t>
      </w:r>
      <w:r w:rsidRPr="00AC059F">
        <w:rPr>
          <w:rFonts w:cs="Times New Roman"/>
          <w:szCs w:val="24"/>
        </w:rPr>
        <w:t xml:space="preserve">decision as follows: </w:t>
      </w:r>
    </w:p>
    <w:p w14:paraId="76A1E2D8" w14:textId="77777777" w:rsidR="00F76F8E" w:rsidRPr="00AC059F" w:rsidRDefault="00F76F8E" w:rsidP="00F76F8E">
      <w:pPr>
        <w:autoSpaceDE w:val="0"/>
        <w:autoSpaceDN w:val="0"/>
        <w:adjustRightInd w:val="0"/>
        <w:ind w:firstLine="720"/>
        <w:rPr>
          <w:rFonts w:cs="Times New Roman"/>
          <w:szCs w:val="24"/>
        </w:rPr>
      </w:pPr>
    </w:p>
    <w:p w14:paraId="3B8870E1"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Although no opinion in [</w:t>
      </w:r>
      <w:r w:rsidRPr="00AC059F">
        <w:rPr>
          <w:rFonts w:cs="Times New Roman"/>
          <w:i/>
          <w:iCs/>
          <w:szCs w:val="24"/>
        </w:rPr>
        <w:t>Price Waterhouse</w:t>
      </w:r>
      <w:r w:rsidRPr="00AC059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7C5F3DAD" w14:textId="77777777" w:rsidR="00F76F8E" w:rsidRPr="00AC059F" w:rsidRDefault="00F76F8E" w:rsidP="00F76F8E">
      <w:pPr>
        <w:autoSpaceDE w:val="0"/>
        <w:autoSpaceDN w:val="0"/>
        <w:adjustRightInd w:val="0"/>
        <w:ind w:left="1440" w:right="1440"/>
        <w:jc w:val="both"/>
        <w:rPr>
          <w:rFonts w:cs="Times New Roman"/>
          <w:szCs w:val="24"/>
        </w:rPr>
      </w:pPr>
    </w:p>
    <w:p w14:paraId="6CCE2329" w14:textId="4332C0D5"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 (citations to separate opinions in </w:t>
      </w:r>
      <w:r w:rsidRPr="00AC059F">
        <w:rPr>
          <w:rFonts w:cs="Times New Roman"/>
          <w:i/>
          <w:iCs/>
          <w:szCs w:val="24"/>
        </w:rPr>
        <w:t xml:space="preserve">Price Waterhouse </w:t>
      </w:r>
      <w:r w:rsidRPr="00AC059F">
        <w:rPr>
          <w:rFonts w:cs="Times New Roman"/>
          <w:szCs w:val="24"/>
        </w:rPr>
        <w:t>omitted)</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continued: </w:t>
      </w:r>
    </w:p>
    <w:p w14:paraId="3B27CBEA" w14:textId="77777777" w:rsidR="00F76F8E" w:rsidRPr="00AC059F" w:rsidRDefault="00F76F8E" w:rsidP="00F76F8E">
      <w:pPr>
        <w:autoSpaceDE w:val="0"/>
        <w:autoSpaceDN w:val="0"/>
        <w:adjustRightInd w:val="0"/>
        <w:rPr>
          <w:rFonts w:cs="Times New Roman"/>
          <w:szCs w:val="24"/>
        </w:rPr>
      </w:pPr>
    </w:p>
    <w:p w14:paraId="5DDF58FD" w14:textId="6EF19BD4" w:rsidR="00F76F8E" w:rsidRPr="00AC059F" w:rsidRDefault="00F76F8E" w:rsidP="003137E9">
      <w:pPr>
        <w:autoSpaceDE w:val="0"/>
        <w:autoSpaceDN w:val="0"/>
        <w:adjustRightInd w:val="0"/>
        <w:ind w:left="720" w:right="720"/>
        <w:jc w:val="both"/>
        <w:rPr>
          <w:rFonts w:cs="Times New Roman"/>
          <w:szCs w:val="24"/>
        </w:rPr>
      </w:pPr>
      <w:bookmarkStart w:id="222" w:name="_Hlk225423410"/>
      <w:r w:rsidRPr="00AC059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AC059F">
        <w:rPr>
          <w:rFonts w:cs="Times New Roman"/>
          <w:i/>
          <w:iCs/>
          <w:szCs w:val="24"/>
        </w:rPr>
        <w:t xml:space="preserve">Price Waterhouse </w:t>
      </w:r>
      <w:r w:rsidRPr="00AC059F">
        <w:rPr>
          <w:rFonts w:cs="Times New Roman"/>
          <w:szCs w:val="24"/>
        </w:rPr>
        <w:t>in part but also rejected it to a substantial degree.</w:t>
      </w:r>
      <w:r w:rsidR="003137E9">
        <w:rPr>
          <w:rFonts w:cs="Times New Roman"/>
          <w:szCs w:val="24"/>
        </w:rPr>
        <w:t xml:space="preserve"> The l</w:t>
      </w:r>
      <w:r w:rsidRPr="00AC059F">
        <w:rPr>
          <w:rFonts w:cs="Times New Roman"/>
          <w:szCs w:val="24"/>
        </w:rPr>
        <w:t xml:space="preserve">egislation first added a new subsection to the end of § 2000e-2, </w:t>
      </w:r>
      <w:r w:rsidRPr="00AC059F">
        <w:rPr>
          <w:rFonts w:cs="Times New Roman"/>
          <w:i/>
          <w:iCs/>
          <w:szCs w:val="24"/>
        </w:rPr>
        <w:t>i.e</w:t>
      </w:r>
      <w:r w:rsidRPr="00AC059F">
        <w:rPr>
          <w:rFonts w:cs="Times New Roman"/>
          <w:szCs w:val="24"/>
        </w:rPr>
        <w:t xml:space="preserve">., Title VII’s principal ban on status-based discrimination. </w:t>
      </w:r>
      <w:r w:rsidRPr="00AC059F">
        <w:rPr>
          <w:rFonts w:cs="Times New Roman"/>
          <w:i/>
          <w:iCs/>
          <w:szCs w:val="24"/>
        </w:rPr>
        <w:t xml:space="preserve">See </w:t>
      </w:r>
      <w:r w:rsidRPr="00AC059F">
        <w:rPr>
          <w:rFonts w:cs="Times New Roman"/>
          <w:szCs w:val="24"/>
        </w:rPr>
        <w:t>§ 107(a), 105 Stat. 1075. The new provision, § 2000e-2(m), states:</w:t>
      </w:r>
    </w:p>
    <w:bookmarkEnd w:id="222"/>
    <w:p w14:paraId="5C65CE2E" w14:textId="77777777" w:rsidR="00F76F8E" w:rsidRPr="00AC059F" w:rsidRDefault="00F76F8E" w:rsidP="008A04C2">
      <w:pPr>
        <w:autoSpaceDE w:val="0"/>
        <w:autoSpaceDN w:val="0"/>
        <w:adjustRightInd w:val="0"/>
        <w:ind w:left="720" w:right="720"/>
        <w:jc w:val="both"/>
        <w:rPr>
          <w:rFonts w:cs="Times New Roman"/>
          <w:szCs w:val="24"/>
        </w:rPr>
      </w:pPr>
    </w:p>
    <w:p w14:paraId="48A3B212" w14:textId="77777777" w:rsidR="00F76F8E" w:rsidRPr="00AC059F" w:rsidRDefault="00F76F8E" w:rsidP="00AD04FC">
      <w:pPr>
        <w:tabs>
          <w:tab w:val="left" w:pos="8370"/>
          <w:tab w:val="left" w:pos="8460"/>
        </w:tabs>
        <w:autoSpaceDE w:val="0"/>
        <w:autoSpaceDN w:val="0"/>
        <w:adjustRightInd w:val="0"/>
        <w:ind w:left="1440" w:right="1440"/>
        <w:jc w:val="both"/>
        <w:rPr>
          <w:rFonts w:cs="Times New Roman"/>
          <w:szCs w:val="24"/>
        </w:rPr>
      </w:pPr>
      <w:r w:rsidRPr="00AC059F">
        <w:rPr>
          <w:rFonts w:cs="Times New Roman"/>
          <w:szCs w:val="24"/>
        </w:rPr>
        <w:t xml:space="preserve">[A]n unlawful employment practice is established when the complaining party demonstrates that race, color, religion, sex, or national origin was </w:t>
      </w:r>
      <w:r w:rsidRPr="00AC059F">
        <w:rPr>
          <w:rFonts w:cs="Times New Roman"/>
          <w:i/>
          <w:iCs/>
          <w:szCs w:val="24"/>
        </w:rPr>
        <w:t xml:space="preserve">a motivating factor </w:t>
      </w:r>
      <w:r w:rsidRPr="00AC059F">
        <w:rPr>
          <w:rFonts w:cs="Times New Roman"/>
          <w:szCs w:val="24"/>
        </w:rPr>
        <w:t xml:space="preserve">for any employment practice, even though other factors also motivated the practice. </w:t>
      </w:r>
    </w:p>
    <w:p w14:paraId="4AF343F1" w14:textId="77777777" w:rsidR="00F76F8E" w:rsidRPr="00AC059F" w:rsidRDefault="00F76F8E" w:rsidP="008A04C2">
      <w:pPr>
        <w:autoSpaceDE w:val="0"/>
        <w:autoSpaceDN w:val="0"/>
        <w:adjustRightInd w:val="0"/>
        <w:ind w:left="720" w:right="720"/>
        <w:jc w:val="both"/>
        <w:rPr>
          <w:rFonts w:cs="Times New Roman"/>
          <w:szCs w:val="24"/>
        </w:rPr>
      </w:pPr>
    </w:p>
    <w:p w14:paraId="71824180"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of course, is a lessened causation standard. </w:t>
      </w:r>
    </w:p>
    <w:p w14:paraId="2D17BA3F" w14:textId="77777777" w:rsidR="00F76F8E" w:rsidRPr="00AC059F" w:rsidRDefault="00F76F8E" w:rsidP="00F76F8E">
      <w:pPr>
        <w:autoSpaceDE w:val="0"/>
        <w:autoSpaceDN w:val="0"/>
        <w:adjustRightInd w:val="0"/>
        <w:ind w:left="720" w:firstLine="720"/>
        <w:rPr>
          <w:rFonts w:cs="Times New Roman"/>
          <w:szCs w:val="24"/>
        </w:rPr>
      </w:pPr>
    </w:p>
    <w:p w14:paraId="0250C859" w14:textId="77777777"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348-49 (emphasis added) (alteration in </w:t>
      </w:r>
      <w:r w:rsidRPr="00AC059F">
        <w:rPr>
          <w:rFonts w:cs="Times New Roman"/>
          <w:i/>
          <w:iCs/>
          <w:szCs w:val="24"/>
        </w:rPr>
        <w:t>Nassar</w:t>
      </w:r>
      <w:r w:rsidRPr="00AC059F">
        <w:rPr>
          <w:rFonts w:cs="Times New Roman"/>
          <w:szCs w:val="24"/>
        </w:rPr>
        <w:t xml:space="preserve">). </w:t>
      </w:r>
    </w:p>
    <w:p w14:paraId="7022C06B" w14:textId="77777777" w:rsidR="00F76F8E" w:rsidRPr="00AC059F" w:rsidRDefault="00F76F8E" w:rsidP="00F76F8E">
      <w:pPr>
        <w:autoSpaceDE w:val="0"/>
        <w:autoSpaceDN w:val="0"/>
        <w:adjustRightInd w:val="0"/>
        <w:rPr>
          <w:rFonts w:cs="Times New Roman"/>
          <w:szCs w:val="24"/>
        </w:rPr>
      </w:pPr>
    </w:p>
    <w:p w14:paraId="003CAAA9" w14:textId="41F298EC" w:rsidR="00F76F8E" w:rsidRPr="00AC059F" w:rsidRDefault="00F76F8E" w:rsidP="00F76F8E">
      <w:pPr>
        <w:autoSpaceDE w:val="0"/>
        <w:autoSpaceDN w:val="0"/>
        <w:adjustRightInd w:val="0"/>
        <w:ind w:firstLine="720"/>
        <w:rPr>
          <w:rFonts w:cs="Times New Roman"/>
          <w:szCs w:val="24"/>
        </w:rPr>
      </w:pPr>
      <w:r w:rsidRPr="00AC059F">
        <w:rPr>
          <w:rFonts w:cs="Times New Roman"/>
          <w:i/>
          <w:iCs/>
          <w:szCs w:val="24"/>
        </w:rPr>
        <w:t xml:space="preserve">Nassar </w:t>
      </w:r>
      <w:r w:rsidRPr="00AC059F">
        <w:rPr>
          <w:rFonts w:cs="Times New Roman"/>
          <w:szCs w:val="24"/>
        </w:rPr>
        <w:t>further explained that</w:t>
      </w:r>
      <w:r w:rsidR="00AD04FC">
        <w:rPr>
          <w:rFonts w:cs="Times New Roman"/>
          <w:szCs w:val="24"/>
        </w:rPr>
        <w:t>:</w:t>
      </w:r>
    </w:p>
    <w:p w14:paraId="326BBB16" w14:textId="77777777" w:rsidR="00F76F8E" w:rsidRPr="00AC059F" w:rsidRDefault="00F76F8E" w:rsidP="00F76F8E">
      <w:pPr>
        <w:autoSpaceDE w:val="0"/>
        <w:autoSpaceDN w:val="0"/>
        <w:adjustRightInd w:val="0"/>
        <w:ind w:firstLine="720"/>
        <w:rPr>
          <w:rFonts w:cs="Times New Roman"/>
          <w:szCs w:val="24"/>
        </w:rPr>
      </w:pPr>
    </w:p>
    <w:p w14:paraId="69F4FC7B"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the 1991 Act substituted a new burden-shifting framework for the one endorsed by </w:t>
      </w:r>
      <w:r w:rsidRPr="00AC059F">
        <w:rPr>
          <w:rFonts w:cs="Times New Roman"/>
          <w:i/>
          <w:iCs/>
          <w:szCs w:val="24"/>
        </w:rPr>
        <w:t>Price Waterhouse</w:t>
      </w:r>
      <w:r w:rsidRPr="00AC059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7686D977" w14:textId="77777777" w:rsidR="00F76F8E" w:rsidRPr="00AC059F" w:rsidRDefault="00F76F8E" w:rsidP="00F76F8E">
      <w:pPr>
        <w:autoSpaceDE w:val="0"/>
        <w:autoSpaceDN w:val="0"/>
        <w:adjustRightInd w:val="0"/>
        <w:ind w:left="1440" w:right="1440"/>
        <w:jc w:val="both"/>
        <w:rPr>
          <w:rFonts w:cs="Times New Roman"/>
          <w:szCs w:val="24"/>
        </w:rPr>
      </w:pPr>
    </w:p>
    <w:p w14:paraId="2E51A1D1" w14:textId="6CBA08B7"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349. The Supreme Court’s opinion in </w:t>
      </w:r>
      <w:r w:rsidRPr="00AC059F">
        <w:rPr>
          <w:rFonts w:cs="Times New Roman"/>
          <w:i/>
          <w:iCs/>
          <w:szCs w:val="24"/>
        </w:rPr>
        <w:t xml:space="preserve">Nassar </w:t>
      </w:r>
      <w:r w:rsidRPr="00AC059F">
        <w:rPr>
          <w:rFonts w:cs="Times New Roman"/>
          <w:szCs w:val="24"/>
        </w:rPr>
        <w:t xml:space="preserve">continued its march through history, stating: “After </w:t>
      </w:r>
      <w:r w:rsidRPr="00AC059F">
        <w:rPr>
          <w:rFonts w:cs="Times New Roman"/>
          <w:i/>
          <w:iCs/>
          <w:szCs w:val="24"/>
        </w:rPr>
        <w:t xml:space="preserve">Price Waterhouse </w:t>
      </w:r>
      <w:r w:rsidRPr="00AC059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 v. FBL Fin. Servs., Inc</w:t>
      </w:r>
      <w:r w:rsidRPr="00AC059F">
        <w:rPr>
          <w:rFonts w:cs="Times New Roman"/>
          <w:szCs w:val="24"/>
        </w:rPr>
        <w:t xml:space="preserve">., 557 U.S. 167 (2009)). As </w:t>
      </w:r>
      <w:r w:rsidRPr="00AC059F">
        <w:rPr>
          <w:rFonts w:cs="Times New Roman"/>
          <w:i/>
          <w:iCs/>
          <w:szCs w:val="24"/>
        </w:rPr>
        <w:t xml:space="preserve">Nassar </w:t>
      </w:r>
      <w:r w:rsidRPr="00AC059F">
        <w:rPr>
          <w:rFonts w:cs="Times New Roman"/>
          <w:szCs w:val="24"/>
        </w:rPr>
        <w:t xml:space="preserve">explained: “Much like the Title VII statute in </w:t>
      </w:r>
      <w:r w:rsidRPr="00AC059F">
        <w:rPr>
          <w:rFonts w:cs="Times New Roman"/>
          <w:i/>
          <w:iCs/>
          <w:szCs w:val="24"/>
        </w:rPr>
        <w:t>Price Waterhouse</w:t>
      </w:r>
      <w:r w:rsidRPr="00AC059F">
        <w:rPr>
          <w:rFonts w:cs="Times New Roman"/>
          <w:szCs w:val="24"/>
        </w:rPr>
        <w:t xml:space="preserve">, the relevant portion of the ADEA provided that ‘[i]t shall be unlawful for an employer . . . to fail or refuse to hire or to discharge any individual or otherwise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age.’” </w:t>
      </w:r>
      <w:r w:rsidRPr="00AC059F">
        <w:rPr>
          <w:rFonts w:cs="Times New Roman"/>
          <w:i/>
          <w:iCs/>
          <w:szCs w:val="24"/>
        </w:rPr>
        <w:t>Id</w:t>
      </w:r>
      <w:r w:rsidRPr="00AC059F">
        <w:rPr>
          <w:rFonts w:cs="Times New Roman"/>
          <w:szCs w:val="24"/>
        </w:rPr>
        <w:t xml:space="preserve">. at 349-50 (emphasis added) (alterations in original). </w:t>
      </w:r>
    </w:p>
    <w:p w14:paraId="0CB9A4DF" w14:textId="77777777" w:rsidR="00F76F8E" w:rsidRPr="00AC059F" w:rsidRDefault="00F76F8E" w:rsidP="00F76F8E">
      <w:pPr>
        <w:autoSpaceDE w:val="0"/>
        <w:autoSpaceDN w:val="0"/>
        <w:adjustRightInd w:val="0"/>
        <w:rPr>
          <w:rFonts w:cs="Times New Roman"/>
          <w:szCs w:val="24"/>
        </w:rPr>
      </w:pPr>
    </w:p>
    <w:p w14:paraId="3D214073" w14:textId="12E163E3" w:rsidR="00F76F8E" w:rsidRPr="00AC059F" w:rsidRDefault="00F76F8E" w:rsidP="00AD04FC">
      <w:pPr>
        <w:autoSpaceDE w:val="0"/>
        <w:autoSpaceDN w:val="0"/>
        <w:adjustRightInd w:val="0"/>
        <w:ind w:firstLine="720"/>
        <w:rPr>
          <w:rFonts w:cs="Times New Roman"/>
          <w:szCs w:val="24"/>
        </w:rPr>
      </w:pPr>
      <w:r w:rsidRPr="00AC059F">
        <w:rPr>
          <w:rFonts w:cs="Times New Roman"/>
          <w:szCs w:val="24"/>
        </w:rPr>
        <w:t xml:space="preserve">In its 2009 decision in </w:t>
      </w:r>
      <w:r w:rsidRPr="00AC059F">
        <w:rPr>
          <w:rFonts w:cs="Times New Roman"/>
          <w:i/>
          <w:iCs/>
          <w:szCs w:val="24"/>
        </w:rPr>
        <w:t>Gross</w:t>
      </w:r>
      <w:r w:rsidRPr="00AC059F">
        <w:rPr>
          <w:rFonts w:cs="Times New Roman"/>
          <w:szCs w:val="24"/>
        </w:rPr>
        <w:t xml:space="preserve">, the Supreme Court held “that a plaintiff bringing a disparate-treatment claim pursuant to the ADEA must prove, by a preponderance of the evidence, that age was </w:t>
      </w:r>
      <w:r w:rsidRPr="00AC059F">
        <w:rPr>
          <w:rFonts w:cs="Times New Roman"/>
          <w:i/>
          <w:iCs/>
          <w:szCs w:val="24"/>
        </w:rPr>
        <w:t xml:space="preserve">the </w:t>
      </w:r>
      <w:r w:rsidRPr="00AC059F">
        <w:rPr>
          <w:rFonts w:cs="Times New Roman"/>
          <w:szCs w:val="24"/>
        </w:rPr>
        <w:t xml:space="preserve">‘but-for’ cause of the challenged adverse employment action.” </w:t>
      </w:r>
      <w:r w:rsidRPr="00AC059F">
        <w:rPr>
          <w:rFonts w:cs="Times New Roman"/>
          <w:i/>
          <w:iCs/>
          <w:szCs w:val="24"/>
        </w:rPr>
        <w:t>Id</w:t>
      </w:r>
      <w:r w:rsidRPr="00AC059F">
        <w:rPr>
          <w:rFonts w:cs="Times New Roman"/>
          <w:szCs w:val="24"/>
        </w:rPr>
        <w:t xml:space="preserve">. at </w:t>
      </w:r>
      <w:r w:rsidRPr="00AC059F">
        <w:rPr>
          <w:rFonts w:cs="Times New Roman"/>
          <w:szCs w:val="24"/>
        </w:rPr>
        <w:lastRenderedPageBreak/>
        <w:t xml:space="preserve">180 (emphasis added). The use of the definite article “the,” as opposed to the indefinite articles “a” and “an,” implied that there was only one but-for cause. </w:t>
      </w:r>
    </w:p>
    <w:p w14:paraId="3FB25CE2" w14:textId="77777777"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then applied this analysis from </w:t>
      </w:r>
      <w:r w:rsidRPr="00AC059F">
        <w:rPr>
          <w:rFonts w:cs="Times New Roman"/>
          <w:i/>
          <w:iCs/>
          <w:szCs w:val="24"/>
        </w:rPr>
        <w:t xml:space="preserve">Gross </w:t>
      </w:r>
      <w:r w:rsidRPr="00AC059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AC059F">
        <w:rPr>
          <w:rFonts w:cs="Times New Roman"/>
          <w:i/>
          <w:iCs/>
          <w:szCs w:val="24"/>
        </w:rPr>
        <w:t>Nassar</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explained: </w:t>
      </w:r>
    </w:p>
    <w:p w14:paraId="38A23387" w14:textId="77777777" w:rsidR="00F76F8E" w:rsidRPr="00AC059F" w:rsidRDefault="00F76F8E" w:rsidP="00F76F8E">
      <w:pPr>
        <w:autoSpaceDE w:val="0"/>
        <w:autoSpaceDN w:val="0"/>
        <w:adjustRightInd w:val="0"/>
        <w:ind w:firstLine="720"/>
        <w:rPr>
          <w:rFonts w:cs="Times New Roman"/>
          <w:szCs w:val="24"/>
        </w:rPr>
      </w:pPr>
    </w:p>
    <w:p w14:paraId="419F8B53"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enactment, like the statute at issue in </w:t>
      </w:r>
      <w:r w:rsidRPr="00AC059F">
        <w:rPr>
          <w:rFonts w:cs="Times New Roman"/>
          <w:i/>
          <w:iCs/>
          <w:szCs w:val="24"/>
        </w:rPr>
        <w:t>Gross</w:t>
      </w:r>
      <w:r w:rsidRPr="00AC059F">
        <w:rPr>
          <w:rFonts w:cs="Times New Roman"/>
          <w:szCs w:val="24"/>
        </w:rPr>
        <w:t xml:space="preserve">, makes it unlawful for an employer to take adverse employment action against an employee “because” of certain criteria. </w:t>
      </w:r>
      <w:r w:rsidRPr="00AC059F">
        <w:rPr>
          <w:rFonts w:cs="Times New Roman"/>
          <w:i/>
          <w:iCs/>
          <w:szCs w:val="24"/>
        </w:rPr>
        <w:t>Cf</w:t>
      </w:r>
      <w:r w:rsidRPr="00AC059F">
        <w:rPr>
          <w:rFonts w:cs="Times New Roman"/>
          <w:szCs w:val="24"/>
        </w:rPr>
        <w:t xml:space="preserve">. 29 U.S.C. § 623(a)(1). Given the lack of any meaningful textual difference between the text in this statute and the one in </w:t>
      </w:r>
      <w:r w:rsidRPr="00AC059F">
        <w:rPr>
          <w:rFonts w:cs="Times New Roman"/>
          <w:i/>
          <w:iCs/>
          <w:szCs w:val="24"/>
        </w:rPr>
        <w:t>Gross</w:t>
      </w:r>
      <w:r w:rsidRPr="00AC059F">
        <w:rPr>
          <w:rFonts w:cs="Times New Roman"/>
          <w:szCs w:val="24"/>
        </w:rPr>
        <w:t xml:space="preserve">, the proper conclusion here, as in </w:t>
      </w:r>
      <w:r w:rsidRPr="00AC059F">
        <w:rPr>
          <w:rFonts w:cs="Times New Roman"/>
          <w:i/>
          <w:iCs/>
          <w:szCs w:val="24"/>
        </w:rPr>
        <w:t>Gross</w:t>
      </w:r>
      <w:r w:rsidRPr="00AC059F">
        <w:rPr>
          <w:rFonts w:cs="Times New Roman"/>
          <w:szCs w:val="24"/>
        </w:rPr>
        <w:t xml:space="preserve">, is that Title VII retaliation claims require proof that the desire to retaliate was </w:t>
      </w:r>
      <w:r w:rsidRPr="00AC059F">
        <w:rPr>
          <w:rFonts w:cs="Times New Roman"/>
          <w:i/>
          <w:iCs/>
          <w:szCs w:val="24"/>
        </w:rPr>
        <w:t xml:space="preserve">the </w:t>
      </w:r>
      <w:r w:rsidRPr="00AC059F">
        <w:rPr>
          <w:rFonts w:cs="Times New Roman"/>
          <w:szCs w:val="24"/>
        </w:rPr>
        <w:t>but-for cause of the challenged employment action</w:t>
      </w:r>
    </w:p>
    <w:p w14:paraId="20B0BB5B" w14:textId="77777777" w:rsidR="00F76F8E" w:rsidRPr="00AC059F" w:rsidRDefault="00F76F8E" w:rsidP="00F76F8E">
      <w:pPr>
        <w:autoSpaceDE w:val="0"/>
        <w:autoSpaceDN w:val="0"/>
        <w:adjustRightInd w:val="0"/>
        <w:ind w:left="720" w:rightChars="655" w:right="1572"/>
        <w:jc w:val="both"/>
        <w:rPr>
          <w:rFonts w:cs="Times New Roman"/>
          <w:szCs w:val="24"/>
        </w:rPr>
      </w:pPr>
    </w:p>
    <w:p w14:paraId="3710617C" w14:textId="62EF456A"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U.S.at 351-52 (emphasis added); </w:t>
      </w:r>
      <w:r w:rsidRPr="00AC059F">
        <w:rPr>
          <w:rFonts w:cs="Times New Roman"/>
          <w:i/>
          <w:iCs/>
          <w:szCs w:val="24"/>
        </w:rPr>
        <w:t>see Gross</w:t>
      </w:r>
      <w:r w:rsidRPr="00AC059F">
        <w:rPr>
          <w:rFonts w:cs="Times New Roman"/>
          <w:szCs w:val="24"/>
        </w:rPr>
        <w:t xml:space="preserve">, 557 U.S. at 176 (“To establish a disparate-treatment claim under the plain language of the ADEA, therefore, a plaintiff must prove that age was </w:t>
      </w:r>
      <w:r w:rsidRPr="00AC059F">
        <w:rPr>
          <w:rFonts w:cs="Times New Roman"/>
          <w:i/>
          <w:iCs/>
          <w:szCs w:val="24"/>
        </w:rPr>
        <w:t xml:space="preserve">the </w:t>
      </w:r>
      <w:r w:rsidRPr="00AC059F">
        <w:rPr>
          <w:rFonts w:cs="Times New Roman"/>
          <w:szCs w:val="24"/>
        </w:rPr>
        <w:t xml:space="preserve">‘but-for’ cause of the employer’s adverse decision.” (emphasis added)). </w:t>
      </w:r>
    </w:p>
    <w:p w14:paraId="0A789A35" w14:textId="77777777" w:rsidR="00F76F8E" w:rsidRPr="00AC059F" w:rsidRDefault="00F76F8E" w:rsidP="00F76F8E">
      <w:pPr>
        <w:autoSpaceDE w:val="0"/>
        <w:autoSpaceDN w:val="0"/>
        <w:adjustRightInd w:val="0"/>
        <w:rPr>
          <w:rFonts w:cs="Times New Roman"/>
          <w:szCs w:val="24"/>
        </w:rPr>
      </w:pPr>
    </w:p>
    <w:p w14:paraId="4FC093A8" w14:textId="7D65A01D" w:rsidR="00F76F8E" w:rsidRPr="00AC059F" w:rsidRDefault="00F76F8E" w:rsidP="00F76F8E">
      <w:pPr>
        <w:widowControl w:val="0"/>
        <w:ind w:firstLine="720"/>
      </w:pPr>
      <w:r w:rsidRPr="00AC059F">
        <w:rPr>
          <w:rFonts w:cs="Times New Roman"/>
          <w:szCs w:val="24"/>
        </w:rPr>
        <w:t>Based on these Supreme Court decisions plus the 1991 amendments, which added §</w:t>
      </w:r>
      <w:r w:rsidR="003137E9">
        <w:rPr>
          <w:rFonts w:cs="Times New Roman"/>
          <w:szCs w:val="24"/>
        </w:rPr>
        <w:t xml:space="preserve"> </w:t>
      </w:r>
      <w:r w:rsidRPr="00AC059F">
        <w:rPr>
          <w:rFonts w:cs="Times New Roman"/>
          <w:szCs w:val="24"/>
        </w:rPr>
        <w:t xml:space="preserve">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AC059F">
        <w:rPr>
          <w:rFonts w:cs="Times New Roman"/>
          <w:i/>
          <w:iCs/>
          <w:szCs w:val="24"/>
        </w:rPr>
        <w:t xml:space="preserve">the </w:t>
      </w:r>
      <w:r w:rsidRPr="00AC059F">
        <w:rPr>
          <w:rFonts w:cs="Times New Roman"/>
          <w:szCs w:val="24"/>
        </w:rPr>
        <w:t xml:space="preserve">but-for cause, or the sole cause, of the challenged employment action. A similar test applied (and continues to apply after </w:t>
      </w:r>
      <w:r w:rsidRPr="00AC059F">
        <w:rPr>
          <w:rFonts w:cs="Times New Roman"/>
          <w:i/>
          <w:iCs/>
          <w:szCs w:val="24"/>
        </w:rPr>
        <w:t>Nassar</w:t>
      </w:r>
      <w:r w:rsidRPr="00AC059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AC059F">
        <w:rPr>
          <w:rFonts w:cs="Times New Roman"/>
          <w:i/>
          <w:iCs/>
          <w:szCs w:val="24"/>
        </w:rPr>
        <w:t xml:space="preserve">motivating factor </w:t>
      </w:r>
      <w:r w:rsidRPr="00AC059F">
        <w:rPr>
          <w:rFonts w:cs="Times New Roman"/>
          <w:szCs w:val="24"/>
        </w:rPr>
        <w:t>for any employment practice, even though other factors also motivated the practice.” 42 U.S.C. § 2000e-2(m) (emphasis added).</w:t>
      </w:r>
      <w:r w:rsidRPr="00AC059F">
        <w:rPr>
          <w:rFonts w:cs="Times New Roman"/>
          <w:i/>
          <w:iCs/>
          <w:szCs w:val="24"/>
        </w:rPr>
        <w:t xml:space="preserve"> </w:t>
      </w:r>
      <w:r w:rsidRPr="00AC059F">
        <w:rPr>
          <w:i/>
          <w:iCs/>
        </w:rPr>
        <w:t xml:space="preserve">Hittle v. City of </w:t>
      </w:r>
      <w:r w:rsidRPr="00AC059F">
        <w:rPr>
          <w:rFonts w:cs="Times New Roman"/>
          <w:i/>
          <w:iCs/>
          <w:szCs w:val="24"/>
        </w:rPr>
        <w:t>Stockton, California</w:t>
      </w:r>
      <w:r w:rsidRPr="00AC059F">
        <w:rPr>
          <w:rFonts w:cs="Times New Roman"/>
          <w:szCs w:val="24"/>
        </w:rPr>
        <w:t xml:space="preserve">, 101 F.4th 1000, 1012 (9th Cir. 2024) (stating </w:t>
      </w:r>
      <w:r w:rsidR="003137E9">
        <w:rPr>
          <w:rFonts w:cs="Times New Roman"/>
          <w:szCs w:val="24"/>
        </w:rPr>
        <w:t xml:space="preserve">that </w:t>
      </w:r>
      <w:r w:rsidRPr="00AC059F">
        <w:rPr>
          <w:rFonts w:cs="Times New Roman"/>
          <w:szCs w:val="24"/>
        </w:rPr>
        <w:t>plaintiff need only show race</w:t>
      </w:r>
      <w:r w:rsidR="00AF42AD">
        <w:rPr>
          <w:rFonts w:cs="Times New Roman"/>
          <w:szCs w:val="24"/>
        </w:rPr>
        <w:t>,</w:t>
      </w:r>
      <w:r w:rsidRPr="00AC059F">
        <w:rPr>
          <w:rFonts w:cs="Times New Roman"/>
          <w:szCs w:val="24"/>
        </w:rPr>
        <w:t xml:space="preserve"> color, religion, sex, or national origin was a motivating</w:t>
      </w:r>
      <w:r w:rsidRPr="00AC059F">
        <w:rPr>
          <w:i/>
          <w:iCs/>
        </w:rPr>
        <w:t xml:space="preserve"> </w:t>
      </w:r>
      <w:r w:rsidRPr="00AC059F">
        <w:rPr>
          <w:rFonts w:cs="Times New Roman"/>
          <w:szCs w:val="24"/>
        </w:rPr>
        <w:t xml:space="preserve">factor for employment practice). In that event, however, an employer could limit its liability if the employer could show, by a preponderance of the evidence, that it “would have taken the same action in the absence of the impermissible motivating factor.” 42 U.S.C. § 2000e-5(g)(2)(B); </w:t>
      </w:r>
      <w:r w:rsidRPr="00AC059F">
        <w:rPr>
          <w:i/>
          <w:iCs/>
        </w:rPr>
        <w:t>see also Comcast Corp. v. Nat’l Ass’n of Afr. Am.</w:t>
      </w:r>
      <w:r w:rsidR="00AF42AD">
        <w:rPr>
          <w:i/>
          <w:iCs/>
        </w:rPr>
        <w:t xml:space="preserve"> </w:t>
      </w:r>
      <w:r w:rsidRPr="00AC059F">
        <w:rPr>
          <w:i/>
          <w:iCs/>
        </w:rPr>
        <w:t>Owned Media</w:t>
      </w:r>
      <w:r w:rsidRPr="00AC059F">
        <w:t xml:space="preserve">, 589 U.S. 327, 337 (2020) (stating </w:t>
      </w:r>
      <w:r w:rsidR="003137E9">
        <w:t xml:space="preserve">that </w:t>
      </w:r>
      <w:r w:rsidRPr="00AC059F">
        <w:t xml:space="preserve">lack of but-for causation is an affirmative defense to stave off damages and reinstatement but not liability); </w:t>
      </w:r>
      <w:r w:rsidRPr="00AC059F">
        <w:rPr>
          <w:i/>
          <w:iCs/>
        </w:rPr>
        <w:t>O’Day v. McDonnell Douglas Helicopter Co.</w:t>
      </w:r>
      <w:r w:rsidRPr="00AC059F">
        <w:t>, 79 F.3d 756, 760 (9th Cir. 1996).</w:t>
      </w:r>
    </w:p>
    <w:p w14:paraId="29ED7AE9" w14:textId="77777777" w:rsidR="00F76F8E" w:rsidRPr="00AC059F" w:rsidRDefault="00F76F8E" w:rsidP="00F76F8E">
      <w:pPr>
        <w:widowControl w:val="0"/>
        <w:ind w:firstLine="720"/>
      </w:pPr>
    </w:p>
    <w:p w14:paraId="539A6CF0" w14:textId="3EBC8673" w:rsidR="00F76F8E" w:rsidRPr="00AC059F" w:rsidRDefault="00F76F8E" w:rsidP="00AF42AD">
      <w:pPr>
        <w:adjustRightInd w:val="0"/>
        <w:ind w:firstLine="720"/>
        <w:rPr>
          <w:rFonts w:cs="Times New Roman"/>
          <w:szCs w:val="24"/>
        </w:rPr>
      </w:pPr>
      <w:r w:rsidRPr="00AC059F">
        <w:t xml:space="preserve">In 2002, </w:t>
      </w:r>
      <w:r w:rsidRPr="00AC059F">
        <w:rPr>
          <w:rFonts w:cs="Times New Roman"/>
          <w:szCs w:val="24"/>
        </w:rPr>
        <w:t xml:space="preserve">the Ninth Circuit issued its en banc decision in </w:t>
      </w:r>
      <w:r w:rsidRPr="00AC059F">
        <w:rPr>
          <w:rFonts w:cs="Times New Roman"/>
          <w:i/>
          <w:iCs/>
          <w:szCs w:val="24"/>
        </w:rPr>
        <w:t>Costa</w:t>
      </w:r>
      <w:r w:rsidRPr="00AC059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AC059F">
        <w:rPr>
          <w:rFonts w:cs="Times New Roman"/>
          <w:i/>
          <w:iCs/>
          <w:szCs w:val="24"/>
        </w:rPr>
        <w:t>Costa</w:t>
      </w:r>
      <w:r w:rsidRPr="00AC059F">
        <w:rPr>
          <w:rFonts w:cs="Times New Roman"/>
          <w:szCs w:val="24"/>
        </w:rPr>
        <w:t xml:space="preserve">, 299 F.3d at 853-54; </w:t>
      </w:r>
      <w:r w:rsidRPr="00AC059F">
        <w:rPr>
          <w:rFonts w:cs="Times New Roman"/>
          <w:i/>
          <w:iCs/>
          <w:szCs w:val="24"/>
        </w:rPr>
        <w:t xml:space="preserve">see also </w:t>
      </w:r>
      <w:r w:rsidR="003137E9">
        <w:rPr>
          <w:rFonts w:cs="Times New Roman"/>
          <w:i/>
          <w:iCs/>
          <w:szCs w:val="24"/>
        </w:rPr>
        <w:t>EEOC</w:t>
      </w:r>
      <w:r w:rsidRPr="00AC059F">
        <w:rPr>
          <w:rFonts w:cs="Times New Roman"/>
          <w:i/>
          <w:iCs/>
          <w:szCs w:val="24"/>
        </w:rPr>
        <w:t xml:space="preserve"> v. Abercrombie &amp; Fitch Stores, Inc</w:t>
      </w:r>
      <w:r w:rsidRPr="00AC059F">
        <w:rPr>
          <w:rFonts w:cs="Times New Roman"/>
          <w:szCs w:val="24"/>
        </w:rPr>
        <w:t xml:space="preserve">., 575 U.S. 768, 772-73 (2015) (explaining that phrase “because of” “typically imports, at a minimum, the traditional standard of </w:t>
      </w:r>
      <w:r w:rsidRPr="00AC059F">
        <w:rPr>
          <w:rFonts w:cs="Times New Roman"/>
          <w:szCs w:val="24"/>
        </w:rPr>
        <w:lastRenderedPageBreak/>
        <w:t xml:space="preserve">but-for causation,” but Title VII relaxes this standard in status cases “to prohibit even making a protected characteristic a ‘motivating factor’ in an employment decision”). </w:t>
      </w:r>
    </w:p>
    <w:p w14:paraId="66521C3C" w14:textId="429EA120" w:rsidR="00F76F8E" w:rsidRDefault="00F76F8E" w:rsidP="00F76F8E">
      <w:pPr>
        <w:autoSpaceDE w:val="0"/>
        <w:autoSpaceDN w:val="0"/>
        <w:adjustRightInd w:val="0"/>
        <w:ind w:firstLine="720"/>
        <w:rPr>
          <w:rFonts w:cs="Times New Roman"/>
          <w:szCs w:val="24"/>
        </w:rPr>
      </w:pPr>
      <w:r w:rsidRPr="00AC059F">
        <w:rPr>
          <w:rFonts w:cs="Times New Roman"/>
          <w:szCs w:val="24"/>
        </w:rPr>
        <w:t xml:space="preserve">In </w:t>
      </w:r>
      <w:r w:rsidRPr="00AC059F">
        <w:rPr>
          <w:rFonts w:cs="Times New Roman"/>
          <w:i/>
          <w:iCs/>
          <w:szCs w:val="24"/>
        </w:rPr>
        <w:t>Costa</w:t>
      </w:r>
      <w:r w:rsidRPr="00AC059F">
        <w:rPr>
          <w:rFonts w:cs="Times New Roman"/>
          <w:szCs w:val="24"/>
        </w:rPr>
        <w:t>, the Ninth Circuit discussed jury instructions on causation in Title VII disparate treatment cases. In that decision, the Ninth Circuit stated that a district court may provide either a “single motive” or a “mixed motive” instruction.</w:t>
      </w:r>
      <w:r w:rsidR="00876A43">
        <w:rPr>
          <w:rFonts w:cs="Times New Roman"/>
          <w:szCs w:val="24"/>
        </w:rPr>
        <w:t xml:space="preserve"> </w:t>
      </w:r>
      <w:r w:rsidRPr="00AC059F">
        <w:rPr>
          <w:rFonts w:cs="Times New Roman"/>
          <w:i/>
          <w:iCs/>
          <w:szCs w:val="24"/>
        </w:rPr>
        <w:t xml:space="preserve">Costa </w:t>
      </w:r>
      <w:r w:rsidRPr="00AC059F">
        <w:rPr>
          <w:rFonts w:cs="Times New Roman"/>
          <w:szCs w:val="24"/>
        </w:rPr>
        <w:t xml:space="preserve">added that “mixed” and “single” motives are not two “fundamentally different” theories of liability. </w:t>
      </w:r>
      <w:r w:rsidRPr="00AC059F">
        <w:rPr>
          <w:rFonts w:cs="Times New Roman"/>
          <w:i/>
          <w:iCs/>
          <w:szCs w:val="24"/>
        </w:rPr>
        <w:t>Costa</w:t>
      </w:r>
      <w:r w:rsidRPr="00AC059F">
        <w:rPr>
          <w:rFonts w:cs="Times New Roman"/>
          <w:szCs w:val="24"/>
        </w:rPr>
        <w:t>, 299 F.3d at 857</w:t>
      </w:r>
      <w:r w:rsidR="00A87F6E">
        <w:rPr>
          <w:rFonts w:cs="Times New Roman"/>
          <w:szCs w:val="24"/>
        </w:rPr>
        <w:t xml:space="preserve">. </w:t>
      </w:r>
      <w:r w:rsidRPr="00AC059F">
        <w:rPr>
          <w:rFonts w:cs="Times New Roman"/>
          <w:szCs w:val="24"/>
        </w:rPr>
        <w:t xml:space="preserve">Instead, they are merely two avenues of instruction by which the plaintiff may meet the ultimate burden of proof: “to show by a preponderance of the evidence that the challenged employment decision was ‘because of’ discrimination.” </w:t>
      </w:r>
      <w:r w:rsidRPr="00AC059F">
        <w:rPr>
          <w:rFonts w:cs="Times New Roman"/>
          <w:i/>
          <w:iCs/>
          <w:szCs w:val="24"/>
        </w:rPr>
        <w:t>Id</w:t>
      </w:r>
      <w:r w:rsidRPr="00AC059F">
        <w:rPr>
          <w:rFonts w:cs="Times New Roman"/>
          <w:szCs w:val="24"/>
        </w:rPr>
        <w:t>.</w:t>
      </w:r>
    </w:p>
    <w:p w14:paraId="0E02E416" w14:textId="77777777" w:rsidR="00876A43" w:rsidRPr="00AC059F" w:rsidRDefault="00876A43" w:rsidP="00F76F8E">
      <w:pPr>
        <w:autoSpaceDE w:val="0"/>
        <w:autoSpaceDN w:val="0"/>
        <w:adjustRightInd w:val="0"/>
        <w:ind w:firstLine="720"/>
        <w:rPr>
          <w:rFonts w:cs="Times New Roman"/>
          <w:szCs w:val="24"/>
        </w:rPr>
      </w:pPr>
    </w:p>
    <w:p w14:paraId="77121CF5" w14:textId="3AAF7B4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stated by the Ninth Circuit in </w:t>
      </w:r>
      <w:r w:rsidRPr="00AC059F">
        <w:rPr>
          <w:rFonts w:cs="Times New Roman"/>
          <w:i/>
          <w:iCs/>
          <w:szCs w:val="24"/>
        </w:rPr>
        <w:t>Costa</w:t>
      </w:r>
      <w:r w:rsidRPr="00AC059F">
        <w:rPr>
          <w:rFonts w:cs="Times New Roman"/>
          <w:szCs w:val="24"/>
        </w:rPr>
        <w:t xml:space="preserve">, “[a]fter hearing both parties’ evidence, the district court must decide what legal conclusions the evidence could reasonably support and instruct the jury accordingly.” </w:t>
      </w:r>
      <w:r w:rsidRPr="00AC059F">
        <w:rPr>
          <w:rFonts w:cs="Times New Roman"/>
          <w:i/>
          <w:iCs/>
          <w:szCs w:val="24"/>
        </w:rPr>
        <w:t>Id</w:t>
      </w:r>
      <w:r w:rsidRPr="00AC059F">
        <w:rPr>
          <w:rFonts w:cs="Times New Roman"/>
          <w:szCs w:val="24"/>
        </w:rPr>
        <w:t>. at 856.</w:t>
      </w:r>
    </w:p>
    <w:p w14:paraId="0CEDEA2E" w14:textId="77777777" w:rsidR="00F76F8E" w:rsidRPr="00AC059F" w:rsidRDefault="00F76F8E" w:rsidP="00F76F8E">
      <w:pPr>
        <w:autoSpaceDE w:val="0"/>
        <w:autoSpaceDN w:val="0"/>
        <w:adjustRightInd w:val="0"/>
        <w:rPr>
          <w:rFonts w:cs="Times New Roman"/>
          <w:szCs w:val="24"/>
        </w:rPr>
      </w:pPr>
    </w:p>
    <w:p w14:paraId="1E3D8DE7"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If, based on the evidence, the trial court determines that the only reasonable conclusion a jury could reach is that discriminatory animus is the </w:t>
      </w:r>
      <w:r w:rsidRPr="00AC059F">
        <w:rPr>
          <w:rFonts w:cs="Times New Roman"/>
          <w:i/>
          <w:iCs/>
          <w:szCs w:val="24"/>
        </w:rPr>
        <w:t xml:space="preserve">sole </w:t>
      </w:r>
      <w:r w:rsidRPr="00AC059F">
        <w:rPr>
          <w:rFonts w:cs="Times New Roman"/>
          <w:szCs w:val="24"/>
        </w:rPr>
        <w:t xml:space="preserve">cause for the challenged employment action or that discrimination played </w:t>
      </w:r>
      <w:r w:rsidRPr="00AC059F">
        <w:rPr>
          <w:rFonts w:cs="Times New Roman"/>
          <w:i/>
          <w:iCs/>
          <w:szCs w:val="24"/>
        </w:rPr>
        <w:t xml:space="preserve">no </w:t>
      </w:r>
      <w:r w:rsidRPr="00AC059F">
        <w:rPr>
          <w:rFonts w:cs="Times New Roman"/>
          <w:szCs w:val="24"/>
        </w:rPr>
        <w:t xml:space="preserve">role at all in the employer’s decisionmaking, then the jury should be instructed to determine whether the challenged action was taken “because of” the prohibited reason. . . . </w:t>
      </w:r>
    </w:p>
    <w:p w14:paraId="3A798A52" w14:textId="77777777" w:rsidR="00F76F8E" w:rsidRPr="00AC059F" w:rsidRDefault="00F76F8E" w:rsidP="008A04C2">
      <w:pPr>
        <w:autoSpaceDE w:val="0"/>
        <w:autoSpaceDN w:val="0"/>
        <w:adjustRightInd w:val="0"/>
        <w:ind w:left="720" w:right="720"/>
        <w:jc w:val="both"/>
        <w:rPr>
          <w:rFonts w:cs="Times New Roman"/>
          <w:szCs w:val="24"/>
        </w:rPr>
      </w:pPr>
    </w:p>
    <w:p w14:paraId="63BC367E"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46835D49" w14:textId="77777777" w:rsidR="00F76F8E" w:rsidRPr="00AC059F" w:rsidRDefault="00F76F8E" w:rsidP="00F76F8E">
      <w:pPr>
        <w:autoSpaceDE w:val="0"/>
        <w:autoSpaceDN w:val="0"/>
        <w:adjustRightInd w:val="0"/>
        <w:rPr>
          <w:rFonts w:cs="Times New Roman"/>
          <w:szCs w:val="24"/>
        </w:rPr>
      </w:pPr>
    </w:p>
    <w:p w14:paraId="389E875F" w14:textId="428D7272"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856-57. After </w:t>
      </w:r>
      <w:r w:rsidRPr="00AC059F">
        <w:rPr>
          <w:rFonts w:cs="Times New Roman"/>
          <w:i/>
          <w:iCs/>
          <w:szCs w:val="24"/>
        </w:rPr>
        <w:t>Costa</w:t>
      </w:r>
      <w:r w:rsidRPr="00AC059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34BC16C9" w14:textId="77777777" w:rsidR="00F76F8E" w:rsidRPr="00AC059F" w:rsidRDefault="00F76F8E" w:rsidP="00F76F8E">
      <w:pPr>
        <w:widowControl w:val="0"/>
        <w:jc w:val="both"/>
      </w:pPr>
    </w:p>
    <w:p w14:paraId="2EC2FD9A" w14:textId="77777777" w:rsidR="00F76F8E" w:rsidRPr="00AC059F" w:rsidRDefault="00F76F8E" w:rsidP="00F76F8E">
      <w:pPr>
        <w:widowControl w:val="0"/>
        <w:ind w:firstLine="720"/>
      </w:pPr>
      <w:r w:rsidRPr="00AC059F">
        <w:t xml:space="preserve">The causation analysis, however, significantly changed after </w:t>
      </w:r>
      <w:r w:rsidRPr="00AC059F">
        <w:rPr>
          <w:i/>
          <w:iCs/>
        </w:rPr>
        <w:t>Bostock v. Clayton County</w:t>
      </w:r>
      <w:r w:rsidRPr="00AC059F">
        <w:t xml:space="preserve">, 590 U.S. 644 (2020). </w:t>
      </w:r>
      <w:r w:rsidRPr="00AC059F">
        <w:rPr>
          <w:i/>
        </w:rPr>
        <w:t>Bostock</w:t>
      </w:r>
      <w:r w:rsidRPr="00AC059F">
        <w:t xml:space="preserve"> 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AC059F">
        <w:rPr>
          <w:i/>
          <w:iCs/>
        </w:rPr>
        <w:t>Id.</w:t>
      </w:r>
      <w:r w:rsidRPr="00AC059F">
        <w:t xml:space="preserve"> at 659-60, 681-82. But </w:t>
      </w:r>
      <w:r w:rsidRPr="00AC059F">
        <w:rPr>
          <w:i/>
          <w:iCs/>
        </w:rPr>
        <w:t>Bostock</w:t>
      </w:r>
      <w:r w:rsidRPr="00AC059F">
        <w:t xml:space="preserve"> also is significant for interpreting “because of” in § 2000e-2(a) to refer to but-for causation, which courts traditionally have recognized can include more than one but-for cause. </w:t>
      </w:r>
      <w:r w:rsidRPr="00AC059F">
        <w:rPr>
          <w:i/>
          <w:iCs/>
        </w:rPr>
        <w:t>See id.</w:t>
      </w:r>
      <w:r w:rsidRPr="00AC059F">
        <w:t xml:space="preserve"> at 656-57.</w:t>
      </w:r>
    </w:p>
    <w:p w14:paraId="0987DBF5" w14:textId="77777777" w:rsidR="00F76F8E" w:rsidRPr="00AC059F" w:rsidRDefault="00F76F8E" w:rsidP="00F76F8E">
      <w:pPr>
        <w:widowControl w:val="0"/>
        <w:ind w:firstLine="720"/>
        <w:jc w:val="both"/>
      </w:pPr>
    </w:p>
    <w:p w14:paraId="3C0E05C5" w14:textId="5A982203" w:rsidR="00F76F8E" w:rsidRPr="00AC059F" w:rsidRDefault="00F76F8E" w:rsidP="00F76F8E">
      <w:pPr>
        <w:autoSpaceDE w:val="0"/>
        <w:autoSpaceDN w:val="0"/>
        <w:adjustRightInd w:val="0"/>
        <w:ind w:firstLine="720"/>
        <w:rPr>
          <w:rFonts w:cs="Times New Roman"/>
          <w:szCs w:val="24"/>
        </w:rPr>
      </w:pPr>
      <w:r w:rsidRPr="00AC059F">
        <w:lastRenderedPageBreak/>
        <w:t xml:space="preserve">As explained in </w:t>
      </w:r>
      <w:r w:rsidRPr="00AC059F">
        <w:rPr>
          <w:i/>
          <w:iCs/>
        </w:rPr>
        <w:t>Bostock</w:t>
      </w:r>
      <w:r w:rsidRPr="00AC059F">
        <w:t xml:space="preserve">, “the ordinary meaning of ‘because of’ is ‘by reason of’ or ‘on account of.’” </w:t>
      </w:r>
      <w:r w:rsidRPr="00AC059F">
        <w:rPr>
          <w:i/>
          <w:iCs/>
        </w:rPr>
        <w:t>Id.</w:t>
      </w:r>
      <w:r w:rsidRPr="00AC059F">
        <w:t xml:space="preserve"> at 656 (quoting </w:t>
      </w:r>
      <w:r w:rsidRPr="00AC059F">
        <w:rPr>
          <w:i/>
          <w:iCs/>
        </w:rPr>
        <w:t>Nassar</w:t>
      </w:r>
      <w:r w:rsidRPr="00AC059F">
        <w:t>, 570 U.S. at 350).</w:t>
      </w:r>
      <w:r w:rsidRPr="00AC059F">
        <w:rPr>
          <w:rFonts w:cs="Times New Roman"/>
          <w:szCs w:val="24"/>
        </w:rPr>
        <w:t xml:space="preserve"> “In the language of law, this means that Title VII’s ‘because of’ test incorporates the ‘simple’ and ‘traditional’ standard of but-for causation.” </w:t>
      </w:r>
      <w:r w:rsidRPr="00AC059F">
        <w:rPr>
          <w:rFonts w:cs="Times New Roman"/>
          <w:i/>
          <w:iCs/>
          <w:szCs w:val="24"/>
        </w:rPr>
        <w:t>Id</w:t>
      </w:r>
      <w:r w:rsidRPr="00AC059F">
        <w:rPr>
          <w:rFonts w:cs="Times New Roman"/>
          <w:szCs w:val="24"/>
        </w:rPr>
        <w:t xml:space="preserve">. (citing </w:t>
      </w:r>
      <w:r w:rsidRPr="00AC059F">
        <w:rPr>
          <w:rFonts w:cs="Times New Roman"/>
          <w:i/>
          <w:iCs/>
          <w:szCs w:val="24"/>
        </w:rPr>
        <w:t>Nassar</w:t>
      </w:r>
      <w:r w:rsidRPr="00AC059F">
        <w:rPr>
          <w:rFonts w:cs="Times New Roman"/>
          <w:szCs w:val="24"/>
        </w:rPr>
        <w:t xml:space="preserve">, 570 U.S. at 346). “That form of causation is established whenever a particular outcome would not have happened ‘but for’ the purported cause.”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557 U.S. at 176). “In other words, a but-for test directs us to change one thing at a time and see if the outcome changes. If it does, we have found a but-for cause.” </w:t>
      </w:r>
      <w:r w:rsidRPr="00AC059F">
        <w:rPr>
          <w:rFonts w:cs="Times New Roman"/>
          <w:i/>
          <w:iCs/>
          <w:szCs w:val="24"/>
        </w:rPr>
        <w:t>Id</w:t>
      </w:r>
      <w:r w:rsidRPr="00AC059F">
        <w:rPr>
          <w:rFonts w:cs="Times New Roman"/>
          <w:szCs w:val="24"/>
        </w:rPr>
        <w:t xml:space="preserve">. “This can be a sweeping standard. Often, events have multiple but-for causes. So, for example, if a car accident occurred </w:t>
      </w:r>
      <w:r w:rsidRPr="00AC059F">
        <w:rPr>
          <w:rFonts w:cs="Times New Roman"/>
          <w:i/>
          <w:iCs/>
          <w:szCs w:val="24"/>
        </w:rPr>
        <w:t>both</w:t>
      </w:r>
      <w:r w:rsidRPr="00AC059F">
        <w:rPr>
          <w:rFonts w:cs="Times New Roman"/>
          <w:szCs w:val="24"/>
        </w:rPr>
        <w:t xml:space="preserve"> because the defendant ran a red light </w:t>
      </w:r>
      <w:r w:rsidRPr="00AC059F">
        <w:rPr>
          <w:rFonts w:cs="Times New Roman"/>
          <w:i/>
          <w:iCs/>
          <w:szCs w:val="24"/>
        </w:rPr>
        <w:t>and</w:t>
      </w:r>
      <w:r w:rsidRPr="00AC059F">
        <w:rPr>
          <w:rFonts w:cs="Times New Roman"/>
          <w:szCs w:val="24"/>
        </w:rPr>
        <w:t xml:space="preserve"> because the plaintiff failed to signal his turn at the intersection, we might call each a but-for cause of the collision.” </w:t>
      </w:r>
      <w:r w:rsidRPr="00AC059F">
        <w:rPr>
          <w:rFonts w:cs="Times New Roman"/>
          <w:i/>
          <w:iCs/>
          <w:szCs w:val="24"/>
        </w:rPr>
        <w:t>Id</w:t>
      </w:r>
      <w:r w:rsidRPr="00AC059F">
        <w:rPr>
          <w:rFonts w:cs="Times New Roman"/>
          <w:szCs w:val="24"/>
        </w:rPr>
        <w:t xml:space="preserve">. “When it comes to Title VII, the adoption of the traditional but-for causation standard means a defendant cannot avoid liability just by citing some </w:t>
      </w:r>
      <w:r w:rsidRPr="00AC059F">
        <w:rPr>
          <w:rFonts w:cs="Times New Roman"/>
          <w:i/>
          <w:iCs/>
          <w:szCs w:val="24"/>
        </w:rPr>
        <w:t>other</w:t>
      </w:r>
      <w:r w:rsidRPr="00AC059F">
        <w:rPr>
          <w:rFonts w:cs="Times New Roman"/>
          <w:szCs w:val="24"/>
        </w:rPr>
        <w:t xml:space="preserve"> factor that contributed to its challenged employment decision. So long as the plaintiff’s sex was one but-for cause of that decision, that is enough to trigger the law.” </w:t>
      </w:r>
      <w:r w:rsidRPr="00AC059F">
        <w:rPr>
          <w:rFonts w:cs="Times New Roman"/>
          <w:i/>
          <w:iCs/>
          <w:szCs w:val="24"/>
        </w:rPr>
        <w:t>Id</w:t>
      </w:r>
      <w:r w:rsidRPr="00AC059F">
        <w:rPr>
          <w:rFonts w:cs="Times New Roman"/>
          <w:szCs w:val="24"/>
        </w:rPr>
        <w:t xml:space="preserve">. Further, “the plaintiff’s sex need not be the sole or primary cause of the employer’s adverse action.” </w:t>
      </w:r>
      <w:r w:rsidRPr="00AC059F">
        <w:rPr>
          <w:rFonts w:cs="Times New Roman"/>
          <w:i/>
          <w:iCs/>
          <w:szCs w:val="24"/>
        </w:rPr>
        <w:t>Id</w:t>
      </w:r>
      <w:r w:rsidRPr="00AC059F">
        <w:rPr>
          <w:rFonts w:cs="Times New Roman"/>
          <w:szCs w:val="24"/>
        </w:rPr>
        <w:t xml:space="preserve">. </w:t>
      </w:r>
      <w:r w:rsidRPr="00AC059F">
        <w:t>at 665.</w:t>
      </w:r>
    </w:p>
    <w:p w14:paraId="01002026" w14:textId="77777777" w:rsidR="00F76F8E" w:rsidRPr="00AC059F" w:rsidRDefault="00F76F8E" w:rsidP="00F76F8E">
      <w:pPr>
        <w:autoSpaceDE w:val="0"/>
        <w:autoSpaceDN w:val="0"/>
        <w:adjustRightInd w:val="0"/>
        <w:rPr>
          <w:rFonts w:cs="Times New Roman"/>
          <w:szCs w:val="24"/>
        </w:rPr>
      </w:pPr>
    </w:p>
    <w:p w14:paraId="7CDE1383" w14:textId="7ABA560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AC059F">
        <w:rPr>
          <w:rFonts w:cs="Times New Roman"/>
          <w:i/>
          <w:iCs/>
          <w:szCs w:val="24"/>
        </w:rPr>
        <w:t>See Miller v. Gammie</w:t>
      </w:r>
      <w:r w:rsidRPr="00AC059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AC059F">
        <w:rPr>
          <w:rFonts w:cs="Times New Roman"/>
          <w:i/>
          <w:iCs/>
          <w:szCs w:val="24"/>
        </w:rPr>
        <w:t xml:space="preserve">Costa </w:t>
      </w:r>
      <w:r w:rsidRPr="00AC059F">
        <w:rPr>
          <w:rFonts w:cs="Times New Roman"/>
          <w:szCs w:val="24"/>
        </w:rPr>
        <w:t xml:space="preserve">indicates that the phrase “because of” in 42 U.S.C. § 2000e-2(a) requires a trial court to determine “that the only reasonable conclusion a jury could reach is that discriminatory animus is the </w:t>
      </w:r>
      <w:r w:rsidRPr="00AC059F">
        <w:rPr>
          <w:rFonts w:cs="Times New Roman"/>
          <w:i/>
          <w:iCs/>
          <w:szCs w:val="24"/>
        </w:rPr>
        <w:t>sole</w:t>
      </w:r>
      <w:r w:rsidRPr="00AC059F">
        <w:rPr>
          <w:rFonts w:cs="Times New Roman"/>
          <w:szCs w:val="24"/>
        </w:rPr>
        <w:t xml:space="preserve"> cause for the challenged employment action,” 299 F.3d at 856, it would be inconsistent with </w:t>
      </w:r>
      <w:r w:rsidRPr="00AC059F">
        <w:rPr>
          <w:rFonts w:cs="Times New Roman"/>
          <w:i/>
          <w:iCs/>
          <w:szCs w:val="24"/>
        </w:rPr>
        <w:t>Bostock</w:t>
      </w:r>
      <w:r w:rsidRPr="00AC059F">
        <w:rPr>
          <w:rFonts w:cs="Times New Roman"/>
          <w:szCs w:val="24"/>
        </w:rPr>
        <w:t xml:space="preserve">. After </w:t>
      </w:r>
      <w:r w:rsidRPr="00AC059F">
        <w:rPr>
          <w:rFonts w:cs="Times New Roman"/>
          <w:i/>
          <w:iCs/>
          <w:szCs w:val="24"/>
        </w:rPr>
        <w:t>Bostock</w:t>
      </w:r>
      <w:r w:rsidRPr="00AC059F">
        <w:rPr>
          <w:rFonts w:cs="Times New Roman"/>
          <w:szCs w:val="24"/>
        </w:rPr>
        <w:t xml:space="preserve">, the </w:t>
      </w:r>
      <w:r w:rsidR="00266A85">
        <w:rPr>
          <w:rFonts w:cs="Times New Roman"/>
          <w:szCs w:val="24"/>
        </w:rPr>
        <w:t xml:space="preserve">Ninth Circuit </w:t>
      </w:r>
      <w:r w:rsidRPr="00AC059F">
        <w:rPr>
          <w:rFonts w:cs="Times New Roman"/>
          <w:szCs w:val="24"/>
        </w:rPr>
        <w:t xml:space="preserve">Jury Instructions Committee substantially modified its Chapter 10 Introductory Comment and Instructions 10.1, 10.2, and 10.3. Indeed, current Instruction 10.3 now defines “because of” based on </w:t>
      </w:r>
      <w:r w:rsidRPr="00AC059F">
        <w:rPr>
          <w:rFonts w:cs="Times New Roman"/>
          <w:i/>
          <w:iCs/>
          <w:szCs w:val="24"/>
        </w:rPr>
        <w:t>Bostock</w:t>
      </w:r>
      <w:r w:rsidRPr="00AC059F">
        <w:rPr>
          <w:rFonts w:cs="Times New Roman"/>
          <w:szCs w:val="24"/>
        </w:rPr>
        <w:t xml:space="preserve">. </w:t>
      </w:r>
    </w:p>
    <w:p w14:paraId="6E9F9441" w14:textId="77777777" w:rsidR="00F76F8E" w:rsidRPr="00AC059F" w:rsidRDefault="00F76F8E" w:rsidP="00F76F8E">
      <w:pPr>
        <w:autoSpaceDE w:val="0"/>
        <w:autoSpaceDN w:val="0"/>
        <w:adjustRightInd w:val="0"/>
        <w:ind w:firstLine="720"/>
        <w:rPr>
          <w:rFonts w:cs="Times New Roman"/>
          <w:szCs w:val="24"/>
        </w:rPr>
      </w:pPr>
    </w:p>
    <w:p w14:paraId="7B077D2B"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Organization of Instructions</w:t>
      </w:r>
    </w:p>
    <w:p w14:paraId="6959C8B0" w14:textId="77777777" w:rsidR="00F76F8E" w:rsidRPr="00AC059F" w:rsidRDefault="00F76F8E" w:rsidP="00F76F8E">
      <w:pPr>
        <w:autoSpaceDE w:val="0"/>
        <w:autoSpaceDN w:val="0"/>
        <w:adjustRightInd w:val="0"/>
        <w:jc w:val="center"/>
        <w:rPr>
          <w:rFonts w:cs="Times New Roman"/>
          <w:szCs w:val="24"/>
        </w:rPr>
      </w:pPr>
    </w:p>
    <w:p w14:paraId="347501B2" w14:textId="5695C7C9"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instructions in this chapter are arranged in accordance with the three theories of liability that are most frequently asserted in Title VII cases. Instructions 10.1 through 10.3 pertain to a claim of disparate treatment (intentional discrimination). Instructions 10.4 through 10.</w:t>
      </w:r>
      <w:r w:rsidR="000B3998">
        <w:rPr>
          <w:rFonts w:cs="Times New Roman"/>
          <w:szCs w:val="24"/>
        </w:rPr>
        <w:t>9</w:t>
      </w:r>
      <w:r w:rsidRPr="00AC059F">
        <w:rPr>
          <w:rFonts w:cs="Times New Roman"/>
          <w:szCs w:val="24"/>
        </w:rPr>
        <w:t xml:space="preserve"> pertain to a claim of harassment or hostile work environment. Instruction 10.</w:t>
      </w:r>
      <w:r w:rsidR="000B3998">
        <w:rPr>
          <w:rFonts w:cs="Times New Roman"/>
          <w:szCs w:val="24"/>
        </w:rPr>
        <w:t>10</w:t>
      </w:r>
      <w:r w:rsidRPr="00AC059F">
        <w:rPr>
          <w:rFonts w:cs="Times New Roman"/>
          <w:szCs w:val="24"/>
        </w:rPr>
        <w:t xml:space="preserve"> relates to a claim of retaliation. Finally, because there are certain terms and defenses that are common to Title VII employment cases, they are set forth and defined in Instructions 10.</w:t>
      </w:r>
      <w:r w:rsidR="000B3998">
        <w:rPr>
          <w:rFonts w:cs="Times New Roman"/>
          <w:szCs w:val="24"/>
        </w:rPr>
        <w:t>11</w:t>
      </w:r>
      <w:r w:rsidRPr="00AC059F">
        <w:rPr>
          <w:rFonts w:cs="Times New Roman"/>
          <w:szCs w:val="24"/>
        </w:rPr>
        <w:t xml:space="preserve"> through 10.1</w:t>
      </w:r>
      <w:r w:rsidR="00047AF1">
        <w:rPr>
          <w:rFonts w:cs="Times New Roman"/>
          <w:szCs w:val="24"/>
        </w:rPr>
        <w:t>9</w:t>
      </w:r>
      <w:r w:rsidRPr="00AC059F">
        <w:rPr>
          <w:rFonts w:cs="Times New Roman"/>
          <w:szCs w:val="24"/>
        </w:rPr>
        <w:t xml:space="preserve">. </w:t>
      </w:r>
    </w:p>
    <w:p w14:paraId="07CEE9E0" w14:textId="77777777" w:rsidR="00F76F8E" w:rsidRPr="00AC059F" w:rsidRDefault="00F76F8E" w:rsidP="00F76F8E">
      <w:pPr>
        <w:autoSpaceDE w:val="0"/>
        <w:autoSpaceDN w:val="0"/>
        <w:adjustRightInd w:val="0"/>
        <w:ind w:firstLine="720"/>
        <w:rPr>
          <w:rFonts w:cs="Times New Roman"/>
          <w:szCs w:val="24"/>
        </w:rPr>
      </w:pPr>
    </w:p>
    <w:p w14:paraId="27EEF28B" w14:textId="6E5ABA4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Committee recommends that the court first identify the theory under which the plaintiff has asserted a Title VII claim and then refer to the relevant group of instructions. The basic instructions set forth in Instructions 10.1 through 10.</w:t>
      </w:r>
      <w:r w:rsidR="000B3998">
        <w:rPr>
          <w:rFonts w:cs="Times New Roman"/>
          <w:szCs w:val="24"/>
        </w:rPr>
        <w:t>8</w:t>
      </w:r>
      <w:r w:rsidRPr="00AC059F">
        <w:rPr>
          <w:rFonts w:cs="Times New Roman"/>
          <w:szCs w:val="24"/>
        </w:rPr>
        <w:t xml:space="preserve"> may be used regardless of a particular plaintiff’s protected status. Thus, depending on whether the claim is based on race, </w:t>
      </w:r>
      <w:r w:rsidRPr="00AC059F">
        <w:rPr>
          <w:rFonts w:cs="Times New Roman"/>
          <w:szCs w:val="24"/>
        </w:rPr>
        <w:lastRenderedPageBreak/>
        <w:t>color, religion, sex, or national origin, Instructions 10.1 through 10.</w:t>
      </w:r>
      <w:r w:rsidR="000B3998">
        <w:rPr>
          <w:rFonts w:cs="Times New Roman"/>
          <w:szCs w:val="24"/>
        </w:rPr>
        <w:t>8</w:t>
      </w:r>
      <w:r w:rsidRPr="00AC059F">
        <w:rPr>
          <w:rFonts w:cs="Times New Roman"/>
          <w:szCs w:val="24"/>
        </w:rPr>
        <w:t xml:space="preserve"> can be adjusted to reflect the protected trait or characteristic at issue in a particular case. </w:t>
      </w:r>
    </w:p>
    <w:p w14:paraId="14DB92DE" w14:textId="77777777" w:rsidR="00F76F8E" w:rsidRPr="00AC059F" w:rsidRDefault="00F76F8E" w:rsidP="00F76F8E">
      <w:pPr>
        <w:autoSpaceDE w:val="0"/>
        <w:autoSpaceDN w:val="0"/>
        <w:adjustRightInd w:val="0"/>
        <w:ind w:firstLine="720"/>
        <w:rPr>
          <w:rFonts w:cs="Times New Roman"/>
          <w:szCs w:val="24"/>
        </w:rPr>
      </w:pPr>
    </w:p>
    <w:p w14:paraId="469E165B" w14:textId="3C699B6C" w:rsidR="00F76F8E" w:rsidRPr="00AC059F" w:rsidRDefault="00F76F8E" w:rsidP="00F76F8E">
      <w:pPr>
        <w:autoSpaceDE w:val="0"/>
        <w:autoSpaceDN w:val="0"/>
        <w:adjustRightInd w:val="0"/>
        <w:ind w:firstLine="720"/>
        <w:rPr>
          <w:sz w:val="23"/>
          <w:szCs w:val="23"/>
        </w:rPr>
      </w:pPr>
      <w:r w:rsidRPr="00AC059F">
        <w:rPr>
          <w:rFonts w:cs="Times New Roman"/>
          <w:szCs w:val="24"/>
        </w:rPr>
        <w:t xml:space="preserve">No instructions have been provided for a claim of disparate impact under Title VII, although such an instruction is provided for a disparate impact claim for age discrimination under the ADEA. </w:t>
      </w:r>
      <w:r w:rsidRPr="00AC059F">
        <w:rPr>
          <w:rFonts w:cs="Times New Roman"/>
          <w:i/>
          <w:iCs/>
          <w:szCs w:val="24"/>
        </w:rPr>
        <w:t xml:space="preserve">See </w:t>
      </w:r>
      <w:r w:rsidRPr="00AC059F">
        <w:rPr>
          <w:rFonts w:cs="Times New Roman"/>
          <w:szCs w:val="24"/>
        </w:rPr>
        <w:t xml:space="preserve">Instruction 11.4 (Age Discrimination—Disparate Impact—Elements). </w:t>
      </w:r>
      <w:r w:rsidRPr="00AC059F">
        <w:rPr>
          <w:sz w:val="23"/>
          <w:szCs w:val="23"/>
        </w:rPr>
        <w:t xml:space="preserve">In many instances, instructions for a disparate-impact claim under Title VII may be made with minor alterations to the instruction for a disparate impact claim under the ADEA. </w:t>
      </w:r>
      <w:r w:rsidRPr="00AC059F">
        <w:rPr>
          <w:i/>
          <w:iCs/>
          <w:sz w:val="23"/>
          <w:szCs w:val="23"/>
        </w:rPr>
        <w:t xml:space="preserve">Compare </w:t>
      </w:r>
      <w:r w:rsidRPr="00AC059F">
        <w:rPr>
          <w:sz w:val="23"/>
          <w:szCs w:val="23"/>
        </w:rPr>
        <w:t xml:space="preserve">Instruction 11.4 </w:t>
      </w:r>
      <w:r w:rsidRPr="00AC059F">
        <w:rPr>
          <w:i/>
          <w:iCs/>
          <w:sz w:val="23"/>
          <w:szCs w:val="23"/>
        </w:rPr>
        <w:t>with Hemmings v. Tidyman’s Inc.</w:t>
      </w:r>
      <w:r w:rsidRPr="00AC059F">
        <w:rPr>
          <w:sz w:val="23"/>
          <w:szCs w:val="23"/>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sidRPr="00AC059F">
        <w:rPr>
          <w:i/>
          <w:iCs/>
          <w:sz w:val="23"/>
          <w:szCs w:val="23"/>
        </w:rPr>
        <w:t>see also Ricci v. DeStefano</w:t>
      </w:r>
      <w:r w:rsidRPr="00AC059F">
        <w:rPr>
          <w:sz w:val="23"/>
          <w:szCs w:val="23"/>
        </w:rPr>
        <w:t>, 557 U.S. 557 (2009).</w:t>
      </w:r>
    </w:p>
    <w:p w14:paraId="39CC7461" w14:textId="77777777" w:rsidR="00F76F8E" w:rsidRPr="00AC059F" w:rsidRDefault="00F76F8E" w:rsidP="00F76F8E">
      <w:pPr>
        <w:autoSpaceDE w:val="0"/>
        <w:autoSpaceDN w:val="0"/>
        <w:adjustRightInd w:val="0"/>
        <w:ind w:firstLine="720"/>
        <w:rPr>
          <w:i/>
          <w:iCs/>
          <w:sz w:val="23"/>
          <w:szCs w:val="23"/>
        </w:rPr>
      </w:pPr>
    </w:p>
    <w:p w14:paraId="7399867A" w14:textId="502BD87C" w:rsidR="00F76F8E" w:rsidRPr="00AC059F" w:rsidRDefault="00F76F8E" w:rsidP="00F76F8E">
      <w:pPr>
        <w:autoSpaceDE w:val="0"/>
        <w:autoSpaceDN w:val="0"/>
        <w:adjustRightInd w:val="0"/>
        <w:ind w:firstLine="720"/>
        <w:rPr>
          <w:rFonts w:cs="Times New Roman"/>
          <w:szCs w:val="24"/>
        </w:rPr>
      </w:pPr>
      <w:r w:rsidRPr="00AC059F">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AC059F">
        <w:rPr>
          <w:i/>
          <w:iCs/>
          <w:sz w:val="23"/>
          <w:szCs w:val="23"/>
        </w:rPr>
        <w:t>See Bolden-Hardge v. Off. Cal. State Controller</w:t>
      </w:r>
      <w:r w:rsidRPr="00AC059F">
        <w:rPr>
          <w:sz w:val="23"/>
          <w:szCs w:val="23"/>
        </w:rPr>
        <w:t xml:space="preserve">, 63 F.4th 1215, 1227 (9th Cir. 2023). </w:t>
      </w:r>
      <w:r w:rsidRPr="00AC059F">
        <w:rPr>
          <w:rFonts w:cs="Times New Roman"/>
          <w:szCs w:val="24"/>
        </w:rPr>
        <w:t xml:space="preserve">For a detailed discussion of a disparate impact claim arising under the Fair Housing Act, see </w:t>
      </w:r>
      <w:r w:rsidRPr="00AC059F">
        <w:rPr>
          <w:rFonts w:cs="Times New Roman"/>
          <w:i/>
          <w:iCs/>
          <w:szCs w:val="24"/>
        </w:rPr>
        <w:t>Texas Department of Housing &amp; Community Affairs v. Inclusive Communities Project, Inc</w:t>
      </w:r>
      <w:r w:rsidRPr="00AC059F">
        <w:rPr>
          <w:rFonts w:cs="Times New Roman"/>
          <w:szCs w:val="24"/>
        </w:rPr>
        <w:t xml:space="preserve">., </w:t>
      </w:r>
      <w:r w:rsidRPr="00AC059F">
        <w:t>576 U.S. 519 (2015) (relying on cases interpreting Title VII and the ADEA).</w:t>
      </w:r>
    </w:p>
    <w:p w14:paraId="63C8DCF8" w14:textId="77777777" w:rsidR="00F76F8E" w:rsidRPr="00AC059F" w:rsidRDefault="00F76F8E" w:rsidP="00F76F8E">
      <w:pPr>
        <w:autoSpaceDE w:val="0"/>
        <w:autoSpaceDN w:val="0"/>
        <w:adjustRightInd w:val="0"/>
        <w:ind w:firstLine="720"/>
        <w:rPr>
          <w:rFonts w:cs="Times New Roman"/>
          <w:szCs w:val="24"/>
        </w:rPr>
      </w:pPr>
    </w:p>
    <w:p w14:paraId="2BD2109A" w14:textId="4BABA032"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w:t>
      </w:r>
      <w:r w:rsidR="000B3998">
        <w:rPr>
          <w:rFonts w:cs="Times New Roman"/>
          <w:szCs w:val="24"/>
        </w:rPr>
        <w:t>8</w:t>
      </w:r>
      <w:r w:rsidRPr="00AC059F">
        <w:rPr>
          <w:rFonts w:cs="Times New Roman"/>
          <w:szCs w:val="24"/>
        </w:rPr>
        <w:t xml:space="preserve"> when a claim under § 1983 is based on disparate treatment or harassment by a state or local employer.</w:t>
      </w:r>
    </w:p>
    <w:p w14:paraId="34D3BD1C" w14:textId="77777777" w:rsidR="00F76F8E" w:rsidRPr="00AC059F" w:rsidRDefault="00F76F8E" w:rsidP="00F76F8E">
      <w:pPr>
        <w:autoSpaceDE w:val="0"/>
        <w:autoSpaceDN w:val="0"/>
        <w:adjustRightInd w:val="0"/>
        <w:ind w:firstLine="720"/>
        <w:rPr>
          <w:rFonts w:cs="Times New Roman"/>
          <w:szCs w:val="24"/>
        </w:rPr>
      </w:pPr>
    </w:p>
    <w:p w14:paraId="3A0ABADB" w14:textId="77777777" w:rsidR="00F76F8E" w:rsidRPr="00AC059F" w:rsidRDefault="00F76F8E" w:rsidP="00F76F8E">
      <w:pPr>
        <w:jc w:val="right"/>
      </w:pPr>
      <w:r w:rsidRPr="00AC059F">
        <w:rPr>
          <w:i/>
          <w:iCs/>
          <w:sz w:val="23"/>
          <w:szCs w:val="23"/>
        </w:rPr>
        <w:t xml:space="preserve">                                                                                                       Revised June 2025</w:t>
      </w:r>
    </w:p>
    <w:p w14:paraId="200B029A" w14:textId="7B1B8142" w:rsidR="00DE32D3" w:rsidRPr="002B283E" w:rsidRDefault="00DE32D3" w:rsidP="002B283E">
      <w:pPr>
        <w:jc w:val="right"/>
        <w:rPr>
          <w:rFonts w:cs="Times New Roman"/>
          <w:szCs w:val="24"/>
        </w:rPr>
      </w:pPr>
    </w:p>
    <w:p w14:paraId="2E270EB6" w14:textId="77777777" w:rsidR="00671B7F" w:rsidRPr="002B283E" w:rsidRDefault="00671B7F" w:rsidP="002B283E">
      <w:pPr>
        <w:rPr>
          <w:rFonts w:cs="Times New Roman"/>
          <w:szCs w:val="24"/>
        </w:rPr>
      </w:pPr>
    </w:p>
    <w:bookmarkEnd w:id="219"/>
    <w:p w14:paraId="5DD98957" w14:textId="2B6C27CC" w:rsidR="00304EF5" w:rsidRDefault="00304EF5" w:rsidP="002B283E">
      <w:pPr>
        <w:pStyle w:val="Default"/>
        <w:ind w:firstLine="720"/>
        <w:rPr>
          <w:color w:val="auto"/>
        </w:rPr>
      </w:pPr>
    </w:p>
    <w:p w14:paraId="519ACD1A" w14:textId="77777777" w:rsidR="00F76F8E" w:rsidRDefault="00F76F8E" w:rsidP="002B283E">
      <w:pPr>
        <w:pStyle w:val="Default"/>
        <w:ind w:firstLine="720"/>
        <w:rPr>
          <w:color w:val="auto"/>
        </w:rPr>
      </w:pPr>
    </w:p>
    <w:p w14:paraId="26558EC7" w14:textId="77777777" w:rsidR="00876A43" w:rsidRDefault="00876A43" w:rsidP="002B283E">
      <w:pPr>
        <w:pStyle w:val="Default"/>
        <w:ind w:firstLine="720"/>
        <w:rPr>
          <w:color w:val="auto"/>
        </w:rPr>
      </w:pPr>
    </w:p>
    <w:p w14:paraId="02007C57" w14:textId="77777777" w:rsidR="00876A43" w:rsidRDefault="00876A43" w:rsidP="002B283E">
      <w:pPr>
        <w:pStyle w:val="Default"/>
        <w:ind w:firstLine="720"/>
        <w:rPr>
          <w:color w:val="auto"/>
        </w:rPr>
      </w:pPr>
    </w:p>
    <w:p w14:paraId="38733026" w14:textId="77777777" w:rsidR="00876A43" w:rsidRDefault="00876A43" w:rsidP="002B283E">
      <w:pPr>
        <w:pStyle w:val="Default"/>
        <w:ind w:firstLine="720"/>
        <w:rPr>
          <w:color w:val="auto"/>
        </w:rPr>
      </w:pPr>
    </w:p>
    <w:p w14:paraId="5B767C5E" w14:textId="77777777" w:rsidR="00876A43" w:rsidRDefault="00876A43" w:rsidP="002B283E">
      <w:pPr>
        <w:pStyle w:val="Default"/>
        <w:ind w:firstLine="720"/>
        <w:rPr>
          <w:color w:val="auto"/>
        </w:rPr>
      </w:pPr>
    </w:p>
    <w:p w14:paraId="412E48E7" w14:textId="77777777" w:rsidR="00876A43" w:rsidRDefault="00876A43" w:rsidP="002B283E">
      <w:pPr>
        <w:pStyle w:val="Default"/>
        <w:ind w:firstLine="720"/>
        <w:rPr>
          <w:color w:val="auto"/>
        </w:rPr>
      </w:pPr>
    </w:p>
    <w:p w14:paraId="153AC20D" w14:textId="77777777" w:rsidR="00876A43" w:rsidRDefault="00876A43" w:rsidP="002B283E">
      <w:pPr>
        <w:pStyle w:val="Default"/>
        <w:ind w:firstLine="720"/>
        <w:rPr>
          <w:color w:val="auto"/>
        </w:rPr>
      </w:pPr>
    </w:p>
    <w:p w14:paraId="684FC036" w14:textId="77777777" w:rsidR="00876A43" w:rsidRDefault="00876A43" w:rsidP="002B283E">
      <w:pPr>
        <w:pStyle w:val="Default"/>
        <w:ind w:firstLine="720"/>
        <w:rPr>
          <w:color w:val="auto"/>
        </w:rPr>
      </w:pPr>
    </w:p>
    <w:p w14:paraId="190AF712" w14:textId="77777777" w:rsidR="00876A43" w:rsidRDefault="00876A43" w:rsidP="002B283E">
      <w:pPr>
        <w:pStyle w:val="Default"/>
        <w:ind w:firstLine="720"/>
        <w:rPr>
          <w:color w:val="auto"/>
        </w:rPr>
      </w:pPr>
    </w:p>
    <w:p w14:paraId="2AFB15F5" w14:textId="77777777" w:rsidR="003137E9" w:rsidRDefault="003137E9" w:rsidP="002B283E">
      <w:pPr>
        <w:pStyle w:val="Default"/>
        <w:ind w:firstLine="720"/>
        <w:rPr>
          <w:color w:val="auto"/>
        </w:rPr>
      </w:pPr>
    </w:p>
    <w:p w14:paraId="43E8A651" w14:textId="77777777" w:rsidR="00876A43" w:rsidRDefault="00876A43" w:rsidP="002B283E">
      <w:pPr>
        <w:pStyle w:val="Default"/>
        <w:ind w:firstLine="720"/>
        <w:rPr>
          <w:color w:val="auto"/>
        </w:rPr>
      </w:pPr>
    </w:p>
    <w:p w14:paraId="13FA6385" w14:textId="77777777" w:rsidR="00876A43" w:rsidRDefault="00876A43" w:rsidP="002B283E">
      <w:pPr>
        <w:pStyle w:val="Default"/>
        <w:ind w:firstLine="720"/>
        <w:rPr>
          <w:color w:val="auto"/>
        </w:rPr>
      </w:pPr>
    </w:p>
    <w:p w14:paraId="131E5CA3" w14:textId="77777777" w:rsidR="00A73C55" w:rsidRDefault="00A73C55" w:rsidP="002B283E">
      <w:pPr>
        <w:pStyle w:val="Default"/>
        <w:ind w:firstLine="720"/>
        <w:rPr>
          <w:color w:val="auto"/>
        </w:rPr>
      </w:pPr>
    </w:p>
    <w:p w14:paraId="0C3747B1" w14:textId="77777777" w:rsidR="00A73C55" w:rsidRDefault="00A73C55" w:rsidP="002B283E">
      <w:pPr>
        <w:pStyle w:val="Default"/>
        <w:ind w:firstLine="720"/>
        <w:rPr>
          <w:color w:val="auto"/>
        </w:rPr>
      </w:pPr>
    </w:p>
    <w:p w14:paraId="29730652" w14:textId="77777777" w:rsidR="00A73C55" w:rsidRPr="002B283E" w:rsidRDefault="00A73C55" w:rsidP="002B283E">
      <w:pPr>
        <w:pStyle w:val="Default"/>
        <w:ind w:firstLine="720"/>
        <w:rPr>
          <w:color w:val="auto"/>
        </w:rPr>
      </w:pPr>
    </w:p>
    <w:p w14:paraId="7D76A4D8" w14:textId="77777777" w:rsidR="00304EF5" w:rsidRPr="002B283E" w:rsidRDefault="00304EF5" w:rsidP="002B283E">
      <w:pPr>
        <w:autoSpaceDE w:val="0"/>
        <w:autoSpaceDN w:val="0"/>
        <w:adjustRightInd w:val="0"/>
        <w:rPr>
          <w:rFonts w:cs="Times New Roman"/>
          <w:szCs w:val="24"/>
        </w:rPr>
      </w:pPr>
    </w:p>
    <w:p w14:paraId="693C9F4F" w14:textId="69C60E64" w:rsidR="006A4CD7" w:rsidRPr="002B283E" w:rsidRDefault="006A4CD7" w:rsidP="002B283E">
      <w:pPr>
        <w:pStyle w:val="Heading2"/>
      </w:pPr>
      <w:bookmarkStart w:id="223" w:name="_Toc221525210"/>
      <w:bookmarkStart w:id="224" w:name="_Hlk221190381"/>
      <w:r w:rsidRPr="002B283E">
        <w:t>10.1 C</w:t>
      </w:r>
      <w:r w:rsidR="00B3575B" w:rsidRPr="002B283E">
        <w:t>ivil</w:t>
      </w:r>
      <w:r w:rsidRPr="002B283E">
        <w:t xml:space="preserve"> R</w:t>
      </w:r>
      <w:r w:rsidR="00B3575B" w:rsidRPr="002B283E">
        <w:t>ights</w:t>
      </w:r>
      <w:r w:rsidRPr="002B283E">
        <w:t>—T</w:t>
      </w:r>
      <w:r w:rsidR="00B3575B" w:rsidRPr="002B283E">
        <w:t>itle</w:t>
      </w:r>
      <w:r w:rsidRPr="002B283E">
        <w:t xml:space="preserve"> VII—D</w:t>
      </w:r>
      <w:r w:rsidR="00B3575B" w:rsidRPr="002B283E">
        <w:t>isparate</w:t>
      </w:r>
      <w:r w:rsidRPr="002B283E">
        <w:t xml:space="preserve"> T</w:t>
      </w:r>
      <w:r w:rsidR="00B3575B" w:rsidRPr="002B283E">
        <w:t>reatment</w:t>
      </w:r>
      <w:r w:rsidRPr="002B283E">
        <w:t>—</w:t>
      </w:r>
      <w:r w:rsidR="00304EF5" w:rsidRPr="002B283E">
        <w:t xml:space="preserve">Without </w:t>
      </w:r>
      <w:r w:rsidR="009F70BA" w:rsidRPr="002B283E">
        <w:br/>
      </w:r>
      <w:r w:rsidR="00304EF5" w:rsidRPr="002B283E">
        <w:t>Affirmative Defense of</w:t>
      </w:r>
      <w:r w:rsidR="007B75B7" w:rsidRPr="002B283E">
        <w:t xml:space="preserve"> </w:t>
      </w:r>
      <w:r w:rsidR="00304EF5" w:rsidRPr="002B283E">
        <w:t>“Same Decision”</w:t>
      </w:r>
      <w:bookmarkEnd w:id="223"/>
    </w:p>
    <w:p w14:paraId="21F5B2A2" w14:textId="740C0CD8" w:rsidR="00911982" w:rsidRPr="002B283E" w:rsidRDefault="00911982" w:rsidP="002B283E">
      <w:pPr>
        <w:autoSpaceDE w:val="0"/>
        <w:autoSpaceDN w:val="0"/>
        <w:adjustRightInd w:val="0"/>
        <w:rPr>
          <w:rFonts w:cs="Times New Roman"/>
          <w:szCs w:val="24"/>
        </w:rPr>
      </w:pPr>
    </w:p>
    <w:p w14:paraId="419781EE" w14:textId="1EB504FB" w:rsidR="00911982" w:rsidRPr="002B283E" w:rsidRDefault="00911982" w:rsidP="002B283E">
      <w:pPr>
        <w:pStyle w:val="Default"/>
        <w:ind w:firstLine="720"/>
        <w:rPr>
          <w:color w:val="auto"/>
        </w:rPr>
      </w:pPr>
      <w:r w:rsidRPr="002B283E">
        <w:rPr>
          <w:color w:val="auto"/>
        </w:rPr>
        <w:t>For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claim that [he] [she] </w:t>
      </w:r>
      <w:r w:rsidR="007A0652" w:rsidRPr="002B283E">
        <w:t>[</w:t>
      </w:r>
      <w:r w:rsidR="007A0652" w:rsidRPr="002B283E">
        <w:rPr>
          <w:i/>
          <w:iCs/>
          <w:u w:val="single"/>
        </w:rPr>
        <w:t>other pronoun</w:t>
      </w:r>
      <w:r w:rsidR="007A0652" w:rsidRPr="002B283E">
        <w:t>]</w:t>
      </w:r>
      <w:r w:rsidR="007A0652">
        <w:t xml:space="preserve"> </w:t>
      </w:r>
      <w:r w:rsidRPr="002B283E">
        <w:rPr>
          <w:color w:val="auto"/>
        </w:rPr>
        <w:t>was [discharged] [not hired] [not promoted] [demoted] [</w:t>
      </w:r>
      <w:r w:rsidRPr="002B283E">
        <w:rPr>
          <w:i/>
          <w:iCs/>
          <w:color w:val="auto"/>
          <w:u w:val="single"/>
        </w:rPr>
        <w:t>state other adverse action</w:t>
      </w:r>
      <w:r w:rsidRPr="002B283E">
        <w:rPr>
          <w:color w:val="auto"/>
        </w:rPr>
        <w:t xml:space="preserve">] by the defendant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because of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[race] [color] [religion] [sex] [national origin], the plaintiff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 xml:space="preserve">has the burden of proving the following elements by a preponderance of the evidence: </w:t>
      </w:r>
    </w:p>
    <w:p w14:paraId="5DDE18BC" w14:textId="77777777" w:rsidR="00F76F8E" w:rsidRPr="004746BB" w:rsidRDefault="00F76F8E" w:rsidP="00F76F8E">
      <w:pPr>
        <w:pStyle w:val="Default"/>
        <w:ind w:firstLine="720"/>
        <w:rPr>
          <w:color w:val="auto"/>
        </w:rPr>
      </w:pPr>
    </w:p>
    <w:p w14:paraId="2C67BF09" w14:textId="3B953C4F" w:rsidR="00F76F8E" w:rsidRPr="004746BB" w:rsidRDefault="00F76F8E" w:rsidP="00F76F8E">
      <w:pPr>
        <w:widowControl w:val="0"/>
        <w:ind w:firstLine="720"/>
        <w:rPr>
          <w:rFonts w:eastAsia="Calibri" w:cs="Times New Roman"/>
          <w:i/>
          <w:iCs/>
          <w:szCs w:val="24"/>
        </w:rPr>
      </w:pPr>
      <w:r w:rsidRPr="004746BB">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was [discharged] [not hired] [not promoted] [demoted] [</w:t>
      </w:r>
      <w:r w:rsidRPr="004746BB">
        <w:rPr>
          <w:rFonts w:eastAsia="Calibri" w:cs="Times New Roman"/>
          <w:i/>
          <w:iCs/>
          <w:szCs w:val="24"/>
        </w:rPr>
        <w:t>state other adverse action</w:t>
      </w:r>
      <w:r w:rsidRPr="004746BB">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 [and] </w:t>
      </w:r>
    </w:p>
    <w:p w14:paraId="231894D6" w14:textId="77777777" w:rsidR="00F76F8E" w:rsidRPr="004746BB" w:rsidRDefault="00F76F8E" w:rsidP="00F76F8E">
      <w:pPr>
        <w:widowControl w:val="0"/>
        <w:ind w:firstLine="720"/>
        <w:rPr>
          <w:rFonts w:eastAsia="Calibri" w:cs="Times New Roman"/>
          <w:szCs w:val="24"/>
        </w:rPr>
      </w:pPr>
    </w:p>
    <w:p w14:paraId="0112A40C" w14:textId="36E9F8A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[discharged] [failed to hire] [failed to promote] [demoted] [</w:t>
      </w:r>
      <w:r w:rsidRPr="004746BB">
        <w:rPr>
          <w:rFonts w:eastAsia="Calibri" w:cs="Times New Roman"/>
          <w:i/>
          <w:iCs/>
          <w:szCs w:val="24"/>
        </w:rPr>
        <w:t>state other adverse action</w:t>
      </w:r>
      <w:r w:rsidRPr="004746BB">
        <w:rPr>
          <w:rFonts w:eastAsia="Calibri" w:cs="Times New Roman"/>
          <w:szCs w:val="24"/>
        </w:rPr>
        <w:t xml:space="preserve">]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 [;] </w:t>
      </w:r>
    </w:p>
    <w:p w14:paraId="432C0CB8" w14:textId="77777777" w:rsidR="00F76F8E" w:rsidRPr="004746BB" w:rsidRDefault="00F76F8E" w:rsidP="00F76F8E">
      <w:pPr>
        <w:widowControl w:val="0"/>
        <w:rPr>
          <w:rFonts w:eastAsia="Calibri" w:cs="Times New Roman"/>
          <w:szCs w:val="24"/>
        </w:rPr>
      </w:pPr>
    </w:p>
    <w:p w14:paraId="0BF0B6B4" w14:textId="1239D54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[Third, </w:t>
      </w:r>
      <w:r>
        <w:rPr>
          <w:rFonts w:eastAsia="Calibri" w:cs="Times New Roman"/>
          <w:szCs w:val="24"/>
        </w:rPr>
        <w:t>t</w:t>
      </w:r>
      <w:r w:rsidRPr="004746BB">
        <w:rPr>
          <w:rFonts w:eastAsia="Calibri" w:cs="Times New Roman"/>
          <w:szCs w:val="24"/>
        </w:rPr>
        <w:t xml:space="preserve">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4746BB">
        <w:rPr>
          <w:rFonts w:eastAsia="Calibri" w:cs="Times New Roman"/>
          <w:szCs w:val="24"/>
        </w:rPr>
        <w:t xml:space="preserve"> position [.] [;] [and] </w:t>
      </w:r>
    </w:p>
    <w:p w14:paraId="2C9DDDC0" w14:textId="77777777" w:rsidR="00F76F8E" w:rsidRPr="004746BB" w:rsidRDefault="00F76F8E" w:rsidP="00F76F8E">
      <w:pPr>
        <w:widowControl w:val="0"/>
        <w:rPr>
          <w:rFonts w:eastAsia="Calibri" w:cs="Times New Roman"/>
          <w:szCs w:val="24"/>
        </w:rPr>
      </w:pPr>
    </w:p>
    <w:p w14:paraId="3F50D7BB" w14:textId="2BECC8C9" w:rsidR="00F76F8E" w:rsidRPr="004746BB" w:rsidRDefault="00F76F8E" w:rsidP="00F76F8E">
      <w:pPr>
        <w:widowControl w:val="0"/>
        <w:ind w:firstLine="720"/>
        <w:rPr>
          <w:rFonts w:eastAsia="Calibri" w:cs="Times New Roman"/>
          <w:szCs w:val="24"/>
        </w:rPr>
      </w:pPr>
      <w:r w:rsidRPr="004746BB">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were treated more favorably.] </w:t>
      </w:r>
    </w:p>
    <w:p w14:paraId="1B70F7A1" w14:textId="77777777" w:rsidR="00F76F8E" w:rsidRPr="004746BB" w:rsidRDefault="00F76F8E" w:rsidP="00F76F8E">
      <w:pPr>
        <w:widowControl w:val="0"/>
        <w:ind w:firstLine="720"/>
        <w:rPr>
          <w:rFonts w:eastAsia="Calibri" w:cs="Times New Roman"/>
          <w:szCs w:val="24"/>
        </w:rPr>
      </w:pPr>
    </w:p>
    <w:p w14:paraId="57D89508" w14:textId="5C9B8714" w:rsidR="00F76F8E" w:rsidRPr="004746BB" w:rsidRDefault="00F76F8E" w:rsidP="00F76F8E">
      <w:pPr>
        <w:pStyle w:val="Default"/>
        <w:ind w:firstLine="720"/>
        <w:rPr>
          <w:color w:val="auto"/>
        </w:rPr>
      </w:pPr>
      <w:r w:rsidRPr="004746BB">
        <w:rPr>
          <w:color w:val="auto"/>
        </w:rPr>
        <w:t xml:space="preserve">If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 xml:space="preserve">has proven each of these elements by a preponderance of the evidence,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is entitled to your verdict.</w:t>
      </w:r>
    </w:p>
    <w:p w14:paraId="2ADA40EE" w14:textId="77777777" w:rsidR="00F76F8E" w:rsidRPr="004746BB" w:rsidRDefault="00F76F8E" w:rsidP="00F76F8E">
      <w:pPr>
        <w:pStyle w:val="Default"/>
        <w:ind w:firstLine="720"/>
        <w:rPr>
          <w:color w:val="auto"/>
        </w:rPr>
      </w:pPr>
      <w:r w:rsidRPr="004746BB">
        <w:rPr>
          <w:color w:val="auto"/>
        </w:rPr>
        <w:t xml:space="preserve"> </w:t>
      </w:r>
    </w:p>
    <w:p w14:paraId="11F9A8F4" w14:textId="77777777" w:rsidR="00F76F8E" w:rsidRPr="004746BB" w:rsidRDefault="00F76F8E" w:rsidP="00F76F8E">
      <w:pPr>
        <w:pStyle w:val="Default"/>
        <w:jc w:val="center"/>
        <w:rPr>
          <w:b/>
          <w:bCs/>
          <w:color w:val="auto"/>
        </w:rPr>
      </w:pPr>
      <w:r w:rsidRPr="004746BB">
        <w:rPr>
          <w:b/>
          <w:bCs/>
          <w:color w:val="auto"/>
        </w:rPr>
        <w:t>Comment</w:t>
      </w:r>
    </w:p>
    <w:p w14:paraId="31D35EDA" w14:textId="77777777" w:rsidR="00F76F8E" w:rsidRPr="004746BB" w:rsidRDefault="00F76F8E" w:rsidP="00F76F8E">
      <w:pPr>
        <w:autoSpaceDE w:val="0"/>
        <w:autoSpaceDN w:val="0"/>
        <w:adjustRightInd w:val="0"/>
        <w:rPr>
          <w:rFonts w:cs="Times New Roman"/>
          <w:szCs w:val="24"/>
        </w:rPr>
      </w:pPr>
    </w:p>
    <w:p w14:paraId="14EA8C3E" w14:textId="351B829F" w:rsidR="00F76F8E" w:rsidRPr="004746BB" w:rsidRDefault="00F76F8E" w:rsidP="00F76F8E">
      <w:pPr>
        <w:widowControl w:val="0"/>
        <w:ind w:firstLine="720"/>
        <w:rPr>
          <w:rFonts w:eastAsia="Calibri" w:cs="Times New Roman"/>
          <w:i/>
          <w:iCs/>
          <w:szCs w:val="24"/>
        </w:rPr>
      </w:pPr>
      <w:r w:rsidRPr="004746BB">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004E6C76" w:rsidRPr="004E6C76">
        <w:rPr>
          <w:rFonts w:cs="Times New Roman"/>
          <w:i/>
          <w:iCs/>
          <w:szCs w:val="24"/>
        </w:rPr>
        <w:t>Hittle v. City of Stockton</w:t>
      </w:r>
      <w:r w:rsidR="004E6C76" w:rsidRPr="004E6C76">
        <w:rPr>
          <w:rFonts w:cs="Times New Roman"/>
          <w:szCs w:val="24"/>
        </w:rPr>
        <w:t>, 101 F.4th 1000, 1011-12 (9th Cir. 2024)</w:t>
      </w:r>
      <w:r w:rsidR="00A87F6E" w:rsidRPr="004E6C76">
        <w:rPr>
          <w:rFonts w:cs="Times New Roman"/>
          <w:szCs w:val="24"/>
        </w:rPr>
        <w:t xml:space="preserve">. </w:t>
      </w:r>
      <w:r w:rsidRPr="004E6C76">
        <w:rPr>
          <w:rFonts w:cs="Times New Roman"/>
          <w:szCs w:val="24"/>
        </w:rPr>
        <w:t>If</w:t>
      </w:r>
      <w:r w:rsidRPr="004746BB">
        <w:rPr>
          <w:rFonts w:cs="Times New Roman"/>
          <w:szCs w:val="24"/>
        </w:rPr>
        <w:t xml:space="preserve"> it is disputed that plaintiff is qualified for </w:t>
      </w:r>
      <w:r w:rsidR="00A73C55">
        <w:rPr>
          <w:rFonts w:cs="Times New Roman"/>
          <w:szCs w:val="24"/>
        </w:rPr>
        <w:t xml:space="preserve">a </w:t>
      </w:r>
      <w:r w:rsidRPr="004746BB">
        <w:rPr>
          <w:rFonts w:cs="Times New Roman"/>
          <w:szCs w:val="24"/>
        </w:rPr>
        <w:t xml:space="preserve">position and that similarly situated individuals outside of plaintiff’s protected class were treated more favorably, add the bracketed elements. “Other employees are similarly situated to the plaintiff when they have similar jobs and display similar conduct.” </w:t>
      </w:r>
      <w:r w:rsidR="004E6C76" w:rsidRPr="004E6C76">
        <w:rPr>
          <w:rFonts w:cs="Times New Roman"/>
          <w:i/>
          <w:iCs/>
          <w:szCs w:val="24"/>
        </w:rPr>
        <w:t>Berry v. Dep</w:t>
      </w:r>
      <w:r w:rsidR="003137E9">
        <w:rPr>
          <w:rFonts w:cs="Times New Roman"/>
          <w:i/>
          <w:iCs/>
          <w:szCs w:val="24"/>
        </w:rPr>
        <w:t>’</w:t>
      </w:r>
      <w:r w:rsidR="004E6C76" w:rsidRPr="004E6C76">
        <w:rPr>
          <w:rFonts w:cs="Times New Roman"/>
          <w:i/>
          <w:iCs/>
          <w:szCs w:val="24"/>
        </w:rPr>
        <w:t>t of Soc. Servs</w:t>
      </w:r>
      <w:r w:rsidR="004E6C76" w:rsidRPr="004E6C76">
        <w:rPr>
          <w:rFonts w:cs="Times New Roman"/>
          <w:szCs w:val="24"/>
        </w:rPr>
        <w:t>., 447 F.3d 642, 656 (9th Cir. 2006)</w:t>
      </w:r>
      <w:r w:rsidR="004E6C76" w:rsidRPr="004E6C76" w:rsidDel="006C0A51">
        <w:rPr>
          <w:rFonts w:cs="Times New Roman"/>
          <w:i/>
          <w:iCs/>
          <w:szCs w:val="24"/>
        </w:rPr>
        <w:t xml:space="preserve"> </w:t>
      </w:r>
      <w:r w:rsidRPr="004746BB">
        <w:rPr>
          <w:rFonts w:cs="Times New Roman"/>
          <w:szCs w:val="24"/>
        </w:rPr>
        <w:t xml:space="preserve">(quoting </w:t>
      </w:r>
      <w:r w:rsidRPr="004746BB">
        <w:rPr>
          <w:rFonts w:cs="Times New Roman"/>
          <w:i/>
          <w:iCs/>
          <w:szCs w:val="24"/>
        </w:rPr>
        <w:t>Earl v. Nielsen Media Rsch., Inc</w:t>
      </w:r>
      <w:r w:rsidRPr="004746BB">
        <w:rPr>
          <w:rFonts w:cs="Times New Roman"/>
          <w:szCs w:val="24"/>
        </w:rPr>
        <w:t>., 658 F.3d 1108, 1114 (9th Cir. 2011) (internal quotation marks omitted))</w:t>
      </w:r>
      <w:r w:rsidR="00A87F6E">
        <w:rPr>
          <w:rFonts w:cs="Times New Roman"/>
          <w:szCs w:val="24"/>
        </w:rPr>
        <w:t xml:space="preserve">. </w:t>
      </w:r>
      <w:r w:rsidRPr="004746BB">
        <w:rPr>
          <w:rFonts w:eastAsia="Calibri" w:cs="Times New Roman"/>
          <w:szCs w:val="24"/>
        </w:rPr>
        <w:t xml:space="preserve">For detailed discussions of disparate treatment claims arising under the Fair Housing Act, </w:t>
      </w:r>
      <w:r w:rsidRPr="004746BB">
        <w:rPr>
          <w:rFonts w:eastAsia="Calibri" w:cs="Times New Roman"/>
          <w:i/>
          <w:iCs/>
          <w:szCs w:val="24"/>
        </w:rPr>
        <w:t>see Ohio House, LLC v. City of Costa Mesa</w:t>
      </w:r>
      <w:r w:rsidRPr="004746BB">
        <w:rPr>
          <w:rFonts w:eastAsia="Calibri" w:cs="Times New Roman"/>
          <w:szCs w:val="24"/>
        </w:rPr>
        <w:t>, 135 F.4th 645, 661-66 (9th Cir. 2025) and</w:t>
      </w:r>
      <w:r w:rsidRPr="004746BB">
        <w:rPr>
          <w:rFonts w:eastAsia="Calibri" w:cs="Times New Roman"/>
          <w:i/>
          <w:iCs/>
          <w:szCs w:val="24"/>
        </w:rPr>
        <w:t xml:space="preserve"> Community House, Inc. v. City of Boise</w:t>
      </w:r>
      <w:r w:rsidRPr="004746BB">
        <w:rPr>
          <w:rFonts w:eastAsia="Calibri" w:cs="Times New Roman"/>
          <w:szCs w:val="24"/>
        </w:rPr>
        <w:t>, 490 F.3d 1041, 1048-53 (9th Cir. 2007).</w:t>
      </w:r>
    </w:p>
    <w:p w14:paraId="0512DF19" w14:textId="77777777" w:rsidR="00F76F8E" w:rsidRPr="004746BB" w:rsidRDefault="00F76F8E" w:rsidP="00F76F8E">
      <w:pPr>
        <w:pStyle w:val="Default"/>
        <w:ind w:firstLine="720"/>
        <w:rPr>
          <w:color w:val="auto"/>
        </w:rPr>
      </w:pPr>
    </w:p>
    <w:p w14:paraId="40057AE1" w14:textId="7DDACB8D" w:rsidR="00F76F8E" w:rsidRPr="007149A6" w:rsidRDefault="00F76F8E" w:rsidP="007149A6">
      <w:pPr>
        <w:pStyle w:val="Default"/>
        <w:ind w:firstLine="720"/>
        <w:rPr>
          <w:rFonts w:eastAsia="Calibri"/>
        </w:rPr>
      </w:pPr>
      <w:r w:rsidRPr="004746BB">
        <w:rPr>
          <w:color w:val="auto"/>
        </w:rPr>
        <w:t xml:space="preserve">When the alleged discrimination is based on sexual orientation, gender identity, transgender status, or the like, the word “sex” in the instruction should be modified or explained consistent with </w:t>
      </w:r>
      <w:r w:rsidRPr="004746BB">
        <w:rPr>
          <w:i/>
          <w:iCs/>
          <w:color w:val="auto"/>
        </w:rPr>
        <w:t>Bostock v. Clayton County</w:t>
      </w:r>
      <w:r w:rsidRPr="004746BB">
        <w:rPr>
          <w:color w:val="auto"/>
        </w:rPr>
        <w:t xml:space="preserve">, 590 U.S. 644, </w:t>
      </w:r>
      <w:r w:rsidR="004E6C76" w:rsidRPr="004E6C76">
        <w:rPr>
          <w:color w:val="auto"/>
        </w:rPr>
        <w:t xml:space="preserve">658-59, </w:t>
      </w:r>
      <w:r w:rsidRPr="004746BB">
        <w:rPr>
          <w:color w:val="auto"/>
        </w:rPr>
        <w:t xml:space="preserve">682-83 (2020) (holding </w:t>
      </w:r>
      <w:r w:rsidR="003137E9">
        <w:rPr>
          <w:color w:val="auto"/>
        </w:rPr>
        <w:t xml:space="preserve">that </w:t>
      </w:r>
      <w:r w:rsidRPr="004746BB">
        <w:rPr>
          <w:color w:val="auto"/>
        </w:rPr>
        <w:t xml:space="preserve">employer violates Title VII by firing individual based on sexual orientation or gender identity). </w:t>
      </w:r>
      <w:r w:rsidRPr="004746BB">
        <w:rPr>
          <w:color w:val="auto"/>
        </w:rPr>
        <w:lastRenderedPageBreak/>
        <w:t xml:space="preserve">“Paramour preference,” however, does not constitute discrimination on the basis of sex. </w:t>
      </w:r>
      <w:r w:rsidRPr="004746BB">
        <w:rPr>
          <w:i/>
          <w:iCs/>
          <w:color w:val="auto"/>
        </w:rPr>
        <w:t>Maner v. Dignity Health</w:t>
      </w:r>
      <w:r w:rsidRPr="004746BB">
        <w:rPr>
          <w:color w:val="auto"/>
        </w:rPr>
        <w:t xml:space="preserve">, 9 F.4th 1114, 1116 (9th Cir. 2021). </w:t>
      </w:r>
      <w:r w:rsidR="004E6C76" w:rsidRPr="004E6C76">
        <w:rPr>
          <w:color w:val="auto"/>
        </w:rPr>
        <w:t xml:space="preserve">When the alleged discrimination is based on religion, “[d]iscrimination on the basis of religious beliefs is discrimination on the basis of religion for purposes of Title VII,” and “in the context of Free Exercise claims, it is well-established that an individual may sincerely hold a religious belief that is not reflected in a biblical passage or scripture.” </w:t>
      </w:r>
      <w:r w:rsidR="004E6C76" w:rsidRPr="004E6C76">
        <w:rPr>
          <w:i/>
          <w:iCs/>
          <w:color w:val="auto"/>
        </w:rPr>
        <w:t>Damiano v. Grants Pass Sch. Dist. No. 7</w:t>
      </w:r>
      <w:r w:rsidR="004E6C76" w:rsidRPr="004E6C76">
        <w:rPr>
          <w:color w:val="auto"/>
        </w:rPr>
        <w:t>, 140 F.4th 1117, 1155 (9th Cir. 2025).</w:t>
      </w:r>
      <w:r w:rsidR="007149A6">
        <w:rPr>
          <w:color w:val="auto"/>
        </w:rPr>
        <w:t xml:space="preserve"> </w:t>
      </w:r>
      <w:r w:rsidR="007149A6" w:rsidRPr="00D86BCF">
        <w:rPr>
          <w:rFonts w:eastAsia="Calibri"/>
        </w:rPr>
        <w:t xml:space="preserve">However, “[i]nvocations of broad, religious tenets cannot, on their own, convert a secular preference into a religious conviction” for purposes of a religious discrimination claim. </w:t>
      </w:r>
      <w:r w:rsidR="007149A6" w:rsidRPr="00D86BCF">
        <w:rPr>
          <w:rFonts w:eastAsia="Calibri"/>
          <w:i/>
          <w:iCs/>
        </w:rPr>
        <w:t>Detwiler v. Mid-Columbia Med. Ctr.</w:t>
      </w:r>
      <w:r w:rsidR="007149A6" w:rsidRPr="00D86BCF">
        <w:rPr>
          <w:rFonts w:eastAsia="Calibri"/>
        </w:rPr>
        <w:t>, 156 F.4th 886, 890 (9th Cir. 2025).</w:t>
      </w:r>
    </w:p>
    <w:p w14:paraId="2D47D771" w14:textId="77777777" w:rsidR="00F76F8E" w:rsidRPr="004746BB" w:rsidRDefault="00F76F8E" w:rsidP="00F76F8E">
      <w:pPr>
        <w:pStyle w:val="Default"/>
        <w:ind w:firstLine="720"/>
        <w:rPr>
          <w:color w:val="auto"/>
        </w:rPr>
      </w:pPr>
    </w:p>
    <w:p w14:paraId="79E05148" w14:textId="4DBFCB4B" w:rsidR="007149A6" w:rsidRPr="007149A6" w:rsidRDefault="00F76F8E" w:rsidP="007149A6">
      <w:pPr>
        <w:ind w:firstLine="720"/>
        <w:rPr>
          <w:rFonts w:cs="Times New Roman"/>
          <w:szCs w:val="24"/>
        </w:rPr>
      </w:pPr>
      <w:r w:rsidRPr="004746BB">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4746BB">
        <w:rPr>
          <w:rFonts w:cs="Times New Roman"/>
          <w:i/>
          <w:iCs/>
          <w:szCs w:val="24"/>
        </w:rPr>
        <w:t>See</w:t>
      </w:r>
      <w:r w:rsidRPr="004746BB">
        <w:rPr>
          <w:rFonts w:cs="Times New Roman"/>
          <w:szCs w:val="24"/>
        </w:rPr>
        <w:t xml:space="preserve"> 42 U.S.C. § 2000e-5(g)(2)(B). Based on 42 U.S.C. § 2000e-2(m), there does not appear to be any reason to deny a plaintiff that option. If a plaintiff so elects, a model instruction on that point is found in 10.2.</w:t>
      </w:r>
    </w:p>
    <w:p w14:paraId="2D9B3749" w14:textId="77777777" w:rsidR="007149A6" w:rsidRPr="00E455EE" w:rsidRDefault="007149A6" w:rsidP="007149A6">
      <w:pPr>
        <w:rPr>
          <w:rFonts w:eastAsia="Calibri" w:cs="Times New Roman"/>
        </w:rPr>
      </w:pPr>
    </w:p>
    <w:p w14:paraId="36A4B660" w14:textId="3A97728B" w:rsidR="007149A6" w:rsidRPr="00E455EE" w:rsidRDefault="007149A6" w:rsidP="007149A6">
      <w:pPr>
        <w:jc w:val="right"/>
        <w:rPr>
          <w:rFonts w:eastAsia="Calibri" w:cs="Times New Roman"/>
          <w:i/>
          <w:iCs/>
        </w:rPr>
      </w:pPr>
      <w:r w:rsidRPr="00E455EE">
        <w:rPr>
          <w:rFonts w:eastAsia="Calibri" w:cs="Times New Roman"/>
          <w:i/>
          <w:iCs/>
        </w:rPr>
        <w:t xml:space="preserve">Revised </w:t>
      </w:r>
      <w:r>
        <w:rPr>
          <w:rFonts w:eastAsia="Calibri" w:cs="Times New Roman"/>
          <w:i/>
          <w:iCs/>
        </w:rPr>
        <w:t xml:space="preserve">December </w:t>
      </w:r>
      <w:r w:rsidRPr="00E455EE">
        <w:rPr>
          <w:rFonts w:eastAsia="Calibri" w:cs="Times New Roman"/>
          <w:i/>
          <w:iCs/>
        </w:rPr>
        <w:t>2025</w:t>
      </w:r>
    </w:p>
    <w:bookmarkEnd w:id="224"/>
    <w:p w14:paraId="3E884515" w14:textId="77777777" w:rsidR="007149A6" w:rsidRPr="002B283E" w:rsidRDefault="007149A6" w:rsidP="002B283E">
      <w:pPr>
        <w:autoSpaceDE w:val="0"/>
        <w:autoSpaceDN w:val="0"/>
        <w:adjustRightInd w:val="0"/>
        <w:jc w:val="right"/>
        <w:rPr>
          <w:rFonts w:cs="Times New Roman"/>
          <w:i/>
          <w:iCs/>
          <w:szCs w:val="24"/>
        </w:rPr>
      </w:pPr>
    </w:p>
    <w:p w14:paraId="2C34F240" w14:textId="063E5493" w:rsidR="00911982" w:rsidRPr="002B283E" w:rsidRDefault="00911982" w:rsidP="002B283E">
      <w:pPr>
        <w:autoSpaceDE w:val="0"/>
        <w:autoSpaceDN w:val="0"/>
        <w:adjustRightInd w:val="0"/>
        <w:rPr>
          <w:rFonts w:cs="Times New Roman"/>
          <w:szCs w:val="24"/>
        </w:rPr>
      </w:pPr>
    </w:p>
    <w:p w14:paraId="203F3E48" w14:textId="35451072" w:rsidR="00911982" w:rsidRPr="002B283E" w:rsidRDefault="00911982" w:rsidP="002B283E">
      <w:pPr>
        <w:autoSpaceDE w:val="0"/>
        <w:autoSpaceDN w:val="0"/>
        <w:adjustRightInd w:val="0"/>
        <w:rPr>
          <w:rFonts w:cs="Times New Roman"/>
          <w:szCs w:val="24"/>
        </w:rPr>
      </w:pPr>
    </w:p>
    <w:p w14:paraId="3594B969" w14:textId="2599BC60" w:rsidR="00911982" w:rsidRPr="002B283E" w:rsidRDefault="00911982" w:rsidP="002B283E">
      <w:pPr>
        <w:autoSpaceDE w:val="0"/>
        <w:autoSpaceDN w:val="0"/>
        <w:adjustRightInd w:val="0"/>
        <w:rPr>
          <w:rFonts w:cs="Times New Roman"/>
          <w:szCs w:val="24"/>
        </w:rPr>
      </w:pPr>
    </w:p>
    <w:p w14:paraId="15DC7071" w14:textId="44D2500E" w:rsidR="00911982" w:rsidRPr="002B283E" w:rsidRDefault="00911982" w:rsidP="002B283E">
      <w:pPr>
        <w:autoSpaceDE w:val="0"/>
        <w:autoSpaceDN w:val="0"/>
        <w:adjustRightInd w:val="0"/>
        <w:rPr>
          <w:rFonts w:cs="Times New Roman"/>
          <w:szCs w:val="24"/>
        </w:rPr>
      </w:pPr>
    </w:p>
    <w:p w14:paraId="5355FAFB" w14:textId="248A5D7B" w:rsidR="00911982" w:rsidRPr="002B283E" w:rsidRDefault="00911982" w:rsidP="002B283E">
      <w:pPr>
        <w:autoSpaceDE w:val="0"/>
        <w:autoSpaceDN w:val="0"/>
        <w:adjustRightInd w:val="0"/>
        <w:rPr>
          <w:rFonts w:cs="Times New Roman"/>
          <w:szCs w:val="24"/>
        </w:rPr>
      </w:pPr>
    </w:p>
    <w:p w14:paraId="6B30F98B" w14:textId="50E23CBC" w:rsidR="00911982" w:rsidRPr="002B283E" w:rsidRDefault="00911982" w:rsidP="002B283E">
      <w:pPr>
        <w:autoSpaceDE w:val="0"/>
        <w:autoSpaceDN w:val="0"/>
        <w:adjustRightInd w:val="0"/>
        <w:rPr>
          <w:rFonts w:cs="Times New Roman"/>
          <w:szCs w:val="24"/>
        </w:rPr>
      </w:pPr>
    </w:p>
    <w:p w14:paraId="1240E03A" w14:textId="5DE6C212" w:rsidR="00911982" w:rsidRPr="002B283E" w:rsidRDefault="00911982" w:rsidP="002B283E">
      <w:pPr>
        <w:autoSpaceDE w:val="0"/>
        <w:autoSpaceDN w:val="0"/>
        <w:adjustRightInd w:val="0"/>
        <w:rPr>
          <w:rFonts w:cs="Times New Roman"/>
          <w:szCs w:val="24"/>
        </w:rPr>
      </w:pPr>
    </w:p>
    <w:p w14:paraId="78B024CC" w14:textId="18809468" w:rsidR="00911982" w:rsidRPr="002B283E" w:rsidRDefault="00911982" w:rsidP="002B283E">
      <w:pPr>
        <w:autoSpaceDE w:val="0"/>
        <w:autoSpaceDN w:val="0"/>
        <w:adjustRightInd w:val="0"/>
        <w:rPr>
          <w:rFonts w:cs="Times New Roman"/>
          <w:szCs w:val="24"/>
        </w:rPr>
      </w:pPr>
    </w:p>
    <w:p w14:paraId="17CA1BA5" w14:textId="3F9355D1" w:rsidR="00911982" w:rsidRPr="002B283E" w:rsidRDefault="00911982" w:rsidP="002B283E">
      <w:pPr>
        <w:autoSpaceDE w:val="0"/>
        <w:autoSpaceDN w:val="0"/>
        <w:adjustRightInd w:val="0"/>
        <w:rPr>
          <w:rFonts w:cs="Times New Roman"/>
          <w:szCs w:val="24"/>
        </w:rPr>
      </w:pPr>
    </w:p>
    <w:p w14:paraId="12501AB4" w14:textId="261D34D2" w:rsidR="00911982" w:rsidRPr="002B283E" w:rsidRDefault="00911982" w:rsidP="002B283E">
      <w:pPr>
        <w:autoSpaceDE w:val="0"/>
        <w:autoSpaceDN w:val="0"/>
        <w:adjustRightInd w:val="0"/>
        <w:rPr>
          <w:rFonts w:cs="Times New Roman"/>
          <w:szCs w:val="24"/>
        </w:rPr>
      </w:pPr>
    </w:p>
    <w:p w14:paraId="4980366D" w14:textId="56B4E124" w:rsidR="00911982" w:rsidRPr="002B283E" w:rsidRDefault="00911982" w:rsidP="002B283E">
      <w:pPr>
        <w:autoSpaceDE w:val="0"/>
        <w:autoSpaceDN w:val="0"/>
        <w:adjustRightInd w:val="0"/>
        <w:rPr>
          <w:rFonts w:cs="Times New Roman"/>
          <w:szCs w:val="24"/>
        </w:rPr>
      </w:pPr>
    </w:p>
    <w:p w14:paraId="742E1158" w14:textId="265C530F" w:rsidR="00911982" w:rsidRPr="002B283E" w:rsidRDefault="00911982" w:rsidP="002B283E">
      <w:pPr>
        <w:autoSpaceDE w:val="0"/>
        <w:autoSpaceDN w:val="0"/>
        <w:adjustRightInd w:val="0"/>
        <w:rPr>
          <w:rFonts w:cs="Times New Roman"/>
          <w:szCs w:val="24"/>
        </w:rPr>
      </w:pPr>
    </w:p>
    <w:p w14:paraId="3EEB241E" w14:textId="5DD5592E" w:rsidR="00911982" w:rsidRPr="002B283E" w:rsidRDefault="00911982" w:rsidP="002B283E">
      <w:pPr>
        <w:autoSpaceDE w:val="0"/>
        <w:autoSpaceDN w:val="0"/>
        <w:adjustRightInd w:val="0"/>
        <w:rPr>
          <w:rFonts w:cs="Times New Roman"/>
          <w:szCs w:val="24"/>
        </w:rPr>
      </w:pPr>
    </w:p>
    <w:p w14:paraId="5CCB2216" w14:textId="77E780CD" w:rsidR="00911982" w:rsidRPr="002B283E" w:rsidRDefault="00911982" w:rsidP="002B283E">
      <w:pPr>
        <w:autoSpaceDE w:val="0"/>
        <w:autoSpaceDN w:val="0"/>
        <w:adjustRightInd w:val="0"/>
        <w:rPr>
          <w:rFonts w:cs="Times New Roman"/>
          <w:szCs w:val="24"/>
        </w:rPr>
      </w:pPr>
    </w:p>
    <w:p w14:paraId="07453E60" w14:textId="06768CC5" w:rsidR="00911982" w:rsidRPr="002B283E" w:rsidRDefault="00911982" w:rsidP="002B283E">
      <w:pPr>
        <w:autoSpaceDE w:val="0"/>
        <w:autoSpaceDN w:val="0"/>
        <w:adjustRightInd w:val="0"/>
        <w:rPr>
          <w:rFonts w:cs="Times New Roman"/>
          <w:szCs w:val="24"/>
        </w:rPr>
      </w:pPr>
    </w:p>
    <w:p w14:paraId="0D031545" w14:textId="4A53B848" w:rsidR="00911982" w:rsidRPr="002B283E" w:rsidRDefault="00911982" w:rsidP="002B283E">
      <w:pPr>
        <w:autoSpaceDE w:val="0"/>
        <w:autoSpaceDN w:val="0"/>
        <w:adjustRightInd w:val="0"/>
        <w:rPr>
          <w:rFonts w:cs="Times New Roman"/>
          <w:szCs w:val="24"/>
        </w:rPr>
      </w:pPr>
    </w:p>
    <w:p w14:paraId="08D16F30" w14:textId="65A32D6C" w:rsidR="00911982" w:rsidRPr="002B283E" w:rsidRDefault="00911982" w:rsidP="002B283E">
      <w:pPr>
        <w:autoSpaceDE w:val="0"/>
        <w:autoSpaceDN w:val="0"/>
        <w:adjustRightInd w:val="0"/>
        <w:rPr>
          <w:rFonts w:cs="Times New Roman"/>
          <w:szCs w:val="24"/>
        </w:rPr>
      </w:pPr>
    </w:p>
    <w:p w14:paraId="40126FC9" w14:textId="1E574CE9" w:rsidR="00911982" w:rsidRPr="002B283E" w:rsidRDefault="00911982" w:rsidP="002B283E">
      <w:pPr>
        <w:autoSpaceDE w:val="0"/>
        <w:autoSpaceDN w:val="0"/>
        <w:adjustRightInd w:val="0"/>
        <w:rPr>
          <w:rFonts w:cs="Times New Roman"/>
          <w:szCs w:val="24"/>
        </w:rPr>
      </w:pPr>
    </w:p>
    <w:p w14:paraId="162E46C9" w14:textId="085E5315" w:rsidR="00911982" w:rsidRPr="002B283E" w:rsidRDefault="00911982" w:rsidP="002B283E">
      <w:pPr>
        <w:autoSpaceDE w:val="0"/>
        <w:autoSpaceDN w:val="0"/>
        <w:adjustRightInd w:val="0"/>
        <w:rPr>
          <w:rFonts w:cs="Times New Roman"/>
          <w:szCs w:val="24"/>
        </w:rPr>
      </w:pPr>
    </w:p>
    <w:p w14:paraId="25A5F9BD" w14:textId="6B6A8879" w:rsidR="00911982" w:rsidRPr="002B283E" w:rsidRDefault="00911982" w:rsidP="002B283E">
      <w:pPr>
        <w:autoSpaceDE w:val="0"/>
        <w:autoSpaceDN w:val="0"/>
        <w:adjustRightInd w:val="0"/>
        <w:rPr>
          <w:rFonts w:cs="Times New Roman"/>
          <w:szCs w:val="24"/>
        </w:rPr>
      </w:pPr>
    </w:p>
    <w:p w14:paraId="7102685D" w14:textId="046AB2E5" w:rsidR="00911982" w:rsidRPr="002B283E" w:rsidRDefault="00911982" w:rsidP="002B283E">
      <w:pPr>
        <w:autoSpaceDE w:val="0"/>
        <w:autoSpaceDN w:val="0"/>
        <w:adjustRightInd w:val="0"/>
        <w:rPr>
          <w:rFonts w:cs="Times New Roman"/>
          <w:szCs w:val="24"/>
        </w:rPr>
      </w:pPr>
    </w:p>
    <w:p w14:paraId="0C5DBF74" w14:textId="03868AD4" w:rsidR="00911982" w:rsidRPr="002B283E" w:rsidRDefault="00911982" w:rsidP="002B283E">
      <w:pPr>
        <w:autoSpaceDE w:val="0"/>
        <w:autoSpaceDN w:val="0"/>
        <w:adjustRightInd w:val="0"/>
        <w:rPr>
          <w:rFonts w:cs="Times New Roman"/>
          <w:szCs w:val="24"/>
        </w:rPr>
      </w:pPr>
    </w:p>
    <w:p w14:paraId="5B8897A5" w14:textId="222E6A5D" w:rsidR="00911982" w:rsidRPr="002B283E" w:rsidRDefault="00911982" w:rsidP="002B283E">
      <w:pPr>
        <w:autoSpaceDE w:val="0"/>
        <w:autoSpaceDN w:val="0"/>
        <w:adjustRightInd w:val="0"/>
        <w:rPr>
          <w:rFonts w:cs="Times New Roman"/>
          <w:szCs w:val="24"/>
        </w:rPr>
      </w:pPr>
    </w:p>
    <w:p w14:paraId="69B327F5" w14:textId="1910C85C" w:rsidR="00911982" w:rsidRPr="002B283E" w:rsidRDefault="00911982" w:rsidP="002B283E">
      <w:pPr>
        <w:autoSpaceDE w:val="0"/>
        <w:autoSpaceDN w:val="0"/>
        <w:adjustRightInd w:val="0"/>
        <w:rPr>
          <w:rFonts w:cs="Times New Roman"/>
          <w:szCs w:val="24"/>
        </w:rPr>
      </w:pPr>
    </w:p>
    <w:p w14:paraId="07499860" w14:textId="77777777" w:rsidR="00DF08DC" w:rsidRDefault="00DF08DC" w:rsidP="002B283E">
      <w:pPr>
        <w:autoSpaceDE w:val="0"/>
        <w:autoSpaceDN w:val="0"/>
        <w:adjustRightInd w:val="0"/>
        <w:rPr>
          <w:rFonts w:cs="Times New Roman"/>
          <w:szCs w:val="24"/>
        </w:rPr>
      </w:pPr>
    </w:p>
    <w:p w14:paraId="00347417" w14:textId="77777777" w:rsidR="003137E9" w:rsidRPr="002B283E" w:rsidRDefault="003137E9" w:rsidP="002B283E">
      <w:pPr>
        <w:autoSpaceDE w:val="0"/>
        <w:autoSpaceDN w:val="0"/>
        <w:adjustRightInd w:val="0"/>
        <w:rPr>
          <w:rFonts w:cs="Times New Roman"/>
          <w:szCs w:val="24"/>
        </w:rPr>
      </w:pPr>
    </w:p>
    <w:p w14:paraId="6EE6CFE5" w14:textId="27C27B08" w:rsidR="00911982" w:rsidRPr="002B283E" w:rsidRDefault="00911982" w:rsidP="002B283E">
      <w:pPr>
        <w:autoSpaceDE w:val="0"/>
        <w:autoSpaceDN w:val="0"/>
        <w:adjustRightInd w:val="0"/>
        <w:rPr>
          <w:rFonts w:cs="Times New Roman"/>
          <w:szCs w:val="24"/>
        </w:rPr>
      </w:pPr>
    </w:p>
    <w:p w14:paraId="748F2A3D" w14:textId="2F7B2400" w:rsidR="006A4CD7" w:rsidRPr="002B283E" w:rsidRDefault="006A4CD7" w:rsidP="002B283E">
      <w:pPr>
        <w:pStyle w:val="Heading2"/>
      </w:pPr>
      <w:bookmarkStart w:id="225" w:name="_Toc221525211"/>
      <w:r w:rsidRPr="002B283E">
        <w:t>10.2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911982" w:rsidRPr="002B283E">
        <w:t xml:space="preserve">With </w:t>
      </w:r>
      <w:r w:rsidR="009F70BA" w:rsidRPr="002B283E">
        <w:br/>
      </w:r>
      <w:r w:rsidR="00911982" w:rsidRPr="002B283E">
        <w:t>Affirmative Defense of “Same Decision”</w:t>
      </w:r>
      <w:bookmarkEnd w:id="225"/>
    </w:p>
    <w:p w14:paraId="33E6E4E0" w14:textId="721F5882" w:rsidR="007A5BA1" w:rsidRPr="002B283E" w:rsidRDefault="006A4CD7" w:rsidP="002B283E">
      <w:pPr>
        <w:rPr>
          <w:rFonts w:cs="Times New Roman"/>
          <w:szCs w:val="24"/>
        </w:rPr>
      </w:pPr>
      <w:r w:rsidRPr="002B283E">
        <w:rPr>
          <w:rFonts w:cs="Times New Roman"/>
          <w:szCs w:val="24"/>
        </w:rPr>
        <w:tab/>
      </w:r>
      <w:bookmarkStart w:id="226" w:name="_Hlk86420724"/>
    </w:p>
    <w:p w14:paraId="79C7F834" w14:textId="675C0043" w:rsidR="00671B7F" w:rsidRPr="002B283E" w:rsidRDefault="00671B7F" w:rsidP="002B283E">
      <w:pPr>
        <w:ind w:firstLine="720"/>
        <w:rPr>
          <w:rFonts w:cs="Times New Roman"/>
          <w:szCs w:val="24"/>
        </w:rPr>
      </w:pPr>
      <w:bookmarkStart w:id="227" w:name="_Hlk225423571"/>
      <w:bookmarkEnd w:id="226"/>
      <w:r w:rsidRPr="002B283E">
        <w:rPr>
          <w:rFonts w:cs="Times New Roman"/>
          <w:szCs w:val="24"/>
        </w:rPr>
        <w:t>For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claim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xml:space="preserve">] by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because of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[race] [color] [religion] [sex] [national origin],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the burden of proving the following elements by a preponderance of the evidence: </w:t>
      </w:r>
    </w:p>
    <w:p w14:paraId="17BC3384" w14:textId="77777777" w:rsidR="00E607FD" w:rsidRPr="00061F03" w:rsidRDefault="00E607FD" w:rsidP="00E607FD">
      <w:pPr>
        <w:ind w:firstLine="720"/>
        <w:rPr>
          <w:rFonts w:cs="Times New Roman"/>
          <w:szCs w:val="24"/>
        </w:rPr>
      </w:pPr>
    </w:p>
    <w:p w14:paraId="2A111A68" w14:textId="17F1D3A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was [discharged] [not hired] [not promoted] [demoted] [</w:t>
      </w:r>
      <w:r w:rsidRPr="00061F03">
        <w:rPr>
          <w:rFonts w:eastAsia="Calibri" w:cs="Times New Roman"/>
          <w:i/>
          <w:iCs/>
          <w:szCs w:val="24"/>
          <w:u w:val="single"/>
        </w:rPr>
        <w:t>state other adverse action</w:t>
      </w:r>
      <w:r w:rsidRPr="00061F03">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 [and] </w:t>
      </w:r>
    </w:p>
    <w:p w14:paraId="6D2EDE3F" w14:textId="77777777" w:rsidR="00E607FD" w:rsidRPr="00061F03" w:rsidRDefault="00E607FD" w:rsidP="00E607FD">
      <w:pPr>
        <w:widowControl w:val="0"/>
        <w:ind w:firstLine="720"/>
        <w:rPr>
          <w:rFonts w:eastAsia="Calibri" w:cs="Times New Roman"/>
          <w:szCs w:val="24"/>
        </w:rPr>
      </w:pPr>
    </w:p>
    <w:p w14:paraId="3A110841" w14:textId="4614C04D"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[discharged] [failed to hire] [failed to promote] [demoted] [</w:t>
      </w:r>
      <w:r w:rsidRPr="00A73C55">
        <w:rPr>
          <w:rFonts w:eastAsia="Calibri" w:cs="Times New Roman"/>
          <w:i/>
          <w:iCs/>
          <w:szCs w:val="24"/>
          <w:u w:val="single"/>
        </w:rPr>
        <w:t>state other adverse action</w:t>
      </w:r>
      <w:r w:rsidRPr="00061F03">
        <w:rPr>
          <w:rFonts w:eastAsia="Calibri" w:cs="Times New Roman"/>
          <w:szCs w:val="24"/>
        </w:rPr>
        <w:t>] the plaintiff 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 [;]] </w:t>
      </w:r>
    </w:p>
    <w:p w14:paraId="3A7678B6" w14:textId="77777777" w:rsidR="00E607FD" w:rsidRPr="00061F03" w:rsidRDefault="00E607FD" w:rsidP="00E607FD">
      <w:pPr>
        <w:widowControl w:val="0"/>
        <w:ind w:firstLine="720"/>
        <w:rPr>
          <w:rFonts w:eastAsia="Calibri" w:cs="Times New Roman"/>
          <w:szCs w:val="24"/>
        </w:rPr>
      </w:pPr>
    </w:p>
    <w:p w14:paraId="6E01A273" w14:textId="25222683" w:rsidR="00E607FD" w:rsidRPr="00061F03" w:rsidRDefault="00E607FD" w:rsidP="008A04C2">
      <w:pPr>
        <w:widowControl w:val="0"/>
        <w:ind w:firstLine="720"/>
        <w:jc w:val="center"/>
        <w:rPr>
          <w:rFonts w:eastAsia="Calibri" w:cs="Times New Roman"/>
          <w:szCs w:val="24"/>
        </w:rPr>
      </w:pPr>
      <w:r w:rsidRPr="00061F03">
        <w:rPr>
          <w:rFonts w:eastAsia="Calibri" w:cs="Times New Roman"/>
          <w:szCs w:val="24"/>
        </w:rPr>
        <w:t>[or]</w:t>
      </w:r>
    </w:p>
    <w:p w14:paraId="4FC208CB" w14:textId="77777777" w:rsidR="00E607FD" w:rsidRPr="00061F03" w:rsidRDefault="00E607FD" w:rsidP="00E607FD">
      <w:pPr>
        <w:widowControl w:val="0"/>
        <w:ind w:firstLine="720"/>
        <w:rPr>
          <w:rFonts w:eastAsia="Calibri" w:cs="Times New Roman"/>
          <w:szCs w:val="24"/>
        </w:rPr>
      </w:pPr>
    </w:p>
    <w:p w14:paraId="61D826B1" w14:textId="7E3A84CA" w:rsidR="00E607FD" w:rsidRPr="00061F03" w:rsidRDefault="00E607FD" w:rsidP="00E607FD">
      <w:pPr>
        <w:widowControl w:val="0"/>
        <w:ind w:firstLine="720"/>
        <w:rPr>
          <w:rFonts w:eastAsia="Calibri" w:cs="Times New Roman"/>
          <w:szCs w:val="24"/>
        </w:rPr>
      </w:pPr>
      <w:r w:rsidRPr="00061F03">
        <w:rPr>
          <w:rFonts w:eastAsia="Calibri" w:cs="Times New Roman"/>
          <w:szCs w:val="24"/>
        </w:rPr>
        <w:t>[Second,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[race] [color] [religion] [sex] [national origin] was a motivating factor in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decision to [discharge] [not hire] [not promote] [demote] [</w:t>
      </w:r>
      <w:r w:rsidRPr="00061F03">
        <w:rPr>
          <w:rFonts w:eastAsia="Calibri" w:cs="Times New Roman"/>
          <w:i/>
          <w:iCs/>
          <w:szCs w:val="24"/>
          <w:u w:val="single"/>
        </w:rPr>
        <w:t>state other adverse action</w:t>
      </w:r>
      <w:r w:rsidRPr="00061F03">
        <w:rPr>
          <w:rFonts w:eastAsia="Calibri" w:cs="Times New Roman"/>
          <w:szCs w:val="24"/>
        </w:rPr>
        <w:t>] the plaintiff] [.] [;]</w:t>
      </w:r>
    </w:p>
    <w:p w14:paraId="3C513110" w14:textId="7777777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 </w:t>
      </w:r>
    </w:p>
    <w:p w14:paraId="11D407B6" w14:textId="4768D5C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[Third,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061F03">
        <w:rPr>
          <w:rFonts w:eastAsia="Calibri" w:cs="Times New Roman"/>
          <w:szCs w:val="24"/>
        </w:rPr>
        <w:t xml:space="preserve"> position [.] [;] [and] </w:t>
      </w:r>
    </w:p>
    <w:p w14:paraId="0E387CE1" w14:textId="77777777" w:rsidR="00E607FD" w:rsidRPr="00061F03" w:rsidRDefault="00E607FD" w:rsidP="00E607FD">
      <w:pPr>
        <w:widowControl w:val="0"/>
        <w:ind w:firstLine="720"/>
        <w:rPr>
          <w:rFonts w:eastAsia="Calibri" w:cs="Times New Roman"/>
          <w:szCs w:val="24"/>
        </w:rPr>
      </w:pPr>
    </w:p>
    <w:p w14:paraId="281B7A37" w14:textId="1BDE15C0" w:rsidR="00E607FD" w:rsidRPr="00061F03" w:rsidRDefault="00E607FD" w:rsidP="00E607FD">
      <w:pPr>
        <w:widowControl w:val="0"/>
        <w:ind w:firstLine="720"/>
        <w:rPr>
          <w:rFonts w:eastAsia="Calibri" w:cs="Times New Roman"/>
          <w:szCs w:val="24"/>
        </w:rPr>
      </w:pPr>
      <w:r w:rsidRPr="00061F03">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were treated more favorably.] </w:t>
      </w:r>
    </w:p>
    <w:p w14:paraId="412C457B" w14:textId="77777777" w:rsidR="00E607FD" w:rsidRPr="00061F03" w:rsidRDefault="00E607FD" w:rsidP="00E607FD">
      <w:pPr>
        <w:widowControl w:val="0"/>
        <w:ind w:firstLine="720"/>
        <w:rPr>
          <w:rFonts w:eastAsia="Calibri" w:cs="Times New Roman"/>
          <w:szCs w:val="24"/>
        </w:rPr>
      </w:pPr>
    </w:p>
    <w:p w14:paraId="5A724DAF" w14:textId="5B3C08A1" w:rsidR="00E607FD" w:rsidRPr="00061F03" w:rsidRDefault="00E607FD" w:rsidP="00E607FD">
      <w:pPr>
        <w:ind w:firstLine="720"/>
        <w:rPr>
          <w:rFonts w:cs="Times New Roman"/>
          <w:szCs w:val="24"/>
        </w:rPr>
      </w:pPr>
      <w:r w:rsidRPr="00061F03">
        <w:rPr>
          <w:rFonts w:cs="Times New Roman"/>
          <w:szCs w:val="24"/>
        </w:rPr>
        <w:t xml:space="preserve">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has the burden of proving by a preponderance of the evidence both that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 xml:space="preserve">] also was motivated by a lawful reason and that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would have made the same decision to [</w:t>
      </w:r>
      <w:r w:rsidRPr="00061F03">
        <w:rPr>
          <w:rFonts w:cs="Times New Roman"/>
          <w:i/>
          <w:iCs/>
          <w:szCs w:val="24"/>
          <w:u w:val="single"/>
        </w:rPr>
        <w:t>state adverse action</w:t>
      </w:r>
      <w:r w:rsidRPr="00061F03">
        <w:rPr>
          <w:rFonts w:cs="Times New Roman"/>
          <w:szCs w:val="24"/>
        </w:rPr>
        <w:t>] even if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[race] [color] [religion] [sex] [national origin] had played no role in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w:t>
      </w:r>
    </w:p>
    <w:p w14:paraId="6E1B0FC8" w14:textId="77777777" w:rsidR="00E607FD" w:rsidRPr="00061F03" w:rsidRDefault="00E607FD" w:rsidP="00E607FD">
      <w:pPr>
        <w:ind w:firstLine="720"/>
        <w:rPr>
          <w:rFonts w:cs="Times New Roman"/>
          <w:szCs w:val="24"/>
        </w:rPr>
      </w:pPr>
    </w:p>
    <w:p w14:paraId="1F396A5D" w14:textId="77777777" w:rsidR="00E607FD" w:rsidRPr="00061F03" w:rsidRDefault="00E607FD" w:rsidP="00E607FD">
      <w:pPr>
        <w:jc w:val="center"/>
        <w:rPr>
          <w:rFonts w:cs="Times New Roman"/>
          <w:b/>
          <w:bCs/>
          <w:szCs w:val="24"/>
        </w:rPr>
      </w:pPr>
      <w:r w:rsidRPr="00061F03">
        <w:rPr>
          <w:rFonts w:cs="Times New Roman"/>
          <w:b/>
          <w:bCs/>
          <w:szCs w:val="24"/>
        </w:rPr>
        <w:t>Comment</w:t>
      </w:r>
    </w:p>
    <w:p w14:paraId="78B22B41" w14:textId="77777777" w:rsidR="00E607FD" w:rsidRPr="00061F03" w:rsidRDefault="00E607FD" w:rsidP="00E607FD">
      <w:pPr>
        <w:jc w:val="center"/>
        <w:rPr>
          <w:rFonts w:cs="Times New Roman"/>
          <w:szCs w:val="24"/>
        </w:rPr>
      </w:pPr>
    </w:p>
    <w:p w14:paraId="663242AA" w14:textId="31F5342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061F03">
        <w:rPr>
          <w:rFonts w:eastAsia="Calibri" w:cs="Times New Roman"/>
          <w:i/>
          <w:iCs/>
          <w:szCs w:val="24"/>
        </w:rPr>
        <w:t>see Bostock v. Clayton County</w:t>
      </w:r>
      <w:r w:rsidRPr="00061F03">
        <w:rPr>
          <w:rFonts w:eastAsia="Calibri" w:cs="Times New Roman"/>
          <w:szCs w:val="24"/>
        </w:rPr>
        <w:t xml:space="preserve">, 590 U.S. 644, 656-57 (2020). In </w:t>
      </w:r>
      <w:r w:rsidRPr="00061F03">
        <w:rPr>
          <w:rFonts w:eastAsia="Calibri" w:cs="Times New Roman"/>
          <w:i/>
          <w:iCs/>
          <w:szCs w:val="24"/>
        </w:rPr>
        <w:t>Bostock</w:t>
      </w:r>
      <w:r w:rsidRPr="00061F03">
        <w:rPr>
          <w:rFonts w:eastAsia="Calibri" w:cs="Times New Roman"/>
          <w:szCs w:val="24"/>
        </w:rPr>
        <w:t xml:space="preserve">, the Supreme Court described the “motivating factor” test as a “more forgiving standard.” </w:t>
      </w:r>
      <w:r w:rsidRPr="00061F03">
        <w:rPr>
          <w:rFonts w:eastAsia="Calibri" w:cs="Times New Roman"/>
          <w:i/>
          <w:szCs w:val="24"/>
        </w:rPr>
        <w:t>Id</w:t>
      </w:r>
      <w:r w:rsidRPr="00061F03">
        <w:rPr>
          <w:rFonts w:eastAsia="Calibri" w:cs="Times New Roman"/>
          <w:szCs w:val="24"/>
        </w:rPr>
        <w:t xml:space="preserve">. at 657. Because it is a more forgiving standard, a plaintiff asserting a claim under Title VII should be allowed to choose whether to use </w:t>
      </w:r>
      <w:r w:rsidRPr="00061F03">
        <w:rPr>
          <w:rFonts w:eastAsia="Calibri" w:cs="Times New Roman"/>
          <w:szCs w:val="24"/>
        </w:rPr>
        <w:lastRenderedPageBreak/>
        <w:t xml:space="preserve">that standard rather than “but-for causation.” When a plaintiff proves a violation under 42 U.S.C. § 2000e-2(m), using the more forgiving standard of “motivating factor,” however, a defendant may assert a “same decision” (or “same action”) affirmative defense under § 2000e-5(g)(2)(B) in an effort to foreclose compensatory and punitive damages. </w:t>
      </w:r>
      <w:r w:rsidRPr="00061F03">
        <w:rPr>
          <w:rFonts w:eastAsia="Calibri" w:cs="Times New Roman"/>
          <w:i/>
          <w:szCs w:val="24"/>
        </w:rPr>
        <w:t>See also Ohio House, LLC v. City of Costa Mesa</w:t>
      </w:r>
      <w:r w:rsidRPr="00061F03">
        <w:rPr>
          <w:rFonts w:eastAsia="Calibri" w:cs="Times New Roman"/>
          <w:szCs w:val="24"/>
        </w:rPr>
        <w:t>, 135 F.4th 645, 661-62 (9th Cir. 2025) (explaining that the “motivating factor” standard applies to a disparate treatment claim arising under the Fair Housing Act).</w:t>
      </w:r>
    </w:p>
    <w:p w14:paraId="31345CE2" w14:textId="77777777" w:rsidR="00E607FD" w:rsidRPr="00061F03" w:rsidRDefault="00E607FD" w:rsidP="00E607FD">
      <w:pPr>
        <w:ind w:firstLine="720"/>
        <w:rPr>
          <w:rFonts w:cs="Times New Roman"/>
          <w:szCs w:val="24"/>
        </w:rPr>
      </w:pPr>
    </w:p>
    <w:p w14:paraId="40DC1DDF" w14:textId="4F830A18" w:rsidR="00E607FD" w:rsidRPr="00061F03" w:rsidRDefault="00E607FD" w:rsidP="00E607FD">
      <w:pPr>
        <w:autoSpaceDE w:val="0"/>
        <w:autoSpaceDN w:val="0"/>
        <w:adjustRightInd w:val="0"/>
        <w:ind w:firstLine="720"/>
        <w:rPr>
          <w:rFonts w:cs="Times New Roman"/>
          <w:szCs w:val="24"/>
        </w:rPr>
      </w:pPr>
      <w:r w:rsidRPr="00061F03">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061F03">
        <w:rPr>
          <w:rFonts w:cs="Times New Roman"/>
          <w:i/>
          <w:iCs/>
          <w:szCs w:val="24"/>
        </w:rPr>
        <w:t>Berry v. Dep</w:t>
      </w:r>
      <w:r w:rsidR="003137E9">
        <w:rPr>
          <w:rFonts w:cs="Times New Roman"/>
          <w:i/>
          <w:iCs/>
          <w:szCs w:val="24"/>
        </w:rPr>
        <w:t>’</w:t>
      </w:r>
      <w:r w:rsidRPr="00061F03">
        <w:rPr>
          <w:rFonts w:cs="Times New Roman"/>
          <w:i/>
          <w:iCs/>
          <w:szCs w:val="24"/>
        </w:rPr>
        <w:t>t of Soc. Servs</w:t>
      </w:r>
      <w:r w:rsidRPr="00061F03">
        <w:rPr>
          <w:rFonts w:cs="Times New Roman"/>
          <w:szCs w:val="24"/>
        </w:rPr>
        <w:t xml:space="preserve">., 447 F.3d 642, 656 (9th Cir. 2006).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Pr="00061F03">
        <w:rPr>
          <w:rFonts w:cs="Times New Roman"/>
          <w:i/>
          <w:iCs/>
          <w:szCs w:val="24"/>
        </w:rPr>
        <w:t>Earl v. Nielsen Media Rsch., Inc</w:t>
      </w:r>
      <w:r w:rsidRPr="00061F03">
        <w:rPr>
          <w:rFonts w:cs="Times New Roman"/>
          <w:szCs w:val="24"/>
        </w:rPr>
        <w:t>., 658 F.3d 1108, 1114 (9th Cir. 2011) (</w:t>
      </w:r>
      <w:r w:rsidR="003137E9">
        <w:rPr>
          <w:rFonts w:cs="Times New Roman"/>
          <w:szCs w:val="24"/>
        </w:rPr>
        <w:t xml:space="preserve">quoting </w:t>
      </w:r>
      <w:r w:rsidR="003137E9" w:rsidRPr="003137E9">
        <w:rPr>
          <w:rFonts w:cs="Times New Roman"/>
          <w:i/>
          <w:iCs/>
          <w:szCs w:val="24"/>
        </w:rPr>
        <w:t>Vasquez v. County of Los Angeles</w:t>
      </w:r>
      <w:r w:rsidR="003137E9">
        <w:rPr>
          <w:rFonts w:cs="Times New Roman"/>
          <w:szCs w:val="24"/>
        </w:rPr>
        <w:t>, 349 F.3d 634, 641 (9</w:t>
      </w:r>
      <w:r w:rsidR="003137E9" w:rsidRPr="003137E9">
        <w:rPr>
          <w:rFonts w:cs="Times New Roman"/>
          <w:szCs w:val="24"/>
        </w:rPr>
        <w:t>th</w:t>
      </w:r>
      <w:r w:rsidR="003137E9">
        <w:rPr>
          <w:rFonts w:cs="Times New Roman"/>
          <w:szCs w:val="24"/>
        </w:rPr>
        <w:t xml:space="preserve"> Cir. 2003</w:t>
      </w:r>
      <w:r w:rsidR="00A73C55">
        <w:rPr>
          <w:rFonts w:cs="Times New Roman"/>
          <w:szCs w:val="24"/>
        </w:rPr>
        <w:t>)</w:t>
      </w:r>
      <w:r w:rsidR="003137E9">
        <w:rPr>
          <w:rFonts w:cs="Times New Roman"/>
          <w:szCs w:val="24"/>
        </w:rPr>
        <w:t>).</w:t>
      </w:r>
      <w:r w:rsidRPr="00061F03">
        <w:rPr>
          <w:rFonts w:cs="Times New Roman"/>
          <w:szCs w:val="24"/>
        </w:rPr>
        <w:t xml:space="preserve"> </w:t>
      </w:r>
    </w:p>
    <w:p w14:paraId="5772D0B2" w14:textId="77777777" w:rsidR="00E607FD" w:rsidRPr="00061F03" w:rsidRDefault="00E607FD" w:rsidP="00E607FD">
      <w:pPr>
        <w:ind w:firstLine="720"/>
        <w:rPr>
          <w:rFonts w:cs="Times New Roman"/>
          <w:szCs w:val="24"/>
        </w:rPr>
      </w:pPr>
    </w:p>
    <w:p w14:paraId="6ABD30F3" w14:textId="64C0272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alleged discrimination is based on sexual orientation, gender identity, transgender status, or the like, the word “sex” in the instruction should be modified or explained consistent with </w:t>
      </w:r>
      <w:r w:rsidRPr="00061F03">
        <w:rPr>
          <w:rFonts w:eastAsia="Calibri" w:cs="Times New Roman"/>
          <w:i/>
          <w:iCs/>
          <w:szCs w:val="24"/>
        </w:rPr>
        <w:t>Bostock</w:t>
      </w:r>
      <w:r w:rsidRPr="00061F03">
        <w:rPr>
          <w:rFonts w:eastAsia="Calibri" w:cs="Times New Roman"/>
          <w:szCs w:val="24"/>
        </w:rPr>
        <w:t xml:space="preserve">, 590 U.S. at 659-60, 683 (holding </w:t>
      </w:r>
      <w:r w:rsidR="003137E9">
        <w:rPr>
          <w:rFonts w:eastAsia="Calibri" w:cs="Times New Roman"/>
          <w:szCs w:val="24"/>
        </w:rPr>
        <w:t xml:space="preserve">that </w:t>
      </w:r>
      <w:r w:rsidRPr="00061F03">
        <w:rPr>
          <w:rFonts w:eastAsia="Calibri" w:cs="Times New Roman"/>
          <w:szCs w:val="24"/>
        </w:rPr>
        <w:t xml:space="preserve">employer violates Title VII by firing </w:t>
      </w:r>
      <w:r w:rsidR="00A73C55">
        <w:rPr>
          <w:rFonts w:eastAsia="Calibri" w:cs="Times New Roman"/>
          <w:szCs w:val="24"/>
        </w:rPr>
        <w:t xml:space="preserve">an </w:t>
      </w:r>
      <w:r w:rsidRPr="00061F03">
        <w:rPr>
          <w:rFonts w:eastAsia="Calibri" w:cs="Times New Roman"/>
          <w:szCs w:val="24"/>
        </w:rPr>
        <w:t xml:space="preserve">individual based on sexual orientation or gender identity). “Paramour preference,” however, does not constitute discrimination on the basis of sex. </w:t>
      </w:r>
      <w:r w:rsidRPr="00061F03">
        <w:rPr>
          <w:rFonts w:eastAsia="Calibri" w:cs="Times New Roman"/>
          <w:i/>
          <w:iCs/>
          <w:szCs w:val="24"/>
        </w:rPr>
        <w:t>Maner v. Dignity Health</w:t>
      </w:r>
      <w:r w:rsidRPr="00061F03">
        <w:rPr>
          <w:rFonts w:eastAsia="Calibri" w:cs="Times New Roman"/>
          <w:szCs w:val="24"/>
        </w:rPr>
        <w:t xml:space="preserve">, 9 F.4th 1114, 1116 (9th Cir. 2021). </w:t>
      </w:r>
    </w:p>
    <w:p w14:paraId="770BD6E1" w14:textId="77777777" w:rsidR="00E607FD" w:rsidRPr="00061F03" w:rsidRDefault="00E607FD" w:rsidP="00E607FD">
      <w:pPr>
        <w:widowControl w:val="0"/>
        <w:rPr>
          <w:rFonts w:eastAsia="Calibri" w:cs="Times New Roman"/>
          <w:szCs w:val="24"/>
        </w:rPr>
      </w:pPr>
    </w:p>
    <w:p w14:paraId="1C3F7891" w14:textId="77777777" w:rsidR="00E607FD" w:rsidRPr="00061F03" w:rsidRDefault="00E607FD" w:rsidP="00E607FD">
      <w:pPr>
        <w:ind w:firstLine="720"/>
        <w:rPr>
          <w:rFonts w:cs="Times New Roman"/>
          <w:szCs w:val="24"/>
        </w:rPr>
      </w:pPr>
    </w:p>
    <w:p w14:paraId="4A010BD9" w14:textId="77777777" w:rsidR="00E607FD" w:rsidRPr="00061F03" w:rsidRDefault="00E607FD" w:rsidP="00E607FD">
      <w:pPr>
        <w:jc w:val="center"/>
        <w:rPr>
          <w:rFonts w:cs="Times New Roman"/>
          <w:b/>
          <w:bCs/>
          <w:szCs w:val="24"/>
        </w:rPr>
      </w:pPr>
      <w:r w:rsidRPr="00061F03">
        <w:rPr>
          <w:rFonts w:cs="Times New Roman"/>
          <w:b/>
          <w:bCs/>
          <w:szCs w:val="24"/>
        </w:rPr>
        <w:t>Sample Special Verdict for Use with Same Decision Affirmative Defense</w:t>
      </w:r>
    </w:p>
    <w:p w14:paraId="25304E03" w14:textId="77777777" w:rsidR="00E607FD" w:rsidRPr="00061F03" w:rsidRDefault="00E607FD" w:rsidP="00E607FD">
      <w:pPr>
        <w:jc w:val="center"/>
        <w:rPr>
          <w:rFonts w:cs="Times New Roman"/>
          <w:szCs w:val="24"/>
        </w:rPr>
      </w:pPr>
    </w:p>
    <w:p w14:paraId="492D9C2F" w14:textId="5142F762" w:rsidR="00E607FD" w:rsidRPr="00061F03" w:rsidRDefault="00E607FD" w:rsidP="00E607FD">
      <w:pPr>
        <w:rPr>
          <w:rFonts w:cs="Times New Roman"/>
          <w:szCs w:val="24"/>
        </w:rPr>
      </w:pPr>
      <w:r w:rsidRPr="00061F03">
        <w:rPr>
          <w:rFonts w:cs="Times New Roman"/>
          <w:szCs w:val="24"/>
        </w:rPr>
        <w:t>[1. Has the plaintiff</w:t>
      </w:r>
      <w:r w:rsidR="00A73C55" w:rsidRPr="00061F03">
        <w:rPr>
          <w:rFonts w:eastAsia="Calibri" w:cs="Times New Roman"/>
          <w:szCs w:val="24"/>
        </w:rPr>
        <w:t xml:space="preserve"> </w:t>
      </w:r>
      <w:r w:rsidR="00A73C55" w:rsidRPr="005F6DAD">
        <w:rPr>
          <w:rFonts w:cs="Times New Roman"/>
          <w:szCs w:val="24"/>
        </w:rPr>
        <w:t>[</w:t>
      </w:r>
      <w:r w:rsidR="00A73C55" w:rsidRPr="005F6DAD">
        <w:rPr>
          <w:rFonts w:cs="Times New Roman"/>
          <w:i/>
          <w:iCs/>
          <w:szCs w:val="24"/>
          <w:u w:val="single"/>
        </w:rPr>
        <w:t>name</w:t>
      </w:r>
      <w:r w:rsidR="00A73C55" w:rsidRPr="005F6DAD">
        <w:rPr>
          <w:rFonts w:cs="Times New Roman"/>
          <w:szCs w:val="24"/>
        </w:rPr>
        <w:t>]</w:t>
      </w:r>
      <w:r w:rsidRPr="00061F03">
        <w:rPr>
          <w:rFonts w:cs="Times New Roman"/>
          <w:szCs w:val="24"/>
        </w:rPr>
        <w:t xml:space="preserve"> proven by a preponderance of the evidence that the defendant</w:t>
      </w:r>
      <w:r w:rsidR="00A73C55" w:rsidRPr="00061F03">
        <w:rPr>
          <w:rFonts w:eastAsia="Calibri" w:cs="Times New Roman"/>
          <w:szCs w:val="24"/>
        </w:rPr>
        <w:t xml:space="preserve"> </w:t>
      </w:r>
      <w:r w:rsidR="00A73C55" w:rsidRPr="005F6DAD">
        <w:rPr>
          <w:rFonts w:cs="Times New Roman"/>
          <w:szCs w:val="24"/>
        </w:rPr>
        <w:t>[</w:t>
      </w:r>
      <w:r w:rsidR="00A73C55" w:rsidRPr="005F6DAD">
        <w:rPr>
          <w:rFonts w:cs="Times New Roman"/>
          <w:i/>
          <w:iCs/>
          <w:szCs w:val="24"/>
          <w:u w:val="single"/>
        </w:rPr>
        <w:t>name</w:t>
      </w:r>
      <w:r w:rsidR="00A73C55" w:rsidRPr="005F6DAD">
        <w:rPr>
          <w:rFonts w:cs="Times New Roman"/>
          <w:szCs w:val="24"/>
        </w:rPr>
        <w:t>]</w:t>
      </w:r>
      <w:r w:rsidR="00A73C55" w:rsidRPr="00E202F5">
        <w:t xml:space="preserve"> </w:t>
      </w:r>
      <w:r w:rsidRPr="00061F03">
        <w:rPr>
          <w:rFonts w:cs="Times New Roman"/>
          <w:szCs w:val="24"/>
        </w:rPr>
        <w:t xml:space="preserve"> [discharged] [failed to hire] [failed to promote] [demoted] [</w:t>
      </w:r>
      <w:r w:rsidRPr="00F44D63">
        <w:rPr>
          <w:rFonts w:cs="Times New Roman"/>
          <w:i/>
          <w:iCs/>
          <w:szCs w:val="24"/>
          <w:u w:val="single"/>
        </w:rPr>
        <w:t>state other adverse action</w:t>
      </w:r>
      <w:r w:rsidRPr="00061F03">
        <w:rPr>
          <w:rFonts w:cs="Times New Roman"/>
          <w:szCs w:val="24"/>
        </w:rPr>
        <w:t xml:space="preserve">]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because of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’s [race] [color] [religion] [sex] [national origin]? </w:t>
      </w:r>
    </w:p>
    <w:p w14:paraId="75CDA1C5" w14:textId="77777777" w:rsidR="00E607FD" w:rsidRPr="00061F03" w:rsidRDefault="00E607FD" w:rsidP="00E607FD">
      <w:pPr>
        <w:rPr>
          <w:rFonts w:cs="Times New Roman"/>
          <w:szCs w:val="24"/>
        </w:rPr>
      </w:pPr>
    </w:p>
    <w:p w14:paraId="6CC3F594" w14:textId="20E6226C" w:rsidR="00E607FD" w:rsidRPr="00061F03" w:rsidRDefault="00E607FD" w:rsidP="00E607FD">
      <w:pPr>
        <w:ind w:left="720"/>
        <w:rPr>
          <w:rFonts w:cs="Times New Roman"/>
          <w:szCs w:val="24"/>
        </w:rPr>
      </w:pPr>
      <w:r w:rsidRPr="00061F03">
        <w:rPr>
          <w:rFonts w:cs="Times New Roman"/>
          <w:szCs w:val="24"/>
        </w:rPr>
        <w:t xml:space="preserve">Yes </w:t>
      </w:r>
      <w:r w:rsidR="00A73C55" w:rsidRPr="00061F03">
        <w:rPr>
          <w:rFonts w:cs="Times New Roman"/>
          <w:szCs w:val="24"/>
        </w:rPr>
        <w:t>_____</w:t>
      </w:r>
      <w:r w:rsidRPr="00061F03">
        <w:rPr>
          <w:rFonts w:cs="Times New Roman"/>
          <w:szCs w:val="24"/>
        </w:rPr>
        <w:t xml:space="preserve"> </w:t>
      </w:r>
      <w:r w:rsidRPr="00061F03">
        <w:rPr>
          <w:rFonts w:cs="Times New Roman"/>
          <w:szCs w:val="24"/>
        </w:rPr>
        <w:tab/>
        <w:t>No _____</w:t>
      </w:r>
      <w:r w:rsidR="00A73C55">
        <w:rPr>
          <w:rFonts w:cs="Times New Roman"/>
          <w:szCs w:val="24"/>
        </w:rPr>
        <w:t xml:space="preserve"> </w:t>
      </w:r>
      <w:r w:rsidRPr="00061F03">
        <w:rPr>
          <w:rFonts w:cs="Times New Roman"/>
          <w:szCs w:val="24"/>
        </w:rPr>
        <w:t xml:space="preserve">] </w:t>
      </w:r>
    </w:p>
    <w:p w14:paraId="34B12813" w14:textId="77777777" w:rsidR="00E607FD" w:rsidRPr="00061F03" w:rsidRDefault="00E607FD" w:rsidP="00E607FD">
      <w:pPr>
        <w:ind w:left="720"/>
        <w:rPr>
          <w:rFonts w:cs="Times New Roman"/>
          <w:szCs w:val="24"/>
        </w:rPr>
      </w:pPr>
    </w:p>
    <w:p w14:paraId="0B5B3DBE" w14:textId="77777777" w:rsidR="00E607FD" w:rsidRPr="00061F03" w:rsidRDefault="00E607FD" w:rsidP="00E607FD">
      <w:pPr>
        <w:ind w:left="720"/>
        <w:rPr>
          <w:rFonts w:cs="Times New Roman"/>
          <w:szCs w:val="24"/>
        </w:rPr>
      </w:pPr>
      <w:r w:rsidRPr="00061F03">
        <w:rPr>
          <w:rFonts w:cs="Times New Roman"/>
          <w:szCs w:val="24"/>
        </w:rPr>
        <w:t xml:space="preserve">[or] </w:t>
      </w:r>
    </w:p>
    <w:p w14:paraId="465C5786" w14:textId="77777777" w:rsidR="00E607FD" w:rsidRPr="00061F03" w:rsidRDefault="00E607FD" w:rsidP="00E607FD">
      <w:pPr>
        <w:ind w:left="720"/>
        <w:rPr>
          <w:rFonts w:cs="Times New Roman"/>
          <w:szCs w:val="24"/>
        </w:rPr>
      </w:pPr>
    </w:p>
    <w:p w14:paraId="5F967DAE" w14:textId="7B55E5C2" w:rsidR="00E607FD" w:rsidRPr="00061F03" w:rsidRDefault="00E607FD" w:rsidP="00E607FD">
      <w:pPr>
        <w:rPr>
          <w:rFonts w:cs="Times New Roman"/>
          <w:szCs w:val="24"/>
        </w:rPr>
      </w:pPr>
      <w:r w:rsidRPr="00061F03">
        <w:rPr>
          <w:rFonts w:cs="Times New Roman"/>
          <w:szCs w:val="24"/>
        </w:rPr>
        <w:t xml:space="preserve">[1. Has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was a motivating factor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[discharge] [not hire] [not promote] [demote] [</w:t>
      </w:r>
      <w:r w:rsidRPr="00F44D63">
        <w:rPr>
          <w:rFonts w:cs="Times New Roman"/>
          <w:i/>
          <w:iCs/>
          <w:szCs w:val="24"/>
          <w:u w:val="single"/>
        </w:rPr>
        <w:t>state other adverse action</w:t>
      </w:r>
      <w:r w:rsidRPr="00061F03">
        <w:rPr>
          <w:rFonts w:cs="Times New Roman"/>
          <w:szCs w:val="24"/>
        </w:rPr>
        <w: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t>
      </w:r>
    </w:p>
    <w:p w14:paraId="2B60596C" w14:textId="77777777" w:rsidR="00E607FD" w:rsidRPr="00061F03" w:rsidRDefault="00E607FD" w:rsidP="00E607FD">
      <w:pPr>
        <w:rPr>
          <w:rFonts w:cs="Times New Roman"/>
          <w:szCs w:val="24"/>
        </w:rPr>
      </w:pPr>
    </w:p>
    <w:p w14:paraId="2A535C94" w14:textId="295C2EA0"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5B135329" w14:textId="77777777" w:rsidR="00E607FD" w:rsidRPr="00061F03" w:rsidRDefault="00E607FD" w:rsidP="00E607FD">
      <w:pPr>
        <w:ind w:firstLine="720"/>
        <w:rPr>
          <w:rFonts w:cs="Times New Roman"/>
          <w:szCs w:val="24"/>
        </w:rPr>
      </w:pPr>
    </w:p>
    <w:p w14:paraId="0F6A2AFB" w14:textId="58ABD4B4" w:rsidR="00E607FD" w:rsidRPr="00061F03" w:rsidRDefault="00E607FD" w:rsidP="00E607FD">
      <w:pPr>
        <w:rPr>
          <w:rFonts w:cs="Times New Roman"/>
          <w:i/>
          <w:iCs/>
          <w:szCs w:val="24"/>
        </w:rPr>
      </w:pPr>
      <w:r w:rsidRPr="00061F03">
        <w:rPr>
          <w:rFonts w:cs="Times New Roman"/>
          <w:i/>
          <w:iCs/>
          <w:szCs w:val="24"/>
        </w:rPr>
        <w:t>If the answer to Question No. 1 is “yes,” proceed to Question No. 2</w:t>
      </w:r>
      <w:r w:rsidR="00A87F6E">
        <w:rPr>
          <w:rFonts w:cs="Times New Roman"/>
          <w:i/>
          <w:iCs/>
          <w:szCs w:val="24"/>
        </w:rPr>
        <w:t xml:space="preserve">. </w:t>
      </w:r>
      <w:r w:rsidRPr="00061F03">
        <w:rPr>
          <w:rFonts w:cs="Times New Roman"/>
          <w:i/>
          <w:iCs/>
          <w:szCs w:val="24"/>
        </w:rPr>
        <w:t xml:space="preserve">If the answer to Question No. 1 is </w:t>
      </w:r>
      <w:r w:rsidR="003137E9">
        <w:rPr>
          <w:rFonts w:cs="Times New Roman"/>
          <w:i/>
          <w:iCs/>
          <w:szCs w:val="24"/>
        </w:rPr>
        <w:t>“</w:t>
      </w:r>
      <w:r w:rsidRPr="00061F03">
        <w:rPr>
          <w:rFonts w:cs="Times New Roman"/>
          <w:i/>
          <w:iCs/>
          <w:szCs w:val="24"/>
        </w:rPr>
        <w:t>no,</w:t>
      </w:r>
      <w:r w:rsidR="003137E9">
        <w:rPr>
          <w:rFonts w:cs="Times New Roman"/>
          <w:i/>
          <w:iCs/>
          <w:szCs w:val="24"/>
        </w:rPr>
        <w:t>”</w:t>
      </w:r>
      <w:r w:rsidRPr="00061F03">
        <w:rPr>
          <w:rFonts w:cs="Times New Roman"/>
          <w:i/>
          <w:iCs/>
          <w:szCs w:val="24"/>
        </w:rPr>
        <w:t xml:space="preserve"> do not answer any further questions [on the plaintiff’s claim of disparate treatment]. </w:t>
      </w:r>
    </w:p>
    <w:p w14:paraId="76FFA5EA" w14:textId="77777777" w:rsidR="00E607FD" w:rsidRPr="00061F03" w:rsidRDefault="00E607FD" w:rsidP="00E607FD">
      <w:pPr>
        <w:rPr>
          <w:rFonts w:cs="Times New Roman"/>
          <w:szCs w:val="24"/>
        </w:rPr>
      </w:pPr>
    </w:p>
    <w:p w14:paraId="488CEDD4" w14:textId="2CC0A31F" w:rsidR="00E607FD" w:rsidRPr="00061F03" w:rsidRDefault="00E607FD" w:rsidP="00E607FD">
      <w:pPr>
        <w:rPr>
          <w:rFonts w:cs="Times New Roman"/>
          <w:szCs w:val="24"/>
        </w:rPr>
      </w:pPr>
      <w:r w:rsidRPr="00061F03">
        <w:rPr>
          <w:rFonts w:cs="Times New Roman"/>
          <w:szCs w:val="24"/>
        </w:rPr>
        <w:t xml:space="preserve">2. Has the defendant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action</w:t>
      </w:r>
      <w:r w:rsidRPr="00061F03">
        <w:rPr>
          <w:rFonts w:cs="Times New Roman"/>
          <w:szCs w:val="24"/>
        </w:rPr>
        <w:t xml:space="preserve">] also was motivated by a lawful reason? </w:t>
      </w:r>
    </w:p>
    <w:p w14:paraId="618CC68A" w14:textId="77777777" w:rsidR="00E607FD" w:rsidRPr="00061F03" w:rsidRDefault="00E607FD" w:rsidP="00E607FD">
      <w:pPr>
        <w:rPr>
          <w:rFonts w:cs="Times New Roman"/>
          <w:szCs w:val="24"/>
        </w:rPr>
      </w:pPr>
    </w:p>
    <w:p w14:paraId="70A984E1" w14:textId="5075805F"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325BA965" w14:textId="77777777" w:rsidR="00E607FD" w:rsidRPr="00061F03" w:rsidRDefault="00E607FD" w:rsidP="00E607FD">
      <w:pPr>
        <w:ind w:firstLine="720"/>
        <w:rPr>
          <w:rFonts w:cs="Times New Roman"/>
          <w:szCs w:val="24"/>
        </w:rPr>
      </w:pPr>
    </w:p>
    <w:p w14:paraId="017E52B3" w14:textId="33D933D8" w:rsidR="00E607FD" w:rsidRPr="00061F03" w:rsidRDefault="00E607FD" w:rsidP="00E607FD">
      <w:pPr>
        <w:rPr>
          <w:rFonts w:cs="Times New Roman"/>
          <w:i/>
          <w:iCs/>
          <w:szCs w:val="24"/>
        </w:rPr>
      </w:pPr>
      <w:r w:rsidRPr="00061F03">
        <w:rPr>
          <w:rFonts w:cs="Times New Roman"/>
          <w:i/>
          <w:iCs/>
          <w:szCs w:val="24"/>
        </w:rPr>
        <w:t>If your answer to Question No. 2 is “yes,” proceed to Question No. 3</w:t>
      </w:r>
      <w:r w:rsidR="00A87F6E">
        <w:rPr>
          <w:rFonts w:cs="Times New Roman"/>
          <w:i/>
          <w:iCs/>
          <w:szCs w:val="24"/>
        </w:rPr>
        <w:t xml:space="preserve">. </w:t>
      </w:r>
      <w:r w:rsidRPr="00061F03">
        <w:rPr>
          <w:rFonts w:cs="Times New Roman"/>
          <w:i/>
          <w:iCs/>
          <w:szCs w:val="24"/>
        </w:rPr>
        <w:t xml:space="preserve">If your answer to Question No. 2 is “no,” proceed to Question No. 4. </w:t>
      </w:r>
    </w:p>
    <w:p w14:paraId="663749AF" w14:textId="77777777" w:rsidR="00E607FD" w:rsidRPr="00061F03" w:rsidRDefault="00E607FD" w:rsidP="00E607FD">
      <w:pPr>
        <w:rPr>
          <w:rFonts w:cs="Times New Roman"/>
          <w:szCs w:val="24"/>
        </w:rPr>
      </w:pPr>
    </w:p>
    <w:p w14:paraId="7212A24D" w14:textId="425C8F74" w:rsidR="00E607FD" w:rsidRPr="00061F03" w:rsidRDefault="00E607FD" w:rsidP="00E607FD">
      <w:pPr>
        <w:rPr>
          <w:rFonts w:cs="Times New Roman"/>
          <w:szCs w:val="24"/>
        </w:rPr>
      </w:pPr>
      <w:r w:rsidRPr="00061F03">
        <w:rPr>
          <w:rFonts w:cs="Times New Roman"/>
          <w:szCs w:val="24"/>
        </w:rPr>
        <w:t>3. Has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would have made the same decision to [</w:t>
      </w:r>
      <w:r w:rsidRPr="00F44D63">
        <w:rPr>
          <w:rFonts w:cs="Times New Roman"/>
          <w:i/>
          <w:iCs/>
          <w:szCs w:val="24"/>
          <w:u w:val="single"/>
        </w:rPr>
        <w:t>state adverse employment action</w:t>
      </w:r>
      <w:r w:rsidRPr="00061F03">
        <w:rPr>
          <w:rFonts w:cs="Times New Roman"/>
          <w:szCs w:val="24"/>
        </w:rPr>
        <w:t>] even if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had played no role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employment action</w:t>
      </w:r>
      <w:r w:rsidRPr="00061F03">
        <w:rPr>
          <w:rFonts w:cs="Times New Roman"/>
          <w:szCs w:val="24"/>
        </w:rPr>
        <w:t xml:space="preserve">]? </w:t>
      </w:r>
    </w:p>
    <w:p w14:paraId="4FE96692" w14:textId="77777777" w:rsidR="00E607FD" w:rsidRPr="00061F03" w:rsidRDefault="00E607FD" w:rsidP="00E607FD">
      <w:pPr>
        <w:rPr>
          <w:rFonts w:cs="Times New Roman"/>
          <w:szCs w:val="24"/>
        </w:rPr>
      </w:pPr>
    </w:p>
    <w:p w14:paraId="4810DFF5" w14:textId="46CAAAF5"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4A6C8994" w14:textId="77777777" w:rsidR="00E607FD" w:rsidRPr="00061F03" w:rsidRDefault="00E607FD" w:rsidP="00E607FD">
      <w:pPr>
        <w:ind w:firstLine="720"/>
        <w:rPr>
          <w:rFonts w:cs="Times New Roman"/>
          <w:szCs w:val="24"/>
        </w:rPr>
      </w:pPr>
    </w:p>
    <w:p w14:paraId="40E6C8DC" w14:textId="4EA70421" w:rsidR="00E607FD" w:rsidRPr="00061F03" w:rsidRDefault="00E607FD" w:rsidP="00E607FD">
      <w:pPr>
        <w:rPr>
          <w:rFonts w:cs="Times New Roman"/>
          <w:i/>
          <w:iCs/>
          <w:szCs w:val="24"/>
        </w:rPr>
      </w:pPr>
      <w:r w:rsidRPr="00061F03">
        <w:rPr>
          <w:rFonts w:cs="Times New Roman"/>
          <w:i/>
          <w:iCs/>
          <w:szCs w:val="24"/>
        </w:rPr>
        <w:t>If your answer to Question No. 3 is “yes,” do not answer any further questions on damages related to the plaintiff’s claim of disparate treatment</w:t>
      </w:r>
      <w:r w:rsidR="00A87F6E">
        <w:rPr>
          <w:rFonts w:cs="Times New Roman"/>
          <w:i/>
          <w:iCs/>
          <w:szCs w:val="24"/>
        </w:rPr>
        <w:t xml:space="preserve">. </w:t>
      </w:r>
      <w:r w:rsidRPr="00061F03">
        <w:rPr>
          <w:rFonts w:cs="Times New Roman"/>
          <w:i/>
          <w:iCs/>
          <w:szCs w:val="24"/>
        </w:rPr>
        <w:t xml:space="preserve">If your answer to Question No. 3 is “no,” proceed to Question No. 4. </w:t>
      </w:r>
    </w:p>
    <w:p w14:paraId="70B46E72" w14:textId="77777777" w:rsidR="00E607FD" w:rsidRPr="00061F03" w:rsidRDefault="00E607FD" w:rsidP="00E607FD">
      <w:pPr>
        <w:rPr>
          <w:rFonts w:cs="Times New Roman"/>
          <w:szCs w:val="24"/>
        </w:rPr>
      </w:pPr>
    </w:p>
    <w:p w14:paraId="54FDF30A" w14:textId="77777777" w:rsidR="00E607FD" w:rsidRPr="00061F03" w:rsidRDefault="00E607FD" w:rsidP="00E607FD">
      <w:pPr>
        <w:rPr>
          <w:rFonts w:cs="Times New Roman"/>
          <w:szCs w:val="24"/>
        </w:rPr>
      </w:pPr>
      <w:r w:rsidRPr="00061F03">
        <w:rPr>
          <w:rFonts w:cs="Times New Roman"/>
          <w:szCs w:val="24"/>
        </w:rPr>
        <w:t>4. [The judge should draft further special verdict questions to cover damages, including punitive damages if appropriate.]</w:t>
      </w:r>
    </w:p>
    <w:p w14:paraId="2D61A891" w14:textId="77777777" w:rsidR="00E607FD" w:rsidRPr="00061F03" w:rsidRDefault="00E607FD" w:rsidP="00E607FD">
      <w:pPr>
        <w:autoSpaceDE w:val="0"/>
        <w:autoSpaceDN w:val="0"/>
        <w:adjustRightInd w:val="0"/>
        <w:rPr>
          <w:rFonts w:cs="Times New Roman"/>
          <w:szCs w:val="24"/>
        </w:rPr>
      </w:pPr>
    </w:p>
    <w:p w14:paraId="168C85AA" w14:textId="77777777" w:rsidR="00E607FD" w:rsidRPr="00061F03" w:rsidRDefault="00E607FD" w:rsidP="00E607FD">
      <w:pPr>
        <w:autoSpaceDE w:val="0"/>
        <w:autoSpaceDN w:val="0"/>
        <w:adjustRightInd w:val="0"/>
        <w:rPr>
          <w:rFonts w:cs="Times New Roman"/>
          <w:szCs w:val="24"/>
        </w:rPr>
      </w:pPr>
    </w:p>
    <w:p w14:paraId="27F08D12" w14:textId="77777777" w:rsidR="00E607FD" w:rsidRPr="00061F03" w:rsidRDefault="00E607FD" w:rsidP="00E607FD">
      <w:pPr>
        <w:autoSpaceDE w:val="0"/>
        <w:autoSpaceDN w:val="0"/>
        <w:adjustRightInd w:val="0"/>
        <w:rPr>
          <w:rFonts w:cs="Times New Roman"/>
          <w:szCs w:val="24"/>
        </w:rPr>
      </w:pPr>
    </w:p>
    <w:p w14:paraId="5260BBDD" w14:textId="77777777" w:rsidR="00E607FD" w:rsidRPr="00061F03" w:rsidRDefault="00E607FD" w:rsidP="00E607FD">
      <w:pPr>
        <w:widowControl w:val="0"/>
        <w:ind w:firstLine="720"/>
        <w:jc w:val="right"/>
        <w:rPr>
          <w:rFonts w:eastAsia="Calibri" w:cs="Times New Roman"/>
          <w:szCs w:val="24"/>
        </w:rPr>
      </w:pPr>
      <w:r w:rsidRPr="00061F03">
        <w:rPr>
          <w:rFonts w:eastAsia="Calibri" w:cs="Times New Roman"/>
          <w:i/>
          <w:iCs/>
          <w:szCs w:val="24"/>
        </w:rPr>
        <w:t>Revised June 2025</w:t>
      </w:r>
    </w:p>
    <w:bookmarkEnd w:id="227"/>
    <w:p w14:paraId="64F00A24" w14:textId="3D33AEB4" w:rsidR="00671B7F" w:rsidRPr="002B283E" w:rsidRDefault="00671B7F" w:rsidP="002B283E">
      <w:pPr>
        <w:autoSpaceDE w:val="0"/>
        <w:autoSpaceDN w:val="0"/>
        <w:adjustRightInd w:val="0"/>
        <w:ind w:left="5760" w:firstLine="720"/>
        <w:jc w:val="right"/>
        <w:rPr>
          <w:rFonts w:cs="Times New Roman"/>
          <w:i/>
          <w:iCs/>
          <w:szCs w:val="24"/>
        </w:rPr>
      </w:pPr>
    </w:p>
    <w:p w14:paraId="34D9FEF8" w14:textId="67C1F0BA" w:rsidR="006A4CD7" w:rsidRPr="002B283E" w:rsidRDefault="006A4CD7" w:rsidP="002B283E">
      <w:pPr>
        <w:autoSpaceDE w:val="0"/>
        <w:autoSpaceDN w:val="0"/>
        <w:adjustRightInd w:val="0"/>
        <w:rPr>
          <w:rFonts w:cs="Times New Roman"/>
          <w:szCs w:val="24"/>
        </w:rPr>
      </w:pPr>
    </w:p>
    <w:p w14:paraId="58264265" w14:textId="264C39DB" w:rsidR="006A4CD7" w:rsidRPr="002B283E" w:rsidRDefault="006A4CD7" w:rsidP="002B283E">
      <w:pPr>
        <w:pStyle w:val="Heading2"/>
      </w:pPr>
      <w:r w:rsidRPr="002B283E">
        <w:br w:type="page"/>
      </w:r>
      <w:bookmarkStart w:id="228" w:name="_Toc221525212"/>
      <w:r w:rsidRPr="002B283E">
        <w:lastRenderedPageBreak/>
        <w:t>10.3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305894" w:rsidRPr="002B283E">
        <w:t>“Because of” Defined</w:t>
      </w:r>
      <w:bookmarkEnd w:id="228"/>
    </w:p>
    <w:p w14:paraId="551F9F9B" w14:textId="77777777" w:rsidR="007B75B7" w:rsidRPr="002B283E" w:rsidRDefault="007B75B7" w:rsidP="002B283E">
      <w:pPr>
        <w:rPr>
          <w:rFonts w:cs="Times New Roman"/>
          <w:szCs w:val="24"/>
        </w:rPr>
      </w:pPr>
    </w:p>
    <w:p w14:paraId="4EA1CC8C" w14:textId="643F6D5A" w:rsidR="00305894" w:rsidRPr="002B283E" w:rsidRDefault="006A4CD7" w:rsidP="002B283E">
      <w:pPr>
        <w:rPr>
          <w:rFonts w:cs="Times New Roman"/>
          <w:szCs w:val="24"/>
        </w:rPr>
      </w:pPr>
      <w:bookmarkStart w:id="229" w:name="_Hlk225423647"/>
      <w:r w:rsidRPr="002B283E">
        <w:rPr>
          <w:rFonts w:cs="Times New Roman"/>
          <w:szCs w:val="24"/>
        </w:rPr>
        <w:tab/>
      </w:r>
      <w:r w:rsidR="00305894" w:rsidRPr="002B283E">
        <w:rPr>
          <w:rFonts w:cs="Times New Roman"/>
          <w:szCs w:val="24"/>
        </w:rPr>
        <w:t>“Because of” means “by reason of” or “on account of.” This is sometimes referred to as “but-for causation.” This form of causation is shown whenever a particular outcome would not have happened “but for” the purported cause. It is a reason without which the [</w:t>
      </w:r>
      <w:r w:rsidR="00305894" w:rsidRPr="002B283E">
        <w:rPr>
          <w:rFonts w:cs="Times New Roman"/>
          <w:i/>
          <w:iCs/>
          <w:szCs w:val="24"/>
          <w:u w:val="single"/>
        </w:rPr>
        <w:t>state adverse employment action</w:t>
      </w:r>
      <w:r w:rsidR="00305894" w:rsidRPr="002B283E">
        <w:rPr>
          <w:rFonts w:cs="Times New Roman"/>
          <w:szCs w:val="24"/>
        </w:rPr>
        <w:t xml:space="preserve">] would not have occurred. </w:t>
      </w:r>
    </w:p>
    <w:p w14:paraId="3030ED7A" w14:textId="77777777" w:rsidR="00305894" w:rsidRPr="002B283E" w:rsidRDefault="00305894" w:rsidP="002B283E">
      <w:pPr>
        <w:ind w:firstLine="720"/>
        <w:rPr>
          <w:rFonts w:cs="Times New Roman"/>
          <w:szCs w:val="24"/>
        </w:rPr>
      </w:pPr>
    </w:p>
    <w:p w14:paraId="60133A42" w14:textId="476EEF90" w:rsidR="00305894" w:rsidRPr="002B283E" w:rsidRDefault="00305894" w:rsidP="002B283E">
      <w:pPr>
        <w:ind w:firstLine="720"/>
        <w:rPr>
          <w:rFonts w:cs="Times New Roman"/>
          <w:szCs w:val="24"/>
        </w:rPr>
      </w:pPr>
      <w:r w:rsidRPr="002B283E">
        <w:rPr>
          <w:rFonts w:cs="Times New Roman"/>
          <w:szCs w:val="24"/>
        </w:rPr>
        <w:t xml:space="preserve">A but-for test directs us to change one thing at a time and see if the outcome changes. If it does, we have found a “but-for cause.” Often, events have multiple but-for causes. For example, if a car accident occurred both because the defendant ran a red light and because the plaintiff failed to signal his turn at the intersection, we might call each a “but-for cause” of the collision. </w:t>
      </w:r>
    </w:p>
    <w:p w14:paraId="5CAEE71E" w14:textId="77777777" w:rsidR="00305894" w:rsidRPr="002B283E" w:rsidRDefault="00305894" w:rsidP="002B283E">
      <w:pPr>
        <w:ind w:firstLine="720"/>
        <w:rPr>
          <w:rFonts w:cs="Times New Roman"/>
          <w:szCs w:val="24"/>
        </w:rPr>
      </w:pPr>
    </w:p>
    <w:p w14:paraId="3CE54E61" w14:textId="61471D66" w:rsidR="00305894" w:rsidRPr="002B283E" w:rsidRDefault="00305894" w:rsidP="002B283E">
      <w:pPr>
        <w:ind w:firstLine="720"/>
        <w:rPr>
          <w:rFonts w:cs="Times New Roman"/>
          <w:szCs w:val="24"/>
        </w:rPr>
      </w:pPr>
      <w:r w:rsidRPr="002B283E">
        <w:rPr>
          <w:rFonts w:cs="Times New Roman"/>
          <w:szCs w:val="24"/>
        </w:rPr>
        <w:t xml:space="preserve">In the context of this claim, a defendant cannot avoid liability just by citing some other factor that contributed to the challenged employment decision. So long as the plaintiff’s [race] [color] [religion] [sex] [national origin] was one but-for cause of that decision, that is enough to trigger the law. A “but-for cause” does not mean the sole cause or even a primary cause. </w:t>
      </w:r>
    </w:p>
    <w:p w14:paraId="43FCA8F8" w14:textId="77777777" w:rsidR="00305894" w:rsidRPr="002B283E" w:rsidRDefault="00305894" w:rsidP="002B283E">
      <w:pPr>
        <w:ind w:firstLine="720"/>
        <w:rPr>
          <w:rFonts w:cs="Times New Roman"/>
          <w:szCs w:val="24"/>
        </w:rPr>
      </w:pPr>
    </w:p>
    <w:p w14:paraId="4EEB01BE" w14:textId="77777777" w:rsidR="00305894" w:rsidRPr="002B283E" w:rsidRDefault="00305894" w:rsidP="002B283E">
      <w:pPr>
        <w:jc w:val="center"/>
        <w:rPr>
          <w:rFonts w:cs="Times New Roman"/>
          <w:b/>
          <w:bCs/>
          <w:szCs w:val="24"/>
        </w:rPr>
      </w:pPr>
      <w:r w:rsidRPr="002B283E">
        <w:rPr>
          <w:rFonts w:cs="Times New Roman"/>
          <w:b/>
          <w:bCs/>
          <w:szCs w:val="24"/>
        </w:rPr>
        <w:t>Comment</w:t>
      </w:r>
    </w:p>
    <w:p w14:paraId="28AEB316" w14:textId="77777777" w:rsidR="00305894" w:rsidRPr="002B283E" w:rsidRDefault="00305894" w:rsidP="002B283E">
      <w:pPr>
        <w:jc w:val="center"/>
        <w:rPr>
          <w:rFonts w:cs="Times New Roman"/>
          <w:szCs w:val="24"/>
        </w:rPr>
      </w:pPr>
    </w:p>
    <w:p w14:paraId="51191D65" w14:textId="5C5FE048" w:rsidR="00305894" w:rsidRPr="002B283E" w:rsidRDefault="00305894" w:rsidP="002B283E">
      <w:pPr>
        <w:ind w:firstLine="720"/>
        <w:rPr>
          <w:rFonts w:cs="Times New Roman"/>
          <w:szCs w:val="24"/>
        </w:rPr>
      </w:pPr>
      <w:r w:rsidRPr="002B283E">
        <w:rPr>
          <w:rFonts w:cs="Times New Roman"/>
          <w:i/>
          <w:iCs/>
          <w:szCs w:val="24"/>
        </w:rPr>
        <w:t xml:space="preserve">See Bostock v. Clayton </w:t>
      </w:r>
      <w:r w:rsidR="001C5DA7">
        <w:rPr>
          <w:rFonts w:cs="Times New Roman"/>
          <w:i/>
          <w:iCs/>
          <w:szCs w:val="24"/>
        </w:rPr>
        <w:t>County</w:t>
      </w:r>
      <w:r w:rsidRPr="002B283E">
        <w:rPr>
          <w:rFonts w:cs="Times New Roman"/>
          <w:szCs w:val="24"/>
        </w:rPr>
        <w:t xml:space="preserve">, </w:t>
      </w:r>
      <w:r w:rsidR="00A27BAC" w:rsidRPr="00A27BAC">
        <w:rPr>
          <w:rFonts w:cs="Times New Roman"/>
          <w:szCs w:val="24"/>
        </w:rPr>
        <w:t>590 U.S. 644</w:t>
      </w:r>
      <w:r w:rsidR="00A27BAC">
        <w:rPr>
          <w:rFonts w:cs="Times New Roman"/>
          <w:szCs w:val="24"/>
        </w:rPr>
        <w:t>, 656</w:t>
      </w:r>
      <w:r w:rsidRPr="002B283E">
        <w:rPr>
          <w:rFonts w:cs="Times New Roman"/>
          <w:szCs w:val="24"/>
        </w:rPr>
        <w:t xml:space="preserve"> (2020) (explaining “because of” and but-for causation in </w:t>
      </w:r>
      <w:r w:rsidR="00F44D63">
        <w:rPr>
          <w:rFonts w:cs="Times New Roman"/>
          <w:szCs w:val="24"/>
        </w:rPr>
        <w:t xml:space="preserve">the </w:t>
      </w:r>
      <w:r w:rsidRPr="002B283E">
        <w:rPr>
          <w:rFonts w:cs="Times New Roman"/>
          <w:szCs w:val="24"/>
        </w:rPr>
        <w:t xml:space="preserve">context of </w:t>
      </w:r>
      <w:r w:rsidR="00F44D63">
        <w:rPr>
          <w:rFonts w:cs="Times New Roman"/>
          <w:szCs w:val="24"/>
        </w:rPr>
        <w:t xml:space="preserve">a </w:t>
      </w:r>
      <w:r w:rsidRPr="002B283E">
        <w:rPr>
          <w:rFonts w:cs="Times New Roman"/>
          <w:szCs w:val="24"/>
        </w:rPr>
        <w:t>claim under Title VII).</w:t>
      </w:r>
    </w:p>
    <w:p w14:paraId="4B8993B1" w14:textId="77383C31" w:rsidR="00305894" w:rsidRPr="002B283E" w:rsidRDefault="00305894" w:rsidP="002B283E">
      <w:pPr>
        <w:jc w:val="right"/>
        <w:rPr>
          <w:rFonts w:cs="Times New Roman"/>
          <w:i/>
          <w:iCs/>
          <w:szCs w:val="24"/>
        </w:rPr>
      </w:pPr>
      <w:r w:rsidRPr="002B283E">
        <w:rPr>
          <w:rFonts w:cs="Times New Roman"/>
          <w:i/>
          <w:iCs/>
          <w:szCs w:val="24"/>
        </w:rPr>
        <w:t>Revised Mar</w:t>
      </w:r>
      <w:r w:rsidR="001240DB">
        <w:rPr>
          <w:rFonts w:cs="Times New Roman"/>
          <w:i/>
          <w:iCs/>
          <w:szCs w:val="24"/>
        </w:rPr>
        <w:t>ch</w:t>
      </w:r>
      <w:r w:rsidRPr="002B283E">
        <w:rPr>
          <w:rFonts w:cs="Times New Roman"/>
          <w:i/>
          <w:iCs/>
          <w:szCs w:val="24"/>
        </w:rPr>
        <w:t xml:space="preserve"> 2022</w:t>
      </w:r>
    </w:p>
    <w:bookmarkEnd w:id="229"/>
    <w:p w14:paraId="77F3CBA2" w14:textId="77777777" w:rsidR="00305894" w:rsidRPr="002B283E" w:rsidRDefault="00305894" w:rsidP="002B283E">
      <w:pPr>
        <w:rPr>
          <w:rFonts w:cs="Times New Roman"/>
          <w:szCs w:val="24"/>
        </w:rPr>
      </w:pPr>
    </w:p>
    <w:p w14:paraId="5ED7F9FD" w14:textId="77777777" w:rsidR="00305894" w:rsidRPr="002B283E" w:rsidRDefault="00305894" w:rsidP="002B283E">
      <w:pPr>
        <w:rPr>
          <w:rFonts w:cs="Times New Roman"/>
          <w:szCs w:val="24"/>
        </w:rPr>
      </w:pPr>
    </w:p>
    <w:p w14:paraId="4D6694E6" w14:textId="77777777" w:rsidR="001255DB" w:rsidRPr="002B283E" w:rsidRDefault="001255DB" w:rsidP="002B283E">
      <w:pPr>
        <w:rPr>
          <w:rFonts w:cs="Times New Roman"/>
          <w:szCs w:val="24"/>
        </w:rPr>
      </w:pPr>
    </w:p>
    <w:p w14:paraId="757C8BF0" w14:textId="736B18D6" w:rsidR="007A5BA1" w:rsidRPr="002B283E" w:rsidRDefault="007A5BA1" w:rsidP="002B283E">
      <w:pPr>
        <w:rPr>
          <w:rFonts w:cs="Times New Roman"/>
          <w:szCs w:val="24"/>
        </w:rPr>
      </w:pPr>
    </w:p>
    <w:p w14:paraId="0CE1D66B" w14:textId="3FE9D4C9" w:rsidR="00720F3D" w:rsidRPr="002B283E" w:rsidRDefault="006A4CD7" w:rsidP="002B283E">
      <w:pPr>
        <w:pStyle w:val="Heading2"/>
      </w:pPr>
      <w:r w:rsidRPr="002B283E">
        <w:br w:type="page"/>
      </w:r>
      <w:bookmarkStart w:id="230" w:name="_Toc65157342"/>
      <w:bookmarkStart w:id="231" w:name="_Toc221525213"/>
      <w:bookmarkStart w:id="232" w:name="_Hlk225423732"/>
      <w:r w:rsidR="00130A1C" w:rsidRPr="002B283E">
        <w:lastRenderedPageBreak/>
        <w:t xml:space="preserve">10.4 </w:t>
      </w:r>
      <w:r w:rsidR="001C5DA7" w:rsidRPr="002B283E">
        <w:t>Civil Rights—Title V</w:t>
      </w:r>
      <w:r w:rsidR="003137E9">
        <w:t>II</w:t>
      </w:r>
      <w:r w:rsidR="001C5DA7" w:rsidRPr="002B283E">
        <w:t>—Hostile Work Environment—Harassment</w:t>
      </w:r>
      <w:bookmarkEnd w:id="230"/>
      <w:bookmarkEnd w:id="231"/>
    </w:p>
    <w:p w14:paraId="4EEB7999" w14:textId="77777777" w:rsidR="00720F3D" w:rsidRPr="002B283E" w:rsidRDefault="00720F3D" w:rsidP="002B283E">
      <w:pPr>
        <w:rPr>
          <w:rFonts w:cs="Times New Roman"/>
          <w:szCs w:val="24"/>
        </w:rPr>
      </w:pPr>
    </w:p>
    <w:p w14:paraId="3AA4BB4C" w14:textId="77777777" w:rsidR="00720F3D" w:rsidRPr="002B283E" w:rsidRDefault="00720F3D" w:rsidP="002B283E">
      <w:pPr>
        <w:autoSpaceDE w:val="0"/>
        <w:autoSpaceDN w:val="0"/>
        <w:adjustRightInd w:val="0"/>
        <w:jc w:val="center"/>
        <w:rPr>
          <w:rFonts w:cs="Times New Roman"/>
          <w:szCs w:val="24"/>
        </w:rPr>
      </w:pPr>
      <w:r w:rsidRPr="002B283E">
        <w:rPr>
          <w:rFonts w:cs="Times New Roman"/>
          <w:b/>
          <w:bCs/>
          <w:szCs w:val="24"/>
        </w:rPr>
        <w:t>Comment</w:t>
      </w:r>
    </w:p>
    <w:p w14:paraId="5CB22ED8" w14:textId="77777777" w:rsidR="00720F3D" w:rsidRPr="002B283E" w:rsidRDefault="00720F3D" w:rsidP="002B283E">
      <w:pPr>
        <w:rPr>
          <w:rFonts w:cs="Times New Roman"/>
          <w:szCs w:val="24"/>
        </w:rPr>
      </w:pPr>
    </w:p>
    <w:p w14:paraId="3ABC0550" w14:textId="246478CD"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The Supreme Court addressed the law of harassment claims under Title VII in two companion cases, </w:t>
      </w:r>
      <w:r w:rsidRPr="002B283E">
        <w:rPr>
          <w:rFonts w:cs="Times New Roman"/>
          <w:i/>
          <w:iCs/>
          <w:szCs w:val="24"/>
        </w:rPr>
        <w:t>Burlington Industries Inc. v. Ellerth</w:t>
      </w:r>
      <w:r w:rsidRPr="002B283E">
        <w:rPr>
          <w:rFonts w:cs="Times New Roman"/>
          <w:szCs w:val="24"/>
        </w:rPr>
        <w:t xml:space="preserve">, 524 U.S. 742 (1998), and </w:t>
      </w:r>
      <w:r w:rsidRPr="002B283E">
        <w:rPr>
          <w:rFonts w:cs="Times New Roman"/>
          <w:i/>
          <w:iCs/>
          <w:szCs w:val="24"/>
        </w:rPr>
        <w:t>Faragher v. City of Boca Raton</w:t>
      </w:r>
      <w:r w:rsidRPr="002B283E">
        <w:rPr>
          <w:rFonts w:cs="Times New Roman"/>
          <w:szCs w:val="24"/>
        </w:rPr>
        <w:t xml:space="preserve">, 524 U.S. 775 (1998) [collectively, </w:t>
      </w:r>
      <w:r w:rsidRPr="002B283E">
        <w:rPr>
          <w:rFonts w:cs="Times New Roman"/>
          <w:i/>
          <w:iCs/>
          <w:szCs w:val="24"/>
        </w:rPr>
        <w:t>Ellerth/Faragher</w:t>
      </w:r>
      <w:r w:rsidRPr="002B283E">
        <w:rPr>
          <w:rFonts w:cs="Times New Roman"/>
          <w:szCs w:val="24"/>
        </w:rPr>
        <w:t>]. Although those cases relate to sexual harassment, the Committee does not discern any conceptual difference between harassment because of sex and harassment because of race or any other protected status. Accordingly, the following instructions are applicable to harassment based on race, color, sex, religion</w:t>
      </w:r>
      <w:r w:rsidR="00F44D63">
        <w:rPr>
          <w:rFonts w:cs="Times New Roman"/>
          <w:szCs w:val="24"/>
        </w:rPr>
        <w:t>, an</w:t>
      </w:r>
      <w:r w:rsidRPr="002B283E">
        <w:rPr>
          <w:rFonts w:cs="Times New Roman"/>
          <w:szCs w:val="24"/>
        </w:rPr>
        <w:t xml:space="preserve">d national origin. </w:t>
      </w:r>
    </w:p>
    <w:p w14:paraId="5A2496AB" w14:textId="77777777" w:rsidR="00720F3D" w:rsidRPr="002B283E" w:rsidRDefault="00720F3D" w:rsidP="002B283E">
      <w:pPr>
        <w:autoSpaceDE w:val="0"/>
        <w:autoSpaceDN w:val="0"/>
        <w:adjustRightInd w:val="0"/>
        <w:rPr>
          <w:rFonts w:cs="Times New Roman"/>
          <w:szCs w:val="24"/>
        </w:rPr>
      </w:pPr>
    </w:p>
    <w:p w14:paraId="48B4F856" w14:textId="5A8C4A07" w:rsidR="00720F3D" w:rsidRPr="002B283E" w:rsidRDefault="00720F3D"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Ellerth/Faragher</w:t>
      </w:r>
      <w:r w:rsidRPr="002B283E">
        <w:rPr>
          <w:rFonts w:cs="Times New Roman"/>
          <w:szCs w:val="24"/>
        </w:rPr>
        <w:t xml:space="preserve"> clarified the standards governing an employer’s liability for harassment</w:t>
      </w:r>
      <w:r w:rsidR="00A87F6E">
        <w:rPr>
          <w:rFonts w:cs="Times New Roman"/>
          <w:szCs w:val="24"/>
        </w:rPr>
        <w:t xml:space="preserve">. </w:t>
      </w:r>
      <w:r w:rsidRPr="002B283E">
        <w:rPr>
          <w:rFonts w:cs="Times New Roman"/>
          <w:szCs w:val="24"/>
        </w:rPr>
        <w:t xml:space="preserve">Essentially, when an employee suffers a tangible employment action resulting from a direct supervisor’s harassment, the employer’s liability is established by proof of the harassment and a resulting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Faragher</w:t>
      </w:r>
      <w:r w:rsidRPr="002B283E">
        <w:rPr>
          <w:rFonts w:cs="Times New Roman"/>
          <w:szCs w:val="24"/>
        </w:rPr>
        <w:t xml:space="preserve">, 524 U.S. at 807-08. No affirmative defense is available to the employer in those cases. When no tangible employment action has been taken, the employer may interpose an affirmative defense to defeat liability by proving (a) that the employer exercised reasonable care to prevent and correct promptly any discriminatory conduct, and (b) the plaintiff unreasonably failed to take advantage of any preventive or corrective opportunities provided by the employer or to otherwise avoid harm. </w:t>
      </w:r>
      <w:r w:rsidRPr="002B283E">
        <w:rPr>
          <w:rFonts w:cs="Times New Roman"/>
          <w:i/>
          <w:iCs/>
          <w:szCs w:val="24"/>
        </w:rPr>
        <w:t>Id.</w:t>
      </w:r>
      <w:r w:rsidRPr="002B283E">
        <w:rPr>
          <w:rFonts w:cs="Times New Roman"/>
          <w:szCs w:val="24"/>
        </w:rPr>
        <w:t xml:space="preserve">; </w:t>
      </w:r>
      <w:r w:rsidRPr="002B283E">
        <w:rPr>
          <w:rFonts w:cs="Times New Roman"/>
          <w:i/>
          <w:iCs/>
          <w:szCs w:val="24"/>
        </w:rPr>
        <w:t>Ellerth</w:t>
      </w:r>
      <w:r w:rsidRPr="002B283E">
        <w:rPr>
          <w:rFonts w:cs="Times New Roman"/>
          <w:szCs w:val="24"/>
        </w:rPr>
        <w:t xml:space="preserve">, 524 U.S. at 764-65; </w:t>
      </w:r>
      <w:r w:rsidRPr="002B283E">
        <w:rPr>
          <w:rFonts w:cs="Times New Roman"/>
          <w:i/>
          <w:iCs/>
          <w:szCs w:val="24"/>
        </w:rPr>
        <w:t>see</w:t>
      </w:r>
      <w:r w:rsidRPr="002B283E">
        <w:rPr>
          <w:rFonts w:cs="Times New Roman"/>
          <w:szCs w:val="24"/>
        </w:rPr>
        <w:t xml:space="preserve"> </w:t>
      </w:r>
      <w:r w:rsidRPr="002B283E">
        <w:rPr>
          <w:rFonts w:cs="Times New Roman"/>
          <w:i/>
          <w:iCs/>
          <w:szCs w:val="24"/>
        </w:rPr>
        <w:t>also Holly D. v. Cal. Inst. of Tech.</w:t>
      </w:r>
      <w:r w:rsidRPr="002B283E">
        <w:rPr>
          <w:rFonts w:cs="Times New Roman"/>
          <w:szCs w:val="24"/>
        </w:rPr>
        <w:t xml:space="preserve">, 339 F.3d 1158, 1166-67 (9th Cir. 2003); </w:t>
      </w:r>
      <w:r w:rsidRPr="002B283E">
        <w:rPr>
          <w:rFonts w:cs="Times New Roman"/>
          <w:i/>
          <w:iCs/>
          <w:szCs w:val="24"/>
        </w:rPr>
        <w:t>Swinton v. Potomac Corp.</w:t>
      </w:r>
      <w:r w:rsidRPr="002B283E">
        <w:rPr>
          <w:rFonts w:cs="Times New Roman"/>
          <w:szCs w:val="24"/>
        </w:rPr>
        <w:t xml:space="preserve">, 270 F.3d 794, 803 (9th Cir. 2001). </w:t>
      </w:r>
      <w:r w:rsidRPr="002B283E">
        <w:rPr>
          <w:rFonts w:cs="Times New Roman"/>
          <w:i/>
          <w:iCs/>
          <w:szCs w:val="24"/>
        </w:rPr>
        <w:t>See</w:t>
      </w:r>
      <w:r w:rsidRPr="002B283E">
        <w:rPr>
          <w:rFonts w:cs="Times New Roman"/>
          <w:szCs w:val="24"/>
        </w:rPr>
        <w:t xml:space="preserve"> Instruction 10.</w:t>
      </w:r>
      <w:r w:rsidR="000B3998">
        <w:rPr>
          <w:rFonts w:cs="Times New Roman"/>
          <w:szCs w:val="24"/>
        </w:rPr>
        <w:t>7</w:t>
      </w:r>
      <w:r w:rsidRPr="002B283E">
        <w:rPr>
          <w:rFonts w:cs="Times New Roman"/>
          <w:szCs w:val="24"/>
        </w:rPr>
        <w:t xml:space="preserve"> (Civil Rights—Title VII—Hostile Work Environment Caused by Supervisor—Claim Based on Vicarious Liability</w:t>
      </w:r>
      <w:r w:rsidRPr="002B283E">
        <w:rPr>
          <w:rFonts w:cs="Times New Roman"/>
          <w:b/>
          <w:bCs/>
          <w:szCs w:val="24"/>
        </w:rPr>
        <w:t>—</w:t>
      </w:r>
      <w:r w:rsidRPr="002B283E">
        <w:rPr>
          <w:rFonts w:cs="Times New Roman"/>
          <w:szCs w:val="24"/>
        </w:rPr>
        <w:t xml:space="preserve">Tangible Employment Action—Affirmative Defense). In </w:t>
      </w:r>
      <w:r w:rsidRPr="002B283E">
        <w:rPr>
          <w:rFonts w:cs="Times New Roman"/>
          <w:i/>
          <w:iCs/>
          <w:szCs w:val="24"/>
        </w:rPr>
        <w:t>Pennsylvania State Police v. Suders</w:t>
      </w:r>
      <w:r w:rsidRPr="002B283E">
        <w:rPr>
          <w:rFonts w:cs="Times New Roman"/>
          <w:szCs w:val="24"/>
        </w:rPr>
        <w:t xml:space="preserve">, 542 U.S. 129, 137-38 (2004), the Supreme Court applied the framework of </w:t>
      </w:r>
      <w:r w:rsidRPr="002B283E">
        <w:rPr>
          <w:rFonts w:cs="Times New Roman"/>
          <w:i/>
          <w:iCs/>
          <w:szCs w:val="24"/>
        </w:rPr>
        <w:t xml:space="preserve">Ellerth/Faragher </w:t>
      </w:r>
      <w:r w:rsidRPr="002B283E">
        <w:rPr>
          <w:rFonts w:cs="Times New Roman"/>
          <w:szCs w:val="24"/>
        </w:rPr>
        <w:t>to a case of constructive discharge due to a hostile work environment. In such a case, the</w:t>
      </w:r>
      <w:r w:rsidRPr="002B283E">
        <w:rPr>
          <w:rFonts w:cs="Times New Roman"/>
          <w:i/>
          <w:iCs/>
          <w:szCs w:val="24"/>
        </w:rPr>
        <w:t xml:space="preserve"> Ellerth/Faragher </w:t>
      </w:r>
      <w:r w:rsidRPr="002B283E">
        <w:rPr>
          <w:rFonts w:cs="Times New Roman"/>
          <w:szCs w:val="24"/>
        </w:rPr>
        <w:t xml:space="preserve">affirmative defense is available to the employer, unless an official act, </w:t>
      </w:r>
      <w:r w:rsidRPr="006E52B7">
        <w:rPr>
          <w:rFonts w:cs="Times New Roman"/>
          <w:i/>
          <w:iCs/>
          <w:szCs w:val="24"/>
        </w:rPr>
        <w:t>i.e.</w:t>
      </w:r>
      <w:r w:rsidRPr="002B283E">
        <w:rPr>
          <w:rFonts w:cs="Times New Roman"/>
          <w:szCs w:val="24"/>
        </w:rPr>
        <w:t xml:space="preserve">, a tangible employment action, of the employer precipitated the employee’s decision to resign. </w:t>
      </w:r>
      <w:r w:rsidRPr="002B283E">
        <w:rPr>
          <w:rFonts w:cs="Times New Roman"/>
          <w:i/>
          <w:iCs/>
          <w:szCs w:val="24"/>
        </w:rPr>
        <w:t>Id.</w:t>
      </w:r>
      <w:r w:rsidRPr="002B283E">
        <w:rPr>
          <w:rFonts w:cs="Times New Roman"/>
          <w:szCs w:val="24"/>
        </w:rPr>
        <w:t xml:space="preserve"> at 148. </w:t>
      </w:r>
    </w:p>
    <w:p w14:paraId="61A7C964" w14:textId="77777777" w:rsidR="00720F3D" w:rsidRPr="002B283E" w:rsidRDefault="00720F3D" w:rsidP="002B283E">
      <w:pPr>
        <w:autoSpaceDE w:val="0"/>
        <w:autoSpaceDN w:val="0"/>
        <w:adjustRightInd w:val="0"/>
        <w:rPr>
          <w:rFonts w:cs="Times New Roman"/>
          <w:szCs w:val="24"/>
        </w:rPr>
      </w:pPr>
    </w:p>
    <w:p w14:paraId="7CE5EC79" w14:textId="61533AEB"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If, however, harassment is committed by a co-worker or a nondirect supervisor of the plaintiff’s, the employer is liable only under a negligence theory. In this situation, the employer may not invoke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See Swinton</w:t>
      </w:r>
      <w:r w:rsidRPr="002B283E">
        <w:rPr>
          <w:rFonts w:cs="Times New Roman"/>
          <w:szCs w:val="24"/>
        </w:rPr>
        <w:t xml:space="preserve">, 270 F.3d at 803-04 (noting that principle embodied in affirmative defense is contained in requirements for prima facie case based on negligence). </w:t>
      </w:r>
      <w:r w:rsidRPr="002B283E">
        <w:rPr>
          <w:rFonts w:cs="Times New Roman"/>
          <w:i/>
          <w:iCs/>
          <w:szCs w:val="24"/>
        </w:rPr>
        <w:t>See also</w:t>
      </w:r>
      <w:r w:rsidRPr="002B283E">
        <w:rPr>
          <w:rFonts w:cs="Times New Roman"/>
          <w:szCs w:val="24"/>
        </w:rPr>
        <w:t xml:space="preserve"> Instruction 10.</w:t>
      </w:r>
      <w:r w:rsidR="000B3998">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8A04C2">
        <w:rPr>
          <w:rFonts w:cs="Times New Roman"/>
          <w:szCs w:val="24"/>
        </w:rPr>
        <w:t>—</w:t>
      </w:r>
      <w:r w:rsidRPr="002B283E">
        <w:rPr>
          <w:rFonts w:cs="Times New Roman"/>
          <w:szCs w:val="24"/>
        </w:rPr>
        <w:t>Claim Based on Negligence).</w:t>
      </w:r>
    </w:p>
    <w:p w14:paraId="1BADD46C" w14:textId="77777777" w:rsidR="00720F3D" w:rsidRPr="002B283E" w:rsidRDefault="00720F3D" w:rsidP="002B283E">
      <w:pPr>
        <w:autoSpaceDE w:val="0"/>
        <w:autoSpaceDN w:val="0"/>
        <w:adjustRightInd w:val="0"/>
        <w:rPr>
          <w:rFonts w:cs="Times New Roman"/>
          <w:szCs w:val="24"/>
        </w:rPr>
      </w:pPr>
    </w:p>
    <w:p w14:paraId="76BAED73" w14:textId="5C832F4D" w:rsidR="00720F3D" w:rsidRPr="002B283E" w:rsidRDefault="00720F3D" w:rsidP="002B283E">
      <w:pPr>
        <w:pStyle w:val="BodyText"/>
        <w:ind w:left="100" w:right="182" w:firstLine="720"/>
      </w:pPr>
      <w:r w:rsidRPr="002B283E">
        <w:t xml:space="preserve">An employer may be held liable for the actionable third-party harassment of its employees or customers when it ratifies or condones the conduct by failing to investigate and remedy it after learning of it. </w:t>
      </w:r>
      <w:r w:rsidRPr="002B283E">
        <w:rPr>
          <w:i/>
        </w:rPr>
        <w:t xml:space="preserve">See </w:t>
      </w:r>
      <w:r w:rsidRPr="002B283E">
        <w:rPr>
          <w:i/>
          <w:iCs/>
        </w:rPr>
        <w:t>Christian v. Umpqua Bank</w:t>
      </w:r>
      <w:r w:rsidRPr="002B283E">
        <w:t>, 984 F.3d 801, 811</w:t>
      </w:r>
      <w:r w:rsidR="001C5DA7">
        <w:t>-</w:t>
      </w:r>
      <w:r w:rsidRPr="002B283E">
        <w:t xml:space="preserve">12 (9th Cir. 2020). Title VII prohibits discrimination against any individual and makes no distinction between managers and other employees; both are entitled to its protection. </w:t>
      </w:r>
      <w:r w:rsidRPr="002B283E">
        <w:rPr>
          <w:i/>
        </w:rPr>
        <w:t>See Galdamez v. Potter</w:t>
      </w:r>
      <w:r w:rsidRPr="002B283E">
        <w:t>, 415 F.3d 1015, 1022 (9th Cir. 2005).</w:t>
      </w:r>
      <w:bookmarkStart w:id="233" w:name="10.5__CIVIL_RIGHTS—TITLE_VII—HOSTILE_WOR"/>
      <w:bookmarkEnd w:id="233"/>
      <w:r w:rsidRPr="002B283E">
        <w:t xml:space="preserve"> </w:t>
      </w:r>
    </w:p>
    <w:p w14:paraId="7F5702B5" w14:textId="0448D70D" w:rsidR="00305894" w:rsidRPr="002B283E" w:rsidRDefault="00305894" w:rsidP="002B283E">
      <w:pPr>
        <w:autoSpaceDE w:val="0"/>
        <w:autoSpaceDN w:val="0"/>
        <w:adjustRightInd w:val="0"/>
        <w:jc w:val="right"/>
        <w:rPr>
          <w:rFonts w:cs="Times New Roman"/>
          <w:i/>
          <w:iCs/>
          <w:szCs w:val="24"/>
        </w:rPr>
      </w:pPr>
      <w:r w:rsidRPr="002B283E">
        <w:rPr>
          <w:rFonts w:cs="Times New Roman"/>
          <w:i/>
          <w:iCs/>
          <w:szCs w:val="24"/>
        </w:rPr>
        <w:lastRenderedPageBreak/>
        <w:t>Revised Mar</w:t>
      </w:r>
      <w:r w:rsidR="001240DB">
        <w:rPr>
          <w:rFonts w:cs="Times New Roman"/>
          <w:i/>
          <w:iCs/>
          <w:szCs w:val="24"/>
        </w:rPr>
        <w:t>ch</w:t>
      </w:r>
      <w:r w:rsidRPr="002B283E">
        <w:rPr>
          <w:rFonts w:cs="Times New Roman"/>
          <w:i/>
          <w:iCs/>
          <w:szCs w:val="24"/>
        </w:rPr>
        <w:t xml:space="preserve"> 202</w:t>
      </w:r>
      <w:r w:rsidR="00DA0D23" w:rsidRPr="002B283E">
        <w:rPr>
          <w:rFonts w:cs="Times New Roman"/>
          <w:i/>
          <w:iCs/>
          <w:szCs w:val="24"/>
        </w:rPr>
        <w:t>1</w:t>
      </w:r>
    </w:p>
    <w:bookmarkEnd w:id="232"/>
    <w:p w14:paraId="4B531547" w14:textId="2F50717E" w:rsidR="006B6C2A" w:rsidRPr="002B283E" w:rsidRDefault="006A4CD7" w:rsidP="002B283E">
      <w:pPr>
        <w:pStyle w:val="Heading2"/>
      </w:pPr>
      <w:r w:rsidRPr="002B283E">
        <w:br w:type="page"/>
      </w:r>
      <w:bookmarkStart w:id="234" w:name="_Toc221525214"/>
      <w:bookmarkStart w:id="235" w:name="_Hlk225423816"/>
      <w:bookmarkStart w:id="236" w:name="_Toc65157343"/>
      <w:r w:rsidR="006B6C2A" w:rsidRPr="002B283E">
        <w:lastRenderedPageBreak/>
        <w:t>10.</w:t>
      </w:r>
      <w:r w:rsidR="0008651C">
        <w:t>5</w:t>
      </w:r>
      <w:r w:rsidR="006B6C2A" w:rsidRPr="002B283E">
        <w:t> </w:t>
      </w:r>
      <w:bookmarkStart w:id="237" w:name="_Hlk187860983"/>
      <w:r w:rsidR="006B6C2A" w:rsidRPr="002B283E">
        <w:t>Civil Rights—Title VII—Hostile Work Environment—Definition</w:t>
      </w:r>
      <w:bookmarkEnd w:id="234"/>
      <w:bookmarkEnd w:id="237"/>
    </w:p>
    <w:p w14:paraId="4D6427C6" w14:textId="77777777" w:rsidR="006B6C2A" w:rsidRPr="002B283E" w:rsidRDefault="006B6C2A" w:rsidP="002B283E">
      <w:pPr>
        <w:rPr>
          <w:rFonts w:cs="Times New Roman"/>
          <w:szCs w:val="24"/>
        </w:rPr>
      </w:pPr>
    </w:p>
    <w:p w14:paraId="1656AEC0"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ab/>
        <w:t>A hostile work environment is one permeated with discriminatory intimidation, ridicule, and insult that is sufficiently severe or pervasive to alter the condition of the plaintiff’s employment and create an abusive working environment.</w:t>
      </w:r>
    </w:p>
    <w:p w14:paraId="167AAABC" w14:textId="77777777" w:rsidR="006B6C2A" w:rsidRPr="002B283E" w:rsidRDefault="006B6C2A" w:rsidP="002B283E">
      <w:pPr>
        <w:shd w:val="clear" w:color="auto" w:fill="FFFFFF"/>
        <w:rPr>
          <w:rFonts w:eastAsia="Times New Roman" w:cs="Times New Roman"/>
          <w:szCs w:val="24"/>
        </w:rPr>
      </w:pPr>
    </w:p>
    <w:p w14:paraId="7AF49D80" w14:textId="77777777" w:rsidR="006B6C2A" w:rsidRPr="002B283E" w:rsidRDefault="006B6C2A" w:rsidP="002B283E">
      <w:pPr>
        <w:shd w:val="clear" w:color="auto" w:fill="FFFFFF"/>
        <w:jc w:val="center"/>
        <w:rPr>
          <w:rFonts w:eastAsia="Times New Roman" w:cs="Times New Roman"/>
          <w:szCs w:val="24"/>
        </w:rPr>
      </w:pPr>
      <w:r w:rsidRPr="002B283E">
        <w:rPr>
          <w:rFonts w:eastAsia="Times New Roman" w:cs="Times New Roman"/>
          <w:b/>
          <w:bCs/>
          <w:szCs w:val="24"/>
        </w:rPr>
        <w:t>Comment</w:t>
      </w:r>
      <w:r w:rsidRPr="002B283E">
        <w:rPr>
          <w:rFonts w:eastAsia="Times New Roman" w:cs="Times New Roman"/>
          <w:szCs w:val="24"/>
        </w:rPr>
        <w:t> </w:t>
      </w:r>
    </w:p>
    <w:p w14:paraId="154B21FA" w14:textId="77777777" w:rsidR="006B6C2A" w:rsidRPr="002B283E" w:rsidRDefault="006B6C2A" w:rsidP="002B283E">
      <w:pPr>
        <w:shd w:val="clear" w:color="auto" w:fill="FFFFFF"/>
        <w:jc w:val="center"/>
        <w:rPr>
          <w:rFonts w:eastAsia="Times New Roman" w:cs="Times New Roman"/>
          <w:szCs w:val="24"/>
        </w:rPr>
      </w:pPr>
    </w:p>
    <w:p w14:paraId="7E632BA3"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The definition for “hostile work environment” for this instruction is derived from </w:t>
      </w:r>
      <w:r w:rsidRPr="002B283E">
        <w:rPr>
          <w:rFonts w:eastAsia="Times New Roman" w:cs="Times New Roman"/>
          <w:i/>
          <w:iCs/>
          <w:szCs w:val="24"/>
        </w:rPr>
        <w:t>Harris v. Forklift Sys., Inc.</w:t>
      </w:r>
      <w:r w:rsidRPr="002B283E">
        <w:rPr>
          <w:rFonts w:eastAsia="Times New Roman" w:cs="Times New Roman"/>
          <w:szCs w:val="24"/>
        </w:rPr>
        <w:t xml:space="preserve">, 510 U.S. 17, 21 (1993), </w:t>
      </w:r>
      <w:r w:rsidRPr="002B283E">
        <w:rPr>
          <w:rFonts w:eastAsia="Times New Roman" w:cs="Times New Roman"/>
          <w:i/>
          <w:iCs/>
          <w:szCs w:val="24"/>
        </w:rPr>
        <w:t>abrogated on other grounds</w:t>
      </w:r>
      <w:r w:rsidRPr="002B283E">
        <w:rPr>
          <w:rFonts w:eastAsia="Times New Roman" w:cs="Times New Roman"/>
          <w:szCs w:val="24"/>
        </w:rPr>
        <w:t xml:space="preserve"> by </w:t>
      </w:r>
      <w:r w:rsidRPr="002B283E">
        <w:rPr>
          <w:rFonts w:eastAsia="Times New Roman" w:cs="Times New Roman"/>
          <w:i/>
          <w:iCs/>
          <w:szCs w:val="24"/>
        </w:rPr>
        <w:t>Burlington Indus. Inc. v. Ellerth,</w:t>
      </w:r>
      <w:r w:rsidRPr="002B283E">
        <w:rPr>
          <w:rFonts w:eastAsia="Times New Roman" w:cs="Times New Roman"/>
          <w:szCs w:val="24"/>
        </w:rPr>
        <w:t xml:space="preserve"> 524 U.S. 742 (1998). </w:t>
      </w:r>
    </w:p>
    <w:p w14:paraId="3D8E18C8" w14:textId="77777777" w:rsidR="006B6C2A" w:rsidRPr="002B283E" w:rsidRDefault="006B6C2A" w:rsidP="002B283E">
      <w:pPr>
        <w:shd w:val="clear" w:color="auto" w:fill="FFFFFF"/>
        <w:rPr>
          <w:rFonts w:eastAsia="Times New Roman" w:cs="Times New Roman"/>
          <w:szCs w:val="24"/>
        </w:rPr>
      </w:pPr>
    </w:p>
    <w:p w14:paraId="0F598135" w14:textId="55A2E15F"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This instruction should be given in conjunction with other appropriate instructions, including Instructions 10.</w:t>
      </w:r>
      <w:r w:rsidR="000B3998">
        <w:rPr>
          <w:rFonts w:eastAsia="Times New Roman" w:cs="Times New Roman"/>
          <w:szCs w:val="24"/>
        </w:rPr>
        <w:t>7</w:t>
      </w:r>
      <w:r w:rsidRPr="002B283E">
        <w:rPr>
          <w:rFonts w:eastAsia="Times New Roman" w:cs="Times New Roman"/>
          <w:szCs w:val="24"/>
        </w:rPr>
        <w:t xml:space="preserve"> (Civil Rights—Title VII—Hostile Work Environment Caused by Supervisor—Claim Based on Vicarious Liability—Tangible Employment Action—Affirmative Defense); 10.</w:t>
      </w:r>
      <w:r w:rsidR="000B3998">
        <w:rPr>
          <w:rFonts w:eastAsia="Times New Roman" w:cs="Times New Roman"/>
          <w:szCs w:val="24"/>
        </w:rPr>
        <w:t>8</w:t>
      </w:r>
      <w:r w:rsidRPr="002B283E">
        <w:rPr>
          <w:rFonts w:eastAsia="Times New Roman" w:cs="Times New Roman"/>
          <w:szCs w:val="24"/>
        </w:rPr>
        <w:t xml:space="preserve"> (Civil Rights—Title VII—Hostile Work Environment Caused by Non-Immediate Supervisor or by Co-Worker—Claim Based On Negligence); and, if necessary, 10.1</w:t>
      </w:r>
      <w:r w:rsidR="000B3998">
        <w:rPr>
          <w:rFonts w:eastAsia="Times New Roman" w:cs="Times New Roman"/>
          <w:szCs w:val="24"/>
        </w:rPr>
        <w:t>4</w:t>
      </w:r>
      <w:r w:rsidRPr="002B283E">
        <w:rPr>
          <w:rFonts w:eastAsia="Times New Roman" w:cs="Times New Roman"/>
          <w:szCs w:val="24"/>
        </w:rPr>
        <w:t xml:space="preserve"> (Civil Rights—Title VII—“Tangible Employment Action” Defined). </w:t>
      </w:r>
    </w:p>
    <w:p w14:paraId="77BE8BD8" w14:textId="77777777" w:rsidR="006B6C2A" w:rsidRPr="002B283E" w:rsidRDefault="006B6C2A" w:rsidP="002B283E">
      <w:pPr>
        <w:jc w:val="right"/>
        <w:rPr>
          <w:rFonts w:cs="Times New Roman"/>
          <w:i/>
          <w:iCs/>
          <w:szCs w:val="24"/>
        </w:rPr>
      </w:pPr>
      <w:bookmarkStart w:id="238" w:name="_Hlk186467204"/>
    </w:p>
    <w:p w14:paraId="6407C325" w14:textId="176B6054" w:rsidR="006B6C2A" w:rsidRPr="002B283E" w:rsidRDefault="006B6C2A" w:rsidP="002B283E">
      <w:pPr>
        <w:jc w:val="right"/>
        <w:rPr>
          <w:rFonts w:cs="Times New Roman"/>
          <w:i/>
          <w:iCs/>
          <w:szCs w:val="24"/>
        </w:rPr>
      </w:pPr>
      <w:r w:rsidRPr="002B283E">
        <w:rPr>
          <w:rFonts w:cs="Times New Roman"/>
          <w:i/>
          <w:iCs/>
          <w:szCs w:val="24"/>
        </w:rPr>
        <w:t>Added November 2024</w:t>
      </w:r>
      <w:bookmarkEnd w:id="238"/>
    </w:p>
    <w:bookmarkEnd w:id="235"/>
    <w:p w14:paraId="0D5B3F59" w14:textId="77777777" w:rsidR="006B6C2A" w:rsidRPr="002B283E" w:rsidRDefault="006B6C2A" w:rsidP="002B283E">
      <w:pPr>
        <w:rPr>
          <w:rFonts w:cs="Times New Roman"/>
          <w:i/>
          <w:iCs/>
          <w:szCs w:val="24"/>
        </w:rPr>
      </w:pPr>
      <w:r w:rsidRPr="002B283E">
        <w:rPr>
          <w:rFonts w:cs="Times New Roman"/>
          <w:i/>
          <w:iCs/>
          <w:szCs w:val="24"/>
        </w:rPr>
        <w:br w:type="page"/>
      </w:r>
    </w:p>
    <w:p w14:paraId="041EE389" w14:textId="014B6002" w:rsidR="004B12C5" w:rsidRPr="002B283E" w:rsidRDefault="00207B39" w:rsidP="002B283E">
      <w:pPr>
        <w:pStyle w:val="Heading2"/>
      </w:pPr>
      <w:bookmarkStart w:id="239" w:name="_Toc221525215"/>
      <w:bookmarkStart w:id="240" w:name="_Hlk225423908"/>
      <w:r w:rsidRPr="002B283E">
        <w:lastRenderedPageBreak/>
        <w:t>10.</w:t>
      </w:r>
      <w:r w:rsidR="0008651C">
        <w:t>6</w:t>
      </w:r>
      <w:r w:rsidRPr="002B283E">
        <w:t xml:space="preserve"> Civil</w:t>
      </w:r>
      <w:r w:rsidR="004B12C5" w:rsidRPr="002B283E">
        <w:t xml:space="preserve"> Rights—Title VII—Hostile Work Environment—Harassment Because Of</w:t>
      </w:r>
      <w:r w:rsidR="009F70BA" w:rsidRPr="002B283E">
        <w:br/>
      </w:r>
      <w:r w:rsidR="004B12C5" w:rsidRPr="002B283E">
        <w:t>Protected Characteristics—Elements</w:t>
      </w:r>
      <w:bookmarkEnd w:id="236"/>
      <w:bookmarkEnd w:id="239"/>
    </w:p>
    <w:p w14:paraId="300BBEAF" w14:textId="77777777" w:rsidR="004B12C5" w:rsidRPr="002B283E" w:rsidRDefault="004B12C5" w:rsidP="002B283E">
      <w:pPr>
        <w:rPr>
          <w:rFonts w:cs="Times New Roman"/>
          <w:szCs w:val="24"/>
        </w:rPr>
      </w:pPr>
    </w:p>
    <w:p w14:paraId="778AB395" w14:textId="2343EF02" w:rsidR="00B65D70" w:rsidRPr="002B283E" w:rsidRDefault="004B12C5" w:rsidP="002B283E">
      <w:pPr>
        <w:autoSpaceDE w:val="0"/>
        <w:autoSpaceDN w:val="0"/>
        <w:adjustRightInd w:val="0"/>
        <w:rPr>
          <w:rFonts w:cs="Times New Roman"/>
          <w:szCs w:val="24"/>
        </w:rPr>
      </w:pPr>
      <w:r w:rsidRPr="002B283E">
        <w:rPr>
          <w:rFonts w:cs="Times New Roman"/>
          <w:szCs w:val="24"/>
        </w:rPr>
        <w:tab/>
      </w:r>
      <w:r w:rsidR="00B65D70"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for a [racially] [sexually] [</w:t>
      </w:r>
      <w:r w:rsidR="00B65D70" w:rsidRPr="002B283E">
        <w:rPr>
          <w:rFonts w:cs="Times New Roman"/>
          <w:i/>
          <w:iCs/>
          <w:szCs w:val="24"/>
          <w:u w:val="single"/>
        </w:rPr>
        <w:t>other Title VII protected characteristic</w:t>
      </w:r>
      <w:r w:rsidR="00B65D70" w:rsidRPr="002B283E">
        <w:rPr>
          <w:rFonts w:cs="Times New Roman"/>
          <w:szCs w:val="24"/>
        </w:rPr>
        <w:t>] hostile work environment while employed by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B65D70" w:rsidRPr="002B283E">
        <w:rPr>
          <w:rFonts w:cs="Times New Roman"/>
          <w:szCs w:val="24"/>
        </w:rPr>
        <w:t xml:space="preserve">. </w:t>
      </w:r>
      <w:r w:rsidR="002F1238">
        <w:rPr>
          <w:rFonts w:cs="Times New Roman"/>
          <w:szCs w:val="24"/>
        </w:rPr>
        <w:t>To</w:t>
      </w:r>
      <w:r w:rsidR="00B65D70" w:rsidRPr="002B283E">
        <w:rPr>
          <w:rFonts w:cs="Times New Roman"/>
          <w:szCs w:val="24"/>
        </w:rPr>
        <w:t xml:space="preserve"> establish a [racially] [sexually] [</w:t>
      </w:r>
      <w:r w:rsidR="00B65D70" w:rsidRPr="002B283E">
        <w:rPr>
          <w:rFonts w:cs="Times New Roman"/>
          <w:i/>
          <w:iCs/>
          <w:szCs w:val="24"/>
          <w:u w:val="single"/>
        </w:rPr>
        <w:t>other Title VII protected characteristic</w:t>
      </w:r>
      <w:r w:rsidR="00B65D70" w:rsidRPr="002B283E">
        <w:rPr>
          <w:rFonts w:cs="Times New Roman"/>
          <w:szCs w:val="24"/>
        </w:rPr>
        <w:t xml:space="preserve">] hostile work environment,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must prove each of the following elements by a preponderance of the evidence:</w:t>
      </w:r>
    </w:p>
    <w:p w14:paraId="1F185F88" w14:textId="77777777" w:rsidR="00B65D70" w:rsidRPr="002B283E" w:rsidRDefault="00B65D70" w:rsidP="002B283E">
      <w:pPr>
        <w:autoSpaceDE w:val="0"/>
        <w:autoSpaceDN w:val="0"/>
        <w:adjustRightInd w:val="0"/>
        <w:rPr>
          <w:rFonts w:cs="Times New Roman"/>
          <w:szCs w:val="24"/>
        </w:rPr>
      </w:pPr>
    </w:p>
    <w:p w14:paraId="05159663" w14:textId="0034DCC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was subjected to [slurs, insults, jokes or other verbal comments or physical contact or intimidation of a racial nature] [sexual advances, requests for sexual conduct, or other verbal or physical conduct of a sexual nature] [</w:t>
      </w:r>
      <w:r w:rsidR="00B65D70" w:rsidRPr="002B283E">
        <w:rPr>
          <w:rFonts w:cs="Times New Roman"/>
          <w:i/>
          <w:iCs/>
          <w:szCs w:val="24"/>
          <w:u w:val="single"/>
        </w:rPr>
        <w:t>conduct affecting other Title VII protected characteristics</w:t>
      </w:r>
      <w:r w:rsidR="00B65D70" w:rsidRPr="002B283E">
        <w:rPr>
          <w:rFonts w:cs="Times New Roman"/>
          <w:szCs w:val="24"/>
        </w:rPr>
        <w:t xml:space="preserve">]; </w:t>
      </w:r>
    </w:p>
    <w:p w14:paraId="28370D5D" w14:textId="77777777" w:rsidR="00B65D70" w:rsidRPr="002B283E" w:rsidRDefault="00B65D70" w:rsidP="008A04C2">
      <w:pPr>
        <w:autoSpaceDE w:val="0"/>
        <w:autoSpaceDN w:val="0"/>
        <w:adjustRightInd w:val="0"/>
        <w:ind w:firstLine="720"/>
        <w:rPr>
          <w:rFonts w:cs="Times New Roman"/>
          <w:szCs w:val="24"/>
        </w:rPr>
      </w:pPr>
    </w:p>
    <w:p w14:paraId="63086181" w14:textId="07073303"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B65D70" w:rsidRPr="002B283E">
        <w:rPr>
          <w:rFonts w:cs="Times New Roman"/>
          <w:szCs w:val="24"/>
        </w:rPr>
        <w:t>the conduct was unwelcome;</w:t>
      </w:r>
    </w:p>
    <w:p w14:paraId="53917EF5" w14:textId="77777777" w:rsidR="00B65D70" w:rsidRPr="002B283E" w:rsidRDefault="00B65D70" w:rsidP="008A04C2">
      <w:pPr>
        <w:autoSpaceDE w:val="0"/>
        <w:autoSpaceDN w:val="0"/>
        <w:adjustRightInd w:val="0"/>
        <w:ind w:firstLine="720"/>
        <w:rPr>
          <w:rFonts w:cs="Times New Roman"/>
          <w:szCs w:val="24"/>
        </w:rPr>
      </w:pPr>
    </w:p>
    <w:p w14:paraId="0FC068D4" w14:textId="3A3CB6B5"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B65D70" w:rsidRPr="002B283E">
        <w:rPr>
          <w:rFonts w:cs="Times New Roman"/>
          <w:szCs w:val="24"/>
        </w:rPr>
        <w:t>the conduct was sufficiently severe or pervasive to alter the conditions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employment and create a [racially] [sexually] [</w:t>
      </w:r>
      <w:r w:rsidR="00B65D70" w:rsidRPr="002B283E">
        <w:rPr>
          <w:rFonts w:cs="Times New Roman"/>
          <w:i/>
          <w:iCs/>
          <w:szCs w:val="24"/>
          <w:u w:val="single"/>
        </w:rPr>
        <w:t>other Title VII protected characteristic</w:t>
      </w:r>
      <w:r w:rsidR="00B65D70" w:rsidRPr="002B283E">
        <w:rPr>
          <w:rFonts w:cs="Times New Roman"/>
          <w:szCs w:val="24"/>
        </w:rPr>
        <w:t>] abusive or hostile work environment;</w:t>
      </w:r>
    </w:p>
    <w:p w14:paraId="63824F1A" w14:textId="77777777" w:rsidR="00B65D70" w:rsidRPr="002B283E" w:rsidRDefault="00B65D70" w:rsidP="008A04C2">
      <w:pPr>
        <w:autoSpaceDE w:val="0"/>
        <w:autoSpaceDN w:val="0"/>
        <w:adjustRightInd w:val="0"/>
        <w:ind w:firstLine="720"/>
        <w:rPr>
          <w:rFonts w:cs="Times New Roman"/>
          <w:szCs w:val="24"/>
        </w:rPr>
      </w:pPr>
    </w:p>
    <w:p w14:paraId="19217A3B" w14:textId="463A23F2"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Fourth,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perceived the working environment to be abusive or hostile; and</w:t>
      </w:r>
    </w:p>
    <w:p w14:paraId="345ADE7C" w14:textId="77777777" w:rsidR="00B65D70" w:rsidRPr="002B283E" w:rsidRDefault="00B65D70" w:rsidP="008A04C2">
      <w:pPr>
        <w:autoSpaceDE w:val="0"/>
        <w:autoSpaceDN w:val="0"/>
        <w:adjustRightInd w:val="0"/>
        <w:ind w:firstLine="720"/>
        <w:rPr>
          <w:rFonts w:cs="Times New Roman"/>
          <w:szCs w:val="24"/>
        </w:rPr>
      </w:pPr>
    </w:p>
    <w:p w14:paraId="1D16059A" w14:textId="74DCA9F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Fifth, </w:t>
      </w:r>
      <w:r w:rsidR="00B65D70" w:rsidRPr="002B283E">
        <w:rPr>
          <w:rFonts w:cs="Times New Roman"/>
          <w:szCs w:val="24"/>
        </w:rPr>
        <w:t>a reasonable person [with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protected characteristic] in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circumstances would consider the working environment to be abusive or hostile.</w:t>
      </w:r>
    </w:p>
    <w:p w14:paraId="70E1B484" w14:textId="77777777" w:rsidR="00B65D70" w:rsidRPr="002B283E" w:rsidRDefault="00B65D70" w:rsidP="002B283E">
      <w:pPr>
        <w:autoSpaceDE w:val="0"/>
        <w:autoSpaceDN w:val="0"/>
        <w:adjustRightInd w:val="0"/>
        <w:rPr>
          <w:rFonts w:cs="Times New Roman"/>
          <w:szCs w:val="24"/>
        </w:rPr>
      </w:pPr>
    </w:p>
    <w:p w14:paraId="1DD72869" w14:textId="77777777" w:rsidR="00B65D70" w:rsidRPr="002B283E" w:rsidRDefault="00B65D70" w:rsidP="002B283E">
      <w:pPr>
        <w:autoSpaceDE w:val="0"/>
        <w:autoSpaceDN w:val="0"/>
        <w:adjustRightInd w:val="0"/>
        <w:rPr>
          <w:rFonts w:cs="Times New Roman"/>
          <w:szCs w:val="24"/>
        </w:rPr>
      </w:pPr>
      <w:r w:rsidRPr="002B283E">
        <w:rPr>
          <w:rFonts w:cs="Times New Roman"/>
          <w:szCs w:val="24"/>
        </w:rPr>
        <w:tab/>
        <w:t>Whether the environment constituted a [racially] [sexually] [</w:t>
      </w:r>
      <w:r w:rsidRPr="002B283E">
        <w:rPr>
          <w:rFonts w:cs="Times New Roman"/>
          <w:i/>
          <w:iCs/>
          <w:szCs w:val="24"/>
          <w:u w:val="single"/>
        </w:rPr>
        <w:t>other Title VII protected characteristic</w:t>
      </w:r>
      <w:r w:rsidRPr="002B283E">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623612BE" w14:textId="77777777" w:rsidR="00B65D70" w:rsidRPr="002B283E" w:rsidRDefault="00B65D70" w:rsidP="002B283E">
      <w:pPr>
        <w:rPr>
          <w:rFonts w:cs="Times New Roman"/>
          <w:szCs w:val="24"/>
        </w:rPr>
      </w:pPr>
    </w:p>
    <w:p w14:paraId="4F79F19E" w14:textId="77777777" w:rsidR="00B65D70" w:rsidRPr="002B283E" w:rsidRDefault="00B65D70" w:rsidP="002B283E">
      <w:pPr>
        <w:autoSpaceDE w:val="0"/>
        <w:autoSpaceDN w:val="0"/>
        <w:adjustRightInd w:val="0"/>
        <w:jc w:val="center"/>
        <w:rPr>
          <w:rFonts w:cs="Times New Roman"/>
          <w:szCs w:val="24"/>
        </w:rPr>
      </w:pPr>
      <w:r w:rsidRPr="002B283E">
        <w:rPr>
          <w:rFonts w:cs="Times New Roman"/>
          <w:b/>
          <w:bCs/>
          <w:szCs w:val="24"/>
        </w:rPr>
        <w:t>Comment</w:t>
      </w:r>
    </w:p>
    <w:p w14:paraId="14371823" w14:textId="77777777" w:rsidR="00B65D70" w:rsidRPr="002B283E" w:rsidRDefault="00B65D70" w:rsidP="002B283E">
      <w:pPr>
        <w:rPr>
          <w:rFonts w:cs="Times New Roman"/>
          <w:szCs w:val="24"/>
        </w:rPr>
      </w:pPr>
    </w:p>
    <w:p w14:paraId="20A5B31C" w14:textId="6F49B7E6"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The elements of this instruction are derived from </w:t>
      </w:r>
      <w:r w:rsidRPr="002B283E">
        <w:rPr>
          <w:rFonts w:cs="Times New Roman"/>
          <w:i/>
          <w:iCs/>
          <w:szCs w:val="24"/>
        </w:rPr>
        <w:t>Fuller v. City of Oakland, California</w:t>
      </w:r>
      <w:r w:rsidRPr="002B283E">
        <w:rPr>
          <w:rFonts w:cs="Times New Roman"/>
          <w:szCs w:val="24"/>
        </w:rPr>
        <w:t xml:space="preserve">, 47 F.3d 1522, 1527 (9th Cir. 1995). The language in the instruction regarding the factors used to determine whether a working environment was sufficiently hostile or abusive is derived from </w:t>
      </w:r>
      <w:r w:rsidRPr="002B283E">
        <w:rPr>
          <w:rFonts w:cs="Times New Roman"/>
          <w:i/>
          <w:iCs/>
          <w:szCs w:val="24"/>
        </w:rPr>
        <w:t>Harris v. Forklift Systems, Inc.</w:t>
      </w:r>
      <w:r w:rsidRPr="002B283E">
        <w:rPr>
          <w:rFonts w:cs="Times New Roman"/>
          <w:szCs w:val="24"/>
        </w:rPr>
        <w:t>, 510 U.S. 17, 23 (1993)</w:t>
      </w:r>
      <w:r w:rsidR="00A87F6E">
        <w:rPr>
          <w:rFonts w:cs="Times New Roman"/>
          <w:szCs w:val="24"/>
        </w:rPr>
        <w:t xml:space="preserve">. </w:t>
      </w:r>
    </w:p>
    <w:p w14:paraId="0FD4FC16" w14:textId="77777777" w:rsidR="00B65D70" w:rsidRPr="002B283E" w:rsidRDefault="00B65D70" w:rsidP="002B283E">
      <w:pPr>
        <w:autoSpaceDE w:val="0"/>
        <w:autoSpaceDN w:val="0"/>
        <w:adjustRightInd w:val="0"/>
        <w:rPr>
          <w:rFonts w:cs="Times New Roman"/>
          <w:szCs w:val="24"/>
        </w:rPr>
      </w:pPr>
    </w:p>
    <w:p w14:paraId="013C1EB1" w14:textId="55941F42" w:rsidR="00B65D70" w:rsidRPr="002B283E" w:rsidRDefault="00B65D70" w:rsidP="002B283E">
      <w:pPr>
        <w:autoSpaceDE w:val="0"/>
        <w:autoSpaceDN w:val="0"/>
        <w:adjustRightInd w:val="0"/>
        <w:rPr>
          <w:rFonts w:cs="Times New Roman"/>
          <w:szCs w:val="24"/>
        </w:rPr>
      </w:pPr>
      <w:r w:rsidRPr="002B283E">
        <w:rPr>
          <w:rFonts w:cs="Times New Roman"/>
          <w:szCs w:val="24"/>
        </w:rPr>
        <w:tab/>
        <w:t>This instruction should be given in conjunction with other appropriate instructions, including Instructions 10.</w:t>
      </w:r>
      <w:r w:rsidR="000B3998">
        <w:rPr>
          <w:rFonts w:cs="Times New Roman"/>
          <w:szCs w:val="24"/>
        </w:rPr>
        <w:t>7</w:t>
      </w:r>
      <w:r w:rsidRPr="002B283E">
        <w:rPr>
          <w:rFonts w:cs="Times New Roman"/>
          <w:szCs w:val="24"/>
        </w:rPr>
        <w:t xml:space="preserve"> (Civil Rights—Title VII—Hostile Work Environment Caused by Supervisor—Claim Based on Vicarious Liability—Tangible Employment Action—Affirmative Defense); 10.</w:t>
      </w:r>
      <w:r w:rsidR="000B3998">
        <w:rPr>
          <w:rFonts w:cs="Times New Roman"/>
          <w:szCs w:val="24"/>
        </w:rPr>
        <w:t>8</w:t>
      </w:r>
      <w:r w:rsidRPr="002B283E">
        <w:rPr>
          <w:rFonts w:cs="Times New Roman"/>
          <w:szCs w:val="24"/>
        </w:rPr>
        <w:t xml:space="preserve"> (Civil Rights—Title VII—Hostile Work Environment Caused by Non-Immediate Supervisor or by Co-Worker—Claim Based On Negligence); and, if necessary, 10.1</w:t>
      </w:r>
      <w:r w:rsidR="000B3998">
        <w:rPr>
          <w:rFonts w:cs="Times New Roman"/>
          <w:szCs w:val="24"/>
        </w:rPr>
        <w:t>4</w:t>
      </w:r>
      <w:r w:rsidRPr="002B283E">
        <w:rPr>
          <w:rFonts w:cs="Times New Roman"/>
          <w:szCs w:val="24"/>
        </w:rPr>
        <w:t xml:space="preserve"> (Civil </w:t>
      </w:r>
      <w:r w:rsidRPr="002B283E">
        <w:rPr>
          <w:rFonts w:cs="Times New Roman"/>
          <w:szCs w:val="24"/>
        </w:rPr>
        <w:lastRenderedPageBreak/>
        <w:t>Rights—Title VII—“Tangible Employment Action” Defined).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7A7214AF" w14:textId="77777777" w:rsidR="00B65D70" w:rsidRPr="002B283E" w:rsidRDefault="00B65D70" w:rsidP="002B283E">
      <w:pPr>
        <w:autoSpaceDE w:val="0"/>
        <w:autoSpaceDN w:val="0"/>
        <w:adjustRightInd w:val="0"/>
        <w:rPr>
          <w:rFonts w:cs="Times New Roman"/>
          <w:szCs w:val="24"/>
        </w:rPr>
      </w:pPr>
    </w:p>
    <w:p w14:paraId="05907A1C" w14:textId="008CCC95"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“A plaintiff must show that the work environment was both subjectively and objectively hostile.” </w:t>
      </w:r>
      <w:r w:rsidRPr="002B283E">
        <w:rPr>
          <w:rFonts w:cs="Times New Roman"/>
          <w:i/>
          <w:iCs/>
          <w:szCs w:val="24"/>
        </w:rPr>
        <w:t>McGinest v. GTE Serv</w:t>
      </w:r>
      <w:r w:rsidR="003137E9">
        <w:rPr>
          <w:rFonts w:cs="Times New Roman"/>
          <w:i/>
          <w:iCs/>
          <w:szCs w:val="24"/>
        </w:rPr>
        <w:t>.</w:t>
      </w:r>
      <w:r w:rsidRPr="002B283E">
        <w:rPr>
          <w:rFonts w:cs="Times New Roman"/>
          <w:i/>
          <w:iCs/>
          <w:szCs w:val="24"/>
        </w:rPr>
        <w:t xml:space="preserve"> Corp.</w:t>
      </w:r>
      <w:r w:rsidRPr="002B283E">
        <w:rPr>
          <w:rFonts w:cs="Times New Roman"/>
          <w:szCs w:val="24"/>
        </w:rPr>
        <w:t xml:space="preserve">, 360 F.3d 1103, 1113 (9th Cir. 2004); </w:t>
      </w:r>
      <w:r w:rsidRPr="002B283E">
        <w:rPr>
          <w:rFonts w:cs="Times New Roman"/>
          <w:i/>
          <w:iCs/>
          <w:szCs w:val="24"/>
        </w:rPr>
        <w:t>see also Fuller</w:t>
      </w:r>
      <w:r w:rsidRPr="002B283E">
        <w:rPr>
          <w:rFonts w:cs="Times New Roman"/>
          <w:szCs w:val="24"/>
        </w:rPr>
        <w:t xml:space="preserve">, 47 F.3d at 1527 (citing </w:t>
      </w:r>
      <w:r w:rsidRPr="002B283E">
        <w:rPr>
          <w:rFonts w:cs="Times New Roman"/>
          <w:i/>
          <w:iCs/>
          <w:szCs w:val="24"/>
        </w:rPr>
        <w:t>Harris</w:t>
      </w:r>
      <w:r w:rsidRPr="002B283E">
        <w:rPr>
          <w:rFonts w:cs="Times New Roman"/>
          <w:szCs w:val="24"/>
        </w:rPr>
        <w:t>, 510 U.S. at 21-22)</w:t>
      </w:r>
      <w:r w:rsidR="00A87F6E">
        <w:rPr>
          <w:rFonts w:cs="Times New Roman"/>
          <w:szCs w:val="24"/>
        </w:rPr>
        <w:t xml:space="preserve">. </w:t>
      </w:r>
      <w:r w:rsidRPr="002B283E">
        <w:rPr>
          <w:rFonts w:cs="Times New Roman"/>
          <w:szCs w:val="24"/>
        </w:rPr>
        <w:t xml:space="preserve">For the objective element, the Ninth Circuit has adopted the “reasonable victim” standard. </w:t>
      </w:r>
      <w:r w:rsidRPr="002B283E">
        <w:rPr>
          <w:rFonts w:cs="Times New Roman"/>
          <w:i/>
          <w:iCs/>
          <w:szCs w:val="24"/>
        </w:rPr>
        <w:t>Ellison v. Brady</w:t>
      </w:r>
      <w:r w:rsidRPr="002B283E">
        <w:rPr>
          <w:rFonts w:cs="Times New Roman"/>
          <w:szCs w:val="24"/>
        </w:rPr>
        <w:t xml:space="preserve">, 924 F.2d 872, 878-80 (9th Cir. 1991). Therefore, if the plaintiff/victim is a woman, element five of the instruction should state “reasonable woman,” and if the plaintiff/victim is a man, “reasonable man.” </w:t>
      </w:r>
      <w:r w:rsidR="003137E9">
        <w:rPr>
          <w:rFonts w:cs="Times New Roman"/>
          <w:i/>
          <w:iCs/>
          <w:szCs w:val="24"/>
        </w:rPr>
        <w:t>Id.</w:t>
      </w:r>
      <w:r w:rsidRPr="002B283E">
        <w:rPr>
          <w:rFonts w:cs="Times New Roman"/>
          <w:szCs w:val="24"/>
        </w:rPr>
        <w:t xml:space="preserve"> at 879, n.11; </w:t>
      </w:r>
      <w:r w:rsidRPr="002B283E">
        <w:rPr>
          <w:rFonts w:cs="Times New Roman"/>
          <w:i/>
          <w:iCs/>
          <w:szCs w:val="24"/>
        </w:rPr>
        <w:t>see also Reynaga v. Roseburg Forest Prods</w:t>
      </w:r>
      <w:r w:rsidRPr="002B283E">
        <w:rPr>
          <w:rFonts w:cs="Times New Roman"/>
          <w:szCs w:val="24"/>
        </w:rPr>
        <w:t xml:space="preserve">., 847 F.3d 678, 687 (9th Cir. 2017) (conducting objective inquiry from perspective of reasonable member of applicable ethnic group); </w:t>
      </w:r>
      <w:r w:rsidRPr="002B283E">
        <w:rPr>
          <w:rFonts w:cs="Times New Roman"/>
          <w:i/>
          <w:iCs/>
          <w:szCs w:val="24"/>
        </w:rPr>
        <w:t>Fuller v. Idaho Dept. of Corr.</w:t>
      </w:r>
      <w:r w:rsidRPr="002B283E">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12A93ED8" w14:textId="77777777" w:rsidR="00B65D70" w:rsidRPr="002B283E" w:rsidRDefault="00B65D70" w:rsidP="002B283E">
      <w:pPr>
        <w:autoSpaceDE w:val="0"/>
        <w:autoSpaceDN w:val="0"/>
        <w:adjustRightInd w:val="0"/>
        <w:rPr>
          <w:rFonts w:cs="Times New Roman"/>
          <w:szCs w:val="24"/>
        </w:rPr>
      </w:pPr>
    </w:p>
    <w:p w14:paraId="01DCA091" w14:textId="0823AAA3" w:rsidR="00B65D70" w:rsidRPr="002B283E" w:rsidRDefault="00B65D70" w:rsidP="002B283E">
      <w:pPr>
        <w:pStyle w:val="BodyText"/>
        <w:ind w:left="100" w:right="110" w:firstLine="720"/>
      </w:pPr>
      <w:r w:rsidRPr="002B283E">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2B283E">
        <w:rPr>
          <w:i/>
          <w:iCs/>
        </w:rPr>
        <w:t>Christian v. Umpqua Bank</w:t>
      </w:r>
      <w:r w:rsidRPr="002B283E">
        <w:t>, 984 F.3d 801, 810</w:t>
      </w:r>
      <w:r w:rsidR="001C5DA7">
        <w:t>-</w:t>
      </w:r>
      <w:r w:rsidRPr="002B283E">
        <w:t xml:space="preserve">11 (9th Cir. 2020) (citing </w:t>
      </w:r>
      <w:r w:rsidRPr="002B283E">
        <w:rPr>
          <w:i/>
          <w:iCs/>
        </w:rPr>
        <w:t>Davis v. Team Elec. Co.</w:t>
      </w:r>
      <w:r w:rsidRPr="002B283E">
        <w:t>, 520 F.3d 1080, 1095 (9th Cir. 2008)). When harassment is of the “same type of conduct,” “occurred relatively frequently,” and was “perpetrated by the same individual,” that harassment should be evaluated together when assessing its severity</w:t>
      </w:r>
      <w:r w:rsidR="00A87F6E">
        <w:t xml:space="preserve">. </w:t>
      </w:r>
      <w:r w:rsidRPr="002B283E">
        <w:rPr>
          <w:i/>
          <w:iCs/>
        </w:rPr>
        <w:t>Id</w:t>
      </w:r>
      <w:r w:rsidRPr="002B283E">
        <w:t xml:space="preserve">. at 810 (quoting </w:t>
      </w:r>
      <w:r w:rsidRPr="002B283E">
        <w:rPr>
          <w:i/>
          <w:iCs/>
        </w:rPr>
        <w:t>Nat’l R.R. Passenger Corp. v. Morgan</w:t>
      </w:r>
      <w:r w:rsidRPr="002B283E">
        <w:t>, 536 U.S. 101, 120</w:t>
      </w:r>
      <w:r w:rsidR="001C5DA7">
        <w:t>-</w:t>
      </w:r>
      <w:r w:rsidRPr="002B283E">
        <w:t xml:space="preserve">21 (2002)). By contrast, “harassment is not sufficiently severe or pervasive to establish a hostile work environment where the conduct at issue consists of limited or isolated behavior.” </w:t>
      </w:r>
      <w:r w:rsidRPr="002B283E">
        <w:rPr>
          <w:i/>
          <w:iCs/>
        </w:rPr>
        <w:t>See Mattioda v. Nelson</w:t>
      </w:r>
      <w:r w:rsidRPr="002B283E">
        <w:t xml:space="preserve">, 98 F. 4th 1164, 1177 (9th Cir. 2024) (citing </w:t>
      </w:r>
      <w:r w:rsidRPr="002B283E">
        <w:rPr>
          <w:i/>
          <w:iCs/>
        </w:rPr>
        <w:t>Kortan v. Cal. Youth Auth</w:t>
      </w:r>
      <w:r w:rsidRPr="002B283E">
        <w:t>., 217 F.3d 1104, 1110 (9th Cir. 2000) (in affirming summary judgment in favor of the defendant, the court considered that, although offensive, the comments that the plaintiff complained of were “concentrated on one occasion”)).</w:t>
      </w:r>
    </w:p>
    <w:p w14:paraId="080881B8" w14:textId="77777777" w:rsidR="00B65D70" w:rsidRPr="002B283E" w:rsidRDefault="00B65D70" w:rsidP="002B283E">
      <w:pPr>
        <w:autoSpaceDE w:val="0"/>
        <w:autoSpaceDN w:val="0"/>
        <w:adjustRightInd w:val="0"/>
        <w:rPr>
          <w:rFonts w:cs="Times New Roman"/>
          <w:szCs w:val="24"/>
        </w:rPr>
      </w:pPr>
    </w:p>
    <w:p w14:paraId="4965154F" w14:textId="77777777" w:rsidR="00B65D70" w:rsidRPr="002B283E" w:rsidRDefault="00B65D70" w:rsidP="002B283E">
      <w:pPr>
        <w:autoSpaceDE w:val="0"/>
        <w:autoSpaceDN w:val="0"/>
        <w:adjustRightInd w:val="0"/>
        <w:ind w:firstLine="720"/>
        <w:rPr>
          <w:rFonts w:cs="Times New Roman"/>
          <w:szCs w:val="24"/>
        </w:rPr>
      </w:pPr>
      <w:r w:rsidRPr="002B283E">
        <w:rPr>
          <w:rFonts w:cs="Times New Roman"/>
          <w:szCs w:val="24"/>
        </w:rPr>
        <w:t xml:space="preserve">Targeting specific individuals with hostile conduct is not required to establish a Title VII violation. </w:t>
      </w:r>
      <w:r w:rsidRPr="002B283E">
        <w:rPr>
          <w:rFonts w:cs="Times New Roman"/>
          <w:i/>
          <w:iCs/>
          <w:szCs w:val="24"/>
        </w:rPr>
        <w:t>Sharp v. S&amp;S Activewear, L.L.C.</w:t>
      </w:r>
      <w:r w:rsidRPr="002B283E">
        <w:rPr>
          <w:rFonts w:cs="Times New Roman"/>
          <w:szCs w:val="24"/>
        </w:rPr>
        <w:t xml:space="preserve">, 69 F.4th 974, 979 (9th Cir. 2023) (holding that “repeated and prolonged exposure to sexually foul and abusive music” falls within a broader category of auditory harassment that can pollute a workplace and violate Title VII). Further, an employer cannot claim as a defense that it is an equal opportunity harasser, </w:t>
      </w:r>
      <w:r w:rsidRPr="002B283E">
        <w:rPr>
          <w:rFonts w:cs="Times New Roman"/>
          <w:i/>
          <w:iCs/>
          <w:szCs w:val="24"/>
        </w:rPr>
        <w:t>i.e.</w:t>
      </w:r>
      <w:r w:rsidRPr="002B283E">
        <w:rPr>
          <w:rFonts w:cs="Times New Roman"/>
          <w:szCs w:val="24"/>
        </w:rPr>
        <w:t xml:space="preserve">, male and female plaintiffs can coexist in the same Title VII action. </w:t>
      </w:r>
      <w:r w:rsidRPr="002B283E">
        <w:rPr>
          <w:rFonts w:cs="Times New Roman"/>
          <w:i/>
          <w:iCs/>
          <w:szCs w:val="24"/>
        </w:rPr>
        <w:t>Id</w:t>
      </w:r>
      <w:r w:rsidRPr="002B283E">
        <w:rPr>
          <w:rFonts w:cs="Times New Roman"/>
          <w:szCs w:val="24"/>
        </w:rPr>
        <w:t>. (observing that the rule also applies in the context of race discrimination).</w:t>
      </w:r>
    </w:p>
    <w:p w14:paraId="45EF61A3" w14:textId="77777777" w:rsidR="00B65D70" w:rsidRPr="002B283E" w:rsidRDefault="00B65D70" w:rsidP="002B283E">
      <w:pPr>
        <w:autoSpaceDE w:val="0"/>
        <w:autoSpaceDN w:val="0"/>
        <w:adjustRightInd w:val="0"/>
        <w:rPr>
          <w:rFonts w:cs="Times New Roman"/>
          <w:szCs w:val="24"/>
        </w:rPr>
      </w:pPr>
    </w:p>
    <w:p w14:paraId="0B8194FE" w14:textId="77777777" w:rsidR="00B65D70" w:rsidRPr="002B283E" w:rsidRDefault="00B65D70" w:rsidP="002B283E">
      <w:pPr>
        <w:rPr>
          <w:rFonts w:cs="Times New Roman"/>
          <w:szCs w:val="24"/>
        </w:rPr>
      </w:pPr>
    </w:p>
    <w:p w14:paraId="58110DE9" w14:textId="244CEB53" w:rsidR="006A4CD7" w:rsidRPr="002B283E" w:rsidRDefault="00B65D70" w:rsidP="002B283E">
      <w:pPr>
        <w:autoSpaceDE w:val="0"/>
        <w:autoSpaceDN w:val="0"/>
        <w:adjustRightInd w:val="0"/>
        <w:jc w:val="right"/>
        <w:rPr>
          <w:rFonts w:cs="Times New Roman"/>
          <w:i/>
          <w:iCs/>
          <w:szCs w:val="24"/>
        </w:rPr>
      </w:pPr>
      <w:r w:rsidRPr="002B283E">
        <w:rPr>
          <w:rFonts w:cs="Times New Roman"/>
          <w:i/>
          <w:iCs/>
          <w:szCs w:val="24"/>
        </w:rPr>
        <w:t>Revised June 2024</w:t>
      </w:r>
    </w:p>
    <w:bookmarkEnd w:id="240"/>
    <w:p w14:paraId="214F78B1" w14:textId="26C4FD9A" w:rsidR="006A4CD7" w:rsidRPr="002B283E" w:rsidRDefault="006A4CD7" w:rsidP="002B283E">
      <w:pPr>
        <w:pStyle w:val="Heading2"/>
      </w:pPr>
      <w:r w:rsidRPr="002B283E">
        <w:br w:type="page"/>
      </w:r>
      <w:bookmarkStart w:id="241" w:name="_Toc221525216"/>
      <w:bookmarkStart w:id="242" w:name="_Hlk225425876"/>
      <w:r w:rsidRPr="002B283E">
        <w:lastRenderedPageBreak/>
        <w:t>10.</w:t>
      </w:r>
      <w:r w:rsidR="0008651C">
        <w:t>7</w:t>
      </w:r>
      <w:r w:rsidRPr="002B283E">
        <w:t xml:space="preserve"> </w:t>
      </w:r>
      <w:r w:rsidR="00893907" w:rsidRPr="002B283E">
        <w:t>Civil Rights—Title VII—Hostile Work Environment Caused by Supervisor—Claim Based on Vicarious Liability—Tangible Employment Action—Affirmative Defense</w:t>
      </w:r>
      <w:bookmarkEnd w:id="241"/>
    </w:p>
    <w:p w14:paraId="00D5D800" w14:textId="77777777" w:rsidR="006A4CD7" w:rsidRPr="002B283E" w:rsidRDefault="006A4CD7" w:rsidP="002B283E">
      <w:pPr>
        <w:autoSpaceDE w:val="0"/>
        <w:autoSpaceDN w:val="0"/>
        <w:adjustRightInd w:val="0"/>
        <w:jc w:val="center"/>
        <w:rPr>
          <w:rFonts w:cs="Times New Roman"/>
          <w:szCs w:val="24"/>
        </w:rPr>
      </w:pPr>
    </w:p>
    <w:p w14:paraId="26CC263C" w14:textId="42DDB0C3" w:rsidR="006A4CD7" w:rsidRPr="002B283E" w:rsidRDefault="006A4CD7" w:rsidP="002B283E">
      <w:pPr>
        <w:autoSpaceDE w:val="0"/>
        <w:autoSpaceDN w:val="0"/>
        <w:adjustRightInd w:val="0"/>
        <w:rPr>
          <w:rFonts w:cs="Times New Roman"/>
          <w:szCs w:val="24"/>
        </w:rPr>
      </w:pPr>
      <w:r w:rsidRPr="002B283E">
        <w:rPr>
          <w:rFonts w:cs="Times New Roman"/>
          <w:szCs w:val="24"/>
        </w:rPr>
        <w:tab/>
        <w:t>An employer may be liable when an employee’s supervisor creates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benefits </w:t>
      </w:r>
    </w:p>
    <w:p w14:paraId="00E3820D" w14:textId="77777777" w:rsidR="006A4CD7" w:rsidRPr="002B283E" w:rsidRDefault="006A4CD7" w:rsidP="002B283E">
      <w:pPr>
        <w:autoSpaceDE w:val="0"/>
        <w:autoSpaceDN w:val="0"/>
        <w:adjustRightInd w:val="0"/>
        <w:rPr>
          <w:rFonts w:cs="Times New Roman"/>
          <w:szCs w:val="24"/>
        </w:rPr>
      </w:pPr>
    </w:p>
    <w:p w14:paraId="3300D8D2" w14:textId="32FC4D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claims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subjected to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by _____________, and that _____________ was [his] [her] </w:t>
      </w:r>
      <w:r w:rsidR="005B44DC" w:rsidRPr="002B283E">
        <w:rPr>
          <w:rFonts w:cs="Times New Roman"/>
          <w:szCs w:val="24"/>
        </w:rPr>
        <w:t>[</w:t>
      </w:r>
      <w:r w:rsidR="005B44DC" w:rsidRPr="002B283E">
        <w:rPr>
          <w:rFonts w:cs="Times New Roman"/>
          <w:i/>
          <w:iCs/>
          <w:szCs w:val="24"/>
          <w:u w:val="single"/>
        </w:rPr>
        <w:t>other pronoun</w:t>
      </w:r>
      <w:r w:rsidR="005B44DC">
        <w:rPr>
          <w:rFonts w:cs="Times New Roman"/>
          <w:szCs w:val="24"/>
        </w:rPr>
        <w:t>]</w:t>
      </w:r>
      <w:r w:rsidR="001B5F75">
        <w:rPr>
          <w:rFonts w:cs="Times New Roman"/>
          <w:szCs w:val="24"/>
        </w:rPr>
        <w:t xml:space="preserve"> </w:t>
      </w:r>
      <w:r w:rsidRPr="002B283E">
        <w:rPr>
          <w:rFonts w:cs="Times New Roman"/>
          <w:szCs w:val="24"/>
        </w:rPr>
        <w:t>supervisor empowered by _____________ to take tangible employment actions against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428AB2F0" w14:textId="77777777" w:rsidR="006A4CD7" w:rsidRPr="002B283E" w:rsidRDefault="006A4CD7" w:rsidP="002B283E">
      <w:pPr>
        <w:autoSpaceDE w:val="0"/>
        <w:autoSpaceDN w:val="0"/>
        <w:adjustRightInd w:val="0"/>
        <w:rPr>
          <w:rFonts w:cs="Times New Roman"/>
          <w:szCs w:val="24"/>
        </w:rPr>
      </w:pPr>
    </w:p>
    <w:p w14:paraId="5DFF8930" w14:textId="792E49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denies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must prove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 by a preponderance of the evidence.</w:t>
      </w:r>
    </w:p>
    <w:p w14:paraId="2F3ED4C6" w14:textId="77777777" w:rsidR="006A4CD7" w:rsidRPr="002B283E" w:rsidRDefault="006A4CD7" w:rsidP="002B283E">
      <w:pPr>
        <w:autoSpaceDE w:val="0"/>
        <w:autoSpaceDN w:val="0"/>
        <w:adjustRightInd w:val="0"/>
        <w:rPr>
          <w:rFonts w:cs="Times New Roman"/>
          <w:szCs w:val="24"/>
        </w:rPr>
      </w:pPr>
    </w:p>
    <w:p w14:paraId="18757DB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w:t>
      </w:r>
      <w:r w:rsidRPr="002B283E">
        <w:rPr>
          <w:rFonts w:cs="Times New Roman"/>
          <w:i/>
          <w:iCs/>
          <w:szCs w:val="24"/>
          <w:u w:val="single"/>
        </w:rPr>
        <w:t>If Ellerth/Faragher affirmative defense applies, add the following</w:t>
      </w:r>
      <w:r w:rsidRPr="002B283E">
        <w:rPr>
          <w:rFonts w:cs="Times New Roman"/>
          <w:i/>
          <w:iCs/>
          <w:szCs w:val="24"/>
        </w:rPr>
        <w:t>:</w:t>
      </w:r>
      <w:r w:rsidRPr="002B283E">
        <w:rPr>
          <w:rFonts w:cs="Times New Roman"/>
          <w:szCs w:val="24"/>
        </w:rPr>
        <w:t>]</w:t>
      </w:r>
    </w:p>
    <w:p w14:paraId="6E64510F" w14:textId="77777777" w:rsidR="006A4CD7" w:rsidRPr="002B283E" w:rsidRDefault="006A4CD7" w:rsidP="002B283E">
      <w:pPr>
        <w:autoSpaceDE w:val="0"/>
        <w:autoSpaceDN w:val="0"/>
        <w:adjustRightInd w:val="0"/>
        <w:rPr>
          <w:rFonts w:cs="Times New Roman"/>
          <w:szCs w:val="24"/>
        </w:rPr>
      </w:pPr>
    </w:p>
    <w:p w14:paraId="19869128" w14:textId="4DD30646" w:rsidR="006A4CD7" w:rsidRPr="002B283E" w:rsidRDefault="006A4CD7" w:rsidP="002B283E">
      <w:pPr>
        <w:autoSpaceDE w:val="0"/>
        <w:autoSpaceDN w:val="0"/>
        <w:adjustRightInd w:val="0"/>
        <w:rPr>
          <w:rFonts w:cs="Times New Roman"/>
          <w:szCs w:val="24"/>
        </w:rPr>
      </w:pPr>
      <w:r w:rsidRPr="002B283E">
        <w:rPr>
          <w:rFonts w:cs="Times New Roman"/>
          <w:szCs w:val="24"/>
        </w:rPr>
        <w:tab/>
        <w:t>In addition to denying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asserted an affirmative defense. Before you consider this affirmative defense, you must first decide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w:t>
      </w:r>
    </w:p>
    <w:p w14:paraId="5A7B63CD" w14:textId="77777777" w:rsidR="006A4CD7" w:rsidRPr="002B283E" w:rsidRDefault="006A4CD7" w:rsidP="002B283E">
      <w:pPr>
        <w:autoSpaceDE w:val="0"/>
        <w:autoSpaceDN w:val="0"/>
        <w:adjustRightInd w:val="0"/>
        <w:rPr>
          <w:rFonts w:cs="Times New Roman"/>
          <w:szCs w:val="24"/>
        </w:rPr>
      </w:pPr>
    </w:p>
    <w:p w14:paraId="4AB0991F" w14:textId="7416C58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 you must not consider the affirmative defense.</w:t>
      </w:r>
    </w:p>
    <w:p w14:paraId="73EF1872" w14:textId="77777777" w:rsidR="006A4CD7" w:rsidRPr="002B283E" w:rsidRDefault="006A4CD7" w:rsidP="002B283E">
      <w:pPr>
        <w:autoSpaceDE w:val="0"/>
        <w:autoSpaceDN w:val="0"/>
        <w:adjustRightInd w:val="0"/>
        <w:rPr>
          <w:rFonts w:cs="Times New Roman"/>
          <w:szCs w:val="24"/>
        </w:rPr>
      </w:pPr>
    </w:p>
    <w:p w14:paraId="3689B39E" w14:textId="5B83366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not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suffered a tangible employment action, then you must decide whether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by a preponderance of the evidence each of the following elements:</w:t>
      </w:r>
    </w:p>
    <w:p w14:paraId="5BBC84F2" w14:textId="77777777" w:rsidR="006A4CD7" w:rsidRPr="002B283E" w:rsidRDefault="006A4CD7" w:rsidP="002B283E">
      <w:pPr>
        <w:autoSpaceDE w:val="0"/>
        <w:autoSpaceDN w:val="0"/>
        <w:adjustRightInd w:val="0"/>
        <w:rPr>
          <w:rFonts w:cs="Times New Roman"/>
          <w:szCs w:val="24"/>
        </w:rPr>
      </w:pPr>
    </w:p>
    <w:p w14:paraId="6A451BDE" w14:textId="33A498AD"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6A4CD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exercised reasonable care to prevent and promptly correct the [racially] [sexually] [</w:t>
      </w:r>
      <w:r w:rsidR="006A4CD7" w:rsidRPr="002B283E">
        <w:rPr>
          <w:rFonts w:cs="Times New Roman"/>
          <w:i/>
          <w:iCs/>
          <w:szCs w:val="24"/>
          <w:u w:val="single"/>
        </w:rPr>
        <w:t>other Title VII</w:t>
      </w:r>
      <w:r w:rsidR="006A4CD7" w:rsidRPr="002B283E">
        <w:rPr>
          <w:rFonts w:cs="Times New Roman"/>
          <w:szCs w:val="24"/>
          <w:u w:val="single"/>
        </w:rPr>
        <w:t xml:space="preserve"> </w:t>
      </w:r>
      <w:r w:rsidR="006A4CD7" w:rsidRPr="002B283E">
        <w:rPr>
          <w:rFonts w:cs="Times New Roman"/>
          <w:i/>
          <w:iCs/>
          <w:szCs w:val="24"/>
          <w:u w:val="single"/>
        </w:rPr>
        <w:t>protected characteristic</w:t>
      </w:r>
      <w:r w:rsidR="006A4CD7" w:rsidRPr="002B283E">
        <w:rPr>
          <w:rFonts w:cs="Times New Roman"/>
          <w:szCs w:val="24"/>
        </w:rPr>
        <w:t>] harassing behavior, and</w:t>
      </w:r>
    </w:p>
    <w:p w14:paraId="784AF953" w14:textId="77777777" w:rsidR="006A4CD7" w:rsidRPr="002B283E" w:rsidRDefault="006A4CD7" w:rsidP="008A04C2">
      <w:pPr>
        <w:autoSpaceDE w:val="0"/>
        <w:autoSpaceDN w:val="0"/>
        <w:adjustRightInd w:val="0"/>
        <w:ind w:firstLine="720"/>
        <w:rPr>
          <w:rFonts w:cs="Times New Roman"/>
          <w:szCs w:val="24"/>
        </w:rPr>
      </w:pPr>
    </w:p>
    <w:p w14:paraId="6F4BD1A5" w14:textId="4C81F83E"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6A4CD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unreasonably failed to take advantage of any preventive or corrective opportunities provided by the employer or unreasonably failed to otherwise avoid harm.</w:t>
      </w:r>
    </w:p>
    <w:p w14:paraId="4AB6A7BE" w14:textId="77777777" w:rsidR="006A4CD7" w:rsidRPr="002B283E" w:rsidRDefault="006A4CD7" w:rsidP="002B283E">
      <w:pPr>
        <w:autoSpaceDE w:val="0"/>
        <w:autoSpaceDN w:val="0"/>
        <w:adjustRightInd w:val="0"/>
        <w:rPr>
          <w:rFonts w:cs="Times New Roman"/>
          <w:szCs w:val="24"/>
        </w:rPr>
      </w:pPr>
    </w:p>
    <w:p w14:paraId="44C9ECB2" w14:textId="4D0186B8" w:rsidR="009412F2" w:rsidRPr="002B283E" w:rsidRDefault="006A4CD7" w:rsidP="002B283E">
      <w:pPr>
        <w:autoSpaceDE w:val="0"/>
        <w:autoSpaceDN w:val="0"/>
        <w:adjustRightInd w:val="0"/>
        <w:rPr>
          <w:rFonts w:cs="Times New Roman"/>
          <w:szCs w:val="24"/>
        </w:rPr>
      </w:pPr>
      <w:r w:rsidRPr="002B283E">
        <w:rPr>
          <w:rFonts w:cs="Times New Roman"/>
          <w:szCs w:val="24"/>
        </w:rPr>
        <w:tab/>
        <w:t xml:space="preserve">If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proves these elements,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is not entitled to prevail on this claim.</w:t>
      </w:r>
    </w:p>
    <w:p w14:paraId="00C7194C" w14:textId="77777777" w:rsidR="009412F2" w:rsidRPr="002B283E" w:rsidRDefault="009412F2" w:rsidP="002B283E">
      <w:pPr>
        <w:autoSpaceDE w:val="0"/>
        <w:autoSpaceDN w:val="0"/>
        <w:adjustRightInd w:val="0"/>
        <w:rPr>
          <w:rFonts w:cs="Times New Roman"/>
          <w:szCs w:val="24"/>
        </w:rPr>
      </w:pPr>
    </w:p>
    <w:p w14:paraId="067B52D7" w14:textId="118A46B4"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425B20F" w14:textId="77777777" w:rsidR="006A4CD7" w:rsidRPr="002B283E" w:rsidRDefault="006A4CD7" w:rsidP="002B283E">
      <w:pPr>
        <w:rPr>
          <w:rFonts w:cs="Times New Roman"/>
          <w:szCs w:val="24"/>
        </w:rPr>
      </w:pPr>
    </w:p>
    <w:p w14:paraId="2B927622" w14:textId="0656AA73"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See</w:t>
      </w:r>
      <w:r w:rsidRPr="002B283E">
        <w:rPr>
          <w:rFonts w:cs="Times New Roman"/>
          <w:szCs w:val="24"/>
        </w:rPr>
        <w:t xml:space="preserve"> Introductory Comment to this chapter. This instruction should be given in conjunction with Instruction 10.</w:t>
      </w:r>
      <w:r w:rsidR="000B3998">
        <w:rPr>
          <w:rFonts w:cs="Times New Roman"/>
          <w:szCs w:val="24"/>
        </w:rPr>
        <w:t>6</w:t>
      </w:r>
      <w:r w:rsidRPr="002B283E">
        <w:rPr>
          <w:rFonts w:cs="Times New Roman"/>
          <w:szCs w:val="24"/>
        </w:rPr>
        <w:t xml:space="preserve"> (Civil Rights—Title VII—Hostile Work Environment—Harassment Because of Protected Characteristics—Elements) and, if applicable, Instruction 10.1</w:t>
      </w:r>
      <w:r w:rsidR="000B3998">
        <w:rPr>
          <w:rFonts w:cs="Times New Roman"/>
          <w:szCs w:val="24"/>
        </w:rPr>
        <w:t>4</w:t>
      </w:r>
      <w:r w:rsidRPr="002B283E">
        <w:rPr>
          <w:rFonts w:cs="Times New Roman"/>
          <w:szCs w:val="24"/>
        </w:rPr>
        <w:t xml:space="preserve"> (Civil Rights—Title VII</w:t>
      </w:r>
      <w:r w:rsidR="000B3998">
        <w:rPr>
          <w:rFonts w:cs="Times New Roman"/>
          <w:szCs w:val="24"/>
        </w:rPr>
        <w:t>—“</w:t>
      </w:r>
      <w:r w:rsidRPr="002B283E">
        <w:rPr>
          <w:rFonts w:cs="Times New Roman"/>
          <w:szCs w:val="24"/>
        </w:rPr>
        <w:t>Tangible Employment Action</w:t>
      </w:r>
      <w:r w:rsidR="003137E9">
        <w:rPr>
          <w:rFonts w:cs="Times New Roman"/>
          <w:szCs w:val="24"/>
        </w:rPr>
        <w:t>” D</w:t>
      </w:r>
      <w:r w:rsidRPr="002B283E">
        <w:rPr>
          <w:rFonts w:cs="Times New Roman"/>
          <w:szCs w:val="24"/>
        </w:rPr>
        <w:t>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2CCAB5BE" w14:textId="77777777" w:rsidR="006A4CD7" w:rsidRPr="002B283E" w:rsidRDefault="006A4CD7" w:rsidP="002B283E">
      <w:pPr>
        <w:autoSpaceDE w:val="0"/>
        <w:autoSpaceDN w:val="0"/>
        <w:adjustRightInd w:val="0"/>
        <w:rPr>
          <w:rFonts w:cs="Times New Roman"/>
          <w:szCs w:val="24"/>
        </w:rPr>
      </w:pPr>
    </w:p>
    <w:p w14:paraId="77AB071F" w14:textId="57E5B2A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iCs/>
          <w:szCs w:val="24"/>
        </w:rPr>
        <w:t>Vance v. Ball State University</w:t>
      </w:r>
      <w:r w:rsidRPr="00F44D63">
        <w:rPr>
          <w:rFonts w:cs="Times New Roman"/>
          <w:szCs w:val="24"/>
        </w:rPr>
        <w:t>,</w:t>
      </w:r>
      <w:r w:rsidRPr="002B283E">
        <w:rPr>
          <w:rFonts w:cs="Times New Roman"/>
          <w:szCs w:val="24"/>
        </w:rPr>
        <w:t xml:space="preserve"> </w:t>
      </w:r>
      <w:r w:rsidR="00A27BAC">
        <w:rPr>
          <w:rFonts w:cs="Times New Roman"/>
          <w:szCs w:val="24"/>
        </w:rPr>
        <w:t>570 U.S. 421</w:t>
      </w:r>
      <w:r w:rsidRPr="002B283E">
        <w:rPr>
          <w:rFonts w:cs="Times New Roman"/>
          <w:szCs w:val="24"/>
        </w:rPr>
        <w:t xml:space="preserve"> (2013), </w:t>
      </w:r>
      <w:r w:rsidRPr="002B283E">
        <w:rPr>
          <w:rFonts w:cs="Times New Roman"/>
          <w:i/>
          <w:iCs/>
          <w:szCs w:val="24"/>
        </w:rPr>
        <w:t>Faragher v. City of Boca Raton</w:t>
      </w:r>
      <w:r w:rsidRPr="002B283E">
        <w:rPr>
          <w:rFonts w:cs="Times New Roman"/>
          <w:szCs w:val="24"/>
        </w:rPr>
        <w:t xml:space="preserve">, 524 U.S. 775, 807-08 (1998), </w:t>
      </w:r>
      <w:r w:rsidRPr="002B283E">
        <w:rPr>
          <w:rFonts w:cs="Times New Roman"/>
          <w:i/>
          <w:iCs/>
          <w:szCs w:val="24"/>
        </w:rPr>
        <w:t>Burlington Industries, Inc. v. Ellerth</w:t>
      </w:r>
      <w:r w:rsidRPr="002B283E">
        <w:rPr>
          <w:rFonts w:cs="Times New Roman"/>
          <w:szCs w:val="24"/>
        </w:rPr>
        <w:t>, 524 U.S. 742, 764-65 (1998), and</w:t>
      </w:r>
      <w:r w:rsidRPr="002B283E">
        <w:rPr>
          <w:rFonts w:cs="Times New Roman"/>
          <w:i/>
          <w:iCs/>
          <w:szCs w:val="24"/>
        </w:rPr>
        <w:t xml:space="preserve"> Swinton</w:t>
      </w:r>
      <w:r w:rsidRPr="002B283E">
        <w:rPr>
          <w:rFonts w:cs="Times New Roman"/>
          <w:szCs w:val="24"/>
        </w:rPr>
        <w:t xml:space="preserve"> </w:t>
      </w:r>
      <w:r w:rsidRPr="002B283E">
        <w:rPr>
          <w:rFonts w:cs="Times New Roman"/>
          <w:i/>
          <w:iCs/>
          <w:szCs w:val="24"/>
        </w:rPr>
        <w:t>v.</w:t>
      </w:r>
      <w:r w:rsidRPr="002B283E">
        <w:rPr>
          <w:rFonts w:cs="Times New Roman"/>
          <w:szCs w:val="24"/>
        </w:rPr>
        <w:t xml:space="preserve"> </w:t>
      </w:r>
      <w:r w:rsidRPr="002B283E">
        <w:rPr>
          <w:rFonts w:cs="Times New Roman"/>
          <w:i/>
          <w:iCs/>
          <w:szCs w:val="24"/>
        </w:rPr>
        <w:t>Potomac Corp.</w:t>
      </w:r>
      <w:r w:rsidRPr="002B283E">
        <w:rPr>
          <w:rFonts w:cs="Times New Roman"/>
          <w:szCs w:val="24"/>
        </w:rPr>
        <w:t>, 270 F.3d 794, 802 (9th Cir. 2001).</w:t>
      </w:r>
    </w:p>
    <w:p w14:paraId="773D2CF0" w14:textId="77777777" w:rsidR="006A4CD7" w:rsidRPr="002B283E" w:rsidRDefault="006A4CD7" w:rsidP="002B283E">
      <w:pPr>
        <w:autoSpaceDE w:val="0"/>
        <w:autoSpaceDN w:val="0"/>
        <w:adjustRightInd w:val="0"/>
        <w:rPr>
          <w:rFonts w:cs="Times New Roman"/>
          <w:szCs w:val="24"/>
        </w:rPr>
      </w:pPr>
    </w:p>
    <w:p w14:paraId="00F1FCFC" w14:textId="7BEE3A0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addresses harassment by a plaintiff’s supervisor. Use the first two paragraphs if no </w:t>
      </w:r>
      <w:r w:rsidRPr="002B283E">
        <w:rPr>
          <w:rFonts w:cs="Times New Roman"/>
          <w:i/>
          <w:iCs/>
          <w:szCs w:val="24"/>
        </w:rPr>
        <w:t>Ellerth/Faragher</w:t>
      </w:r>
      <w:r w:rsidRPr="002B283E">
        <w:rPr>
          <w:rFonts w:cs="Times New Roman"/>
          <w:szCs w:val="24"/>
        </w:rPr>
        <w:t xml:space="preserve"> affirmative defense is applicable. Use the entire instruction if an </w:t>
      </w:r>
      <w:r w:rsidRPr="002B283E">
        <w:rPr>
          <w:rFonts w:cs="Times New Roman"/>
          <w:i/>
          <w:iCs/>
          <w:szCs w:val="24"/>
        </w:rPr>
        <w:t>Ellerth/Faragher</w:t>
      </w:r>
      <w:r w:rsidRPr="002B283E">
        <w:rPr>
          <w:rFonts w:cs="Times New Roman"/>
          <w:szCs w:val="24"/>
        </w:rPr>
        <w:t xml:space="preserve"> defense is to be considered by the jury. </w:t>
      </w:r>
    </w:p>
    <w:p w14:paraId="5E830485" w14:textId="77777777" w:rsidR="006A4CD7" w:rsidRPr="002B283E" w:rsidRDefault="006A4CD7" w:rsidP="002B283E">
      <w:pPr>
        <w:autoSpaceDE w:val="0"/>
        <w:autoSpaceDN w:val="0"/>
        <w:adjustRightInd w:val="0"/>
        <w:rPr>
          <w:rFonts w:cs="Times New Roman"/>
          <w:szCs w:val="24"/>
        </w:rPr>
      </w:pPr>
    </w:p>
    <w:p w14:paraId="63514C44" w14:textId="229BA3C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harassment is by the plaintiff’s supervisor, an employer is vicariously liable, subject to a potential affirmative defense. </w:t>
      </w:r>
      <w:r w:rsidRPr="002B283E">
        <w:rPr>
          <w:rFonts w:cs="Times New Roman"/>
          <w:i/>
          <w:iCs/>
          <w:szCs w:val="24"/>
        </w:rPr>
        <w:t>Vance</w:t>
      </w:r>
      <w:r w:rsidRPr="002B283E">
        <w:rPr>
          <w:rFonts w:cs="Times New Roman"/>
          <w:szCs w:val="24"/>
        </w:rPr>
        <w:t xml:space="preserve">, </w:t>
      </w:r>
      <w:r w:rsidR="00A27BAC">
        <w:rPr>
          <w:rFonts w:cs="Times New Roman"/>
          <w:szCs w:val="24"/>
        </w:rPr>
        <w:t>570 U.S.</w:t>
      </w:r>
      <w:r w:rsidRPr="002B283E">
        <w:rPr>
          <w:rFonts w:cs="Times New Roman"/>
          <w:szCs w:val="24"/>
        </w:rPr>
        <w:t xml:space="preserve"> </w:t>
      </w:r>
      <w:r w:rsidR="003137E9">
        <w:rPr>
          <w:rFonts w:cs="Times New Roman"/>
          <w:szCs w:val="24"/>
        </w:rPr>
        <w:t xml:space="preserve">at </w:t>
      </w:r>
      <w:r w:rsidR="00A27BAC">
        <w:rPr>
          <w:rFonts w:cs="Times New Roman"/>
          <w:szCs w:val="24"/>
        </w:rPr>
        <w:t>424</w:t>
      </w:r>
      <w:r w:rsidRPr="002B283E">
        <w:rPr>
          <w:rFonts w:cs="Times New Roman"/>
          <w:szCs w:val="24"/>
        </w:rPr>
        <w:t xml:space="preserve">. For vicarious liability to attach the supervisor must be empowered by the employer “to take tangible employment actions against the [plaintiff], </w:t>
      </w:r>
      <w:r w:rsidRPr="002B283E">
        <w:rPr>
          <w:rFonts w:cs="Times New Roman"/>
          <w:i/>
          <w:iCs/>
          <w:szCs w:val="24"/>
        </w:rPr>
        <w:t>i.e</w:t>
      </w:r>
      <w:r w:rsidRPr="002B283E">
        <w:rPr>
          <w:rFonts w:cs="Times New Roman"/>
          <w:szCs w:val="24"/>
        </w:rPr>
        <w:t>., to effect a ‘significant change</w:t>
      </w:r>
      <w:r w:rsidR="00B0631D" w:rsidRPr="002B283E">
        <w:rPr>
          <w:rFonts w:cs="Times New Roman"/>
          <w:szCs w:val="24"/>
        </w:rPr>
        <w:t xml:space="preserve"> </w:t>
      </w:r>
      <w:r w:rsidRPr="002B283E">
        <w:rPr>
          <w:rFonts w:cs="Times New Roman"/>
          <w:szCs w:val="24"/>
        </w:rPr>
        <w:t>in employment status, such as hiring, firing, failing to promote, reassignment with significantly</w:t>
      </w:r>
      <w:r w:rsidR="00B0631D" w:rsidRPr="002B283E">
        <w:rPr>
          <w:rFonts w:cs="Times New Roman"/>
          <w:szCs w:val="24"/>
        </w:rPr>
        <w:t xml:space="preserve"> </w:t>
      </w:r>
      <w:r w:rsidRPr="002B283E">
        <w:rPr>
          <w:rFonts w:cs="Times New Roman"/>
          <w:szCs w:val="24"/>
        </w:rPr>
        <w:t xml:space="preserve">different responsibilities, or a decision causing a significant change in benefits.’” </w:t>
      </w:r>
      <w:r w:rsidRPr="002B283E">
        <w:rPr>
          <w:rFonts w:cs="Times New Roman"/>
          <w:i/>
          <w:iCs/>
          <w:szCs w:val="24"/>
        </w:rPr>
        <w:t>Id</w:t>
      </w:r>
      <w:r w:rsidRPr="002B283E">
        <w:rPr>
          <w:rFonts w:cs="Times New Roman"/>
          <w:szCs w:val="24"/>
        </w:rPr>
        <w:t>. at 2443</w:t>
      </w:r>
      <w:r w:rsidR="00B0631D" w:rsidRPr="002B283E">
        <w:rPr>
          <w:rFonts w:cs="Times New Roman"/>
          <w:szCs w:val="24"/>
        </w:rPr>
        <w:t xml:space="preserve"> </w:t>
      </w:r>
      <w:r w:rsidRPr="002B283E">
        <w:rPr>
          <w:rFonts w:cs="Times New Roman"/>
          <w:szCs w:val="24"/>
        </w:rPr>
        <w:t xml:space="preserve">(quoting </w:t>
      </w:r>
      <w:r w:rsidRPr="002B283E">
        <w:rPr>
          <w:rFonts w:cs="Times New Roman"/>
          <w:i/>
          <w:iCs/>
          <w:szCs w:val="24"/>
        </w:rPr>
        <w:t>Ellerth</w:t>
      </w:r>
      <w:r w:rsidRPr="002B283E">
        <w:rPr>
          <w:rFonts w:cs="Times New Roman"/>
          <w:szCs w:val="24"/>
        </w:rPr>
        <w:t xml:space="preserve">, 524 U.S. at 761); </w:t>
      </w:r>
      <w:r w:rsidRPr="002B283E">
        <w:rPr>
          <w:rFonts w:cs="Times New Roman"/>
          <w:i/>
          <w:iCs/>
          <w:szCs w:val="24"/>
        </w:rPr>
        <w:t>see also Reynaga v. Roseburg Forest Prods</w:t>
      </w:r>
      <w:r w:rsidRPr="002B283E">
        <w:rPr>
          <w:rFonts w:cs="Times New Roman"/>
          <w:szCs w:val="24"/>
        </w:rPr>
        <w:t>., 847 F.3d 678, 698 (9th Cir. 2017) (</w:t>
      </w:r>
      <w:r w:rsidR="00825719">
        <w:rPr>
          <w:rFonts w:cs="Times New Roman"/>
          <w:szCs w:val="24"/>
        </w:rPr>
        <w:t xml:space="preserve">explaining that </w:t>
      </w:r>
      <w:r w:rsidRPr="002B283E">
        <w:rPr>
          <w:rFonts w:cs="Times New Roman"/>
          <w:szCs w:val="24"/>
        </w:rPr>
        <w:t xml:space="preserve">employee was not a supervisor, although he “had the authority to direct the work of other [employees] and tell them which tasks to perform,” because he “did not have hiring, firing, or disciplinary authority”). </w:t>
      </w:r>
    </w:p>
    <w:p w14:paraId="40E7ABDD" w14:textId="77777777" w:rsidR="006A4CD7" w:rsidRPr="002B283E" w:rsidRDefault="006A4CD7" w:rsidP="002B283E">
      <w:pPr>
        <w:autoSpaceDE w:val="0"/>
        <w:autoSpaceDN w:val="0"/>
        <w:adjustRightInd w:val="0"/>
        <w:rPr>
          <w:rFonts w:cs="Times New Roman"/>
          <w:szCs w:val="24"/>
        </w:rPr>
      </w:pPr>
    </w:p>
    <w:p w14:paraId="12B90AFD" w14:textId="0B25581C"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 xml:space="preserve">An employee who contends that he or she submitted to a supervisor’s threat to condition continued employment on participation in unwanted sexual activity alleges a tangible employment action, which, if proved, deprives the employer of an </w:t>
      </w:r>
      <w:r w:rsidRPr="002B283E">
        <w:rPr>
          <w:rFonts w:cs="Times New Roman"/>
          <w:i/>
          <w:iCs/>
          <w:szCs w:val="24"/>
        </w:rPr>
        <w:t>Ellerth/Faragher</w:t>
      </w:r>
      <w:r w:rsidRPr="002B283E">
        <w:rPr>
          <w:rFonts w:cs="Times New Roman"/>
          <w:szCs w:val="24"/>
        </w:rPr>
        <w:t xml:space="preserve"> defense</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1173 (9th Cir. 2003) (affirming summary judgment for the employer due to insufficient evidence of any such condition imposed by plaintiff’s supervisor). </w:t>
      </w:r>
      <w:r w:rsidRPr="002B283E">
        <w:rPr>
          <w:rFonts w:cs="Times New Roman"/>
          <w:i/>
          <w:iCs/>
          <w:szCs w:val="24"/>
        </w:rPr>
        <w:t>See Penn. State Police v. Suders</w:t>
      </w:r>
      <w:r w:rsidRPr="002B283E">
        <w:rPr>
          <w:rFonts w:cs="Times New Roman"/>
          <w:szCs w:val="24"/>
        </w:rPr>
        <w:t>, 542 U.S. 129, 137-38 (2004), for discussion of tangible employment action.</w:t>
      </w:r>
    </w:p>
    <w:p w14:paraId="5FE74D3F" w14:textId="77777777" w:rsidR="006A4CD7" w:rsidRPr="002B283E" w:rsidRDefault="006A4CD7" w:rsidP="002B283E">
      <w:pPr>
        <w:autoSpaceDE w:val="0"/>
        <w:autoSpaceDN w:val="0"/>
        <w:adjustRightInd w:val="0"/>
        <w:rPr>
          <w:rFonts w:cs="Times New Roman"/>
          <w:szCs w:val="24"/>
        </w:rPr>
      </w:pPr>
    </w:p>
    <w:p w14:paraId="478B52B6" w14:textId="467BA99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Faragher</w:t>
      </w:r>
      <w:r w:rsidRPr="002B283E">
        <w:rPr>
          <w:rFonts w:cs="Times New Roman"/>
          <w:szCs w:val="24"/>
        </w:rPr>
        <w:t xml:space="preserve">, 524 U.S. at 808 (holding </w:t>
      </w:r>
      <w:r w:rsidR="003137E9">
        <w:rPr>
          <w:rFonts w:cs="Times New Roman"/>
          <w:szCs w:val="24"/>
        </w:rPr>
        <w:t xml:space="preserve">that </w:t>
      </w:r>
      <w:r w:rsidRPr="002B283E">
        <w:rPr>
          <w:rFonts w:cs="Times New Roman"/>
          <w:szCs w:val="24"/>
        </w:rPr>
        <w:t>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2B283E" w:rsidRDefault="006A4CD7" w:rsidP="002B283E">
      <w:pPr>
        <w:autoSpaceDE w:val="0"/>
        <w:autoSpaceDN w:val="0"/>
        <w:adjustRightInd w:val="0"/>
        <w:rPr>
          <w:rFonts w:cs="Times New Roman"/>
          <w:szCs w:val="24"/>
        </w:rPr>
      </w:pPr>
    </w:p>
    <w:p w14:paraId="23F5C60C" w14:textId="605F98E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“While proof that an employer had promulgated an antiharassment policy with complaint procedure is not necessary in every instance as a matter of law, the need for a stated policy </w:t>
      </w:r>
      <w:r w:rsidRPr="002B283E">
        <w:rPr>
          <w:rFonts w:cs="Times New Roman"/>
          <w:szCs w:val="24"/>
        </w:rPr>
        <w:lastRenderedPageBreak/>
        <w:t xml:space="preserve">suitable to the employment circumstances may appropriately be addressed in any case when litigating the first element of the defense.” </w:t>
      </w:r>
      <w:r w:rsidRPr="002B283E">
        <w:rPr>
          <w:rFonts w:cs="Times New Roman"/>
          <w:i/>
          <w:iCs/>
          <w:szCs w:val="24"/>
        </w:rPr>
        <w:t>Faragher</w:t>
      </w:r>
      <w:r w:rsidRPr="002B283E">
        <w:rPr>
          <w:rFonts w:cs="Times New Roman"/>
          <w:szCs w:val="24"/>
        </w:rPr>
        <w:t>, 524 U.S. at 807;</w:t>
      </w:r>
      <w:r w:rsidRPr="002B283E">
        <w:rPr>
          <w:rFonts w:cs="Times New Roman"/>
          <w:i/>
          <w:iCs/>
          <w:szCs w:val="24"/>
        </w:rPr>
        <w:t xml:space="preserve"> Ellerth</w:t>
      </w:r>
      <w:r w:rsidRPr="002B283E">
        <w:rPr>
          <w:rFonts w:cs="Times New Roman"/>
          <w:szCs w:val="24"/>
        </w:rPr>
        <w:t>, 524 U.S. at 765.</w:t>
      </w:r>
    </w:p>
    <w:p w14:paraId="26BB86CA" w14:textId="77777777" w:rsidR="006A4CD7" w:rsidRPr="002B283E" w:rsidRDefault="006A4CD7" w:rsidP="002B283E">
      <w:pPr>
        <w:autoSpaceDE w:val="0"/>
        <w:autoSpaceDN w:val="0"/>
        <w:adjustRightInd w:val="0"/>
        <w:rPr>
          <w:rFonts w:cs="Times New Roman"/>
          <w:szCs w:val="24"/>
        </w:rPr>
      </w:pPr>
    </w:p>
    <w:p w14:paraId="032EB15A" w14:textId="4E7A3BDF" w:rsidR="006A4CD7" w:rsidRDefault="006A4CD7" w:rsidP="002B283E">
      <w:pPr>
        <w:autoSpaceDE w:val="0"/>
        <w:autoSpaceDN w:val="0"/>
        <w:adjustRightInd w:val="0"/>
        <w:rPr>
          <w:rFonts w:cs="Times New Roman"/>
          <w:szCs w:val="24"/>
        </w:rPr>
      </w:pPr>
      <w:r w:rsidRPr="002B283E">
        <w:rPr>
          <w:rFonts w:cs="Times New Roman"/>
          <w:szCs w:val="24"/>
        </w:rPr>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2B283E">
        <w:rPr>
          <w:rFonts w:cs="Times New Roman"/>
          <w:i/>
          <w:iCs/>
          <w:szCs w:val="24"/>
        </w:rPr>
        <w:t>See Faragher,</w:t>
      </w:r>
      <w:r w:rsidRPr="002B283E">
        <w:rPr>
          <w:rFonts w:cs="Times New Roman"/>
          <w:szCs w:val="24"/>
        </w:rPr>
        <w:t xml:space="preserve"> 524 U.S. at 807-08</w:t>
      </w:r>
      <w:r w:rsidRPr="002B283E">
        <w:rPr>
          <w:rFonts w:cs="Times New Roman"/>
          <w:i/>
          <w:iCs/>
          <w:szCs w:val="24"/>
        </w:rPr>
        <w:t>; Ellerth</w:t>
      </w:r>
      <w:r w:rsidRPr="002B283E">
        <w:rPr>
          <w:rFonts w:cs="Times New Roman"/>
          <w:szCs w:val="24"/>
        </w:rPr>
        <w:t>, 524 U.S. at 765.</w:t>
      </w:r>
    </w:p>
    <w:p w14:paraId="58613806" w14:textId="77777777" w:rsidR="001C5DA7" w:rsidRPr="002B283E" w:rsidRDefault="001C5DA7" w:rsidP="002B283E">
      <w:pPr>
        <w:autoSpaceDE w:val="0"/>
        <w:autoSpaceDN w:val="0"/>
        <w:adjustRightInd w:val="0"/>
        <w:rPr>
          <w:rFonts w:cs="Times New Roman"/>
          <w:szCs w:val="24"/>
        </w:rPr>
      </w:pPr>
    </w:p>
    <w:p w14:paraId="5F4BE44D" w14:textId="2CEEDB4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harasser is not the plaintiff’s supervisor, an employer’s liability can only be based on negligence. The </w:t>
      </w:r>
      <w:r w:rsidRPr="002B283E">
        <w:rPr>
          <w:rFonts w:cs="Times New Roman"/>
          <w:i/>
          <w:iCs/>
          <w:szCs w:val="24"/>
        </w:rPr>
        <w:t xml:space="preserve">Ellerth/Faragher </w:t>
      </w:r>
      <w:r w:rsidRPr="002B283E">
        <w:rPr>
          <w:rFonts w:cs="Times New Roman"/>
          <w:szCs w:val="24"/>
        </w:rPr>
        <w:t xml:space="preserve">affirmative defense is not applicable if the claim is based on negligence. </w:t>
      </w:r>
      <w:r w:rsidRPr="002B283E">
        <w:rPr>
          <w:rFonts w:cs="Times New Roman"/>
          <w:i/>
          <w:iCs/>
          <w:szCs w:val="24"/>
        </w:rPr>
        <w:t>See</w:t>
      </w:r>
      <w:r w:rsidRPr="002B283E">
        <w:rPr>
          <w:rFonts w:cs="Times New Roman"/>
          <w:szCs w:val="24"/>
        </w:rPr>
        <w:t xml:space="preserve"> Instruction 10.</w:t>
      </w:r>
      <w:r w:rsidR="00C75813">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7D825149" w14:textId="77777777" w:rsidR="006A4CD7" w:rsidRPr="002B283E" w:rsidRDefault="006A4CD7" w:rsidP="002B283E">
      <w:pPr>
        <w:autoSpaceDE w:val="0"/>
        <w:autoSpaceDN w:val="0"/>
        <w:adjustRightInd w:val="0"/>
        <w:rPr>
          <w:rFonts w:cs="Times New Roman"/>
          <w:szCs w:val="24"/>
        </w:rPr>
      </w:pPr>
    </w:p>
    <w:p w14:paraId="0B754C44" w14:textId="77777777" w:rsidR="006A4CD7" w:rsidRPr="002B283E" w:rsidRDefault="006A4CD7" w:rsidP="002B283E">
      <w:pPr>
        <w:rPr>
          <w:rFonts w:cs="Times New Roman"/>
          <w:szCs w:val="24"/>
        </w:rPr>
      </w:pPr>
    </w:p>
    <w:p w14:paraId="2DFB922A" w14:textId="7DD056AB"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Revised Sept</w:t>
      </w:r>
      <w:r w:rsidR="00D54F78">
        <w:rPr>
          <w:rFonts w:cs="Times New Roman"/>
          <w:i/>
          <w:iCs/>
          <w:szCs w:val="24"/>
        </w:rPr>
        <w:t>ember</w:t>
      </w:r>
      <w:r w:rsidRPr="002B283E">
        <w:rPr>
          <w:rFonts w:cs="Times New Roman"/>
          <w:i/>
          <w:iCs/>
          <w:szCs w:val="24"/>
        </w:rPr>
        <w:t xml:space="preserve"> 2017</w:t>
      </w:r>
    </w:p>
    <w:bookmarkEnd w:id="242"/>
    <w:p w14:paraId="27231759" w14:textId="77777777" w:rsidR="00366940" w:rsidRPr="002B283E" w:rsidRDefault="00366940" w:rsidP="002B283E">
      <w:pPr>
        <w:rPr>
          <w:rFonts w:cs="Times New Roman"/>
          <w:szCs w:val="24"/>
        </w:rPr>
      </w:pPr>
    </w:p>
    <w:p w14:paraId="08436CC1" w14:textId="3FAC6CCA" w:rsidR="006A4CD7" w:rsidRPr="002B283E" w:rsidRDefault="006A4CD7" w:rsidP="002B283E">
      <w:pPr>
        <w:pStyle w:val="Heading2"/>
      </w:pPr>
      <w:r w:rsidRPr="002B283E">
        <w:br w:type="page"/>
      </w:r>
      <w:bookmarkStart w:id="243" w:name="_Toc221525217"/>
      <w:r w:rsidRPr="002B283E">
        <w:lastRenderedPageBreak/>
        <w:t>10.</w:t>
      </w:r>
      <w:r w:rsidR="0008651C">
        <w:t xml:space="preserve">8 </w:t>
      </w:r>
      <w:r w:rsidR="00893907" w:rsidRPr="002B283E">
        <w:t>Civil Rights—Title VII—Hostile Work Environment Caused by Non-Immediate</w:t>
      </w:r>
      <w:r w:rsidR="007B75B7" w:rsidRPr="002B283E">
        <w:t xml:space="preserve"> </w:t>
      </w:r>
      <w:r w:rsidR="00893907" w:rsidRPr="002B283E">
        <w:t>Supervisor or by Co-Worker—Claim Based on Negligence</w:t>
      </w:r>
      <w:bookmarkEnd w:id="243"/>
      <w:r w:rsidRPr="002B283E">
        <w:t xml:space="preserve"> </w:t>
      </w:r>
    </w:p>
    <w:p w14:paraId="1DAFDD2A" w14:textId="77777777" w:rsidR="006A4CD7" w:rsidRPr="002B283E" w:rsidRDefault="006A4CD7" w:rsidP="002B283E">
      <w:pPr>
        <w:rPr>
          <w:rFonts w:cs="Times New Roman"/>
          <w:szCs w:val="24"/>
        </w:rPr>
      </w:pPr>
    </w:p>
    <w:p w14:paraId="5755BD11" w14:textId="6F76999C" w:rsidR="004F6A3C" w:rsidRPr="002B283E" w:rsidRDefault="006A4CD7" w:rsidP="002B283E">
      <w:pPr>
        <w:autoSpaceDE w:val="0"/>
        <w:autoSpaceDN w:val="0"/>
        <w:adjustRightInd w:val="0"/>
        <w:rPr>
          <w:rFonts w:cs="Times New Roman"/>
          <w:szCs w:val="24"/>
        </w:rPr>
      </w:pPr>
      <w:r w:rsidRPr="002B283E">
        <w:rPr>
          <w:rFonts w:cs="Times New Roman"/>
          <w:szCs w:val="24"/>
        </w:rPr>
        <w:tab/>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 xml:space="preserve">seeks damages from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for a hostile work environment caused by [sexual] [racial] [</w:t>
      </w:r>
      <w:r w:rsidR="004F6A3C" w:rsidRPr="002B283E">
        <w:rPr>
          <w:rFonts w:cs="Times New Roman"/>
          <w:i/>
          <w:iCs/>
          <w:szCs w:val="24"/>
          <w:u w:val="single"/>
        </w:rPr>
        <w:t>other Title VII protected characteristic</w:t>
      </w:r>
      <w:r w:rsidR="004F6A3C" w:rsidRPr="002B283E">
        <w:rPr>
          <w:rFonts w:cs="Times New Roman"/>
          <w:szCs w:val="24"/>
        </w:rPr>
        <w:t>] harassment</w:t>
      </w:r>
      <w:r w:rsidR="00A87F6E">
        <w:rPr>
          <w:rFonts w:cs="Times New Roman"/>
          <w:szCs w:val="24"/>
        </w:rPr>
        <w:t xml:space="preserve">. </w:t>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has the burden of proving both of the following elements by a preponderance of the evidence:</w:t>
      </w:r>
    </w:p>
    <w:p w14:paraId="0F431430" w14:textId="77777777" w:rsidR="004F6A3C" w:rsidRPr="002B283E" w:rsidRDefault="004F6A3C" w:rsidP="002B283E">
      <w:pPr>
        <w:autoSpaceDE w:val="0"/>
        <w:autoSpaceDN w:val="0"/>
        <w:adjustRightInd w:val="0"/>
        <w:rPr>
          <w:rFonts w:cs="Times New Roman"/>
          <w:szCs w:val="24"/>
        </w:rPr>
      </w:pPr>
    </w:p>
    <w:p w14:paraId="1B6A3534" w14:textId="7C35158F"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4F6A3C"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was subjected to a [sexually] [racially] [</w:t>
      </w:r>
      <w:r w:rsidR="004F6A3C" w:rsidRPr="002B283E">
        <w:rPr>
          <w:rFonts w:cs="Times New Roman"/>
          <w:i/>
          <w:iCs/>
          <w:szCs w:val="24"/>
          <w:u w:val="single"/>
        </w:rPr>
        <w:t>other Title VII protected characteristic</w:t>
      </w:r>
      <w:r w:rsidR="004F6A3C" w:rsidRPr="002B283E">
        <w:rPr>
          <w:rFonts w:cs="Times New Roman"/>
          <w:szCs w:val="24"/>
        </w:rPr>
        <w:t>] hostile work environment by a [non-immediate supervisor] [co-worker]; and</w:t>
      </w:r>
    </w:p>
    <w:p w14:paraId="5487D578" w14:textId="77777777" w:rsidR="004F6A3C" w:rsidRPr="002B283E" w:rsidRDefault="004F6A3C" w:rsidP="008A04C2">
      <w:pPr>
        <w:autoSpaceDE w:val="0"/>
        <w:autoSpaceDN w:val="0"/>
        <w:adjustRightInd w:val="0"/>
        <w:ind w:firstLine="720"/>
        <w:rPr>
          <w:rFonts w:cs="Times New Roman"/>
          <w:szCs w:val="24"/>
        </w:rPr>
      </w:pPr>
    </w:p>
    <w:p w14:paraId="7A1544AA" w14:textId="1B890E1B"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4F6A3C"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or a member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4F6A3C" w:rsidRPr="002B283E">
        <w:rPr>
          <w:rFonts w:cs="Times New Roman"/>
          <w:szCs w:val="24"/>
        </w:rPr>
        <w:t>’s management knew or should have known of the harassment and failed to take prompt, effective remedial action reasonably calculated to end the harassment.</w:t>
      </w:r>
    </w:p>
    <w:p w14:paraId="1CF8396D" w14:textId="77777777" w:rsidR="004F6A3C" w:rsidRPr="002B283E" w:rsidRDefault="004F6A3C" w:rsidP="002B283E">
      <w:pPr>
        <w:autoSpaceDE w:val="0"/>
        <w:autoSpaceDN w:val="0"/>
        <w:adjustRightInd w:val="0"/>
        <w:rPr>
          <w:rFonts w:cs="Times New Roman"/>
          <w:szCs w:val="24"/>
        </w:rPr>
      </w:pPr>
    </w:p>
    <w:p w14:paraId="79BFD440" w14:textId="138B143C" w:rsidR="004F6A3C" w:rsidRPr="002B283E" w:rsidRDefault="004F6A3C" w:rsidP="002B283E">
      <w:pPr>
        <w:autoSpaceDE w:val="0"/>
        <w:autoSpaceDN w:val="0"/>
        <w:adjustRightInd w:val="0"/>
        <w:rPr>
          <w:rFonts w:cs="Times New Roman"/>
          <w:szCs w:val="24"/>
        </w:rPr>
      </w:pPr>
      <w:r w:rsidRPr="002B283E">
        <w:rPr>
          <w:rFonts w:cs="Times New Roman"/>
          <w:szCs w:val="24"/>
        </w:rPr>
        <w:tab/>
        <w:t>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w:t>
      </w:r>
      <w:r w:rsidR="00A87F6E">
        <w:rPr>
          <w:rFonts w:cs="Times New Roman"/>
          <w:szCs w:val="24"/>
        </w:rPr>
        <w:t xml:space="preserve">. </w:t>
      </w:r>
    </w:p>
    <w:p w14:paraId="4F3E8A4B" w14:textId="77777777" w:rsidR="004F6A3C" w:rsidRPr="002B283E" w:rsidRDefault="004F6A3C" w:rsidP="002B283E">
      <w:pPr>
        <w:autoSpaceDE w:val="0"/>
        <w:autoSpaceDN w:val="0"/>
        <w:adjustRightInd w:val="0"/>
        <w:rPr>
          <w:rFonts w:cs="Times New Roman"/>
          <w:szCs w:val="24"/>
        </w:rPr>
      </w:pPr>
    </w:p>
    <w:p w14:paraId="2D4C4094" w14:textId="0732E794" w:rsidR="004F6A3C" w:rsidRPr="002B283E" w:rsidRDefault="004F6A3C" w:rsidP="002B283E">
      <w:pPr>
        <w:autoSpaceDE w:val="0"/>
        <w:autoSpaceDN w:val="0"/>
        <w:adjustRightInd w:val="0"/>
        <w:rPr>
          <w:rFonts w:cs="Times New Roman"/>
          <w:szCs w:val="24"/>
        </w:rPr>
      </w:pPr>
      <w:r w:rsidRPr="002B283E">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615645BB" w14:textId="77777777" w:rsidR="004F6A3C" w:rsidRPr="002B283E" w:rsidRDefault="004F6A3C" w:rsidP="002B283E">
      <w:pPr>
        <w:autoSpaceDE w:val="0"/>
        <w:autoSpaceDN w:val="0"/>
        <w:adjustRightInd w:val="0"/>
        <w:rPr>
          <w:rFonts w:cs="Times New Roman"/>
          <w:szCs w:val="24"/>
        </w:rPr>
      </w:pPr>
    </w:p>
    <w:p w14:paraId="45BDFA37" w14:textId="46EACEC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both of the elements on which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the burden of proof,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either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2434DD4F" w14:textId="77777777" w:rsidR="004F6A3C" w:rsidRPr="002B283E" w:rsidRDefault="004F6A3C" w:rsidP="002B283E">
      <w:pPr>
        <w:rPr>
          <w:rFonts w:cs="Times New Roman"/>
          <w:szCs w:val="24"/>
        </w:rPr>
      </w:pPr>
    </w:p>
    <w:p w14:paraId="1B1AE490" w14:textId="77777777" w:rsidR="004F6A3C" w:rsidRPr="002B283E" w:rsidRDefault="004F6A3C" w:rsidP="002B283E">
      <w:pPr>
        <w:autoSpaceDE w:val="0"/>
        <w:autoSpaceDN w:val="0"/>
        <w:adjustRightInd w:val="0"/>
        <w:jc w:val="center"/>
        <w:rPr>
          <w:rFonts w:cs="Times New Roman"/>
          <w:szCs w:val="24"/>
        </w:rPr>
      </w:pPr>
      <w:r w:rsidRPr="002B283E">
        <w:rPr>
          <w:rFonts w:cs="Times New Roman"/>
          <w:b/>
          <w:bCs/>
          <w:szCs w:val="24"/>
        </w:rPr>
        <w:t>Comment</w:t>
      </w:r>
    </w:p>
    <w:p w14:paraId="71BF1903" w14:textId="77777777" w:rsidR="004F6A3C" w:rsidRPr="002B283E" w:rsidRDefault="004F6A3C" w:rsidP="002B283E">
      <w:pPr>
        <w:rPr>
          <w:rFonts w:cs="Times New Roman"/>
          <w:szCs w:val="24"/>
        </w:rPr>
      </w:pPr>
    </w:p>
    <w:p w14:paraId="4B2F8AD7" w14:textId="1CF5E770" w:rsidR="004F6A3C" w:rsidRPr="002B283E" w:rsidRDefault="004F6A3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w:t>
      </w:r>
      <w:r w:rsidRPr="002B283E">
        <w:rPr>
          <w:rFonts w:cs="Times New Roman"/>
          <w:i/>
          <w:iCs/>
          <w:szCs w:val="24"/>
        </w:rPr>
        <w:t>See also Swinton v. Potomac Corp.</w:t>
      </w:r>
      <w:r w:rsidRPr="002B283E">
        <w:rPr>
          <w:rFonts w:cs="Times New Roman"/>
          <w:szCs w:val="24"/>
        </w:rPr>
        <w:t>, 270 F.3d 794, 803-05 (9th Cir. 2001). Use this instruction when the claim against the employer is based on negligence and involves harassment by another co-worker or a supervisor who is not the plaintiff’s direct (immediate or successively higher) supervisor</w:t>
      </w:r>
      <w:r w:rsidR="00A87F6E">
        <w:rPr>
          <w:rFonts w:cs="Times New Roman"/>
          <w:szCs w:val="24"/>
        </w:rPr>
        <w:t xml:space="preserve">. </w:t>
      </w:r>
    </w:p>
    <w:p w14:paraId="79EE3298" w14:textId="77777777" w:rsidR="004F6A3C" w:rsidRPr="002B283E" w:rsidRDefault="004F6A3C" w:rsidP="002B283E">
      <w:pPr>
        <w:autoSpaceDE w:val="0"/>
        <w:autoSpaceDN w:val="0"/>
        <w:adjustRightInd w:val="0"/>
        <w:rPr>
          <w:rFonts w:cs="Times New Roman"/>
          <w:szCs w:val="24"/>
        </w:rPr>
      </w:pPr>
    </w:p>
    <w:p w14:paraId="4217DEEA" w14:textId="5973200A" w:rsidR="004F6A3C" w:rsidRPr="002B283E" w:rsidRDefault="004F6A3C" w:rsidP="002B283E">
      <w:pPr>
        <w:autoSpaceDE w:val="0"/>
        <w:autoSpaceDN w:val="0"/>
        <w:adjustRightInd w:val="0"/>
        <w:rPr>
          <w:rFonts w:cs="Times New Roman"/>
          <w:szCs w:val="24"/>
        </w:rPr>
      </w:pPr>
      <w:r w:rsidRPr="002B283E">
        <w:rPr>
          <w:rFonts w:cs="Times New Roman"/>
          <w:szCs w:val="24"/>
        </w:rPr>
        <w:tab/>
        <w:t>Use this instruction in conjunction with Instruction 10.</w:t>
      </w:r>
      <w:r w:rsidR="00C75813">
        <w:rPr>
          <w:rFonts w:cs="Times New Roman"/>
          <w:szCs w:val="24"/>
        </w:rPr>
        <w:t>6</w:t>
      </w:r>
      <w:r w:rsidRPr="002B283E">
        <w:rPr>
          <w:rFonts w:cs="Times New Roman"/>
          <w:szCs w:val="24"/>
        </w:rPr>
        <w:t xml:space="preserve"> (Civil Rights—Title VII—Hostile Work Environment—Harassment Because of Protected Characteristics—Elements)</w:t>
      </w:r>
      <w:r w:rsidR="00A87F6E">
        <w:rPr>
          <w:rFonts w:cs="Times New Roman"/>
          <w:szCs w:val="24"/>
        </w:rPr>
        <w:t xml:space="preserve">. </w:t>
      </w:r>
    </w:p>
    <w:p w14:paraId="28CF8DDA" w14:textId="77777777" w:rsidR="004F6A3C" w:rsidRPr="002B283E" w:rsidRDefault="004F6A3C" w:rsidP="002B283E">
      <w:pPr>
        <w:autoSpaceDE w:val="0"/>
        <w:autoSpaceDN w:val="0"/>
        <w:adjustRightInd w:val="0"/>
        <w:rPr>
          <w:rFonts w:cs="Times New Roman"/>
          <w:szCs w:val="24"/>
        </w:rPr>
      </w:pPr>
    </w:p>
    <w:p w14:paraId="3D81ABAD" w14:textId="77777777" w:rsidR="004F6A3C" w:rsidRPr="002B283E" w:rsidRDefault="004F6A3C" w:rsidP="002B283E">
      <w:pPr>
        <w:autoSpaceDE w:val="0"/>
        <w:autoSpaceDN w:val="0"/>
        <w:adjustRightInd w:val="0"/>
        <w:rPr>
          <w:rFonts w:cs="Times New Roman"/>
          <w:szCs w:val="24"/>
        </w:rPr>
      </w:pPr>
      <w:r w:rsidRPr="002B283E">
        <w:rPr>
          <w:rFonts w:cs="Times New Roman"/>
          <w:szCs w:val="24"/>
        </w:rPr>
        <w:lastRenderedPageBreak/>
        <w:tab/>
        <w:t>When an affirmative defense is asserted, this instruction should be accompanied by the appropriate affirmative defense instruction.</w:t>
      </w:r>
    </w:p>
    <w:p w14:paraId="32A3F0A1" w14:textId="77777777" w:rsidR="004F6A3C" w:rsidRPr="002B283E" w:rsidRDefault="004F6A3C" w:rsidP="002B283E">
      <w:pPr>
        <w:autoSpaceDE w:val="0"/>
        <w:autoSpaceDN w:val="0"/>
        <w:adjustRightInd w:val="0"/>
        <w:rPr>
          <w:rFonts w:cs="Times New Roman"/>
          <w:szCs w:val="24"/>
        </w:rPr>
      </w:pPr>
    </w:p>
    <w:p w14:paraId="56530FBA" w14:textId="366AFBC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Under a negligence theory, an employer is liable if the employer (or its “management”) knew or should have known of the harassing conduct and failed to take reasonably prompt corrective action to end the harassment. </w:t>
      </w:r>
      <w:r w:rsidRPr="002B283E">
        <w:rPr>
          <w:rFonts w:cs="Times New Roman"/>
          <w:i/>
          <w:iCs/>
          <w:szCs w:val="24"/>
        </w:rPr>
        <w:t>Swinton</w:t>
      </w:r>
      <w:r w:rsidRPr="002B283E">
        <w:rPr>
          <w:rFonts w:cs="Times New Roman"/>
          <w:szCs w:val="24"/>
        </w:rPr>
        <w:t>, 270 F.3d at 803-04. There are two categories of employees who constitute “management” for purposes of a negligence claim</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804</w:t>
      </w:r>
      <w:r w:rsidR="00A87F6E">
        <w:rPr>
          <w:rFonts w:cs="Times New Roman"/>
          <w:szCs w:val="24"/>
        </w:rPr>
        <w:t xml:space="preserve">. </w:t>
      </w:r>
      <w:r w:rsidRPr="002B283E">
        <w:rPr>
          <w:rFonts w:cs="Times New Roman"/>
          <w:szCs w:val="24"/>
        </w:rPr>
        <w:t xml:space="preserve">The first category is a member of management who possesses substantial authority and discretion to make decisions over the plaintiff’s or the harasser’s employment, such as “authority to counsel, investigate, suspend or fire the accused harasser, or to change the conditions of the harassee’s employment.” </w:t>
      </w:r>
      <w:r w:rsidRPr="002B283E">
        <w:rPr>
          <w:rFonts w:cs="Times New Roman"/>
          <w:i/>
          <w:iCs/>
          <w:szCs w:val="24"/>
        </w:rPr>
        <w:t xml:space="preserve">Id. </w:t>
      </w:r>
      <w:r w:rsidRPr="002B283E">
        <w:rPr>
          <w:rFonts w:cs="Times New Roman"/>
          <w:szCs w:val="24"/>
        </w:rPr>
        <w:t xml:space="preserve">The second category of employees who qualify as management consists of any supervisor who lacks this authority but nonetheless “has an official or strong de facto duty to act as a conduit to management for complaints about work conditions.” </w:t>
      </w:r>
      <w:r w:rsidRPr="002B283E">
        <w:rPr>
          <w:rFonts w:cs="Times New Roman"/>
          <w:i/>
          <w:iCs/>
          <w:szCs w:val="24"/>
        </w:rPr>
        <w:t xml:space="preserve">Id. </w:t>
      </w:r>
      <w:r w:rsidRPr="002B283E">
        <w:rPr>
          <w:rFonts w:cs="Times New Roman"/>
          <w:szCs w:val="24"/>
        </w:rPr>
        <w:t>at 805 (citations omitted)</w:t>
      </w:r>
      <w:r w:rsidRPr="002B283E">
        <w:rPr>
          <w:rFonts w:cs="Times New Roman"/>
          <w:i/>
          <w:iCs/>
          <w:szCs w:val="24"/>
        </w:rPr>
        <w:t xml:space="preserve">. </w:t>
      </w:r>
    </w:p>
    <w:p w14:paraId="4B8F3819" w14:textId="77777777" w:rsidR="004F6A3C" w:rsidRPr="002B283E" w:rsidRDefault="004F6A3C" w:rsidP="002B283E">
      <w:pPr>
        <w:autoSpaceDE w:val="0"/>
        <w:autoSpaceDN w:val="0"/>
        <w:adjustRightInd w:val="0"/>
        <w:rPr>
          <w:rFonts w:cs="Times New Roman"/>
          <w:szCs w:val="24"/>
        </w:rPr>
      </w:pPr>
    </w:p>
    <w:p w14:paraId="5067F5A4" w14:textId="1125A56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It should be noted, however, that neither </w:t>
      </w:r>
      <w:r w:rsidRPr="002B283E">
        <w:rPr>
          <w:rFonts w:cs="Times New Roman"/>
          <w:i/>
          <w:iCs/>
          <w:szCs w:val="24"/>
        </w:rPr>
        <w:t>Swinton</w:t>
      </w:r>
      <w:r w:rsidRPr="002B283E">
        <w:rPr>
          <w:rFonts w:cs="Times New Roman"/>
          <w:szCs w:val="24"/>
        </w:rPr>
        <w:t xml:space="preserve"> nor any of the cases relied on by </w:t>
      </w:r>
      <w:r w:rsidRPr="002B283E">
        <w:rPr>
          <w:rFonts w:cs="Times New Roman"/>
          <w:i/>
          <w:iCs/>
          <w:szCs w:val="24"/>
        </w:rPr>
        <w:t>Swinton</w:t>
      </w:r>
      <w:r w:rsidRPr="002B283E">
        <w:rPr>
          <w:rFonts w:cs="Times New Roman"/>
          <w:szCs w:val="24"/>
        </w:rPr>
        <w:t xml:space="preserve"> provides a definition of a supervisor or other employee with “an official or strong de facto duty to act as a conduit to management for complaints about work conditions.” </w:t>
      </w:r>
      <w:r w:rsidRPr="002B283E">
        <w:rPr>
          <w:rFonts w:cs="Times New Roman"/>
          <w:i/>
          <w:iCs/>
          <w:szCs w:val="24"/>
        </w:rPr>
        <w:t>See Swinton</w:t>
      </w:r>
      <w:r w:rsidRPr="002B283E">
        <w:rPr>
          <w:rFonts w:cs="Times New Roman"/>
          <w:szCs w:val="24"/>
        </w:rPr>
        <w:t xml:space="preserve">, 270 F.3d at 804-05. To aid jury understanding, the Committee has modified the </w:t>
      </w:r>
      <w:r w:rsidRPr="002B283E">
        <w:rPr>
          <w:rFonts w:cs="Times New Roman"/>
          <w:i/>
          <w:iCs/>
          <w:szCs w:val="24"/>
        </w:rPr>
        <w:t>Swinton</w:t>
      </w:r>
      <w:r w:rsidRPr="002B283E">
        <w:rPr>
          <w:rFonts w:cs="Times New Roman"/>
          <w:szCs w:val="24"/>
        </w:rPr>
        <w:t xml:space="preserve"> language of “de facto duty to act as a conduit to management . . ..” to “duty in fact to communicate to management . . .</w:t>
      </w:r>
      <w:r w:rsidR="003137E9">
        <w:rPr>
          <w:rFonts w:cs="Times New Roman"/>
          <w:szCs w:val="24"/>
        </w:rPr>
        <w:t xml:space="preserve"> </w:t>
      </w:r>
      <w:r w:rsidRPr="002B283E">
        <w:rPr>
          <w:rFonts w:cs="Times New Roman"/>
          <w:szCs w:val="24"/>
        </w:rPr>
        <w:t xml:space="preserve">.”  </w:t>
      </w:r>
    </w:p>
    <w:p w14:paraId="3F477742" w14:textId="77777777" w:rsidR="004F6A3C" w:rsidRPr="002B283E" w:rsidRDefault="004F6A3C" w:rsidP="002B283E">
      <w:pPr>
        <w:autoSpaceDE w:val="0"/>
        <w:autoSpaceDN w:val="0"/>
        <w:adjustRightInd w:val="0"/>
        <w:rPr>
          <w:rFonts w:cs="Times New Roman"/>
          <w:szCs w:val="24"/>
        </w:rPr>
      </w:pPr>
    </w:p>
    <w:p w14:paraId="33B70149" w14:textId="4948DA72"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two elements of this instruction are based on </w:t>
      </w:r>
      <w:r w:rsidRPr="002B283E">
        <w:rPr>
          <w:rFonts w:cs="Times New Roman"/>
          <w:i/>
          <w:iCs/>
          <w:szCs w:val="24"/>
        </w:rPr>
        <w:t>Burrell v. Star Nursery, Inc.</w:t>
      </w:r>
      <w:r w:rsidRPr="002B283E">
        <w:rPr>
          <w:rFonts w:cs="Times New Roman"/>
          <w:szCs w:val="24"/>
        </w:rPr>
        <w:t xml:space="preserve">, 170 F.3d 951, 955 (9th Cir. 1999), and </w:t>
      </w:r>
      <w:r w:rsidRPr="002B283E">
        <w:rPr>
          <w:rFonts w:cs="Times New Roman"/>
          <w:i/>
          <w:iCs/>
          <w:szCs w:val="24"/>
        </w:rPr>
        <w:t>Mockler v. Multnomah County</w:t>
      </w:r>
      <w:r w:rsidRPr="002B283E">
        <w:rPr>
          <w:rFonts w:cs="Times New Roman"/>
          <w:szCs w:val="24"/>
        </w:rPr>
        <w:t>, 140 F.3d 808, 812 (9th Cir. 1998)</w:t>
      </w:r>
      <w:r w:rsidR="00A87F6E">
        <w:rPr>
          <w:rFonts w:cs="Times New Roman"/>
          <w:szCs w:val="24"/>
        </w:rPr>
        <w:t xml:space="preserve">. </w:t>
      </w:r>
      <w:r w:rsidRPr="002B283E">
        <w:rPr>
          <w:rFonts w:cs="Times New Roman"/>
          <w:szCs w:val="24"/>
        </w:rPr>
        <w:t xml:space="preserve">The text of the instruction addressing remedial action is based on </w:t>
      </w:r>
      <w:r w:rsidRPr="002B283E">
        <w:rPr>
          <w:rFonts w:cs="Times New Roman"/>
          <w:i/>
          <w:iCs/>
          <w:szCs w:val="24"/>
        </w:rPr>
        <w:t>Mockler</w:t>
      </w:r>
      <w:r w:rsidRPr="002B283E">
        <w:rPr>
          <w:rFonts w:cs="Times New Roman"/>
          <w:szCs w:val="24"/>
        </w:rPr>
        <w:t xml:space="preserve">, 140 F.3d at 813 (citing </w:t>
      </w:r>
      <w:r w:rsidRPr="002B283E">
        <w:rPr>
          <w:rFonts w:cs="Times New Roman"/>
          <w:i/>
          <w:iCs/>
          <w:szCs w:val="24"/>
        </w:rPr>
        <w:t>Ellison v. Brady</w:t>
      </w:r>
      <w:r w:rsidRPr="002B283E">
        <w:rPr>
          <w:rFonts w:cs="Times New Roman"/>
          <w:szCs w:val="24"/>
        </w:rPr>
        <w:t>, 924 F.2d 872, 882 (9th Cir. 1991)).</w:t>
      </w:r>
    </w:p>
    <w:p w14:paraId="0EB90CFD" w14:textId="77777777" w:rsidR="004F6A3C" w:rsidRPr="002B283E" w:rsidRDefault="004F6A3C" w:rsidP="002B283E">
      <w:pPr>
        <w:autoSpaceDE w:val="0"/>
        <w:autoSpaceDN w:val="0"/>
        <w:adjustRightInd w:val="0"/>
        <w:rPr>
          <w:rFonts w:cs="Times New Roman"/>
          <w:szCs w:val="24"/>
        </w:rPr>
      </w:pPr>
    </w:p>
    <w:p w14:paraId="6C33F39D" w14:textId="1E71BC7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burden is on the plaintiff to “show that the employer knew or should have known of the harassment and took no effectual action to correct the situation.” </w:t>
      </w:r>
      <w:r w:rsidRPr="002B283E">
        <w:rPr>
          <w:rFonts w:cs="Times New Roman"/>
          <w:i/>
          <w:iCs/>
          <w:szCs w:val="24"/>
        </w:rPr>
        <w:t>Mockler</w:t>
      </w:r>
      <w:r w:rsidRPr="002B283E">
        <w:rPr>
          <w:rFonts w:cs="Times New Roman"/>
          <w:szCs w:val="24"/>
        </w:rPr>
        <w:t xml:space="preserve">, 140 F.3d at 812 (citations omitted). “This showing can . . . be rebutted by the employer directly, or by pointing to prompt remedial action reasonably calculated to end the harassment.” </w:t>
      </w:r>
      <w:r w:rsidRPr="002B283E">
        <w:rPr>
          <w:rFonts w:cs="Times New Roman"/>
          <w:i/>
          <w:iCs/>
          <w:szCs w:val="24"/>
        </w:rPr>
        <w:t>Id.</w:t>
      </w:r>
    </w:p>
    <w:p w14:paraId="2015C699" w14:textId="77777777" w:rsidR="004F6A3C" w:rsidRPr="002B283E" w:rsidRDefault="004F6A3C" w:rsidP="002B283E">
      <w:pPr>
        <w:autoSpaceDE w:val="0"/>
        <w:autoSpaceDN w:val="0"/>
        <w:adjustRightInd w:val="0"/>
        <w:rPr>
          <w:rFonts w:cs="Times New Roman"/>
          <w:szCs w:val="24"/>
        </w:rPr>
      </w:pPr>
    </w:p>
    <w:p w14:paraId="7E709918" w14:textId="4AD771A5"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2B283E">
        <w:rPr>
          <w:rFonts w:cs="Times New Roman"/>
          <w:i/>
          <w:iCs/>
          <w:szCs w:val="24"/>
        </w:rPr>
        <w:t>Fuller v. City of Oakland</w:t>
      </w:r>
      <w:r w:rsidRPr="002B283E">
        <w:rPr>
          <w:rFonts w:cs="Times New Roman"/>
          <w:szCs w:val="24"/>
        </w:rPr>
        <w:t xml:space="preserve">, 47 F.3d 1522, 1528 (9th Cir. 1995), </w:t>
      </w:r>
      <w:r w:rsidRPr="002B283E">
        <w:rPr>
          <w:rFonts w:cs="Times New Roman"/>
          <w:i/>
          <w:iCs/>
          <w:szCs w:val="24"/>
        </w:rPr>
        <w:t xml:space="preserve">as amended </w:t>
      </w:r>
      <w:r w:rsidRPr="002B283E">
        <w:rPr>
          <w:rFonts w:cs="Times New Roman"/>
          <w:szCs w:val="24"/>
        </w:rPr>
        <w:t xml:space="preserve">(Apr. 24, 1995). “Once an employer knows or should know of harassment, a remedial obligation kicks in.” </w:t>
      </w:r>
      <w:r w:rsidRPr="002B283E">
        <w:rPr>
          <w:rFonts w:cs="Times New Roman"/>
          <w:i/>
          <w:iCs/>
          <w:szCs w:val="24"/>
        </w:rPr>
        <w:t xml:space="preserve">Id. </w:t>
      </w:r>
      <w:r w:rsidRPr="002B283E">
        <w:rPr>
          <w:rFonts w:cs="Times New Roman"/>
          <w:szCs w:val="24"/>
        </w:rPr>
        <w:t xml:space="preserve">Therefore, “if 1) no remedy is undertaken, or 2) the remedy attempted is ineffectual, liability will attach.” </w:t>
      </w:r>
      <w:r w:rsidRPr="002B283E">
        <w:rPr>
          <w:rFonts w:cs="Times New Roman"/>
          <w:i/>
          <w:iCs/>
          <w:szCs w:val="24"/>
        </w:rPr>
        <w:t>Id.</w:t>
      </w:r>
      <w:r w:rsidRPr="002B283E">
        <w:rPr>
          <w:rFonts w:cs="Times New Roman"/>
          <w:szCs w:val="24"/>
        </w:rPr>
        <w:t xml:space="preserve"> at 1528-29; </w:t>
      </w:r>
      <w:r w:rsidRPr="002B283E">
        <w:rPr>
          <w:rFonts w:cs="Times New Roman"/>
          <w:i/>
          <w:iCs/>
          <w:szCs w:val="24"/>
        </w:rPr>
        <w:t>see also Reynaga v. Roseburg Forest Prods</w:t>
      </w:r>
      <w:r w:rsidRPr="002B283E">
        <w:rPr>
          <w:rFonts w:cs="Times New Roman"/>
          <w:szCs w:val="24"/>
        </w:rPr>
        <w:t xml:space="preserve">., 847 F.3d 678, 690 (9th Cir. 2017) (“[P]rompt action is not enough. The remedial measures must also be effective.”); </w:t>
      </w:r>
      <w:r w:rsidRPr="002B283E">
        <w:rPr>
          <w:rFonts w:cs="Times New Roman"/>
          <w:i/>
          <w:iCs/>
          <w:szCs w:val="24"/>
        </w:rPr>
        <w:t>Christian v. Umpqua Bank</w:t>
      </w:r>
      <w:r w:rsidRPr="002B283E">
        <w:rPr>
          <w:rFonts w:cs="Times New Roman"/>
          <w:szCs w:val="24"/>
        </w:rPr>
        <w:t>, 984</w:t>
      </w:r>
    </w:p>
    <w:p w14:paraId="40AE32CB"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F.3d 801, 811 (9th Cir. 2020) (“Inaction is not a remedy ‘reasonably calculated to end the</w:t>
      </w:r>
    </w:p>
    <w:p w14:paraId="75DF5FFF"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harassment[.]’”).</w:t>
      </w:r>
    </w:p>
    <w:p w14:paraId="1572BA11" w14:textId="77777777" w:rsidR="004F6A3C" w:rsidRPr="002B283E" w:rsidRDefault="004F6A3C" w:rsidP="002B283E">
      <w:pPr>
        <w:autoSpaceDE w:val="0"/>
        <w:autoSpaceDN w:val="0"/>
        <w:adjustRightInd w:val="0"/>
        <w:rPr>
          <w:rFonts w:cs="Times New Roman"/>
          <w:szCs w:val="24"/>
        </w:rPr>
      </w:pPr>
    </w:p>
    <w:p w14:paraId="6D58DE89" w14:textId="462FA401"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For purposes of proving that the defendant “knew or reasonably should have known of the harassment,” it is appropriate to impute this knowledge to a defendant employer if a </w:t>
      </w:r>
      <w:r w:rsidRPr="002B283E">
        <w:rPr>
          <w:rFonts w:cs="Times New Roman"/>
          <w:szCs w:val="24"/>
        </w:rPr>
        <w:lastRenderedPageBreak/>
        <w:t xml:space="preserve">management-level employee of the employer defendant knew or reasonably should have known that harassment was occurring. </w:t>
      </w:r>
      <w:r w:rsidRPr="002B283E">
        <w:rPr>
          <w:rFonts w:cs="Times New Roman"/>
          <w:i/>
          <w:iCs/>
          <w:szCs w:val="24"/>
        </w:rPr>
        <w:t>Swinton</w:t>
      </w:r>
      <w:r w:rsidRPr="002B283E">
        <w:rPr>
          <w:rFonts w:cs="Times New Roman"/>
          <w:szCs w:val="24"/>
        </w:rPr>
        <w:t>, 270 F.3d at 804.</w:t>
      </w:r>
    </w:p>
    <w:p w14:paraId="055E2F1A" w14:textId="77777777" w:rsidR="004F6A3C" w:rsidRPr="002B283E" w:rsidRDefault="004F6A3C" w:rsidP="002B283E">
      <w:pPr>
        <w:autoSpaceDE w:val="0"/>
        <w:autoSpaceDN w:val="0"/>
        <w:adjustRightInd w:val="0"/>
        <w:rPr>
          <w:rFonts w:cs="Times New Roman"/>
          <w:szCs w:val="24"/>
        </w:rPr>
      </w:pPr>
    </w:p>
    <w:p w14:paraId="09419958" w14:textId="77777777" w:rsidR="004F6A3C" w:rsidRPr="002B283E" w:rsidRDefault="004F6A3C" w:rsidP="002B283E">
      <w:pPr>
        <w:autoSpaceDE w:val="0"/>
        <w:autoSpaceDN w:val="0"/>
        <w:adjustRightInd w:val="0"/>
        <w:ind w:firstLine="720"/>
        <w:rPr>
          <w:rFonts w:cs="Times New Roman"/>
          <w:szCs w:val="24"/>
        </w:rPr>
      </w:pPr>
      <w:r w:rsidRPr="002B283E">
        <w:rPr>
          <w:rFonts w:cs="Times New Roman"/>
          <w:szCs w:val="24"/>
        </w:rPr>
        <w:t xml:space="preserve">In </w:t>
      </w:r>
      <w:bookmarkStart w:id="244" w:name="_Hlk175562248"/>
      <w:r w:rsidRPr="002B283E">
        <w:rPr>
          <w:rFonts w:cs="Times New Roman"/>
          <w:i/>
          <w:iCs/>
          <w:szCs w:val="24"/>
        </w:rPr>
        <w:t>Okonowsky v. Garland</w:t>
      </w:r>
      <w:r w:rsidRPr="002B283E">
        <w:rPr>
          <w:rFonts w:cs="Times New Roman"/>
          <w:szCs w:val="24"/>
        </w:rPr>
        <w:t xml:space="preserve">, 109 F.4th 1166 (9th Cir. 2024), </w:t>
      </w:r>
      <w:bookmarkEnd w:id="244"/>
      <w:r w:rsidRPr="002B283E">
        <w:rPr>
          <w:rFonts w:cs="Times New Roman"/>
          <w:szCs w:val="24"/>
        </w:rPr>
        <w:t xml:space="preserve">the Ninth Circuit summarized the law governing a claim of subjecting a person to a sexually hostile work environment and explained that there are three factors: (1) whether the plaintiff was subjected to verbal or physical conduct of a sexual nature; (2) whether the conduct was unwelcome; and (3) whether the conduct was sufficiently severe or pervasive to alter the conditions of employment and create an abusive working environment. </w:t>
      </w:r>
      <w:r w:rsidRPr="002B283E">
        <w:rPr>
          <w:rFonts w:cs="Times New Roman"/>
          <w:i/>
          <w:iCs/>
          <w:szCs w:val="24"/>
        </w:rPr>
        <w:t>Id</w:t>
      </w:r>
      <w:r w:rsidRPr="002B283E">
        <w:rPr>
          <w:rFonts w:cs="Times New Roman"/>
          <w:szCs w:val="24"/>
        </w:rPr>
        <w:t xml:space="preserve">. at 1178-79. The court also noted that “[i]n analyzing the objective hostility of a working environment, we must look to the totality of the circumstances surrounding the plaintiff’s claim,” </w:t>
      </w:r>
      <w:r w:rsidRPr="002B283E">
        <w:rPr>
          <w:rFonts w:cs="Times New Roman"/>
          <w:i/>
          <w:iCs/>
          <w:szCs w:val="24"/>
        </w:rPr>
        <w:t>id</w:t>
      </w:r>
      <w:r w:rsidRPr="002B283E">
        <w:rPr>
          <w:rFonts w:cs="Times New Roman"/>
          <w:szCs w:val="24"/>
        </w:rPr>
        <w:t xml:space="preserve">. at 1179, and “conduct that took place outside of the physical work environment is part of the totality of the circumstances we evaluate when considering a hostile work environment claim.” </w:t>
      </w:r>
      <w:r w:rsidRPr="002B283E">
        <w:rPr>
          <w:rFonts w:cs="Times New Roman"/>
          <w:i/>
          <w:iCs/>
          <w:szCs w:val="24"/>
        </w:rPr>
        <w:t>Id</w:t>
      </w:r>
      <w:r w:rsidRPr="002B283E">
        <w:rPr>
          <w:rFonts w:cs="Times New Roman"/>
          <w:szCs w:val="24"/>
        </w:rPr>
        <w:t>. at 1180.</w:t>
      </w:r>
    </w:p>
    <w:p w14:paraId="34A46E7B" w14:textId="77777777" w:rsidR="004F6A3C" w:rsidRPr="002B283E" w:rsidRDefault="004F6A3C" w:rsidP="002B283E">
      <w:pPr>
        <w:autoSpaceDE w:val="0"/>
        <w:autoSpaceDN w:val="0"/>
        <w:adjustRightInd w:val="0"/>
        <w:rPr>
          <w:rFonts w:cs="Times New Roman"/>
          <w:szCs w:val="24"/>
        </w:rPr>
      </w:pPr>
    </w:p>
    <w:p w14:paraId="5D703436" w14:textId="79AC8626" w:rsidR="006A4CD7" w:rsidRPr="002B283E" w:rsidRDefault="004F6A3C" w:rsidP="002B283E">
      <w:pPr>
        <w:autoSpaceDE w:val="0"/>
        <w:autoSpaceDN w:val="0"/>
        <w:adjustRightInd w:val="0"/>
        <w:jc w:val="right"/>
        <w:rPr>
          <w:rFonts w:cs="Times New Roman"/>
          <w:szCs w:val="24"/>
        </w:rPr>
      </w:pPr>
      <w:r w:rsidRPr="002B283E">
        <w:rPr>
          <w:rFonts w:cs="Times New Roman"/>
          <w:i/>
          <w:iCs/>
          <w:szCs w:val="24"/>
        </w:rPr>
        <w:t>Revised September 2024</w:t>
      </w:r>
    </w:p>
    <w:p w14:paraId="5B04234A" w14:textId="1D6625C0" w:rsidR="00C169F7" w:rsidRPr="002B283E" w:rsidRDefault="006A4CD7" w:rsidP="00FF121D">
      <w:pPr>
        <w:pStyle w:val="Heading2"/>
      </w:pPr>
      <w:r w:rsidRPr="002B283E">
        <w:br w:type="page"/>
      </w:r>
      <w:bookmarkStart w:id="245" w:name="_Hlk159760356"/>
      <w:bookmarkStart w:id="246" w:name="_Toc221525218"/>
      <w:bookmarkStart w:id="247" w:name="_Hlk225426311"/>
      <w:r w:rsidR="00C169F7" w:rsidRPr="002B283E">
        <w:lastRenderedPageBreak/>
        <w:t>10.</w:t>
      </w:r>
      <w:r w:rsidR="0008651C">
        <w:t>9</w:t>
      </w:r>
      <w:r w:rsidR="00C169F7" w:rsidRPr="002B283E">
        <w:t xml:space="preserve"> “Hostile Work Environment” Defined</w:t>
      </w:r>
      <w:bookmarkEnd w:id="245"/>
      <w:bookmarkEnd w:id="246"/>
    </w:p>
    <w:p w14:paraId="48CAB7E8" w14:textId="77777777" w:rsidR="00C169F7" w:rsidRPr="002B283E" w:rsidRDefault="00C169F7" w:rsidP="002B283E">
      <w:pPr>
        <w:rPr>
          <w:rFonts w:cs="Times New Roman"/>
          <w:szCs w:val="24"/>
        </w:rPr>
      </w:pPr>
    </w:p>
    <w:p w14:paraId="23FE19F2" w14:textId="44534622" w:rsidR="00C169F7" w:rsidRPr="002B283E" w:rsidRDefault="00C169F7" w:rsidP="002B283E">
      <w:pPr>
        <w:ind w:firstLine="720"/>
        <w:rPr>
          <w:rFonts w:cs="Times New Roman"/>
          <w:szCs w:val="24"/>
        </w:rPr>
      </w:pPr>
      <w:r w:rsidRPr="002B283E">
        <w:rPr>
          <w:rFonts w:cs="Times New Roman"/>
          <w:szCs w:val="24"/>
        </w:rPr>
        <w:t xml:space="preserve">In determining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was subjected to a [sexually] [racially] [</w:t>
      </w:r>
      <w:r w:rsidRPr="00D370B0">
        <w:rPr>
          <w:rFonts w:cs="Times New Roman"/>
          <w:i/>
          <w:iCs/>
          <w:szCs w:val="24"/>
          <w:u w:val="single"/>
        </w:rPr>
        <w:t>other protected category</w:t>
      </w:r>
      <w:r w:rsidRPr="002B283E">
        <w:rPr>
          <w:rFonts w:cs="Times New Roman"/>
          <w:szCs w:val="24"/>
        </w:rPr>
        <w:t xml:space="preserve">] hostile work environment, you should consider three factors: </w:t>
      </w:r>
    </w:p>
    <w:p w14:paraId="66362A82" w14:textId="77777777" w:rsidR="00C169F7" w:rsidRPr="002B283E" w:rsidRDefault="00C169F7" w:rsidP="002B283E">
      <w:pPr>
        <w:ind w:firstLine="720"/>
        <w:rPr>
          <w:rFonts w:cs="Times New Roman"/>
          <w:szCs w:val="24"/>
        </w:rPr>
      </w:pPr>
    </w:p>
    <w:p w14:paraId="4709B603" w14:textId="37C59FBD" w:rsidR="00C169F7" w:rsidRPr="002B283E" w:rsidRDefault="00C169F7" w:rsidP="00C251B9">
      <w:pPr>
        <w:ind w:left="1440" w:right="720" w:hanging="720"/>
        <w:rPr>
          <w:rFonts w:cs="Times New Roman"/>
          <w:szCs w:val="24"/>
        </w:rPr>
      </w:pPr>
      <w:r w:rsidRPr="002B283E">
        <w:rPr>
          <w:rFonts w:cs="Times New Roman"/>
          <w:szCs w:val="24"/>
        </w:rPr>
        <w:t>(1) </w:t>
      </w:r>
      <w:r w:rsidR="00C251B9">
        <w:rPr>
          <w:rFonts w:cs="Times New Roman"/>
          <w:szCs w:val="24"/>
        </w:rPr>
        <w:tab/>
      </w:r>
      <w:r w:rsidRPr="002B283E">
        <w:rPr>
          <w:rFonts w:cs="Times New Roman"/>
          <w:szCs w:val="24"/>
        </w:rPr>
        <w:t xml:space="preserve">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was subjected to verbal or physical conduct </w:t>
      </w:r>
      <w:r w:rsidR="00F44D63">
        <w:rPr>
          <w:rFonts w:cs="Times New Roman"/>
          <w:szCs w:val="24"/>
        </w:rPr>
        <w:t>[</w:t>
      </w:r>
      <w:r w:rsidRPr="002B283E">
        <w:rPr>
          <w:rFonts w:cs="Times New Roman"/>
          <w:szCs w:val="24"/>
        </w:rPr>
        <w:t xml:space="preserve">of a sexual nature], or to verbal or physical conduct evincing hostility on the basis of [race] </w:t>
      </w:r>
      <w:r w:rsidRPr="00F44D63">
        <w:rPr>
          <w:rFonts w:cs="Times New Roman"/>
          <w:szCs w:val="24"/>
        </w:rPr>
        <w:t>[</w:t>
      </w:r>
      <w:r w:rsidRPr="00F44D63">
        <w:rPr>
          <w:rFonts w:cs="Times New Roman"/>
          <w:i/>
          <w:iCs/>
          <w:szCs w:val="24"/>
          <w:u w:val="single"/>
        </w:rPr>
        <w:t>other protected category</w:t>
      </w:r>
      <w:r w:rsidRPr="002B283E">
        <w:rPr>
          <w:rFonts w:cs="Times New Roman"/>
          <w:szCs w:val="24"/>
        </w:rPr>
        <w:t xml:space="preserve">]; </w:t>
      </w:r>
    </w:p>
    <w:p w14:paraId="5A98636F" w14:textId="77777777" w:rsidR="00C169F7" w:rsidRPr="002B283E" w:rsidRDefault="00C169F7" w:rsidP="00C251B9">
      <w:pPr>
        <w:ind w:left="1440" w:right="720" w:hanging="720"/>
        <w:rPr>
          <w:rFonts w:cs="Times New Roman"/>
          <w:szCs w:val="24"/>
        </w:rPr>
      </w:pPr>
    </w:p>
    <w:p w14:paraId="232B8B11" w14:textId="61AA921E" w:rsidR="00C169F7" w:rsidRPr="002B283E" w:rsidRDefault="00C169F7" w:rsidP="00C251B9">
      <w:pPr>
        <w:ind w:left="1440" w:right="720" w:hanging="720"/>
        <w:rPr>
          <w:rFonts w:cs="Times New Roman"/>
          <w:szCs w:val="24"/>
        </w:rPr>
      </w:pPr>
      <w:r w:rsidRPr="002B283E">
        <w:rPr>
          <w:rFonts w:cs="Times New Roman"/>
          <w:szCs w:val="24"/>
        </w:rPr>
        <w:t>(2) </w:t>
      </w:r>
      <w:r w:rsidR="00C251B9">
        <w:rPr>
          <w:rFonts w:cs="Times New Roman"/>
          <w:szCs w:val="24"/>
        </w:rPr>
        <w:tab/>
      </w:r>
      <w:r w:rsidRPr="002B283E">
        <w:rPr>
          <w:rFonts w:cs="Times New Roman"/>
          <w:szCs w:val="24"/>
        </w:rPr>
        <w:t xml:space="preserve">whether the conduct was unwelcome; and </w:t>
      </w:r>
    </w:p>
    <w:p w14:paraId="5882DAAC" w14:textId="77777777" w:rsidR="00C169F7" w:rsidRPr="002B283E" w:rsidRDefault="00C169F7" w:rsidP="00C251B9">
      <w:pPr>
        <w:ind w:left="1440" w:right="720" w:hanging="720"/>
        <w:rPr>
          <w:rFonts w:cs="Times New Roman"/>
          <w:szCs w:val="24"/>
        </w:rPr>
      </w:pPr>
    </w:p>
    <w:p w14:paraId="2F0BEDF9" w14:textId="67B4807B" w:rsidR="00C169F7" w:rsidRPr="002B283E" w:rsidRDefault="00C169F7" w:rsidP="00C251B9">
      <w:pPr>
        <w:ind w:left="1440" w:right="720" w:hanging="720"/>
        <w:rPr>
          <w:rFonts w:cs="Times New Roman"/>
          <w:szCs w:val="24"/>
        </w:rPr>
      </w:pPr>
      <w:r w:rsidRPr="002B283E">
        <w:rPr>
          <w:rFonts w:cs="Times New Roman"/>
          <w:szCs w:val="24"/>
        </w:rPr>
        <w:t>(3)</w:t>
      </w:r>
      <w:r w:rsidR="00C251B9">
        <w:rPr>
          <w:rFonts w:cs="Times New Roman"/>
          <w:szCs w:val="24"/>
        </w:rPr>
        <w:tab/>
      </w:r>
      <w:r w:rsidRPr="002B283E">
        <w:rPr>
          <w:rFonts w:cs="Times New Roman"/>
          <w:szCs w:val="24"/>
        </w:rPr>
        <w:t> whether the conduct was sufficiently severe or pervasive to alter the conditions of employment and create an abusive working environment.</w:t>
      </w:r>
    </w:p>
    <w:p w14:paraId="77B53C1A" w14:textId="77777777" w:rsidR="00C169F7" w:rsidRPr="002B283E" w:rsidRDefault="00C169F7" w:rsidP="002B283E">
      <w:pPr>
        <w:ind w:left="1440"/>
        <w:rPr>
          <w:rFonts w:cs="Times New Roman"/>
          <w:szCs w:val="24"/>
        </w:rPr>
      </w:pPr>
    </w:p>
    <w:p w14:paraId="7ECF98B1" w14:textId="77777777" w:rsidR="00C169F7" w:rsidRPr="002B283E" w:rsidRDefault="00C169F7" w:rsidP="002B283E">
      <w:pPr>
        <w:ind w:firstLine="720"/>
        <w:rPr>
          <w:rFonts w:cs="Times New Roman"/>
          <w:szCs w:val="24"/>
        </w:rPr>
      </w:pPr>
      <w:r w:rsidRPr="002B283E">
        <w:rPr>
          <w:rFonts w:cs="Times New Roman"/>
          <w:szCs w:val="24"/>
        </w:rPr>
        <w:t>The third factor requires the plaintiff to show that the work environment was both subjectively and objectively hostile. In analyzing the objective hostility of a working environment, you should look to the totality of the circumstances surrounding the plaintiff’s claim. That includes assessing the frequency of the discriminatory conduct; its severity; whether it was physically threatening or humiliating, or a mere offensive utterance; and whether it unreasonably interfered with an employee’s work performance. In considering the totality of the circumstances, “[n]o single factor in this non-exhaustive list is required.” You should also consider that the required level of severity or seriousness varies inversely with the pervasiveness or frequency of the conduct and the cumulative effect of conduct over time. In all cases, simple teasing, offhand comments, and isolated incidents (unless extremely serious) will not trigger Title VII’s protections.</w:t>
      </w:r>
    </w:p>
    <w:p w14:paraId="7D21CA30" w14:textId="77777777" w:rsidR="00C169F7" w:rsidRPr="002B283E" w:rsidRDefault="00C169F7" w:rsidP="002B283E">
      <w:pPr>
        <w:ind w:left="1440"/>
        <w:rPr>
          <w:rFonts w:cs="Times New Roman"/>
          <w:szCs w:val="24"/>
        </w:rPr>
      </w:pPr>
    </w:p>
    <w:p w14:paraId="14569870" w14:textId="77777777" w:rsidR="00C169F7" w:rsidRPr="002B283E" w:rsidRDefault="00C169F7" w:rsidP="002B283E">
      <w:pPr>
        <w:ind w:firstLine="720"/>
        <w:rPr>
          <w:rFonts w:cs="Times New Roman"/>
          <w:szCs w:val="24"/>
        </w:rPr>
      </w:pPr>
      <w:r w:rsidRPr="002B283E">
        <w:rPr>
          <w:rFonts w:cs="Times New Roman"/>
          <w:szCs w:val="24"/>
        </w:rPr>
        <w:t>[In addition, conduct that took place outside of the physical work environment is part of the totality of the circumstances that you may evaluate when considering a hostile work environment claim.]</w:t>
      </w:r>
    </w:p>
    <w:p w14:paraId="5922C40C" w14:textId="77777777" w:rsidR="00C169F7" w:rsidRPr="002B283E" w:rsidRDefault="00C169F7" w:rsidP="002B283E">
      <w:pPr>
        <w:rPr>
          <w:rFonts w:cs="Times New Roman"/>
          <w:szCs w:val="24"/>
        </w:rPr>
      </w:pPr>
    </w:p>
    <w:p w14:paraId="25C7E584" w14:textId="77777777" w:rsidR="00C169F7" w:rsidRPr="002B283E" w:rsidRDefault="00C169F7" w:rsidP="002B283E">
      <w:pPr>
        <w:jc w:val="center"/>
        <w:rPr>
          <w:rFonts w:cs="Times New Roman"/>
          <w:b/>
          <w:bCs/>
          <w:szCs w:val="24"/>
        </w:rPr>
      </w:pPr>
      <w:r w:rsidRPr="002B283E">
        <w:rPr>
          <w:rFonts w:cs="Times New Roman"/>
          <w:b/>
          <w:bCs/>
          <w:szCs w:val="24"/>
        </w:rPr>
        <w:t>Comment</w:t>
      </w:r>
    </w:p>
    <w:p w14:paraId="00BCB4AD" w14:textId="77777777" w:rsidR="00C169F7" w:rsidRPr="002B283E" w:rsidRDefault="00C169F7" w:rsidP="002B283E">
      <w:pPr>
        <w:ind w:left="1440"/>
        <w:rPr>
          <w:rFonts w:cs="Times New Roman"/>
          <w:szCs w:val="24"/>
        </w:rPr>
      </w:pPr>
    </w:p>
    <w:p w14:paraId="626BFB68" w14:textId="77777777" w:rsidR="00C169F7" w:rsidRPr="002B283E" w:rsidRDefault="00C169F7" w:rsidP="002B283E">
      <w:pPr>
        <w:ind w:firstLine="720"/>
        <w:rPr>
          <w:rFonts w:cs="Times New Roman"/>
          <w:szCs w:val="24"/>
        </w:rPr>
      </w:pPr>
      <w:r w:rsidRPr="002B283E">
        <w:rPr>
          <w:rFonts w:cs="Times New Roman"/>
          <w:szCs w:val="24"/>
        </w:rPr>
        <w:t xml:space="preserve">This instruction is based on the law of a sexually hostile work environment as explained in </w:t>
      </w:r>
      <w:r w:rsidRPr="002B283E">
        <w:rPr>
          <w:rFonts w:cs="Times New Roman"/>
          <w:i/>
          <w:iCs/>
          <w:szCs w:val="24"/>
        </w:rPr>
        <w:t>Okonowsky v. Garland</w:t>
      </w:r>
      <w:r w:rsidRPr="002B283E">
        <w:rPr>
          <w:rFonts w:cs="Times New Roman"/>
          <w:szCs w:val="24"/>
        </w:rPr>
        <w:t>, 109 F.4th 1166 (9th Cir. 2024).</w:t>
      </w:r>
    </w:p>
    <w:p w14:paraId="6398A537" w14:textId="77777777" w:rsidR="00C169F7" w:rsidRPr="002B283E" w:rsidRDefault="00C169F7" w:rsidP="002B283E">
      <w:pPr>
        <w:ind w:firstLine="720"/>
        <w:rPr>
          <w:rFonts w:cs="Times New Roman"/>
          <w:szCs w:val="24"/>
        </w:rPr>
      </w:pPr>
    </w:p>
    <w:p w14:paraId="72070B84" w14:textId="2F077529" w:rsidR="00C169F7" w:rsidRPr="002B283E" w:rsidRDefault="00C169F7" w:rsidP="002B283E">
      <w:pPr>
        <w:rPr>
          <w:rFonts w:cs="Times New Roman"/>
          <w:szCs w:val="24"/>
        </w:rPr>
      </w:pPr>
      <w:r w:rsidRPr="002B283E">
        <w:rPr>
          <w:rFonts w:cs="Times New Roman"/>
          <w:szCs w:val="24"/>
        </w:rPr>
        <w:tab/>
        <w:t>For an analogous instruction regarding the subjective element or plaintiff’s perception, see Instruction 10.</w:t>
      </w:r>
      <w:r w:rsidR="00C75813">
        <w:rPr>
          <w:rFonts w:cs="Times New Roman"/>
          <w:szCs w:val="24"/>
        </w:rPr>
        <w:t>6</w:t>
      </w:r>
      <w:r w:rsidRPr="002B283E">
        <w:rPr>
          <w:rFonts w:cs="Times New Roman"/>
          <w:szCs w:val="24"/>
        </w:rPr>
        <w:t xml:space="preserve"> (Civil Rights—Title VII—Hostile Work Environment—Harassment Because of Protected Characteristics—Elements). </w:t>
      </w:r>
    </w:p>
    <w:p w14:paraId="3DC5147D" w14:textId="77777777" w:rsidR="00C169F7" w:rsidRPr="002B283E" w:rsidRDefault="00C169F7" w:rsidP="002B283E">
      <w:pPr>
        <w:rPr>
          <w:rFonts w:cs="Times New Roman"/>
          <w:szCs w:val="24"/>
        </w:rPr>
      </w:pPr>
      <w:r w:rsidRPr="002B283E">
        <w:rPr>
          <w:rFonts w:cs="Times New Roman"/>
          <w:szCs w:val="24"/>
        </w:rPr>
        <w:br w:type="page"/>
      </w:r>
    </w:p>
    <w:bookmarkEnd w:id="247"/>
    <w:p w14:paraId="66513250" w14:textId="77777777" w:rsidR="00C169F7" w:rsidRPr="002B283E" w:rsidRDefault="00C169F7" w:rsidP="002B283E">
      <w:pPr>
        <w:rPr>
          <w:rFonts w:cs="Times New Roman"/>
          <w:szCs w:val="24"/>
        </w:rPr>
      </w:pPr>
    </w:p>
    <w:p w14:paraId="348FD216" w14:textId="430A2E10" w:rsidR="006A4CD7" w:rsidRPr="002B283E" w:rsidRDefault="006A4CD7" w:rsidP="002B283E">
      <w:pPr>
        <w:pStyle w:val="Heading2"/>
      </w:pPr>
      <w:bookmarkStart w:id="248" w:name="_Toc221525219"/>
      <w:r w:rsidRPr="002B283E">
        <w:t>10.</w:t>
      </w:r>
      <w:r w:rsidR="0008651C">
        <w:t>10</w:t>
      </w:r>
      <w:r w:rsidRPr="002B283E">
        <w:t xml:space="preserve"> </w:t>
      </w:r>
      <w:r w:rsidR="00893907" w:rsidRPr="002B283E">
        <w:t>Civil Rights—Title VII—Retaliation—Elements and Burden of Proof</w:t>
      </w:r>
      <w:bookmarkEnd w:id="248"/>
    </w:p>
    <w:p w14:paraId="0C7B6100" w14:textId="77777777" w:rsidR="006A4CD7" w:rsidRPr="002B283E" w:rsidRDefault="006A4CD7" w:rsidP="002B283E">
      <w:pPr>
        <w:rPr>
          <w:rFonts w:cs="Times New Roman"/>
          <w:szCs w:val="24"/>
        </w:rPr>
      </w:pPr>
    </w:p>
    <w:p w14:paraId="0C0E27C1" w14:textId="2CB384C5" w:rsidR="00CB29C6" w:rsidRPr="002B283E" w:rsidRDefault="006A4CD7" w:rsidP="002B283E">
      <w:pPr>
        <w:autoSpaceDE w:val="0"/>
        <w:autoSpaceDN w:val="0"/>
        <w:adjustRightInd w:val="0"/>
        <w:rPr>
          <w:rFonts w:cs="Times New Roman"/>
          <w:szCs w:val="24"/>
        </w:rPr>
      </w:pPr>
      <w:bookmarkStart w:id="249" w:name="_Hlk225426476"/>
      <w:r w:rsidRPr="002B283E">
        <w:rPr>
          <w:rFonts w:cs="Times New Roman"/>
          <w:szCs w:val="24"/>
        </w:rPr>
        <w:tab/>
      </w:r>
      <w:r w:rsidR="00CB29C6"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for retaliation.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has the burden of proving each of the following elements by a preponderance of the evidence:</w:t>
      </w:r>
    </w:p>
    <w:p w14:paraId="1617DE13" w14:textId="77777777" w:rsidR="00CB29C6" w:rsidRPr="002B283E" w:rsidRDefault="00CB29C6" w:rsidP="002B283E">
      <w:pPr>
        <w:autoSpaceDE w:val="0"/>
        <w:autoSpaceDN w:val="0"/>
        <w:adjustRightInd w:val="0"/>
        <w:rPr>
          <w:rFonts w:cs="Times New Roman"/>
          <w:szCs w:val="24"/>
        </w:rPr>
      </w:pPr>
    </w:p>
    <w:p w14:paraId="2CAF32E7" w14:textId="7DF93B3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CB29C6" w:rsidRPr="002B283E">
        <w:rPr>
          <w:rFonts w:cs="Times New Roman"/>
          <w:szCs w:val="24"/>
        </w:rPr>
        <w:t>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CB29C6" w:rsidRPr="002B283E">
        <w:rPr>
          <w:rFonts w:cs="Times New Roman"/>
          <w:szCs w:val="24"/>
        </w:rPr>
        <w:t>:</w:t>
      </w:r>
    </w:p>
    <w:p w14:paraId="5840A401" w14:textId="77777777" w:rsidR="00CB29C6" w:rsidRPr="002B283E" w:rsidRDefault="00CB29C6" w:rsidP="008A04C2">
      <w:pPr>
        <w:autoSpaceDE w:val="0"/>
        <w:autoSpaceDN w:val="0"/>
        <w:adjustRightInd w:val="0"/>
        <w:ind w:firstLine="720"/>
        <w:rPr>
          <w:rFonts w:cs="Times New Roman"/>
          <w:szCs w:val="24"/>
        </w:rPr>
      </w:pPr>
    </w:p>
    <w:p w14:paraId="42E09D45" w14:textId="70EB36EB"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[participated in an activity protected under federal law, that is [</w:t>
      </w:r>
      <w:r w:rsidRPr="002B283E">
        <w:rPr>
          <w:rFonts w:cs="Times New Roman"/>
          <w:i/>
          <w:iCs/>
          <w:szCs w:val="24"/>
          <w:u w:val="single"/>
        </w:rPr>
        <w:t>specify protected activity, e.g., filing a discrimination complaint</w:t>
      </w:r>
      <w:r w:rsidRPr="002B283E">
        <w:rPr>
          <w:rFonts w:cs="Times New Roman"/>
          <w:szCs w:val="24"/>
        </w:rPr>
        <w:t>]]</w:t>
      </w:r>
    </w:p>
    <w:p w14:paraId="3DFE30EA" w14:textId="77777777" w:rsidR="00CB29C6" w:rsidRPr="002B283E" w:rsidRDefault="00CB29C6" w:rsidP="008A04C2">
      <w:pPr>
        <w:autoSpaceDE w:val="0"/>
        <w:autoSpaceDN w:val="0"/>
        <w:adjustRightInd w:val="0"/>
        <w:ind w:firstLine="720"/>
        <w:rPr>
          <w:rFonts w:cs="Times New Roman"/>
          <w:szCs w:val="24"/>
        </w:rPr>
      </w:pPr>
    </w:p>
    <w:p w14:paraId="5BA75A79" w14:textId="77777777" w:rsidR="00CB29C6" w:rsidRPr="002B283E" w:rsidRDefault="00CB29C6" w:rsidP="008A04C2">
      <w:pPr>
        <w:autoSpaceDE w:val="0"/>
        <w:autoSpaceDN w:val="0"/>
        <w:adjustRightInd w:val="0"/>
        <w:ind w:firstLine="720"/>
        <w:jc w:val="center"/>
        <w:rPr>
          <w:rFonts w:cs="Times New Roman"/>
          <w:szCs w:val="24"/>
        </w:rPr>
      </w:pPr>
      <w:r w:rsidRPr="002B283E">
        <w:rPr>
          <w:rFonts w:cs="Times New Roman"/>
          <w:i/>
          <w:iCs/>
          <w:szCs w:val="24"/>
        </w:rPr>
        <w:t>or</w:t>
      </w:r>
    </w:p>
    <w:p w14:paraId="3E46A927" w14:textId="77777777" w:rsidR="00CB29C6" w:rsidRPr="002B283E" w:rsidRDefault="00CB29C6" w:rsidP="008A04C2">
      <w:pPr>
        <w:autoSpaceDE w:val="0"/>
        <w:autoSpaceDN w:val="0"/>
        <w:adjustRightInd w:val="0"/>
        <w:ind w:firstLine="720"/>
        <w:rPr>
          <w:rFonts w:cs="Times New Roman"/>
          <w:szCs w:val="24"/>
        </w:rPr>
      </w:pPr>
    </w:p>
    <w:p w14:paraId="37D404CD" w14:textId="77777777"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[opposed an unlawful employment practice, that is [</w:t>
      </w:r>
      <w:r w:rsidRPr="002B283E">
        <w:rPr>
          <w:rFonts w:cs="Times New Roman"/>
          <w:i/>
          <w:iCs/>
          <w:szCs w:val="24"/>
          <w:u w:val="single"/>
        </w:rPr>
        <w:t>specify unlawful employment practice</w:t>
      </w:r>
      <w:r w:rsidRPr="002B283E">
        <w:rPr>
          <w:rFonts w:cs="Times New Roman"/>
          <w:szCs w:val="24"/>
        </w:rPr>
        <w:t>]]; and</w:t>
      </w:r>
    </w:p>
    <w:p w14:paraId="5BC8F8D3" w14:textId="77777777" w:rsidR="00CB29C6" w:rsidRPr="002B283E" w:rsidRDefault="00CB29C6" w:rsidP="008A04C2">
      <w:pPr>
        <w:autoSpaceDE w:val="0"/>
        <w:autoSpaceDN w:val="0"/>
        <w:adjustRightInd w:val="0"/>
        <w:ind w:firstLine="720"/>
        <w:rPr>
          <w:rFonts w:cs="Times New Roman"/>
          <w:szCs w:val="24"/>
        </w:rPr>
      </w:pPr>
    </w:p>
    <w:p w14:paraId="47FE9403" w14:textId="0AA6CB0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CB29C6" w:rsidRPr="002B283E">
        <w:rPr>
          <w:rFonts w:cs="Times New Roman"/>
          <w:szCs w:val="24"/>
        </w:rPr>
        <w:t xml:space="preserve">the employer subjected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to an adverse employment action, that is [</w:t>
      </w:r>
      <w:r w:rsidR="00CB29C6" w:rsidRPr="00F44D63">
        <w:rPr>
          <w:rFonts w:cs="Times New Roman"/>
          <w:i/>
          <w:iCs/>
          <w:szCs w:val="24"/>
          <w:u w:val="single"/>
        </w:rPr>
        <w:t>specify adverse employment action</w:t>
      </w:r>
      <w:r w:rsidR="00CB29C6" w:rsidRPr="002B283E">
        <w:rPr>
          <w:rFonts w:cs="Times New Roman"/>
          <w:szCs w:val="24"/>
        </w:rPr>
        <w:t>]; and</w:t>
      </w:r>
    </w:p>
    <w:p w14:paraId="0C811D5F" w14:textId="77777777" w:rsidR="00CB29C6" w:rsidRPr="002B283E" w:rsidRDefault="00CB29C6" w:rsidP="008A04C2">
      <w:pPr>
        <w:autoSpaceDE w:val="0"/>
        <w:autoSpaceDN w:val="0"/>
        <w:adjustRightInd w:val="0"/>
        <w:ind w:firstLine="720"/>
        <w:rPr>
          <w:rFonts w:cs="Times New Roman"/>
          <w:szCs w:val="24"/>
        </w:rPr>
      </w:pPr>
    </w:p>
    <w:p w14:paraId="505076AA" w14:textId="3BC6EC76"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CB29C6"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was subjected to the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CB29C6" w:rsidRPr="002B283E">
        <w:rPr>
          <w:rFonts w:cs="Times New Roman"/>
          <w:szCs w:val="24"/>
        </w:rPr>
        <w:t>] [</w:t>
      </w:r>
      <w:r w:rsidR="005B44DC">
        <w:rPr>
          <w:rFonts w:cs="Times New Roman"/>
          <w:szCs w:val="24"/>
        </w:rPr>
        <w:t>[</w:t>
      </w:r>
      <w:r w:rsidR="00CB29C6" w:rsidRPr="002B283E">
        <w:rPr>
          <w:rFonts w:cs="Times New Roman"/>
          <w:szCs w:val="24"/>
        </w:rPr>
        <w:t>participation in a protected activity] [opposition to an unlawful employment practice]</w:t>
      </w:r>
      <w:r w:rsidR="005B44DC">
        <w:rPr>
          <w:rFonts w:cs="Times New Roman"/>
          <w:szCs w:val="24"/>
        </w:rPr>
        <w:t>]</w:t>
      </w:r>
      <w:r w:rsidR="00CB29C6" w:rsidRPr="002B283E">
        <w:rPr>
          <w:rFonts w:cs="Times New Roman"/>
          <w:szCs w:val="24"/>
        </w:rPr>
        <w:t>.</w:t>
      </w:r>
    </w:p>
    <w:p w14:paraId="39E53797" w14:textId="77777777" w:rsidR="00CB29C6" w:rsidRPr="002B283E" w:rsidRDefault="00CB29C6" w:rsidP="002B283E">
      <w:pPr>
        <w:autoSpaceDE w:val="0"/>
        <w:autoSpaceDN w:val="0"/>
        <w:adjustRightInd w:val="0"/>
        <w:rPr>
          <w:rFonts w:cs="Times New Roman"/>
          <w:i/>
          <w:iCs/>
          <w:szCs w:val="24"/>
        </w:rPr>
      </w:pPr>
    </w:p>
    <w:p w14:paraId="299281E9" w14:textId="769854CF" w:rsidR="00CB29C6" w:rsidRPr="002B283E" w:rsidRDefault="00CB29C6" w:rsidP="002B283E">
      <w:pPr>
        <w:autoSpaceDE w:val="0"/>
        <w:autoSpaceDN w:val="0"/>
        <w:adjustRightInd w:val="0"/>
        <w:rPr>
          <w:rFonts w:cs="Times New Roman"/>
          <w:szCs w:val="24"/>
        </w:rPr>
      </w:pPr>
      <w:r w:rsidRPr="002B283E">
        <w:rPr>
          <w:rFonts w:cs="Times New Roman"/>
          <w:i/>
          <w:iCs/>
          <w:szCs w:val="24"/>
        </w:rPr>
        <w:tab/>
      </w:r>
      <w:r w:rsidRPr="002B283E">
        <w:rPr>
          <w:rFonts w:cs="Times New Roman"/>
          <w:szCs w:val="24"/>
        </w:rPr>
        <w:t>A plaintiff is “subjected to an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w:t>
      </w:r>
      <w:r w:rsidR="005B44DC">
        <w:rPr>
          <w:rFonts w:cs="Times New Roman"/>
          <w:szCs w:val="24"/>
        </w:rPr>
        <w:t>[</w:t>
      </w:r>
      <w:r w:rsidRPr="002B283E">
        <w:rPr>
          <w:rFonts w:cs="Times New Roman"/>
          <w:szCs w:val="24"/>
        </w:rPr>
        <w:t>[participation in a protected activity] [opposition to an unlawful employment practice]</w:t>
      </w:r>
      <w:r w:rsidR="005B44DC">
        <w:rPr>
          <w:rFonts w:cs="Times New Roman"/>
          <w:szCs w:val="24"/>
        </w:rPr>
        <w:t>]</w:t>
      </w:r>
      <w:r w:rsidRPr="002B283E">
        <w:rPr>
          <w:rFonts w:cs="Times New Roman"/>
          <w:szCs w:val="24"/>
        </w:rPr>
        <w:t xml:space="preserve"> if the adverse employment action would not have occurred but for that [participation] [opposition].</w:t>
      </w:r>
    </w:p>
    <w:p w14:paraId="748E8A41" w14:textId="77777777" w:rsidR="00CB29C6" w:rsidRPr="002B283E" w:rsidRDefault="00CB29C6" w:rsidP="002B283E">
      <w:pPr>
        <w:autoSpaceDE w:val="0"/>
        <w:autoSpaceDN w:val="0"/>
        <w:adjustRightInd w:val="0"/>
        <w:rPr>
          <w:rFonts w:cs="Times New Roman"/>
          <w:szCs w:val="24"/>
        </w:rPr>
      </w:pPr>
    </w:p>
    <w:p w14:paraId="1B5ACBD0" w14:textId="596A3173"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all three of these elements,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any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0549A922" w14:textId="77777777" w:rsidR="00CB29C6" w:rsidRPr="002B283E" w:rsidRDefault="00CB29C6" w:rsidP="002B283E">
      <w:pPr>
        <w:rPr>
          <w:rFonts w:cs="Times New Roman"/>
          <w:szCs w:val="24"/>
        </w:rPr>
      </w:pPr>
    </w:p>
    <w:p w14:paraId="75EA2429" w14:textId="77777777" w:rsidR="00CB29C6" w:rsidRPr="002B283E" w:rsidRDefault="00CB29C6" w:rsidP="002B283E">
      <w:pPr>
        <w:autoSpaceDE w:val="0"/>
        <w:autoSpaceDN w:val="0"/>
        <w:adjustRightInd w:val="0"/>
        <w:jc w:val="center"/>
        <w:rPr>
          <w:rFonts w:cs="Times New Roman"/>
          <w:b/>
          <w:bCs/>
          <w:szCs w:val="24"/>
        </w:rPr>
      </w:pPr>
      <w:r w:rsidRPr="002B283E">
        <w:rPr>
          <w:rFonts w:cs="Times New Roman"/>
          <w:b/>
          <w:bCs/>
          <w:szCs w:val="24"/>
        </w:rPr>
        <w:t>Comment</w:t>
      </w:r>
    </w:p>
    <w:p w14:paraId="327A3C8B" w14:textId="77777777" w:rsidR="00CB29C6" w:rsidRPr="002B283E" w:rsidRDefault="00CB29C6" w:rsidP="002B283E">
      <w:pPr>
        <w:autoSpaceDE w:val="0"/>
        <w:autoSpaceDN w:val="0"/>
        <w:adjustRightInd w:val="0"/>
        <w:jc w:val="center"/>
        <w:rPr>
          <w:rFonts w:cs="Times New Roman"/>
          <w:b/>
          <w:bCs/>
          <w:szCs w:val="24"/>
        </w:rPr>
      </w:pPr>
    </w:p>
    <w:p w14:paraId="16717FE2" w14:textId="77777777" w:rsidR="00CB29C6" w:rsidRPr="002B283E" w:rsidRDefault="00CB29C6"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B43BD59" w14:textId="77777777" w:rsidR="00CB29C6" w:rsidRPr="002B283E" w:rsidRDefault="00CB29C6" w:rsidP="002B283E">
      <w:pPr>
        <w:rPr>
          <w:rFonts w:cs="Times New Roman"/>
          <w:szCs w:val="24"/>
        </w:rPr>
      </w:pPr>
    </w:p>
    <w:p w14:paraId="10C3B44F" w14:textId="1658D21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2B283E">
        <w:rPr>
          <w:rFonts w:cs="Times New Roman"/>
          <w:i/>
          <w:iCs/>
          <w:szCs w:val="24"/>
        </w:rPr>
        <w:t>See Crawford v. Metro. Gov’t of Nashville &amp; Davidson Cty., Tenn</w:t>
      </w:r>
      <w:r w:rsidRPr="002B283E">
        <w:rPr>
          <w:rFonts w:cs="Times New Roman"/>
          <w:szCs w:val="24"/>
        </w:rPr>
        <w:t xml:space="preserve">., 555 </w:t>
      </w:r>
      <w:r w:rsidRPr="002B283E">
        <w:rPr>
          <w:rFonts w:cs="Times New Roman"/>
          <w:szCs w:val="24"/>
        </w:rPr>
        <w:lastRenderedPageBreak/>
        <w:t xml:space="preserve">U.S. 271, 274 (2009) (noting that the “antiretaliation provision has two clauses . . .. The one is known as the ‘opposition clause,’ the other as the ‘participation clause’”); </w:t>
      </w:r>
      <w:r w:rsidRPr="002B283E">
        <w:rPr>
          <w:rFonts w:cs="Times New Roman"/>
          <w:i/>
          <w:iCs/>
          <w:szCs w:val="24"/>
        </w:rPr>
        <w:t>Hashimoto v. Dalton</w:t>
      </w:r>
      <w:r w:rsidRPr="002B283E">
        <w:rPr>
          <w:rFonts w:cs="Times New Roman"/>
          <w:szCs w:val="24"/>
        </w:rPr>
        <w:t xml:space="preserve">, 118 F.3d 671, 680 (9th Cir. 1997) (“An employer can violate the anti-retaliation provisions of Title VII in either of two ways: ‘(1) if the [adverse employment action] occurs because of the employee’s opposition to conduct made an unlawful employment practice by the subchapter, or (2) if it is in retaliation for the employee’s participation in the machinery set up by Title VII to </w:t>
      </w:r>
    </w:p>
    <w:p w14:paraId="3EE8FE49"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enforce its provisions.’” (alterations in original) (citations omitted)).</w:t>
      </w:r>
    </w:p>
    <w:p w14:paraId="0B700A38" w14:textId="77777777" w:rsidR="00CB29C6" w:rsidRPr="002B283E" w:rsidRDefault="00CB29C6" w:rsidP="002B283E">
      <w:pPr>
        <w:autoSpaceDE w:val="0"/>
        <w:autoSpaceDN w:val="0"/>
        <w:adjustRightInd w:val="0"/>
        <w:rPr>
          <w:rFonts w:cs="Times New Roman"/>
          <w:szCs w:val="24"/>
        </w:rPr>
      </w:pPr>
    </w:p>
    <w:p w14:paraId="6444B5B2" w14:textId="77777777" w:rsidR="00CB29C6" w:rsidRDefault="00CB29C6" w:rsidP="002B283E">
      <w:pPr>
        <w:autoSpaceDE w:val="0"/>
        <w:autoSpaceDN w:val="0"/>
        <w:adjustRightInd w:val="0"/>
        <w:rPr>
          <w:rFonts w:cs="Times New Roman"/>
          <w:szCs w:val="24"/>
        </w:rPr>
      </w:pPr>
      <w:r w:rsidRPr="002B283E">
        <w:rPr>
          <w:rFonts w:cs="Times New Roman"/>
          <w:szCs w:val="24"/>
        </w:rPr>
        <w:tab/>
        <w:t>When an affirmative defense is asserted, this instruction should be accompanied by the appropriate affirmative defense instruction.</w:t>
      </w:r>
    </w:p>
    <w:p w14:paraId="6CBC10F5" w14:textId="77777777" w:rsidR="001C5DA7" w:rsidRPr="002B283E" w:rsidRDefault="001C5DA7" w:rsidP="002B283E">
      <w:pPr>
        <w:autoSpaceDE w:val="0"/>
        <w:autoSpaceDN w:val="0"/>
        <w:adjustRightInd w:val="0"/>
        <w:rPr>
          <w:rFonts w:cs="Times New Roman"/>
          <w:szCs w:val="24"/>
        </w:rPr>
      </w:pPr>
    </w:p>
    <w:p w14:paraId="3AFB6613" w14:textId="71D1CADC"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For a definition of “adverse employment action” in the context of retaliation, </w:t>
      </w:r>
      <w:r w:rsidRPr="008A04C2">
        <w:rPr>
          <w:rFonts w:cs="Times New Roman"/>
          <w:szCs w:val="24"/>
        </w:rPr>
        <w:t>see</w:t>
      </w:r>
      <w:r w:rsidRPr="001C5DA7">
        <w:rPr>
          <w:rFonts w:cs="Times New Roman"/>
          <w:szCs w:val="24"/>
        </w:rPr>
        <w:t xml:space="preserve"> </w:t>
      </w:r>
      <w:r w:rsidRPr="002B283E">
        <w:rPr>
          <w:rFonts w:cs="Times New Roman"/>
          <w:szCs w:val="24"/>
        </w:rPr>
        <w:t>Instruction 10.1</w:t>
      </w:r>
      <w:r w:rsidR="00C75813">
        <w:rPr>
          <w:rFonts w:cs="Times New Roman"/>
          <w:szCs w:val="24"/>
        </w:rPr>
        <w:t xml:space="preserve">2 </w:t>
      </w:r>
      <w:r w:rsidRPr="002B283E">
        <w:rPr>
          <w:rFonts w:cs="Times New Roman"/>
          <w:szCs w:val="24"/>
        </w:rPr>
        <w:t>(Civil Rights—Title VII—“Adverse Employment Action” in Retaliation Cases).</w:t>
      </w:r>
    </w:p>
    <w:p w14:paraId="5987BCC5" w14:textId="77777777" w:rsidR="00CB29C6" w:rsidRPr="002B283E" w:rsidRDefault="00CB29C6" w:rsidP="002B283E">
      <w:pPr>
        <w:autoSpaceDE w:val="0"/>
        <w:autoSpaceDN w:val="0"/>
        <w:adjustRightInd w:val="0"/>
        <w:rPr>
          <w:rFonts w:cs="Times New Roman"/>
          <w:szCs w:val="24"/>
        </w:rPr>
      </w:pPr>
    </w:p>
    <w:p w14:paraId="4761B18D" w14:textId="236303A3" w:rsidR="00CB29C6" w:rsidRPr="002B283E" w:rsidRDefault="00CB29C6" w:rsidP="002B283E">
      <w:pPr>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be a protected activity, the plaintiff’s opposition must have been directed toward a discriminatory act by an employer or an agent of an employer. </w:t>
      </w:r>
      <w:r w:rsidRPr="002B283E">
        <w:rPr>
          <w:rFonts w:cs="Times New Roman"/>
          <w:i/>
          <w:iCs/>
          <w:szCs w:val="24"/>
        </w:rPr>
        <w:t>See</w:t>
      </w:r>
      <w:r w:rsidRPr="002B283E">
        <w:rPr>
          <w:rFonts w:cs="Times New Roman"/>
          <w:szCs w:val="24"/>
        </w:rPr>
        <w:t xml:space="preserve"> </w:t>
      </w:r>
      <w:r w:rsidRPr="002B283E">
        <w:rPr>
          <w:rFonts w:cs="Times New Roman"/>
          <w:i/>
          <w:iCs/>
          <w:szCs w:val="24"/>
        </w:rPr>
        <w:t>E.E.O.C. v. Crown Zellerbach Corp.</w:t>
      </w:r>
      <w:r w:rsidRPr="002B283E">
        <w:rPr>
          <w:rFonts w:cs="Times New Roman"/>
          <w:szCs w:val="24"/>
        </w:rPr>
        <w:t xml:space="preserve">, 720 F.2d 1008, 1013-14 (9th Cir. 1983) (holding that employee’s objections to discriminatory practices by warehouse personnel manager, on facts presented, constituted opposition to discriminatory actions of employer); </w:t>
      </w:r>
      <w:r w:rsidRPr="002B283E">
        <w:rPr>
          <w:rFonts w:cs="Times New Roman"/>
          <w:i/>
          <w:iCs/>
          <w:szCs w:val="24"/>
        </w:rPr>
        <w:t>Trent v. Valley Elec. Ass’n</w:t>
      </w:r>
      <w:r w:rsidRPr="002B283E">
        <w:rPr>
          <w:rFonts w:cs="Times New Roman"/>
          <w:szCs w:val="24"/>
        </w:rPr>
        <w:t>, 41</w:t>
      </w:r>
    </w:p>
    <w:p w14:paraId="09E53BDA"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F.3d 524, 526 (9th Cir. 1994) (stating that employee only needs to show “reasonable belief” that conduct being opposed was discriminatory).</w:t>
      </w:r>
    </w:p>
    <w:p w14:paraId="3A35D491" w14:textId="77777777" w:rsidR="00CB29C6" w:rsidRPr="002B283E" w:rsidRDefault="00CB29C6" w:rsidP="002B283E">
      <w:pPr>
        <w:autoSpaceDE w:val="0"/>
        <w:autoSpaceDN w:val="0"/>
        <w:adjustRightInd w:val="0"/>
        <w:rPr>
          <w:rFonts w:cs="Times New Roman"/>
          <w:szCs w:val="24"/>
        </w:rPr>
      </w:pPr>
    </w:p>
    <w:p w14:paraId="3E288542" w14:textId="288F519E"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Informal as well as formal complaints or demands are protected activities under Title VII. </w:t>
      </w:r>
      <w:r w:rsidRPr="002B283E">
        <w:rPr>
          <w:rFonts w:cs="Times New Roman"/>
          <w:i/>
          <w:iCs/>
          <w:szCs w:val="24"/>
        </w:rPr>
        <w:t>See Passantino v. Johnson &amp; Johnson Consumer Prods., Inc.</w:t>
      </w:r>
      <w:r w:rsidRPr="002B283E">
        <w:rPr>
          <w:rFonts w:cs="Times New Roman"/>
          <w:szCs w:val="24"/>
        </w:rPr>
        <w:t>, 212 F.3d 493, 506 (9th Cir. 2000).</w:t>
      </w:r>
    </w:p>
    <w:p w14:paraId="338D12DD" w14:textId="77777777" w:rsidR="00CB29C6" w:rsidRPr="002B283E" w:rsidRDefault="00CB29C6" w:rsidP="002B283E">
      <w:pPr>
        <w:autoSpaceDE w:val="0"/>
        <w:autoSpaceDN w:val="0"/>
        <w:adjustRightInd w:val="0"/>
        <w:rPr>
          <w:rFonts w:cs="Times New Roman"/>
          <w:szCs w:val="24"/>
        </w:rPr>
      </w:pPr>
    </w:p>
    <w:p w14:paraId="4619729D" w14:textId="7477EC65"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Regarding the third element, “a plaintiff making a retaliation claim under § 2000e-3(a) must establish that his or her protected activity was a but-for cause of the alleged adverse action by the employer.” </w:t>
      </w:r>
      <w:r w:rsidRPr="002B283E">
        <w:rPr>
          <w:rFonts w:cs="Times New Roman"/>
          <w:i/>
          <w:iCs/>
          <w:szCs w:val="24"/>
        </w:rPr>
        <w:t>Univ. of Tex. Sw. Med. Ctr. v. Nassar</w:t>
      </w:r>
      <w:r w:rsidRPr="002B283E">
        <w:rPr>
          <w:rFonts w:cs="Times New Roman"/>
          <w:szCs w:val="24"/>
        </w:rPr>
        <w:t xml:space="preserve">, </w:t>
      </w:r>
      <w:r w:rsidR="00A27BAC" w:rsidRPr="00A27BAC">
        <w:rPr>
          <w:rFonts w:cs="Times New Roman"/>
          <w:szCs w:val="24"/>
        </w:rPr>
        <w:t>570 U.S. 338</w:t>
      </w:r>
      <w:r w:rsidRPr="002B283E">
        <w:rPr>
          <w:rFonts w:cs="Times New Roman"/>
          <w:szCs w:val="24"/>
        </w:rPr>
        <w:t xml:space="preserve">, </w:t>
      </w:r>
      <w:r w:rsidR="00A27BAC">
        <w:rPr>
          <w:rFonts w:cs="Times New Roman"/>
          <w:szCs w:val="24"/>
        </w:rPr>
        <w:t>362</w:t>
      </w:r>
      <w:r w:rsidR="00A27BAC" w:rsidRPr="002B283E">
        <w:rPr>
          <w:rFonts w:cs="Times New Roman"/>
          <w:szCs w:val="24"/>
        </w:rPr>
        <w:t xml:space="preserve"> </w:t>
      </w:r>
      <w:r w:rsidRPr="002B283E">
        <w:rPr>
          <w:rFonts w:cs="Times New Roman"/>
          <w:szCs w:val="24"/>
        </w:rPr>
        <w:t>(2013) (rejecting motivating factor test in retaliation claim)</w:t>
      </w:r>
      <w:r w:rsidR="00A87F6E">
        <w:rPr>
          <w:rFonts w:cs="Times New Roman"/>
          <w:szCs w:val="24"/>
        </w:rPr>
        <w:t xml:space="preserve">. </w:t>
      </w:r>
      <w:r w:rsidRPr="002B283E">
        <w:rPr>
          <w:rFonts w:cs="Times New Roman"/>
          <w:szCs w:val="24"/>
        </w:rPr>
        <w:t xml:space="preserve">The causation element may be inferred based on the proximity in time between the protected action and the retaliatory act “when there is a close proximity between the two.” </w:t>
      </w:r>
      <w:r w:rsidRPr="002B283E">
        <w:rPr>
          <w:rFonts w:cs="Times New Roman"/>
          <w:i/>
          <w:iCs/>
          <w:szCs w:val="24"/>
        </w:rPr>
        <w:t>Thomas v. City of Beaverton</w:t>
      </w:r>
      <w:r w:rsidRPr="002B283E">
        <w:rPr>
          <w:rFonts w:cs="Times New Roman"/>
          <w:szCs w:val="24"/>
        </w:rPr>
        <w:t xml:space="preserve">, 379 F.3d 802, 812 (9th Cir. 2004); </w:t>
      </w:r>
      <w:r w:rsidRPr="002B283E">
        <w:rPr>
          <w:rFonts w:cs="Times New Roman"/>
          <w:i/>
          <w:iCs/>
          <w:szCs w:val="24"/>
        </w:rPr>
        <w:t>Clark Cnty</w:t>
      </w:r>
      <w:r w:rsidR="003137E9">
        <w:rPr>
          <w:rFonts w:cs="Times New Roman"/>
          <w:i/>
          <w:iCs/>
          <w:szCs w:val="24"/>
        </w:rPr>
        <w:t>.</w:t>
      </w:r>
      <w:r w:rsidRPr="002B283E">
        <w:rPr>
          <w:rFonts w:cs="Times New Roman"/>
          <w:i/>
          <w:iCs/>
          <w:szCs w:val="24"/>
        </w:rPr>
        <w:t xml:space="preserve"> Sch. Dist. v. Breeden</w:t>
      </w:r>
      <w:r w:rsidRPr="002B283E">
        <w:rPr>
          <w:rFonts w:cs="Times New Roman"/>
          <w:szCs w:val="24"/>
        </w:rPr>
        <w:t>, 532 U.S. 268, 273-74 (2001). There is no per se too long or too short period of time that satisfies the causation requirement</w:t>
      </w:r>
      <w:r w:rsidR="00A87F6E">
        <w:rPr>
          <w:rFonts w:cs="Times New Roman"/>
          <w:szCs w:val="24"/>
        </w:rPr>
        <w:t xml:space="preserve">. </w:t>
      </w:r>
      <w:r w:rsidRPr="002B283E">
        <w:rPr>
          <w:rFonts w:cs="Times New Roman"/>
          <w:i/>
          <w:iCs/>
          <w:szCs w:val="24"/>
        </w:rPr>
        <w:t>Howard v. City of Coos Bay</w:t>
      </w:r>
      <w:r w:rsidRPr="002B283E">
        <w:rPr>
          <w:rFonts w:cs="Times New Roman"/>
          <w:szCs w:val="24"/>
        </w:rPr>
        <w:t>, 871 F.3d 1032, 1046 (9th Cir. 2017).</w:t>
      </w:r>
    </w:p>
    <w:p w14:paraId="594ED211" w14:textId="77777777" w:rsidR="00CB29C6" w:rsidRPr="002B283E" w:rsidRDefault="00CB29C6" w:rsidP="002B283E">
      <w:pPr>
        <w:autoSpaceDE w:val="0"/>
        <w:autoSpaceDN w:val="0"/>
        <w:adjustRightInd w:val="0"/>
        <w:rPr>
          <w:rFonts w:cs="Times New Roman"/>
          <w:szCs w:val="24"/>
        </w:rPr>
      </w:pPr>
    </w:p>
    <w:p w14:paraId="3800EC41" w14:textId="3C62AD3D"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2B283E">
        <w:rPr>
          <w:rFonts w:cs="Times New Roman"/>
          <w:i/>
          <w:iCs/>
          <w:szCs w:val="24"/>
        </w:rPr>
        <w:t>Flores v. City of Westminster</w:t>
      </w:r>
      <w:r w:rsidRPr="002B283E">
        <w:rPr>
          <w:rFonts w:cs="Times New Roman"/>
          <w:szCs w:val="24"/>
        </w:rPr>
        <w:t>, 873 F.3d 739, 757 (9th Cir. 2017).</w:t>
      </w:r>
    </w:p>
    <w:p w14:paraId="16744572" w14:textId="77777777" w:rsidR="00CB29C6" w:rsidRPr="002B283E" w:rsidRDefault="00CB29C6" w:rsidP="002B283E">
      <w:pPr>
        <w:autoSpaceDE w:val="0"/>
        <w:autoSpaceDN w:val="0"/>
        <w:adjustRightInd w:val="0"/>
        <w:rPr>
          <w:rFonts w:cs="Times New Roman"/>
          <w:szCs w:val="24"/>
        </w:rPr>
      </w:pPr>
    </w:p>
    <w:p w14:paraId="73CD509D" w14:textId="70759C37" w:rsidR="006A4CD7" w:rsidRPr="002B283E" w:rsidRDefault="00CB29C6" w:rsidP="002B283E">
      <w:pPr>
        <w:autoSpaceDE w:val="0"/>
        <w:autoSpaceDN w:val="0"/>
        <w:adjustRightInd w:val="0"/>
        <w:jc w:val="right"/>
        <w:rPr>
          <w:rFonts w:cs="Times New Roman"/>
          <w:szCs w:val="24"/>
        </w:rPr>
      </w:pPr>
      <w:r w:rsidRPr="002B283E">
        <w:rPr>
          <w:rFonts w:cs="Times New Roman"/>
          <w:i/>
          <w:iCs/>
          <w:szCs w:val="24"/>
        </w:rPr>
        <w:t>Revised June 2024</w:t>
      </w:r>
    </w:p>
    <w:bookmarkEnd w:id="249"/>
    <w:p w14:paraId="269A7E83" w14:textId="442A60C0" w:rsidR="006A4CD7" w:rsidRPr="002B283E" w:rsidRDefault="006A4CD7" w:rsidP="002B283E">
      <w:pPr>
        <w:pStyle w:val="Heading2"/>
      </w:pPr>
      <w:r w:rsidRPr="002B283E">
        <w:br w:type="page"/>
      </w:r>
      <w:bookmarkStart w:id="250" w:name="_Toc221525220"/>
      <w:bookmarkStart w:id="251" w:name="_Hlk225426539"/>
      <w:r w:rsidRPr="002B283E">
        <w:lastRenderedPageBreak/>
        <w:t>10.</w:t>
      </w:r>
      <w:r w:rsidR="0008651C">
        <w:t>11</w:t>
      </w:r>
      <w:r w:rsidRPr="002B283E">
        <w:t xml:space="preserve"> </w:t>
      </w:r>
      <w:r w:rsidR="00893907" w:rsidRPr="002B283E">
        <w:t>Civil Rights—Title VII</w:t>
      </w:r>
      <w:r w:rsidR="005C1103" w:rsidRPr="002B283E">
        <w:t>—“</w:t>
      </w:r>
      <w:r w:rsidR="00893907" w:rsidRPr="002B283E">
        <w:t>Adverse Employment Action” Defined</w:t>
      </w:r>
      <w:bookmarkEnd w:id="250"/>
    </w:p>
    <w:p w14:paraId="0FF43B96" w14:textId="77777777" w:rsidR="006A4CD7" w:rsidRPr="002B283E" w:rsidRDefault="006A4CD7" w:rsidP="002B283E">
      <w:pPr>
        <w:rPr>
          <w:rFonts w:cs="Times New Roman"/>
          <w:szCs w:val="24"/>
        </w:rPr>
      </w:pPr>
    </w:p>
    <w:p w14:paraId="279EB4B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E87DEC6" w14:textId="77777777" w:rsidR="006A4CD7" w:rsidRPr="002B283E" w:rsidRDefault="006A4CD7" w:rsidP="002B283E">
      <w:pPr>
        <w:rPr>
          <w:rFonts w:cs="Times New Roman"/>
          <w:szCs w:val="24"/>
        </w:rPr>
      </w:pPr>
    </w:p>
    <w:p w14:paraId="0D7A02F0" w14:textId="0B27B5B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2B283E">
        <w:rPr>
          <w:rFonts w:cs="Times New Roman"/>
          <w:i/>
          <w:iCs/>
          <w:szCs w:val="24"/>
        </w:rPr>
        <w:t>See Burlington N. &amp; Santa Fe Ry. Co. v. White</w:t>
      </w:r>
      <w:r w:rsidRPr="002B283E">
        <w:rPr>
          <w:rFonts w:cs="Times New Roman"/>
          <w:szCs w:val="24"/>
        </w:rPr>
        <w:t xml:space="preserve">, 548 U.S. 53, 68 (2006); </w:t>
      </w:r>
      <w:r w:rsidRPr="002B283E">
        <w:rPr>
          <w:rFonts w:cs="Times New Roman"/>
          <w:i/>
          <w:iCs/>
          <w:szCs w:val="24"/>
        </w:rPr>
        <w:t>see also Thompson v. N. Am. Stainless, LP</w:t>
      </w:r>
      <w:r w:rsidRPr="002B283E">
        <w:rPr>
          <w:rFonts w:cs="Times New Roman"/>
          <w:szCs w:val="24"/>
        </w:rPr>
        <w:t xml:space="preserve">, 562 U.S. 170 (2011) (applying </w:t>
      </w:r>
      <w:r w:rsidRPr="002B283E">
        <w:rPr>
          <w:rFonts w:cs="Times New Roman"/>
          <w:i/>
          <w:iCs/>
          <w:szCs w:val="24"/>
        </w:rPr>
        <w:t>Burlington</w:t>
      </w:r>
      <w:r w:rsidRPr="002B283E">
        <w:rPr>
          <w:rFonts w:cs="Times New Roman"/>
          <w:szCs w:val="24"/>
        </w:rPr>
        <w:t xml:space="preserve"> standard). </w:t>
      </w:r>
    </w:p>
    <w:bookmarkEnd w:id="251"/>
    <w:p w14:paraId="1CCF5CB9" w14:textId="13C283E3" w:rsidR="006A4CD7" w:rsidRPr="002B283E" w:rsidRDefault="006A4CD7" w:rsidP="002B283E">
      <w:pPr>
        <w:pStyle w:val="Heading2"/>
      </w:pPr>
      <w:r w:rsidRPr="002B283E">
        <w:br w:type="page"/>
      </w:r>
      <w:bookmarkStart w:id="252" w:name="_Toc221525221"/>
      <w:bookmarkStart w:id="253" w:name="_Hlk225426688"/>
      <w:r w:rsidRPr="002B283E">
        <w:lastRenderedPageBreak/>
        <w:t>10.1</w:t>
      </w:r>
      <w:r w:rsidR="0008651C">
        <w:t>2</w:t>
      </w:r>
      <w:r w:rsidRPr="002B283E">
        <w:t xml:space="preserve"> </w:t>
      </w:r>
      <w:r w:rsidR="00893907" w:rsidRPr="002B283E">
        <w:t>Civil Rights—Title VII</w:t>
      </w:r>
      <w:r w:rsidR="005C1103" w:rsidRPr="002B283E">
        <w:t>—“</w:t>
      </w:r>
      <w:r w:rsidR="00893907" w:rsidRPr="002B283E">
        <w:t>Adverse Employment Action” in Retaliation Cases</w:t>
      </w:r>
      <w:bookmarkEnd w:id="252"/>
    </w:p>
    <w:p w14:paraId="5A24ED23" w14:textId="77777777" w:rsidR="006A4CD7" w:rsidRPr="002B283E" w:rsidRDefault="006A4CD7" w:rsidP="002B283E">
      <w:pPr>
        <w:rPr>
          <w:rFonts w:cs="Times New Roman"/>
          <w:szCs w:val="24"/>
        </w:rPr>
      </w:pPr>
    </w:p>
    <w:p w14:paraId="43D51824" w14:textId="77777777" w:rsidR="008831F8" w:rsidRPr="002B283E" w:rsidRDefault="006A4CD7" w:rsidP="002B283E">
      <w:pPr>
        <w:autoSpaceDE w:val="0"/>
        <w:autoSpaceDN w:val="0"/>
        <w:adjustRightInd w:val="0"/>
        <w:rPr>
          <w:rFonts w:cs="Times New Roman"/>
          <w:szCs w:val="24"/>
        </w:rPr>
      </w:pPr>
      <w:r w:rsidRPr="002B283E">
        <w:rPr>
          <w:rFonts w:cs="Times New Roman"/>
          <w:szCs w:val="24"/>
        </w:rPr>
        <w:tab/>
      </w:r>
      <w:r w:rsidR="008831F8" w:rsidRPr="002B283E">
        <w:rPr>
          <w:rFonts w:cs="Times New Roman"/>
          <w:szCs w:val="24"/>
        </w:rPr>
        <w:t xml:space="preserve">An action is an adverse employment action if a reasonable employee would have found the action materially adverse, which means it might have dissuaded a reasonable worker from making or supporting a charge of discrimination. </w:t>
      </w:r>
    </w:p>
    <w:p w14:paraId="610BE4B5" w14:textId="77777777" w:rsidR="008831F8" w:rsidRPr="002B283E" w:rsidRDefault="008831F8" w:rsidP="002B283E">
      <w:pPr>
        <w:rPr>
          <w:rFonts w:cs="Times New Roman"/>
          <w:szCs w:val="24"/>
        </w:rPr>
      </w:pPr>
    </w:p>
    <w:p w14:paraId="2051E679" w14:textId="77777777" w:rsidR="008831F8" w:rsidRPr="002B283E" w:rsidRDefault="008831F8" w:rsidP="002B283E">
      <w:pPr>
        <w:autoSpaceDE w:val="0"/>
        <w:autoSpaceDN w:val="0"/>
        <w:adjustRightInd w:val="0"/>
        <w:jc w:val="center"/>
        <w:rPr>
          <w:rFonts w:cs="Times New Roman"/>
          <w:b/>
          <w:bCs/>
          <w:szCs w:val="24"/>
        </w:rPr>
      </w:pPr>
      <w:r w:rsidRPr="002B283E">
        <w:rPr>
          <w:rFonts w:cs="Times New Roman"/>
          <w:b/>
          <w:bCs/>
          <w:szCs w:val="24"/>
        </w:rPr>
        <w:t>Comment</w:t>
      </w:r>
    </w:p>
    <w:p w14:paraId="010366F5" w14:textId="77777777" w:rsidR="008831F8" w:rsidRPr="002B283E" w:rsidRDefault="008831F8" w:rsidP="002B283E">
      <w:pPr>
        <w:rPr>
          <w:rFonts w:cs="Times New Roman"/>
          <w:szCs w:val="24"/>
        </w:rPr>
      </w:pPr>
    </w:p>
    <w:p w14:paraId="7A9184EA" w14:textId="0D736788"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Burlington Northern and Santa Fe Railway Co. v. White</w:t>
      </w:r>
      <w:r w:rsidRPr="002B283E">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3BA502E4" w14:textId="77777777" w:rsidR="008831F8" w:rsidRPr="002B283E" w:rsidRDefault="008831F8" w:rsidP="002B283E">
      <w:pPr>
        <w:autoSpaceDE w:val="0"/>
        <w:autoSpaceDN w:val="0"/>
        <w:adjustRightInd w:val="0"/>
        <w:rPr>
          <w:rFonts w:cs="Times New Roman"/>
          <w:szCs w:val="24"/>
        </w:rPr>
      </w:pPr>
    </w:p>
    <w:p w14:paraId="446CA9D6" w14:textId="627CB48D"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2B283E">
        <w:rPr>
          <w:rFonts w:cs="Times New Roman"/>
          <w:i/>
          <w:iCs/>
          <w:szCs w:val="24"/>
        </w:rPr>
        <w:t>See</w:t>
      </w:r>
      <w:r w:rsidRPr="002B283E">
        <w:rPr>
          <w:rFonts w:cs="Times New Roman"/>
          <w:szCs w:val="24"/>
        </w:rPr>
        <w:t xml:space="preserve"> </w:t>
      </w:r>
      <w:r w:rsidRPr="002B283E">
        <w:rPr>
          <w:rFonts w:cs="Times New Roman"/>
          <w:i/>
          <w:iCs/>
          <w:szCs w:val="24"/>
        </w:rPr>
        <w:t>White</w:t>
      </w:r>
      <w:r w:rsidRPr="002B283E">
        <w:rPr>
          <w:rFonts w:cs="Times New Roman"/>
          <w:szCs w:val="24"/>
        </w:rPr>
        <w:t xml:space="preserve">, 548 U.S. at 68; </w:t>
      </w:r>
      <w:r w:rsidRPr="002B283E">
        <w:rPr>
          <w:rFonts w:cs="Times New Roman"/>
          <w:i/>
          <w:iCs/>
          <w:szCs w:val="24"/>
        </w:rPr>
        <w:t>Ray v. Henderson</w:t>
      </w:r>
      <w:r w:rsidRPr="002B283E">
        <w:rPr>
          <w:rFonts w:cs="Times New Roman"/>
          <w:szCs w:val="24"/>
        </w:rPr>
        <w:t>, 217 F.3d 1234, 1242-43 (9th Cir. 2000)</w:t>
      </w:r>
      <w:r w:rsidRPr="002B283E">
        <w:rPr>
          <w:rFonts w:cs="Times New Roman"/>
          <w:i/>
          <w:iCs/>
          <w:szCs w:val="24"/>
        </w:rPr>
        <w:t>.</w:t>
      </w:r>
    </w:p>
    <w:p w14:paraId="17BC5BC0" w14:textId="77777777" w:rsidR="008831F8" w:rsidRPr="002B283E" w:rsidRDefault="008831F8" w:rsidP="002B283E">
      <w:pPr>
        <w:rPr>
          <w:rFonts w:cs="Times New Roman"/>
          <w:szCs w:val="24"/>
        </w:rPr>
      </w:pPr>
    </w:p>
    <w:p w14:paraId="30188288" w14:textId="33CE63BF" w:rsidR="008831F8" w:rsidRPr="002B283E" w:rsidRDefault="008831F8" w:rsidP="002B283E">
      <w:pPr>
        <w:autoSpaceDE w:val="0"/>
        <w:autoSpaceDN w:val="0"/>
        <w:adjustRightInd w:val="0"/>
        <w:rPr>
          <w:rFonts w:cs="Times New Roman"/>
          <w:szCs w:val="24"/>
        </w:rPr>
      </w:pPr>
      <w:r w:rsidRPr="002B283E">
        <w:rPr>
          <w:rFonts w:cs="Times New Roman"/>
          <w:szCs w:val="24"/>
        </w:rPr>
        <w:tab/>
        <w:t>Adverse employment actions take many forms.</w:t>
      </w:r>
      <w:r w:rsidRPr="002B283E">
        <w:rPr>
          <w:rFonts w:cs="Times New Roman"/>
          <w:i/>
          <w:iCs/>
          <w:szCs w:val="24"/>
        </w:rPr>
        <w:t xml:space="preserve"> See</w:t>
      </w:r>
      <w:r w:rsidRPr="00F518D1">
        <w:rPr>
          <w:rFonts w:cs="Times New Roman"/>
          <w:i/>
          <w:iCs/>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Dodge v. Evergreen Sc</w:t>
      </w:r>
      <w:r w:rsidR="003137E9">
        <w:rPr>
          <w:rFonts w:cs="Times New Roman"/>
          <w:i/>
          <w:iCs/>
          <w:szCs w:val="24"/>
        </w:rPr>
        <w:t xml:space="preserve">h. </w:t>
      </w:r>
      <w:r w:rsidRPr="002B283E">
        <w:rPr>
          <w:rFonts w:cs="Times New Roman"/>
          <w:i/>
          <w:iCs/>
          <w:szCs w:val="24"/>
        </w:rPr>
        <w:t>Dist</w:t>
      </w:r>
      <w:r w:rsidR="003137E9">
        <w:rPr>
          <w:rFonts w:cs="Times New Roman"/>
          <w:i/>
          <w:iCs/>
          <w:szCs w:val="24"/>
        </w:rPr>
        <w:t>.</w:t>
      </w:r>
      <w:r w:rsidRPr="002B283E">
        <w:rPr>
          <w:rFonts w:cs="Times New Roman"/>
          <w:szCs w:val="24"/>
        </w:rPr>
        <w:t xml:space="preserve">, 56 F.4th 767, 774 (9th Cir. 2022) (in action brought under 42 U.S.C. § 1983, concluding </w:t>
      </w:r>
      <w:r w:rsidR="00F44D63">
        <w:rPr>
          <w:rFonts w:cs="Times New Roman"/>
          <w:szCs w:val="24"/>
        </w:rPr>
        <w:t xml:space="preserve">that </w:t>
      </w:r>
      <w:r w:rsidRPr="002B283E">
        <w:rPr>
          <w:rFonts w:cs="Times New Roman"/>
          <w:szCs w:val="24"/>
        </w:rPr>
        <w:t xml:space="preserve">statement that employee would “need to have [your] union rep” if he persisted in engaging in speech on </w:t>
      </w:r>
      <w:r w:rsidR="00F44D63">
        <w:rPr>
          <w:rFonts w:cs="Times New Roman"/>
          <w:szCs w:val="24"/>
        </w:rPr>
        <w:t xml:space="preserve">a </w:t>
      </w:r>
      <w:r w:rsidRPr="002B283E">
        <w:rPr>
          <w:rFonts w:cs="Times New Roman"/>
          <w:szCs w:val="24"/>
        </w:rPr>
        <w:t>matter of public concern made as</w:t>
      </w:r>
      <w:r w:rsidR="00F44D63">
        <w:rPr>
          <w:rFonts w:cs="Times New Roman"/>
          <w:szCs w:val="24"/>
        </w:rPr>
        <w:t xml:space="preserve"> a</w:t>
      </w:r>
      <w:r w:rsidRPr="002B283E">
        <w:rPr>
          <w:rFonts w:cs="Times New Roman"/>
          <w:szCs w:val="24"/>
        </w:rPr>
        <w:t xml:space="preserve"> private citizen); </w:t>
      </w:r>
      <w:r w:rsidRPr="002B283E">
        <w:rPr>
          <w:rFonts w:cs="Times New Roman"/>
          <w:i/>
          <w:iCs/>
          <w:szCs w:val="24"/>
        </w:rPr>
        <w:t>Dahlia v. Rodriguez</w:t>
      </w:r>
      <w:r w:rsidRPr="002B283E">
        <w:rPr>
          <w:rFonts w:cs="Times New Roman"/>
          <w:szCs w:val="24"/>
        </w:rPr>
        <w:t>, 735 F.3d 1060, 1078 (9th Cir. 2013)</w:t>
      </w:r>
      <w:r w:rsidRPr="002B283E">
        <w:rPr>
          <w:rFonts w:cs="Times New Roman"/>
          <w:i/>
          <w:iCs/>
          <w:szCs w:val="24"/>
        </w:rPr>
        <w:t xml:space="preserve"> </w:t>
      </w:r>
      <w:r w:rsidRPr="002B283E">
        <w:rPr>
          <w:rFonts w:cs="Times New Roman"/>
          <w:szCs w:val="24"/>
        </w:rPr>
        <w:t xml:space="preserve">(en banc) (considering employee’s placement on administrative leave, deprivation of ability to take promotional exam, and loss of pay and opportunities for investigative or other job experience); </w:t>
      </w:r>
      <w:r w:rsidRPr="002B283E">
        <w:rPr>
          <w:rFonts w:cs="Times New Roman"/>
          <w:i/>
          <w:iCs/>
          <w:szCs w:val="24"/>
        </w:rPr>
        <w:t xml:space="preserve">Manatt v. Bank of Am., NA, </w:t>
      </w:r>
      <w:r w:rsidRPr="002B283E">
        <w:rPr>
          <w:rFonts w:cs="Times New Roman"/>
          <w:szCs w:val="24"/>
        </w:rPr>
        <w:t>339 F.3d 792, 802 (9th Cir</w:t>
      </w:r>
      <w:r w:rsidR="00A87F6E">
        <w:rPr>
          <w:rFonts w:cs="Times New Roman"/>
          <w:szCs w:val="24"/>
        </w:rPr>
        <w:t xml:space="preserve">. </w:t>
      </w:r>
      <w:r w:rsidRPr="002B283E">
        <w:rPr>
          <w:rFonts w:cs="Times New Roman"/>
          <w:szCs w:val="24"/>
        </w:rPr>
        <w:t xml:space="preserve">2003) (discussing denial of transfer); </w:t>
      </w:r>
      <w:r w:rsidRPr="002B283E">
        <w:rPr>
          <w:rFonts w:cs="Times New Roman"/>
          <w:i/>
          <w:iCs/>
          <w:szCs w:val="24"/>
        </w:rPr>
        <w:t>Little v. Windermere Relocation, Inc.</w:t>
      </w:r>
      <w:r w:rsidRPr="00F44D63">
        <w:rPr>
          <w:rFonts w:cs="Times New Roman"/>
          <w:szCs w:val="24"/>
        </w:rPr>
        <w:t>,</w:t>
      </w:r>
      <w:r w:rsidRPr="002B283E">
        <w:rPr>
          <w:rFonts w:cs="Times New Roman"/>
          <w:i/>
          <w:iCs/>
          <w:szCs w:val="24"/>
        </w:rPr>
        <w:t xml:space="preserve"> </w:t>
      </w:r>
      <w:r w:rsidRPr="002B283E">
        <w:rPr>
          <w:rFonts w:cs="Times New Roman"/>
          <w:szCs w:val="24"/>
        </w:rPr>
        <w:t xml:space="preserve">301 F.3d 958, 970 (9th Cir. 2002) (considering cut in monthly base salary); </w:t>
      </w:r>
      <w:r w:rsidRPr="002B283E">
        <w:rPr>
          <w:rFonts w:cs="Times New Roman"/>
          <w:i/>
          <w:iCs/>
          <w:szCs w:val="24"/>
        </w:rPr>
        <w:t>Passantino v. Johnson &amp; Johnson Consumer Prods., Inc.</w:t>
      </w:r>
      <w:r w:rsidRPr="002B283E">
        <w:rPr>
          <w:rFonts w:cs="Times New Roman"/>
          <w:szCs w:val="24"/>
        </w:rPr>
        <w:t xml:space="preserve">, 212 F.3d 493, 500-01, 506 (9th Cir. 2000) (considering low rating on job performance review, decreased job responsibilities, and failure to receive promotions); </w:t>
      </w:r>
      <w:r w:rsidRPr="002B283E">
        <w:rPr>
          <w:rFonts w:cs="Times New Roman"/>
          <w:i/>
          <w:iCs/>
          <w:szCs w:val="24"/>
        </w:rPr>
        <w:t>Hashimoto v. Dalton</w:t>
      </w:r>
      <w:r w:rsidRPr="002B283E">
        <w:rPr>
          <w:rFonts w:cs="Times New Roman"/>
          <w:szCs w:val="24"/>
        </w:rPr>
        <w:t xml:space="preserve">, 118 F.3d 671, 674 (9th Cir. 1997) (considering negative job reference); </w:t>
      </w:r>
      <w:r w:rsidRPr="002B283E">
        <w:rPr>
          <w:rFonts w:cs="Times New Roman"/>
          <w:i/>
          <w:iCs/>
          <w:szCs w:val="24"/>
        </w:rPr>
        <w:t>Miller v. Fairchild Indus., Inc.</w:t>
      </w:r>
      <w:r w:rsidRPr="002B283E">
        <w:rPr>
          <w:rFonts w:cs="Times New Roman"/>
          <w:szCs w:val="24"/>
        </w:rPr>
        <w:t xml:space="preserve">, 885 F.2d 498, 505 (9th Cir. 1989) (discussing layoff); </w:t>
      </w:r>
      <w:r w:rsidRPr="002B283E">
        <w:rPr>
          <w:rFonts w:cs="Times New Roman"/>
          <w:i/>
          <w:iCs/>
          <w:szCs w:val="24"/>
        </w:rPr>
        <w:t>Yartzoff v. Thomas</w:t>
      </w:r>
      <w:r w:rsidRPr="002B283E">
        <w:rPr>
          <w:rFonts w:cs="Times New Roman"/>
          <w:szCs w:val="24"/>
        </w:rPr>
        <w:t xml:space="preserve">, 809 F.2d 1371, 1376 (9th Cir. 1987) (considering transfer of job duties and “undeserved” performance ratings); </w:t>
      </w:r>
      <w:r w:rsidRPr="002B283E">
        <w:rPr>
          <w:rFonts w:cs="Times New Roman"/>
          <w:i/>
          <w:iCs/>
          <w:szCs w:val="24"/>
        </w:rPr>
        <w:t>Ruggles v. Cal. Poly. State Univ.</w:t>
      </w:r>
      <w:r w:rsidRPr="002B283E">
        <w:rPr>
          <w:rFonts w:cs="Times New Roman"/>
          <w:szCs w:val="24"/>
        </w:rPr>
        <w:t xml:space="preserve">, 797 F.2d 782, 785 (9th Cir. 1986) (discussing failure to hire); </w:t>
      </w:r>
      <w:r w:rsidRPr="002B283E">
        <w:rPr>
          <w:rFonts w:cs="Times New Roman"/>
          <w:i/>
          <w:iCs/>
          <w:szCs w:val="24"/>
        </w:rPr>
        <w:t>E.E.O.C. v. Crown Zellerbach Corp.</w:t>
      </w:r>
      <w:r w:rsidRPr="002B283E">
        <w:rPr>
          <w:rFonts w:cs="Times New Roman"/>
          <w:szCs w:val="24"/>
        </w:rPr>
        <w:t>, 720 F.2d 1008, 1012 (9th Cir. 1983)</w:t>
      </w:r>
      <w:r w:rsidRPr="002B283E">
        <w:rPr>
          <w:rFonts w:cs="Times New Roman"/>
          <w:i/>
          <w:iCs/>
          <w:szCs w:val="24"/>
        </w:rPr>
        <w:t xml:space="preserve"> </w:t>
      </w:r>
      <w:r w:rsidRPr="002B283E">
        <w:rPr>
          <w:rFonts w:cs="Times New Roman"/>
          <w:szCs w:val="24"/>
        </w:rPr>
        <w:t>(discussing four-month disciplinary suspension).</w:t>
      </w:r>
    </w:p>
    <w:p w14:paraId="37547492" w14:textId="77777777" w:rsidR="008831F8" w:rsidRPr="002B283E" w:rsidRDefault="008831F8" w:rsidP="002B283E">
      <w:pPr>
        <w:autoSpaceDE w:val="0"/>
        <w:autoSpaceDN w:val="0"/>
        <w:adjustRightInd w:val="0"/>
        <w:rPr>
          <w:rFonts w:cs="Times New Roman"/>
          <w:szCs w:val="24"/>
        </w:rPr>
      </w:pPr>
    </w:p>
    <w:p w14:paraId="3E08E4B9" w14:textId="7FB8789E" w:rsidR="008831F8" w:rsidRPr="002B283E" w:rsidRDefault="008831F8" w:rsidP="002B283E">
      <w:pPr>
        <w:rPr>
          <w:rFonts w:cs="Times New Roman"/>
          <w:szCs w:val="24"/>
        </w:rPr>
      </w:pPr>
      <w:r w:rsidRPr="002B283E">
        <w:rPr>
          <w:rFonts w:cs="Times New Roman"/>
          <w:szCs w:val="24"/>
        </w:rPr>
        <w:tab/>
        <w:t xml:space="preserve">Other conduct, however, may not constitute an adverse employment action. </w:t>
      </w:r>
      <w:r w:rsidRPr="002B283E">
        <w:rPr>
          <w:rFonts w:cs="Times New Roman"/>
          <w:i/>
          <w:iCs/>
          <w:szCs w:val="24"/>
        </w:rPr>
        <w:t>See</w:t>
      </w:r>
      <w:r w:rsidRPr="003137E9">
        <w:rPr>
          <w:rFonts w:cs="Times New Roman"/>
          <w:i/>
          <w:iCs/>
          <w:szCs w:val="24"/>
        </w:rPr>
        <w:t>,</w:t>
      </w:r>
      <w:r w:rsidRPr="002B283E">
        <w:rPr>
          <w:rFonts w:cs="Times New Roman"/>
          <w:i/>
          <w:iCs/>
          <w:szCs w:val="24"/>
        </w:rPr>
        <w:t xml:space="preserve"> e.g.</w:t>
      </w:r>
      <w:r w:rsidRPr="008A04C2">
        <w:rPr>
          <w:rFonts w:cs="Times New Roman"/>
          <w:szCs w:val="24"/>
        </w:rPr>
        <w:t xml:space="preserve">, </w:t>
      </w:r>
      <w:r w:rsidRPr="002B283E">
        <w:rPr>
          <w:rFonts w:cs="Times New Roman"/>
          <w:i/>
          <w:iCs/>
          <w:szCs w:val="24"/>
        </w:rPr>
        <w:t xml:space="preserve">Lyons v. England, </w:t>
      </w:r>
      <w:r w:rsidRPr="002B283E">
        <w:rPr>
          <w:rFonts w:cs="Times New Roman"/>
          <w:szCs w:val="24"/>
        </w:rPr>
        <w:t xml:space="preserve">307 F.3d 1092, 1118 (9th Cir. 2002) (giving “mediocre” performance evaluation not made available to other potential employers and unaccompanied by any meaningful change in work assignments); </w:t>
      </w:r>
      <w:r w:rsidRPr="002B283E">
        <w:rPr>
          <w:rFonts w:cs="Times New Roman"/>
          <w:i/>
          <w:iCs/>
          <w:szCs w:val="24"/>
        </w:rPr>
        <w:t>Brooks v. City of San Mateo</w:t>
      </w:r>
      <w:r w:rsidRPr="002B283E">
        <w:rPr>
          <w:rFonts w:cs="Times New Roman"/>
          <w:szCs w:val="24"/>
        </w:rPr>
        <w:t xml:space="preserve">, 229 F.3d 917, 929 (9th Cir. 2000) (ostracizing by co-workers); </w:t>
      </w:r>
      <w:r w:rsidRPr="002B283E">
        <w:rPr>
          <w:rFonts w:cs="Times New Roman"/>
          <w:i/>
          <w:iCs/>
          <w:szCs w:val="24"/>
        </w:rPr>
        <w:t>McAlindin v. County of San Diego</w:t>
      </w:r>
      <w:r w:rsidRPr="002B283E">
        <w:rPr>
          <w:rFonts w:cs="Times New Roman"/>
          <w:szCs w:val="24"/>
        </w:rPr>
        <w:t xml:space="preserve">, 192 F.3d 1226, 1238-39 (9th Cir. 1999) (refusing to hold job open beyond period dictated by company’s leave policy), </w:t>
      </w:r>
      <w:r w:rsidRPr="002B283E">
        <w:rPr>
          <w:rFonts w:cs="Times New Roman"/>
          <w:i/>
          <w:iCs/>
          <w:szCs w:val="24"/>
        </w:rPr>
        <w:lastRenderedPageBreak/>
        <w:t>amended by</w:t>
      </w:r>
      <w:r w:rsidRPr="002B283E">
        <w:rPr>
          <w:rFonts w:cs="Times New Roman"/>
          <w:szCs w:val="24"/>
        </w:rPr>
        <w:t xml:space="preserve"> 201 F.3d 1211; </w:t>
      </w:r>
      <w:r w:rsidRPr="002B283E">
        <w:rPr>
          <w:rFonts w:cs="Times New Roman"/>
          <w:i/>
          <w:iCs/>
          <w:szCs w:val="24"/>
        </w:rPr>
        <w:t>Nunez v. City of Los Angeles</w:t>
      </w:r>
      <w:r w:rsidRPr="002B283E">
        <w:rPr>
          <w:rFonts w:cs="Times New Roman"/>
          <w:szCs w:val="24"/>
        </w:rPr>
        <w:t xml:space="preserve">, 147 F.3d 867, 875 (9th Cir. 1998) (“badmouthing” of employee); </w:t>
      </w:r>
      <w:r w:rsidRPr="002B283E">
        <w:rPr>
          <w:rFonts w:cs="Times New Roman"/>
          <w:i/>
          <w:iCs/>
          <w:szCs w:val="24"/>
        </w:rPr>
        <w:t>Nidds v. Schindler Elevator Corp.</w:t>
      </w:r>
      <w:r w:rsidRPr="002B283E">
        <w:rPr>
          <w:rFonts w:cs="Times New Roman"/>
          <w:szCs w:val="24"/>
        </w:rPr>
        <w:t>, 113 F.3d 912, 919 (9th Cir. 1996) (transferring with no effect on salary). However, for First Amendment retaliation</w:t>
      </w:r>
    </w:p>
    <w:p w14:paraId="763B6552" w14:textId="77777777" w:rsidR="008831F8" w:rsidRPr="002B283E" w:rsidRDefault="008831F8" w:rsidP="002B283E">
      <w:pPr>
        <w:rPr>
          <w:rFonts w:cs="Times New Roman"/>
          <w:szCs w:val="24"/>
        </w:rPr>
      </w:pPr>
      <w:r w:rsidRPr="002B283E">
        <w:rPr>
          <w:rFonts w:cs="Times New Roman"/>
          <w:szCs w:val="24"/>
        </w:rPr>
        <w:t>cases, “even minor acts of retaliation can infringe on an employee’s First Amendment rights.”</w:t>
      </w:r>
    </w:p>
    <w:p w14:paraId="5FAAEC01" w14:textId="77777777" w:rsidR="008831F8" w:rsidRPr="002B283E" w:rsidRDefault="008831F8" w:rsidP="002B283E">
      <w:pPr>
        <w:rPr>
          <w:rFonts w:cs="Times New Roman"/>
          <w:i/>
          <w:iCs/>
          <w:szCs w:val="24"/>
        </w:rPr>
      </w:pPr>
      <w:r w:rsidRPr="002B283E">
        <w:rPr>
          <w:rFonts w:cs="Times New Roman"/>
          <w:i/>
          <w:iCs/>
          <w:szCs w:val="24"/>
        </w:rPr>
        <w:t>Coszalter v. City of Salem</w:t>
      </w:r>
      <w:r w:rsidRPr="002B283E">
        <w:rPr>
          <w:rFonts w:cs="Times New Roman"/>
          <w:szCs w:val="24"/>
        </w:rPr>
        <w:t xml:space="preserve">, 320 F.3d 968, 975 (9th Cir. 2003) (citing </w:t>
      </w:r>
      <w:r w:rsidRPr="002B283E">
        <w:rPr>
          <w:rFonts w:cs="Times New Roman"/>
          <w:i/>
          <w:iCs/>
          <w:szCs w:val="24"/>
        </w:rPr>
        <w:t>Rutan v. Republican Party</w:t>
      </w:r>
      <w:r w:rsidRPr="00F44D63">
        <w:rPr>
          <w:rFonts w:cs="Times New Roman"/>
          <w:szCs w:val="24"/>
        </w:rPr>
        <w:t>,</w:t>
      </w:r>
    </w:p>
    <w:p w14:paraId="40E34A0B" w14:textId="7528B431" w:rsidR="008831F8" w:rsidRPr="002B283E" w:rsidRDefault="008831F8" w:rsidP="002B283E">
      <w:pPr>
        <w:rPr>
          <w:rFonts w:cs="Times New Roman"/>
          <w:szCs w:val="24"/>
        </w:rPr>
      </w:pPr>
      <w:r w:rsidRPr="002B283E">
        <w:rPr>
          <w:rFonts w:cs="Times New Roman"/>
          <w:szCs w:val="24"/>
        </w:rPr>
        <w:t>497 U.S. 62, 75-79 (1990)).</w:t>
      </w:r>
    </w:p>
    <w:p w14:paraId="6A9C53E5" w14:textId="77777777" w:rsidR="008831F8" w:rsidRPr="002B283E" w:rsidRDefault="008831F8" w:rsidP="002B283E">
      <w:pPr>
        <w:rPr>
          <w:rFonts w:cs="Times New Roman"/>
          <w:szCs w:val="24"/>
        </w:rPr>
      </w:pPr>
    </w:p>
    <w:p w14:paraId="4550BC4B" w14:textId="60CF51E1" w:rsidR="00DB5E27" w:rsidRPr="002B283E" w:rsidRDefault="008831F8" w:rsidP="002B283E">
      <w:pPr>
        <w:jc w:val="right"/>
        <w:rPr>
          <w:rFonts w:cs="Times New Roman"/>
          <w:i/>
          <w:iCs/>
          <w:szCs w:val="24"/>
        </w:rPr>
      </w:pPr>
      <w:r w:rsidRPr="002B283E">
        <w:rPr>
          <w:rFonts w:cs="Times New Roman"/>
          <w:i/>
          <w:iCs/>
          <w:szCs w:val="24"/>
        </w:rPr>
        <w:t>Revised June 2024</w:t>
      </w:r>
    </w:p>
    <w:p w14:paraId="26EE8997" w14:textId="4541EB0B" w:rsidR="006A4CD7" w:rsidRPr="002B283E" w:rsidRDefault="006A4CD7" w:rsidP="002B283E">
      <w:pPr>
        <w:pStyle w:val="Heading2"/>
      </w:pPr>
      <w:r w:rsidRPr="002B283E">
        <w:br w:type="page"/>
      </w:r>
      <w:bookmarkStart w:id="254" w:name="_Toc221525222"/>
      <w:bookmarkStart w:id="255" w:name="_Hlk225426850"/>
      <w:bookmarkEnd w:id="253"/>
      <w:r w:rsidRPr="002B283E">
        <w:lastRenderedPageBreak/>
        <w:t>10.1</w:t>
      </w:r>
      <w:r w:rsidR="0008651C">
        <w:t>3</w:t>
      </w:r>
      <w:r w:rsidRPr="002B283E">
        <w:t xml:space="preserve"> </w:t>
      </w:r>
      <w:r w:rsidR="00893907" w:rsidRPr="002B283E">
        <w:t>Civil Rights—Title VII</w:t>
      </w:r>
      <w:r w:rsidR="005C1103" w:rsidRPr="002B283E">
        <w:t>—“</w:t>
      </w:r>
      <w:r w:rsidR="00893907" w:rsidRPr="002B283E">
        <w:t>Adverse Employment Action” in Disparate Treatment Cases</w:t>
      </w:r>
      <w:bookmarkEnd w:id="254"/>
    </w:p>
    <w:p w14:paraId="28212865" w14:textId="77777777" w:rsidR="006A4CD7" w:rsidRPr="002B283E" w:rsidRDefault="006A4CD7" w:rsidP="002B283E">
      <w:pPr>
        <w:rPr>
          <w:rFonts w:cs="Times New Roman"/>
          <w:szCs w:val="24"/>
        </w:rPr>
      </w:pPr>
    </w:p>
    <w:p w14:paraId="3FADD5E9" w14:textId="77777777" w:rsidR="00640916" w:rsidRPr="002B283E" w:rsidRDefault="006A4CD7" w:rsidP="002B283E">
      <w:pPr>
        <w:autoSpaceDE w:val="0"/>
        <w:autoSpaceDN w:val="0"/>
        <w:adjustRightInd w:val="0"/>
        <w:rPr>
          <w:rFonts w:cs="Times New Roman"/>
          <w:szCs w:val="24"/>
        </w:rPr>
      </w:pPr>
      <w:r w:rsidRPr="002B283E">
        <w:rPr>
          <w:rFonts w:cs="Times New Roman"/>
          <w:szCs w:val="24"/>
        </w:rPr>
        <w:tab/>
      </w:r>
      <w:r w:rsidR="00640916" w:rsidRPr="002B283E">
        <w:rPr>
          <w:rFonts w:cs="Times New Roman"/>
          <w:szCs w:val="24"/>
        </w:rPr>
        <w:t xml:space="preserve">An action is an adverse employment action if it materially affects the compensation, terms, conditions, or privileges of employment. </w:t>
      </w:r>
    </w:p>
    <w:p w14:paraId="0AF42C61" w14:textId="77777777" w:rsidR="00640916" w:rsidRPr="002B283E" w:rsidRDefault="00640916" w:rsidP="002B283E">
      <w:pPr>
        <w:autoSpaceDE w:val="0"/>
        <w:autoSpaceDN w:val="0"/>
        <w:adjustRightInd w:val="0"/>
        <w:rPr>
          <w:rFonts w:cs="Times New Roman"/>
          <w:b/>
          <w:bCs/>
          <w:szCs w:val="24"/>
        </w:rPr>
      </w:pPr>
      <w:r w:rsidRPr="002B283E">
        <w:rPr>
          <w:rFonts w:cs="Times New Roman"/>
          <w:b/>
          <w:bCs/>
          <w:szCs w:val="24"/>
        </w:rPr>
        <w:tab/>
      </w:r>
    </w:p>
    <w:p w14:paraId="54574BD2" w14:textId="77777777" w:rsidR="00640916" w:rsidRPr="002B283E" w:rsidRDefault="00640916" w:rsidP="002B283E">
      <w:pPr>
        <w:autoSpaceDE w:val="0"/>
        <w:autoSpaceDN w:val="0"/>
        <w:adjustRightInd w:val="0"/>
        <w:jc w:val="center"/>
        <w:rPr>
          <w:rFonts w:cs="Times New Roman"/>
          <w:szCs w:val="24"/>
        </w:rPr>
      </w:pPr>
      <w:r w:rsidRPr="002B283E">
        <w:rPr>
          <w:rFonts w:cs="Times New Roman"/>
          <w:b/>
          <w:bCs/>
          <w:szCs w:val="24"/>
        </w:rPr>
        <w:t>Comment</w:t>
      </w:r>
    </w:p>
    <w:p w14:paraId="3404952D" w14:textId="77777777" w:rsidR="00640916" w:rsidRPr="002B283E" w:rsidRDefault="00640916" w:rsidP="002B283E">
      <w:pPr>
        <w:autoSpaceDE w:val="0"/>
        <w:autoSpaceDN w:val="0"/>
        <w:adjustRightInd w:val="0"/>
        <w:rPr>
          <w:rFonts w:cs="Times New Roman"/>
          <w:szCs w:val="24"/>
        </w:rPr>
      </w:pPr>
    </w:p>
    <w:p w14:paraId="2EDBA9AE" w14:textId="748A1BD0" w:rsidR="00640916" w:rsidRPr="002B283E" w:rsidRDefault="00640916"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Comment </w:t>
      </w:r>
      <w:r w:rsidR="00570179">
        <w:rPr>
          <w:rFonts w:cs="Times New Roman"/>
          <w:szCs w:val="24"/>
        </w:rPr>
        <w:t>to Instruction</w:t>
      </w:r>
      <w:r w:rsidRPr="002B283E">
        <w:rPr>
          <w:rFonts w:cs="Times New Roman"/>
          <w:szCs w:val="24"/>
        </w:rPr>
        <w:t xml:space="preserve"> 10.</w:t>
      </w:r>
      <w:r w:rsidR="00C75813">
        <w:rPr>
          <w:rFonts w:cs="Times New Roman"/>
          <w:szCs w:val="24"/>
        </w:rPr>
        <w:t>11</w:t>
      </w:r>
      <w:r w:rsidRPr="002B283E">
        <w:rPr>
          <w:rFonts w:cs="Times New Roman"/>
          <w:szCs w:val="24"/>
        </w:rPr>
        <w:t xml:space="preserve"> (Civil Rights—Title VII—“Adverse Employment Action” Defined)</w:t>
      </w:r>
      <w:r w:rsidR="00570179">
        <w:rPr>
          <w:rFonts w:cs="Times New Roman"/>
          <w:szCs w:val="24"/>
        </w:rPr>
        <w:t xml:space="preserve">; </w:t>
      </w:r>
      <w:r w:rsidRPr="002B283E">
        <w:rPr>
          <w:rFonts w:cs="Times New Roman"/>
          <w:szCs w:val="24"/>
        </w:rPr>
        <w:t>Comment to Instruction 10.1</w:t>
      </w:r>
      <w:r w:rsidR="00C75813">
        <w:rPr>
          <w:rFonts w:cs="Times New Roman"/>
          <w:szCs w:val="24"/>
        </w:rPr>
        <w:t>2</w:t>
      </w:r>
      <w:r w:rsidRPr="002B283E">
        <w:rPr>
          <w:rFonts w:cs="Times New Roman"/>
          <w:szCs w:val="24"/>
        </w:rPr>
        <w:t xml:space="preserve"> </w:t>
      </w:r>
      <w:r w:rsidRPr="00F44D63">
        <w:rPr>
          <w:rFonts w:cs="Times New Roman"/>
          <w:szCs w:val="24"/>
        </w:rPr>
        <w:t>(</w:t>
      </w:r>
      <w:r w:rsidRPr="002B283E">
        <w:rPr>
          <w:rFonts w:cs="Times New Roman"/>
          <w:szCs w:val="24"/>
        </w:rPr>
        <w:t>“Adverse Employment Action” in Retaliation Cases).</w:t>
      </w:r>
    </w:p>
    <w:p w14:paraId="3C0932E1"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ab/>
      </w:r>
    </w:p>
    <w:p w14:paraId="47F1C432" w14:textId="1D022369" w:rsidR="00640916" w:rsidRPr="002B283E" w:rsidRDefault="00640916" w:rsidP="002B283E">
      <w:pPr>
        <w:autoSpaceDE w:val="0"/>
        <w:autoSpaceDN w:val="0"/>
        <w:adjustRightInd w:val="0"/>
        <w:rPr>
          <w:rFonts w:cs="Times New Roman"/>
          <w:szCs w:val="24"/>
        </w:rPr>
      </w:pPr>
      <w:r w:rsidRPr="002B283E">
        <w:rPr>
          <w:rFonts w:cs="Times New Roman"/>
          <w:szCs w:val="24"/>
        </w:rPr>
        <w:tab/>
        <w:t xml:space="preserve">The definition of “adverse employment action” for purposes of a disparate treatment claim comes from </w:t>
      </w:r>
      <w:r w:rsidRPr="002B283E">
        <w:rPr>
          <w:rFonts w:cs="Times New Roman"/>
          <w:i/>
          <w:iCs/>
          <w:szCs w:val="24"/>
        </w:rPr>
        <w:t>Chuang v. University of California Davis, Board of Trustees</w:t>
      </w:r>
      <w:r w:rsidRPr="002B283E">
        <w:rPr>
          <w:rFonts w:cs="Times New Roman"/>
          <w:szCs w:val="24"/>
        </w:rPr>
        <w:t>, 225 F.3d 1115, 1126 (9th Cir. 2000) (</w:t>
      </w:r>
      <w:r w:rsidR="00825719">
        <w:rPr>
          <w:rFonts w:cs="Times New Roman"/>
          <w:szCs w:val="24"/>
        </w:rPr>
        <w:t xml:space="preserve">holding </w:t>
      </w:r>
      <w:r w:rsidRPr="002B283E">
        <w:rPr>
          <w:rFonts w:cs="Times New Roman"/>
          <w:szCs w:val="24"/>
        </w:rPr>
        <w:t xml:space="preserve">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2B283E">
        <w:rPr>
          <w:rFonts w:cs="Times New Roman"/>
          <w:i/>
          <w:iCs/>
          <w:szCs w:val="24"/>
        </w:rPr>
        <w:t>See also Davis v. Team Elec. Co.</w:t>
      </w:r>
      <w:r w:rsidRPr="002B283E">
        <w:rPr>
          <w:rFonts w:cs="Times New Roman"/>
          <w:szCs w:val="24"/>
        </w:rPr>
        <w:t>, 520 F.3d 1080, 1089 (9th Cir. 2008) (stating definition);</w:t>
      </w:r>
      <w:r w:rsidRPr="002B283E">
        <w:rPr>
          <w:rFonts w:cs="Times New Roman"/>
          <w:i/>
          <w:iCs/>
          <w:szCs w:val="24"/>
        </w:rPr>
        <w:t xml:space="preserve"> Kang v. U. Lim Am., Inc.</w:t>
      </w:r>
      <w:r w:rsidRPr="002B283E">
        <w:rPr>
          <w:rFonts w:cs="Times New Roman"/>
          <w:szCs w:val="24"/>
        </w:rPr>
        <w:t>,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w:t>
      </w:r>
      <w:r w:rsidR="001C5DA7">
        <w:rPr>
          <w:rFonts w:cs="Times New Roman"/>
          <w:szCs w:val="24"/>
        </w:rPr>
        <w:t xml:space="preserve"> </w:t>
      </w:r>
      <w:bookmarkStart w:id="256" w:name="Instruction_10.11"/>
      <w:bookmarkEnd w:id="256"/>
      <w:r w:rsidRPr="002B283E">
        <w:rPr>
          <w:rFonts w:cs="Times New Roman"/>
          <w:szCs w:val="24"/>
        </w:rPr>
        <w:t>While a plaintiff must show</w:t>
      </w:r>
    </w:p>
    <w:p w14:paraId="21007F91" w14:textId="76152A24" w:rsidR="00640916" w:rsidRPr="002B283E" w:rsidRDefault="00640916" w:rsidP="002B283E">
      <w:pPr>
        <w:autoSpaceDE w:val="0"/>
        <w:autoSpaceDN w:val="0"/>
        <w:adjustRightInd w:val="0"/>
        <w:rPr>
          <w:rFonts w:cs="Times New Roman"/>
          <w:i/>
          <w:iCs/>
          <w:szCs w:val="24"/>
        </w:rPr>
      </w:pPr>
      <w:r w:rsidRPr="002B283E">
        <w:rPr>
          <w:rFonts w:cs="Times New Roman"/>
          <w:szCs w:val="24"/>
        </w:rPr>
        <w:t xml:space="preserve">that the adverse employment action brought about some disadvantageous change in the employment terms or conditions, that change need not be significant. </w:t>
      </w:r>
      <w:r w:rsidRPr="002B283E">
        <w:rPr>
          <w:rFonts w:cs="Times New Roman"/>
          <w:i/>
          <w:iCs/>
          <w:szCs w:val="24"/>
        </w:rPr>
        <w:t>See Muldrow v. City of St. Louis</w:t>
      </w:r>
      <w:r w:rsidRPr="002B283E">
        <w:rPr>
          <w:rFonts w:cs="Times New Roman"/>
          <w:szCs w:val="24"/>
        </w:rPr>
        <w:t xml:space="preserve">, </w:t>
      </w:r>
      <w:r w:rsidR="00A27BAC" w:rsidRPr="00A27BAC">
        <w:rPr>
          <w:rFonts w:cs="Times New Roman"/>
          <w:szCs w:val="24"/>
        </w:rPr>
        <w:t>601 U.S. 346</w:t>
      </w:r>
      <w:r w:rsidR="00A27BAC">
        <w:rPr>
          <w:rFonts w:cs="Times New Roman"/>
          <w:szCs w:val="24"/>
        </w:rPr>
        <w:t xml:space="preserve">, 359 </w:t>
      </w:r>
      <w:r w:rsidRPr="002B283E">
        <w:rPr>
          <w:rFonts w:cs="Times New Roman"/>
          <w:szCs w:val="24"/>
        </w:rPr>
        <w:t>(2024) (“[T]he transfer must have left [the plaintiff] worse</w:t>
      </w:r>
    </w:p>
    <w:p w14:paraId="2B2AA981" w14:textId="62F84021" w:rsidR="00640916" w:rsidRPr="002B283E" w:rsidRDefault="00640916" w:rsidP="002B283E">
      <w:pPr>
        <w:autoSpaceDE w:val="0"/>
        <w:autoSpaceDN w:val="0"/>
        <w:adjustRightInd w:val="0"/>
        <w:rPr>
          <w:rFonts w:cs="Times New Roman"/>
          <w:szCs w:val="24"/>
        </w:rPr>
      </w:pPr>
      <w:r w:rsidRPr="002B283E">
        <w:rPr>
          <w:rFonts w:cs="Times New Roman"/>
          <w:szCs w:val="24"/>
        </w:rPr>
        <w:t>off, but need not have left her significantly so.”)</w:t>
      </w:r>
      <w:r w:rsidR="003137E9">
        <w:rPr>
          <w:rFonts w:cs="Times New Roman"/>
          <w:szCs w:val="24"/>
        </w:rPr>
        <w:t>.</w:t>
      </w:r>
    </w:p>
    <w:p w14:paraId="1EB58CD0" w14:textId="77777777" w:rsidR="00640916" w:rsidRPr="002B283E" w:rsidRDefault="00640916" w:rsidP="002B283E">
      <w:pPr>
        <w:autoSpaceDE w:val="0"/>
        <w:autoSpaceDN w:val="0"/>
        <w:adjustRightInd w:val="0"/>
        <w:rPr>
          <w:rFonts w:cs="Times New Roman"/>
          <w:szCs w:val="24"/>
        </w:rPr>
      </w:pPr>
    </w:p>
    <w:p w14:paraId="35E7BDF6" w14:textId="23BC858A" w:rsidR="00640916" w:rsidRPr="002B283E" w:rsidRDefault="00640916" w:rsidP="002B283E">
      <w:pPr>
        <w:rPr>
          <w:rFonts w:cs="Times New Roman"/>
          <w:szCs w:val="24"/>
        </w:rPr>
      </w:pPr>
      <w:r w:rsidRPr="002B283E">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(“[D]etermining not to fire an employee who has been threatened with discharge constitutes a ‘tangible employment action,’ at least where the reason for the change in the employment decision is that the employee has submitted to coercive sexual demands.”); </w:t>
      </w:r>
      <w:r w:rsidRPr="002B283E">
        <w:rPr>
          <w:rFonts w:cs="Times New Roman"/>
          <w:i/>
          <w:iCs/>
          <w:szCs w:val="24"/>
        </w:rPr>
        <w:t xml:space="preserve">see also </w:t>
      </w:r>
      <w:r w:rsidRPr="002B283E">
        <w:rPr>
          <w:rFonts w:cs="Times New Roman"/>
          <w:szCs w:val="24"/>
        </w:rPr>
        <w:t>Instruction 10.1</w:t>
      </w:r>
      <w:r w:rsidR="00C75813">
        <w:rPr>
          <w:rFonts w:cs="Times New Roman"/>
          <w:szCs w:val="24"/>
        </w:rPr>
        <w:t>4</w:t>
      </w:r>
      <w:r w:rsidRPr="002B283E">
        <w:rPr>
          <w:rFonts w:cs="Times New Roman"/>
          <w:szCs w:val="24"/>
        </w:rPr>
        <w:t xml:space="preserve"> (Civil Rights—Title VII—“Tangible Employment Action” Defined).</w:t>
      </w:r>
    </w:p>
    <w:p w14:paraId="166F5B44" w14:textId="77777777" w:rsidR="00640916" w:rsidRPr="002B283E" w:rsidRDefault="00640916" w:rsidP="002B283E">
      <w:pPr>
        <w:rPr>
          <w:rFonts w:cs="Times New Roman"/>
          <w:szCs w:val="24"/>
        </w:rPr>
      </w:pPr>
    </w:p>
    <w:p w14:paraId="6756B0E2" w14:textId="389F9B04" w:rsidR="006A4CD7" w:rsidRPr="002B283E" w:rsidRDefault="00640916" w:rsidP="002B283E">
      <w:pPr>
        <w:jc w:val="right"/>
        <w:rPr>
          <w:rFonts w:cs="Times New Roman"/>
          <w:i/>
          <w:iCs/>
          <w:szCs w:val="24"/>
        </w:rPr>
      </w:pPr>
      <w:r w:rsidRPr="002B283E">
        <w:rPr>
          <w:rFonts w:cs="Times New Roman"/>
          <w:i/>
          <w:iCs/>
          <w:szCs w:val="24"/>
        </w:rPr>
        <w:t>Revised June 2024</w:t>
      </w:r>
    </w:p>
    <w:bookmarkEnd w:id="255"/>
    <w:p w14:paraId="03CCACE4" w14:textId="7585F52E" w:rsidR="006A4CD7" w:rsidRPr="002B283E" w:rsidRDefault="006A4CD7" w:rsidP="002B283E">
      <w:pPr>
        <w:pStyle w:val="Heading2"/>
      </w:pPr>
      <w:r w:rsidRPr="002B283E">
        <w:br w:type="page"/>
      </w:r>
      <w:bookmarkStart w:id="257" w:name="_Toc221525223"/>
      <w:r w:rsidRPr="002B283E">
        <w:lastRenderedPageBreak/>
        <w:t>10.1</w:t>
      </w:r>
      <w:r w:rsidR="0008651C">
        <w:t>4</w:t>
      </w:r>
      <w:r w:rsidRPr="002B283E">
        <w:t xml:space="preserve"> </w:t>
      </w:r>
      <w:r w:rsidR="00893907" w:rsidRPr="002B283E">
        <w:t>Civil Rights—Title VII</w:t>
      </w:r>
      <w:r w:rsidR="005C1103" w:rsidRPr="002B283E">
        <w:t>—“</w:t>
      </w:r>
      <w:r w:rsidR="00893907" w:rsidRPr="002B283E">
        <w:t>Tangible Employment Action” Defined</w:t>
      </w:r>
      <w:bookmarkEnd w:id="257"/>
    </w:p>
    <w:p w14:paraId="5E1151B0" w14:textId="77777777" w:rsidR="006A4CD7" w:rsidRPr="002B283E" w:rsidRDefault="006A4CD7" w:rsidP="002B283E">
      <w:pPr>
        <w:rPr>
          <w:rFonts w:cs="Times New Roman"/>
          <w:szCs w:val="24"/>
        </w:rPr>
      </w:pPr>
    </w:p>
    <w:p w14:paraId="5977A2E1" w14:textId="47501C67" w:rsidR="006A4CD7" w:rsidRPr="002B283E" w:rsidRDefault="006A4CD7" w:rsidP="002B283E">
      <w:pPr>
        <w:autoSpaceDE w:val="0"/>
        <w:autoSpaceDN w:val="0"/>
        <w:adjustRightInd w:val="0"/>
        <w:rPr>
          <w:rFonts w:cs="Times New Roman"/>
          <w:szCs w:val="24"/>
        </w:rPr>
      </w:pPr>
      <w:bookmarkStart w:id="258" w:name="_Hlk225427198"/>
      <w:r w:rsidRPr="002B283E">
        <w:rPr>
          <w:rFonts w:cs="Times New Roman"/>
          <w:szCs w:val="24"/>
        </w:rPr>
        <w:tab/>
        <w:t>Tangible employment actions are the means by which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2B283E" w:rsidRDefault="006A4CD7" w:rsidP="002B283E">
      <w:pPr>
        <w:rPr>
          <w:rFonts w:cs="Times New Roman"/>
          <w:szCs w:val="24"/>
        </w:rPr>
      </w:pPr>
    </w:p>
    <w:p w14:paraId="5612E7C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2E53AAF2" w14:textId="77777777" w:rsidR="006A4CD7" w:rsidRPr="002B283E" w:rsidRDefault="006A4CD7" w:rsidP="002B283E">
      <w:pPr>
        <w:rPr>
          <w:rFonts w:cs="Times New Roman"/>
          <w:szCs w:val="24"/>
        </w:rPr>
      </w:pPr>
    </w:p>
    <w:p w14:paraId="5AD1C8F9" w14:textId="64B74722"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given in conjunction with Instruction 10.</w:t>
      </w:r>
      <w:r w:rsidR="00C75813">
        <w:rPr>
          <w:rFonts w:cs="Times New Roman"/>
          <w:szCs w:val="24"/>
        </w:rPr>
        <w:t>7</w:t>
      </w:r>
      <w:r w:rsidRPr="002B283E">
        <w:rPr>
          <w:rFonts w:cs="Times New Roman"/>
          <w:szCs w:val="24"/>
        </w:rPr>
        <w:t xml:space="preserve"> (Civil Rights—Title VII—Hostile Work Environment Caused by Supervisor—Claim Based on Vicarious Liability —Tangible Employment Action—Affirmative Defense).</w:t>
      </w:r>
    </w:p>
    <w:p w14:paraId="3D17E81A" w14:textId="77777777" w:rsidR="006A4CD7" w:rsidRPr="002B283E" w:rsidRDefault="006A4CD7" w:rsidP="002B283E">
      <w:pPr>
        <w:autoSpaceDE w:val="0"/>
        <w:autoSpaceDN w:val="0"/>
        <w:adjustRightInd w:val="0"/>
        <w:rPr>
          <w:rFonts w:cs="Times New Roman"/>
          <w:szCs w:val="24"/>
        </w:rPr>
      </w:pPr>
    </w:p>
    <w:p w14:paraId="592FF9A5" w14:textId="0ED3409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defined “tangible employment action” in </w:t>
      </w:r>
      <w:r w:rsidRPr="002B283E">
        <w:rPr>
          <w:rFonts w:cs="Times New Roman"/>
          <w:i/>
          <w:iCs/>
          <w:szCs w:val="24"/>
        </w:rPr>
        <w:t>Burlington Industries, Inc. v. Ellerth</w:t>
      </w:r>
      <w:r w:rsidRPr="002B283E">
        <w:rPr>
          <w:rFonts w:cs="Times New Roman"/>
          <w:szCs w:val="24"/>
        </w:rPr>
        <w:t>, 524 U.S. 742</w:t>
      </w:r>
      <w:r w:rsidR="00F44D63">
        <w:rPr>
          <w:rFonts w:cs="Times New Roman"/>
          <w:szCs w:val="24"/>
        </w:rPr>
        <w:t>,</w:t>
      </w:r>
      <w:r w:rsidRPr="002B283E">
        <w:rPr>
          <w:rFonts w:cs="Times New Roman"/>
          <w:szCs w:val="24"/>
        </w:rPr>
        <w:t xml:space="preserve"> 761 (1998), stating, “</w:t>
      </w:r>
      <w:r w:rsidR="006426F5">
        <w:rPr>
          <w:rFonts w:cs="Times New Roman"/>
          <w:szCs w:val="24"/>
        </w:rPr>
        <w:t>[a]</w:t>
      </w:r>
      <w:r w:rsidRPr="002B283E">
        <w:rPr>
          <w:rFonts w:cs="Times New Roman"/>
          <w:szCs w:val="24"/>
        </w:rPr>
        <w:t xml:space="preserve"> tangible employment action constitutes a significant change in employment status, such as hiring, firing, failing to promote, reassignment with significantly different responsibilities, or a decision causing a significant change in benefits.” </w:t>
      </w:r>
      <w:r w:rsidRPr="002B283E">
        <w:rPr>
          <w:rFonts w:cs="Times New Roman"/>
          <w:i/>
          <w:iCs/>
          <w:szCs w:val="24"/>
        </w:rPr>
        <w:t>Accord Vance v. Ball State Univ.</w:t>
      </w:r>
      <w:r w:rsidRPr="002B283E">
        <w:rPr>
          <w:rFonts w:cs="Times New Roman"/>
          <w:szCs w:val="24"/>
        </w:rPr>
        <w:t xml:space="preserve">, </w:t>
      </w:r>
      <w:r w:rsidR="00D8143C" w:rsidRPr="00D8143C">
        <w:rPr>
          <w:rFonts w:cs="Times New Roman"/>
          <w:szCs w:val="24"/>
        </w:rPr>
        <w:t>570 U.S. 421</w:t>
      </w:r>
      <w:r w:rsidRPr="002B283E">
        <w:rPr>
          <w:rFonts w:cs="Times New Roman"/>
          <w:szCs w:val="24"/>
        </w:rPr>
        <w:t xml:space="preserve">, </w:t>
      </w:r>
      <w:r w:rsidR="00D8143C">
        <w:rPr>
          <w:rFonts w:cs="Times New Roman"/>
          <w:szCs w:val="24"/>
        </w:rPr>
        <w:t>431</w:t>
      </w:r>
      <w:r w:rsidR="00D8143C" w:rsidRPr="002B283E">
        <w:rPr>
          <w:rFonts w:cs="Times New Roman"/>
          <w:szCs w:val="24"/>
        </w:rPr>
        <w:t xml:space="preserve"> </w:t>
      </w:r>
      <w:r w:rsidRPr="002B283E">
        <w:rPr>
          <w:rFonts w:cs="Times New Roman"/>
          <w:szCs w:val="24"/>
        </w:rPr>
        <w:t>(2013) (holding that employer may be vicariously liable for employee’s unlawful harassment only when employer has empowered that employee to take tangible employment actions against victim).</w:t>
      </w:r>
    </w:p>
    <w:p w14:paraId="208924BB" w14:textId="77777777" w:rsidR="006A4CD7" w:rsidRPr="002B283E" w:rsidRDefault="006A4CD7" w:rsidP="002B283E">
      <w:pPr>
        <w:autoSpaceDE w:val="0"/>
        <w:autoSpaceDN w:val="0"/>
        <w:adjustRightInd w:val="0"/>
        <w:rPr>
          <w:rFonts w:cs="Times New Roman"/>
          <w:szCs w:val="24"/>
        </w:rPr>
      </w:pPr>
    </w:p>
    <w:p w14:paraId="4852E217" w14:textId="5094C10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meaning of the term “tangible employment action” is also discussed in </w:t>
      </w:r>
      <w:r w:rsidRPr="002B283E">
        <w:rPr>
          <w:rFonts w:cs="Times New Roman"/>
          <w:i/>
          <w:iCs/>
          <w:szCs w:val="24"/>
        </w:rPr>
        <w:t>Pennsylvania State Police v. Suders</w:t>
      </w:r>
      <w:r w:rsidRPr="002B283E">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r w:rsidRPr="002B283E">
        <w:rPr>
          <w:rFonts w:cs="Times New Roman"/>
          <w:i/>
          <w:iCs/>
          <w:szCs w:val="24"/>
        </w:rPr>
        <w:t>Ellerth</w:t>
      </w:r>
      <w:r w:rsidRPr="002B283E">
        <w:rPr>
          <w:rFonts w:cs="Times New Roman"/>
          <w:szCs w:val="24"/>
        </w:rPr>
        <w:t xml:space="preserve">, 524 U.S. 742, and </w:t>
      </w:r>
      <w:r w:rsidRPr="002B283E">
        <w:rPr>
          <w:rFonts w:cs="Times New Roman"/>
          <w:i/>
          <w:iCs/>
          <w:szCs w:val="24"/>
        </w:rPr>
        <w:t>Faragher v. Boca Raton</w:t>
      </w:r>
      <w:r w:rsidRPr="002B283E">
        <w:rPr>
          <w:rFonts w:cs="Times New Roman"/>
          <w:szCs w:val="24"/>
        </w:rPr>
        <w:t>, 524 U.S. 775 (1998)</w:t>
      </w:r>
      <w:r w:rsidR="00A87F6E">
        <w:rPr>
          <w:rFonts w:cs="Times New Roman"/>
          <w:szCs w:val="24"/>
        </w:rPr>
        <w:t xml:space="preserve">. </w:t>
      </w:r>
      <w:r w:rsidRPr="002B283E">
        <w:rPr>
          <w:rFonts w:cs="Times New Roman"/>
          <w:i/>
          <w:iCs/>
          <w:szCs w:val="24"/>
        </w:rPr>
        <w:t>Suders</w:t>
      </w:r>
      <w:r w:rsidRPr="002B283E">
        <w:rPr>
          <w:rFonts w:cs="Times New Roman"/>
          <w:szCs w:val="24"/>
        </w:rPr>
        <w:t>, 542 U.S. at 140.</w:t>
      </w:r>
    </w:p>
    <w:p w14:paraId="2EB86320" w14:textId="77777777" w:rsidR="006A4CD7" w:rsidRPr="002B283E" w:rsidRDefault="006A4CD7" w:rsidP="002B283E">
      <w:pPr>
        <w:autoSpaceDE w:val="0"/>
        <w:autoSpaceDN w:val="0"/>
        <w:adjustRightInd w:val="0"/>
        <w:rPr>
          <w:rFonts w:cs="Times New Roman"/>
          <w:szCs w:val="24"/>
        </w:rPr>
      </w:pPr>
    </w:p>
    <w:p w14:paraId="72BF8323" w14:textId="74E7D09C"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Suders</w:t>
      </w:r>
      <w:r w:rsidRPr="002B283E">
        <w:rPr>
          <w:rFonts w:cs="Times New Roman"/>
          <w:szCs w:val="24"/>
        </w:rPr>
        <w:t xml:space="preserve"> concluded that a constructive discharge, in itself, does not constitute a tangible employment action that bars the </w:t>
      </w:r>
      <w:r w:rsidRPr="002B283E">
        <w:rPr>
          <w:rFonts w:cs="Times New Roman"/>
          <w:i/>
          <w:iCs/>
          <w:szCs w:val="24"/>
        </w:rPr>
        <w:t xml:space="preserve">Ellerth/Faragher </w:t>
      </w:r>
      <w:r w:rsidRPr="002B283E">
        <w:rPr>
          <w:rFonts w:cs="Times New Roman"/>
          <w:szCs w:val="24"/>
        </w:rPr>
        <w:t>affirmative defense. That defense “is available to the employer whose supervisors are charged with harassment,” and is barred only if a “tangible employment action” carried out under a supervisor’s official authority was part of the conduct leading to the constructive discharge</w:t>
      </w:r>
      <w:r w:rsidR="00A87F6E">
        <w:rPr>
          <w:rFonts w:cs="Times New Roman"/>
          <w:szCs w:val="24"/>
        </w:rPr>
        <w:t xml:space="preserve">. </w:t>
      </w:r>
      <w:r w:rsidRPr="002B283E">
        <w:rPr>
          <w:rFonts w:cs="Times New Roman"/>
          <w:i/>
          <w:iCs/>
          <w:szCs w:val="24"/>
        </w:rPr>
        <w:t xml:space="preserve">Id. </w:t>
      </w:r>
      <w:r w:rsidRPr="002B283E">
        <w:rPr>
          <w:rFonts w:cs="Times New Roman"/>
          <w:szCs w:val="24"/>
        </w:rPr>
        <w:t>at 148-49.</w:t>
      </w:r>
    </w:p>
    <w:p w14:paraId="3816BE9E" w14:textId="77777777" w:rsidR="006A4CD7" w:rsidRPr="002B283E" w:rsidRDefault="006A4CD7" w:rsidP="002B283E">
      <w:pPr>
        <w:autoSpaceDE w:val="0"/>
        <w:autoSpaceDN w:val="0"/>
        <w:adjustRightInd w:val="0"/>
        <w:rPr>
          <w:rFonts w:cs="Times New Roman"/>
          <w:szCs w:val="24"/>
        </w:rPr>
      </w:pPr>
    </w:p>
    <w:p w14:paraId="5B9B7243" w14:textId="2C3BB684"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2B283E">
        <w:rPr>
          <w:rFonts w:cs="Times New Roman"/>
          <w:szCs w:val="24"/>
        </w:rPr>
        <w:t>consequence or</w:t>
      </w:r>
      <w:r w:rsidRPr="002B283E">
        <w:rPr>
          <w:rFonts w:cs="Times New Roman"/>
          <w:szCs w:val="24"/>
        </w:rPr>
        <w:t xml:space="preserve"> fails in his efforts to coerce the employee but then actually discharges her on account of her refusal to submit to his demands</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In such situations, the employer may be held vicariously liable for the direct supervisor’s unlawful conduct and may not take advantage of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 xml:space="preserve">Id. </w:t>
      </w:r>
      <w:r w:rsidRPr="002B283E">
        <w:rPr>
          <w:rFonts w:cs="Times New Roman"/>
          <w:szCs w:val="24"/>
        </w:rPr>
        <w:t xml:space="preserve">However, an “unfulfilled, or inchoate, quid pro quo </w:t>
      </w:r>
      <w:r w:rsidRPr="002B283E">
        <w:rPr>
          <w:rFonts w:cs="Times New Roman"/>
          <w:szCs w:val="24"/>
        </w:rPr>
        <w:lastRenderedPageBreak/>
        <w:t>threat by a supervisor is not enough” to constitute a tangible employment action</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1170</w:t>
      </w:r>
      <w:r w:rsidR="00A87F6E">
        <w:rPr>
          <w:rFonts w:cs="Times New Roman"/>
          <w:szCs w:val="24"/>
        </w:rPr>
        <w:t xml:space="preserve">. </w:t>
      </w:r>
      <w:r w:rsidRPr="002B283E">
        <w:rPr>
          <w:rFonts w:cs="Times New Roman"/>
          <w:szCs w:val="24"/>
        </w:rPr>
        <w:t>Rather, the threat must culminate in the actual coercion of a sexual act or some other “form of sufficiently concrete employment action” on account of the employee’s refusal to submit</w:t>
      </w:r>
      <w:r w:rsidR="00A87F6E">
        <w:rPr>
          <w:rFonts w:cs="Times New Roman"/>
          <w:szCs w:val="24"/>
        </w:rPr>
        <w:t xml:space="preserve">. </w:t>
      </w:r>
      <w:r w:rsidRPr="002B283E">
        <w:rPr>
          <w:rFonts w:cs="Times New Roman"/>
          <w:i/>
          <w:iCs/>
          <w:szCs w:val="24"/>
        </w:rPr>
        <w:t>Id.</w:t>
      </w:r>
    </w:p>
    <w:p w14:paraId="757B5D63" w14:textId="5AF4437A" w:rsidR="006A4CD7" w:rsidRPr="002B283E" w:rsidRDefault="006A4CD7" w:rsidP="002B283E">
      <w:pPr>
        <w:pStyle w:val="Heading2"/>
      </w:pPr>
      <w:r w:rsidRPr="002B283E">
        <w:br w:type="page"/>
      </w:r>
      <w:bookmarkStart w:id="259" w:name="_Toc221525224"/>
      <w:bookmarkStart w:id="260" w:name="_Hlk225427345"/>
      <w:bookmarkEnd w:id="258"/>
      <w:r w:rsidRPr="002B283E">
        <w:lastRenderedPageBreak/>
        <w:t>10.1</w:t>
      </w:r>
      <w:r w:rsidR="0008651C">
        <w:t>5</w:t>
      </w:r>
      <w:r w:rsidRPr="002B283E">
        <w:t xml:space="preserve"> </w:t>
      </w:r>
      <w:r w:rsidR="00893907" w:rsidRPr="002B283E">
        <w:t>Civil Rights—Title VII</w:t>
      </w:r>
      <w:r w:rsidR="005C1103" w:rsidRPr="002B283E">
        <w:t>—“</w:t>
      </w:r>
      <w:r w:rsidR="00893907" w:rsidRPr="002B283E">
        <w:t>Constructive Discharge” Defined</w:t>
      </w:r>
      <w:bookmarkEnd w:id="259"/>
    </w:p>
    <w:p w14:paraId="18BA9222" w14:textId="77777777" w:rsidR="006A4CD7" w:rsidRPr="002B283E" w:rsidRDefault="006A4CD7" w:rsidP="002B283E">
      <w:pPr>
        <w:rPr>
          <w:rFonts w:cs="Times New Roman"/>
          <w:szCs w:val="24"/>
        </w:rPr>
      </w:pPr>
    </w:p>
    <w:p w14:paraId="4362DC98" w14:textId="77777777" w:rsidR="00960CF2" w:rsidRPr="002B283E" w:rsidRDefault="006A4CD7" w:rsidP="002B283E">
      <w:pPr>
        <w:autoSpaceDE w:val="0"/>
        <w:autoSpaceDN w:val="0"/>
        <w:adjustRightInd w:val="0"/>
        <w:rPr>
          <w:rFonts w:cs="Times New Roman"/>
          <w:szCs w:val="24"/>
        </w:rPr>
      </w:pPr>
      <w:r w:rsidRPr="002B283E">
        <w:rPr>
          <w:rFonts w:cs="Times New Roman"/>
          <w:szCs w:val="24"/>
        </w:rPr>
        <w:tab/>
      </w:r>
      <w:r w:rsidR="00960CF2" w:rsidRPr="002B283E">
        <w:rPr>
          <w:rFonts w:cs="Times New Roman"/>
          <w:szCs w:val="24"/>
        </w:rPr>
        <w:t>A constructive discharge occurs when the working conditions are so intolerable that a reasonable person in the plaintiff’s position would feel compelled to resign.</w:t>
      </w:r>
    </w:p>
    <w:p w14:paraId="42B59513" w14:textId="77777777" w:rsidR="00960CF2" w:rsidRPr="002B283E" w:rsidRDefault="00960CF2" w:rsidP="002B283E">
      <w:pPr>
        <w:rPr>
          <w:rFonts w:cs="Times New Roman"/>
          <w:szCs w:val="24"/>
        </w:rPr>
      </w:pPr>
    </w:p>
    <w:p w14:paraId="4B24DC48" w14:textId="77777777" w:rsidR="00960CF2" w:rsidRPr="002B283E" w:rsidRDefault="00960CF2" w:rsidP="002B283E">
      <w:pPr>
        <w:autoSpaceDE w:val="0"/>
        <w:autoSpaceDN w:val="0"/>
        <w:adjustRightInd w:val="0"/>
        <w:jc w:val="center"/>
        <w:rPr>
          <w:rFonts w:cs="Times New Roman"/>
          <w:b/>
          <w:bCs/>
          <w:szCs w:val="24"/>
        </w:rPr>
      </w:pPr>
      <w:r w:rsidRPr="002B283E">
        <w:rPr>
          <w:rFonts w:cs="Times New Roman"/>
          <w:b/>
          <w:bCs/>
          <w:szCs w:val="24"/>
        </w:rPr>
        <w:t>Comment</w:t>
      </w:r>
    </w:p>
    <w:p w14:paraId="6023A2F3" w14:textId="77777777" w:rsidR="00960CF2" w:rsidRPr="002B283E" w:rsidRDefault="00960CF2" w:rsidP="002B283E">
      <w:pPr>
        <w:rPr>
          <w:rFonts w:cs="Times New Roman"/>
          <w:szCs w:val="24"/>
        </w:rPr>
      </w:pPr>
    </w:p>
    <w:p w14:paraId="522F3A97" w14:textId="711860BC" w:rsidR="00960CF2" w:rsidRPr="002B283E" w:rsidRDefault="00960CF2" w:rsidP="002B283E">
      <w:pPr>
        <w:adjustRightInd w:val="0"/>
        <w:rPr>
          <w:rFonts w:cs="Times New Roman"/>
          <w:i/>
          <w:iCs/>
          <w:szCs w:val="24"/>
        </w:rPr>
      </w:pPr>
      <w:r w:rsidRPr="002B283E">
        <w:rPr>
          <w:rFonts w:cs="Times New Roman"/>
          <w:szCs w:val="24"/>
        </w:rPr>
        <w:tab/>
        <w:t xml:space="preserve">This instruction is based on </w:t>
      </w:r>
      <w:r w:rsidRPr="002B283E">
        <w:rPr>
          <w:rFonts w:cs="Times New Roman"/>
          <w:i/>
          <w:iCs/>
          <w:szCs w:val="24"/>
        </w:rPr>
        <w:t>Pennsylvania State Police v. Suders</w:t>
      </w:r>
      <w:r w:rsidRPr="002B283E">
        <w:rPr>
          <w:rFonts w:cs="Times New Roman"/>
          <w:szCs w:val="24"/>
        </w:rPr>
        <w:t xml:space="preserve">, 542 U.S. 129, 147 (2004). </w:t>
      </w:r>
      <w:r w:rsidRPr="002B283E">
        <w:rPr>
          <w:rFonts w:cs="Times New Roman"/>
          <w:i/>
          <w:iCs/>
          <w:szCs w:val="24"/>
        </w:rPr>
        <w:t>Accord Poland v. Chertoff</w:t>
      </w:r>
      <w:r w:rsidRPr="002B283E">
        <w:rPr>
          <w:rFonts w:cs="Times New Roman"/>
          <w:szCs w:val="24"/>
        </w:rPr>
        <w:t xml:space="preserve">, 494 F.3d 1174, 1184 (9th Cir. 2007); </w:t>
      </w:r>
      <w:r w:rsidRPr="002B283E">
        <w:rPr>
          <w:rFonts w:cs="Times New Roman"/>
          <w:i/>
          <w:iCs/>
          <w:szCs w:val="24"/>
        </w:rPr>
        <w:t>see also Emeldi v. Univ. of Or.</w:t>
      </w:r>
      <w:r w:rsidRPr="002B283E">
        <w:rPr>
          <w:rFonts w:cs="Times New Roman"/>
          <w:szCs w:val="24"/>
        </w:rPr>
        <w:t xml:space="preserve">,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 </w:t>
      </w:r>
      <w:bookmarkStart w:id="261" w:name="10.13_Civil_Rights—Title_VII—_“Construct"/>
      <w:bookmarkEnd w:id="261"/>
      <w:r w:rsidRPr="002B283E">
        <w:rPr>
          <w:rFonts w:cs="Times New Roman"/>
          <w:i/>
          <w:iCs/>
          <w:szCs w:val="24"/>
        </w:rPr>
        <w:t>Green v.</w:t>
      </w:r>
    </w:p>
    <w:p w14:paraId="78E7856C" w14:textId="44E2CF3F" w:rsidR="00960CF2" w:rsidRPr="002B283E" w:rsidRDefault="00960CF2" w:rsidP="002B283E">
      <w:pPr>
        <w:autoSpaceDE w:val="0"/>
        <w:autoSpaceDN w:val="0"/>
        <w:adjustRightInd w:val="0"/>
        <w:rPr>
          <w:rFonts w:cs="Times New Roman"/>
          <w:szCs w:val="24"/>
        </w:rPr>
      </w:pPr>
      <w:r w:rsidRPr="002B283E">
        <w:rPr>
          <w:rFonts w:cs="Times New Roman"/>
          <w:i/>
          <w:iCs/>
          <w:szCs w:val="24"/>
        </w:rPr>
        <w:t>Brennan</w:t>
      </w:r>
      <w:r w:rsidRPr="002B283E">
        <w:rPr>
          <w:rFonts w:cs="Times New Roman"/>
          <w:szCs w:val="24"/>
        </w:rPr>
        <w:t>, 578 U.S. 547, 555 (2016) (stating that constructive discharge has two elements</w:t>
      </w:r>
      <w:r w:rsidR="006426F5">
        <w:rPr>
          <w:rFonts w:cs="Times New Roman"/>
          <w:szCs w:val="24"/>
        </w:rPr>
        <w:t>—</w:t>
      </w:r>
      <w:r w:rsidRPr="002B283E">
        <w:rPr>
          <w:rFonts w:cs="Times New Roman"/>
          <w:szCs w:val="24"/>
        </w:rPr>
        <w:t>discrimination by the employer to the point where a reasonable person would have felt</w:t>
      </w:r>
    </w:p>
    <w:p w14:paraId="64F686E1" w14:textId="77777777" w:rsidR="00960CF2" w:rsidRPr="002B283E" w:rsidRDefault="00960CF2" w:rsidP="002B283E">
      <w:pPr>
        <w:autoSpaceDE w:val="0"/>
        <w:autoSpaceDN w:val="0"/>
        <w:adjustRightInd w:val="0"/>
        <w:rPr>
          <w:rFonts w:cs="Times New Roman"/>
          <w:szCs w:val="24"/>
        </w:rPr>
      </w:pPr>
      <w:r w:rsidRPr="002B283E">
        <w:rPr>
          <w:rFonts w:cs="Times New Roman"/>
          <w:szCs w:val="24"/>
        </w:rPr>
        <w:t>compelled to resign, and actual resignation).</w:t>
      </w:r>
    </w:p>
    <w:p w14:paraId="60A14F50" w14:textId="77777777" w:rsidR="00960CF2" w:rsidRPr="002B283E" w:rsidRDefault="00960CF2" w:rsidP="002B283E">
      <w:pPr>
        <w:autoSpaceDE w:val="0"/>
        <w:autoSpaceDN w:val="0"/>
        <w:adjustRightInd w:val="0"/>
        <w:jc w:val="right"/>
        <w:rPr>
          <w:rFonts w:cs="Times New Roman"/>
          <w:i/>
          <w:iCs/>
          <w:szCs w:val="24"/>
        </w:rPr>
      </w:pPr>
    </w:p>
    <w:p w14:paraId="3A5E4177" w14:textId="1AFAD0B4" w:rsidR="006A4CD7" w:rsidRPr="002B283E" w:rsidRDefault="00960CF2" w:rsidP="002B283E">
      <w:pPr>
        <w:autoSpaceDE w:val="0"/>
        <w:autoSpaceDN w:val="0"/>
        <w:adjustRightInd w:val="0"/>
        <w:jc w:val="right"/>
        <w:rPr>
          <w:rFonts w:cs="Times New Roman"/>
          <w:szCs w:val="24"/>
        </w:rPr>
      </w:pPr>
      <w:r w:rsidRPr="002B283E">
        <w:rPr>
          <w:rFonts w:cs="Times New Roman"/>
          <w:i/>
          <w:iCs/>
          <w:szCs w:val="24"/>
        </w:rPr>
        <w:t>Revised June 2024</w:t>
      </w:r>
    </w:p>
    <w:bookmarkEnd w:id="260"/>
    <w:p w14:paraId="4D02427A" w14:textId="77777777" w:rsidR="009F103E" w:rsidRPr="002B283E" w:rsidRDefault="009F103E" w:rsidP="002B283E">
      <w:pPr>
        <w:autoSpaceDE w:val="0"/>
        <w:autoSpaceDN w:val="0"/>
        <w:adjustRightInd w:val="0"/>
        <w:rPr>
          <w:rFonts w:cs="Times New Roman"/>
          <w:szCs w:val="24"/>
        </w:rPr>
      </w:pPr>
    </w:p>
    <w:p w14:paraId="6ABD30C3" w14:textId="52B0746B" w:rsidR="006A4CD7" w:rsidRPr="002B283E" w:rsidRDefault="006A4CD7" w:rsidP="002B283E">
      <w:pPr>
        <w:pStyle w:val="Heading2"/>
      </w:pPr>
      <w:r w:rsidRPr="002B283E">
        <w:br w:type="page"/>
      </w:r>
      <w:bookmarkStart w:id="262" w:name="_Toc221525225"/>
      <w:bookmarkStart w:id="263" w:name="_Hlk225427410"/>
      <w:r w:rsidRPr="002B283E">
        <w:lastRenderedPageBreak/>
        <w:t>10.1</w:t>
      </w:r>
      <w:r w:rsidR="0008651C">
        <w:t>6</w:t>
      </w:r>
      <w:r w:rsidRPr="002B283E">
        <w:t xml:space="preserve"> </w:t>
      </w:r>
      <w:r w:rsidR="00893907" w:rsidRPr="002B283E">
        <w:t>Civil Rights—Title VII—Defense—Bona Fide Occupational Qualification</w:t>
      </w:r>
      <w:bookmarkEnd w:id="262"/>
    </w:p>
    <w:p w14:paraId="77049F00" w14:textId="77777777" w:rsidR="006A4CD7" w:rsidRPr="002B283E" w:rsidRDefault="006A4CD7" w:rsidP="002B283E">
      <w:pPr>
        <w:rPr>
          <w:rFonts w:cs="Times New Roman"/>
          <w:szCs w:val="24"/>
        </w:rPr>
      </w:pPr>
    </w:p>
    <w:p w14:paraId="6098DBC2" w14:textId="4F43F26C" w:rsidR="00D41BBF" w:rsidRPr="002B283E" w:rsidRDefault="006A4CD7" w:rsidP="002B283E">
      <w:pPr>
        <w:autoSpaceDE w:val="0"/>
        <w:autoSpaceDN w:val="0"/>
        <w:adjustRightInd w:val="0"/>
        <w:rPr>
          <w:rFonts w:cs="Times New Roman"/>
          <w:szCs w:val="24"/>
        </w:rPr>
      </w:pPr>
      <w:r w:rsidRPr="002B283E">
        <w:rPr>
          <w:rFonts w:cs="Times New Roman"/>
          <w:szCs w:val="24"/>
        </w:rPr>
        <w:tab/>
      </w:r>
      <w:r w:rsidR="00D41BBF"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 xml:space="preserve">contends that [religion] [sex] [national origin] is part of a bona fide occupational qualification.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has the burden of proving both of the following elements by a preponderance of the evidence:</w:t>
      </w:r>
    </w:p>
    <w:p w14:paraId="6333897A" w14:textId="77777777" w:rsidR="00D41BBF" w:rsidRPr="002B283E" w:rsidRDefault="00D41BBF" w:rsidP="002B283E">
      <w:pPr>
        <w:autoSpaceDE w:val="0"/>
        <w:autoSpaceDN w:val="0"/>
        <w:adjustRightInd w:val="0"/>
        <w:rPr>
          <w:rFonts w:cs="Times New Roman"/>
          <w:szCs w:val="24"/>
        </w:rPr>
      </w:pPr>
    </w:p>
    <w:p w14:paraId="4B2DEBA8" w14:textId="7CB80940"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D41BBF" w:rsidRPr="002B283E">
        <w:rPr>
          <w:rFonts w:cs="Times New Roman"/>
          <w:szCs w:val="24"/>
        </w:rPr>
        <w:t>that the occupational qualification is reasonably necessary to the normal operation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D41BBF" w:rsidRPr="002B283E">
        <w:rPr>
          <w:rFonts w:cs="Times New Roman"/>
          <w:szCs w:val="24"/>
        </w:rPr>
        <w:t xml:space="preserve">’s business or enterprise; and </w:t>
      </w:r>
    </w:p>
    <w:p w14:paraId="3BB659CF" w14:textId="77777777" w:rsidR="00D41BBF" w:rsidRPr="002B283E" w:rsidRDefault="00D41BBF" w:rsidP="008A04C2">
      <w:pPr>
        <w:autoSpaceDE w:val="0"/>
        <w:autoSpaceDN w:val="0"/>
        <w:adjustRightInd w:val="0"/>
        <w:ind w:firstLine="720"/>
        <w:rPr>
          <w:rFonts w:cs="Times New Roman"/>
          <w:szCs w:val="24"/>
        </w:rPr>
      </w:pPr>
    </w:p>
    <w:p w14:paraId="5DA02281" w14:textId="3B47CB4B"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D41BBF" w:rsidRPr="002B283E">
        <w:rPr>
          <w:rFonts w:cs="Times New Roman"/>
          <w:szCs w:val="24"/>
        </w:rPr>
        <w:t xml:space="preserve">[that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D41BBF" w:rsidRPr="002B283E">
        <w:rPr>
          <w:rFonts w:cs="Times New Roman"/>
          <w:szCs w:val="24"/>
        </w:rPr>
        <w:t>had reasonable cause to believe that all [</w:t>
      </w:r>
      <w:r w:rsidR="00D41BBF" w:rsidRPr="002B283E">
        <w:rPr>
          <w:rFonts w:cs="Times New Roman"/>
          <w:i/>
          <w:iCs/>
          <w:szCs w:val="24"/>
          <w:u w:val="single"/>
        </w:rPr>
        <w:t>describe the class</w:t>
      </w:r>
      <w:r w:rsidR="00D41BBF" w:rsidRPr="002B283E">
        <w:rPr>
          <w:rFonts w:cs="Times New Roman"/>
          <w:szCs w:val="24"/>
        </w:rPr>
        <w:t>] would be unable to perform the job safely and efficiently] [or] [that it was impossible or highly impractical to consider the qualifications of each [</w:t>
      </w:r>
      <w:r w:rsidR="00D41BBF" w:rsidRPr="002B283E">
        <w:rPr>
          <w:rFonts w:cs="Times New Roman"/>
          <w:i/>
          <w:iCs/>
          <w:szCs w:val="24"/>
          <w:u w:val="single"/>
        </w:rPr>
        <w:t>describe the class</w:t>
      </w:r>
      <w:r w:rsidR="00D41BBF" w:rsidRPr="002B283E">
        <w:rPr>
          <w:rFonts w:cs="Times New Roman"/>
          <w:szCs w:val="24"/>
        </w:rPr>
        <w:t>] employee.]</w:t>
      </w:r>
    </w:p>
    <w:p w14:paraId="63589391" w14:textId="77777777" w:rsidR="00D41BBF" w:rsidRPr="002B283E" w:rsidRDefault="00D41BBF" w:rsidP="002B283E">
      <w:pPr>
        <w:autoSpaceDE w:val="0"/>
        <w:autoSpaceDN w:val="0"/>
        <w:adjustRightInd w:val="0"/>
        <w:rPr>
          <w:rFonts w:cs="Times New Roman"/>
          <w:szCs w:val="24"/>
        </w:rPr>
      </w:pPr>
    </w:p>
    <w:p w14:paraId="5822004F" w14:textId="4C4EDD94"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w:t>
      </w:r>
    </w:p>
    <w:p w14:paraId="2B72C05A" w14:textId="77777777" w:rsidR="00D41BBF" w:rsidRPr="002B283E" w:rsidRDefault="00D41BBF" w:rsidP="002B283E">
      <w:pPr>
        <w:autoSpaceDE w:val="0"/>
        <w:autoSpaceDN w:val="0"/>
        <w:adjustRightInd w:val="0"/>
        <w:rPr>
          <w:rFonts w:cs="Times New Roman"/>
          <w:szCs w:val="24"/>
        </w:rPr>
      </w:pPr>
    </w:p>
    <w:p w14:paraId="6C49F484" w14:textId="77777777" w:rsidR="00D41BBF" w:rsidRPr="002B283E" w:rsidRDefault="00D41BBF" w:rsidP="002B283E">
      <w:pPr>
        <w:autoSpaceDE w:val="0"/>
        <w:autoSpaceDN w:val="0"/>
        <w:adjustRightInd w:val="0"/>
        <w:jc w:val="center"/>
        <w:rPr>
          <w:rFonts w:cs="Times New Roman"/>
          <w:b/>
          <w:bCs/>
          <w:szCs w:val="24"/>
        </w:rPr>
      </w:pPr>
      <w:r w:rsidRPr="002B283E">
        <w:rPr>
          <w:rFonts w:cs="Times New Roman"/>
          <w:b/>
          <w:bCs/>
          <w:szCs w:val="24"/>
        </w:rPr>
        <w:t>Comment</w:t>
      </w:r>
    </w:p>
    <w:p w14:paraId="6C365227" w14:textId="77777777" w:rsidR="00D41BBF" w:rsidRPr="002B283E" w:rsidRDefault="00D41BBF" w:rsidP="002B283E">
      <w:pPr>
        <w:autoSpaceDE w:val="0"/>
        <w:autoSpaceDN w:val="0"/>
        <w:adjustRightInd w:val="0"/>
        <w:rPr>
          <w:rFonts w:cs="Times New Roman"/>
          <w:szCs w:val="24"/>
        </w:rPr>
      </w:pPr>
    </w:p>
    <w:p w14:paraId="7AFA9913" w14:textId="19AA2A47" w:rsidR="00D41BBF" w:rsidRPr="002B283E" w:rsidRDefault="00D41B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2000e-2(e)(1) (“</w:t>
      </w:r>
      <w:r w:rsidR="006426F5">
        <w:rPr>
          <w:rFonts w:cs="Times New Roman"/>
          <w:szCs w:val="24"/>
        </w:rPr>
        <w:t>[I]</w:t>
      </w:r>
      <w:r w:rsidRPr="002B283E">
        <w:rPr>
          <w:rFonts w:cs="Times New Roman"/>
          <w:szCs w:val="24"/>
        </w:rPr>
        <w:t>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 . ..”). “We reiterate our holdings in [</w:t>
      </w:r>
      <w:r w:rsidRPr="002B283E">
        <w:rPr>
          <w:rFonts w:cs="Times New Roman"/>
          <w:i/>
          <w:iCs/>
          <w:szCs w:val="24"/>
        </w:rPr>
        <w:t>Western Airlines, Inc., v. Criswell</w:t>
      </w:r>
      <w:r w:rsidRPr="002B283E">
        <w:rPr>
          <w:rFonts w:cs="Times New Roman"/>
          <w:szCs w:val="24"/>
        </w:rPr>
        <w:t>, 472 U.S. 400 (1985)] and [</w:t>
      </w:r>
      <w:r w:rsidRPr="002B283E">
        <w:rPr>
          <w:rFonts w:cs="Times New Roman"/>
          <w:i/>
          <w:iCs/>
          <w:szCs w:val="24"/>
        </w:rPr>
        <w:t>Dothard v. Rawlinson</w:t>
      </w:r>
      <w:r w:rsidRPr="002B283E">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particular business.” </w:t>
      </w:r>
      <w:r w:rsidRPr="002B283E">
        <w:rPr>
          <w:rFonts w:cs="Times New Roman"/>
          <w:i/>
          <w:iCs/>
          <w:szCs w:val="24"/>
        </w:rPr>
        <w:t>Int’l Union, UAW v. Johnson Controls, Inc.</w:t>
      </w:r>
      <w:r w:rsidRPr="002B283E">
        <w:rPr>
          <w:rFonts w:cs="Times New Roman"/>
          <w:szCs w:val="24"/>
        </w:rPr>
        <w:t>, 499 U.S. 187, 206-07 (1991) (</w:t>
      </w:r>
      <w:r w:rsidR="00825719">
        <w:rPr>
          <w:rFonts w:cs="Times New Roman"/>
          <w:szCs w:val="24"/>
        </w:rPr>
        <w:t xml:space="preserve">holding that </w:t>
      </w:r>
      <w:r w:rsidRPr="002B283E">
        <w:rPr>
          <w:rFonts w:cs="Times New Roman"/>
          <w:szCs w:val="24"/>
        </w:rPr>
        <w:t xml:space="preserve">no “factual basis for believing that all or substantially all women would be unable to perform safely and efficiently the duties of the job involved”); </w:t>
      </w:r>
      <w:r w:rsidRPr="002B283E">
        <w:rPr>
          <w:rFonts w:cs="Times New Roman"/>
          <w:i/>
          <w:iCs/>
          <w:szCs w:val="24"/>
        </w:rPr>
        <w:t>see also Criswell</w:t>
      </w:r>
      <w:r w:rsidRPr="002B283E">
        <w:rPr>
          <w:rFonts w:cs="Times New Roman"/>
          <w:szCs w:val="24"/>
        </w:rPr>
        <w:t xml:space="preserve">, 472 U.S. at 413 (suggesting that bona fide occupational qualification relates to the “essence” or “central mission” of employer’s business) (citing </w:t>
      </w:r>
      <w:r w:rsidRPr="002B283E">
        <w:rPr>
          <w:rFonts w:cs="Times New Roman"/>
          <w:i/>
          <w:iCs/>
          <w:szCs w:val="24"/>
        </w:rPr>
        <w:t>Usery v. Tamiami Trail Tours, Inc.</w:t>
      </w:r>
      <w:r w:rsidRPr="002B283E">
        <w:rPr>
          <w:rFonts w:cs="Times New Roman"/>
          <w:szCs w:val="24"/>
        </w:rPr>
        <w:t xml:space="preserve">, 531 F.2d 224 (5th Cir. 1976)); </w:t>
      </w:r>
      <w:r w:rsidRPr="002B283E">
        <w:rPr>
          <w:rFonts w:cs="Times New Roman"/>
          <w:i/>
          <w:iCs/>
          <w:szCs w:val="24"/>
        </w:rPr>
        <w:t>Frank v. United Airlines, Inc.</w:t>
      </w:r>
      <w:r w:rsidRPr="002B283E">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7ACF784B" w14:textId="77777777" w:rsidR="00D41BBF" w:rsidRPr="002B283E" w:rsidRDefault="00D41BBF" w:rsidP="002B283E">
      <w:pPr>
        <w:autoSpaceDE w:val="0"/>
        <w:autoSpaceDN w:val="0"/>
        <w:adjustRightInd w:val="0"/>
        <w:rPr>
          <w:rFonts w:cs="Times New Roman"/>
          <w:szCs w:val="24"/>
        </w:rPr>
      </w:pPr>
    </w:p>
    <w:p w14:paraId="0446C1F9" w14:textId="18B9CA6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2B283E">
        <w:rPr>
          <w:rFonts w:cs="Times New Roman"/>
          <w:i/>
          <w:iCs/>
          <w:szCs w:val="24"/>
        </w:rPr>
        <w:t>Bates v. United Parcel, Inc</w:t>
      </w:r>
      <w:r w:rsidRPr="002B283E">
        <w:rPr>
          <w:rFonts w:cs="Times New Roman"/>
          <w:szCs w:val="24"/>
        </w:rPr>
        <w:t xml:space="preserve">., 511 F.3d 974, 998 (9th Cir. 2007) (involving </w:t>
      </w:r>
      <w:r w:rsidR="006426F5">
        <w:rPr>
          <w:rFonts w:cs="Times New Roman"/>
          <w:szCs w:val="24"/>
        </w:rPr>
        <w:t xml:space="preserve">an </w:t>
      </w:r>
      <w:r w:rsidRPr="002B283E">
        <w:rPr>
          <w:rFonts w:cs="Times New Roman"/>
          <w:szCs w:val="24"/>
        </w:rPr>
        <w:t xml:space="preserve">employer’s requirement that employee meet DOT hearing standard even when </w:t>
      </w:r>
      <w:r w:rsidR="006426F5">
        <w:rPr>
          <w:rFonts w:cs="Times New Roman"/>
          <w:szCs w:val="24"/>
        </w:rPr>
        <w:t xml:space="preserve">the </w:t>
      </w:r>
      <w:r w:rsidRPr="002B283E">
        <w:rPr>
          <w:rFonts w:cs="Times New Roman"/>
          <w:szCs w:val="24"/>
        </w:rPr>
        <w:t>vehicle driven was non-DOT regulated package vehicle).</w:t>
      </w:r>
    </w:p>
    <w:p w14:paraId="298C1027" w14:textId="77777777" w:rsidR="00D41BBF" w:rsidRPr="002B283E" w:rsidRDefault="00D41BBF" w:rsidP="002B283E">
      <w:pPr>
        <w:autoSpaceDE w:val="0"/>
        <w:autoSpaceDN w:val="0"/>
        <w:adjustRightInd w:val="0"/>
        <w:rPr>
          <w:rFonts w:cs="Times New Roman"/>
          <w:szCs w:val="24"/>
        </w:rPr>
      </w:pPr>
    </w:p>
    <w:p w14:paraId="7D545F76" w14:textId="7777777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A bona fide occupational qualification defense does not bar a claim for discrimination if this defense is merely pretextual. </w:t>
      </w:r>
      <w:r w:rsidRPr="002B283E">
        <w:rPr>
          <w:rFonts w:cs="Times New Roman"/>
          <w:i/>
          <w:iCs/>
          <w:szCs w:val="24"/>
        </w:rPr>
        <w:t>See Zeinali v. Raytheon Co</w:t>
      </w:r>
      <w:r w:rsidRPr="002B283E">
        <w:rPr>
          <w:rFonts w:cs="Times New Roman"/>
          <w:szCs w:val="24"/>
        </w:rPr>
        <w:t xml:space="preserve">., 636 F.3d 544 (9th Cir. 2011) </w:t>
      </w:r>
    </w:p>
    <w:p w14:paraId="28DF3405" w14:textId="0BBBC83C" w:rsidR="00D41BBF" w:rsidRPr="002B283E" w:rsidRDefault="00D41BBF" w:rsidP="002B283E">
      <w:pPr>
        <w:autoSpaceDE w:val="0"/>
        <w:autoSpaceDN w:val="0"/>
        <w:adjustRightInd w:val="0"/>
        <w:rPr>
          <w:rFonts w:cs="Times New Roman"/>
          <w:szCs w:val="24"/>
        </w:rPr>
      </w:pPr>
      <w:r w:rsidRPr="002B283E">
        <w:rPr>
          <w:rFonts w:cs="Times New Roman"/>
          <w:szCs w:val="24"/>
        </w:rPr>
        <w:lastRenderedPageBreak/>
        <w:t>(holding</w:t>
      </w:r>
      <w:r w:rsidR="00792314">
        <w:rPr>
          <w:rFonts w:cs="Times New Roman"/>
          <w:szCs w:val="24"/>
        </w:rPr>
        <w:t xml:space="preserve"> that</w:t>
      </w:r>
      <w:r w:rsidRPr="002B283E">
        <w:rPr>
          <w:rFonts w:cs="Times New Roman"/>
          <w:szCs w:val="24"/>
        </w:rPr>
        <w:t xml:space="preserve"> Iranian engineer may have Title VII claim for discrimination based on race and national origin when termination was based on failure to obtain security clearance while non-Iranian engineers who did not have security clearances were retained).</w:t>
      </w:r>
    </w:p>
    <w:p w14:paraId="15DB6AED" w14:textId="77777777" w:rsidR="00D41BBF" w:rsidRPr="002B283E" w:rsidRDefault="00D41BBF" w:rsidP="002B283E">
      <w:pPr>
        <w:rPr>
          <w:rFonts w:cs="Times New Roman"/>
          <w:szCs w:val="24"/>
        </w:rPr>
      </w:pPr>
    </w:p>
    <w:p w14:paraId="1DA1C809" w14:textId="16A5ADDF" w:rsidR="00D41BBF" w:rsidRPr="002B283E" w:rsidRDefault="00D41BBF" w:rsidP="002B283E">
      <w:pPr>
        <w:rPr>
          <w:rFonts w:cs="Times New Roman"/>
          <w:szCs w:val="24"/>
        </w:rPr>
      </w:pPr>
      <w:r w:rsidRPr="002B283E">
        <w:rPr>
          <w:rFonts w:cs="Times New Roman"/>
          <w:szCs w:val="24"/>
        </w:rPr>
        <w:tab/>
        <w:t xml:space="preserve">“Under Title VII, the [bona fide occupational qualification] defense is not available at all where discrimination is based on race or color.” </w:t>
      </w:r>
      <w:r w:rsidRPr="002B283E">
        <w:rPr>
          <w:rFonts w:cs="Times New Roman"/>
          <w:i/>
          <w:iCs/>
          <w:szCs w:val="24"/>
        </w:rPr>
        <w:t>Morton v. United Parcel Serv</w:t>
      </w:r>
      <w:r w:rsidRPr="002B283E">
        <w:rPr>
          <w:rFonts w:cs="Times New Roman"/>
          <w:szCs w:val="24"/>
        </w:rPr>
        <w:t xml:space="preserve">., 272 F.3d 1249, 1260 n.11 (9th Cir. 2001). </w:t>
      </w:r>
      <w:bookmarkStart w:id="264" w:name="10.14_Civil_Rights—Title_VII—Defense—Bon"/>
      <w:bookmarkEnd w:id="264"/>
      <w:r w:rsidRPr="002B283E">
        <w:rPr>
          <w:rFonts w:cs="Times New Roman"/>
          <w:szCs w:val="24"/>
        </w:rPr>
        <w:t xml:space="preserve">Limited gender discrimination may be permissible in prison employment but the employer must have an objective “basis in fact” that the gender discrimination is “reasonably necessary” to the business operation. </w:t>
      </w:r>
      <w:r w:rsidRPr="002B283E">
        <w:rPr>
          <w:rFonts w:cs="Times New Roman"/>
          <w:i/>
          <w:iCs/>
          <w:szCs w:val="24"/>
        </w:rPr>
        <w:t>Teamsters Lo</w:t>
      </w:r>
      <w:r w:rsidR="00792314">
        <w:rPr>
          <w:rFonts w:cs="Times New Roman"/>
          <w:i/>
          <w:iCs/>
          <w:szCs w:val="24"/>
        </w:rPr>
        <w:t xml:space="preserve">c. </w:t>
      </w:r>
      <w:r w:rsidRPr="002B283E">
        <w:rPr>
          <w:rFonts w:cs="Times New Roman"/>
          <w:i/>
          <w:iCs/>
          <w:szCs w:val="24"/>
        </w:rPr>
        <w:t>Union No. 117 v. Wash</w:t>
      </w:r>
      <w:r w:rsidR="00792314">
        <w:rPr>
          <w:rFonts w:cs="Times New Roman"/>
          <w:i/>
          <w:iCs/>
          <w:szCs w:val="24"/>
        </w:rPr>
        <w:t xml:space="preserve">. </w:t>
      </w:r>
      <w:r w:rsidRPr="002B283E">
        <w:rPr>
          <w:rFonts w:cs="Times New Roman"/>
          <w:i/>
          <w:iCs/>
          <w:szCs w:val="24"/>
        </w:rPr>
        <w:t>Dep’t of Corr.</w:t>
      </w:r>
      <w:r w:rsidRPr="002B283E">
        <w:rPr>
          <w:rFonts w:cs="Times New Roman"/>
          <w:szCs w:val="24"/>
        </w:rPr>
        <w:t>, 789 F.3d 979, 986 (9th Circ. 2015).</w:t>
      </w:r>
    </w:p>
    <w:p w14:paraId="6283D51D" w14:textId="77777777" w:rsidR="00D41BBF" w:rsidRPr="002B283E" w:rsidRDefault="00D41BBF" w:rsidP="002B283E">
      <w:pPr>
        <w:rPr>
          <w:rFonts w:cs="Times New Roman"/>
          <w:szCs w:val="24"/>
        </w:rPr>
      </w:pPr>
    </w:p>
    <w:p w14:paraId="1EA84E96" w14:textId="19CA5E3B" w:rsidR="006A4CD7" w:rsidRPr="002B283E" w:rsidRDefault="00D41BBF" w:rsidP="002B283E">
      <w:pPr>
        <w:jc w:val="right"/>
        <w:rPr>
          <w:rFonts w:cs="Times New Roman"/>
          <w:szCs w:val="24"/>
        </w:rPr>
      </w:pPr>
      <w:r w:rsidRPr="002B283E">
        <w:rPr>
          <w:rFonts w:cs="Times New Roman"/>
          <w:i/>
          <w:iCs/>
          <w:szCs w:val="24"/>
        </w:rPr>
        <w:t>Revised June 2024</w:t>
      </w:r>
    </w:p>
    <w:p w14:paraId="39DB8DA2" w14:textId="77777777" w:rsidR="009F103E" w:rsidRPr="002B283E" w:rsidRDefault="009F103E" w:rsidP="002B283E">
      <w:pPr>
        <w:rPr>
          <w:rFonts w:cs="Times New Roman"/>
          <w:szCs w:val="24"/>
        </w:rPr>
      </w:pPr>
    </w:p>
    <w:p w14:paraId="36D56215" w14:textId="77777777" w:rsidR="00B0631D" w:rsidRPr="002B283E" w:rsidRDefault="00B0631D" w:rsidP="002B283E">
      <w:pPr>
        <w:rPr>
          <w:rFonts w:cs="Times New Roman"/>
          <w:szCs w:val="24"/>
        </w:rPr>
      </w:pPr>
    </w:p>
    <w:bookmarkEnd w:id="263"/>
    <w:p w14:paraId="33209E7D" w14:textId="7AFFB5B1" w:rsidR="006A4CD7" w:rsidRPr="002B283E" w:rsidRDefault="006A4CD7" w:rsidP="002B283E">
      <w:pPr>
        <w:pStyle w:val="Heading2"/>
      </w:pPr>
      <w:r w:rsidRPr="002B283E">
        <w:br w:type="page"/>
      </w:r>
      <w:bookmarkStart w:id="265" w:name="_Toc221525226"/>
      <w:bookmarkStart w:id="266" w:name="_Hlk225427528"/>
      <w:r w:rsidRPr="002B283E">
        <w:lastRenderedPageBreak/>
        <w:t>10.1</w:t>
      </w:r>
      <w:r w:rsidR="0008651C">
        <w:t>7</w:t>
      </w:r>
      <w:r w:rsidRPr="002B283E">
        <w:t xml:space="preserve"> </w:t>
      </w:r>
      <w:r w:rsidR="00893907" w:rsidRPr="002B283E">
        <w:t>Civil Rights—Title VII—Defense—Bona Fide Seniority System</w:t>
      </w:r>
      <w:bookmarkEnd w:id="265"/>
    </w:p>
    <w:p w14:paraId="056CF99B" w14:textId="77777777" w:rsidR="006A4CD7" w:rsidRPr="002B283E" w:rsidRDefault="006A4CD7" w:rsidP="002B283E">
      <w:pPr>
        <w:rPr>
          <w:rFonts w:cs="Times New Roman"/>
          <w:szCs w:val="24"/>
        </w:rPr>
      </w:pPr>
    </w:p>
    <w:p w14:paraId="609D844D" w14:textId="19681190" w:rsidR="00487188" w:rsidRPr="002B283E" w:rsidRDefault="006A4CD7" w:rsidP="002B283E">
      <w:pPr>
        <w:autoSpaceDE w:val="0"/>
        <w:autoSpaceDN w:val="0"/>
        <w:adjustRightInd w:val="0"/>
        <w:rPr>
          <w:rFonts w:cs="Times New Roman"/>
          <w:szCs w:val="24"/>
        </w:rPr>
      </w:pPr>
      <w:r w:rsidRPr="002B283E">
        <w:rPr>
          <w:rFonts w:cs="Times New Roman"/>
          <w:szCs w:val="24"/>
        </w:rPr>
        <w:tab/>
      </w:r>
      <w:r w:rsidR="00487188"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contends that the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has the burden of proving both of the following elements by a preponderance of the evidence:</w:t>
      </w:r>
    </w:p>
    <w:p w14:paraId="15E968D3" w14:textId="77777777" w:rsidR="00487188" w:rsidRPr="002B283E" w:rsidRDefault="00487188" w:rsidP="002B283E">
      <w:pPr>
        <w:autoSpaceDE w:val="0"/>
        <w:autoSpaceDN w:val="0"/>
        <w:adjustRightInd w:val="0"/>
        <w:rPr>
          <w:rFonts w:cs="Times New Roman"/>
          <w:szCs w:val="24"/>
        </w:rPr>
      </w:pPr>
    </w:p>
    <w:p w14:paraId="36671AE1" w14:textId="48767204"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487188" w:rsidRPr="002B283E">
        <w:rPr>
          <w:rFonts w:cs="Times New Roman"/>
          <w:szCs w:val="24"/>
        </w:rPr>
        <w:t>the seniority system had legitimate goals and was not designed to discriminate on the basis of [race] [color] [religion] [sex] [national origin]; and</w:t>
      </w:r>
    </w:p>
    <w:p w14:paraId="2C7EF45E" w14:textId="77777777" w:rsidR="00487188" w:rsidRPr="002B283E" w:rsidRDefault="00487188" w:rsidP="008A04C2">
      <w:pPr>
        <w:autoSpaceDE w:val="0"/>
        <w:autoSpaceDN w:val="0"/>
        <w:adjustRightInd w:val="0"/>
        <w:ind w:firstLine="720"/>
        <w:rPr>
          <w:rFonts w:cs="Times New Roman"/>
          <w:szCs w:val="24"/>
        </w:rPr>
      </w:pPr>
    </w:p>
    <w:p w14:paraId="1D7190B1" w14:textId="6406F023"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487188" w:rsidRPr="002B283E">
        <w:rPr>
          <w:rFonts w:cs="Times New Roman"/>
          <w:szCs w:val="24"/>
        </w:rPr>
        <w:t>the seniority system used the employee’s length of service as the primary consideration in selecting the employees who would not be [</w:t>
      </w:r>
      <w:r w:rsidR="00487188" w:rsidRPr="006426F5">
        <w:rPr>
          <w:rFonts w:cs="Times New Roman"/>
          <w:i/>
          <w:iCs/>
          <w:szCs w:val="24"/>
          <w:u w:val="single"/>
        </w:rPr>
        <w:t>describe the alleged discriminatory action</w:t>
      </w:r>
      <w:r w:rsidR="00487188" w:rsidRPr="002B283E">
        <w:rPr>
          <w:rFonts w:cs="Times New Roman"/>
          <w:szCs w:val="24"/>
        </w:rPr>
        <w:t>]</w:t>
      </w:r>
      <w:r w:rsidR="00A87F6E">
        <w:rPr>
          <w:rFonts w:cs="Times New Roman"/>
          <w:szCs w:val="24"/>
        </w:rPr>
        <w:t xml:space="preserve">. </w:t>
      </w:r>
    </w:p>
    <w:p w14:paraId="28C8A846" w14:textId="77777777" w:rsidR="00487188" w:rsidRPr="002B283E" w:rsidRDefault="00487188" w:rsidP="002B283E">
      <w:pPr>
        <w:autoSpaceDE w:val="0"/>
        <w:autoSpaceDN w:val="0"/>
        <w:adjustRightInd w:val="0"/>
        <w:rPr>
          <w:rFonts w:cs="Times New Roman"/>
          <w:szCs w:val="24"/>
        </w:rPr>
      </w:pPr>
    </w:p>
    <w:p w14:paraId="34EC5455" w14:textId="5C81F7BE" w:rsidR="00487188" w:rsidRPr="002B283E" w:rsidRDefault="00487188"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rPr>
          <w:rFonts w:cs="Times New Roman"/>
          <w:szCs w:val="24"/>
        </w:rPr>
        <w:t xml:space="preserve">. </w:t>
      </w:r>
    </w:p>
    <w:p w14:paraId="696BFE9E" w14:textId="77777777" w:rsidR="00487188" w:rsidRPr="002B283E" w:rsidRDefault="00487188" w:rsidP="002B283E">
      <w:pPr>
        <w:autoSpaceDE w:val="0"/>
        <w:autoSpaceDN w:val="0"/>
        <w:adjustRightInd w:val="0"/>
        <w:rPr>
          <w:rFonts w:cs="Times New Roman"/>
          <w:szCs w:val="24"/>
        </w:rPr>
      </w:pPr>
    </w:p>
    <w:p w14:paraId="6F13E703" w14:textId="77777777" w:rsidR="00487188" w:rsidRPr="002B283E" w:rsidRDefault="00487188" w:rsidP="002B283E">
      <w:pPr>
        <w:autoSpaceDE w:val="0"/>
        <w:autoSpaceDN w:val="0"/>
        <w:adjustRightInd w:val="0"/>
        <w:jc w:val="center"/>
        <w:rPr>
          <w:rFonts w:cs="Times New Roman"/>
          <w:b/>
          <w:bCs/>
          <w:szCs w:val="24"/>
        </w:rPr>
      </w:pPr>
      <w:r w:rsidRPr="002B283E">
        <w:rPr>
          <w:rFonts w:cs="Times New Roman"/>
          <w:b/>
          <w:bCs/>
          <w:szCs w:val="24"/>
        </w:rPr>
        <w:t>Comment</w:t>
      </w:r>
    </w:p>
    <w:p w14:paraId="69924257" w14:textId="77777777" w:rsidR="00487188" w:rsidRPr="002B283E" w:rsidRDefault="00487188" w:rsidP="002B283E">
      <w:pPr>
        <w:autoSpaceDE w:val="0"/>
        <w:autoSpaceDN w:val="0"/>
        <w:adjustRightInd w:val="0"/>
        <w:rPr>
          <w:rFonts w:cs="Times New Roman"/>
          <w:szCs w:val="24"/>
        </w:rPr>
      </w:pPr>
    </w:p>
    <w:p w14:paraId="2B08054F"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ab/>
        <w:t>In relevant part 42 U.S.C. § 2000e-2(h) provides:</w:t>
      </w:r>
    </w:p>
    <w:p w14:paraId="6DC06B48" w14:textId="77777777" w:rsidR="00487188" w:rsidRPr="002B283E" w:rsidRDefault="00487188" w:rsidP="002B283E">
      <w:pPr>
        <w:autoSpaceDE w:val="0"/>
        <w:autoSpaceDN w:val="0"/>
        <w:adjustRightInd w:val="0"/>
        <w:rPr>
          <w:rFonts w:cs="Times New Roman"/>
          <w:szCs w:val="24"/>
        </w:rPr>
      </w:pPr>
    </w:p>
    <w:p w14:paraId="09E0A338" w14:textId="77777777" w:rsidR="00487188" w:rsidRPr="002B283E" w:rsidRDefault="00487188">
      <w:pPr>
        <w:autoSpaceDE w:val="0"/>
        <w:autoSpaceDN w:val="0"/>
        <w:adjustRightInd w:val="0"/>
        <w:ind w:left="720" w:right="720"/>
        <w:jc w:val="both"/>
        <w:rPr>
          <w:rFonts w:cs="Times New Roman"/>
          <w:szCs w:val="24"/>
        </w:rPr>
      </w:pPr>
      <w:r w:rsidRPr="002B283E">
        <w:rPr>
          <w:rFonts w:cs="Times New Roman"/>
          <w:szCs w:val="24"/>
        </w:rPr>
        <w:t>[I]t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 . ..</w:t>
      </w:r>
    </w:p>
    <w:p w14:paraId="09E24AC7" w14:textId="77777777" w:rsidR="00487188" w:rsidRPr="002B283E" w:rsidRDefault="00487188" w:rsidP="002B283E">
      <w:pPr>
        <w:autoSpaceDE w:val="0"/>
        <w:autoSpaceDN w:val="0"/>
        <w:adjustRightInd w:val="0"/>
        <w:rPr>
          <w:rFonts w:cs="Times New Roman"/>
          <w:szCs w:val="24"/>
        </w:rPr>
      </w:pPr>
    </w:p>
    <w:p w14:paraId="495B66F2" w14:textId="599EB75A" w:rsidR="00487188" w:rsidRPr="002B283E" w:rsidRDefault="00487188" w:rsidP="002B283E">
      <w:pPr>
        <w:adjustRightInd w:val="0"/>
        <w:rPr>
          <w:rFonts w:cs="Times New Roman"/>
          <w:i/>
          <w:iCs/>
          <w:szCs w:val="24"/>
        </w:rPr>
      </w:pPr>
      <w:r w:rsidRPr="002B283E">
        <w:rPr>
          <w:rFonts w:cs="Times New Roman"/>
          <w:szCs w:val="24"/>
        </w:rPr>
        <w:tab/>
        <w:t xml:space="preserve">Bona fide seniority systems are valid under Title VII pursuant to 42 U.S.C. § 2000e-2(h), even though such systems may perpetuate pre-Act discrimination. </w:t>
      </w:r>
      <w:r w:rsidRPr="002B283E">
        <w:rPr>
          <w:rFonts w:cs="Times New Roman"/>
          <w:i/>
          <w:iCs/>
          <w:szCs w:val="24"/>
        </w:rPr>
        <w:t>See Int’l. Bhd. of Teamsters v. United States</w:t>
      </w:r>
      <w:r w:rsidRPr="002B283E">
        <w:rPr>
          <w:rFonts w:cs="Times New Roman"/>
          <w:szCs w:val="24"/>
        </w:rPr>
        <w:t xml:space="preserve">, 431 U.S. 324, 348-55 (1977). Seniority systems do not violate Title VII even if they have a disproportionate effect on a protected group, so long as they are not intentionally discriminatory. </w:t>
      </w:r>
      <w:r w:rsidRPr="002B283E">
        <w:rPr>
          <w:rFonts w:cs="Times New Roman"/>
          <w:i/>
          <w:iCs/>
          <w:szCs w:val="24"/>
        </w:rPr>
        <w:t>See Pullman-Standard v. Swint</w:t>
      </w:r>
      <w:r w:rsidRPr="002B283E">
        <w:rPr>
          <w:rFonts w:cs="Times New Roman"/>
          <w:szCs w:val="24"/>
        </w:rPr>
        <w:t xml:space="preserve">, 456 U.S. 273, 289 (1982); </w:t>
      </w:r>
      <w:r w:rsidRPr="002B283E">
        <w:rPr>
          <w:rFonts w:cs="Times New Roman"/>
          <w:i/>
          <w:iCs/>
          <w:szCs w:val="24"/>
        </w:rPr>
        <w:t>Balint v. Carson City</w:t>
      </w:r>
      <w:r w:rsidRPr="002B283E">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2B283E">
        <w:rPr>
          <w:rFonts w:cs="Times New Roman"/>
          <w:i/>
          <w:iCs/>
          <w:szCs w:val="24"/>
        </w:rPr>
        <w:t>See Lorance v. AT&amp;T Tech</w:t>
      </w:r>
      <w:r w:rsidR="00792314">
        <w:rPr>
          <w:rFonts w:cs="Times New Roman"/>
          <w:i/>
          <w:iCs/>
          <w:szCs w:val="24"/>
        </w:rPr>
        <w:t>s.</w:t>
      </w:r>
      <w:r w:rsidRPr="002B283E">
        <w:rPr>
          <w:rFonts w:cs="Times New Roman"/>
          <w:i/>
          <w:iCs/>
          <w:szCs w:val="24"/>
        </w:rPr>
        <w:t>, Inc</w:t>
      </w:r>
      <w:r w:rsidRPr="002B283E">
        <w:rPr>
          <w:rFonts w:cs="Times New Roman"/>
          <w:szCs w:val="24"/>
        </w:rPr>
        <w:t xml:space="preserve">., 490 U.S. 900, 905 (1989) </w:t>
      </w:r>
      <w:bookmarkStart w:id="267" w:name="10.15_Civil_Rights—Title_VII—Defense—Bon"/>
      <w:bookmarkEnd w:id="267"/>
      <w:r w:rsidRPr="002B283E">
        <w:rPr>
          <w:rFonts w:cs="Times New Roman"/>
          <w:szCs w:val="24"/>
        </w:rPr>
        <w:t xml:space="preserve">(ruling on filing period for timely charge superseded by statute as stated in </w:t>
      </w:r>
      <w:r w:rsidRPr="002B283E">
        <w:rPr>
          <w:rFonts w:cs="Times New Roman"/>
          <w:i/>
          <w:iCs/>
          <w:szCs w:val="24"/>
        </w:rPr>
        <w:t>Ledbetter v.</w:t>
      </w:r>
    </w:p>
    <w:p w14:paraId="528923A9" w14:textId="77777777" w:rsidR="00487188" w:rsidRPr="002B283E" w:rsidRDefault="00487188" w:rsidP="002B283E">
      <w:pPr>
        <w:adjustRightInd w:val="0"/>
        <w:rPr>
          <w:rFonts w:cs="Times New Roman"/>
          <w:szCs w:val="24"/>
        </w:rPr>
      </w:pPr>
      <w:r w:rsidRPr="002B283E">
        <w:rPr>
          <w:rFonts w:cs="Times New Roman"/>
          <w:i/>
          <w:iCs/>
          <w:szCs w:val="24"/>
        </w:rPr>
        <w:t>Goodyear Tire &amp; Rubber Co.</w:t>
      </w:r>
      <w:r w:rsidRPr="002B283E">
        <w:rPr>
          <w:rFonts w:cs="Times New Roman"/>
          <w:szCs w:val="24"/>
        </w:rPr>
        <w:t>, 550 U.S. 618, 628 (2007));</w:t>
      </w:r>
      <w:r w:rsidRPr="002B283E">
        <w:rPr>
          <w:rFonts w:cs="Times New Roman"/>
          <w:i/>
          <w:iCs/>
          <w:szCs w:val="24"/>
        </w:rPr>
        <w:t xml:space="preserve"> AT&amp;T Corp. v. Hulteen</w:t>
      </w:r>
      <w:r w:rsidRPr="002B283E">
        <w:rPr>
          <w:rFonts w:cs="Times New Roman"/>
          <w:szCs w:val="24"/>
        </w:rPr>
        <w:t>, 556</w:t>
      </w:r>
    </w:p>
    <w:p w14:paraId="7229EAC0"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U.S. 701, 710 (2009) (stating that a bona fide seniority system is a system that has no</w:t>
      </w:r>
    </w:p>
    <w:p w14:paraId="36E5CDF7" w14:textId="70C3B739" w:rsidR="00F16F3D" w:rsidRPr="002B283E" w:rsidRDefault="00487188" w:rsidP="002B283E">
      <w:pPr>
        <w:autoSpaceDE w:val="0"/>
        <w:autoSpaceDN w:val="0"/>
        <w:adjustRightInd w:val="0"/>
        <w:rPr>
          <w:rFonts w:cs="Times New Roman"/>
          <w:szCs w:val="24"/>
        </w:rPr>
      </w:pPr>
      <w:r w:rsidRPr="002B283E">
        <w:rPr>
          <w:rFonts w:cs="Times New Roman"/>
          <w:szCs w:val="24"/>
        </w:rPr>
        <w:t xml:space="preserve">discriminatory terms). Seniority systems necessarily “contain ancillary rules that accomplish certain necessary functions, but which may not themselves be directly related to length of employment.” </w:t>
      </w:r>
      <w:r w:rsidRPr="002B283E">
        <w:rPr>
          <w:rFonts w:cs="Times New Roman"/>
          <w:i/>
          <w:iCs/>
          <w:szCs w:val="24"/>
        </w:rPr>
        <w:t>California Brewers Ass’n v. Bryant</w:t>
      </w:r>
      <w:r w:rsidRPr="002B283E">
        <w:rPr>
          <w:rFonts w:cs="Times New Roman"/>
          <w:szCs w:val="24"/>
        </w:rPr>
        <w:t xml:space="preserve">, 444 U.S. 598, 604, 607 (1980) (reversing </w:t>
      </w:r>
      <w:r w:rsidRPr="002B283E">
        <w:rPr>
          <w:rFonts w:cs="Times New Roman"/>
          <w:szCs w:val="24"/>
        </w:rPr>
        <w:lastRenderedPageBreak/>
        <w:t>circuit determination that “fundamental component” of seniority system is “the concept that employment rights should increase as the length of an employee’s service increases.”).</w:t>
      </w:r>
    </w:p>
    <w:p w14:paraId="34377864" w14:textId="77777777" w:rsidR="006E65C6" w:rsidRPr="002B283E" w:rsidRDefault="006E65C6" w:rsidP="002B283E">
      <w:pPr>
        <w:autoSpaceDE w:val="0"/>
        <w:autoSpaceDN w:val="0"/>
        <w:adjustRightInd w:val="0"/>
        <w:rPr>
          <w:rFonts w:cs="Times New Roman"/>
          <w:szCs w:val="24"/>
        </w:rPr>
      </w:pPr>
    </w:p>
    <w:p w14:paraId="112DE477" w14:textId="4803050E" w:rsidR="006A4CD7" w:rsidRPr="002B283E" w:rsidRDefault="00487188" w:rsidP="002B283E">
      <w:pPr>
        <w:autoSpaceDE w:val="0"/>
        <w:autoSpaceDN w:val="0"/>
        <w:adjustRightInd w:val="0"/>
        <w:jc w:val="right"/>
        <w:rPr>
          <w:rFonts w:cs="Times New Roman"/>
          <w:szCs w:val="24"/>
        </w:rPr>
      </w:pPr>
      <w:r w:rsidRPr="002B283E">
        <w:rPr>
          <w:rFonts w:cs="Times New Roman"/>
          <w:i/>
          <w:iCs/>
          <w:szCs w:val="24"/>
        </w:rPr>
        <w:t>Revised June 2024</w:t>
      </w:r>
    </w:p>
    <w:bookmarkEnd w:id="266"/>
    <w:p w14:paraId="28A25AD6" w14:textId="3DEE045D" w:rsidR="006A4CD7" w:rsidRPr="002B283E" w:rsidRDefault="006A4CD7" w:rsidP="002B283E">
      <w:pPr>
        <w:pStyle w:val="Heading2"/>
      </w:pPr>
      <w:r w:rsidRPr="002B283E">
        <w:br w:type="page"/>
      </w:r>
      <w:bookmarkStart w:id="268" w:name="_Toc221525227"/>
      <w:bookmarkStart w:id="269" w:name="_Hlk225427590"/>
      <w:r w:rsidRPr="002B283E">
        <w:lastRenderedPageBreak/>
        <w:t>10.1</w:t>
      </w:r>
      <w:r w:rsidR="0008651C">
        <w:t>8</w:t>
      </w:r>
      <w:r w:rsidRPr="002B283E">
        <w:t xml:space="preserve"> </w:t>
      </w:r>
      <w:r w:rsidR="00893907" w:rsidRPr="002B283E">
        <w:t>Civil Rights—Title VII—Defense—After-Acquired Evidence</w:t>
      </w:r>
      <w:bookmarkEnd w:id="268"/>
    </w:p>
    <w:p w14:paraId="77838F06" w14:textId="77777777" w:rsidR="006A4CD7" w:rsidRPr="002B283E" w:rsidRDefault="006A4CD7" w:rsidP="002B283E">
      <w:pPr>
        <w:autoSpaceDE w:val="0"/>
        <w:autoSpaceDN w:val="0"/>
        <w:adjustRightInd w:val="0"/>
        <w:jc w:val="center"/>
        <w:rPr>
          <w:rFonts w:cs="Times New Roman"/>
          <w:szCs w:val="24"/>
        </w:rPr>
      </w:pPr>
    </w:p>
    <w:p w14:paraId="349ED889" w14:textId="1F58FA00" w:rsidR="00305894" w:rsidRPr="002B283E" w:rsidRDefault="006A4CD7" w:rsidP="002B283E">
      <w:pPr>
        <w:autoSpaceDE w:val="0"/>
        <w:autoSpaceDN w:val="0"/>
        <w:adjustRightInd w:val="0"/>
        <w:rPr>
          <w:rFonts w:cs="Times New Roman"/>
          <w:szCs w:val="24"/>
        </w:rPr>
      </w:pPr>
      <w:r w:rsidRPr="002B283E">
        <w:rPr>
          <w:rFonts w:cs="Times New Roman"/>
          <w:szCs w:val="24"/>
        </w:rPr>
        <w:tab/>
      </w:r>
      <w:r w:rsidR="00305894"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contends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would have made the same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w:t>
      </w:r>
      <w:r w:rsidR="00305894" w:rsidRPr="002B283E">
        <w:rPr>
          <w:rFonts w:cs="Times New Roman"/>
          <w:i/>
          <w:iCs/>
          <w:szCs w:val="24"/>
          <w:u w:val="single"/>
        </w:rPr>
        <w:t>describe the after-discovered misconduct</w:t>
      </w:r>
      <w:r w:rsidR="00305894" w:rsidRPr="002B283E">
        <w:rPr>
          <w:rFonts w:cs="Times New Roman"/>
          <w:szCs w:val="24"/>
        </w:rPr>
        <w:t xml:space="preserve">]. If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proves by a preponderance of the evidence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could have made the same decision and [would have discharged] [would not have hired] [would not have promoted] [would have demoted]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of [</w:t>
      </w:r>
      <w:r w:rsidR="00305894" w:rsidRPr="002B283E">
        <w:rPr>
          <w:rFonts w:cs="Times New Roman"/>
          <w:i/>
          <w:iCs/>
          <w:szCs w:val="24"/>
          <w:u w:val="single"/>
        </w:rPr>
        <w:t>describe the after-discovered misconduct</w:t>
      </w:r>
      <w:r w:rsidR="00305894" w:rsidRPr="002B283E">
        <w:rPr>
          <w:rFonts w:cs="Times New Roman"/>
          <w:szCs w:val="24"/>
        </w:rPr>
        <w:t xml:space="preserve">], you should limit any award of back pay to the date the employer would have made the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as a result of [</w:t>
      </w:r>
      <w:r w:rsidR="00305894" w:rsidRPr="002B283E">
        <w:rPr>
          <w:rFonts w:cs="Times New Roman"/>
          <w:i/>
          <w:iCs/>
          <w:szCs w:val="24"/>
          <w:u w:val="single"/>
        </w:rPr>
        <w:t>describe the after-discovered misconduct</w:t>
      </w:r>
      <w:r w:rsidR="00305894" w:rsidRPr="002B283E">
        <w:rPr>
          <w:rFonts w:cs="Times New Roman"/>
          <w:szCs w:val="24"/>
        </w:rPr>
        <w:t>].</w:t>
      </w:r>
    </w:p>
    <w:p w14:paraId="4CE5CB4C" w14:textId="77777777" w:rsidR="00305894" w:rsidRPr="002B283E" w:rsidRDefault="00305894" w:rsidP="002B283E">
      <w:pPr>
        <w:autoSpaceDE w:val="0"/>
        <w:autoSpaceDN w:val="0"/>
        <w:adjustRightInd w:val="0"/>
        <w:rPr>
          <w:rFonts w:cs="Times New Roman"/>
          <w:szCs w:val="24"/>
        </w:rPr>
      </w:pPr>
    </w:p>
    <w:p w14:paraId="26B5000C" w14:textId="77777777" w:rsidR="00305894" w:rsidRPr="002B283E" w:rsidRDefault="00305894" w:rsidP="002B283E">
      <w:pPr>
        <w:autoSpaceDE w:val="0"/>
        <w:autoSpaceDN w:val="0"/>
        <w:adjustRightInd w:val="0"/>
        <w:jc w:val="center"/>
        <w:rPr>
          <w:rFonts w:cs="Times New Roman"/>
          <w:b/>
          <w:bCs/>
          <w:szCs w:val="24"/>
        </w:rPr>
      </w:pPr>
      <w:r w:rsidRPr="002B283E">
        <w:rPr>
          <w:rFonts w:cs="Times New Roman"/>
          <w:b/>
          <w:bCs/>
          <w:szCs w:val="24"/>
        </w:rPr>
        <w:t>Comment</w:t>
      </w:r>
    </w:p>
    <w:p w14:paraId="08CF933F" w14:textId="77777777" w:rsidR="00305894" w:rsidRPr="002B283E" w:rsidRDefault="00305894" w:rsidP="002B283E">
      <w:pPr>
        <w:autoSpaceDE w:val="0"/>
        <w:autoSpaceDN w:val="0"/>
        <w:adjustRightInd w:val="0"/>
        <w:rPr>
          <w:rFonts w:cs="Times New Roman"/>
          <w:szCs w:val="24"/>
        </w:rPr>
      </w:pPr>
    </w:p>
    <w:p w14:paraId="1E5084EC" w14:textId="73991F20"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2B283E">
        <w:rPr>
          <w:rFonts w:cs="Times New Roman"/>
          <w:i/>
          <w:iCs/>
          <w:szCs w:val="24"/>
        </w:rPr>
        <w:t>McKennon v. Nashville Banner Pub. Co.</w:t>
      </w:r>
      <w:r w:rsidRPr="002B283E">
        <w:rPr>
          <w:rFonts w:cs="Times New Roman"/>
          <w:szCs w:val="24"/>
        </w:rPr>
        <w:t xml:space="preserve">, 513 U.S. 352, 362 (1995); </w:t>
      </w:r>
      <w:r w:rsidRPr="002B283E">
        <w:rPr>
          <w:rFonts w:cs="Times New Roman"/>
          <w:i/>
          <w:iCs/>
          <w:szCs w:val="24"/>
        </w:rPr>
        <w:t>see also Rivera v. Nibco, Inc.</w:t>
      </w:r>
      <w:r w:rsidRPr="002B283E">
        <w:rPr>
          <w:rFonts w:cs="Times New Roman"/>
          <w:szCs w:val="24"/>
        </w:rPr>
        <w:t xml:space="preserve">, 364 F.3d 1057, 1071 n.16 (9th Cir. 2004); </w:t>
      </w:r>
      <w:r w:rsidRPr="002B283E">
        <w:rPr>
          <w:rFonts w:cs="Times New Roman"/>
          <w:i/>
          <w:iCs/>
          <w:szCs w:val="24"/>
        </w:rPr>
        <w:t>O’Day v. McDonnell Douglas Helicopter Co.</w:t>
      </w:r>
      <w:r w:rsidRPr="002B283E">
        <w:rPr>
          <w:rFonts w:cs="Times New Roman"/>
          <w:szCs w:val="24"/>
        </w:rPr>
        <w:t>, 79 F.3d 756, 761</w:t>
      </w:r>
      <w:r w:rsidR="00792314">
        <w:rPr>
          <w:rFonts w:cs="Times New Roman"/>
          <w:szCs w:val="24"/>
        </w:rPr>
        <w:t>-</w:t>
      </w:r>
      <w:r w:rsidRPr="002B283E">
        <w:rPr>
          <w:rFonts w:cs="Times New Roman"/>
          <w:szCs w:val="24"/>
        </w:rPr>
        <w:t xml:space="preserve">62 (9th Cir. 1996). The employer must prove by a preponderance of the evidence that it would have fired the employee because of the after-acquired evidence. </w:t>
      </w:r>
      <w:r w:rsidRPr="002B283E">
        <w:rPr>
          <w:rFonts w:cs="Times New Roman"/>
          <w:i/>
          <w:iCs/>
          <w:szCs w:val="24"/>
        </w:rPr>
        <w:t>O’Day</w:t>
      </w:r>
      <w:r w:rsidRPr="002B283E">
        <w:rPr>
          <w:rFonts w:cs="Times New Roman"/>
          <w:szCs w:val="24"/>
        </w:rPr>
        <w:t>, 79 F.3d at 761.</w:t>
      </w:r>
    </w:p>
    <w:p w14:paraId="12080B95" w14:textId="77777777" w:rsidR="00305894" w:rsidRPr="002B283E" w:rsidRDefault="00305894" w:rsidP="002B283E">
      <w:pPr>
        <w:autoSpaceDE w:val="0"/>
        <w:autoSpaceDN w:val="0"/>
        <w:adjustRightInd w:val="0"/>
        <w:rPr>
          <w:rFonts w:cs="Times New Roman"/>
          <w:szCs w:val="24"/>
        </w:rPr>
      </w:pPr>
    </w:p>
    <w:p w14:paraId="59B10F4C" w14:textId="751D1D3F" w:rsidR="00305894" w:rsidRPr="002B283E" w:rsidRDefault="00305894" w:rsidP="002B283E">
      <w:pPr>
        <w:autoSpaceDE w:val="0"/>
        <w:autoSpaceDN w:val="0"/>
        <w:adjustRightInd w:val="0"/>
        <w:rPr>
          <w:rFonts w:cs="Times New Roman"/>
          <w:szCs w:val="24"/>
        </w:rPr>
      </w:pPr>
      <w:r w:rsidRPr="002B283E">
        <w:rPr>
          <w:rFonts w:cs="Times New Roman"/>
          <w:szCs w:val="24"/>
        </w:rPr>
        <w:tab/>
        <w:t>The defense of after-acquired evidence is similar to,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2B283E" w:rsidRDefault="00305894" w:rsidP="002B283E">
      <w:pPr>
        <w:autoSpaceDE w:val="0"/>
        <w:autoSpaceDN w:val="0"/>
        <w:adjustRightInd w:val="0"/>
        <w:rPr>
          <w:rFonts w:cs="Times New Roman"/>
          <w:szCs w:val="24"/>
        </w:rPr>
      </w:pPr>
    </w:p>
    <w:p w14:paraId="604026E3" w14:textId="78F7FB96"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including Title VII, generally includes tips, holiday pay, and overtime pay. </w:t>
      </w:r>
      <w:r w:rsidRPr="002B283E">
        <w:rPr>
          <w:rFonts w:cs="Times New Roman"/>
          <w:i/>
          <w:iCs/>
          <w:szCs w:val="24"/>
        </w:rPr>
        <w:t>See</w:t>
      </w:r>
      <w:r w:rsidRPr="002B283E">
        <w:rPr>
          <w:rFonts w:cs="Times New Roman"/>
          <w:szCs w:val="24"/>
        </w:rPr>
        <w:t xml:space="preserve"> </w:t>
      </w:r>
      <w:r w:rsidRPr="002B283E">
        <w:rPr>
          <w:rFonts w:cs="Times New Roman"/>
          <w:i/>
          <w:iCs/>
          <w:szCs w:val="24"/>
        </w:rPr>
        <w:t>Local Joint Exec. Bd. of Culinary/Bartender Tr. Fund v. Las Vegas Sands, Inc.</w:t>
      </w:r>
      <w:r w:rsidRPr="002B283E">
        <w:rPr>
          <w:rFonts w:cs="Times New Roman"/>
          <w:szCs w:val="24"/>
        </w:rPr>
        <w:t>, 244 F.3d 1152, 1157 (9th Cir. 2001).</w:t>
      </w:r>
    </w:p>
    <w:p w14:paraId="1820CC3A" w14:textId="77777777" w:rsidR="00305894" w:rsidRPr="002B283E" w:rsidRDefault="00305894" w:rsidP="002B283E">
      <w:pPr>
        <w:autoSpaceDE w:val="0"/>
        <w:autoSpaceDN w:val="0"/>
        <w:adjustRightInd w:val="0"/>
        <w:jc w:val="right"/>
        <w:rPr>
          <w:rFonts w:cs="Times New Roman"/>
          <w:szCs w:val="24"/>
        </w:rPr>
      </w:pPr>
    </w:p>
    <w:p w14:paraId="3D4786EA" w14:textId="77777777" w:rsidR="00305894" w:rsidRPr="002B283E" w:rsidRDefault="00305894" w:rsidP="002B283E">
      <w:pPr>
        <w:rPr>
          <w:rFonts w:cs="Times New Roman"/>
          <w:szCs w:val="24"/>
        </w:rPr>
      </w:pPr>
    </w:p>
    <w:p w14:paraId="7C0FA189" w14:textId="7F95597B" w:rsidR="009E7790" w:rsidRPr="002B283E" w:rsidRDefault="00305894" w:rsidP="002B283E">
      <w:pPr>
        <w:jc w:val="right"/>
        <w:rPr>
          <w:rFonts w:cs="Times New Roman"/>
          <w:i/>
          <w:iCs/>
          <w:szCs w:val="24"/>
        </w:rPr>
      </w:pPr>
      <w:r w:rsidRPr="002B283E">
        <w:rPr>
          <w:rFonts w:cs="Times New Roman"/>
          <w:i/>
          <w:iCs/>
          <w:szCs w:val="24"/>
        </w:rPr>
        <w:t>Revised Mar</w:t>
      </w:r>
      <w:r w:rsidR="008A5BAB">
        <w:rPr>
          <w:rFonts w:cs="Times New Roman"/>
          <w:i/>
          <w:iCs/>
          <w:szCs w:val="24"/>
        </w:rPr>
        <w:t>ch</w:t>
      </w:r>
      <w:r w:rsidRPr="002B283E">
        <w:rPr>
          <w:rFonts w:cs="Times New Roman"/>
          <w:i/>
          <w:iCs/>
          <w:szCs w:val="24"/>
        </w:rPr>
        <w:t xml:space="preserve"> 2022</w:t>
      </w:r>
    </w:p>
    <w:bookmarkEnd w:id="269"/>
    <w:p w14:paraId="789E8DAF" w14:textId="77777777" w:rsidR="009E7790" w:rsidRPr="002B283E" w:rsidRDefault="009E7790" w:rsidP="002B283E">
      <w:pPr>
        <w:rPr>
          <w:rFonts w:cs="Times New Roman"/>
          <w:i/>
          <w:iCs/>
          <w:szCs w:val="24"/>
        </w:rPr>
      </w:pPr>
      <w:r w:rsidRPr="002B283E">
        <w:rPr>
          <w:rFonts w:cs="Times New Roman"/>
          <w:i/>
          <w:iCs/>
          <w:szCs w:val="24"/>
        </w:rPr>
        <w:br w:type="page"/>
      </w:r>
    </w:p>
    <w:p w14:paraId="1537734E" w14:textId="76D80207" w:rsidR="00A0721E" w:rsidRPr="002B283E" w:rsidRDefault="00A0721E" w:rsidP="00FF121D">
      <w:pPr>
        <w:pStyle w:val="Heading2"/>
        <w:rPr>
          <w:b w:val="0"/>
          <w:bCs w:val="0"/>
        </w:rPr>
      </w:pPr>
      <w:bookmarkStart w:id="270" w:name="_Toc221525228"/>
      <w:r w:rsidRPr="002B283E">
        <w:rPr>
          <w:bCs w:val="0"/>
        </w:rPr>
        <w:lastRenderedPageBreak/>
        <w:t>10.1</w:t>
      </w:r>
      <w:r w:rsidR="0008651C">
        <w:rPr>
          <w:bCs w:val="0"/>
        </w:rPr>
        <w:t>9</w:t>
      </w:r>
      <w:r w:rsidRPr="002B283E">
        <w:rPr>
          <w:bCs w:val="0"/>
        </w:rPr>
        <w:t xml:space="preserve"> </w:t>
      </w:r>
      <w:bookmarkStart w:id="271" w:name="_Hlk157766519"/>
      <w:r w:rsidRPr="002B283E">
        <w:rPr>
          <w:bCs w:val="0"/>
        </w:rPr>
        <w:t>Civil Rights—Title VII—Defense—Undue Hardship in</w:t>
      </w:r>
      <w:bookmarkEnd w:id="270"/>
      <w:r w:rsidRPr="002B283E">
        <w:rPr>
          <w:bCs w:val="0"/>
        </w:rPr>
        <w:t xml:space="preserve"> </w:t>
      </w:r>
      <w:bookmarkStart w:id="272" w:name="_Toc221525229"/>
      <w:r w:rsidRPr="002B283E">
        <w:rPr>
          <w:bCs w:val="0"/>
        </w:rPr>
        <w:t>Religious Accommodation Cases</w:t>
      </w:r>
      <w:bookmarkEnd w:id="272"/>
    </w:p>
    <w:bookmarkEnd w:id="271"/>
    <w:p w14:paraId="0B4F3D9F" w14:textId="77777777" w:rsidR="00A0721E" w:rsidRPr="002B283E" w:rsidRDefault="00A0721E" w:rsidP="00792314">
      <w:pPr>
        <w:rPr>
          <w:rFonts w:cs="Times New Roman"/>
          <w:szCs w:val="24"/>
        </w:rPr>
      </w:pPr>
    </w:p>
    <w:p w14:paraId="79FBBEC5" w14:textId="77777777" w:rsidR="00A0721E" w:rsidRPr="002B283E" w:rsidRDefault="00A0721E" w:rsidP="00792314">
      <w:pPr>
        <w:jc w:val="center"/>
        <w:rPr>
          <w:rFonts w:cs="Times New Roman"/>
          <w:b/>
          <w:bCs/>
          <w:szCs w:val="24"/>
        </w:rPr>
      </w:pPr>
      <w:r w:rsidRPr="002B283E">
        <w:rPr>
          <w:rFonts w:cs="Times New Roman"/>
          <w:b/>
          <w:bCs/>
          <w:szCs w:val="24"/>
        </w:rPr>
        <w:t>Comment</w:t>
      </w:r>
    </w:p>
    <w:p w14:paraId="49D28CBE" w14:textId="77777777" w:rsidR="00A0721E" w:rsidRPr="002B283E" w:rsidRDefault="00A0721E" w:rsidP="002B283E">
      <w:pPr>
        <w:ind w:left="720"/>
        <w:rPr>
          <w:rFonts w:cs="Times New Roman"/>
          <w:szCs w:val="24"/>
        </w:rPr>
      </w:pPr>
    </w:p>
    <w:p w14:paraId="273121E4" w14:textId="77777777" w:rsidR="00B661E2" w:rsidRDefault="00A0721E" w:rsidP="00B661E2">
      <w:pPr>
        <w:rPr>
          <w:rFonts w:eastAsia="Calibri" w:cs="Times New Roman"/>
        </w:rPr>
      </w:pPr>
      <w:r w:rsidRPr="002B283E">
        <w:rPr>
          <w:rFonts w:cs="Times New Roman"/>
          <w:szCs w:val="24"/>
        </w:rPr>
        <w:tab/>
      </w:r>
      <w:r w:rsidR="00B661E2" w:rsidRPr="00AE236E">
        <w:rPr>
          <w:rFonts w:eastAsia="Calibri" w:cs="Times New Roman"/>
        </w:rPr>
        <w:t xml:space="preserve">Title VII requires employers to make accommodations for an employee’s religious beliefs or practices unless the employer can show that the employee’s religious practice cannot “reasonably” be accommodated without “undue hardship.” The Supreme Court, in </w:t>
      </w:r>
      <w:r w:rsidR="00B661E2" w:rsidRPr="00AE236E">
        <w:rPr>
          <w:rFonts w:eastAsia="Calibri" w:cs="Times New Roman"/>
          <w:i/>
          <w:iCs/>
        </w:rPr>
        <w:t>Groff v. DeJoy</w:t>
      </w:r>
      <w:r w:rsidR="00B661E2" w:rsidRPr="00AE236E">
        <w:rPr>
          <w:rFonts w:eastAsia="Calibri" w:cs="Times New Roman"/>
        </w:rPr>
        <w:t xml:space="preserve">, 600 U.S. 447, 468-71 (2023), clarified the standard for undue hardship. </w:t>
      </w:r>
      <w:r w:rsidR="00B661E2">
        <w:rPr>
          <w:rFonts w:eastAsia="Calibri" w:cs="Times New Roman"/>
        </w:rPr>
        <w:t>T</w:t>
      </w:r>
      <w:r w:rsidR="00B661E2" w:rsidRPr="00AE236E">
        <w:rPr>
          <w:rFonts w:eastAsia="Calibri" w:cs="Times New Roman"/>
        </w:rPr>
        <w:t xml:space="preserve">he Court explained that an employer must accommodate an employee’s religious beliefs unless it can show that doing so would “result in substantial increased costs in relation to the conduct of” the employer’s business. </w:t>
      </w:r>
      <w:r w:rsidR="00B661E2" w:rsidRPr="00AE236E">
        <w:rPr>
          <w:rFonts w:eastAsia="Calibri" w:cs="Times New Roman"/>
          <w:i/>
          <w:iCs/>
        </w:rPr>
        <w:t>Groff</w:t>
      </w:r>
      <w:r w:rsidR="00B661E2" w:rsidRPr="00AE236E">
        <w:rPr>
          <w:rFonts w:eastAsia="Calibri" w:cs="Times New Roman"/>
        </w:rPr>
        <w:t>,</w:t>
      </w:r>
      <w:r w:rsidR="00B661E2" w:rsidRPr="00AE236E">
        <w:rPr>
          <w:rFonts w:eastAsia="Calibri" w:cs="Times New Roman"/>
          <w:i/>
          <w:iCs/>
        </w:rPr>
        <w:t xml:space="preserve"> </w:t>
      </w:r>
      <w:r w:rsidR="00B661E2" w:rsidRPr="00AE236E">
        <w:rPr>
          <w:rFonts w:eastAsia="Calibri" w:cs="Times New Roman"/>
        </w:rPr>
        <w:t xml:space="preserve">600 U.S. at 470. Although the Court left it to the lower courts to perform the context-specific application of the clarified standard, it noted two things: (1) “a hardship that is attributable to employee animosity to a particular religion, to religion in general, or to the very notion of accommodating religious practice cannot be considered ‘undue’”; and (2) “Title VII requires that an employer reasonably accommodate an employee's practice of religion, not merely that it assess the reasonableness of a particular possible accommodation or accommodations.” </w:t>
      </w:r>
      <w:r w:rsidR="00B661E2" w:rsidRPr="00AE236E">
        <w:rPr>
          <w:rFonts w:eastAsia="Calibri" w:cs="Times New Roman"/>
          <w:i/>
          <w:iCs/>
        </w:rPr>
        <w:t>Id</w:t>
      </w:r>
      <w:r w:rsidR="00B661E2" w:rsidRPr="00AE236E">
        <w:rPr>
          <w:rFonts w:eastAsia="Calibri" w:cs="Times New Roman"/>
        </w:rPr>
        <w:t>. at 472-73.</w:t>
      </w:r>
    </w:p>
    <w:p w14:paraId="22EDE160" w14:textId="77777777" w:rsidR="00B661E2" w:rsidRPr="00AE236E" w:rsidRDefault="00B661E2" w:rsidP="00B661E2">
      <w:pPr>
        <w:rPr>
          <w:rFonts w:eastAsia="Calibri" w:cs="Times New Roman"/>
        </w:rPr>
      </w:pPr>
    </w:p>
    <w:p w14:paraId="1AEBE689" w14:textId="77777777" w:rsidR="00B661E2" w:rsidRPr="00CD0F5A" w:rsidRDefault="00B661E2" w:rsidP="00B661E2">
      <w:pPr>
        <w:autoSpaceDE w:val="0"/>
        <w:autoSpaceDN w:val="0"/>
        <w:adjustRightInd w:val="0"/>
        <w:ind w:firstLine="720"/>
        <w:rPr>
          <w:rFonts w:eastAsia="Calibri" w:cs="Times New Roman"/>
          <w:szCs w:val="20"/>
        </w:rPr>
      </w:pPr>
      <w:r w:rsidRPr="00CD0F5A">
        <w:rPr>
          <w:rFonts w:eastAsia="Calibri" w:cs="Times New Roman"/>
          <w:szCs w:val="20"/>
        </w:rPr>
        <w:t xml:space="preserve">In </w:t>
      </w:r>
      <w:r w:rsidRPr="00CD0F5A">
        <w:rPr>
          <w:rFonts w:eastAsia="Calibri" w:cs="Times New Roman"/>
          <w:i/>
          <w:iCs/>
          <w:szCs w:val="20"/>
        </w:rPr>
        <w:t>Petersen v. Snohomish Reg’l Fire &amp; Rescue</w:t>
      </w:r>
      <w:r w:rsidRPr="00CD0F5A">
        <w:rPr>
          <w:rFonts w:eastAsia="Calibri" w:cs="Times New Roman"/>
          <w:szCs w:val="20"/>
        </w:rPr>
        <w:t>, 150 F.4th 1211 (9th Cir. 2025), the Ninth Circuit affirmed dismissal concluding that the defendant showed substantial burden in the</w:t>
      </w:r>
    </w:p>
    <w:p w14:paraId="66F7D442" w14:textId="77777777" w:rsidR="00B661E2" w:rsidRPr="00CD0F5A" w:rsidRDefault="00B661E2" w:rsidP="00B661E2">
      <w:pPr>
        <w:autoSpaceDE w:val="0"/>
        <w:autoSpaceDN w:val="0"/>
        <w:adjustRightInd w:val="0"/>
        <w:rPr>
          <w:rFonts w:eastAsia="Calibri" w:cs="Times New Roman"/>
          <w:szCs w:val="20"/>
        </w:rPr>
      </w:pPr>
      <w:r w:rsidRPr="00CD0F5A">
        <w:rPr>
          <w:rFonts w:eastAsia="Calibri" w:cs="Times New Roman"/>
          <w:szCs w:val="20"/>
        </w:rPr>
        <w:t>context of a religious exemption to a COVID-19 vaccine mandate.</w:t>
      </w:r>
    </w:p>
    <w:p w14:paraId="4C96D48C" w14:textId="77777777" w:rsidR="00B661E2" w:rsidRDefault="00B661E2" w:rsidP="00B661E2"/>
    <w:p w14:paraId="5164E044" w14:textId="77777777" w:rsidR="00B661E2" w:rsidRPr="00AE236E" w:rsidRDefault="00B661E2" w:rsidP="00B661E2">
      <w:pPr>
        <w:autoSpaceDE w:val="0"/>
        <w:autoSpaceDN w:val="0"/>
        <w:adjustRightInd w:val="0"/>
        <w:jc w:val="right"/>
        <w:rPr>
          <w:rFonts w:eastAsia="Calibri" w:cs="Times New Roman"/>
          <w:i/>
          <w:iCs/>
          <w:szCs w:val="20"/>
        </w:rPr>
      </w:pPr>
      <w:r w:rsidRPr="00AE236E">
        <w:rPr>
          <w:rFonts w:eastAsia="Calibri" w:cs="Times New Roman"/>
          <w:i/>
          <w:iCs/>
          <w:szCs w:val="20"/>
        </w:rPr>
        <w:t>Revised December 2025</w:t>
      </w:r>
    </w:p>
    <w:p w14:paraId="08E7EAAC" w14:textId="25FC6FA4" w:rsidR="00305894" w:rsidRPr="002B283E" w:rsidRDefault="00305894" w:rsidP="00B661E2">
      <w:pPr>
        <w:rPr>
          <w:rFonts w:cs="Times New Roman"/>
          <w:i/>
          <w:iCs/>
          <w:szCs w:val="24"/>
        </w:rPr>
      </w:pPr>
    </w:p>
    <w:p w14:paraId="664BCB4B" w14:textId="7CAE0754" w:rsidR="006A4CD7" w:rsidRPr="002B283E" w:rsidRDefault="006A4CD7" w:rsidP="002B283E">
      <w:pPr>
        <w:pStyle w:val="Heading1"/>
        <w:spacing w:before="0" w:line="240" w:lineRule="auto"/>
      </w:pPr>
      <w:r w:rsidRPr="002B283E">
        <w:br w:type="page"/>
      </w:r>
      <w:bookmarkStart w:id="273" w:name="_Toc221525230"/>
      <w:r w:rsidRPr="002B283E">
        <w:lastRenderedPageBreak/>
        <w:t>11</w:t>
      </w:r>
      <w:r w:rsidR="00A87F6E">
        <w:t xml:space="preserve">. </w:t>
      </w:r>
      <w:r w:rsidRPr="002B283E">
        <w:t>AGE DISCRIMINATION</w:t>
      </w:r>
      <w:bookmarkEnd w:id="273"/>
    </w:p>
    <w:p w14:paraId="04C2E1A1" w14:textId="77777777" w:rsidR="006A4CD7" w:rsidRPr="002B283E" w:rsidRDefault="006A4CD7" w:rsidP="002B283E">
      <w:pPr>
        <w:autoSpaceDE w:val="0"/>
        <w:autoSpaceDN w:val="0"/>
        <w:adjustRightInd w:val="0"/>
        <w:rPr>
          <w:rFonts w:cs="Times New Roman"/>
          <w:szCs w:val="24"/>
        </w:rPr>
      </w:pPr>
    </w:p>
    <w:p w14:paraId="435687BF"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69A2954F" w14:textId="77777777" w:rsidR="006A4CD7" w:rsidRPr="002B283E" w:rsidRDefault="006A4CD7" w:rsidP="002B283E">
      <w:pPr>
        <w:autoSpaceDE w:val="0"/>
        <w:autoSpaceDN w:val="0"/>
        <w:adjustRightInd w:val="0"/>
        <w:rPr>
          <w:rFonts w:cs="Times New Roman"/>
          <w:szCs w:val="24"/>
        </w:rPr>
      </w:pPr>
    </w:p>
    <w:p w14:paraId="1D46D9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42097F7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Age Discrimination—Disparate Treatment—Elements and Burden of Proof</w:t>
      </w:r>
    </w:p>
    <w:p w14:paraId="016C8EF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11.2</w:t>
      </w:r>
      <w:r w:rsidRPr="002B283E">
        <w:rPr>
          <w:rFonts w:cs="Times New Roman"/>
          <w:szCs w:val="24"/>
        </w:rPr>
        <w:tab/>
        <w:t>Age Discrimination—Hostile Work Environment (Comment only)</w:t>
      </w:r>
    </w:p>
    <w:p w14:paraId="3CB5682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Age Discrimination—Retaliation (Comment only)</w:t>
      </w:r>
    </w:p>
    <w:p w14:paraId="166A8D5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Age Discrimination—Disparate Impact—Elements</w:t>
      </w:r>
    </w:p>
    <w:p w14:paraId="10BE409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Age Discrimination—Definition of Common Terms (Comment only)</w:t>
      </w:r>
    </w:p>
    <w:p w14:paraId="6DC0BAD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Age Discrimination—Defenses (Comment only)</w:t>
      </w:r>
    </w:p>
    <w:p w14:paraId="15CCD01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Age Discrimination—Defenses—Bona Fide Occupational Qualification (Comment only)</w:t>
      </w:r>
    </w:p>
    <w:p w14:paraId="6D5760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11.8</w:t>
      </w:r>
      <w:r w:rsidRPr="002B283E">
        <w:rPr>
          <w:rFonts w:cs="Times New Roman"/>
          <w:szCs w:val="24"/>
        </w:rPr>
        <w:tab/>
        <w:t>Age Discrimination—Defenses—Bona Fide Seniority System</w:t>
      </w:r>
    </w:p>
    <w:p w14:paraId="4C1A917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Age Discrimination—Defenses—After-Acquired Evidence (Comment only)</w:t>
      </w:r>
    </w:p>
    <w:p w14:paraId="324C06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11.10</w:t>
      </w:r>
      <w:r w:rsidRPr="002B283E">
        <w:rPr>
          <w:rFonts w:cs="Times New Roman"/>
          <w:szCs w:val="24"/>
        </w:rPr>
        <w:tab/>
        <w:t>Age Discrimination—Defenses—Bona Fide Employee Benefit Plan</w:t>
      </w:r>
    </w:p>
    <w:p w14:paraId="29B1C95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11.11</w:t>
      </w:r>
      <w:r w:rsidRPr="002B283E">
        <w:rPr>
          <w:rFonts w:cs="Times New Roman"/>
          <w:szCs w:val="24"/>
        </w:rPr>
        <w:tab/>
        <w:t>Age Discrimination—Defenses—Reasonable Factor Other Than Age</w:t>
      </w:r>
    </w:p>
    <w:p w14:paraId="248637B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11.12</w:t>
      </w:r>
      <w:r w:rsidRPr="002B283E">
        <w:rPr>
          <w:rFonts w:cs="Times New Roman"/>
          <w:szCs w:val="24"/>
        </w:rPr>
        <w:tab/>
        <w:t>Age Discrimination—Damages (Comment only)</w:t>
      </w:r>
    </w:p>
    <w:p w14:paraId="4C14664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11.13</w:t>
      </w:r>
      <w:r w:rsidRPr="002B283E">
        <w:rPr>
          <w:rFonts w:cs="Times New Roman"/>
          <w:szCs w:val="24"/>
        </w:rPr>
        <w:tab/>
        <w:t>Age Discrimination—Damages—Back Pay—Mitigation</w:t>
      </w:r>
    </w:p>
    <w:p w14:paraId="39BD4C5B" w14:textId="5A7B33DD"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11.14</w:t>
      </w:r>
      <w:r w:rsidRPr="002B283E">
        <w:rPr>
          <w:rFonts w:cs="Times New Roman"/>
          <w:szCs w:val="24"/>
        </w:rPr>
        <w:tab/>
        <w:t>Age Discrimination—Damages—Willful Discrimination—Liquidated Damages</w:t>
      </w:r>
    </w:p>
    <w:p w14:paraId="2E27062B" w14:textId="77777777" w:rsidR="006A4CD7" w:rsidRPr="002B283E" w:rsidRDefault="006A4CD7" w:rsidP="002B283E">
      <w:pPr>
        <w:autoSpaceDE w:val="0"/>
        <w:autoSpaceDN w:val="0"/>
        <w:adjustRightInd w:val="0"/>
        <w:rPr>
          <w:rFonts w:cs="Times New Roman"/>
          <w:szCs w:val="24"/>
        </w:rPr>
      </w:pPr>
    </w:p>
    <w:p w14:paraId="2A24618F"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5D701566" w14:textId="731FF4E0" w:rsidR="006A4CD7" w:rsidRPr="002B283E" w:rsidRDefault="006A4CD7" w:rsidP="002B283E">
      <w:pPr>
        <w:jc w:val="center"/>
        <w:rPr>
          <w:rFonts w:cs="Times New Roman"/>
          <w:szCs w:val="24"/>
        </w:rPr>
      </w:pPr>
    </w:p>
    <w:p w14:paraId="2C023CEC" w14:textId="368D0541" w:rsidR="00947EB1" w:rsidRPr="002B283E" w:rsidRDefault="00947EB1" w:rsidP="002B283E">
      <w:pPr>
        <w:jc w:val="center"/>
        <w:rPr>
          <w:rFonts w:cs="Times New Roman"/>
          <w:szCs w:val="24"/>
        </w:rPr>
      </w:pPr>
    </w:p>
    <w:p w14:paraId="5B0F5AE4" w14:textId="59BC312A" w:rsidR="00947EB1" w:rsidRPr="002B283E" w:rsidRDefault="00947EB1" w:rsidP="002B283E">
      <w:pPr>
        <w:jc w:val="center"/>
        <w:rPr>
          <w:rFonts w:cs="Times New Roman"/>
          <w:szCs w:val="24"/>
        </w:rPr>
      </w:pPr>
    </w:p>
    <w:p w14:paraId="23B6FBB1" w14:textId="52A6980B" w:rsidR="00947EB1" w:rsidRPr="002B283E" w:rsidRDefault="00947EB1" w:rsidP="002B283E">
      <w:pPr>
        <w:jc w:val="center"/>
        <w:rPr>
          <w:rFonts w:cs="Times New Roman"/>
          <w:szCs w:val="24"/>
        </w:rPr>
      </w:pPr>
    </w:p>
    <w:p w14:paraId="5C23B357" w14:textId="51FE369D" w:rsidR="00947EB1" w:rsidRPr="002B283E" w:rsidRDefault="00947EB1" w:rsidP="002B283E">
      <w:pPr>
        <w:jc w:val="center"/>
        <w:rPr>
          <w:rFonts w:cs="Times New Roman"/>
          <w:szCs w:val="24"/>
        </w:rPr>
      </w:pPr>
    </w:p>
    <w:p w14:paraId="20820445" w14:textId="07ECC494" w:rsidR="00947EB1" w:rsidRPr="002B283E" w:rsidRDefault="00947EB1" w:rsidP="002B283E">
      <w:pPr>
        <w:jc w:val="center"/>
        <w:rPr>
          <w:rFonts w:cs="Times New Roman"/>
          <w:szCs w:val="24"/>
        </w:rPr>
      </w:pPr>
    </w:p>
    <w:p w14:paraId="213E1625" w14:textId="0EA9D83F" w:rsidR="00947EB1" w:rsidRPr="002B283E" w:rsidRDefault="00947EB1" w:rsidP="002B283E">
      <w:pPr>
        <w:jc w:val="center"/>
        <w:rPr>
          <w:rFonts w:cs="Times New Roman"/>
          <w:szCs w:val="24"/>
        </w:rPr>
      </w:pPr>
    </w:p>
    <w:p w14:paraId="24D9B0BF" w14:textId="4E522892" w:rsidR="00947EB1" w:rsidRPr="002B283E" w:rsidRDefault="00947EB1" w:rsidP="002B283E">
      <w:pPr>
        <w:jc w:val="center"/>
        <w:rPr>
          <w:rFonts w:cs="Times New Roman"/>
          <w:szCs w:val="24"/>
        </w:rPr>
      </w:pPr>
    </w:p>
    <w:p w14:paraId="40EB35FE" w14:textId="5B326F1E" w:rsidR="00947EB1" w:rsidRPr="002B283E" w:rsidRDefault="00947EB1" w:rsidP="002B283E">
      <w:pPr>
        <w:jc w:val="center"/>
        <w:rPr>
          <w:rFonts w:cs="Times New Roman"/>
          <w:szCs w:val="24"/>
        </w:rPr>
      </w:pPr>
    </w:p>
    <w:p w14:paraId="38DDBBEC" w14:textId="51D7EA17" w:rsidR="00947EB1" w:rsidRPr="002B283E" w:rsidRDefault="00947EB1" w:rsidP="002B283E">
      <w:pPr>
        <w:jc w:val="center"/>
        <w:rPr>
          <w:rFonts w:cs="Times New Roman"/>
          <w:szCs w:val="24"/>
        </w:rPr>
      </w:pPr>
    </w:p>
    <w:p w14:paraId="633C46B4" w14:textId="23497ABC" w:rsidR="00947EB1" w:rsidRPr="002B283E" w:rsidRDefault="00947EB1" w:rsidP="002B283E">
      <w:pPr>
        <w:jc w:val="center"/>
        <w:rPr>
          <w:rFonts w:cs="Times New Roman"/>
          <w:szCs w:val="24"/>
        </w:rPr>
      </w:pPr>
    </w:p>
    <w:p w14:paraId="54F650DE" w14:textId="7CC6E89D" w:rsidR="00947EB1" w:rsidRPr="002B283E" w:rsidRDefault="00947EB1" w:rsidP="002B283E">
      <w:pPr>
        <w:jc w:val="center"/>
        <w:rPr>
          <w:rFonts w:cs="Times New Roman"/>
          <w:szCs w:val="24"/>
        </w:rPr>
      </w:pPr>
    </w:p>
    <w:p w14:paraId="75D6BD7A" w14:textId="6F776363" w:rsidR="00947EB1" w:rsidRPr="002B283E" w:rsidRDefault="00947EB1" w:rsidP="002B283E">
      <w:pPr>
        <w:jc w:val="center"/>
        <w:rPr>
          <w:rFonts w:cs="Times New Roman"/>
          <w:szCs w:val="24"/>
        </w:rPr>
      </w:pPr>
    </w:p>
    <w:p w14:paraId="522CB258" w14:textId="615616BD" w:rsidR="00947EB1" w:rsidRPr="002B283E" w:rsidRDefault="00947EB1" w:rsidP="002B283E">
      <w:pPr>
        <w:jc w:val="center"/>
        <w:rPr>
          <w:rFonts w:cs="Times New Roman"/>
          <w:szCs w:val="24"/>
        </w:rPr>
      </w:pPr>
    </w:p>
    <w:p w14:paraId="3EB33DE8" w14:textId="6696349D" w:rsidR="00947EB1" w:rsidRPr="002B283E" w:rsidRDefault="00947EB1" w:rsidP="002B283E">
      <w:pPr>
        <w:jc w:val="center"/>
        <w:rPr>
          <w:rFonts w:cs="Times New Roman"/>
          <w:szCs w:val="24"/>
        </w:rPr>
      </w:pPr>
    </w:p>
    <w:p w14:paraId="2B6D65C5" w14:textId="799C1CFD" w:rsidR="00947EB1" w:rsidRPr="002B283E" w:rsidRDefault="00947EB1" w:rsidP="002B283E">
      <w:pPr>
        <w:jc w:val="center"/>
        <w:rPr>
          <w:rFonts w:cs="Times New Roman"/>
          <w:szCs w:val="24"/>
        </w:rPr>
      </w:pPr>
    </w:p>
    <w:p w14:paraId="7510FCA2" w14:textId="1B9F16FD" w:rsidR="00947EB1" w:rsidRPr="002B283E" w:rsidRDefault="00947EB1" w:rsidP="002B283E">
      <w:pPr>
        <w:jc w:val="center"/>
        <w:rPr>
          <w:rFonts w:cs="Times New Roman"/>
          <w:szCs w:val="24"/>
        </w:rPr>
      </w:pPr>
    </w:p>
    <w:p w14:paraId="4141B829" w14:textId="06EBEA66" w:rsidR="00947EB1" w:rsidRPr="002B283E" w:rsidRDefault="00947EB1" w:rsidP="002B283E">
      <w:pPr>
        <w:jc w:val="center"/>
        <w:rPr>
          <w:rFonts w:cs="Times New Roman"/>
          <w:szCs w:val="24"/>
        </w:rPr>
      </w:pPr>
    </w:p>
    <w:p w14:paraId="238C0D38" w14:textId="1748DC00" w:rsidR="00947EB1" w:rsidRPr="002B283E" w:rsidRDefault="00947EB1" w:rsidP="002B283E">
      <w:pPr>
        <w:jc w:val="center"/>
        <w:rPr>
          <w:rFonts w:cs="Times New Roman"/>
          <w:szCs w:val="24"/>
        </w:rPr>
      </w:pPr>
    </w:p>
    <w:p w14:paraId="612CB80D" w14:textId="7BF86B7D" w:rsidR="00947EB1" w:rsidRPr="002B283E" w:rsidRDefault="00947EB1" w:rsidP="002B283E">
      <w:pPr>
        <w:jc w:val="center"/>
        <w:rPr>
          <w:rFonts w:cs="Times New Roman"/>
          <w:szCs w:val="24"/>
        </w:rPr>
      </w:pPr>
    </w:p>
    <w:p w14:paraId="04408855" w14:textId="792BE114" w:rsidR="00947EB1" w:rsidRPr="002B283E" w:rsidRDefault="00947EB1" w:rsidP="002B283E">
      <w:pPr>
        <w:jc w:val="center"/>
        <w:rPr>
          <w:rFonts w:cs="Times New Roman"/>
          <w:szCs w:val="24"/>
        </w:rPr>
      </w:pPr>
    </w:p>
    <w:p w14:paraId="2366BE0B" w14:textId="06973E35" w:rsidR="00947EB1" w:rsidRPr="002B283E" w:rsidRDefault="00947EB1" w:rsidP="002B283E">
      <w:pPr>
        <w:jc w:val="center"/>
        <w:rPr>
          <w:rFonts w:cs="Times New Roman"/>
          <w:szCs w:val="24"/>
        </w:rPr>
      </w:pPr>
    </w:p>
    <w:p w14:paraId="733A1F7D" w14:textId="151C2AD7" w:rsidR="00947EB1" w:rsidRPr="002B283E" w:rsidRDefault="00947EB1" w:rsidP="002B283E">
      <w:pPr>
        <w:jc w:val="center"/>
        <w:rPr>
          <w:rFonts w:cs="Times New Roman"/>
          <w:szCs w:val="24"/>
        </w:rPr>
      </w:pPr>
    </w:p>
    <w:p w14:paraId="2FF1DA39" w14:textId="591170DC" w:rsidR="006A4CD7" w:rsidRPr="002B283E" w:rsidRDefault="006A4CD7" w:rsidP="002B283E">
      <w:pPr>
        <w:pStyle w:val="Heading2"/>
      </w:pPr>
      <w:bookmarkStart w:id="274" w:name="_Toc221525231"/>
      <w:r w:rsidRPr="002B283E">
        <w:lastRenderedPageBreak/>
        <w:t>Introductory Comment</w:t>
      </w:r>
      <w:bookmarkEnd w:id="274"/>
    </w:p>
    <w:p w14:paraId="6C4D9352" w14:textId="77777777" w:rsidR="006A4CD7" w:rsidRPr="002B283E" w:rsidRDefault="006A4CD7" w:rsidP="002B283E">
      <w:pPr>
        <w:autoSpaceDE w:val="0"/>
        <w:autoSpaceDN w:val="0"/>
        <w:adjustRightInd w:val="0"/>
        <w:rPr>
          <w:rFonts w:cs="Times New Roman"/>
          <w:szCs w:val="24"/>
        </w:rPr>
      </w:pPr>
    </w:p>
    <w:p w14:paraId="66C7E832" w14:textId="58DCA940" w:rsidR="00A13A0C" w:rsidRPr="002B283E" w:rsidRDefault="006A4CD7" w:rsidP="002B283E">
      <w:pPr>
        <w:autoSpaceDE w:val="0"/>
        <w:autoSpaceDN w:val="0"/>
        <w:adjustRightInd w:val="0"/>
        <w:rPr>
          <w:rFonts w:cs="Times New Roman"/>
          <w:szCs w:val="24"/>
        </w:rPr>
      </w:pPr>
      <w:r w:rsidRPr="002B283E">
        <w:rPr>
          <w:rFonts w:cs="Times New Roman"/>
          <w:szCs w:val="24"/>
        </w:rPr>
        <w:tab/>
      </w:r>
      <w:r w:rsidR="00A13A0C" w:rsidRPr="002B283E">
        <w:rPr>
          <w:rFonts w:cs="Times New Roman"/>
          <w:szCs w:val="24"/>
        </w:rPr>
        <w:t xml:space="preserve">The Age Discrimination in Employment Act (ADEA), 29 U.S.C. § 621 </w:t>
      </w:r>
      <w:r w:rsidR="00A13A0C" w:rsidRPr="002B283E">
        <w:rPr>
          <w:rFonts w:cs="Times New Roman"/>
          <w:i/>
          <w:iCs/>
          <w:szCs w:val="24"/>
        </w:rPr>
        <w:t>et seq.</w:t>
      </w:r>
      <w:r w:rsidR="00A13A0C" w:rsidRPr="002B283E">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00A13A0C" w:rsidRPr="002B283E">
        <w:rPr>
          <w:rFonts w:cs="Times New Roman"/>
          <w:i/>
          <w:iCs/>
          <w:szCs w:val="24"/>
        </w:rPr>
        <w:t>Mount Lemmon Fire Dist. v. Guido</w:t>
      </w:r>
      <w:r w:rsidR="00A13A0C" w:rsidRPr="002B283E">
        <w:rPr>
          <w:rFonts w:cs="Times New Roman"/>
          <w:szCs w:val="24"/>
        </w:rPr>
        <w:t xml:space="preserve">, </w:t>
      </w:r>
      <w:r w:rsidR="00D8143C" w:rsidRPr="00D8143C">
        <w:rPr>
          <w:rFonts w:cs="Times New Roman"/>
          <w:szCs w:val="24"/>
        </w:rPr>
        <w:t>586 U.S. 1</w:t>
      </w:r>
      <w:r w:rsidR="00D8143C">
        <w:rPr>
          <w:rFonts w:cs="Times New Roman"/>
          <w:szCs w:val="24"/>
        </w:rPr>
        <w:t xml:space="preserve"> </w:t>
      </w:r>
      <w:r w:rsidR="00A13A0C" w:rsidRPr="002B283E">
        <w:rPr>
          <w:rFonts w:cs="Times New Roman"/>
          <w:szCs w:val="24"/>
        </w:rPr>
        <w:t>(2018)</w:t>
      </w:r>
      <w:r w:rsidR="00A87F6E">
        <w:rPr>
          <w:rFonts w:cs="Times New Roman"/>
          <w:szCs w:val="24"/>
        </w:rPr>
        <w:t xml:space="preserve">. </w:t>
      </w:r>
    </w:p>
    <w:p w14:paraId="1E23BF67" w14:textId="77777777" w:rsidR="00A13A0C" w:rsidRPr="002B283E" w:rsidRDefault="00A13A0C" w:rsidP="002B283E">
      <w:pPr>
        <w:autoSpaceDE w:val="0"/>
        <w:autoSpaceDN w:val="0"/>
        <w:adjustRightInd w:val="0"/>
        <w:rPr>
          <w:rFonts w:cs="Times New Roman"/>
          <w:szCs w:val="24"/>
        </w:rPr>
      </w:pPr>
    </w:p>
    <w:p w14:paraId="5C7281D9" w14:textId="5343EB74"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2B283E">
        <w:rPr>
          <w:rFonts w:cs="Times New Roman"/>
          <w:i/>
          <w:iCs/>
          <w:szCs w:val="24"/>
        </w:rPr>
        <w:t>See Smith v. City of Jackson</w:t>
      </w:r>
      <w:r w:rsidRPr="002B283E">
        <w:rPr>
          <w:rFonts w:cs="Times New Roman"/>
          <w:szCs w:val="24"/>
        </w:rPr>
        <w:t xml:space="preserve">, 544 U.S. 228, 231-34 (2005); </w:t>
      </w:r>
      <w:r w:rsidRPr="002B283E">
        <w:rPr>
          <w:rFonts w:cs="Times New Roman"/>
          <w:i/>
          <w:iCs/>
          <w:szCs w:val="24"/>
        </w:rPr>
        <w:t>see also Sheppard v. David Evans &amp; Assoc</w:t>
      </w:r>
      <w:r w:rsidRPr="002B283E">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2FEC3AD9" w14:textId="77777777" w:rsidR="00A13A0C" w:rsidRPr="002B283E" w:rsidRDefault="00A13A0C" w:rsidP="002B283E">
      <w:pPr>
        <w:autoSpaceDE w:val="0"/>
        <w:autoSpaceDN w:val="0"/>
        <w:adjustRightInd w:val="0"/>
        <w:rPr>
          <w:rFonts w:cs="Times New Roman"/>
          <w:szCs w:val="24"/>
        </w:rPr>
      </w:pPr>
    </w:p>
    <w:p w14:paraId="149A6895" w14:textId="09CD1008" w:rsidR="00A13A0C" w:rsidRPr="002B283E" w:rsidRDefault="00A13A0C" w:rsidP="002B283E">
      <w:pPr>
        <w:autoSpaceDE w:val="0"/>
        <w:autoSpaceDN w:val="0"/>
        <w:adjustRightInd w:val="0"/>
        <w:rPr>
          <w:rFonts w:cs="Times New Roman"/>
          <w:szCs w:val="24"/>
        </w:rPr>
      </w:pPr>
      <w:r w:rsidRPr="002B283E">
        <w:rPr>
          <w:rFonts w:cs="Times New Roman"/>
          <w:szCs w:val="24"/>
        </w:rPr>
        <w:tab/>
        <w:t>In some cases of employment discrimination under Title VII (</w:t>
      </w:r>
      <w:r w:rsidRPr="002B283E">
        <w:rPr>
          <w:rFonts w:cs="Times New Roman"/>
          <w:i/>
          <w:iCs/>
          <w:szCs w:val="24"/>
        </w:rPr>
        <w:t>i.e</w:t>
      </w:r>
      <w:r w:rsidRPr="002B283E">
        <w:rPr>
          <w:rFonts w:cs="Times New Roman"/>
          <w:szCs w:val="24"/>
        </w:rPr>
        <w:t xml:space="preserve">., when the employer is a public entity), the plaintiff has the option of suing under 42 U.S.C. § 1983. However, the ADEA is the exclusive remedy for a federal age discrimination claim. </w:t>
      </w:r>
      <w:r w:rsidRPr="002B283E">
        <w:rPr>
          <w:rFonts w:cs="Times New Roman"/>
          <w:i/>
          <w:iCs/>
          <w:szCs w:val="24"/>
        </w:rPr>
        <w:t>See Ahlmeyer v. Nev. Sys. of Higher Educ.</w:t>
      </w:r>
      <w:r w:rsidRPr="002B283E">
        <w:rPr>
          <w:rFonts w:cs="Times New Roman"/>
          <w:szCs w:val="24"/>
        </w:rPr>
        <w:t>, 555 F.3d 1051, 1056 (9th Cir. 2009).</w:t>
      </w:r>
    </w:p>
    <w:p w14:paraId="02AAD621" w14:textId="77777777" w:rsidR="00A13A0C" w:rsidRPr="002B283E" w:rsidRDefault="00A13A0C" w:rsidP="002B283E">
      <w:pPr>
        <w:autoSpaceDE w:val="0"/>
        <w:autoSpaceDN w:val="0"/>
        <w:adjustRightInd w:val="0"/>
        <w:rPr>
          <w:rFonts w:cs="Times New Roman"/>
          <w:szCs w:val="24"/>
        </w:rPr>
      </w:pPr>
    </w:p>
    <w:p w14:paraId="6EE553BA" w14:textId="19352181"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 and Title VII share common substantive features and also a common purpose: ‘the elimination of discrimination in the workplace.’” </w:t>
      </w:r>
      <w:r w:rsidRPr="002B283E">
        <w:rPr>
          <w:rFonts w:cs="Times New Roman"/>
          <w:i/>
          <w:iCs/>
          <w:szCs w:val="24"/>
        </w:rPr>
        <w:t>McKennon v. Nashville Banner Publ’g Co</w:t>
      </w:r>
      <w:r w:rsidRPr="002B283E">
        <w:rPr>
          <w:rFonts w:cs="Times New Roman"/>
          <w:szCs w:val="24"/>
        </w:rPr>
        <w:t xml:space="preserve">., 513 U.S. 352, 358 (1995) (quoting </w:t>
      </w:r>
      <w:r w:rsidRPr="002B283E">
        <w:rPr>
          <w:rFonts w:cs="Times New Roman"/>
          <w:i/>
          <w:iCs/>
          <w:szCs w:val="24"/>
        </w:rPr>
        <w:t>Oscar Mayer &amp; Co. v. Evans</w:t>
      </w:r>
      <w:r w:rsidRPr="002B283E">
        <w:rPr>
          <w:rFonts w:cs="Times New Roman"/>
          <w:szCs w:val="24"/>
        </w:rPr>
        <w:t>, 441 U.S. 750, 756 (1979))</w:t>
      </w:r>
      <w:r w:rsidR="00A87F6E">
        <w:rPr>
          <w:rFonts w:cs="Times New Roman"/>
          <w:szCs w:val="24"/>
        </w:rPr>
        <w:t xml:space="preserve">. </w:t>
      </w:r>
      <w:r w:rsidRPr="002B283E">
        <w:rPr>
          <w:rFonts w:cs="Times New Roman"/>
          <w:szCs w:val="24"/>
        </w:rPr>
        <w:t xml:space="preserve">Further, certain “language in the ADEA . . . was ‘derived </w:t>
      </w:r>
      <w:r w:rsidRPr="002B283E">
        <w:rPr>
          <w:rFonts w:cs="Times New Roman"/>
          <w:i/>
          <w:iCs/>
          <w:szCs w:val="24"/>
        </w:rPr>
        <w:t>in haec verba</w:t>
      </w:r>
      <w:r w:rsidRPr="002B283E">
        <w:rPr>
          <w:rFonts w:cs="Times New Roman"/>
          <w:szCs w:val="24"/>
        </w:rPr>
        <w:t xml:space="preserve"> from Title VII.’” </w:t>
      </w:r>
      <w:r w:rsidRPr="002B283E">
        <w:rPr>
          <w:rFonts w:cs="Times New Roman"/>
          <w:i/>
          <w:iCs/>
          <w:szCs w:val="24"/>
        </w:rPr>
        <w:t>Smith</w:t>
      </w:r>
      <w:r w:rsidRPr="002B283E">
        <w:rPr>
          <w:rFonts w:cs="Times New Roman"/>
          <w:szCs w:val="24"/>
        </w:rPr>
        <w:t>, 544 U.S. at 234. On issues when the ADEA and Title VII are in substantial accord, appropriately modified Title VII instructions should be given, as cross-referenced in this chapter</w:t>
      </w:r>
      <w:r w:rsidR="00A87F6E">
        <w:rPr>
          <w:rFonts w:cs="Times New Roman"/>
          <w:szCs w:val="24"/>
        </w:rPr>
        <w:t xml:space="preserve">. </w:t>
      </w:r>
      <w:r w:rsidRPr="002B283E">
        <w:rPr>
          <w:rFonts w:cs="Times New Roman"/>
          <w:i/>
          <w:iCs/>
          <w:szCs w:val="24"/>
        </w:rPr>
        <w:t>See</w:t>
      </w:r>
      <w:r w:rsidRPr="002B283E">
        <w:rPr>
          <w:rFonts w:cs="Times New Roman"/>
          <w:szCs w:val="24"/>
        </w:rPr>
        <w:t xml:space="preserve"> Comments to </w:t>
      </w:r>
      <w:r w:rsidR="00570179" w:rsidRPr="002B283E">
        <w:rPr>
          <w:rFonts w:cs="Times New Roman"/>
          <w:szCs w:val="24"/>
        </w:rPr>
        <w:t xml:space="preserve">Instruction </w:t>
      </w:r>
      <w:r w:rsidRPr="002B283E">
        <w:rPr>
          <w:rFonts w:cs="Times New Roman"/>
          <w:szCs w:val="24"/>
        </w:rPr>
        <w:t xml:space="preserve">11.2 (Age Discrimination—Hostile Work Environment); </w:t>
      </w:r>
      <w:r w:rsidR="00570179" w:rsidRPr="002B283E">
        <w:rPr>
          <w:rFonts w:cs="Times New Roman"/>
          <w:szCs w:val="24"/>
        </w:rPr>
        <w:t xml:space="preserve">Instruction </w:t>
      </w:r>
      <w:r w:rsidRPr="002B283E">
        <w:rPr>
          <w:rFonts w:cs="Times New Roman"/>
          <w:szCs w:val="24"/>
        </w:rPr>
        <w:t xml:space="preserve">11.3 (Age Discrimination—Retaliation); </w:t>
      </w:r>
      <w:r w:rsidR="00570179" w:rsidRPr="002B283E">
        <w:rPr>
          <w:rFonts w:cs="Times New Roman"/>
          <w:szCs w:val="24"/>
        </w:rPr>
        <w:t xml:space="preserve">Instruction </w:t>
      </w:r>
      <w:r w:rsidRPr="002B283E">
        <w:rPr>
          <w:rFonts w:cs="Times New Roman"/>
          <w:szCs w:val="24"/>
        </w:rPr>
        <w:t xml:space="preserve">11.5 (Age Discrimination—Definition of Common Terms); </w:t>
      </w:r>
      <w:r w:rsidR="00570179" w:rsidRPr="002B283E">
        <w:rPr>
          <w:rFonts w:cs="Times New Roman"/>
          <w:szCs w:val="24"/>
        </w:rPr>
        <w:t xml:space="preserve">Instruction </w:t>
      </w:r>
      <w:r w:rsidRPr="002B283E">
        <w:rPr>
          <w:rFonts w:cs="Times New Roman"/>
          <w:szCs w:val="24"/>
        </w:rPr>
        <w:t xml:space="preserve">11.7 (Age Discrimination—Defenses—Bona Fide Occupational Qualification); </w:t>
      </w:r>
      <w:r w:rsidR="00570179" w:rsidRPr="002B283E">
        <w:rPr>
          <w:rFonts w:cs="Times New Roman"/>
          <w:szCs w:val="24"/>
        </w:rPr>
        <w:t xml:space="preserve">Instruction </w:t>
      </w:r>
      <w:r w:rsidRPr="002B283E">
        <w:rPr>
          <w:rFonts w:cs="Times New Roman"/>
          <w:szCs w:val="24"/>
        </w:rPr>
        <w:t xml:space="preserve">11.8 (Age Discrimination—Defenses—Bona Fide Seniority System); </w:t>
      </w:r>
      <w:r w:rsidR="00570179" w:rsidRPr="002B283E">
        <w:rPr>
          <w:rFonts w:cs="Times New Roman"/>
          <w:szCs w:val="24"/>
        </w:rPr>
        <w:t xml:space="preserve">Instruction </w:t>
      </w:r>
      <w:r w:rsidRPr="002B283E">
        <w:rPr>
          <w:rFonts w:cs="Times New Roman"/>
          <w:szCs w:val="24"/>
        </w:rPr>
        <w:t>11.9 (Age Discrimination—Defenses—After-Acquired Evidence).</w:t>
      </w:r>
    </w:p>
    <w:p w14:paraId="6EC9F910" w14:textId="77777777" w:rsidR="00A13A0C" w:rsidRPr="002B283E" w:rsidRDefault="00A13A0C" w:rsidP="002B283E">
      <w:pPr>
        <w:autoSpaceDE w:val="0"/>
        <w:autoSpaceDN w:val="0"/>
        <w:adjustRightInd w:val="0"/>
        <w:rPr>
          <w:rFonts w:cs="Times New Roman"/>
          <w:szCs w:val="24"/>
        </w:rPr>
      </w:pPr>
    </w:p>
    <w:p w14:paraId="5564BA58" w14:textId="49850614" w:rsidR="00A13A0C" w:rsidRPr="002B283E" w:rsidRDefault="00A13A0C" w:rsidP="002B283E">
      <w:pPr>
        <w:autoSpaceDE w:val="0"/>
        <w:autoSpaceDN w:val="0"/>
        <w:adjustRightInd w:val="0"/>
        <w:rPr>
          <w:rFonts w:cs="Times New Roman"/>
          <w:b/>
          <w:bCs/>
          <w:szCs w:val="24"/>
          <w:u w:val="single"/>
        </w:rPr>
      </w:pPr>
      <w:r w:rsidRPr="002B283E">
        <w:rPr>
          <w:rFonts w:cs="Times New Roman"/>
          <w:szCs w:val="24"/>
        </w:rPr>
        <w:tab/>
        <w:t>The ADEA and Title VII are not identical. A brief summary of their differences is set forth below.</w:t>
      </w:r>
    </w:p>
    <w:p w14:paraId="144DB297" w14:textId="77777777" w:rsidR="00A13A0C" w:rsidRPr="002B283E" w:rsidRDefault="00A13A0C" w:rsidP="002B283E">
      <w:pPr>
        <w:autoSpaceDE w:val="0"/>
        <w:autoSpaceDN w:val="0"/>
        <w:adjustRightInd w:val="0"/>
        <w:rPr>
          <w:rFonts w:cs="Times New Roman"/>
          <w:b/>
          <w:bCs/>
          <w:szCs w:val="24"/>
          <w:u w:val="single"/>
        </w:rPr>
      </w:pPr>
    </w:p>
    <w:p w14:paraId="03C8FE8F" w14:textId="7AE86C1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Mixed Motives</w:t>
      </w:r>
      <w:r w:rsidRPr="002B283E">
        <w:rPr>
          <w:rFonts w:cs="Times New Roman"/>
          <w:szCs w:val="24"/>
        </w:rPr>
        <w:t xml:space="preserve">: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w:t>
      </w:r>
      <w:r w:rsidR="00A87F6E">
        <w:rPr>
          <w:rFonts w:cs="Times New Roman"/>
          <w:szCs w:val="24"/>
        </w:rPr>
        <w:t xml:space="preserve">. </w:t>
      </w:r>
      <w:r w:rsidRPr="002B283E">
        <w:rPr>
          <w:rFonts w:cs="Times New Roman"/>
          <w:szCs w:val="24"/>
        </w:rPr>
        <w:t xml:space="preserve">However, “textual differences between Title VII and the ADEA . . . prevent . . . [application of] </w:t>
      </w:r>
      <w:bookmarkStart w:id="275" w:name="SR_59_4136"/>
      <w:bookmarkEnd w:id="275"/>
      <w:r w:rsidRPr="002B283E">
        <w:rPr>
          <w:rFonts w:cs="Times New Roman"/>
          <w:i/>
          <w:iCs/>
          <w:szCs w:val="24"/>
        </w:rPr>
        <w:t>Desert Palace</w:t>
      </w:r>
      <w:r w:rsidRPr="002B283E">
        <w:rPr>
          <w:rFonts w:cs="Times New Roman"/>
          <w:szCs w:val="24"/>
        </w:rPr>
        <w:t xml:space="preserve"> to federal age discrimination claims.” </w:t>
      </w:r>
      <w:r w:rsidRPr="002B283E">
        <w:rPr>
          <w:rFonts w:cs="Times New Roman"/>
          <w:i/>
          <w:iCs/>
          <w:szCs w:val="24"/>
        </w:rPr>
        <w:t>Gross v. FBL Fin. Servi</w:t>
      </w:r>
      <w:r w:rsidR="00E34D0B">
        <w:rPr>
          <w:rFonts w:cs="Times New Roman"/>
          <w:i/>
          <w:iCs/>
          <w:szCs w:val="24"/>
        </w:rPr>
        <w:t>s.</w:t>
      </w:r>
      <w:r w:rsidRPr="002B283E">
        <w:rPr>
          <w:rFonts w:cs="Times New Roman"/>
          <w:i/>
          <w:iCs/>
          <w:szCs w:val="24"/>
        </w:rPr>
        <w:t>, Inc</w:t>
      </w:r>
      <w:r w:rsidRPr="002B283E">
        <w:rPr>
          <w:rFonts w:cs="Times New Roman"/>
          <w:szCs w:val="24"/>
        </w:rPr>
        <w:t xml:space="preserve">., 557 U.S. 167, 175 &amp; n.2 (2009). In </w:t>
      </w:r>
      <w:r w:rsidRPr="002B283E">
        <w:rPr>
          <w:rFonts w:cs="Times New Roman"/>
          <w:i/>
          <w:iCs/>
          <w:szCs w:val="24"/>
        </w:rPr>
        <w:t>Gross</w:t>
      </w:r>
      <w:r w:rsidRPr="002B283E">
        <w:rPr>
          <w:rFonts w:cs="Times New Roman"/>
          <w:szCs w:val="24"/>
        </w:rPr>
        <w:t xml:space="preserve">, the Court held that “a plaintiff bringing a disparate-treatment claim pursuant to the ADEA must prove, by a preponderance of the </w:t>
      </w:r>
      <w:r w:rsidRPr="002B283E">
        <w:rPr>
          <w:rFonts w:cs="Times New Roman"/>
          <w:szCs w:val="24"/>
        </w:rPr>
        <w:lastRenderedPageBreak/>
        <w:t xml:space="preserve">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2B283E">
        <w:rPr>
          <w:rFonts w:cs="Times New Roman"/>
          <w:i/>
          <w:iCs/>
          <w:szCs w:val="24"/>
        </w:rPr>
        <w:t xml:space="preserve">Id. </w:t>
      </w:r>
      <w:r w:rsidRPr="00E34D0B">
        <w:rPr>
          <w:rFonts w:cs="Times New Roman"/>
          <w:szCs w:val="24"/>
        </w:rPr>
        <w:t xml:space="preserve">at </w:t>
      </w:r>
      <w:r w:rsidRPr="002B283E">
        <w:rPr>
          <w:rFonts w:cs="Times New Roman"/>
          <w:szCs w:val="24"/>
        </w:rPr>
        <w:t xml:space="preserve">180. Thus, it was reversible error to instruct the jury using Title VII’s “motivating factor” formulation. </w:t>
      </w:r>
      <w:r w:rsidRPr="002B283E">
        <w:rPr>
          <w:rFonts w:cs="Times New Roman"/>
          <w:i/>
          <w:iCs/>
          <w:szCs w:val="24"/>
        </w:rPr>
        <w:t>Id</w:t>
      </w:r>
      <w:r w:rsidRPr="002B283E">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2B283E">
        <w:rPr>
          <w:rFonts w:cs="Times New Roman"/>
          <w:i/>
          <w:iCs/>
          <w:szCs w:val="24"/>
        </w:rPr>
        <w:t>Gross</w:t>
      </w:r>
      <w:r w:rsidRPr="002B283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under Title VII is the same as that under ADEA.”); </w:t>
      </w:r>
      <w:r w:rsidRPr="002B283E">
        <w:rPr>
          <w:rFonts w:cs="Times New Roman"/>
          <w:i/>
          <w:iCs/>
          <w:szCs w:val="24"/>
        </w:rPr>
        <w:t>Mustafa v. Clark Cnty Sch. Dist.</w:t>
      </w:r>
      <w:r w:rsidRPr="002B283E">
        <w:rPr>
          <w:rFonts w:cs="Times New Roman"/>
          <w:szCs w:val="24"/>
        </w:rPr>
        <w:t xml:space="preserve">, 157 F.3d 1169, 1180 n.11 (9th Cir. 1998) (“This Court applies the same standards to disparate treatment claims pursuant to Title VII [and] the Age Discrimination in Employment Act . . . .”); </w:t>
      </w:r>
      <w:r w:rsidRPr="002B283E">
        <w:rPr>
          <w:rFonts w:cs="Times New Roman"/>
          <w:i/>
          <w:iCs/>
          <w:szCs w:val="24"/>
        </w:rPr>
        <w:t>Stillwell v. City of Williams</w:t>
      </w:r>
      <w:r w:rsidRPr="002B283E">
        <w:rPr>
          <w:rFonts w:cs="Times New Roman"/>
          <w:szCs w:val="24"/>
        </w:rPr>
        <w:t>, 831 F.3d 1234, 1246-47 (9th Cir. 2016) (“Section 623(d) is the ADEA equivalent of the anti-retaliation provision of Title VII.”).</w:t>
      </w:r>
      <w:r w:rsidRPr="002B283E">
        <w:rPr>
          <w:rFonts w:cs="Times New Roman"/>
          <w:i/>
          <w:iCs/>
          <w:szCs w:val="24"/>
        </w:rPr>
        <w:t xml:space="preserve"> See</w:t>
      </w:r>
      <w:r w:rsidRPr="002B283E">
        <w:rPr>
          <w:rFonts w:cs="Times New Roman"/>
          <w:szCs w:val="24"/>
        </w:rPr>
        <w:t xml:space="preserve"> Instruction 11.2 (Age Discrimination—Hostile Work Environment)</w:t>
      </w:r>
      <w:r w:rsidR="006426F5">
        <w:rPr>
          <w:rFonts w:cs="Times New Roman"/>
          <w:szCs w:val="24"/>
        </w:rPr>
        <w:t>;</w:t>
      </w:r>
      <w:r w:rsidRPr="002B283E">
        <w:rPr>
          <w:rFonts w:cs="Times New Roman"/>
          <w:szCs w:val="24"/>
        </w:rPr>
        <w:t xml:space="preserve"> </w:t>
      </w:r>
      <w:r w:rsidR="0081679E" w:rsidRPr="002B283E">
        <w:rPr>
          <w:rFonts w:cs="Times New Roman"/>
          <w:szCs w:val="24"/>
        </w:rPr>
        <w:t xml:space="preserve">Instruction </w:t>
      </w:r>
      <w:r w:rsidRPr="002B283E">
        <w:rPr>
          <w:rFonts w:cs="Times New Roman"/>
          <w:szCs w:val="24"/>
        </w:rPr>
        <w:t>11.3 (Age Discrimination—Retaliation).</w:t>
      </w:r>
    </w:p>
    <w:p w14:paraId="50DA7429" w14:textId="77777777" w:rsidR="00A13A0C" w:rsidRPr="002B283E" w:rsidRDefault="00A13A0C" w:rsidP="002B283E">
      <w:pPr>
        <w:autoSpaceDE w:val="0"/>
        <w:autoSpaceDN w:val="0"/>
        <w:adjustRightInd w:val="0"/>
        <w:rPr>
          <w:rFonts w:cs="Times New Roman"/>
          <w:szCs w:val="24"/>
        </w:rPr>
      </w:pPr>
    </w:p>
    <w:p w14:paraId="67A73C48" w14:textId="63CACA69" w:rsidR="00A13A0C" w:rsidRPr="002B283E" w:rsidRDefault="00A13A0C"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u w:val="single"/>
        </w:rPr>
        <w:t>Disparate Impact</w:t>
      </w:r>
      <w:r w:rsidRPr="002B283E">
        <w:rPr>
          <w:rFonts w:cs="Times New Roman"/>
          <w:szCs w:val="24"/>
        </w:rPr>
        <w:t xml:space="preserve">: After longstanding uncertainty on the issue, </w:t>
      </w:r>
      <w:r w:rsidRPr="002B283E">
        <w:rPr>
          <w:rFonts w:cs="Times New Roman"/>
          <w:i/>
          <w:iCs/>
          <w:szCs w:val="24"/>
        </w:rPr>
        <w:t>Smith</w:t>
      </w:r>
      <w:r w:rsidRPr="002B283E">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2B283E">
        <w:rPr>
          <w:rFonts w:cs="Times New Roman"/>
          <w:i/>
          <w:iCs/>
          <w:szCs w:val="24"/>
        </w:rPr>
        <w:t xml:space="preserve">Id. </w:t>
      </w:r>
      <w:r w:rsidRPr="002B283E">
        <w:rPr>
          <w:rFonts w:cs="Times New Roman"/>
          <w:szCs w:val="24"/>
        </w:rPr>
        <w:t xml:space="preserve">(citing </w:t>
      </w:r>
      <w:r w:rsidRPr="002B283E">
        <w:rPr>
          <w:rFonts w:cs="Times New Roman"/>
          <w:i/>
          <w:iCs/>
          <w:szCs w:val="24"/>
        </w:rPr>
        <w:t>Wards Cove Packing Co. v. Atonio</w:t>
      </w:r>
      <w:r w:rsidRPr="002B283E">
        <w:rPr>
          <w:rFonts w:cs="Times New Roman"/>
          <w:szCs w:val="24"/>
        </w:rPr>
        <w:t xml:space="preserve">, 490 U.S. 642 (1989)). Thus, </w:t>
      </w:r>
      <w:r w:rsidR="002F1238">
        <w:rPr>
          <w:rFonts w:cs="Times New Roman"/>
          <w:szCs w:val="24"/>
        </w:rPr>
        <w:t>to</w:t>
      </w:r>
      <w:r w:rsidRPr="002B283E">
        <w:rPr>
          <w:rFonts w:cs="Times New Roman"/>
          <w:szCs w:val="24"/>
        </w:rPr>
        <w:t xml:space="preserve"> prove a disparate impact claim, plaintiffs must identify a “specific test, requirement, or practice . . . that has an adverse impact on older workers.” </w:t>
      </w:r>
      <w:r w:rsidRPr="002B283E">
        <w:rPr>
          <w:rFonts w:cs="Times New Roman"/>
          <w:i/>
          <w:iCs/>
          <w:szCs w:val="24"/>
        </w:rPr>
        <w:t>Id</w:t>
      </w:r>
      <w:r w:rsidRPr="002B283E">
        <w:rPr>
          <w:rFonts w:cs="Times New Roman"/>
          <w:szCs w:val="24"/>
        </w:rPr>
        <w:t xml:space="preserve">. at 241; </w:t>
      </w:r>
      <w:r w:rsidRPr="002B283E">
        <w:rPr>
          <w:rFonts w:cs="Times New Roman"/>
          <w:i/>
          <w:iCs/>
          <w:szCs w:val="24"/>
        </w:rPr>
        <w:t>see also</w:t>
      </w:r>
      <w:r w:rsidRPr="002B283E">
        <w:rPr>
          <w:rFonts w:cs="Times New Roman"/>
          <w:szCs w:val="24"/>
        </w:rPr>
        <w:t xml:space="preserve"> </w:t>
      </w:r>
      <w:r w:rsidRPr="002B283E">
        <w:rPr>
          <w:rFonts w:cs="Times New Roman"/>
          <w:i/>
          <w:iCs/>
          <w:szCs w:val="24"/>
        </w:rPr>
        <w:t>Meacham v. Knolls Atomic Power Lab</w:t>
      </w:r>
      <w:r w:rsidR="00E34D0B">
        <w:rPr>
          <w:rFonts w:cs="Times New Roman"/>
          <w:i/>
          <w:iCs/>
          <w:szCs w:val="24"/>
        </w:rPr>
        <w:t>’y</w:t>
      </w:r>
      <w:r w:rsidRPr="002B283E">
        <w:rPr>
          <w:rFonts w:cs="Times New Roman"/>
          <w:i/>
          <w:iCs/>
          <w:szCs w:val="24"/>
        </w:rPr>
        <w:t>.</w:t>
      </w:r>
      <w:r w:rsidRPr="002B283E">
        <w:rPr>
          <w:rFonts w:cs="Times New Roman"/>
          <w:szCs w:val="24"/>
        </w:rPr>
        <w:t>, 554 U.S. 84, 100 (2008); Instruction 11.4 (Age Discrimination—Disparate Impact—Elements).</w:t>
      </w:r>
    </w:p>
    <w:p w14:paraId="15C08BDF" w14:textId="77777777" w:rsidR="00A13A0C" w:rsidRPr="002B283E" w:rsidRDefault="00A13A0C" w:rsidP="002B283E">
      <w:pPr>
        <w:autoSpaceDE w:val="0"/>
        <w:autoSpaceDN w:val="0"/>
        <w:adjustRightInd w:val="0"/>
        <w:rPr>
          <w:rFonts w:cs="Times New Roman"/>
          <w:szCs w:val="24"/>
        </w:rPr>
      </w:pPr>
    </w:p>
    <w:p w14:paraId="16C2AB34" w14:textId="629709A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Defenses</w:t>
      </w:r>
      <w:r w:rsidRPr="002B283E">
        <w:rPr>
          <w:rFonts w:cs="Times New Roman"/>
          <w:b/>
          <w:bCs/>
          <w:szCs w:val="24"/>
        </w:rPr>
        <w:t xml:space="preserve">: </w:t>
      </w:r>
      <w:r w:rsidRPr="002B283E">
        <w:rPr>
          <w:rFonts w:cs="Times New Roman"/>
          <w:szCs w:val="24"/>
        </w:rPr>
        <w:t xml:space="preserve">Unlike race or gender, certain business costs correlate directly with age. </w:t>
      </w:r>
    </w:p>
    <w:p w14:paraId="452E9E6A" w14:textId="319E2BA0" w:rsidR="00A13A0C" w:rsidRPr="002B283E" w:rsidRDefault="00A13A0C" w:rsidP="002B283E">
      <w:pPr>
        <w:autoSpaceDE w:val="0"/>
        <w:autoSpaceDN w:val="0"/>
        <w:adjustRightInd w:val="0"/>
        <w:rPr>
          <w:rFonts w:cs="Times New Roman"/>
          <w:szCs w:val="24"/>
        </w:rPr>
      </w:pPr>
      <w:r w:rsidRPr="002B283E">
        <w:rPr>
          <w:rFonts w:cs="Times New Roman"/>
          <w:szCs w:val="24"/>
        </w:rPr>
        <w:t xml:space="preserve">Thus, the ADEA permits an affirmative defense for certain actions related to the cost of noncompensation employment benefits. 29 U.S.C. § 623(f)(2)(B). </w:t>
      </w:r>
      <w:r w:rsidRPr="002B283E">
        <w:rPr>
          <w:rFonts w:cs="Times New Roman"/>
          <w:i/>
          <w:iCs/>
          <w:szCs w:val="24"/>
        </w:rPr>
        <w:t>See</w:t>
      </w:r>
      <w:r w:rsidRPr="002B283E">
        <w:rPr>
          <w:rFonts w:cs="Times New Roman"/>
          <w:szCs w:val="24"/>
        </w:rPr>
        <w:t xml:space="preserve"> Instruction 11.10 (Age Discrimination—Defenses—Bona Fide Employee Benefit Plan).</w:t>
      </w:r>
    </w:p>
    <w:p w14:paraId="28802F03" w14:textId="77777777" w:rsidR="00A13A0C" w:rsidRPr="002B283E" w:rsidRDefault="00A13A0C" w:rsidP="002B283E">
      <w:pPr>
        <w:autoSpaceDE w:val="0"/>
        <w:autoSpaceDN w:val="0"/>
        <w:adjustRightInd w:val="0"/>
        <w:rPr>
          <w:rFonts w:cs="Times New Roman"/>
          <w:szCs w:val="24"/>
        </w:rPr>
      </w:pPr>
    </w:p>
    <w:p w14:paraId="58984C26" w14:textId="1BFC61A8"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2B283E">
        <w:rPr>
          <w:rFonts w:cs="Times New Roman"/>
          <w:i/>
          <w:iCs/>
          <w:szCs w:val="24"/>
        </w:rPr>
        <w:t>See</w:t>
      </w:r>
      <w:r w:rsidRPr="002B283E">
        <w:rPr>
          <w:rFonts w:cs="Times New Roman"/>
          <w:szCs w:val="24"/>
        </w:rPr>
        <w:t xml:space="preserve"> Instruction 11.8 (Age Discrimination—Defenses—Bona Fide Seniority System).</w:t>
      </w:r>
    </w:p>
    <w:p w14:paraId="65AE2146" w14:textId="77777777" w:rsidR="00A13A0C" w:rsidRPr="002B283E" w:rsidRDefault="00A13A0C" w:rsidP="002B283E">
      <w:pPr>
        <w:autoSpaceDE w:val="0"/>
        <w:autoSpaceDN w:val="0"/>
        <w:adjustRightInd w:val="0"/>
        <w:rPr>
          <w:rFonts w:cs="Times New Roman"/>
          <w:szCs w:val="24"/>
        </w:rPr>
      </w:pPr>
    </w:p>
    <w:p w14:paraId="643F619B" w14:textId="183D2555"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Generally, in a disparate impact case, the ADEA provides a broad defense when the employer’s action is based on a reasonable factor other than age. 29 U.S.C. § 623(f)(1). This is substantially broader than the “business necessity” defense afforded by Title VII. </w:t>
      </w:r>
      <w:r w:rsidRPr="002B283E">
        <w:rPr>
          <w:rFonts w:cs="Times New Roman"/>
          <w:i/>
          <w:iCs/>
          <w:szCs w:val="24"/>
        </w:rPr>
        <w:t>See Smith</w:t>
      </w:r>
      <w:r w:rsidRPr="002B283E">
        <w:rPr>
          <w:rFonts w:cs="Times New Roman"/>
          <w:szCs w:val="24"/>
        </w:rPr>
        <w:t>, 544 U.S. at 243 (“Unlike the business necessity test, which asks whether there are other ways for the employer to achieve its goals that do not result in a disparate impact on a protected class, the [reasonable factor other than age] inquiry includes no such requirement.”</w:t>
      </w:r>
      <w:r w:rsidR="00E34D0B">
        <w:rPr>
          <w:rFonts w:cs="Times New Roman"/>
          <w:szCs w:val="24"/>
        </w:rPr>
        <w:t>).</w:t>
      </w:r>
      <w:r w:rsidRPr="002B283E">
        <w:rPr>
          <w:rFonts w:cs="Times New Roman"/>
          <w:szCs w:val="24"/>
        </w:rPr>
        <w:t xml:space="preserve"> </w:t>
      </w:r>
      <w:r w:rsidRPr="002B283E">
        <w:rPr>
          <w:rFonts w:cs="Times New Roman"/>
          <w:i/>
          <w:iCs/>
          <w:szCs w:val="24"/>
        </w:rPr>
        <w:t>See</w:t>
      </w:r>
      <w:r w:rsidRPr="002B283E">
        <w:rPr>
          <w:rFonts w:cs="Times New Roman"/>
          <w:szCs w:val="24"/>
        </w:rPr>
        <w:t xml:space="preserve"> Instruction 11.11 (Age Discrimination—Defenses—Reasonable Factor Other than Age).</w:t>
      </w:r>
    </w:p>
    <w:p w14:paraId="6E9055B7" w14:textId="77777777" w:rsidR="00A13A0C" w:rsidRPr="002B283E" w:rsidRDefault="00A13A0C" w:rsidP="002B283E">
      <w:pPr>
        <w:autoSpaceDE w:val="0"/>
        <w:autoSpaceDN w:val="0"/>
        <w:adjustRightInd w:val="0"/>
        <w:rPr>
          <w:rFonts w:cs="Times New Roman"/>
          <w:szCs w:val="24"/>
        </w:rPr>
      </w:pPr>
    </w:p>
    <w:p w14:paraId="32354897" w14:textId="586E25A9" w:rsidR="00A13A0C" w:rsidRPr="002B283E" w:rsidRDefault="00A13A0C"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w:t>
      </w:r>
      <w:r w:rsidRPr="002B283E">
        <w:rPr>
          <w:rFonts w:cs="Times New Roman"/>
          <w:szCs w:val="24"/>
        </w:rPr>
        <w:lastRenderedPageBreak/>
        <w:t xml:space="preserve">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E34D0B">
        <w:rPr>
          <w:rFonts w:cs="Times New Roman"/>
          <w:szCs w:val="24"/>
        </w:rPr>
        <w:t>ADEA</w:t>
      </w:r>
      <w:r w:rsidRPr="002B283E">
        <w:rPr>
          <w:rFonts w:cs="Times New Roman"/>
          <w:szCs w:val="24"/>
        </w:rPr>
        <w:t xml:space="preserve"> and </w:t>
      </w:r>
      <w:r w:rsidR="00E34D0B">
        <w:rPr>
          <w:rFonts w:cs="Times New Roman"/>
          <w:szCs w:val="24"/>
        </w:rPr>
        <w:t xml:space="preserve">the </w:t>
      </w:r>
      <w:r w:rsidRPr="002B283E">
        <w:rPr>
          <w:rFonts w:cs="Times New Roman"/>
          <w:szCs w:val="24"/>
        </w:rPr>
        <w:t>ADA).</w:t>
      </w:r>
    </w:p>
    <w:p w14:paraId="412E8D1E" w14:textId="77777777" w:rsidR="00A13A0C" w:rsidRPr="002B283E" w:rsidRDefault="00A13A0C" w:rsidP="002B283E">
      <w:pPr>
        <w:autoSpaceDE w:val="0"/>
        <w:autoSpaceDN w:val="0"/>
        <w:adjustRightInd w:val="0"/>
        <w:rPr>
          <w:rFonts w:cs="Times New Roman"/>
          <w:szCs w:val="24"/>
        </w:rPr>
      </w:pPr>
    </w:p>
    <w:p w14:paraId="31E87D95" w14:textId="0E2315A3"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Remedies</w:t>
      </w:r>
      <w:r w:rsidRPr="002B283E">
        <w:rPr>
          <w:rFonts w:cs="Times New Roman"/>
          <w:szCs w:val="24"/>
        </w:rPr>
        <w:t xml:space="preserve">: The remedies provision in the ADEA is borrowed from a wholly different body of law—the Fair Labor Standards Act (FLSA). </w:t>
      </w:r>
      <w:r w:rsidRPr="002B283E">
        <w:rPr>
          <w:rFonts w:cs="Times New Roman"/>
          <w:i/>
          <w:iCs/>
          <w:szCs w:val="24"/>
        </w:rPr>
        <w:t>See Lorillard v. Pons</w:t>
      </w:r>
      <w:r w:rsidRPr="002B283E">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2B283E">
        <w:rPr>
          <w:rFonts w:cs="Times New Roman"/>
          <w:i/>
          <w:iCs/>
          <w:szCs w:val="24"/>
        </w:rPr>
        <w:t>See</w:t>
      </w:r>
      <w:r w:rsidRPr="002B283E">
        <w:rPr>
          <w:rFonts w:cs="Times New Roman"/>
          <w:szCs w:val="24"/>
        </w:rPr>
        <w:t xml:space="preserve"> Comment to Instruction 11.13 (Age Discrimination—Damages—Back Pay—Mitigation). Thus, the ADEA provides the FLSA’s remedies of back pay, liquidated damages and equitable relief. </w:t>
      </w:r>
      <w:r w:rsidRPr="002B283E">
        <w:rPr>
          <w:rFonts w:cs="Times New Roman"/>
          <w:i/>
          <w:iCs/>
          <w:szCs w:val="24"/>
        </w:rPr>
        <w:t>See</w:t>
      </w:r>
      <w:r w:rsidRPr="002B283E">
        <w:rPr>
          <w:rFonts w:cs="Times New Roman"/>
          <w:szCs w:val="24"/>
        </w:rPr>
        <w:t xml:space="preserve"> 29 U.S.C. § 216. Additionally, front pay may be awarded in lieu of reinstatement if the court finds that reinstatement is not a feasible remedy. </w:t>
      </w:r>
      <w:r w:rsidRPr="002B283E">
        <w:rPr>
          <w:rFonts w:cs="Times New Roman"/>
          <w:i/>
          <w:iCs/>
          <w:szCs w:val="24"/>
        </w:rPr>
        <w:t>Cassino v. Reichhold Chems., Inc.</w:t>
      </w:r>
      <w:r w:rsidRPr="002B283E">
        <w:rPr>
          <w:rFonts w:cs="Times New Roman"/>
          <w:szCs w:val="24"/>
        </w:rPr>
        <w:t>, 817 F.2d 1338, 1347 (9th Cir. 1987) (ADEA case).</w:t>
      </w:r>
    </w:p>
    <w:p w14:paraId="3F26941F" w14:textId="77777777" w:rsidR="00A13A0C" w:rsidRPr="002B283E" w:rsidRDefault="00A13A0C" w:rsidP="002B283E">
      <w:pPr>
        <w:autoSpaceDE w:val="0"/>
        <w:autoSpaceDN w:val="0"/>
        <w:adjustRightInd w:val="0"/>
        <w:rPr>
          <w:rFonts w:cs="Times New Roman"/>
          <w:szCs w:val="24"/>
        </w:rPr>
      </w:pPr>
    </w:p>
    <w:p w14:paraId="460D3EAE" w14:textId="69CC7221" w:rsidR="00A13A0C" w:rsidRPr="002B283E" w:rsidRDefault="00A13A0C" w:rsidP="002B283E">
      <w:pPr>
        <w:adjustRightInd w:val="0"/>
        <w:rPr>
          <w:rFonts w:cs="Times New Roman"/>
          <w:szCs w:val="24"/>
        </w:rPr>
      </w:pPr>
      <w:r w:rsidRPr="002B283E">
        <w:rPr>
          <w:rFonts w:cs="Times New Roman"/>
          <w:szCs w:val="24"/>
        </w:rPr>
        <w:tab/>
        <w:t xml:space="preserve">The ADEA does not provide for nonwage compensatory damages, such as damages for emotional distress, or for punitive damages. </w:t>
      </w:r>
      <w:r w:rsidRPr="002B283E">
        <w:rPr>
          <w:rFonts w:cs="Times New Roman"/>
          <w:i/>
          <w:iCs/>
          <w:szCs w:val="24"/>
        </w:rPr>
        <w:t xml:space="preserve">See </w:t>
      </w:r>
      <w:bookmarkStart w:id="276" w:name="11.1_Age_Discrimination—Disparate_Treatm"/>
      <w:bookmarkEnd w:id="276"/>
      <w:r w:rsidRPr="002B283E">
        <w:rPr>
          <w:rFonts w:cs="Times New Roman"/>
          <w:i/>
          <w:iCs/>
          <w:szCs w:val="24"/>
        </w:rPr>
        <w:t>Ahlmeyer</w:t>
      </w:r>
      <w:r w:rsidRPr="002B283E">
        <w:rPr>
          <w:rFonts w:cs="Times New Roman"/>
          <w:szCs w:val="24"/>
        </w:rPr>
        <w:t xml:space="preserve">, 555 F.3d at 1059 (“Compensatory damages for pain and suffering and punitive damages are not available under the ADEA . . . .”); </w:t>
      </w:r>
      <w:r w:rsidRPr="002B283E">
        <w:rPr>
          <w:rFonts w:cs="Times New Roman"/>
          <w:i/>
          <w:iCs/>
          <w:szCs w:val="24"/>
        </w:rPr>
        <w:t>Cancellier v. Federated Dep</w:t>
      </w:r>
      <w:r w:rsidR="00E34D0B">
        <w:rPr>
          <w:rFonts w:cs="Times New Roman"/>
          <w:i/>
          <w:iCs/>
          <w:szCs w:val="24"/>
        </w:rPr>
        <w:t>’</w:t>
      </w:r>
      <w:r w:rsidRPr="002B283E">
        <w:rPr>
          <w:rFonts w:cs="Times New Roman"/>
          <w:i/>
          <w:iCs/>
          <w:szCs w:val="24"/>
        </w:rPr>
        <w:t>t</w:t>
      </w:r>
      <w:r w:rsidR="00E34D0B">
        <w:rPr>
          <w:rFonts w:cs="Times New Roman"/>
          <w:i/>
          <w:iCs/>
          <w:szCs w:val="24"/>
        </w:rPr>
        <w:t xml:space="preserve"> </w:t>
      </w:r>
      <w:r w:rsidRPr="002B283E">
        <w:rPr>
          <w:rFonts w:cs="Times New Roman"/>
          <w:i/>
          <w:iCs/>
          <w:szCs w:val="24"/>
        </w:rPr>
        <w:t>Stores</w:t>
      </w:r>
      <w:r w:rsidRPr="002B283E">
        <w:rPr>
          <w:rFonts w:cs="Times New Roman"/>
          <w:szCs w:val="24"/>
        </w:rPr>
        <w:t xml:space="preserve">, 672 F.2d 1312, 1317 (9th Cir. 1982) (noting punitive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Naton v. Bank of Cal.</w:t>
      </w:r>
      <w:r w:rsidRPr="002B283E">
        <w:rPr>
          <w:rFonts w:cs="Times New Roman"/>
          <w:szCs w:val="24"/>
        </w:rPr>
        <w:t xml:space="preserve">, 649 F.2d 691, 698 (9th Cir. 1981) (noting nonwage compensatory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 xml:space="preserve">compare </w:t>
      </w:r>
      <w:r w:rsidRPr="002B283E">
        <w:rPr>
          <w:rFonts w:cs="Times New Roman"/>
          <w:szCs w:val="24"/>
        </w:rPr>
        <w:t>42 U.S.C. § 1981a(a)(1) (permitting</w:t>
      </w:r>
      <w:r w:rsidR="00E34D0B">
        <w:rPr>
          <w:rFonts w:cs="Times New Roman"/>
          <w:szCs w:val="24"/>
        </w:rPr>
        <w:t xml:space="preserve"> the</w:t>
      </w:r>
      <w:r w:rsidRPr="002B283E">
        <w:rPr>
          <w:rFonts w:cs="Times New Roman"/>
          <w:szCs w:val="24"/>
        </w:rPr>
        <w:t xml:space="preserve"> recovery of compensatory and punitive damages under Title VII). </w:t>
      </w:r>
      <w:r w:rsidRPr="002B283E">
        <w:rPr>
          <w:rFonts w:cs="Times New Roman"/>
          <w:i/>
          <w:iCs/>
          <w:szCs w:val="24"/>
        </w:rPr>
        <w:t>See</w:t>
      </w:r>
      <w:r w:rsidRPr="002B283E">
        <w:rPr>
          <w:rFonts w:cs="Times New Roman"/>
          <w:szCs w:val="24"/>
        </w:rPr>
        <w:t xml:space="preserve"> Instruction 11.13 (Age Discrimination—Damages—Back Pay—Mitigation)</w:t>
      </w:r>
      <w:r w:rsidR="006426F5">
        <w:rPr>
          <w:rFonts w:cs="Times New Roman"/>
          <w:szCs w:val="24"/>
        </w:rPr>
        <w:t xml:space="preserve">; </w:t>
      </w:r>
      <w:r w:rsidR="0081679E" w:rsidRPr="002B283E">
        <w:rPr>
          <w:rFonts w:cs="Times New Roman"/>
          <w:szCs w:val="24"/>
        </w:rPr>
        <w:t xml:space="preserve">Instruction </w:t>
      </w:r>
      <w:r w:rsidRPr="002B283E">
        <w:rPr>
          <w:rFonts w:cs="Times New Roman"/>
          <w:szCs w:val="24"/>
        </w:rPr>
        <w:t>11.14 (Age Discrimination—Damages—Willful Discrimination—Liquidated Damages).</w:t>
      </w:r>
    </w:p>
    <w:p w14:paraId="052A75C0" w14:textId="77777777" w:rsidR="00A13A0C" w:rsidRPr="002B283E" w:rsidRDefault="00A13A0C" w:rsidP="002B283E">
      <w:pPr>
        <w:autoSpaceDE w:val="0"/>
        <w:autoSpaceDN w:val="0"/>
        <w:adjustRightInd w:val="0"/>
        <w:rPr>
          <w:rFonts w:cs="Times New Roman"/>
          <w:szCs w:val="24"/>
        </w:rPr>
      </w:pPr>
    </w:p>
    <w:p w14:paraId="5C58EAEE" w14:textId="1F05B866" w:rsidR="0001015B" w:rsidRPr="006A4CD7" w:rsidRDefault="00A13A0C" w:rsidP="0001015B">
      <w:pPr>
        <w:autoSpaceDE w:val="0"/>
        <w:autoSpaceDN w:val="0"/>
        <w:adjustRightInd w:val="0"/>
        <w:rPr>
          <w:rFonts w:cs="Times New Roman"/>
          <w:szCs w:val="24"/>
        </w:rPr>
      </w:pPr>
      <w:r w:rsidRPr="002B283E">
        <w:rPr>
          <w:rFonts w:cs="Times New Roman"/>
          <w:szCs w:val="24"/>
        </w:rPr>
        <w:tab/>
      </w:r>
      <w:r w:rsidR="0001015B" w:rsidRPr="006A4CD7">
        <w:rPr>
          <w:rFonts w:cs="Times New Roman"/>
          <w:szCs w:val="24"/>
        </w:rPr>
        <w:t>Because the ADEA’s remedies</w:t>
      </w:r>
      <w:r w:rsidR="0001015B">
        <w:rPr>
          <w:rFonts w:cs="Times New Roman"/>
          <w:szCs w:val="24"/>
        </w:rPr>
        <w:t>’</w:t>
      </w:r>
      <w:r w:rsidR="0001015B" w:rsidRPr="006A4CD7">
        <w:rPr>
          <w:rFonts w:cs="Times New Roman"/>
          <w:szCs w:val="24"/>
        </w:rPr>
        <w:t xml:space="preserve"> analog is the FLSA, not Title VII, the ADEA provides for a jury trial on the issue of back pay</w:t>
      </w:r>
      <w:r w:rsidR="00E54E76">
        <w:rPr>
          <w:rFonts w:cs="Times New Roman"/>
          <w:szCs w:val="24"/>
        </w:rPr>
        <w:t xml:space="preserve">. </w:t>
      </w:r>
      <w:r w:rsidR="0001015B" w:rsidRPr="006A4CD7">
        <w:rPr>
          <w:rFonts w:cs="Times New Roman"/>
          <w:i/>
          <w:iCs/>
          <w:szCs w:val="24"/>
        </w:rPr>
        <w:t>See</w:t>
      </w:r>
      <w:r w:rsidR="0001015B" w:rsidRPr="006A4CD7">
        <w:rPr>
          <w:rFonts w:cs="Times New Roman"/>
          <w:szCs w:val="24"/>
        </w:rPr>
        <w:t xml:space="preserve"> </w:t>
      </w:r>
      <w:r w:rsidR="0001015B" w:rsidRPr="006A4CD7">
        <w:rPr>
          <w:rFonts w:cs="Times New Roman"/>
          <w:i/>
          <w:iCs/>
          <w:szCs w:val="24"/>
        </w:rPr>
        <w:t>Lorillard</w:t>
      </w:r>
      <w:r w:rsidR="0001015B" w:rsidRPr="006A4CD7">
        <w:rPr>
          <w:rFonts w:cs="Times New Roman"/>
          <w:szCs w:val="24"/>
        </w:rPr>
        <w:t xml:space="preserve">, 434 U.S. at 582-84; </w:t>
      </w:r>
      <w:r w:rsidR="0001015B" w:rsidRPr="006A4CD7">
        <w:rPr>
          <w:rFonts w:cs="Times New Roman"/>
          <w:i/>
          <w:iCs/>
          <w:szCs w:val="24"/>
        </w:rPr>
        <w:t>compare</w:t>
      </w:r>
      <w:r w:rsidR="0001015B" w:rsidRPr="006A4CD7">
        <w:rPr>
          <w:rFonts w:cs="Times New Roman"/>
          <w:szCs w:val="24"/>
        </w:rPr>
        <w:t xml:space="preserve"> </w:t>
      </w:r>
      <w:r w:rsidR="0001015B" w:rsidRPr="006A4CD7">
        <w:rPr>
          <w:rFonts w:cs="Times New Roman"/>
          <w:i/>
          <w:iCs/>
          <w:szCs w:val="24"/>
        </w:rPr>
        <w:t>Lutz v. Glendale Union High Sch.</w:t>
      </w:r>
      <w:r w:rsidR="0001015B" w:rsidRPr="006A4CD7">
        <w:rPr>
          <w:rFonts w:cs="Times New Roman"/>
          <w:szCs w:val="24"/>
        </w:rPr>
        <w:t>, 403 F.3d 1061, 1067-68 (9th Cir. 2005) (holding plaintiff not entitled to jury determination of Title VII back pay award)</w:t>
      </w:r>
      <w:r w:rsidR="00E54E76">
        <w:rPr>
          <w:rFonts w:cs="Times New Roman"/>
          <w:szCs w:val="24"/>
        </w:rPr>
        <w:t xml:space="preserve">. </w:t>
      </w:r>
      <w:r w:rsidR="0001015B">
        <w:rPr>
          <w:rFonts w:cs="Times New Roman"/>
          <w:szCs w:val="24"/>
        </w:rPr>
        <w:t>T</w:t>
      </w:r>
      <w:r w:rsidR="0001015B" w:rsidRPr="006A4CD7">
        <w:rPr>
          <w:rFonts w:cs="Times New Roman"/>
          <w:szCs w:val="24"/>
        </w:rPr>
        <w:t xml:space="preserve">he question of front pay is an issue for </w:t>
      </w:r>
      <w:r w:rsidR="0001015B">
        <w:rPr>
          <w:rFonts w:cs="Times New Roman"/>
          <w:szCs w:val="24"/>
        </w:rPr>
        <w:t xml:space="preserve">either </w:t>
      </w:r>
      <w:r w:rsidR="0001015B" w:rsidRPr="006A4CD7">
        <w:rPr>
          <w:rFonts w:cs="Times New Roman"/>
          <w:szCs w:val="24"/>
        </w:rPr>
        <w:t>the court or the jury</w:t>
      </w:r>
      <w:r w:rsidR="0001015B">
        <w:rPr>
          <w:rFonts w:cs="Times New Roman"/>
          <w:szCs w:val="24"/>
        </w:rPr>
        <w:t xml:space="preserve">. </w:t>
      </w:r>
      <w:r w:rsidR="0001015B">
        <w:rPr>
          <w:rFonts w:cs="Times New Roman"/>
          <w:i/>
          <w:iCs/>
          <w:szCs w:val="24"/>
        </w:rPr>
        <w:t>S</w:t>
      </w:r>
      <w:r w:rsidR="0001015B" w:rsidRPr="006A4CD7">
        <w:rPr>
          <w:rFonts w:cs="Times New Roman"/>
          <w:i/>
          <w:iCs/>
          <w:szCs w:val="24"/>
        </w:rPr>
        <w:t>ee Traxler v. Multnomah County</w:t>
      </w:r>
      <w:r w:rsidR="0001015B" w:rsidRPr="006A4CD7">
        <w:rPr>
          <w:rFonts w:cs="Times New Roman"/>
          <w:szCs w:val="24"/>
        </w:rPr>
        <w:t>, 596 F.3d 1007, 1009-14 (9th Cir. 2010)</w:t>
      </w:r>
      <w:r w:rsidR="0001015B">
        <w:rPr>
          <w:rFonts w:cs="Times New Roman"/>
          <w:szCs w:val="24"/>
        </w:rPr>
        <w:t xml:space="preserve">; </w:t>
      </w:r>
      <w:r w:rsidR="0001015B" w:rsidRPr="005B7B08">
        <w:rPr>
          <w:rFonts w:cs="Times New Roman"/>
          <w:i/>
          <w:iCs/>
          <w:szCs w:val="24"/>
        </w:rPr>
        <w:t>see also</w:t>
      </w:r>
      <w:r w:rsidR="0001015B">
        <w:rPr>
          <w:rFonts w:cs="Times New Roman"/>
          <w:i/>
          <w:iCs/>
          <w:szCs w:val="24"/>
        </w:rPr>
        <w:t xml:space="preserve"> </w:t>
      </w:r>
      <w:r w:rsidR="0001015B" w:rsidRPr="006A4CD7">
        <w:rPr>
          <w:rFonts w:cs="Times New Roman"/>
          <w:i/>
          <w:iCs/>
          <w:szCs w:val="24"/>
        </w:rPr>
        <w:t>Cassino</w:t>
      </w:r>
      <w:r w:rsidR="0001015B" w:rsidRPr="006A4CD7">
        <w:rPr>
          <w:rFonts w:cs="Times New Roman"/>
          <w:szCs w:val="24"/>
        </w:rPr>
        <w:t>, 817 F.2d at 1346-48 (9th Cir. 1987).</w:t>
      </w:r>
    </w:p>
    <w:p w14:paraId="5A39956F" w14:textId="77777777" w:rsidR="0001015B" w:rsidRPr="006A4CD7" w:rsidRDefault="0001015B" w:rsidP="0001015B">
      <w:pPr>
        <w:autoSpaceDE w:val="0"/>
        <w:autoSpaceDN w:val="0"/>
        <w:adjustRightInd w:val="0"/>
        <w:rPr>
          <w:rFonts w:cs="Times New Roman"/>
          <w:szCs w:val="24"/>
        </w:rPr>
      </w:pPr>
    </w:p>
    <w:p w14:paraId="6E26AF85" w14:textId="77777777" w:rsidR="0001015B" w:rsidRPr="006A4CD7" w:rsidRDefault="0001015B" w:rsidP="0001015B">
      <w:pPr>
        <w:autoSpaceDE w:val="0"/>
        <w:autoSpaceDN w:val="0"/>
        <w:adjustRightInd w:val="0"/>
        <w:rPr>
          <w:rFonts w:cs="Times New Roman"/>
          <w:szCs w:val="24"/>
        </w:rPr>
      </w:pPr>
    </w:p>
    <w:p w14:paraId="5D28663E" w14:textId="77777777" w:rsidR="0001015B" w:rsidRDefault="0001015B" w:rsidP="0001015B">
      <w:pPr>
        <w:jc w:val="right"/>
      </w:pPr>
      <w:r w:rsidRPr="006A4CD7">
        <w:rPr>
          <w:rFonts w:cs="Times New Roman"/>
          <w:i/>
          <w:iCs/>
          <w:szCs w:val="24"/>
        </w:rPr>
        <w:t xml:space="preserve">Revised </w:t>
      </w:r>
      <w:r>
        <w:rPr>
          <w:rFonts w:cs="Times New Roman"/>
          <w:i/>
          <w:iCs/>
          <w:szCs w:val="24"/>
        </w:rPr>
        <w:t>December 2025</w:t>
      </w:r>
    </w:p>
    <w:p w14:paraId="1751B2D8" w14:textId="71E74C23" w:rsidR="000C3B9B" w:rsidRPr="002B283E" w:rsidRDefault="000C3B9B" w:rsidP="0001015B">
      <w:pPr>
        <w:autoSpaceDE w:val="0"/>
        <w:autoSpaceDN w:val="0"/>
        <w:adjustRightInd w:val="0"/>
        <w:rPr>
          <w:rFonts w:cs="Times New Roman"/>
          <w:szCs w:val="24"/>
        </w:rPr>
      </w:pPr>
      <w:r w:rsidRPr="002B283E">
        <w:rPr>
          <w:rFonts w:cs="Times New Roman"/>
          <w:szCs w:val="24"/>
        </w:rPr>
        <w:br w:type="page"/>
      </w:r>
    </w:p>
    <w:p w14:paraId="5ECF55DC" w14:textId="3767A898" w:rsidR="009F103E" w:rsidRPr="002B283E" w:rsidRDefault="006A4CD7" w:rsidP="002B283E">
      <w:pPr>
        <w:pStyle w:val="Heading2"/>
      </w:pPr>
      <w:bookmarkStart w:id="277" w:name="_Toc221525232"/>
      <w:r w:rsidRPr="002B283E">
        <w:lastRenderedPageBreak/>
        <w:t xml:space="preserve">11.1 </w:t>
      </w:r>
      <w:r w:rsidR="00E04BA5" w:rsidRPr="002B283E">
        <w:t>Age Discrimination—Disparate Treatment—Elements and Burden of Proof</w:t>
      </w:r>
      <w:bookmarkEnd w:id="277"/>
    </w:p>
    <w:p w14:paraId="531DCCC3" w14:textId="77777777" w:rsidR="006A4CD7" w:rsidRPr="002B283E" w:rsidRDefault="006A4CD7" w:rsidP="002B283E">
      <w:pPr>
        <w:autoSpaceDE w:val="0"/>
        <w:autoSpaceDN w:val="0"/>
        <w:adjustRightInd w:val="0"/>
        <w:rPr>
          <w:rFonts w:cs="Times New Roman"/>
          <w:szCs w:val="24"/>
        </w:rPr>
      </w:pPr>
    </w:p>
    <w:p w14:paraId="0F83CDA1" w14:textId="066D36A9" w:rsidR="00261E17" w:rsidRPr="002B283E" w:rsidRDefault="006A4CD7" w:rsidP="002B283E">
      <w:pPr>
        <w:rPr>
          <w:rFonts w:cs="Times New Roman"/>
          <w:szCs w:val="24"/>
        </w:rPr>
      </w:pPr>
      <w:r w:rsidRPr="002B283E">
        <w:rPr>
          <w:rFonts w:cs="Times New Roman"/>
          <w:szCs w:val="24"/>
        </w:rPr>
        <w:tab/>
      </w:r>
      <w:r w:rsidR="00261E17"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has brought a claim of employment discrimination against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asserts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denies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C854C9">
        <w:t>w</w:t>
      </w:r>
      <w:r w:rsidR="00261E17" w:rsidRPr="002B283E">
        <w:rPr>
          <w:rFonts w:cs="Times New Roman"/>
          <w:szCs w:val="24"/>
        </w:rPr>
        <w:t xml:space="preserve">as [discharged]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[and further asserts the decision to [discharge]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was based on [a] lawful reason[s]].</w:t>
      </w:r>
    </w:p>
    <w:p w14:paraId="4E74446C" w14:textId="77777777" w:rsidR="00261E17" w:rsidRPr="002B283E" w:rsidRDefault="00261E17" w:rsidP="002B283E">
      <w:pPr>
        <w:jc w:val="center"/>
        <w:rPr>
          <w:rFonts w:cs="Times New Roman"/>
          <w:szCs w:val="24"/>
        </w:rPr>
      </w:pPr>
    </w:p>
    <w:p w14:paraId="5D71C025" w14:textId="7E2A2C55" w:rsidR="00261E17" w:rsidRPr="002B283E" w:rsidRDefault="00261E17" w:rsidP="002B283E">
      <w:pPr>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the burden of proving each of the following elements by a preponderance of the evidence: </w:t>
      </w:r>
    </w:p>
    <w:p w14:paraId="6FE52E45" w14:textId="77777777" w:rsidR="00261E17" w:rsidRPr="002B283E" w:rsidRDefault="00261E17" w:rsidP="002B283E">
      <w:pPr>
        <w:rPr>
          <w:rFonts w:cs="Times New Roman"/>
          <w:szCs w:val="24"/>
        </w:rPr>
      </w:pPr>
    </w:p>
    <w:p w14:paraId="462CFD4F" w14:textId="32F3C286" w:rsidR="00261E17" w:rsidRPr="002B283E" w:rsidRDefault="00E9433E" w:rsidP="008A04C2">
      <w:pPr>
        <w:tabs>
          <w:tab w:val="left" w:pos="720"/>
          <w:tab w:val="left" w:pos="1350"/>
        </w:tabs>
        <w:ind w:firstLine="720"/>
        <w:rPr>
          <w:rFonts w:cs="Times New Roman"/>
          <w:szCs w:val="24"/>
        </w:rPr>
      </w:pPr>
      <w:r>
        <w:rPr>
          <w:rFonts w:cs="Times New Roman"/>
          <w:szCs w:val="24"/>
        </w:rPr>
        <w:t xml:space="preserve">First,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261E17" w:rsidRPr="002B283E">
        <w:rPr>
          <w:rFonts w:cs="Times New Roman"/>
          <w:szCs w:val="24"/>
        </w:rPr>
        <w:t>;</w:t>
      </w:r>
    </w:p>
    <w:p w14:paraId="46FE9D6F" w14:textId="77777777" w:rsidR="00261E17" w:rsidRPr="002B283E" w:rsidRDefault="00261E17" w:rsidP="008A04C2">
      <w:pPr>
        <w:tabs>
          <w:tab w:val="left" w:pos="1350"/>
        </w:tabs>
        <w:ind w:firstLine="720"/>
        <w:rPr>
          <w:rFonts w:cs="Times New Roman"/>
          <w:szCs w:val="24"/>
        </w:rPr>
      </w:pPr>
    </w:p>
    <w:p w14:paraId="30EA8E15" w14:textId="4C7A5C15" w:rsidR="00261E17" w:rsidRPr="002B283E" w:rsidRDefault="00E9433E" w:rsidP="008A04C2">
      <w:pPr>
        <w:tabs>
          <w:tab w:val="left" w:pos="720"/>
          <w:tab w:val="left" w:pos="1350"/>
        </w:tabs>
        <w:ind w:firstLine="720"/>
        <w:rPr>
          <w:rFonts w:cs="Times New Roman"/>
          <w:szCs w:val="24"/>
        </w:rPr>
      </w:pPr>
      <w:r>
        <w:rPr>
          <w:rFonts w:cs="Times New Roman"/>
          <w:szCs w:val="24"/>
        </w:rPr>
        <w:t xml:space="preserve">Second, </w:t>
      </w:r>
      <w:r w:rsidR="00261E1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was 40 years of age or older at the time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261E17" w:rsidRPr="002B283E">
        <w:rPr>
          <w:rFonts w:cs="Times New Roman"/>
          <w:szCs w:val="24"/>
        </w:rPr>
        <w:t>was [discharged] [</w:t>
      </w:r>
      <w:r w:rsidR="00261E17" w:rsidRPr="002B283E">
        <w:rPr>
          <w:rFonts w:cs="Times New Roman"/>
          <w:i/>
          <w:iCs/>
          <w:szCs w:val="24"/>
          <w:u w:val="single"/>
        </w:rPr>
        <w:t>specify other adverse action</w:t>
      </w:r>
      <w:r w:rsidR="00261E17" w:rsidRPr="002B283E">
        <w:rPr>
          <w:rFonts w:cs="Times New Roman"/>
          <w:szCs w:val="24"/>
        </w:rPr>
        <w:t>]; and</w:t>
      </w:r>
    </w:p>
    <w:p w14:paraId="31597E8B" w14:textId="77777777" w:rsidR="00261E17" w:rsidRPr="002B283E" w:rsidRDefault="00261E17" w:rsidP="008A04C2">
      <w:pPr>
        <w:tabs>
          <w:tab w:val="left" w:pos="1350"/>
        </w:tabs>
        <w:ind w:firstLine="720"/>
        <w:rPr>
          <w:rFonts w:cs="Times New Roman"/>
          <w:szCs w:val="24"/>
        </w:rPr>
      </w:pPr>
    </w:p>
    <w:p w14:paraId="515855D7" w14:textId="0D2B5D76" w:rsidR="00261E17" w:rsidRPr="002B283E" w:rsidRDefault="00E9433E" w:rsidP="008A04C2">
      <w:pPr>
        <w:tabs>
          <w:tab w:val="left" w:pos="720"/>
          <w:tab w:val="left" w:pos="1350"/>
        </w:tabs>
        <w:ind w:firstLine="720"/>
        <w:rPr>
          <w:rFonts w:cs="Times New Roman"/>
          <w:szCs w:val="24"/>
        </w:rPr>
      </w:pPr>
      <w:r>
        <w:rPr>
          <w:rFonts w:cs="Times New Roman"/>
          <w:szCs w:val="24"/>
        </w:rPr>
        <w:t xml:space="preserve">Third,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that is,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would not have [discharged]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but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age.</w:t>
      </w:r>
    </w:p>
    <w:p w14:paraId="44E1ED8D" w14:textId="77777777" w:rsidR="00261E17" w:rsidRPr="002B283E" w:rsidRDefault="00261E17" w:rsidP="002B283E">
      <w:pPr>
        <w:rPr>
          <w:rFonts w:cs="Times New Roman"/>
          <w:szCs w:val="24"/>
        </w:rPr>
      </w:pPr>
    </w:p>
    <w:p w14:paraId="2A6308E6" w14:textId="53AD2473" w:rsidR="00261E17" w:rsidRPr="002B283E" w:rsidRDefault="00261E17" w:rsidP="002B283E">
      <w:pPr>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all three of these elements,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failed to prove any of these elements,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w:t>
      </w:r>
    </w:p>
    <w:p w14:paraId="34592EC1" w14:textId="77777777" w:rsidR="00261E17" w:rsidRPr="002B283E" w:rsidRDefault="00261E17" w:rsidP="002B283E">
      <w:pPr>
        <w:jc w:val="center"/>
        <w:rPr>
          <w:rFonts w:cs="Times New Roman"/>
          <w:szCs w:val="24"/>
        </w:rPr>
      </w:pPr>
      <w:r w:rsidRPr="002B283E">
        <w:rPr>
          <w:rFonts w:cs="Times New Roman"/>
          <w:szCs w:val="24"/>
        </w:rPr>
        <w:br/>
      </w:r>
      <w:r w:rsidRPr="002B283E">
        <w:rPr>
          <w:rFonts w:cs="Times New Roman"/>
          <w:b/>
          <w:bCs/>
          <w:szCs w:val="24"/>
        </w:rPr>
        <w:t>Comment</w:t>
      </w:r>
    </w:p>
    <w:p w14:paraId="5C637BBA" w14:textId="77777777" w:rsidR="00261E17" w:rsidRPr="002B283E" w:rsidRDefault="00261E17" w:rsidP="002B283E">
      <w:pPr>
        <w:rPr>
          <w:rFonts w:cs="Times New Roman"/>
          <w:szCs w:val="24"/>
        </w:rPr>
      </w:pPr>
    </w:p>
    <w:p w14:paraId="6F8E71B3" w14:textId="07092473" w:rsidR="00261E17" w:rsidRPr="002B283E" w:rsidRDefault="00261E17" w:rsidP="002B283E">
      <w:pPr>
        <w:rPr>
          <w:rFonts w:cs="Times New Roman"/>
          <w:szCs w:val="24"/>
        </w:rPr>
      </w:pPr>
      <w:r w:rsidRPr="002B283E">
        <w:rPr>
          <w:rFonts w:cs="Times New Roman"/>
          <w:szCs w:val="24"/>
        </w:rPr>
        <w:tab/>
        <w:t xml:space="preserve">Although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 an ADEA plaintiff may not proceed on a mixed-motives theory.</w:t>
      </w:r>
      <w:r w:rsidRPr="002B283E">
        <w:rPr>
          <w:rFonts w:cs="Times New Roman"/>
          <w:i/>
          <w:iCs/>
          <w:szCs w:val="24"/>
        </w:rPr>
        <w:t xml:space="preserve"> Gross v. FBL Financial Services, Inc.</w:t>
      </w:r>
      <w:r w:rsidRPr="002B283E">
        <w:rPr>
          <w:rFonts w:cs="Times New Roman"/>
          <w:szCs w:val="24"/>
        </w:rPr>
        <w:t>, 557 U.S. 167</w:t>
      </w:r>
      <w:r w:rsidRPr="002B283E">
        <w:rPr>
          <w:rFonts w:cs="Times New Roman"/>
          <w:i/>
          <w:iCs/>
          <w:szCs w:val="24"/>
        </w:rPr>
        <w:t xml:space="preserve"> </w:t>
      </w:r>
      <w:r w:rsidRPr="002B283E">
        <w:rPr>
          <w:rFonts w:cs="Times New Roman"/>
          <w:szCs w:val="24"/>
        </w:rPr>
        <w:t>(2009)</w:t>
      </w:r>
      <w:r w:rsidR="00A87F6E">
        <w:rPr>
          <w:rFonts w:cs="Times New Roman"/>
          <w:szCs w:val="24"/>
        </w:rPr>
        <w:t xml:space="preserve">. </w:t>
      </w:r>
    </w:p>
    <w:p w14:paraId="46ACC5C8" w14:textId="77777777" w:rsidR="00261E17" w:rsidRPr="002B283E" w:rsidRDefault="00261E17" w:rsidP="002B283E">
      <w:pPr>
        <w:rPr>
          <w:rFonts w:cs="Times New Roman"/>
          <w:szCs w:val="24"/>
        </w:rPr>
      </w:pPr>
    </w:p>
    <w:p w14:paraId="6D2C56E8" w14:textId="67E6C3AA" w:rsidR="00261E17" w:rsidRDefault="00261E17" w:rsidP="002B283E">
      <w:pPr>
        <w:rPr>
          <w:rFonts w:cs="Times New Roman"/>
          <w:szCs w:val="24"/>
        </w:rPr>
      </w:pPr>
      <w:r w:rsidRPr="002B283E">
        <w:rPr>
          <w:rFonts w:cs="Times New Roman"/>
          <w:szCs w:val="24"/>
        </w:rPr>
        <w:tab/>
        <w:t>Despite the fact that both Title VII and the ADEA prohibit discrimination “because of” a specified protected status,</w:t>
      </w:r>
      <w:r w:rsidRPr="002B283E">
        <w:rPr>
          <w:rFonts w:cs="Times New Roman"/>
          <w:i/>
          <w:iCs/>
          <w:szCs w:val="24"/>
        </w:rPr>
        <w:t xml:space="preserve"> </w:t>
      </w:r>
      <w:r w:rsidRPr="002B283E">
        <w:rPr>
          <w:rFonts w:cs="Times New Roman"/>
          <w:szCs w:val="24"/>
        </w:rPr>
        <w:t xml:space="preserve">other “textual differences between Title VII and the ADEA . . . prevent . . . [application of] </w:t>
      </w:r>
      <w:r w:rsidRPr="002B283E">
        <w:rPr>
          <w:rFonts w:cs="Times New Roman"/>
          <w:i/>
          <w:iCs/>
          <w:szCs w:val="24"/>
        </w:rPr>
        <w:t>Desert Palace</w:t>
      </w:r>
      <w:r w:rsidRPr="002B283E">
        <w:rPr>
          <w:rFonts w:cs="Times New Roman"/>
          <w:szCs w:val="24"/>
        </w:rPr>
        <w:t xml:space="preserve"> to federal age discrimination claims.”</w:t>
      </w:r>
      <w:r w:rsidRPr="002B283E">
        <w:rPr>
          <w:rFonts w:cs="Times New Roman"/>
          <w:i/>
          <w:iCs/>
          <w:szCs w:val="24"/>
        </w:rPr>
        <w:t xml:space="preserve"> Gross</w:t>
      </w:r>
      <w:r w:rsidRPr="002B283E">
        <w:rPr>
          <w:rFonts w:cs="Times New Roman"/>
          <w:szCs w:val="24"/>
        </w:rPr>
        <w:t xml:space="preserve">, 557 U.S. at 175 n.2; </w:t>
      </w:r>
      <w:r w:rsidRPr="002B283E">
        <w:rPr>
          <w:rFonts w:cs="Times New Roman"/>
          <w:i/>
          <w:iCs/>
          <w:szCs w:val="24"/>
        </w:rPr>
        <w:t>see also Univ. of Tex. Sw. Med. Ctr. v. Nassar</w:t>
      </w:r>
      <w:r w:rsidRPr="002B283E">
        <w:rPr>
          <w:rFonts w:cs="Times New Roman"/>
          <w:szCs w:val="24"/>
        </w:rPr>
        <w:t xml:space="preserve">, </w:t>
      </w:r>
      <w:r w:rsidR="00D8143C" w:rsidRPr="00D8143C">
        <w:rPr>
          <w:rFonts w:cs="Times New Roman"/>
          <w:szCs w:val="24"/>
        </w:rPr>
        <w:t>570 U.S. 338</w:t>
      </w:r>
      <w:r w:rsidRPr="002B283E">
        <w:rPr>
          <w:rFonts w:cs="Times New Roman"/>
          <w:szCs w:val="24"/>
        </w:rPr>
        <w:t xml:space="preserve">, </w:t>
      </w:r>
      <w:r w:rsidR="00D8143C">
        <w:rPr>
          <w:rFonts w:cs="Times New Roman"/>
          <w:szCs w:val="24"/>
        </w:rPr>
        <w:t>343</w:t>
      </w:r>
      <w:r w:rsidR="00D8143C" w:rsidRPr="002B283E">
        <w:rPr>
          <w:rFonts w:cs="Times New Roman"/>
          <w:szCs w:val="24"/>
        </w:rPr>
        <w:t xml:space="preserve"> </w:t>
      </w:r>
      <w:r w:rsidRPr="002B283E">
        <w:rPr>
          <w:rFonts w:cs="Times New Roman"/>
          <w:szCs w:val="24"/>
        </w:rPr>
        <w:t>(2013)</w:t>
      </w:r>
      <w:r w:rsidR="00A87F6E">
        <w:rPr>
          <w:rFonts w:cs="Times New Roman"/>
          <w:szCs w:val="24"/>
        </w:rPr>
        <w:t xml:space="preserve">. </w:t>
      </w:r>
      <w:r w:rsidRPr="002B283E">
        <w:rPr>
          <w:rFonts w:cs="Times New Roman"/>
          <w:szCs w:val="24"/>
        </w:rPr>
        <w:t>Specifically, 1991 amendments to Title VII, but not to the ADEA, provide that discrimination is “established” when a plaintiff shows the protected status was “a motivating factor” for the adverse employment actions</w:t>
      </w:r>
      <w:r w:rsidR="00A87F6E">
        <w:rPr>
          <w:rFonts w:cs="Times New Roman"/>
          <w:szCs w:val="24"/>
        </w:rPr>
        <w:t xml:space="preserve">. </w:t>
      </w:r>
      <w:r w:rsidRPr="002B283E">
        <w:rPr>
          <w:rFonts w:cs="Times New Roman"/>
          <w:szCs w:val="24"/>
        </w:rPr>
        <w:t xml:space="preserve">Without this additional language in the ADEA, the Court held in </w:t>
      </w:r>
      <w:r w:rsidRPr="002B283E">
        <w:rPr>
          <w:rFonts w:cs="Times New Roman"/>
          <w:i/>
          <w:iCs/>
          <w:szCs w:val="24"/>
        </w:rPr>
        <w:t xml:space="preserve">Gross </w:t>
      </w:r>
      <w:r w:rsidRPr="002B283E">
        <w:rPr>
          <w:rFonts w:cs="Times New Roman"/>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w:t>
      </w:r>
      <w:r w:rsidRPr="002B283E">
        <w:rPr>
          <w:rFonts w:cs="Times New Roman"/>
          <w:szCs w:val="24"/>
        </w:rPr>
        <w:lastRenderedPageBreak/>
        <w:t xml:space="preserve">that age was one motivating factor in that decision.” </w:t>
      </w:r>
      <w:r w:rsidRPr="002B283E">
        <w:rPr>
          <w:rFonts w:cs="Times New Roman"/>
          <w:i/>
          <w:iCs/>
          <w:szCs w:val="24"/>
        </w:rPr>
        <w:t xml:space="preserve">Id. </w:t>
      </w:r>
      <w:r w:rsidRPr="00C854C9">
        <w:rPr>
          <w:rFonts w:cs="Times New Roman"/>
          <w:szCs w:val="24"/>
        </w:rPr>
        <w:t xml:space="preserve">at </w:t>
      </w:r>
      <w:r w:rsidRPr="002B283E">
        <w:rPr>
          <w:rFonts w:cs="Times New Roman"/>
          <w:szCs w:val="24"/>
        </w:rPr>
        <w:t xml:space="preserve">180. Thus, earlier Ninth Circuit cases applying the same standards to disparate treatment cases under the two statutes must now be read in light of </w:t>
      </w:r>
      <w:r w:rsidRPr="002B283E">
        <w:rPr>
          <w:rFonts w:cs="Times New Roman"/>
          <w:i/>
          <w:iCs/>
          <w:szCs w:val="24"/>
        </w:rPr>
        <w:t>Gross</w:t>
      </w:r>
      <w:r w:rsidRPr="002B283E">
        <w:rPr>
          <w:rFonts w:cs="Times New Roman"/>
          <w:szCs w:val="24"/>
        </w:rPr>
        <w:t xml:space="preserve">. </w:t>
      </w:r>
    </w:p>
    <w:p w14:paraId="64A77854" w14:textId="77777777" w:rsidR="00EB2C87" w:rsidRPr="002B283E" w:rsidRDefault="00EB2C87" w:rsidP="002B283E">
      <w:pPr>
        <w:rPr>
          <w:rFonts w:cs="Times New Roman"/>
          <w:szCs w:val="24"/>
        </w:rPr>
      </w:pPr>
    </w:p>
    <w:p w14:paraId="590EE689" w14:textId="77777777" w:rsidR="00261E17" w:rsidRPr="002B283E" w:rsidRDefault="00261E17" w:rsidP="002B283E">
      <w:pPr>
        <w:rPr>
          <w:rFonts w:cs="Times New Roman"/>
          <w:szCs w:val="24"/>
        </w:rPr>
      </w:pPr>
      <w:r w:rsidRPr="002B283E">
        <w:rPr>
          <w:rFonts w:cs="Times New Roman"/>
          <w:szCs w:val="24"/>
        </w:rPr>
        <w:tab/>
        <w:t xml:space="preserve">In describing the “but for” standard applicable in ADEA cases, the Court in </w:t>
      </w:r>
      <w:r w:rsidRPr="002B283E">
        <w:rPr>
          <w:rFonts w:cs="Times New Roman"/>
          <w:i/>
          <w:iCs/>
          <w:szCs w:val="24"/>
        </w:rPr>
        <w:t xml:space="preserve">Gross </w:t>
      </w:r>
      <w:r w:rsidRPr="002B283E">
        <w:rPr>
          <w:rFonts w:cs="Times New Roman"/>
          <w:szCs w:val="24"/>
        </w:rPr>
        <w:t>noted:</w:t>
      </w:r>
    </w:p>
    <w:p w14:paraId="2BAEF11C" w14:textId="77777777" w:rsidR="00261E17" w:rsidRPr="002B283E" w:rsidRDefault="00261E17" w:rsidP="002B283E">
      <w:pPr>
        <w:rPr>
          <w:rFonts w:cs="Times New Roman"/>
          <w:szCs w:val="24"/>
        </w:rPr>
      </w:pPr>
    </w:p>
    <w:p w14:paraId="716482C1" w14:textId="06DF3105" w:rsidR="00261E17" w:rsidRPr="002B283E" w:rsidRDefault="00261E17">
      <w:pPr>
        <w:tabs>
          <w:tab w:val="left" w:pos="9270"/>
        </w:tabs>
        <w:ind w:left="720" w:right="720"/>
        <w:jc w:val="both"/>
        <w:rPr>
          <w:rFonts w:cs="Times New Roman"/>
          <w:szCs w:val="24"/>
        </w:rPr>
      </w:pPr>
      <w:r w:rsidRPr="002B283E">
        <w:rPr>
          <w:rFonts w:cs="Times New Roman"/>
          <w:szCs w:val="24"/>
        </w:rPr>
        <w:t xml:space="preserve">The words “because of” mean “by reason of: on account of.”  . . </w:t>
      </w:r>
      <w:r w:rsidR="00A87F6E">
        <w:rPr>
          <w:rFonts w:cs="Times New Roman"/>
          <w:szCs w:val="24"/>
        </w:rPr>
        <w:t xml:space="preserve">. </w:t>
      </w:r>
      <w:r w:rsidRPr="002B283E">
        <w:rPr>
          <w:rFonts w:cs="Times New Roman"/>
          <w:szCs w:val="24"/>
        </w:rPr>
        <w:t>Thus, the ordinary meaning of the ADEA’s requirement that an employer took adverse action “because of” age is that age was the “reason” that the employer decided to act</w:t>
      </w:r>
      <w:r w:rsidR="00A87F6E">
        <w:rPr>
          <w:rFonts w:cs="Times New Roman"/>
          <w:szCs w:val="24"/>
        </w:rPr>
        <w:t xml:space="preserve">. </w:t>
      </w:r>
      <w:r w:rsidRPr="002B283E">
        <w:rPr>
          <w:rFonts w:cs="Times New Roman"/>
          <w:i/>
          <w:iCs/>
          <w:szCs w:val="24"/>
        </w:rPr>
        <w:t>See</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610, 113 S.Ct. 1701, 123 L.Ed.2d 338 (1993) (explaining that the claim “cannot succeed unless the employee</w:t>
      </w:r>
      <w:r w:rsidR="00C854C9">
        <w:rPr>
          <w:rFonts w:cs="Times New Roman"/>
          <w:szCs w:val="24"/>
        </w:rPr>
        <w:t>’</w:t>
      </w:r>
      <w:r w:rsidRPr="002B283E">
        <w:rPr>
          <w:rFonts w:cs="Times New Roman"/>
          <w:szCs w:val="24"/>
        </w:rPr>
        <w:t xml:space="preserve">s protected trait actually played a role in [the employer’s decisionmaking] process </w:t>
      </w:r>
      <w:r w:rsidRPr="002B283E">
        <w:rPr>
          <w:rFonts w:cs="Times New Roman"/>
          <w:i/>
          <w:iCs/>
          <w:szCs w:val="24"/>
        </w:rPr>
        <w:t>and had a determinative influence on the outcome</w:t>
      </w:r>
      <w:r w:rsidRPr="002B283E">
        <w:rPr>
          <w:rFonts w:cs="Times New Roman"/>
          <w:szCs w:val="24"/>
        </w:rPr>
        <w:t>” (emphasis added)). To establish a disparate-treatment claim under the plain language of the ADEA, therefore, a plaintiff must prove that age was the “but-for” cause of the employer</w:t>
      </w:r>
      <w:r w:rsidR="00C854C9">
        <w:rPr>
          <w:rFonts w:cs="Times New Roman"/>
          <w:szCs w:val="24"/>
        </w:rPr>
        <w:t>’</w:t>
      </w:r>
      <w:r w:rsidRPr="002B283E">
        <w:rPr>
          <w:rFonts w:cs="Times New Roman"/>
          <w:szCs w:val="24"/>
        </w:rPr>
        <w:t>s adverse decision.</w:t>
      </w:r>
    </w:p>
    <w:p w14:paraId="37F9202C" w14:textId="77777777" w:rsidR="00261E17" w:rsidRPr="002B283E" w:rsidRDefault="00261E17" w:rsidP="002B283E">
      <w:pPr>
        <w:rPr>
          <w:rFonts w:cs="Times New Roman"/>
          <w:szCs w:val="24"/>
        </w:rPr>
      </w:pPr>
    </w:p>
    <w:p w14:paraId="6B540DC6" w14:textId="77777777" w:rsidR="00261E17" w:rsidRPr="002B283E" w:rsidRDefault="00261E17" w:rsidP="002B283E">
      <w:pPr>
        <w:rPr>
          <w:rFonts w:cs="Times New Roman"/>
          <w:szCs w:val="24"/>
        </w:rPr>
      </w:pPr>
      <w:r w:rsidRPr="002B283E">
        <w:rPr>
          <w:rFonts w:cs="Times New Roman"/>
          <w:i/>
          <w:iCs/>
          <w:szCs w:val="24"/>
        </w:rPr>
        <w:t>Gross</w:t>
      </w:r>
      <w:r w:rsidRPr="002B283E">
        <w:rPr>
          <w:rFonts w:cs="Times New Roman"/>
          <w:szCs w:val="24"/>
        </w:rPr>
        <w:t>, 557 U.S. at 176 (emphasis in original).</w:t>
      </w:r>
    </w:p>
    <w:p w14:paraId="12A16450" w14:textId="77777777" w:rsidR="00261E17" w:rsidRPr="002B283E" w:rsidRDefault="00261E17" w:rsidP="002B283E">
      <w:pPr>
        <w:rPr>
          <w:rFonts w:cs="Times New Roman"/>
          <w:szCs w:val="24"/>
        </w:rPr>
      </w:pPr>
    </w:p>
    <w:p w14:paraId="5491FC72" w14:textId="2ECF8466" w:rsidR="00261E17" w:rsidRPr="002B283E" w:rsidRDefault="00261E17" w:rsidP="002B283E">
      <w:pPr>
        <w:rPr>
          <w:rFonts w:cs="Times New Roman"/>
          <w:szCs w:val="24"/>
        </w:rPr>
      </w:pPr>
      <w:r w:rsidRPr="002B283E">
        <w:rPr>
          <w:rFonts w:cs="Times New Roman"/>
          <w:szCs w:val="24"/>
        </w:rPr>
        <w:tab/>
        <w:t xml:space="preserve">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411-13 (2020) (analyzing 29 U.S.</w:t>
      </w:r>
      <w:r w:rsidR="00C854C9">
        <w:rPr>
          <w:rFonts w:cs="Times New Roman"/>
          <w:szCs w:val="24"/>
        </w:rPr>
        <w:t>C.</w:t>
      </w:r>
      <w:r w:rsidRPr="002B283E">
        <w:rPr>
          <w:rFonts w:cs="Times New Roman"/>
          <w:szCs w:val="24"/>
        </w:rPr>
        <w:t xml:space="preserve"> § 633a(a)). Rather, a federal employee is entitled to relief upon a showing of being “subjected to unequal consideration.” </w:t>
      </w:r>
      <w:r w:rsidRPr="002B283E">
        <w:rPr>
          <w:rFonts w:cs="Times New Roman"/>
          <w:i/>
          <w:iCs/>
          <w:szCs w:val="24"/>
        </w:rPr>
        <w:t xml:space="preserve">Id. </w:t>
      </w:r>
      <w:r w:rsidRPr="002B283E">
        <w:rPr>
          <w:rFonts w:cs="Times New Roman"/>
          <w:szCs w:val="24"/>
        </w:rPr>
        <w:t xml:space="preserve">However, that showing will support only “injunctive or other forward-looking relief.” </w:t>
      </w:r>
      <w:r w:rsidRPr="002B283E">
        <w:rPr>
          <w:rFonts w:cs="Times New Roman"/>
          <w:i/>
          <w:iCs/>
          <w:szCs w:val="24"/>
        </w:rPr>
        <w:t xml:space="preserve">Id. </w:t>
      </w:r>
      <w:r w:rsidRPr="002B283E">
        <w:rPr>
          <w:rFonts w:cs="Times New Roman"/>
          <w:szCs w:val="24"/>
        </w:rPr>
        <w:t xml:space="preserve">at 414. To “obtain reinstatement, backpay, compensatory damages, or other forms of relief related to the end result of an employment decision,” a federal employee must satisfy the “but-for” causation standard. </w:t>
      </w:r>
      <w:r w:rsidRPr="002B283E">
        <w:rPr>
          <w:rFonts w:cs="Times New Roman"/>
          <w:i/>
          <w:iCs/>
          <w:szCs w:val="24"/>
        </w:rPr>
        <w:t xml:space="preserve">Id. </w:t>
      </w:r>
      <w:r w:rsidRPr="002B283E">
        <w:rPr>
          <w:rFonts w:cs="Times New Roman"/>
          <w:szCs w:val="24"/>
        </w:rPr>
        <w:t xml:space="preserve">at 413. </w:t>
      </w:r>
    </w:p>
    <w:p w14:paraId="7F8E81C5" w14:textId="77777777" w:rsidR="00261E17" w:rsidRPr="002B283E" w:rsidRDefault="00261E17" w:rsidP="002B283E">
      <w:pPr>
        <w:rPr>
          <w:rFonts w:cs="Times New Roman"/>
          <w:szCs w:val="24"/>
        </w:rPr>
      </w:pPr>
    </w:p>
    <w:p w14:paraId="19155309" w14:textId="77777777" w:rsidR="00261E17" w:rsidRPr="002B283E" w:rsidRDefault="00261E17" w:rsidP="002B283E">
      <w:pPr>
        <w:jc w:val="right"/>
        <w:rPr>
          <w:rFonts w:cs="Times New Roman"/>
          <w:i/>
          <w:iCs/>
          <w:szCs w:val="24"/>
        </w:rPr>
      </w:pPr>
    </w:p>
    <w:p w14:paraId="42D653A6" w14:textId="0F44ED6A" w:rsidR="006A4CD7" w:rsidRPr="002B283E" w:rsidRDefault="00261E17" w:rsidP="002B283E">
      <w:pPr>
        <w:autoSpaceDE w:val="0"/>
        <w:autoSpaceDN w:val="0"/>
        <w:adjustRightInd w:val="0"/>
        <w:jc w:val="right"/>
        <w:rPr>
          <w:rFonts w:cs="Times New Roman"/>
          <w:i/>
          <w:iCs/>
          <w:szCs w:val="24"/>
        </w:rPr>
      </w:pPr>
      <w:r w:rsidRPr="002B283E">
        <w:rPr>
          <w:rFonts w:cs="Times New Roman"/>
          <w:i/>
          <w:iCs/>
          <w:szCs w:val="24"/>
        </w:rPr>
        <w:t>Revised June 2024</w:t>
      </w:r>
    </w:p>
    <w:p w14:paraId="3353DD06" w14:textId="77777777" w:rsidR="009F103E" w:rsidRPr="002B283E" w:rsidRDefault="009F103E" w:rsidP="002B283E">
      <w:pPr>
        <w:autoSpaceDE w:val="0"/>
        <w:autoSpaceDN w:val="0"/>
        <w:adjustRightInd w:val="0"/>
        <w:jc w:val="right"/>
        <w:rPr>
          <w:rFonts w:cs="Times New Roman"/>
          <w:b/>
          <w:bCs/>
          <w:szCs w:val="24"/>
        </w:rPr>
      </w:pPr>
    </w:p>
    <w:p w14:paraId="3353013A" w14:textId="40E7E3B7" w:rsidR="006A4CD7" w:rsidRPr="002B283E" w:rsidRDefault="006A4CD7" w:rsidP="002B283E">
      <w:pPr>
        <w:pStyle w:val="Heading2"/>
      </w:pPr>
      <w:r w:rsidRPr="002B283E">
        <w:br w:type="page"/>
      </w:r>
      <w:bookmarkStart w:id="278" w:name="_Toc221525233"/>
      <w:r w:rsidRPr="002B283E">
        <w:lastRenderedPageBreak/>
        <w:t xml:space="preserve">11.2 </w:t>
      </w:r>
      <w:r w:rsidR="00E04BA5" w:rsidRPr="002B283E">
        <w:t>Age Discrimination—Hostile Work Environment</w:t>
      </w:r>
      <w:bookmarkEnd w:id="278"/>
    </w:p>
    <w:p w14:paraId="1262E3F1" w14:textId="77777777" w:rsidR="006A4CD7" w:rsidRPr="002B283E" w:rsidRDefault="006A4CD7" w:rsidP="002B283E">
      <w:pPr>
        <w:rPr>
          <w:rFonts w:cs="Times New Roman"/>
          <w:szCs w:val="24"/>
        </w:rPr>
      </w:pPr>
    </w:p>
    <w:p w14:paraId="76CF4E2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F6BB9D" w14:textId="77777777" w:rsidR="006A4CD7" w:rsidRPr="002B283E" w:rsidRDefault="006A4CD7" w:rsidP="002B283E">
      <w:pPr>
        <w:rPr>
          <w:rFonts w:cs="Times New Roman"/>
          <w:szCs w:val="24"/>
        </w:rPr>
      </w:pPr>
    </w:p>
    <w:p w14:paraId="58B5CC5D" w14:textId="0171BAB2" w:rsidR="009F103E" w:rsidRPr="002B283E" w:rsidRDefault="009F103E" w:rsidP="002B283E">
      <w:pPr>
        <w:rPr>
          <w:rFonts w:cs="Times New Roman"/>
          <w:szCs w:val="24"/>
        </w:rPr>
      </w:pPr>
      <w:r w:rsidRPr="002B283E">
        <w:rPr>
          <w:rFonts w:cs="Times New Roman"/>
          <w:szCs w:val="24"/>
        </w:rPr>
        <w:tab/>
        <w:t xml:space="preserve">At least one Ninth Circuit case suggests that a viable hostile work environment claim can be stated under the ADEA. </w:t>
      </w:r>
      <w:r w:rsidRPr="002B283E">
        <w:rPr>
          <w:rFonts w:cs="Times New Roman"/>
          <w:i/>
          <w:iCs/>
          <w:szCs w:val="24"/>
        </w:rPr>
        <w:t>Sischo-Nownejad v. Merced Cmty. Coll. Dist</w:t>
      </w:r>
      <w:r w:rsidRPr="002B283E">
        <w:rPr>
          <w:rFonts w:cs="Times New Roman"/>
          <w:szCs w:val="24"/>
        </w:rPr>
        <w:t xml:space="preserve">., 934 F.2d 1104, 1109 (9th Cir. 1991), superseded on other grounds as recognized by </w:t>
      </w:r>
      <w:r w:rsidRPr="002B283E">
        <w:rPr>
          <w:rFonts w:cs="Times New Roman"/>
          <w:i/>
          <w:iCs/>
          <w:szCs w:val="24"/>
        </w:rPr>
        <w:t>Dominguez-Curry v. Nev. Transp. Dep’t</w:t>
      </w:r>
      <w:r w:rsidRPr="002B283E">
        <w:rPr>
          <w:rFonts w:cs="Times New Roman"/>
          <w:szCs w:val="24"/>
        </w:rPr>
        <w:t>, 424 F.3d 1027, 1041 (9th Cir. 2015) (“A plaintiff may show violations of [the ADEA] by . . . proving the existence of a hostile work environment.”). This is consistent with the general practice that, absent reasons to the contrary, intentional discrimination under the ADEA should be treated in the same fashion as Title VII</w:t>
      </w:r>
      <w:r w:rsidR="00A87F6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[of disparate treatment claims] under Title VII is the same as that under ADEA.”); </w:t>
      </w:r>
      <w:r w:rsidRPr="002B283E">
        <w:rPr>
          <w:rFonts w:cs="Times New Roman"/>
          <w:i/>
          <w:iCs/>
          <w:szCs w:val="24"/>
        </w:rPr>
        <w:t>Mustafa v. Clark Cnty</w:t>
      </w:r>
      <w:r w:rsidR="00C854C9">
        <w:rPr>
          <w:rFonts w:cs="Times New Roman"/>
          <w:i/>
          <w:iCs/>
          <w:szCs w:val="24"/>
        </w:rPr>
        <w:t>.</w:t>
      </w:r>
      <w:r w:rsidRPr="002B283E">
        <w:rPr>
          <w:rFonts w:cs="Times New Roman"/>
          <w:i/>
          <w:iCs/>
          <w:szCs w:val="24"/>
        </w:rPr>
        <w:t xml:space="preserve"> Sch. Dist</w:t>
      </w:r>
      <w:r w:rsidRPr="002B283E">
        <w:rPr>
          <w:rFonts w:cs="Times New Roman"/>
          <w:szCs w:val="24"/>
        </w:rPr>
        <w:t>., 157 F.3d 1169, 1180 n.11 (9th Cir. 1998) (“This Court applies the same standards to disparate treatment claims pursuant to Title VII [and] the Age Discrimination in Employment Act . . . .”).</w:t>
      </w:r>
    </w:p>
    <w:p w14:paraId="516DE9AB" w14:textId="77777777" w:rsidR="009F103E" w:rsidRPr="002B283E" w:rsidRDefault="009F103E" w:rsidP="002B283E">
      <w:pPr>
        <w:rPr>
          <w:rFonts w:cs="Times New Roman"/>
          <w:szCs w:val="24"/>
        </w:rPr>
      </w:pPr>
    </w:p>
    <w:p w14:paraId="00AA35D1" w14:textId="173E0D32" w:rsidR="009F103E" w:rsidRPr="002B283E" w:rsidRDefault="009F103E" w:rsidP="002B283E">
      <w:pPr>
        <w:rPr>
          <w:rFonts w:cs="Times New Roman"/>
          <w:szCs w:val="24"/>
        </w:rPr>
      </w:pPr>
      <w:r w:rsidRPr="002B283E">
        <w:rPr>
          <w:rFonts w:cs="Times New Roman"/>
          <w:szCs w:val="24"/>
        </w:rPr>
        <w:tab/>
        <w:t xml:space="preserve">As with Title VII, the ADEA defines “employer” to include the employer’s agents. 29 U.S.C. § 630(b). Thus, the liability framework for Title VII harassment addressed in the Supreme Court’s decisions in </w:t>
      </w:r>
      <w:r w:rsidRPr="002B283E">
        <w:rPr>
          <w:rFonts w:cs="Times New Roman"/>
          <w:i/>
          <w:iCs/>
          <w:szCs w:val="24"/>
        </w:rPr>
        <w:t>Burlington Indus</w:t>
      </w:r>
      <w:r w:rsidR="00C854C9">
        <w:rPr>
          <w:rFonts w:cs="Times New Roman"/>
          <w:i/>
          <w:iCs/>
          <w:szCs w:val="24"/>
        </w:rPr>
        <w:t>ries</w:t>
      </w:r>
      <w:r w:rsidRPr="002B283E">
        <w:rPr>
          <w:rFonts w:cs="Times New Roman"/>
          <w:i/>
          <w:iCs/>
          <w:szCs w:val="24"/>
        </w:rPr>
        <w:t xml:space="preserve"> Inc. v. Ellerth</w:t>
      </w:r>
      <w:r w:rsidRPr="002B283E">
        <w:rPr>
          <w:rFonts w:cs="Times New Roman"/>
          <w:szCs w:val="24"/>
        </w:rPr>
        <w:t xml:space="preserve">, 524 U.S. 742 (1998), and </w:t>
      </w:r>
      <w:r w:rsidRPr="008A04C2">
        <w:rPr>
          <w:rFonts w:cs="Times New Roman"/>
          <w:i/>
          <w:iCs/>
          <w:szCs w:val="24"/>
        </w:rPr>
        <w:t>Faragher v. City of Boca Raton</w:t>
      </w:r>
      <w:r w:rsidRPr="002B283E">
        <w:rPr>
          <w:rFonts w:cs="Times New Roman"/>
          <w:szCs w:val="24"/>
        </w:rPr>
        <w:t>, 524 U.S. 775 (1998), should also apply to cases brought under the ADEA</w:t>
      </w:r>
      <w:r w:rsidR="00A87F6E">
        <w:rPr>
          <w:rFonts w:cs="Times New Roman"/>
          <w:szCs w:val="24"/>
        </w:rPr>
        <w:t xml:space="preserve">. </w:t>
      </w:r>
    </w:p>
    <w:p w14:paraId="1CDF4D99" w14:textId="77777777" w:rsidR="009F103E" w:rsidRPr="002B283E" w:rsidRDefault="009F103E" w:rsidP="002B283E">
      <w:pPr>
        <w:rPr>
          <w:rFonts w:cs="Times New Roman"/>
          <w:szCs w:val="24"/>
        </w:rPr>
      </w:pPr>
    </w:p>
    <w:p w14:paraId="3DB0A2AD" w14:textId="473E9918" w:rsidR="009F103E" w:rsidRPr="002B283E" w:rsidRDefault="009F103E" w:rsidP="002B283E">
      <w:pPr>
        <w:rPr>
          <w:rFonts w:cs="Times New Roman"/>
          <w:szCs w:val="24"/>
        </w:rPr>
      </w:pPr>
      <w:r w:rsidRPr="002B283E">
        <w:rPr>
          <w:rFonts w:cs="Times New Roman"/>
          <w:szCs w:val="24"/>
        </w:rPr>
        <w:tab/>
        <w:t>As applicable, the parallel Title VII instructions concerning hostile work environment claims (Instructions 10.4</w:t>
      </w:r>
      <w:r w:rsidR="006426F5">
        <w:rPr>
          <w:rFonts w:cs="Times New Roman"/>
          <w:szCs w:val="24"/>
        </w:rPr>
        <w:t xml:space="preserve"> (</w:t>
      </w:r>
      <w:r w:rsidR="006426F5" w:rsidRPr="006426F5">
        <w:rPr>
          <w:rFonts w:cs="Times New Roman"/>
          <w:szCs w:val="24"/>
        </w:rPr>
        <w:t>Civil Rights—Title VII—Hostile Work Environment—Harassment (Comment only)</w:t>
      </w:r>
      <w:r w:rsidR="006426F5">
        <w:rPr>
          <w:rFonts w:cs="Times New Roman"/>
          <w:szCs w:val="24"/>
        </w:rPr>
        <w:t>)</w:t>
      </w:r>
      <w:r w:rsidRPr="002B283E">
        <w:rPr>
          <w:rFonts w:cs="Times New Roman"/>
          <w:szCs w:val="24"/>
        </w:rPr>
        <w:t>,</w:t>
      </w:r>
      <w:r w:rsidR="006426F5">
        <w:rPr>
          <w:rFonts w:cs="Times New Roman"/>
          <w:szCs w:val="24"/>
        </w:rPr>
        <w:t xml:space="preserve"> 10.</w:t>
      </w:r>
      <w:r w:rsidR="00C75813">
        <w:rPr>
          <w:rFonts w:cs="Times New Roman"/>
          <w:szCs w:val="24"/>
        </w:rPr>
        <w:t xml:space="preserve">5 </w:t>
      </w:r>
      <w:r w:rsidR="006426F5">
        <w:rPr>
          <w:rFonts w:cs="Times New Roman"/>
          <w:szCs w:val="24"/>
        </w:rPr>
        <w:t>(</w:t>
      </w:r>
      <w:r w:rsidR="006426F5" w:rsidRPr="006426F5">
        <w:rPr>
          <w:rFonts w:cs="Times New Roman"/>
          <w:szCs w:val="24"/>
        </w:rPr>
        <w:t>Civil Rights—Title VII—Hostile Work Environment—Definition</w:t>
      </w:r>
      <w:r w:rsidR="006426F5">
        <w:rPr>
          <w:rFonts w:cs="Times New Roman"/>
          <w:szCs w:val="24"/>
        </w:rPr>
        <w:t>),</w:t>
      </w:r>
      <w:r w:rsidRPr="002B283E">
        <w:rPr>
          <w:rFonts w:cs="Times New Roman"/>
          <w:szCs w:val="24"/>
        </w:rPr>
        <w:t xml:space="preserve"> 10.</w:t>
      </w:r>
      <w:r w:rsidR="00C75813">
        <w:rPr>
          <w:rFonts w:cs="Times New Roman"/>
          <w:szCs w:val="24"/>
        </w:rPr>
        <w:t xml:space="preserve">6 </w:t>
      </w:r>
      <w:r w:rsidR="006426F5">
        <w:rPr>
          <w:rFonts w:cs="Times New Roman"/>
          <w:szCs w:val="24"/>
        </w:rPr>
        <w:t>(</w:t>
      </w:r>
      <w:r w:rsidR="006426F5" w:rsidRPr="006426F5">
        <w:rPr>
          <w:rFonts w:cs="Times New Roman"/>
          <w:szCs w:val="24"/>
        </w:rPr>
        <w:t>Civil Rights—Title VII—Hostile Work Environment—Harassment Because of Protected Characteristics—Elements</w:t>
      </w:r>
      <w:r w:rsidR="006426F5">
        <w:rPr>
          <w:rFonts w:cs="Times New Roman"/>
          <w:szCs w:val="24"/>
        </w:rPr>
        <w:t>)</w:t>
      </w:r>
      <w:r w:rsidRPr="002B283E">
        <w:rPr>
          <w:rFonts w:cs="Times New Roman"/>
          <w:szCs w:val="24"/>
        </w:rPr>
        <w:t>, 10.</w:t>
      </w:r>
      <w:r w:rsidR="00C75813">
        <w:rPr>
          <w:rFonts w:cs="Times New Roman"/>
          <w:szCs w:val="24"/>
        </w:rPr>
        <w:t>7</w:t>
      </w:r>
      <w:r w:rsidR="006426F5">
        <w:rPr>
          <w:rFonts w:cs="Times New Roman"/>
          <w:szCs w:val="24"/>
        </w:rPr>
        <w:t xml:space="preserve"> (</w:t>
      </w:r>
      <w:r w:rsidR="006426F5" w:rsidRPr="006426F5">
        <w:rPr>
          <w:rFonts w:cs="Times New Roman"/>
          <w:szCs w:val="24"/>
        </w:rPr>
        <w:t>Civil Rights—Title VII—Hostile Work Environment Caused by Supervisor—Claim Based upon Vicarious Liability—Tangible Employment Action—Affirmative Defense</w:t>
      </w:r>
      <w:r w:rsidR="006426F5">
        <w:rPr>
          <w:rFonts w:cs="Times New Roman"/>
          <w:szCs w:val="24"/>
        </w:rPr>
        <w:t>)</w:t>
      </w:r>
      <w:r w:rsidRPr="002B283E">
        <w:rPr>
          <w:rFonts w:cs="Times New Roman"/>
          <w:szCs w:val="24"/>
        </w:rPr>
        <w:t>, and 10.</w:t>
      </w:r>
      <w:r w:rsidR="00C75813">
        <w:rPr>
          <w:rFonts w:cs="Times New Roman"/>
          <w:szCs w:val="24"/>
        </w:rPr>
        <w:t>8</w:t>
      </w:r>
      <w:r w:rsidR="006426F5">
        <w:rPr>
          <w:rFonts w:cs="Times New Roman"/>
          <w:szCs w:val="24"/>
        </w:rPr>
        <w:t xml:space="preserve"> (</w:t>
      </w:r>
      <w:r w:rsidR="006426F5" w:rsidRPr="006426F5">
        <w:rPr>
          <w:rFonts w:cs="Times New Roman"/>
          <w:szCs w:val="24"/>
        </w:rPr>
        <w:t>Civil Rights—Title VII—Hostile Work Environment Caused by Non-Immediate Supervisor or by Co-Worker—Claim Based on Negligence</w:t>
      </w:r>
      <w:r w:rsidR="006426F5">
        <w:rPr>
          <w:rFonts w:cs="Times New Roman"/>
          <w:szCs w:val="24"/>
        </w:rPr>
        <w:t>)</w:t>
      </w:r>
      <w:r w:rsidRPr="002B283E">
        <w:rPr>
          <w:rFonts w:cs="Times New Roman"/>
          <w:szCs w:val="24"/>
        </w:rPr>
        <w:t xml:space="preserve">) should be given, in a form modified to take into account that age is the protected characteristic by adding the element that the plaintiff was 40 years of age or older at the time of the harassment. </w:t>
      </w:r>
      <w:r w:rsidRPr="008A04C2">
        <w:rPr>
          <w:rFonts w:cs="Times New Roman"/>
          <w:i/>
          <w:iCs/>
          <w:szCs w:val="24"/>
        </w:rPr>
        <w:t>See</w:t>
      </w:r>
      <w:r w:rsidRPr="002B283E">
        <w:rPr>
          <w:rFonts w:cs="Times New Roman"/>
          <w:szCs w:val="24"/>
        </w:rPr>
        <w:t xml:space="preserve"> 29 U.S.C. § 631(a).</w:t>
      </w:r>
    </w:p>
    <w:p w14:paraId="3C5D9FC0" w14:textId="77777777" w:rsidR="009F103E" w:rsidRPr="002B283E" w:rsidRDefault="009F103E" w:rsidP="002B283E">
      <w:pPr>
        <w:rPr>
          <w:rFonts w:cs="Times New Roman"/>
          <w:szCs w:val="24"/>
        </w:rPr>
      </w:pPr>
    </w:p>
    <w:p w14:paraId="6EC66343" w14:textId="2B5214EA" w:rsidR="006A4CD7" w:rsidRPr="002B283E" w:rsidRDefault="006A4CD7" w:rsidP="002B283E">
      <w:pPr>
        <w:pStyle w:val="Heading2"/>
      </w:pPr>
      <w:r w:rsidRPr="002B283E">
        <w:br w:type="page"/>
      </w:r>
      <w:bookmarkStart w:id="279" w:name="_Toc221525234"/>
      <w:r w:rsidRPr="002B283E">
        <w:lastRenderedPageBreak/>
        <w:t xml:space="preserve">11.3 </w:t>
      </w:r>
      <w:r w:rsidR="00E04BA5" w:rsidRPr="002B283E">
        <w:t>Age Discrimination—Retaliation</w:t>
      </w:r>
      <w:bookmarkEnd w:id="279"/>
    </w:p>
    <w:p w14:paraId="4BDAEB5D" w14:textId="77777777" w:rsidR="006A4CD7" w:rsidRPr="002B283E" w:rsidRDefault="006A4CD7" w:rsidP="002B283E">
      <w:pPr>
        <w:rPr>
          <w:rFonts w:cs="Times New Roman"/>
          <w:szCs w:val="24"/>
        </w:rPr>
      </w:pPr>
    </w:p>
    <w:p w14:paraId="288429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139D23E" w14:textId="77777777" w:rsidR="006A4CD7" w:rsidRPr="002B283E" w:rsidRDefault="006A4CD7" w:rsidP="002B283E">
      <w:pPr>
        <w:rPr>
          <w:rFonts w:cs="Times New Roman"/>
          <w:szCs w:val="24"/>
        </w:rPr>
      </w:pPr>
    </w:p>
    <w:p w14:paraId="52438930" w14:textId="1E9175AC" w:rsidR="009F103E" w:rsidRPr="002B283E" w:rsidRDefault="009F103E" w:rsidP="002B283E">
      <w:pPr>
        <w:rPr>
          <w:rFonts w:cs="Times New Roman"/>
          <w:szCs w:val="24"/>
        </w:rPr>
      </w:pPr>
      <w:r w:rsidRPr="002B283E">
        <w:rPr>
          <w:rFonts w:cs="Times New Roman"/>
          <w:szCs w:val="24"/>
        </w:rPr>
        <w:tab/>
        <w:t xml:space="preserve">The ADEA “makes it unlawful for an employer to retaliate against an employee for opposing the employer’s discriminatory practices or participating in any investigation or proceeding under the ADEA[.]” </w:t>
      </w:r>
      <w:r w:rsidRPr="002B283E">
        <w:rPr>
          <w:rFonts w:cs="Times New Roman"/>
          <w:i/>
          <w:iCs/>
          <w:szCs w:val="24"/>
        </w:rPr>
        <w:t>O’Day v. McDonnell Douglas Helicopter Co</w:t>
      </w:r>
      <w:r w:rsidRPr="002B283E">
        <w:rPr>
          <w:rFonts w:cs="Times New Roman"/>
          <w:szCs w:val="24"/>
        </w:rPr>
        <w:t>., 79 F.3d 756, 763 (9th Cir. 1996)</w:t>
      </w:r>
      <w:r w:rsidR="00A87F6E">
        <w:rPr>
          <w:rFonts w:cs="Times New Roman"/>
          <w:szCs w:val="24"/>
        </w:rPr>
        <w:t xml:space="preserve">. </w:t>
      </w:r>
      <w:r w:rsidRPr="00C854C9">
        <w:rPr>
          <w:rFonts w:cs="Times New Roman"/>
          <w:i/>
          <w:iCs/>
          <w:szCs w:val="24"/>
        </w:rPr>
        <w:t>See</w:t>
      </w:r>
      <w:r w:rsidRPr="002B283E">
        <w:rPr>
          <w:rFonts w:cs="Times New Roman"/>
          <w:szCs w:val="24"/>
        </w:rPr>
        <w:t xml:space="preserve"> 29 U.S.C. § 623(d). The Ninth Circuit applies the same standard in both ADEA and Title VII retaliation cases. </w:t>
      </w:r>
      <w:r w:rsidRPr="002B283E">
        <w:rPr>
          <w:rFonts w:cs="Times New Roman"/>
          <w:i/>
          <w:iCs/>
          <w:szCs w:val="24"/>
        </w:rPr>
        <w:t>See Hashimoto v. Dalton</w:t>
      </w:r>
      <w:r w:rsidRPr="002B283E">
        <w:rPr>
          <w:rFonts w:cs="Times New Roman"/>
          <w:szCs w:val="24"/>
        </w:rPr>
        <w:t xml:space="preserve">, 118 F.3d 671, 675 n.1 (9th Cir. 1997) (“[T]he ADEA anti-retaliation provision is ‘parallel to the anti-retaliation provision contained in Title VII,’ and . . . ‘cases interpreting the latter provision are frequently relied upon in interpreting the former.’”); </w:t>
      </w:r>
      <w:r w:rsidRPr="002B283E">
        <w:rPr>
          <w:rFonts w:cs="Times New Roman"/>
          <w:i/>
          <w:iCs/>
          <w:szCs w:val="24"/>
        </w:rPr>
        <w:t>O’Day</w:t>
      </w:r>
      <w:r w:rsidRPr="002B283E">
        <w:rPr>
          <w:rFonts w:cs="Times New Roman"/>
          <w:szCs w:val="24"/>
        </w:rPr>
        <w:t>, 79 F.3d at 763 (“Section 623(d) is the ADEA equivalent of the anti-retaliation provision of Title VII, 42 U.S.C. § 2000e-3(a), and like its counterpart it makes it unlawful for an employer to retaliate against an employee for opposing the employer</w:t>
      </w:r>
      <w:r w:rsidR="00C854C9">
        <w:rPr>
          <w:rFonts w:cs="Times New Roman"/>
          <w:szCs w:val="24"/>
        </w:rPr>
        <w:t>’</w:t>
      </w:r>
      <w:r w:rsidRPr="002B283E">
        <w:rPr>
          <w:rFonts w:cs="Times New Roman"/>
          <w:szCs w:val="24"/>
        </w:rPr>
        <w:t xml:space="preserve">s discriminatory practices or participating in any investigation or proceeding under the ADEA.”); </w:t>
      </w:r>
      <w:r w:rsidRPr="002B283E">
        <w:rPr>
          <w:rFonts w:cs="Times New Roman"/>
          <w:i/>
          <w:iCs/>
          <w:szCs w:val="24"/>
        </w:rPr>
        <w:t>Merrick v. Farmers Ins. Group</w:t>
      </w:r>
      <w:r w:rsidRPr="002B283E">
        <w:rPr>
          <w:rFonts w:cs="Times New Roman"/>
          <w:szCs w:val="24"/>
        </w:rPr>
        <w:t>, 892 F.2d 1434, 1441 (9th Cir. 1990) (“We rely on cases involving retaliation claims brought under Title VII or Section 1981 as well as the ADEA</w:t>
      </w:r>
      <w:r w:rsidR="00A87F6E">
        <w:rPr>
          <w:rFonts w:cs="Times New Roman"/>
          <w:szCs w:val="24"/>
        </w:rPr>
        <w:t xml:space="preserve">. </w:t>
      </w:r>
      <w:r w:rsidRPr="002B283E">
        <w:rPr>
          <w:rFonts w:cs="Times New Roman"/>
          <w:szCs w:val="24"/>
        </w:rPr>
        <w:t>Few published opinions involve ADEA retaliatory claims. Those circuits that have considered ADEA retaliation claims have generally adopted the analysis used in Title VII cases without comment.”).</w:t>
      </w:r>
    </w:p>
    <w:p w14:paraId="03F2C93D" w14:textId="77777777" w:rsidR="009F103E" w:rsidRPr="002B283E" w:rsidRDefault="009F103E" w:rsidP="002B283E">
      <w:pPr>
        <w:rPr>
          <w:rFonts w:cs="Times New Roman"/>
          <w:szCs w:val="24"/>
        </w:rPr>
      </w:pPr>
    </w:p>
    <w:p w14:paraId="141ED1A0" w14:textId="76EF0409" w:rsidR="009F103E" w:rsidRPr="002B283E" w:rsidRDefault="009F103E" w:rsidP="002B283E">
      <w:pPr>
        <w:rPr>
          <w:rFonts w:cs="Times New Roman"/>
          <w:szCs w:val="24"/>
        </w:rPr>
      </w:pPr>
      <w:r w:rsidRPr="002B283E">
        <w:rPr>
          <w:rFonts w:cs="Times New Roman"/>
          <w:szCs w:val="24"/>
        </w:rPr>
        <w:tab/>
        <w:t>As applicable, Instruction 10.</w:t>
      </w:r>
      <w:r w:rsidR="00C75813">
        <w:rPr>
          <w:rFonts w:cs="Times New Roman"/>
          <w:szCs w:val="24"/>
        </w:rPr>
        <w:t>10</w:t>
      </w:r>
      <w:r w:rsidRPr="002B283E">
        <w:rPr>
          <w:rFonts w:cs="Times New Roman"/>
          <w:szCs w:val="24"/>
        </w:rPr>
        <w:t xml:space="preserve"> (Civil Rights—Title VII—Retaliation—Elements and Burden of Proof) should be given in a form modified to take into account that the activity protected under federal law is opposition to practices made unlawful by the ADEA</w:t>
      </w:r>
      <w:r w:rsidR="00A87F6E">
        <w:rPr>
          <w:rFonts w:cs="Times New Roman"/>
          <w:szCs w:val="24"/>
        </w:rPr>
        <w:t xml:space="preserve">. </w:t>
      </w:r>
      <w:r w:rsidRPr="002B283E">
        <w:rPr>
          <w:rFonts w:cs="Times New Roman"/>
          <w:i/>
          <w:iCs/>
          <w:szCs w:val="24"/>
        </w:rPr>
        <w:t>See</w:t>
      </w:r>
      <w:r w:rsidRPr="002B283E">
        <w:rPr>
          <w:rFonts w:cs="Times New Roman"/>
          <w:szCs w:val="24"/>
        </w:rPr>
        <w:t xml:space="preserve"> 29 U.S.C. § 623(d).</w:t>
      </w:r>
    </w:p>
    <w:p w14:paraId="7D5C9DE5" w14:textId="77777777" w:rsidR="009F103E" w:rsidRPr="002B283E" w:rsidRDefault="009F103E" w:rsidP="002B283E">
      <w:pPr>
        <w:rPr>
          <w:rFonts w:cs="Times New Roman"/>
          <w:szCs w:val="24"/>
        </w:rPr>
      </w:pPr>
    </w:p>
    <w:p w14:paraId="70ADD520" w14:textId="67720E30" w:rsidR="009F103E" w:rsidRPr="002B283E" w:rsidRDefault="006A4CD7" w:rsidP="002B283E">
      <w:pPr>
        <w:pStyle w:val="Heading2"/>
      </w:pPr>
      <w:r w:rsidRPr="002B283E">
        <w:br w:type="page"/>
      </w:r>
      <w:bookmarkStart w:id="280" w:name="_Toc221525235"/>
      <w:r w:rsidRPr="002B283E">
        <w:lastRenderedPageBreak/>
        <w:t xml:space="preserve">11.4 </w:t>
      </w:r>
      <w:r w:rsidR="00E04BA5" w:rsidRPr="002B283E">
        <w:t>Age Discrimination—Disparate Impact—Elements</w:t>
      </w:r>
      <w:bookmarkEnd w:id="280"/>
    </w:p>
    <w:p w14:paraId="57D61945" w14:textId="77777777" w:rsidR="009F103E" w:rsidRPr="002B283E" w:rsidRDefault="009F103E" w:rsidP="002B283E">
      <w:pPr>
        <w:rPr>
          <w:rFonts w:cs="Times New Roman"/>
          <w:szCs w:val="24"/>
        </w:rPr>
      </w:pPr>
    </w:p>
    <w:p w14:paraId="7BF30B32" w14:textId="584ADDEC" w:rsidR="00B62A7D" w:rsidRPr="002B283E" w:rsidRDefault="009F103E" w:rsidP="002B283E">
      <w:pPr>
        <w:rPr>
          <w:rFonts w:cs="Times New Roman"/>
          <w:szCs w:val="24"/>
        </w:rPr>
      </w:pPr>
      <w:r w:rsidRPr="002B283E">
        <w:rPr>
          <w:rFonts w:cs="Times New Roman"/>
          <w:szCs w:val="24"/>
        </w:rPr>
        <w:tab/>
      </w:r>
      <w:r w:rsidR="00B62A7D"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 xml:space="preserve">seeks damages based on age discrimination in violation of federal law. </w:t>
      </w:r>
      <w:r w:rsidR="002F1238">
        <w:rPr>
          <w:rFonts w:cs="Times New Roman"/>
          <w:szCs w:val="24"/>
        </w:rPr>
        <w:t>To</w:t>
      </w:r>
      <w:r w:rsidR="00B62A7D"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has the burden of proving each of the following elements by a preponderance of the evidence:</w:t>
      </w:r>
    </w:p>
    <w:p w14:paraId="12AA6761" w14:textId="77777777" w:rsidR="00E607FD" w:rsidRPr="008B3794" w:rsidRDefault="00E607FD" w:rsidP="00E607FD"/>
    <w:p w14:paraId="2E4CA910" w14:textId="20C9A1AB" w:rsidR="00E607FD" w:rsidRPr="008B3794" w:rsidRDefault="00E607FD" w:rsidP="00E607FD">
      <w:pPr>
        <w:widowControl w:val="0"/>
        <w:ind w:firstLine="720"/>
      </w:pPr>
      <w:r w:rsidRPr="008B3794">
        <w:t xml:space="preserve">First,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was 40 years of age or older at the time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was [discharged] [not hired] [not promoted] [demoted] [</w:t>
      </w:r>
      <w:r w:rsidRPr="008A04C2">
        <w:rPr>
          <w:i/>
          <w:iCs/>
          <w:u w:val="single"/>
        </w:rPr>
        <w:t>state other adverse action</w:t>
      </w:r>
      <w:r w:rsidRPr="008B3794">
        <w:t xml:space="preserve">]; </w:t>
      </w:r>
    </w:p>
    <w:p w14:paraId="4DFEA6D3" w14:textId="77777777" w:rsidR="00E607FD" w:rsidRPr="008B3794" w:rsidRDefault="00E607FD" w:rsidP="00E607FD">
      <w:pPr>
        <w:widowControl w:val="0"/>
        <w:ind w:firstLine="720"/>
      </w:pPr>
    </w:p>
    <w:p w14:paraId="3D52C897" w14:textId="42382744" w:rsidR="00E607FD" w:rsidRPr="008B3794" w:rsidRDefault="00E607FD" w:rsidP="00E607FD">
      <w:pPr>
        <w:widowControl w:val="0"/>
        <w:ind w:firstLine="720"/>
      </w:pPr>
      <w:r w:rsidRPr="008B3794">
        <w:t xml:space="preserve">Second,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used a specific [test] [requirement] [practice] [selection criterion] that had a significantly adverse or disproportionate impact on employees 40 years of age or older; and </w:t>
      </w:r>
    </w:p>
    <w:p w14:paraId="2BE61DD3" w14:textId="77777777" w:rsidR="00E607FD" w:rsidRPr="008B3794" w:rsidRDefault="00E607FD" w:rsidP="00E607FD">
      <w:pPr>
        <w:widowControl w:val="0"/>
        <w:ind w:firstLine="720"/>
      </w:pPr>
    </w:p>
    <w:p w14:paraId="361300BE" w14:textId="64B04B2C" w:rsidR="00E607FD" w:rsidRPr="008B3794" w:rsidRDefault="00E607FD" w:rsidP="00E607FD">
      <w:pPr>
        <w:widowControl w:val="0"/>
        <w:ind w:firstLine="720"/>
      </w:pPr>
      <w:r w:rsidRPr="008B3794">
        <w:t>Third,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 xml:space="preserve">’s [test] [requirement] [practice] [selection criterion] resulted in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being [discharged] [not hired] [not promoted] [demoted] [</w:t>
      </w:r>
      <w:r w:rsidRPr="008B3794">
        <w:rPr>
          <w:i/>
          <w:iCs/>
          <w:u w:val="single"/>
        </w:rPr>
        <w:t>state other adverse action</w:t>
      </w:r>
      <w:r w:rsidRPr="008B3794">
        <w:t xml:space="preserve">]. </w:t>
      </w:r>
    </w:p>
    <w:p w14:paraId="121051BE" w14:textId="77777777" w:rsidR="00E607FD" w:rsidRPr="008B3794" w:rsidRDefault="00E607FD" w:rsidP="00E607FD"/>
    <w:p w14:paraId="171C9BE6" w14:textId="45A72812" w:rsidR="00E607FD" w:rsidRPr="008B3794" w:rsidRDefault="00E607FD" w:rsidP="00E607FD">
      <w:r w:rsidRPr="008B3794">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proved all three of these elements, your verdict should be for the plaintiff</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t xml:space="preserve">. </w:t>
      </w:r>
      <w:r w:rsidRPr="008B3794">
        <w:t xml:space="preserve">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failed to prove any of these elements, your verdict should be for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w:t>
      </w:r>
    </w:p>
    <w:p w14:paraId="3F959109" w14:textId="77777777" w:rsidR="00E607FD" w:rsidRPr="008B3794" w:rsidRDefault="00E607FD" w:rsidP="00E607FD"/>
    <w:p w14:paraId="67E9CEDF" w14:textId="77777777" w:rsidR="00E607FD" w:rsidRPr="008B3794" w:rsidRDefault="00E607FD" w:rsidP="00E607FD">
      <w:pPr>
        <w:jc w:val="center"/>
        <w:rPr>
          <w:b/>
          <w:bCs/>
        </w:rPr>
      </w:pPr>
      <w:r w:rsidRPr="008B3794">
        <w:rPr>
          <w:b/>
          <w:bCs/>
        </w:rPr>
        <w:t>Comment</w:t>
      </w:r>
    </w:p>
    <w:p w14:paraId="0FB24198" w14:textId="77777777" w:rsidR="00E607FD" w:rsidRPr="008B3794" w:rsidRDefault="00E607FD" w:rsidP="00E607FD"/>
    <w:p w14:paraId="448B0C01" w14:textId="6A1FE5FB" w:rsidR="00E607FD" w:rsidRPr="008B3794" w:rsidRDefault="00E607FD" w:rsidP="00E607FD">
      <w:pPr>
        <w:widowControl w:val="0"/>
        <w:ind w:firstLine="720"/>
      </w:pPr>
      <w:r w:rsidRPr="008B3794">
        <w:t xml:space="preserve">“A disparate impact claim challenges employment practices that are facially neutral in their treatment of different groups but that in fact fall more harshly on one group than another . . . .” </w:t>
      </w:r>
      <w:r w:rsidRPr="008B3794">
        <w:rPr>
          <w:i/>
          <w:iCs/>
        </w:rPr>
        <w:t>Pottenger v. Potlatch Corp</w:t>
      </w:r>
      <w:r w:rsidRPr="008B3794">
        <w:t xml:space="preserve">., 329 F.3d 740, 749 (9th Cir. 2003) (internal quotation marks and citation omitted). In </w:t>
      </w:r>
      <w:r w:rsidRPr="008B3794">
        <w:rPr>
          <w:i/>
          <w:iCs/>
        </w:rPr>
        <w:t>Smith v. City of Jackson</w:t>
      </w:r>
      <w:r w:rsidRPr="008B3794">
        <w:t>, 544 U.S. 228, 232 (2005), the Supreme Court affirmed the availability of a disparate impact claim under the ADEA. For detailed discussions of disparate impact claims arising under the Fair Housing Act, see</w:t>
      </w:r>
      <w:r w:rsidRPr="008B3794">
        <w:rPr>
          <w:i/>
          <w:iCs/>
        </w:rPr>
        <w:t xml:space="preserve"> </w:t>
      </w:r>
      <w:r w:rsidR="00C854C9" w:rsidRPr="00C854C9">
        <w:rPr>
          <w:i/>
          <w:iCs/>
        </w:rPr>
        <w:t>Tex. Dep’t of Hous. and Cmty. Affairs v. Inclusive Cmtys</w:t>
      </w:r>
      <w:r w:rsidR="00C854C9">
        <w:rPr>
          <w:i/>
          <w:iCs/>
        </w:rPr>
        <w:t>.</w:t>
      </w:r>
      <w:r w:rsidR="00C854C9" w:rsidRPr="00C854C9">
        <w:rPr>
          <w:i/>
          <w:iCs/>
        </w:rPr>
        <w:t xml:space="preserve"> Project, Inc.,</w:t>
      </w:r>
      <w:r w:rsidRPr="008B3794">
        <w:t xml:space="preserve">, 576 U.S. 519 (2015) (relying on cases interpreting Title VII and the ADEA) and </w:t>
      </w:r>
      <w:r w:rsidRPr="008B3794">
        <w:rPr>
          <w:i/>
          <w:iCs/>
        </w:rPr>
        <w:t>Ohio House, LLC v. City of Costa Mesa</w:t>
      </w:r>
      <w:r w:rsidRPr="008B3794">
        <w:t xml:space="preserve">, 135 F.4th 645, 667 (9th Cir. 2025) (“To establish prima facie disparate impact, a plaintiff must present evidence of: (1) the existence of a policy . . . that is outwardly neutral; (2) a significant, adverse, and disproportionate effect on a protected class; and (3) robust causality that shows, beyond mere evidence of a statistical disparity, that the challenged policy, and not some other factor or policy, caused the disproportionate effect.” (alteration in original) (internal quotation marks and citation omitted)). </w:t>
      </w:r>
    </w:p>
    <w:p w14:paraId="25586D83" w14:textId="77777777" w:rsidR="00E607FD" w:rsidRPr="008B3794" w:rsidRDefault="00E607FD" w:rsidP="00E607FD"/>
    <w:p w14:paraId="4C6E0AB0" w14:textId="30D68D53" w:rsidR="00E607FD" w:rsidRPr="008B3794" w:rsidRDefault="00E607FD" w:rsidP="00E607FD">
      <w:r w:rsidRPr="008B3794">
        <w:tab/>
        <w:t>The first element states the age threshold necessary to fall within the ADEA</w:t>
      </w:r>
      <w:r w:rsidR="00A87F6E">
        <w:t xml:space="preserve">. </w:t>
      </w:r>
      <w:r w:rsidRPr="008B3794">
        <w:rPr>
          <w:i/>
          <w:iCs/>
        </w:rPr>
        <w:t>See</w:t>
      </w:r>
      <w:r w:rsidRPr="008B3794">
        <w:t xml:space="preserve"> 29 U.S.C. § 631(a).</w:t>
      </w:r>
    </w:p>
    <w:p w14:paraId="349CE272" w14:textId="77777777" w:rsidR="00E607FD" w:rsidRPr="008B3794" w:rsidRDefault="00E607FD" w:rsidP="00E607FD"/>
    <w:p w14:paraId="01A80775" w14:textId="434963F9" w:rsidR="00E607FD" w:rsidRPr="008B3794" w:rsidRDefault="00E607FD" w:rsidP="00E607FD">
      <w:pPr>
        <w:widowControl w:val="0"/>
        <w:ind w:firstLine="720"/>
      </w:pPr>
      <w:r w:rsidRPr="008B3794">
        <w:t xml:space="preserve">The second element reflects </w:t>
      </w:r>
      <w:r w:rsidRPr="008B3794">
        <w:rPr>
          <w:i/>
          <w:iCs/>
        </w:rPr>
        <w:t>Smith</w:t>
      </w:r>
      <w:r w:rsidRPr="008B3794">
        <w:t xml:space="preserve">’s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8B3794">
        <w:rPr>
          <w:i/>
          <w:iCs/>
        </w:rPr>
        <w:t>Smith</w:t>
      </w:r>
      <w:r w:rsidRPr="008B3794">
        <w:t xml:space="preserve">, 544 U.S. </w:t>
      </w:r>
      <w:r w:rsidRPr="008B3794">
        <w:lastRenderedPageBreak/>
        <w:t>at 240-41 (internal quotation omitted) (emphasis in original) (holding that</w:t>
      </w:r>
      <w:r w:rsidR="00C854C9">
        <w:t xml:space="preserve"> the</w:t>
      </w:r>
      <w:r w:rsidRPr="008B3794">
        <w:t xml:space="preserve"> heightened disparate impact standard of </w:t>
      </w:r>
      <w:r w:rsidRPr="008B3794">
        <w:rPr>
          <w:i/>
          <w:iCs/>
        </w:rPr>
        <w:t>Wards Cove Packing Co. v. Atonio</w:t>
      </w:r>
      <w:r w:rsidRPr="008B3794">
        <w:t xml:space="preserve">, 490 U.S. 642, 656 (1989), applies in ADEA cases because </w:t>
      </w:r>
      <w:r w:rsidR="00C854C9">
        <w:t xml:space="preserve">the </w:t>
      </w:r>
      <w:r w:rsidRPr="008B3794">
        <w:t xml:space="preserve">Civil Rights Act of 1991, which abrogated </w:t>
      </w:r>
      <w:r w:rsidRPr="006426F5">
        <w:rPr>
          <w:i/>
          <w:iCs/>
        </w:rPr>
        <w:t>Wards Cove</w:t>
      </w:r>
      <w:r w:rsidRPr="008B3794">
        <w:t xml:space="preserve"> in Title VII cases, did not amend </w:t>
      </w:r>
      <w:r w:rsidR="00C854C9">
        <w:t xml:space="preserve">the </w:t>
      </w:r>
      <w:r w:rsidRPr="008B3794">
        <w:t xml:space="preserve">ADEA). Thus, the plaintiff must establish that the employer uses a “specific test, requirement, or practice . . . that has an adverse impact on older workers.”  </w:t>
      </w:r>
      <w:r w:rsidRPr="008B3794">
        <w:rPr>
          <w:i/>
          <w:iCs/>
        </w:rPr>
        <w:t>Id</w:t>
      </w:r>
      <w:r w:rsidRPr="008B3794">
        <w:t xml:space="preserve">. at 241. </w:t>
      </w:r>
    </w:p>
    <w:p w14:paraId="2632D764" w14:textId="77777777" w:rsidR="00E607FD" w:rsidRPr="008B3794" w:rsidRDefault="00E607FD" w:rsidP="00E607FD"/>
    <w:p w14:paraId="077DE08A" w14:textId="50584C73" w:rsidR="00E607FD" w:rsidRPr="008B3794" w:rsidRDefault="00E607FD" w:rsidP="00E607FD">
      <w:r w:rsidRPr="008B3794">
        <w:tab/>
        <w:t xml:space="preserve">The third element states the requirement that the plaintiff “must show that he was subject to the particular employment practice with the alleged disparate impact.” </w:t>
      </w:r>
      <w:r w:rsidRPr="008B3794">
        <w:rPr>
          <w:i/>
          <w:iCs/>
        </w:rPr>
        <w:t>Pottenger</w:t>
      </w:r>
      <w:r w:rsidRPr="008B3794">
        <w:t>, 329 F.3d at 750.</w:t>
      </w:r>
    </w:p>
    <w:p w14:paraId="031BB882" w14:textId="77777777" w:rsidR="00E607FD" w:rsidRPr="008B3794" w:rsidRDefault="00E607FD" w:rsidP="00E607FD"/>
    <w:p w14:paraId="59820F0E" w14:textId="77777777" w:rsidR="00E607FD" w:rsidRPr="008B3794" w:rsidRDefault="00E607FD" w:rsidP="00E607FD">
      <w:r w:rsidRPr="008B3794">
        <w:tab/>
        <w:t>When an affirmative defense is asserted, this instruction should be accompanied by the appropriate affirmative defense instruction.</w:t>
      </w:r>
    </w:p>
    <w:p w14:paraId="6D887AA4" w14:textId="77777777" w:rsidR="00E607FD" w:rsidRPr="008B3794" w:rsidRDefault="00E607FD" w:rsidP="00E607FD"/>
    <w:p w14:paraId="27D5E9FA" w14:textId="77777777" w:rsidR="00E607FD" w:rsidRPr="008B3794" w:rsidRDefault="00E607FD" w:rsidP="00E607FD">
      <w:pPr>
        <w:jc w:val="right"/>
      </w:pPr>
      <w:r w:rsidRPr="008B3794">
        <w:rPr>
          <w:i/>
          <w:iCs/>
        </w:rPr>
        <w:t>Revised June 2025</w:t>
      </w:r>
    </w:p>
    <w:p w14:paraId="1DA34029" w14:textId="66C98868" w:rsidR="004D3956" w:rsidRDefault="004D3956" w:rsidP="004D3956">
      <w:pPr>
        <w:widowControl w:val="0"/>
        <w:ind w:firstLine="720"/>
        <w:jc w:val="right"/>
        <w:rPr>
          <w:rFonts w:cs="Times New Roman"/>
          <w:i/>
          <w:iCs/>
          <w:szCs w:val="24"/>
        </w:rPr>
      </w:pPr>
    </w:p>
    <w:p w14:paraId="15B22A70" w14:textId="77777777" w:rsidR="004D3956" w:rsidRDefault="004D3956" w:rsidP="004D3956">
      <w:pPr>
        <w:widowControl w:val="0"/>
        <w:ind w:firstLine="720"/>
        <w:jc w:val="right"/>
        <w:rPr>
          <w:rFonts w:cs="Times New Roman"/>
          <w:i/>
          <w:iCs/>
          <w:szCs w:val="24"/>
        </w:rPr>
      </w:pPr>
    </w:p>
    <w:p w14:paraId="3BFC6F9B" w14:textId="77777777" w:rsidR="004D3956" w:rsidRDefault="004D3956" w:rsidP="004D3956">
      <w:pPr>
        <w:widowControl w:val="0"/>
        <w:ind w:firstLine="720"/>
        <w:jc w:val="right"/>
        <w:rPr>
          <w:rFonts w:cs="Times New Roman"/>
          <w:i/>
          <w:iCs/>
          <w:szCs w:val="24"/>
        </w:rPr>
      </w:pPr>
    </w:p>
    <w:p w14:paraId="17830E8D" w14:textId="77777777" w:rsidR="004D3956" w:rsidRDefault="004D3956" w:rsidP="004D3956">
      <w:pPr>
        <w:widowControl w:val="0"/>
        <w:ind w:firstLine="720"/>
        <w:jc w:val="right"/>
        <w:rPr>
          <w:rFonts w:cs="Times New Roman"/>
          <w:i/>
          <w:iCs/>
          <w:szCs w:val="24"/>
        </w:rPr>
      </w:pPr>
    </w:p>
    <w:p w14:paraId="28C33D0F" w14:textId="77777777" w:rsidR="004D3956" w:rsidRDefault="004D3956" w:rsidP="004D3956">
      <w:pPr>
        <w:widowControl w:val="0"/>
        <w:ind w:firstLine="720"/>
        <w:jc w:val="right"/>
        <w:rPr>
          <w:rFonts w:cs="Times New Roman"/>
          <w:i/>
          <w:iCs/>
          <w:szCs w:val="24"/>
        </w:rPr>
      </w:pPr>
    </w:p>
    <w:p w14:paraId="52288A63" w14:textId="77777777" w:rsidR="004D3956" w:rsidRDefault="004D3956" w:rsidP="004D3956">
      <w:pPr>
        <w:widowControl w:val="0"/>
        <w:ind w:firstLine="720"/>
        <w:jc w:val="right"/>
        <w:rPr>
          <w:rFonts w:cs="Times New Roman"/>
          <w:i/>
          <w:iCs/>
          <w:szCs w:val="24"/>
        </w:rPr>
      </w:pPr>
    </w:p>
    <w:p w14:paraId="7657D897" w14:textId="77777777" w:rsidR="004D3956" w:rsidRDefault="004D3956" w:rsidP="004D3956">
      <w:pPr>
        <w:widowControl w:val="0"/>
        <w:ind w:firstLine="720"/>
        <w:jc w:val="right"/>
        <w:rPr>
          <w:rFonts w:cs="Times New Roman"/>
          <w:i/>
          <w:iCs/>
          <w:szCs w:val="24"/>
        </w:rPr>
      </w:pPr>
    </w:p>
    <w:p w14:paraId="2DCD2C68" w14:textId="77777777" w:rsidR="004D3956" w:rsidRDefault="004D3956" w:rsidP="004D3956">
      <w:pPr>
        <w:widowControl w:val="0"/>
        <w:ind w:firstLine="720"/>
        <w:jc w:val="right"/>
        <w:rPr>
          <w:rFonts w:cs="Times New Roman"/>
          <w:i/>
          <w:iCs/>
          <w:szCs w:val="24"/>
        </w:rPr>
      </w:pPr>
    </w:p>
    <w:p w14:paraId="6CA6D10C" w14:textId="77777777" w:rsidR="004D3956" w:rsidRDefault="004D3956" w:rsidP="004D3956">
      <w:pPr>
        <w:widowControl w:val="0"/>
        <w:ind w:firstLine="720"/>
        <w:jc w:val="right"/>
        <w:rPr>
          <w:rFonts w:cs="Times New Roman"/>
          <w:i/>
          <w:iCs/>
          <w:szCs w:val="24"/>
        </w:rPr>
      </w:pPr>
    </w:p>
    <w:p w14:paraId="085977C1" w14:textId="77777777" w:rsidR="004D3956" w:rsidRDefault="004D3956" w:rsidP="004D3956">
      <w:pPr>
        <w:widowControl w:val="0"/>
        <w:ind w:firstLine="720"/>
        <w:jc w:val="right"/>
        <w:rPr>
          <w:rFonts w:cs="Times New Roman"/>
          <w:i/>
          <w:iCs/>
          <w:szCs w:val="24"/>
        </w:rPr>
      </w:pPr>
    </w:p>
    <w:p w14:paraId="0CB3307C" w14:textId="77777777" w:rsidR="004D3956" w:rsidRDefault="004D3956" w:rsidP="004D3956">
      <w:pPr>
        <w:widowControl w:val="0"/>
        <w:ind w:firstLine="720"/>
        <w:jc w:val="right"/>
        <w:rPr>
          <w:rFonts w:cs="Times New Roman"/>
          <w:i/>
          <w:iCs/>
          <w:szCs w:val="24"/>
        </w:rPr>
      </w:pPr>
    </w:p>
    <w:p w14:paraId="2F42E7DA" w14:textId="77777777" w:rsidR="004D3956" w:rsidRDefault="004D3956" w:rsidP="004D3956">
      <w:pPr>
        <w:widowControl w:val="0"/>
        <w:ind w:firstLine="720"/>
        <w:jc w:val="right"/>
        <w:rPr>
          <w:rFonts w:cs="Times New Roman"/>
          <w:i/>
          <w:iCs/>
          <w:szCs w:val="24"/>
        </w:rPr>
      </w:pPr>
    </w:p>
    <w:p w14:paraId="115D0980" w14:textId="77777777" w:rsidR="004D3956" w:rsidRDefault="004D3956" w:rsidP="004D3956">
      <w:pPr>
        <w:widowControl w:val="0"/>
        <w:ind w:firstLine="720"/>
        <w:jc w:val="right"/>
        <w:rPr>
          <w:rFonts w:cs="Times New Roman"/>
          <w:i/>
          <w:iCs/>
          <w:szCs w:val="24"/>
        </w:rPr>
      </w:pPr>
    </w:p>
    <w:p w14:paraId="3DA9AAC8" w14:textId="77777777" w:rsidR="004D3956" w:rsidRDefault="004D3956" w:rsidP="004D3956">
      <w:pPr>
        <w:widowControl w:val="0"/>
        <w:ind w:firstLine="720"/>
        <w:jc w:val="right"/>
        <w:rPr>
          <w:rFonts w:cs="Times New Roman"/>
          <w:i/>
          <w:iCs/>
          <w:szCs w:val="24"/>
        </w:rPr>
      </w:pPr>
    </w:p>
    <w:p w14:paraId="55BB3304" w14:textId="77777777" w:rsidR="004D3956" w:rsidRDefault="004D3956" w:rsidP="004D3956">
      <w:pPr>
        <w:widowControl w:val="0"/>
        <w:ind w:firstLine="720"/>
        <w:jc w:val="right"/>
        <w:rPr>
          <w:rFonts w:cs="Times New Roman"/>
          <w:i/>
          <w:iCs/>
          <w:szCs w:val="24"/>
        </w:rPr>
      </w:pPr>
    </w:p>
    <w:p w14:paraId="0329F8D5" w14:textId="77777777" w:rsidR="004D3956" w:rsidRDefault="004D3956" w:rsidP="004D3956">
      <w:pPr>
        <w:widowControl w:val="0"/>
        <w:ind w:firstLine="720"/>
        <w:jc w:val="right"/>
        <w:rPr>
          <w:rFonts w:cs="Times New Roman"/>
          <w:i/>
          <w:iCs/>
          <w:szCs w:val="24"/>
        </w:rPr>
      </w:pPr>
    </w:p>
    <w:p w14:paraId="1816D5ED" w14:textId="77777777" w:rsidR="004D3956" w:rsidRDefault="004D3956" w:rsidP="004D3956">
      <w:pPr>
        <w:widowControl w:val="0"/>
        <w:ind w:firstLine="720"/>
        <w:jc w:val="right"/>
        <w:rPr>
          <w:rFonts w:cs="Times New Roman"/>
          <w:i/>
          <w:iCs/>
          <w:szCs w:val="24"/>
        </w:rPr>
      </w:pPr>
    </w:p>
    <w:p w14:paraId="58771D9A" w14:textId="77777777" w:rsidR="004D3956" w:rsidRDefault="004D3956" w:rsidP="004D3956">
      <w:pPr>
        <w:widowControl w:val="0"/>
        <w:ind w:firstLine="720"/>
        <w:jc w:val="right"/>
        <w:rPr>
          <w:rFonts w:cs="Times New Roman"/>
          <w:i/>
          <w:iCs/>
          <w:szCs w:val="24"/>
        </w:rPr>
      </w:pPr>
    </w:p>
    <w:p w14:paraId="56ADBF2C" w14:textId="77777777" w:rsidR="004D3956" w:rsidRDefault="004D3956" w:rsidP="004D3956">
      <w:pPr>
        <w:widowControl w:val="0"/>
        <w:ind w:firstLine="720"/>
        <w:jc w:val="right"/>
        <w:rPr>
          <w:rFonts w:cs="Times New Roman"/>
          <w:i/>
          <w:iCs/>
          <w:szCs w:val="24"/>
        </w:rPr>
      </w:pPr>
    </w:p>
    <w:p w14:paraId="2A05ED9A" w14:textId="77777777" w:rsidR="004D3956" w:rsidRDefault="004D3956" w:rsidP="004D3956">
      <w:pPr>
        <w:widowControl w:val="0"/>
        <w:ind w:firstLine="720"/>
        <w:jc w:val="right"/>
        <w:rPr>
          <w:rFonts w:cs="Times New Roman"/>
          <w:i/>
          <w:iCs/>
          <w:szCs w:val="24"/>
        </w:rPr>
      </w:pPr>
    </w:p>
    <w:p w14:paraId="7A968643" w14:textId="77777777" w:rsidR="004D3956" w:rsidRDefault="004D3956" w:rsidP="004D3956">
      <w:pPr>
        <w:widowControl w:val="0"/>
        <w:ind w:firstLine="720"/>
        <w:jc w:val="right"/>
        <w:rPr>
          <w:rFonts w:cs="Times New Roman"/>
          <w:i/>
          <w:iCs/>
          <w:szCs w:val="24"/>
        </w:rPr>
      </w:pPr>
    </w:p>
    <w:p w14:paraId="384A878E" w14:textId="77777777" w:rsidR="004D3956" w:rsidRDefault="004D3956" w:rsidP="004D3956">
      <w:pPr>
        <w:widowControl w:val="0"/>
        <w:ind w:firstLine="720"/>
        <w:jc w:val="right"/>
        <w:rPr>
          <w:rFonts w:cs="Times New Roman"/>
          <w:i/>
          <w:iCs/>
          <w:szCs w:val="24"/>
        </w:rPr>
      </w:pPr>
    </w:p>
    <w:p w14:paraId="780E2979" w14:textId="77777777" w:rsidR="004D3956" w:rsidRDefault="004D3956" w:rsidP="004D3956">
      <w:pPr>
        <w:widowControl w:val="0"/>
        <w:ind w:firstLine="720"/>
        <w:jc w:val="right"/>
        <w:rPr>
          <w:rFonts w:cs="Times New Roman"/>
          <w:i/>
          <w:iCs/>
          <w:szCs w:val="24"/>
        </w:rPr>
      </w:pPr>
    </w:p>
    <w:p w14:paraId="63A63812" w14:textId="77777777" w:rsidR="004D3956" w:rsidRDefault="004D3956" w:rsidP="004D3956">
      <w:pPr>
        <w:widowControl w:val="0"/>
        <w:ind w:firstLine="720"/>
        <w:jc w:val="right"/>
        <w:rPr>
          <w:rFonts w:cs="Times New Roman"/>
          <w:i/>
          <w:iCs/>
          <w:szCs w:val="24"/>
        </w:rPr>
      </w:pPr>
    </w:p>
    <w:p w14:paraId="7CA8004B" w14:textId="77777777" w:rsidR="004D3956" w:rsidRDefault="004D3956" w:rsidP="004D3956">
      <w:pPr>
        <w:widowControl w:val="0"/>
        <w:ind w:firstLine="720"/>
        <w:jc w:val="right"/>
        <w:rPr>
          <w:rFonts w:cs="Times New Roman"/>
          <w:i/>
          <w:iCs/>
          <w:szCs w:val="24"/>
        </w:rPr>
      </w:pPr>
    </w:p>
    <w:p w14:paraId="7307C05A" w14:textId="77777777" w:rsidR="004D3956" w:rsidRDefault="004D3956" w:rsidP="004D3956">
      <w:pPr>
        <w:widowControl w:val="0"/>
        <w:ind w:firstLine="720"/>
        <w:jc w:val="right"/>
        <w:rPr>
          <w:rFonts w:cs="Times New Roman"/>
          <w:i/>
          <w:iCs/>
          <w:szCs w:val="24"/>
        </w:rPr>
      </w:pPr>
    </w:p>
    <w:p w14:paraId="2837E17A" w14:textId="77777777" w:rsidR="004D3956" w:rsidRDefault="004D3956" w:rsidP="004D3956">
      <w:pPr>
        <w:widowControl w:val="0"/>
        <w:ind w:firstLine="720"/>
        <w:jc w:val="right"/>
        <w:rPr>
          <w:rFonts w:cs="Times New Roman"/>
          <w:i/>
          <w:iCs/>
          <w:szCs w:val="24"/>
        </w:rPr>
      </w:pPr>
    </w:p>
    <w:p w14:paraId="18C3E2D6" w14:textId="77777777" w:rsidR="004D3956" w:rsidRDefault="004D3956" w:rsidP="006426F5">
      <w:pPr>
        <w:widowControl w:val="0"/>
        <w:rPr>
          <w:rFonts w:cs="Times New Roman"/>
          <w:i/>
          <w:iCs/>
          <w:szCs w:val="24"/>
        </w:rPr>
      </w:pPr>
    </w:p>
    <w:p w14:paraId="3872CE73" w14:textId="77777777" w:rsidR="006426F5" w:rsidRDefault="006426F5" w:rsidP="006426F5">
      <w:pPr>
        <w:widowControl w:val="0"/>
        <w:rPr>
          <w:rFonts w:cs="Times New Roman"/>
          <w:i/>
          <w:iCs/>
          <w:szCs w:val="24"/>
        </w:rPr>
      </w:pPr>
    </w:p>
    <w:p w14:paraId="518D075B" w14:textId="77777777" w:rsidR="004D3956" w:rsidRPr="00A03841" w:rsidRDefault="004D3956" w:rsidP="004D3956">
      <w:pPr>
        <w:widowControl w:val="0"/>
        <w:ind w:firstLine="720"/>
        <w:jc w:val="right"/>
        <w:rPr>
          <w:rFonts w:cs="Times New Roman"/>
          <w:i/>
          <w:iCs/>
          <w:szCs w:val="24"/>
        </w:rPr>
      </w:pPr>
    </w:p>
    <w:p w14:paraId="7B63048F" w14:textId="18EDCBC6" w:rsidR="006A4CD7" w:rsidRPr="002B283E" w:rsidRDefault="006A4CD7" w:rsidP="002B283E">
      <w:pPr>
        <w:pStyle w:val="Heading2"/>
      </w:pPr>
      <w:bookmarkStart w:id="281" w:name="_Toc221525236"/>
      <w:r w:rsidRPr="002B283E">
        <w:lastRenderedPageBreak/>
        <w:t xml:space="preserve">11.5 </w:t>
      </w:r>
      <w:r w:rsidR="00E04BA5" w:rsidRPr="002B283E">
        <w:t>Age Discrimination—Definition of Common Terms</w:t>
      </w:r>
      <w:bookmarkEnd w:id="281"/>
    </w:p>
    <w:p w14:paraId="20B2D2A5" w14:textId="77777777" w:rsidR="006A4CD7" w:rsidRPr="002B283E" w:rsidRDefault="006A4CD7" w:rsidP="002B283E">
      <w:pPr>
        <w:rPr>
          <w:rFonts w:cs="Times New Roman"/>
          <w:szCs w:val="24"/>
        </w:rPr>
      </w:pPr>
    </w:p>
    <w:p w14:paraId="0747BE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684920" w14:textId="77777777" w:rsidR="006A4CD7" w:rsidRPr="002B283E" w:rsidRDefault="006A4CD7" w:rsidP="002B283E">
      <w:pPr>
        <w:rPr>
          <w:rFonts w:cs="Times New Roman"/>
          <w:szCs w:val="24"/>
        </w:rPr>
      </w:pPr>
    </w:p>
    <w:p w14:paraId="49CA4464" w14:textId="459FAC1F" w:rsidR="009F103E" w:rsidRPr="002B283E" w:rsidRDefault="009F103E" w:rsidP="002B283E">
      <w:pPr>
        <w:rPr>
          <w:rFonts w:cs="Times New Roman"/>
          <w:szCs w:val="24"/>
        </w:rPr>
      </w:pPr>
      <w:r w:rsidRPr="002B283E">
        <w:rPr>
          <w:rFonts w:cs="Times New Roman"/>
          <w:szCs w:val="24"/>
        </w:rPr>
        <w:tab/>
        <w:t>The ADEA defines several common terms in the same manner as Title VII. As applicable, the following Title VII instructions should be given: Instructions 10.1</w:t>
      </w:r>
      <w:r w:rsidR="00C75813">
        <w:rPr>
          <w:rFonts w:cs="Times New Roman"/>
          <w:szCs w:val="24"/>
        </w:rPr>
        <w:t>2</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“Adverse Employment Action” in Retaliation Cases), 10.1</w:t>
      </w:r>
      <w:r w:rsidR="00C75813">
        <w:rPr>
          <w:rFonts w:cs="Times New Roman"/>
          <w:szCs w:val="24"/>
        </w:rPr>
        <w:t>3</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“Adverse Employment Action” in Disparate Treatment Cases), 10.1</w:t>
      </w:r>
      <w:r w:rsidR="00C75813">
        <w:rPr>
          <w:rFonts w:cs="Times New Roman"/>
          <w:szCs w:val="24"/>
        </w:rPr>
        <w:t>4</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“Tangible Employment Action” Defined), and 10.1</w:t>
      </w:r>
      <w:r w:rsidR="00C75813">
        <w:rPr>
          <w:rFonts w:cs="Times New Roman"/>
          <w:szCs w:val="24"/>
        </w:rPr>
        <w:t>5</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 xml:space="preserve">“Constructive Discharge” Defined). </w:t>
      </w:r>
    </w:p>
    <w:p w14:paraId="6FAE7C27" w14:textId="77777777" w:rsidR="009F103E" w:rsidRPr="002B283E" w:rsidRDefault="009F103E" w:rsidP="002B283E">
      <w:pPr>
        <w:rPr>
          <w:rFonts w:cs="Times New Roman"/>
          <w:szCs w:val="24"/>
        </w:rPr>
      </w:pPr>
    </w:p>
    <w:p w14:paraId="13DDDD7B" w14:textId="77777777" w:rsidR="009F103E" w:rsidRPr="002B283E" w:rsidRDefault="009F103E" w:rsidP="002B283E">
      <w:pPr>
        <w:rPr>
          <w:rFonts w:cs="Times New Roman"/>
          <w:szCs w:val="24"/>
        </w:rPr>
      </w:pPr>
    </w:p>
    <w:p w14:paraId="41866E28" w14:textId="3688BE28" w:rsidR="006A4CD7" w:rsidRPr="002B283E" w:rsidRDefault="006A4CD7" w:rsidP="002B283E">
      <w:pPr>
        <w:pStyle w:val="Heading2"/>
      </w:pPr>
      <w:r w:rsidRPr="002B283E">
        <w:br w:type="page"/>
      </w:r>
      <w:bookmarkStart w:id="282" w:name="_Toc221525237"/>
      <w:r w:rsidRPr="002B283E">
        <w:lastRenderedPageBreak/>
        <w:t xml:space="preserve">11.6 </w:t>
      </w:r>
      <w:r w:rsidR="00223463" w:rsidRPr="002B283E">
        <w:t>Age Discrimination—Defenses</w:t>
      </w:r>
      <w:bookmarkEnd w:id="282"/>
    </w:p>
    <w:p w14:paraId="5D3CD064" w14:textId="77777777" w:rsidR="006A4CD7" w:rsidRPr="002B283E" w:rsidRDefault="006A4CD7" w:rsidP="002B283E">
      <w:pPr>
        <w:rPr>
          <w:rFonts w:cs="Times New Roman"/>
          <w:szCs w:val="24"/>
        </w:rPr>
      </w:pPr>
    </w:p>
    <w:p w14:paraId="011380B2" w14:textId="77777777" w:rsidR="006A4CD7" w:rsidRPr="002B283E" w:rsidRDefault="006A4CD7" w:rsidP="002B283E">
      <w:pPr>
        <w:jc w:val="center"/>
        <w:rPr>
          <w:rFonts w:cs="Times New Roman"/>
          <w:b/>
          <w:bCs/>
          <w:szCs w:val="24"/>
        </w:rPr>
      </w:pPr>
      <w:r w:rsidRPr="002B283E">
        <w:rPr>
          <w:rFonts w:cs="Times New Roman"/>
          <w:b/>
          <w:bCs/>
          <w:szCs w:val="24"/>
        </w:rPr>
        <w:t>Comment</w:t>
      </w:r>
    </w:p>
    <w:p w14:paraId="643CE382" w14:textId="77777777" w:rsidR="006A4CD7" w:rsidRPr="002B283E" w:rsidRDefault="006A4CD7" w:rsidP="002B283E">
      <w:pPr>
        <w:rPr>
          <w:rFonts w:cs="Times New Roman"/>
          <w:szCs w:val="24"/>
        </w:rPr>
      </w:pPr>
    </w:p>
    <w:p w14:paraId="0EF0F0EF" w14:textId="3CADB09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following instructions address affirmative defenses and limitations on remedies. The appropriate affirmative defenses will depend on the plaintiff’s theory of liability.</w:t>
      </w:r>
    </w:p>
    <w:p w14:paraId="4C57C5AF" w14:textId="77777777" w:rsidR="006A4CD7" w:rsidRPr="002B283E" w:rsidRDefault="006A4CD7" w:rsidP="002B283E">
      <w:pPr>
        <w:rPr>
          <w:rFonts w:cs="Times New Roman"/>
          <w:szCs w:val="24"/>
        </w:rPr>
      </w:pPr>
    </w:p>
    <w:p w14:paraId="5E47A1A4" w14:textId="0AA16DD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bona fide occupational qualification (BFOQ) defense allows, under certain circumstances, an employer to facially discriminate on the basis of age when the discrimination is reasonably necessary to its business. 29 U.S.C. § 623(f)(1). </w:t>
      </w:r>
      <w:r w:rsidR="006A4CD7" w:rsidRPr="002B283E">
        <w:rPr>
          <w:rFonts w:cs="Times New Roman"/>
          <w:i/>
          <w:iCs/>
          <w:szCs w:val="24"/>
        </w:rPr>
        <w:t>See</w:t>
      </w:r>
      <w:r w:rsidR="006A4CD7" w:rsidRPr="002B283E">
        <w:rPr>
          <w:rFonts w:cs="Times New Roman"/>
          <w:szCs w:val="24"/>
        </w:rPr>
        <w:t xml:space="preserve"> Instruction 11.7 (Age Discrimination—Defenses—Bona Fide Occupational Qualification).</w:t>
      </w:r>
    </w:p>
    <w:p w14:paraId="7D10ECF6" w14:textId="77777777" w:rsidR="006A4CD7" w:rsidRPr="002B283E" w:rsidRDefault="006A4CD7" w:rsidP="002B283E">
      <w:pPr>
        <w:rPr>
          <w:rFonts w:cs="Times New Roman"/>
          <w:szCs w:val="24"/>
        </w:rPr>
      </w:pPr>
    </w:p>
    <w:p w14:paraId="0D5F9826" w14:textId="5BDFEAB9"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seniority system defense provides that an employer is not liable under the ADEA when its decisions are based on a legitimate seniority system that does not require involuntary retirement</w:t>
      </w:r>
      <w:r w:rsidR="00A87F6E">
        <w:rPr>
          <w:rFonts w:cs="Times New Roman"/>
          <w:szCs w:val="24"/>
        </w:rPr>
        <w:t xml:space="preserve">. </w:t>
      </w:r>
      <w:r w:rsidR="006A4CD7" w:rsidRPr="002B283E">
        <w:rPr>
          <w:rFonts w:cs="Times New Roman"/>
          <w:szCs w:val="24"/>
        </w:rPr>
        <w:t xml:space="preserve">29 U.S.C. § 623(f)(2)(A). </w:t>
      </w:r>
      <w:r w:rsidR="006A4CD7" w:rsidRPr="002B283E">
        <w:rPr>
          <w:rFonts w:cs="Times New Roman"/>
          <w:i/>
          <w:iCs/>
          <w:szCs w:val="24"/>
        </w:rPr>
        <w:t xml:space="preserve">See </w:t>
      </w:r>
      <w:r w:rsidR="006A4CD7" w:rsidRPr="002B283E">
        <w:rPr>
          <w:rFonts w:cs="Times New Roman"/>
          <w:szCs w:val="24"/>
        </w:rPr>
        <w:t>Instruction 11.8 (Age Discrimination—Defenses—Bona Fide Seniority System).</w:t>
      </w:r>
    </w:p>
    <w:p w14:paraId="275CAA2C" w14:textId="77777777" w:rsidR="006A4CD7" w:rsidRPr="002B283E" w:rsidRDefault="006A4CD7" w:rsidP="002B283E">
      <w:pPr>
        <w:rPr>
          <w:rFonts w:cs="Times New Roman"/>
          <w:szCs w:val="24"/>
        </w:rPr>
      </w:pPr>
    </w:p>
    <w:p w14:paraId="28F90E96" w14:textId="27D30BD6"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r w:rsidR="006A4CD7" w:rsidRPr="002B283E">
        <w:rPr>
          <w:rFonts w:cs="Times New Roman"/>
          <w:i/>
          <w:iCs/>
          <w:szCs w:val="24"/>
        </w:rPr>
        <w:t>McKennon v. Nashville Banner Pub. Co.</w:t>
      </w:r>
      <w:r w:rsidR="006A4CD7" w:rsidRPr="002B283E">
        <w:rPr>
          <w:rFonts w:cs="Times New Roman"/>
          <w:szCs w:val="24"/>
        </w:rPr>
        <w:t xml:space="preserve">, 513 U.S. 352, 362-63 (1995); </w:t>
      </w:r>
      <w:r w:rsidR="006A4CD7" w:rsidRPr="002B283E">
        <w:rPr>
          <w:rFonts w:cs="Times New Roman"/>
          <w:i/>
          <w:iCs/>
          <w:szCs w:val="24"/>
        </w:rPr>
        <w:t>see also O’Day v. McDonnell Douglas Helicopter Co.</w:t>
      </w:r>
      <w:r w:rsidR="006A4CD7" w:rsidRPr="002B283E">
        <w:rPr>
          <w:rFonts w:cs="Times New Roman"/>
          <w:szCs w:val="24"/>
        </w:rPr>
        <w:t>, 79 F.3d 756, 759 (9th Cir. 1996)</w:t>
      </w:r>
      <w:r w:rsidR="006426F5">
        <w:rPr>
          <w:rFonts w:cs="Times New Roman"/>
          <w:szCs w:val="24"/>
        </w:rPr>
        <w:t xml:space="preserve">; </w:t>
      </w:r>
      <w:r w:rsidR="006A4CD7" w:rsidRPr="002B283E">
        <w:rPr>
          <w:rFonts w:cs="Times New Roman"/>
          <w:szCs w:val="24"/>
        </w:rPr>
        <w:t>11.9 (Age Discrimination—Defenses—After-Acquired Evidence).</w:t>
      </w:r>
    </w:p>
    <w:p w14:paraId="75B15799" w14:textId="77777777" w:rsidR="006A4CD7" w:rsidRPr="002B283E" w:rsidRDefault="006A4CD7" w:rsidP="002B283E">
      <w:pPr>
        <w:rPr>
          <w:rFonts w:cs="Times New Roman"/>
          <w:szCs w:val="24"/>
        </w:rPr>
      </w:pPr>
    </w:p>
    <w:p w14:paraId="2F7A70E2" w14:textId="09B581F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employee benefit plan defense allows an employer to approximately equalize the costs of providing nonwage benefits to employees of differing ages</w:t>
      </w:r>
      <w:r w:rsidR="00A87F6E">
        <w:rPr>
          <w:rFonts w:cs="Times New Roman"/>
          <w:szCs w:val="24"/>
        </w:rPr>
        <w:t xml:space="preserve">. </w:t>
      </w:r>
      <w:r w:rsidR="006A4CD7" w:rsidRPr="002B283E">
        <w:rPr>
          <w:rFonts w:cs="Times New Roman"/>
          <w:szCs w:val="24"/>
        </w:rPr>
        <w:t xml:space="preserve">29 U.S.C. § 623(f)(2)(B). </w:t>
      </w:r>
      <w:r w:rsidR="006A4CD7" w:rsidRPr="002B283E">
        <w:rPr>
          <w:rFonts w:cs="Times New Roman"/>
          <w:i/>
          <w:iCs/>
          <w:szCs w:val="24"/>
        </w:rPr>
        <w:t xml:space="preserve">See </w:t>
      </w:r>
      <w:r w:rsidR="006A4CD7" w:rsidRPr="002B283E">
        <w:rPr>
          <w:rFonts w:cs="Times New Roman"/>
          <w:szCs w:val="24"/>
        </w:rPr>
        <w:t>Instruction 11.10 (Age Discrimination—Defenses—Bona Fide Employee Benefit Plan).</w:t>
      </w:r>
    </w:p>
    <w:p w14:paraId="074961F3" w14:textId="77777777" w:rsidR="006A4CD7" w:rsidRPr="002B283E" w:rsidRDefault="006A4CD7" w:rsidP="002B283E">
      <w:pPr>
        <w:rPr>
          <w:rFonts w:cs="Times New Roman"/>
          <w:szCs w:val="24"/>
        </w:rPr>
      </w:pPr>
    </w:p>
    <w:p w14:paraId="253F6492" w14:textId="20DF0003"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reasonable factor other than age (RFOA) defense excuses liability under the ADEA when a decision is based on any reasonable and legitimate business consideration other than the age of the employee. 29 U.S.C. § 623(f)(1). </w:t>
      </w:r>
      <w:r w:rsidR="006A4CD7" w:rsidRPr="002B283E">
        <w:rPr>
          <w:rFonts w:cs="Times New Roman"/>
          <w:i/>
          <w:iCs/>
          <w:szCs w:val="24"/>
        </w:rPr>
        <w:t>See</w:t>
      </w:r>
      <w:r w:rsidR="006A4CD7" w:rsidRPr="002B283E">
        <w:rPr>
          <w:rFonts w:cs="Times New Roman"/>
          <w:szCs w:val="24"/>
        </w:rPr>
        <w:t xml:space="preserve"> Instruction 11.11 (Age Discrimination—Defenses—Reasonable Factor Other Than Age).</w:t>
      </w:r>
    </w:p>
    <w:p w14:paraId="0C01FED9" w14:textId="77777777" w:rsidR="009F103E" w:rsidRPr="002B283E" w:rsidRDefault="009F103E" w:rsidP="002B283E">
      <w:pPr>
        <w:rPr>
          <w:rFonts w:cs="Times New Roman"/>
          <w:szCs w:val="24"/>
        </w:rPr>
      </w:pPr>
    </w:p>
    <w:p w14:paraId="1870D3EF" w14:textId="0FF511EE" w:rsidR="006A4CD7" w:rsidRPr="002B283E" w:rsidRDefault="006A4CD7" w:rsidP="002B283E">
      <w:pPr>
        <w:pStyle w:val="Heading2"/>
      </w:pPr>
      <w:r w:rsidRPr="002B283E">
        <w:br w:type="page"/>
      </w:r>
      <w:bookmarkStart w:id="283" w:name="_Toc221525238"/>
      <w:r w:rsidRPr="002B283E">
        <w:lastRenderedPageBreak/>
        <w:t xml:space="preserve">11.7 </w:t>
      </w:r>
      <w:r w:rsidR="00223463" w:rsidRPr="002B283E">
        <w:t>Age Discrimination—Defenses—Bona Fide Occupational Qualification</w:t>
      </w:r>
      <w:bookmarkEnd w:id="283"/>
    </w:p>
    <w:p w14:paraId="539D5F52" w14:textId="77777777" w:rsidR="00223463" w:rsidRPr="002B283E" w:rsidRDefault="00223463" w:rsidP="002B283E">
      <w:pPr>
        <w:rPr>
          <w:rFonts w:cs="Times New Roman"/>
          <w:szCs w:val="24"/>
        </w:rPr>
      </w:pPr>
    </w:p>
    <w:p w14:paraId="3B7F429A" w14:textId="77777777" w:rsidR="006A4CD7" w:rsidRPr="002B283E" w:rsidRDefault="006A4CD7" w:rsidP="002B283E">
      <w:pPr>
        <w:jc w:val="center"/>
        <w:rPr>
          <w:rFonts w:cs="Times New Roman"/>
          <w:szCs w:val="24"/>
        </w:rPr>
      </w:pPr>
      <w:r w:rsidRPr="002B283E">
        <w:rPr>
          <w:rFonts w:cs="Times New Roman"/>
          <w:b/>
          <w:bCs/>
          <w:szCs w:val="24"/>
        </w:rPr>
        <w:t>Comment</w:t>
      </w:r>
    </w:p>
    <w:p w14:paraId="1C2AF26D" w14:textId="77777777" w:rsidR="006A4CD7" w:rsidRPr="002B283E" w:rsidRDefault="006A4CD7" w:rsidP="002B283E">
      <w:pPr>
        <w:rPr>
          <w:rFonts w:cs="Times New Roman"/>
          <w:szCs w:val="24"/>
        </w:rPr>
      </w:pPr>
    </w:p>
    <w:p w14:paraId="36A30954" w14:textId="765775A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Under 29 U.S.C. § 623(f)(1)</w:t>
      </w:r>
      <w:r w:rsidR="00C854C9">
        <w:rPr>
          <w:rFonts w:cs="Times New Roman"/>
          <w:szCs w:val="24"/>
        </w:rPr>
        <w:t>,</w:t>
      </w:r>
      <w:r w:rsidR="006A4CD7" w:rsidRPr="002B283E">
        <w:rPr>
          <w:rFonts w:cs="Times New Roman"/>
          <w:szCs w:val="24"/>
        </w:rPr>
        <w:t xml:space="preserve"> an employer may take action that would otherwise be prohibited where “age is a bona fide occupational qualification [(‘BFOQ’)] reasonably necessary to the normal operation of the particular business.” The BFOQ defense is also available in Title VII cases, and the same standard applies. </w:t>
      </w:r>
      <w:r w:rsidR="006A4CD7" w:rsidRPr="002B283E">
        <w:rPr>
          <w:rFonts w:cs="Times New Roman"/>
          <w:i/>
          <w:iCs/>
          <w:szCs w:val="24"/>
        </w:rPr>
        <w:t>See W. Air Lines, Inc. v. Criswell</w:t>
      </w:r>
      <w:r w:rsidR="006A4CD7" w:rsidRPr="002B283E">
        <w:rPr>
          <w:rFonts w:cs="Times New Roman"/>
          <w:szCs w:val="24"/>
        </w:rPr>
        <w:t xml:space="preserve">, 472 U.S. 400, 414-17 (1985) (interpreting </w:t>
      </w:r>
      <w:r w:rsidR="00C854C9">
        <w:rPr>
          <w:rFonts w:cs="Times New Roman"/>
          <w:szCs w:val="24"/>
        </w:rPr>
        <w:t xml:space="preserve">the </w:t>
      </w:r>
      <w:r w:rsidR="006A4CD7" w:rsidRPr="002B283E">
        <w:rPr>
          <w:rFonts w:cs="Times New Roman"/>
          <w:szCs w:val="24"/>
        </w:rPr>
        <w:t xml:space="preserve">ADEA’s BFOQ exception in light of Title VII’s BFOQ exception); </w:t>
      </w:r>
      <w:r w:rsidR="006A4CD7" w:rsidRPr="002B283E">
        <w:rPr>
          <w:rFonts w:cs="Times New Roman"/>
          <w:i/>
          <w:iCs/>
          <w:szCs w:val="24"/>
        </w:rPr>
        <w:t>see also</w:t>
      </w:r>
      <w:r w:rsidR="006A4CD7" w:rsidRPr="002B283E">
        <w:rPr>
          <w:rFonts w:cs="Times New Roman"/>
          <w:szCs w:val="24"/>
        </w:rPr>
        <w:t xml:space="preserve"> </w:t>
      </w:r>
      <w:r w:rsidR="006A4CD7" w:rsidRPr="002B283E">
        <w:rPr>
          <w:rFonts w:cs="Times New Roman"/>
          <w:i/>
          <w:iCs/>
          <w:szCs w:val="24"/>
        </w:rPr>
        <w:t>Smith v. City of Jackson</w:t>
      </w:r>
      <w:r w:rsidR="006A4CD7" w:rsidRPr="002B283E">
        <w:rPr>
          <w:rFonts w:cs="Times New Roman"/>
          <w:szCs w:val="24"/>
        </w:rPr>
        <w:t xml:space="preserve">, 544 U.S. 228, 234 (2005) (noting that certain “language in the ADEA . . . was derived </w:t>
      </w:r>
      <w:r w:rsidR="006A4CD7" w:rsidRPr="002B283E">
        <w:rPr>
          <w:rFonts w:cs="Times New Roman"/>
          <w:i/>
          <w:iCs/>
          <w:szCs w:val="24"/>
        </w:rPr>
        <w:t>in haec verba</w:t>
      </w:r>
      <w:r w:rsidR="006A4CD7" w:rsidRPr="002B283E">
        <w:rPr>
          <w:rFonts w:cs="Times New Roman"/>
          <w:szCs w:val="24"/>
        </w:rPr>
        <w:t xml:space="preserve"> from Title VII” (internal quotation omitted)). Thus, when a BFOQ defense is at issue, the court should give the parallel Title VII instruction (Instruction 10.1</w:t>
      </w:r>
      <w:r w:rsidR="00C75813">
        <w:rPr>
          <w:rFonts w:cs="Times New Roman"/>
          <w:szCs w:val="24"/>
        </w:rPr>
        <w:t>6 (</w:t>
      </w:r>
      <w:r w:rsidR="00C75813" w:rsidRPr="00C75813">
        <w:rPr>
          <w:rFonts w:cs="Times New Roman"/>
          <w:szCs w:val="24"/>
        </w:rPr>
        <w:t>Civil Rights—Title VII—Defense—Bona Fide Occupational Qualification</w:t>
      </w:r>
      <w:r w:rsidR="00C75813">
        <w:rPr>
          <w:rFonts w:cs="Times New Roman"/>
          <w:szCs w:val="24"/>
        </w:rPr>
        <w:t>)</w:t>
      </w:r>
      <w:r w:rsidR="006A4CD7" w:rsidRPr="002B283E">
        <w:rPr>
          <w:rFonts w:cs="Times New Roman"/>
          <w:szCs w:val="24"/>
        </w:rPr>
        <w:t xml:space="preserve">) with appropriate modification. </w:t>
      </w:r>
      <w:r w:rsidR="006A4CD7" w:rsidRPr="002B283E">
        <w:rPr>
          <w:rFonts w:cs="Times New Roman"/>
          <w:i/>
          <w:iCs/>
          <w:szCs w:val="24"/>
        </w:rPr>
        <w:t>See also</w:t>
      </w:r>
      <w:r w:rsidR="006A4CD7" w:rsidRPr="002B283E">
        <w:rPr>
          <w:rFonts w:cs="Times New Roman"/>
          <w:szCs w:val="24"/>
        </w:rPr>
        <w:t xml:space="preserve"> Comment to Instruction 10.1</w:t>
      </w:r>
      <w:r w:rsidR="00C75813">
        <w:rPr>
          <w:rFonts w:cs="Times New Roman"/>
          <w:szCs w:val="24"/>
        </w:rPr>
        <w:t>6</w:t>
      </w:r>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Bona Fide Occupational Qualification).</w:t>
      </w:r>
    </w:p>
    <w:p w14:paraId="27A9AB2B" w14:textId="77777777" w:rsidR="006A4CD7" w:rsidRPr="002B283E" w:rsidRDefault="006A4CD7" w:rsidP="002B283E">
      <w:pPr>
        <w:rPr>
          <w:rFonts w:cs="Times New Roman"/>
          <w:szCs w:val="24"/>
        </w:rPr>
      </w:pPr>
    </w:p>
    <w:p w14:paraId="33184752" w14:textId="77777777" w:rsidR="006A4CD7" w:rsidRPr="002B283E" w:rsidRDefault="006A4CD7" w:rsidP="002B283E">
      <w:pPr>
        <w:rPr>
          <w:rFonts w:cs="Times New Roman"/>
          <w:szCs w:val="24"/>
        </w:rPr>
      </w:pPr>
    </w:p>
    <w:p w14:paraId="4574DF31" w14:textId="3C2FFCD0" w:rsidR="006A4CD7" w:rsidRPr="002B283E" w:rsidRDefault="006A4CD7" w:rsidP="002B283E">
      <w:pPr>
        <w:pStyle w:val="Heading2"/>
      </w:pPr>
      <w:r w:rsidRPr="002B283E">
        <w:br w:type="page"/>
      </w:r>
      <w:bookmarkStart w:id="284" w:name="_Toc221525239"/>
      <w:r w:rsidRPr="002B283E">
        <w:lastRenderedPageBreak/>
        <w:t xml:space="preserve">11.8 </w:t>
      </w:r>
      <w:r w:rsidR="00223463" w:rsidRPr="002B283E">
        <w:t>Age Discrimination—Defenses—Bona Fide Seniority System</w:t>
      </w:r>
      <w:bookmarkEnd w:id="284"/>
    </w:p>
    <w:p w14:paraId="2FA342CD" w14:textId="77777777" w:rsidR="006A4CD7" w:rsidRPr="002B283E" w:rsidRDefault="006A4CD7" w:rsidP="002B283E">
      <w:pPr>
        <w:rPr>
          <w:rFonts w:cs="Times New Roman"/>
          <w:szCs w:val="24"/>
        </w:rPr>
      </w:pPr>
    </w:p>
    <w:p w14:paraId="254690CF" w14:textId="6A74BAA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contends that its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the burden of proving each of the following elements by a preponderance of the evidence:</w:t>
      </w:r>
    </w:p>
    <w:p w14:paraId="1F2E22FA" w14:textId="77777777" w:rsidR="006A4CD7" w:rsidRPr="002B283E" w:rsidRDefault="006A4CD7" w:rsidP="002B283E">
      <w:pPr>
        <w:rPr>
          <w:rFonts w:cs="Times New Roman"/>
          <w:szCs w:val="24"/>
        </w:rPr>
      </w:pPr>
    </w:p>
    <w:p w14:paraId="48009920" w14:textId="0BADC5B8" w:rsidR="006A4CD7" w:rsidRPr="000D448B" w:rsidRDefault="00E9433E" w:rsidP="008A04C2">
      <w:pPr>
        <w:ind w:firstLine="720"/>
        <w:rPr>
          <w:rFonts w:cs="Times New Roman"/>
          <w:szCs w:val="24"/>
        </w:rPr>
      </w:pPr>
      <w:r>
        <w:rPr>
          <w:rFonts w:cs="Times New Roman"/>
          <w:szCs w:val="24"/>
        </w:rPr>
        <w:t xml:space="preserve">First, </w:t>
      </w:r>
      <w:r w:rsidR="006A4CD7" w:rsidRPr="000D448B">
        <w:rPr>
          <w:rFonts w:cs="Times New Roman"/>
          <w:szCs w:val="24"/>
        </w:rPr>
        <w:t>the seniority system had legitimate goals and was not designed to discriminate on the basis of age;</w:t>
      </w:r>
    </w:p>
    <w:p w14:paraId="65A9C9A5" w14:textId="3DA9A585" w:rsidR="00E9433E" w:rsidRPr="002B283E" w:rsidRDefault="00E9433E" w:rsidP="002B283E">
      <w:pPr>
        <w:ind w:left="1440" w:hanging="720"/>
        <w:rPr>
          <w:rFonts w:cs="Times New Roman"/>
          <w:szCs w:val="24"/>
        </w:rPr>
      </w:pPr>
      <w:r>
        <w:rPr>
          <w:rFonts w:cs="Times New Roman"/>
          <w:szCs w:val="24"/>
        </w:rPr>
        <w:tab/>
      </w:r>
    </w:p>
    <w:p w14:paraId="31138627" w14:textId="51D533FC" w:rsidR="006A4CD7" w:rsidRPr="000D448B" w:rsidRDefault="00E9433E" w:rsidP="008A04C2">
      <w:pPr>
        <w:ind w:firstLine="720"/>
        <w:rPr>
          <w:rFonts w:cs="Times New Roman"/>
          <w:szCs w:val="24"/>
        </w:rPr>
      </w:pPr>
      <w:r>
        <w:rPr>
          <w:rFonts w:cs="Times New Roman"/>
          <w:szCs w:val="24"/>
        </w:rPr>
        <w:t xml:space="preserve">Second, </w:t>
      </w:r>
      <w:r w:rsidR="006A4CD7" w:rsidRPr="000D448B">
        <w:rPr>
          <w:rFonts w:cs="Times New Roman"/>
          <w:szCs w:val="24"/>
        </w:rPr>
        <w:t>the seniority system used the employee’s length of service as the primary consideration in selecting the employees who would [</w:t>
      </w:r>
      <w:r w:rsidR="006A4CD7" w:rsidRPr="006426F5">
        <w:rPr>
          <w:rFonts w:cs="Times New Roman"/>
          <w:i/>
          <w:iCs/>
          <w:szCs w:val="24"/>
          <w:u w:val="single"/>
        </w:rPr>
        <w:t>describe the alleged discriminatory action</w:t>
      </w:r>
      <w:r w:rsidR="006A4CD7" w:rsidRPr="000D448B">
        <w:rPr>
          <w:rFonts w:cs="Times New Roman"/>
          <w:szCs w:val="24"/>
        </w:rPr>
        <w:t>][.] [; and]</w:t>
      </w:r>
    </w:p>
    <w:p w14:paraId="550E4974" w14:textId="77777777" w:rsidR="006A4CD7" w:rsidRPr="002B283E" w:rsidRDefault="006A4CD7" w:rsidP="002B283E">
      <w:pPr>
        <w:ind w:left="720"/>
        <w:rPr>
          <w:rFonts w:cs="Times New Roman"/>
          <w:szCs w:val="24"/>
        </w:rPr>
      </w:pPr>
    </w:p>
    <w:p w14:paraId="2024C554" w14:textId="33462B89" w:rsidR="006A4CD7" w:rsidRPr="000D448B" w:rsidRDefault="00E9433E" w:rsidP="008A04C2">
      <w:pPr>
        <w:ind w:firstLine="720"/>
        <w:rPr>
          <w:rFonts w:cs="Times New Roman"/>
          <w:szCs w:val="24"/>
        </w:rPr>
      </w:pPr>
      <w:r>
        <w:rPr>
          <w:rFonts w:cs="Times New Roman"/>
          <w:szCs w:val="24"/>
        </w:rPr>
        <w:t xml:space="preserve">[Third, </w:t>
      </w:r>
      <w:r w:rsidR="006A4CD7" w:rsidRPr="000D448B">
        <w:rPr>
          <w:rFonts w:cs="Times New Roman"/>
          <w:szCs w:val="24"/>
        </w:rPr>
        <w:t xml:space="preserve">the seniority system did not place the plaintiff in a position in which a reasonable person in that position would believe that [he] [she] </w:t>
      </w:r>
      <w:r w:rsidR="007A0652" w:rsidRPr="000D448B">
        <w:rPr>
          <w:rFonts w:cs="Times New Roman"/>
          <w:szCs w:val="24"/>
        </w:rPr>
        <w:t>[</w:t>
      </w:r>
      <w:r w:rsidR="007A0652" w:rsidRPr="000D448B">
        <w:rPr>
          <w:rFonts w:cs="Times New Roman"/>
          <w:i/>
          <w:iCs/>
          <w:szCs w:val="24"/>
          <w:u w:val="single"/>
        </w:rPr>
        <w:t>other pronoun</w:t>
      </w:r>
      <w:r w:rsidR="007A0652" w:rsidRPr="000D448B">
        <w:rPr>
          <w:rFonts w:cs="Times New Roman"/>
          <w:szCs w:val="24"/>
        </w:rPr>
        <w:t xml:space="preserve">] </w:t>
      </w:r>
      <w:r w:rsidR="006A4CD7" w:rsidRPr="000D448B">
        <w:rPr>
          <w:rFonts w:cs="Times New Roman"/>
          <w:szCs w:val="24"/>
        </w:rPr>
        <w:t xml:space="preserve">had no choice but to retire.] </w:t>
      </w:r>
    </w:p>
    <w:p w14:paraId="3DB2E75B" w14:textId="77777777" w:rsidR="006A4CD7" w:rsidRPr="002B283E" w:rsidRDefault="006A4CD7" w:rsidP="002B283E">
      <w:pPr>
        <w:rPr>
          <w:rFonts w:cs="Times New Roman"/>
          <w:szCs w:val="24"/>
        </w:rPr>
      </w:pPr>
    </w:p>
    <w:p w14:paraId="13625E9C" w14:textId="25F22C41"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[his] [her]</w:t>
      </w:r>
      <w:r w:rsidR="0047473E" w:rsidRPr="0047473E">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6A4CD7" w:rsidRPr="002B283E">
        <w:rPr>
          <w:rFonts w:cs="Times New Roman"/>
          <w:szCs w:val="24"/>
        </w:rPr>
        <w:t xml:space="preserve"> claim[s] in accordance with Instruction[s] [</w:t>
      </w:r>
      <w:r w:rsidR="006A4CD7" w:rsidRPr="002B283E">
        <w:rPr>
          <w:rFonts w:cs="Times New Roman"/>
          <w:i/>
          <w:iCs/>
          <w:szCs w:val="24"/>
          <w:u w:val="single"/>
        </w:rPr>
        <w:t>insert cross reference to the pertinent instruction[s] on the plaintiff’s theory of liability</w:t>
      </w:r>
      <w:r w:rsidR="006A4CD7" w:rsidRPr="002B283E">
        <w:rPr>
          <w:rFonts w:cs="Times New Roman"/>
          <w:szCs w:val="24"/>
        </w:rPr>
        <w:t>],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w:t>
      </w:r>
      <w:r w:rsidR="006A4CD7" w:rsidRPr="002B283E">
        <w:rPr>
          <w:rFonts w:cs="Times New Roman"/>
          <w:szCs w:val="24"/>
        </w:rPr>
        <w:br/>
      </w:r>
    </w:p>
    <w:p w14:paraId="3FD44443" w14:textId="77777777" w:rsidR="006A4CD7" w:rsidRPr="002B283E" w:rsidRDefault="006A4CD7" w:rsidP="002B283E">
      <w:pPr>
        <w:jc w:val="center"/>
        <w:rPr>
          <w:rFonts w:cs="Times New Roman"/>
          <w:b/>
          <w:bCs/>
          <w:szCs w:val="24"/>
        </w:rPr>
      </w:pPr>
      <w:r w:rsidRPr="002B283E">
        <w:rPr>
          <w:rFonts w:cs="Times New Roman"/>
          <w:b/>
          <w:bCs/>
          <w:szCs w:val="24"/>
        </w:rPr>
        <w:t>Comment</w:t>
      </w:r>
    </w:p>
    <w:p w14:paraId="4D4BA404" w14:textId="77777777" w:rsidR="006A4CD7" w:rsidRPr="002B283E" w:rsidRDefault="006A4CD7" w:rsidP="002B283E">
      <w:pPr>
        <w:rPr>
          <w:rFonts w:cs="Times New Roman"/>
          <w:szCs w:val="24"/>
        </w:rPr>
      </w:pPr>
    </w:p>
    <w:p w14:paraId="69E019F2" w14:textId="7777777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bracketed third element should be given only when involuntary retirement is at issue.</w:t>
      </w:r>
    </w:p>
    <w:p w14:paraId="555059B7" w14:textId="77777777" w:rsidR="006A4CD7" w:rsidRPr="002B283E" w:rsidRDefault="006A4CD7" w:rsidP="002B283E">
      <w:pPr>
        <w:rPr>
          <w:rFonts w:cs="Times New Roman"/>
          <w:szCs w:val="24"/>
        </w:rPr>
      </w:pPr>
    </w:p>
    <w:p w14:paraId="068EA48A" w14:textId="0FA0D0E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ADEA provides an affirmative defense for age discrimination undertaken as part of a bona fide seniority system. 29 U.S.C. § 623(f)(2)(A). </w:t>
      </w:r>
      <w:r w:rsidR="006A4CD7" w:rsidRPr="002B283E">
        <w:rPr>
          <w:rFonts w:cs="Times New Roman"/>
          <w:i/>
          <w:iCs/>
          <w:szCs w:val="24"/>
        </w:rPr>
        <w:t>See generally</w:t>
      </w:r>
      <w:r w:rsidR="006A4CD7" w:rsidRPr="002B283E">
        <w:rPr>
          <w:rFonts w:cs="Times New Roman"/>
          <w:szCs w:val="24"/>
        </w:rPr>
        <w:t xml:space="preserve"> </w:t>
      </w:r>
      <w:r w:rsidR="006A4CD7" w:rsidRPr="002B283E">
        <w:rPr>
          <w:rFonts w:cs="Times New Roman"/>
          <w:i/>
          <w:iCs/>
          <w:szCs w:val="24"/>
        </w:rPr>
        <w:t>Hazen Paper Co. v. Biggins</w:t>
      </w:r>
      <w:r w:rsidR="006A4CD7" w:rsidRPr="002B283E">
        <w:rPr>
          <w:rFonts w:cs="Times New Roman"/>
          <w:szCs w:val="24"/>
        </w:rPr>
        <w:t xml:space="preserve">, 507 U.S. 604, 611 (1993) (“[I]t is incorrect to say that a decision based on years of service is necessarily age-based[.]”). </w:t>
      </w:r>
    </w:p>
    <w:p w14:paraId="294AFA8E" w14:textId="77777777" w:rsidR="006A4CD7" w:rsidRPr="002B283E" w:rsidRDefault="006A4CD7" w:rsidP="002B283E">
      <w:pPr>
        <w:rPr>
          <w:rFonts w:cs="Times New Roman"/>
          <w:szCs w:val="24"/>
        </w:rPr>
      </w:pPr>
    </w:p>
    <w:p w14:paraId="3C7AEACF" w14:textId="42DBF7E8"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Because Title VII provides a similar bona fide seniority system defense, the first two elements are based on the parallel Title VII instruction. </w:t>
      </w:r>
      <w:r w:rsidR="006A4CD7" w:rsidRPr="002B283E">
        <w:rPr>
          <w:rFonts w:cs="Times New Roman"/>
          <w:i/>
          <w:iCs/>
          <w:szCs w:val="24"/>
        </w:rPr>
        <w:t xml:space="preserve">See Hiatt v. Union Pac. R.R. Co., </w:t>
      </w:r>
      <w:r w:rsidR="006A4CD7" w:rsidRPr="002B283E">
        <w:rPr>
          <w:rFonts w:cs="Times New Roman"/>
          <w:szCs w:val="24"/>
        </w:rPr>
        <w:t>65 F.3d 838, 842 (10th Cir. 1995) (analogizing § 623(f)(2)(A) to similar language in Title VII).</w:t>
      </w:r>
      <w:r w:rsidR="006A4CD7" w:rsidRPr="002B283E">
        <w:rPr>
          <w:rFonts w:cs="Times New Roman"/>
          <w:i/>
          <w:iCs/>
          <w:szCs w:val="24"/>
        </w:rPr>
        <w:t xml:space="preserve"> See also Pullman-Standard v. Swint</w:t>
      </w:r>
      <w:r w:rsidR="006A4CD7" w:rsidRPr="002B283E">
        <w:rPr>
          <w:rFonts w:cs="Times New Roman"/>
          <w:szCs w:val="24"/>
        </w:rPr>
        <w:t>, 456 U.S. 273, 289 (1982) (discussing Title VII seniority exception)</w:t>
      </w:r>
      <w:r w:rsidR="00A87F6E">
        <w:rPr>
          <w:rFonts w:cs="Times New Roman"/>
          <w:szCs w:val="24"/>
        </w:rPr>
        <w:t xml:space="preserve">. </w:t>
      </w:r>
      <w:r w:rsidR="006A4CD7" w:rsidRPr="002B283E">
        <w:rPr>
          <w:rFonts w:cs="Times New Roman"/>
          <w:i/>
          <w:iCs/>
          <w:szCs w:val="24"/>
        </w:rPr>
        <w:t xml:space="preserve">See also </w:t>
      </w:r>
      <w:r w:rsidR="006A4CD7" w:rsidRPr="002B283E">
        <w:rPr>
          <w:rFonts w:cs="Times New Roman"/>
          <w:szCs w:val="24"/>
        </w:rPr>
        <w:t>Instruction 10.1</w:t>
      </w:r>
      <w:r w:rsidR="00C75813">
        <w:rPr>
          <w:rFonts w:cs="Times New Roman"/>
          <w:szCs w:val="24"/>
        </w:rPr>
        <w:t xml:space="preserve">7 </w:t>
      </w:r>
      <w:r w:rsidR="006A4CD7" w:rsidRPr="002B283E">
        <w:rPr>
          <w:rFonts w:cs="Times New Roman"/>
          <w:szCs w:val="24"/>
        </w:rPr>
        <w:t>(Civil Rights—Title VII—Defense</w:t>
      </w:r>
      <w:r w:rsidR="006A4CD7" w:rsidRPr="002B283E">
        <w:rPr>
          <w:rFonts w:cs="Times New Roman"/>
          <w:b/>
          <w:bCs/>
          <w:szCs w:val="24"/>
        </w:rPr>
        <w:t>—</w:t>
      </w:r>
      <w:r w:rsidR="006A4CD7" w:rsidRPr="002B283E">
        <w:rPr>
          <w:rFonts w:cs="Times New Roman"/>
          <w:szCs w:val="24"/>
        </w:rPr>
        <w:t>Bona Fide Seniority System).</w:t>
      </w:r>
    </w:p>
    <w:p w14:paraId="528EDD24" w14:textId="77777777" w:rsidR="006A4CD7" w:rsidRPr="002B283E" w:rsidRDefault="006A4CD7" w:rsidP="002B283E">
      <w:pPr>
        <w:rPr>
          <w:rFonts w:cs="Times New Roman"/>
          <w:szCs w:val="24"/>
        </w:rPr>
      </w:pPr>
    </w:p>
    <w:p w14:paraId="4DC69507" w14:textId="66EF8F1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ADEA was substantially amended in 1978 to add a provision prohibiting the use of a seniority system to “require or permit . . . involuntary retirement[.]” 29 U.S.C. § 623(f)(2)(A)</w:t>
      </w:r>
      <w:r w:rsidR="00A87F6E">
        <w:rPr>
          <w:rFonts w:cs="Times New Roman"/>
          <w:szCs w:val="24"/>
        </w:rPr>
        <w:t xml:space="preserve">. </w:t>
      </w:r>
      <w:r w:rsidR="006A4CD7" w:rsidRPr="002B283E">
        <w:rPr>
          <w:rFonts w:cs="Times New Roman"/>
          <w:szCs w:val="24"/>
        </w:rPr>
        <w:t xml:space="preserve">The Committee is unable to find Ninth Circuit authority construing the post-1978 version of this provision, and the pre-1978 cases invariably concern involuntary retirement. </w:t>
      </w:r>
      <w:r w:rsidR="006A4CD7" w:rsidRPr="002B283E">
        <w:rPr>
          <w:rFonts w:cs="Times New Roman"/>
          <w:i/>
          <w:iCs/>
          <w:szCs w:val="24"/>
        </w:rPr>
        <w:t>See</w:t>
      </w:r>
      <w:r w:rsidR="006A4CD7" w:rsidRPr="00F518D1">
        <w:rPr>
          <w:rFonts w:cs="Times New Roman"/>
          <w:i/>
          <w:iCs/>
          <w:szCs w:val="24"/>
        </w:rPr>
        <w:t xml:space="preserve">, </w:t>
      </w:r>
      <w:r w:rsidR="006A4CD7" w:rsidRPr="002B283E">
        <w:rPr>
          <w:rFonts w:cs="Times New Roman"/>
          <w:i/>
          <w:iCs/>
          <w:szCs w:val="24"/>
        </w:rPr>
        <w:t>e.g.</w:t>
      </w:r>
      <w:r w:rsidR="006A4CD7" w:rsidRPr="008A04C2">
        <w:rPr>
          <w:rFonts w:cs="Times New Roman"/>
          <w:szCs w:val="24"/>
        </w:rPr>
        <w:t>,</w:t>
      </w:r>
      <w:r w:rsidR="006A4CD7" w:rsidRPr="002B283E">
        <w:rPr>
          <w:rFonts w:cs="Times New Roman"/>
          <w:i/>
          <w:iCs/>
          <w:szCs w:val="24"/>
        </w:rPr>
        <w:t xml:space="preserve"> United Air Lines, Inc. v. McMann</w:t>
      </w:r>
      <w:r w:rsidR="006A4CD7" w:rsidRPr="002B283E">
        <w:rPr>
          <w:rFonts w:cs="Times New Roman"/>
          <w:szCs w:val="24"/>
        </w:rPr>
        <w:t xml:space="preserve">, 434 U.S. 192, 195-203 (1977) (construing text and history of former version of statute); </w:t>
      </w:r>
      <w:r w:rsidR="006A4CD7" w:rsidRPr="002B283E">
        <w:rPr>
          <w:rFonts w:cs="Times New Roman"/>
          <w:i/>
          <w:iCs/>
          <w:szCs w:val="24"/>
        </w:rPr>
        <w:t>EEOC v. Santa Barbara County</w:t>
      </w:r>
      <w:r w:rsidR="006A4CD7" w:rsidRPr="002B283E">
        <w:rPr>
          <w:rFonts w:cs="Times New Roman"/>
          <w:szCs w:val="24"/>
        </w:rPr>
        <w:t>, 666 F.2d 373, 375 n.6 &amp; 377 (9th Cir. 1982).</w:t>
      </w:r>
    </w:p>
    <w:p w14:paraId="56501D69" w14:textId="77777777" w:rsidR="006A4CD7" w:rsidRPr="002B283E" w:rsidRDefault="006A4CD7" w:rsidP="002B283E">
      <w:pPr>
        <w:rPr>
          <w:rFonts w:cs="Times New Roman"/>
          <w:szCs w:val="24"/>
        </w:rPr>
      </w:pPr>
    </w:p>
    <w:p w14:paraId="6FF99146" w14:textId="77777777" w:rsidR="009412F2" w:rsidRPr="002B283E" w:rsidRDefault="009F103E" w:rsidP="002B283E">
      <w:pPr>
        <w:rPr>
          <w:rFonts w:cs="Times New Roman"/>
          <w:szCs w:val="24"/>
        </w:rPr>
      </w:pPr>
      <w:r w:rsidRPr="002B283E">
        <w:rPr>
          <w:rFonts w:cs="Times New Roman"/>
          <w:szCs w:val="24"/>
        </w:rPr>
        <w:lastRenderedPageBreak/>
        <w:tab/>
      </w:r>
      <w:r w:rsidR="006A4CD7" w:rsidRPr="002B283E">
        <w:rPr>
          <w:rFonts w:cs="Times New Roman"/>
          <w:szCs w:val="24"/>
        </w:rPr>
        <w:t xml:space="preserve">Because there is no authority construing the provision, and because the literal text of </w:t>
      </w:r>
    </w:p>
    <w:p w14:paraId="5A852640" w14:textId="70BB5558" w:rsidR="006A4CD7" w:rsidRPr="002B283E" w:rsidRDefault="006A4CD7" w:rsidP="002B283E">
      <w:pPr>
        <w:rPr>
          <w:rFonts w:cs="Times New Roman"/>
          <w:szCs w:val="24"/>
        </w:rPr>
      </w:pPr>
      <w:r w:rsidRPr="002B283E">
        <w:rPr>
          <w:rFonts w:cs="Times New Roman"/>
          <w:szCs w:val="24"/>
        </w:rPr>
        <w:t xml:space="preserve">“require or permit . . . involuntary retirement” is less than clear, the language of the third element is adopted from a Ninth Circuit case construing identical involuntary retirement language in 29 U.S.C. § 623(f)(2)(B), the ADEA’s employee benefit plan defense. </w:t>
      </w:r>
      <w:r w:rsidRPr="002B283E">
        <w:rPr>
          <w:rFonts w:cs="Times New Roman"/>
          <w:i/>
          <w:iCs/>
          <w:szCs w:val="24"/>
        </w:rPr>
        <w:t>See Kalvinskas v. Cal. Inst. of Tech.</w:t>
      </w:r>
      <w:r w:rsidRPr="002B283E">
        <w:rPr>
          <w:rFonts w:cs="Times New Roman"/>
          <w:szCs w:val="24"/>
        </w:rPr>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2B283E" w:rsidRDefault="009F103E" w:rsidP="002B283E">
      <w:pPr>
        <w:rPr>
          <w:rFonts w:cs="Times New Roman"/>
          <w:szCs w:val="24"/>
        </w:rPr>
      </w:pPr>
    </w:p>
    <w:p w14:paraId="02EC0C22" w14:textId="37B5662C" w:rsidR="006A4CD7" w:rsidRPr="002B283E" w:rsidRDefault="006A4CD7" w:rsidP="002B283E">
      <w:pPr>
        <w:pStyle w:val="Heading2"/>
      </w:pPr>
      <w:r w:rsidRPr="002B283E">
        <w:br w:type="page"/>
      </w:r>
      <w:bookmarkStart w:id="285" w:name="_Toc221525240"/>
      <w:r w:rsidRPr="002B283E">
        <w:lastRenderedPageBreak/>
        <w:t xml:space="preserve">11.9 </w:t>
      </w:r>
      <w:r w:rsidR="00223463" w:rsidRPr="002B283E">
        <w:t>Age Discrimination—Defenses—After-Acquired Evidence</w:t>
      </w:r>
      <w:bookmarkEnd w:id="285"/>
    </w:p>
    <w:p w14:paraId="349A1A31" w14:textId="77777777" w:rsidR="006A4CD7" w:rsidRPr="002B283E" w:rsidRDefault="006A4CD7" w:rsidP="002B283E">
      <w:pPr>
        <w:rPr>
          <w:rFonts w:cs="Times New Roman"/>
          <w:szCs w:val="24"/>
        </w:rPr>
      </w:pPr>
    </w:p>
    <w:p w14:paraId="16EB993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762253A" w14:textId="77777777" w:rsidR="006A4CD7" w:rsidRPr="002B283E" w:rsidRDefault="006A4CD7" w:rsidP="002B283E">
      <w:pPr>
        <w:rPr>
          <w:rFonts w:cs="Times New Roman"/>
          <w:szCs w:val="24"/>
        </w:rPr>
      </w:pPr>
    </w:p>
    <w:p w14:paraId="3B3B1623" w14:textId="35C84182"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The ADEA applies the after-acquired evidence doctrine in the same manner as Title VII. </w:t>
      </w:r>
      <w:r w:rsidR="006A4CD7" w:rsidRPr="002B283E">
        <w:rPr>
          <w:rFonts w:cs="Times New Roman"/>
          <w:i/>
          <w:iCs/>
          <w:szCs w:val="24"/>
        </w:rPr>
        <w:t>See McKennon v. Nashville Banner Pub. Co.</w:t>
      </w:r>
      <w:r w:rsidR="006A4CD7" w:rsidRPr="006426F5">
        <w:rPr>
          <w:rFonts w:cs="Times New Roman"/>
          <w:szCs w:val="24"/>
        </w:rPr>
        <w:t xml:space="preserve">, </w:t>
      </w:r>
      <w:r w:rsidR="006A4CD7" w:rsidRPr="002B283E">
        <w:rPr>
          <w:rFonts w:cs="Times New Roman"/>
          <w:szCs w:val="24"/>
        </w:rPr>
        <w:t>513 U.S. 352, 358</w:t>
      </w:r>
      <w:r w:rsidR="000326F0">
        <w:rPr>
          <w:rFonts w:cs="Times New Roman"/>
          <w:szCs w:val="24"/>
        </w:rPr>
        <w:t>-</w:t>
      </w:r>
      <w:r w:rsidR="006A4CD7" w:rsidRPr="002B283E">
        <w:rPr>
          <w:rFonts w:cs="Times New Roman"/>
          <w:szCs w:val="24"/>
        </w:rPr>
        <w:t xml:space="preserve">59 (1995); </w:t>
      </w:r>
      <w:r w:rsidR="006A4CD7" w:rsidRPr="002B283E">
        <w:rPr>
          <w:rFonts w:cs="Times New Roman"/>
          <w:i/>
          <w:iCs/>
          <w:szCs w:val="24"/>
        </w:rPr>
        <w:t>O’Day v. McDonnell Douglas Helicopters Co.</w:t>
      </w:r>
      <w:r w:rsidR="006A4CD7" w:rsidRPr="002B283E">
        <w:rPr>
          <w:rFonts w:cs="Times New Roman"/>
          <w:szCs w:val="24"/>
        </w:rPr>
        <w:t>, 79 F.3d 756, 759-60 (9th Cir. 1996). Thus, the parallel Title VII instruction, Instruction 10.1</w:t>
      </w:r>
      <w:r w:rsidR="009818E2">
        <w:rPr>
          <w:rFonts w:cs="Times New Roman"/>
          <w:szCs w:val="24"/>
        </w:rPr>
        <w:t>8</w:t>
      </w:r>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After-Acquired Evidence)</w:t>
      </w:r>
      <w:r w:rsidR="006426F5">
        <w:rPr>
          <w:rFonts w:cs="Times New Roman"/>
          <w:szCs w:val="24"/>
        </w:rPr>
        <w:t xml:space="preserve">, </w:t>
      </w:r>
      <w:r w:rsidR="006A4CD7" w:rsidRPr="002B283E">
        <w:rPr>
          <w:rFonts w:cs="Times New Roman"/>
          <w:szCs w:val="24"/>
        </w:rPr>
        <w:t>should be given with appropriate modifications.</w:t>
      </w:r>
    </w:p>
    <w:p w14:paraId="64CCFE0D" w14:textId="77777777" w:rsidR="006A4CD7" w:rsidRPr="002B283E" w:rsidRDefault="006A4CD7" w:rsidP="002B283E">
      <w:pPr>
        <w:rPr>
          <w:rFonts w:cs="Times New Roman"/>
          <w:szCs w:val="24"/>
        </w:rPr>
      </w:pPr>
    </w:p>
    <w:p w14:paraId="273B218D" w14:textId="3BCB6CC3"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r w:rsidR="006A4CD7" w:rsidRPr="002B283E">
        <w:rPr>
          <w:rFonts w:cs="Times New Roman"/>
          <w:i/>
          <w:iCs/>
          <w:szCs w:val="24"/>
        </w:rPr>
        <w:t>McKennon</w:t>
      </w:r>
      <w:r w:rsidR="006A4CD7" w:rsidRPr="002B283E">
        <w:rPr>
          <w:rFonts w:cs="Times New Roman"/>
          <w:szCs w:val="24"/>
        </w:rPr>
        <w:t xml:space="preserve">, 513 U.S. at 362 (ADEA case); </w:t>
      </w:r>
      <w:r w:rsidR="006A4CD7" w:rsidRPr="002B283E">
        <w:rPr>
          <w:rFonts w:cs="Times New Roman"/>
          <w:i/>
          <w:iCs/>
          <w:szCs w:val="24"/>
        </w:rPr>
        <w:t>see also Rivera v. Nibco, Inc.</w:t>
      </w:r>
      <w:r w:rsidR="006A4CD7" w:rsidRPr="002B283E">
        <w:rPr>
          <w:rFonts w:cs="Times New Roman"/>
          <w:szCs w:val="24"/>
        </w:rPr>
        <w:t xml:space="preserve">, 364 F.3d 1057, 1071 n.16 (9th Cir. 2004); </w:t>
      </w:r>
      <w:r w:rsidR="006A4CD7" w:rsidRPr="002B283E">
        <w:rPr>
          <w:rFonts w:cs="Times New Roman"/>
          <w:i/>
          <w:iCs/>
          <w:szCs w:val="24"/>
        </w:rPr>
        <w:t>O’Day</w:t>
      </w:r>
      <w:r w:rsidR="006A4CD7" w:rsidRPr="002B283E">
        <w:rPr>
          <w:rFonts w:cs="Times New Roman"/>
          <w:szCs w:val="24"/>
        </w:rPr>
        <w:t xml:space="preserve">, 79 F.3d at 761-62. The employer must prove by a preponderance of the evidence that it would have fired the employee because of the after-acquired evidence. </w:t>
      </w:r>
      <w:r w:rsidR="006A4CD7" w:rsidRPr="002B283E">
        <w:rPr>
          <w:rFonts w:cs="Times New Roman"/>
          <w:i/>
          <w:iCs/>
          <w:szCs w:val="24"/>
        </w:rPr>
        <w:t>Id.</w:t>
      </w:r>
      <w:r w:rsidR="006A4CD7" w:rsidRPr="002B283E">
        <w:rPr>
          <w:rFonts w:cs="Times New Roman"/>
          <w:szCs w:val="24"/>
        </w:rPr>
        <w:t xml:space="preserve"> at 761.</w:t>
      </w:r>
    </w:p>
    <w:p w14:paraId="2282D61F" w14:textId="77777777" w:rsidR="006A4CD7" w:rsidRPr="002B283E" w:rsidRDefault="006A4CD7" w:rsidP="002B283E">
      <w:pPr>
        <w:rPr>
          <w:rFonts w:cs="Times New Roman"/>
          <w:szCs w:val="24"/>
        </w:rPr>
      </w:pPr>
    </w:p>
    <w:p w14:paraId="105D2A12" w14:textId="4FC1B498"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In Title VII cases, the defense of after-acquired evidence is similar to,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10.1</w:t>
      </w:r>
      <w:r w:rsidR="009818E2">
        <w:rPr>
          <w:rFonts w:cs="Times New Roman"/>
          <w:szCs w:val="24"/>
        </w:rPr>
        <w:t>8</w:t>
      </w:r>
      <w:r w:rsidR="006A4CD7" w:rsidRPr="002B283E">
        <w:rPr>
          <w:rFonts w:cs="Times New Roman"/>
          <w:szCs w:val="24"/>
        </w:rPr>
        <w:t>.</w:t>
      </w:r>
    </w:p>
    <w:p w14:paraId="6123C0F7" w14:textId="0602647A" w:rsidR="006A4CD7" w:rsidRPr="002B283E" w:rsidRDefault="006A4CD7" w:rsidP="002B283E">
      <w:pPr>
        <w:pStyle w:val="Heading2"/>
      </w:pPr>
      <w:r w:rsidRPr="002B283E">
        <w:br w:type="page"/>
      </w:r>
      <w:bookmarkStart w:id="286" w:name="_Toc221525241"/>
      <w:r w:rsidRPr="002B283E">
        <w:lastRenderedPageBreak/>
        <w:t xml:space="preserve">11.10 </w:t>
      </w:r>
      <w:r w:rsidR="00223463" w:rsidRPr="002B283E">
        <w:t>Age Discrimination—Defenses—Bona Fide Employee Benefit Plan</w:t>
      </w:r>
      <w:bookmarkEnd w:id="286"/>
    </w:p>
    <w:p w14:paraId="33AEA80F" w14:textId="77777777" w:rsidR="006A4CD7" w:rsidRPr="002B283E" w:rsidRDefault="006A4CD7" w:rsidP="002B283E">
      <w:pPr>
        <w:rPr>
          <w:rFonts w:cs="Times New Roman"/>
          <w:szCs w:val="24"/>
        </w:rPr>
      </w:pPr>
    </w:p>
    <w:p w14:paraId="71018B57" w14:textId="13AE1717" w:rsidR="000E0311" w:rsidRPr="002B283E" w:rsidRDefault="009F714C" w:rsidP="002B283E">
      <w:pPr>
        <w:rPr>
          <w:rFonts w:cs="Times New Roman"/>
          <w:szCs w:val="24"/>
        </w:rPr>
      </w:pPr>
      <w:r w:rsidRPr="002B283E">
        <w:rPr>
          <w:rFonts w:cs="Times New Roman"/>
          <w:szCs w:val="24"/>
        </w:rPr>
        <w:tab/>
      </w:r>
      <w:r w:rsidR="000E0311"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 xml:space="preserve">contends that any age-related disparate treatment afforded to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resulted from the plaintiff’s participation in a bona fide employee benefit plan</w:t>
      </w:r>
      <w:r w:rsidR="00A87F6E">
        <w:rPr>
          <w:rFonts w:cs="Times New Roman"/>
          <w:szCs w:val="24"/>
        </w:rPr>
        <w:t xml:space="preserve">. </w:t>
      </w:r>
      <w:r w:rsidR="000E0311" w:rsidRPr="002B283E">
        <w:rPr>
          <w:rFonts w:cs="Times New Roman"/>
          <w:szCs w:val="24"/>
        </w:rPr>
        <w:t xml:space="preserve">“Disparate” means “different.”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has the burden of proving each of the following elements by a preponderance of the evidence:</w:t>
      </w:r>
    </w:p>
    <w:p w14:paraId="634B7001" w14:textId="77777777" w:rsidR="000E0311" w:rsidRPr="002B283E" w:rsidRDefault="000E0311" w:rsidP="002B283E">
      <w:pPr>
        <w:rPr>
          <w:rFonts w:cs="Times New Roman"/>
          <w:szCs w:val="24"/>
        </w:rPr>
      </w:pPr>
    </w:p>
    <w:p w14:paraId="6014C9AD" w14:textId="143F1210" w:rsidR="000E0311" w:rsidRPr="002B283E" w:rsidRDefault="00DA2CC8" w:rsidP="008A04C2">
      <w:pPr>
        <w:ind w:firstLine="720"/>
        <w:rPr>
          <w:rFonts w:cs="Times New Roman"/>
          <w:szCs w:val="24"/>
        </w:rPr>
      </w:pPr>
      <w:r>
        <w:rPr>
          <w:rFonts w:cs="Times New Roman"/>
          <w:szCs w:val="24"/>
        </w:rPr>
        <w:t xml:space="preserve">First, </w:t>
      </w:r>
      <w:r w:rsidR="000E0311" w:rsidRPr="002B283E">
        <w:rPr>
          <w:rFonts w:cs="Times New Roman"/>
          <w:szCs w:val="24"/>
        </w:rPr>
        <w:t>[</w:t>
      </w:r>
      <w:r w:rsidR="000E0311" w:rsidRPr="002B283E">
        <w:rPr>
          <w:rFonts w:cs="Times New Roman"/>
          <w:i/>
          <w:iCs/>
          <w:szCs w:val="24"/>
          <w:u w:val="single"/>
        </w:rPr>
        <w:t>describe the alleged discriminatory action</w:t>
      </w:r>
      <w:r w:rsidR="000E0311" w:rsidRPr="002B283E">
        <w:rPr>
          <w:rFonts w:cs="Times New Roman"/>
          <w:szCs w:val="24"/>
        </w:rPr>
        <w:t>] occurred as part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’s policy of providing its workers with nonwage benefits under an employee benefit plan;</w:t>
      </w:r>
    </w:p>
    <w:p w14:paraId="1889E098" w14:textId="77777777" w:rsidR="000E0311" w:rsidRPr="002B283E" w:rsidRDefault="000E0311" w:rsidP="008A04C2">
      <w:pPr>
        <w:ind w:firstLine="720"/>
        <w:rPr>
          <w:rFonts w:cs="Times New Roman"/>
          <w:szCs w:val="24"/>
        </w:rPr>
      </w:pPr>
    </w:p>
    <w:p w14:paraId="7C79EC86" w14:textId="52A49C65" w:rsidR="000E0311" w:rsidRPr="002B283E" w:rsidRDefault="00DA2CC8" w:rsidP="008A04C2">
      <w:pPr>
        <w:ind w:firstLine="720"/>
        <w:rPr>
          <w:rFonts w:cs="Times New Roman"/>
          <w:szCs w:val="24"/>
        </w:rPr>
      </w:pPr>
      <w:r>
        <w:rPr>
          <w:rFonts w:cs="Times New Roman"/>
          <w:szCs w:val="24"/>
        </w:rPr>
        <w:t xml:space="preserve">Second, </w:t>
      </w:r>
      <w:r w:rsidR="000E0311" w:rsidRPr="002B283E">
        <w:rPr>
          <w:rFonts w:cs="Times New Roman"/>
          <w:szCs w:val="24"/>
        </w:rPr>
        <w:t xml:space="preserve">the benefit plan was bona fide, that is, it existed and provided for and paid benefits to employees; </w:t>
      </w:r>
    </w:p>
    <w:p w14:paraId="6C73D18E" w14:textId="77777777" w:rsidR="000E0311" w:rsidRPr="002B283E" w:rsidRDefault="000E0311" w:rsidP="008A04C2">
      <w:pPr>
        <w:ind w:firstLine="720"/>
        <w:rPr>
          <w:rFonts w:cs="Times New Roman"/>
          <w:szCs w:val="24"/>
        </w:rPr>
      </w:pPr>
    </w:p>
    <w:p w14:paraId="323B1E9C" w14:textId="1010AB75" w:rsidR="000E0311" w:rsidRPr="002B283E" w:rsidRDefault="00DA2CC8" w:rsidP="008A04C2">
      <w:pPr>
        <w:ind w:firstLine="720"/>
        <w:rPr>
          <w:rFonts w:cs="Times New Roman"/>
          <w:szCs w:val="24"/>
        </w:rPr>
      </w:pPr>
      <w:r>
        <w:rPr>
          <w:rFonts w:cs="Times New Roman"/>
          <w:szCs w:val="24"/>
        </w:rPr>
        <w:t xml:space="preserve">Third, </w:t>
      </w:r>
      <w:r w:rsidR="000E0311"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was actually following the plan at the time it is alleged to [</w:t>
      </w:r>
      <w:r w:rsidR="000E0311" w:rsidRPr="006426F5">
        <w:rPr>
          <w:rFonts w:cs="Times New Roman"/>
          <w:i/>
          <w:iCs/>
          <w:szCs w:val="24"/>
          <w:u w:val="single"/>
        </w:rPr>
        <w:t>describe the alleged discriminatory action</w:t>
      </w:r>
      <w:r w:rsidR="000E0311" w:rsidRPr="002B283E">
        <w:rPr>
          <w:rFonts w:cs="Times New Roman"/>
          <w:szCs w:val="24"/>
        </w:rPr>
        <w:t>]; [and]</w:t>
      </w:r>
    </w:p>
    <w:p w14:paraId="2112216A" w14:textId="77777777" w:rsidR="000E0311" w:rsidRPr="002B283E" w:rsidRDefault="000E0311" w:rsidP="008A04C2">
      <w:pPr>
        <w:ind w:firstLine="720"/>
        <w:rPr>
          <w:rFonts w:cs="Times New Roman"/>
          <w:szCs w:val="24"/>
        </w:rPr>
      </w:pPr>
    </w:p>
    <w:p w14:paraId="4F9891B6" w14:textId="71876963" w:rsidR="000E0311" w:rsidRPr="002B283E" w:rsidRDefault="00DA2CC8" w:rsidP="008A04C2">
      <w:pPr>
        <w:ind w:firstLine="720"/>
        <w:rPr>
          <w:rFonts w:cs="Times New Roman"/>
          <w:szCs w:val="24"/>
        </w:rPr>
      </w:pPr>
      <w:r>
        <w:rPr>
          <w:rFonts w:cs="Times New Roman"/>
          <w:szCs w:val="24"/>
        </w:rPr>
        <w:t xml:space="preserve">[Fourth, </w:t>
      </w:r>
      <w:r w:rsidR="000E0311" w:rsidRPr="002B283E">
        <w:rPr>
          <w:rFonts w:cs="Times New Roman"/>
          <w:szCs w:val="24"/>
        </w:rPr>
        <w:t>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 xml:space="preserve">’s employee benefit plan did not place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 xml:space="preserve">in a position where a reasonable person in that position would believe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0E0311" w:rsidRPr="002B283E">
        <w:rPr>
          <w:rFonts w:cs="Times New Roman"/>
          <w:szCs w:val="24"/>
        </w:rPr>
        <w:t>had no choice but to retire; and]</w:t>
      </w:r>
    </w:p>
    <w:p w14:paraId="2B1AC16B" w14:textId="77777777" w:rsidR="000E0311" w:rsidRPr="002B283E" w:rsidRDefault="000E0311" w:rsidP="008A04C2">
      <w:pPr>
        <w:ind w:firstLine="720"/>
        <w:rPr>
          <w:rFonts w:cs="Times New Roman"/>
          <w:szCs w:val="24"/>
        </w:rPr>
      </w:pPr>
    </w:p>
    <w:p w14:paraId="3C7AF898" w14:textId="061844F1" w:rsidR="000E0311" w:rsidRPr="002B283E" w:rsidRDefault="00DA2CC8" w:rsidP="008A04C2">
      <w:pPr>
        <w:ind w:firstLine="720"/>
        <w:rPr>
          <w:rFonts w:cs="Times New Roman"/>
          <w:szCs w:val="24"/>
        </w:rPr>
      </w:pPr>
      <w:r>
        <w:rPr>
          <w:rFonts w:cs="Times New Roman"/>
          <w:szCs w:val="24"/>
        </w:rPr>
        <w:t>[Fourth/Fifth, [</w:t>
      </w:r>
      <w:r w:rsidR="000E0311" w:rsidRPr="008A04C2">
        <w:rPr>
          <w:rFonts w:cs="Times New Roman"/>
          <w:i/>
          <w:iCs/>
          <w:szCs w:val="24"/>
          <w:u w:val="single"/>
        </w:rPr>
        <w:t>describe the alleged discriminatory action</w:t>
      </w:r>
      <w:r w:rsidR="000E0311" w:rsidRPr="002B283E">
        <w:rPr>
          <w:rFonts w:cs="Times New Roman"/>
          <w:szCs w:val="24"/>
        </w:rPr>
        <w:t>] is justified by significant cost considerations.</w:t>
      </w:r>
      <w:r w:rsidR="000326F0">
        <w:rPr>
          <w:rFonts w:cs="Times New Roman"/>
          <w:szCs w:val="24"/>
        </w:rPr>
        <w:t>]</w:t>
      </w:r>
    </w:p>
    <w:p w14:paraId="549FA713" w14:textId="77777777" w:rsidR="000E0311" w:rsidRPr="002B283E" w:rsidRDefault="000E0311" w:rsidP="002B283E">
      <w:pPr>
        <w:rPr>
          <w:rFonts w:cs="Times New Roman"/>
          <w:szCs w:val="24"/>
        </w:rPr>
      </w:pPr>
    </w:p>
    <w:p w14:paraId="0BD9652A" w14:textId="637C8D4F" w:rsidR="000E0311" w:rsidRPr="002B283E" w:rsidRDefault="000E0311" w:rsidP="002B283E">
      <w:pPr>
        <w:rPr>
          <w:rFonts w:cs="Times New Roman"/>
          <w:szCs w:val="24"/>
        </w:rPr>
      </w:pPr>
      <w:r w:rsidRPr="002B283E">
        <w:rPr>
          <w:rFonts w:cs="Times New Roman"/>
          <w:szCs w:val="24"/>
        </w:rPr>
        <w:tab/>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2E0AA6E5" w14:textId="77777777" w:rsidR="000E0311" w:rsidRPr="002B283E" w:rsidRDefault="000E0311" w:rsidP="002B283E">
      <w:pPr>
        <w:rPr>
          <w:rFonts w:cs="Times New Roman"/>
          <w:szCs w:val="24"/>
        </w:rPr>
      </w:pPr>
    </w:p>
    <w:p w14:paraId="69B1603A" w14:textId="2F769BBE" w:rsidR="000E0311" w:rsidRPr="002B283E" w:rsidRDefault="000E0311" w:rsidP="002B283E">
      <w:pPr>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all [four] [five] elements of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54C58462" w14:textId="77777777" w:rsidR="000E0311" w:rsidRPr="002B283E" w:rsidRDefault="000E0311" w:rsidP="002B283E">
      <w:pPr>
        <w:rPr>
          <w:rFonts w:cs="Times New Roman"/>
          <w:szCs w:val="24"/>
        </w:rPr>
      </w:pPr>
    </w:p>
    <w:p w14:paraId="38749259" w14:textId="77777777" w:rsidR="000E0311" w:rsidRPr="002B283E" w:rsidRDefault="000E0311" w:rsidP="002B283E">
      <w:pPr>
        <w:jc w:val="center"/>
        <w:rPr>
          <w:rFonts w:cs="Times New Roman"/>
          <w:szCs w:val="24"/>
        </w:rPr>
      </w:pPr>
      <w:r w:rsidRPr="002B283E">
        <w:rPr>
          <w:rFonts w:cs="Times New Roman"/>
          <w:b/>
          <w:bCs/>
          <w:szCs w:val="24"/>
        </w:rPr>
        <w:t>Comment</w:t>
      </w:r>
    </w:p>
    <w:p w14:paraId="6B1F25A3" w14:textId="77777777" w:rsidR="000E0311" w:rsidRPr="002B283E" w:rsidRDefault="000E0311" w:rsidP="002B283E">
      <w:pPr>
        <w:rPr>
          <w:rFonts w:cs="Times New Roman"/>
          <w:szCs w:val="24"/>
        </w:rPr>
      </w:pPr>
    </w:p>
    <w:p w14:paraId="24F3DF18" w14:textId="77777777" w:rsidR="000E0311" w:rsidRPr="002B283E" w:rsidRDefault="000E0311" w:rsidP="002B283E">
      <w:pPr>
        <w:rPr>
          <w:rFonts w:cs="Times New Roman"/>
          <w:szCs w:val="24"/>
        </w:rPr>
      </w:pPr>
      <w:r w:rsidRPr="002B283E">
        <w:rPr>
          <w:rFonts w:cs="Times New Roman"/>
          <w:szCs w:val="24"/>
        </w:rPr>
        <w:tab/>
        <w:t>The bracketed fourth element should only be used when involuntary retirement is at issue.</w:t>
      </w:r>
    </w:p>
    <w:p w14:paraId="3AC25F61" w14:textId="77777777" w:rsidR="000E0311" w:rsidRPr="002B283E" w:rsidRDefault="000E0311" w:rsidP="002B283E">
      <w:pPr>
        <w:rPr>
          <w:rFonts w:cs="Times New Roman"/>
          <w:szCs w:val="24"/>
        </w:rPr>
      </w:pPr>
    </w:p>
    <w:p w14:paraId="4DD1E6E7" w14:textId="3C460AA8" w:rsidR="000E0311" w:rsidRPr="002B283E" w:rsidRDefault="000E0311" w:rsidP="002B283E">
      <w:pPr>
        <w:rPr>
          <w:rFonts w:cs="Times New Roman"/>
          <w:szCs w:val="24"/>
        </w:rPr>
      </w:pPr>
      <w:r w:rsidRPr="002B283E">
        <w:rPr>
          <w:rFonts w:cs="Times New Roman"/>
          <w:szCs w:val="24"/>
        </w:rPr>
        <w:tab/>
        <w:t xml:space="preserve">The ADEA exempts certain employer actions taken pursuant to a “bona fide employee benefit plan” from general liability under the statute. </w:t>
      </w:r>
      <w:r w:rsidRPr="002B283E">
        <w:rPr>
          <w:rFonts w:cs="Times New Roman"/>
          <w:i/>
          <w:iCs/>
          <w:szCs w:val="24"/>
        </w:rPr>
        <w:t>See</w:t>
      </w:r>
      <w:r w:rsidRPr="002B283E">
        <w:rPr>
          <w:rFonts w:cs="Times New Roman"/>
          <w:szCs w:val="24"/>
        </w:rPr>
        <w:t xml:space="preserve"> 29 U.S.C. § 623(f)(2)(B).</w:t>
      </w:r>
    </w:p>
    <w:p w14:paraId="0893FD85" w14:textId="77777777" w:rsidR="000E0311" w:rsidRPr="002B283E" w:rsidRDefault="000E0311" w:rsidP="002B283E">
      <w:pPr>
        <w:rPr>
          <w:rFonts w:cs="Times New Roman"/>
          <w:szCs w:val="24"/>
        </w:rPr>
      </w:pPr>
    </w:p>
    <w:p w14:paraId="30718360" w14:textId="4DCB9C34" w:rsidR="000E0311" w:rsidRPr="002B283E" w:rsidRDefault="000E0311" w:rsidP="002B283E">
      <w:pPr>
        <w:rPr>
          <w:rFonts w:cs="Times New Roman"/>
          <w:szCs w:val="24"/>
        </w:rPr>
      </w:pPr>
      <w:r w:rsidRPr="002B283E">
        <w:rPr>
          <w:rFonts w:cs="Times New Roman"/>
          <w:szCs w:val="24"/>
        </w:rPr>
        <w:tab/>
        <w:t xml:space="preserve">Prior to 1989, the Ninth Circuit used a four-element test in applying this provision. </w:t>
      </w:r>
      <w:r w:rsidR="000326F0">
        <w:rPr>
          <w:rFonts w:cs="Times New Roman"/>
          <w:i/>
          <w:iCs/>
          <w:szCs w:val="24"/>
        </w:rPr>
        <w:t>See, e.g.</w:t>
      </w:r>
      <w:r w:rsidR="000326F0">
        <w:rPr>
          <w:rFonts w:cs="Times New Roman"/>
          <w:szCs w:val="24"/>
        </w:rPr>
        <w:t xml:space="preserve">, </w:t>
      </w:r>
      <w:r w:rsidRPr="002B283E">
        <w:rPr>
          <w:rFonts w:cs="Times New Roman"/>
          <w:i/>
          <w:iCs/>
          <w:szCs w:val="24"/>
        </w:rPr>
        <w:t>EEOC v. Orange County</w:t>
      </w:r>
      <w:r w:rsidRPr="002B283E">
        <w:rPr>
          <w:rFonts w:cs="Times New Roman"/>
          <w:szCs w:val="24"/>
        </w:rPr>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0DC9CC39" w14:textId="77777777" w:rsidR="000E0311" w:rsidRPr="002B283E" w:rsidRDefault="000E0311" w:rsidP="002B283E">
      <w:pPr>
        <w:rPr>
          <w:rFonts w:cs="Times New Roman"/>
          <w:szCs w:val="24"/>
        </w:rPr>
      </w:pPr>
    </w:p>
    <w:p w14:paraId="11AC7217" w14:textId="004AF297" w:rsidR="000E0311" w:rsidRPr="002B283E" w:rsidRDefault="000E0311" w:rsidP="002B283E">
      <w:pPr>
        <w:rPr>
          <w:rFonts w:cs="Times New Roman"/>
          <w:szCs w:val="24"/>
        </w:rPr>
      </w:pPr>
      <w:r w:rsidRPr="002B283E">
        <w:rPr>
          <w:rFonts w:cs="Times New Roman"/>
          <w:szCs w:val="24"/>
        </w:rPr>
        <w:tab/>
        <w:t xml:space="preserve">Subsequent to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Pr="002B283E">
        <w:rPr>
          <w:rFonts w:cs="Times New Roman"/>
          <w:i/>
          <w:iCs/>
          <w:szCs w:val="24"/>
        </w:rPr>
        <w:t>Pub. Employees Ret. Sys. v. Betts</w:t>
      </w:r>
      <w:r w:rsidRPr="002B283E">
        <w:rPr>
          <w:rFonts w:cs="Times New Roman"/>
          <w:szCs w:val="24"/>
        </w:rPr>
        <w:t xml:space="preserve">, 492 U.S. 158, 181 (1989). Then, in 1990, Congress amended the statute, effectively abrogating the holding of </w:t>
      </w:r>
      <w:r w:rsidRPr="002B283E">
        <w:rPr>
          <w:rFonts w:cs="Times New Roman"/>
          <w:i/>
          <w:iCs/>
          <w:szCs w:val="24"/>
        </w:rPr>
        <w:t>Betts</w:t>
      </w:r>
      <w:r w:rsidRPr="002B283E">
        <w:rPr>
          <w:rFonts w:cs="Times New Roman"/>
          <w:szCs w:val="24"/>
        </w:rPr>
        <w:t xml:space="preserve"> in two respects. The amendment: (1) removed the word “subterfuge” from the text of the statute and replaced it with the definition that had been used by the EEOC prior to </w:t>
      </w:r>
      <w:r w:rsidRPr="002B283E">
        <w:rPr>
          <w:rFonts w:cs="Times New Roman"/>
          <w:i/>
          <w:iCs/>
          <w:szCs w:val="24"/>
        </w:rPr>
        <w:t>Betts</w:t>
      </w:r>
      <w:r w:rsidRPr="002B283E">
        <w:rPr>
          <w:rFonts w:cs="Times New Roman"/>
          <w:szCs w:val="24"/>
        </w:rPr>
        <w:t xml:space="preserve">; and (2) clarified that the employer claiming the defense bears “the burden of proving that such actions are lawful”—thus establishing that the provision is, contrary to the characterization in </w:t>
      </w:r>
      <w:r w:rsidRPr="002B283E">
        <w:rPr>
          <w:rFonts w:cs="Times New Roman"/>
          <w:i/>
          <w:iCs/>
          <w:szCs w:val="24"/>
        </w:rPr>
        <w:t>Betts</w:t>
      </w:r>
      <w:r w:rsidRPr="002B283E">
        <w:rPr>
          <w:rFonts w:cs="Times New Roman"/>
          <w:szCs w:val="24"/>
        </w:rPr>
        <w:t xml:space="preserve">, an affirmative defense. </w:t>
      </w:r>
      <w:r w:rsidRPr="002B283E">
        <w:rPr>
          <w:rFonts w:cs="Times New Roman"/>
          <w:i/>
          <w:iCs/>
          <w:szCs w:val="24"/>
        </w:rPr>
        <w:t>See</w:t>
      </w:r>
      <w:r w:rsidRPr="002B283E">
        <w:rPr>
          <w:rFonts w:cs="Times New Roman"/>
          <w:szCs w:val="24"/>
        </w:rPr>
        <w:t xml:space="preserve"> Older Workers Benefit Protection Act (OWBPA), Pub.</w:t>
      </w:r>
      <w:r w:rsidR="000326F0">
        <w:rPr>
          <w:rFonts w:cs="Times New Roman"/>
          <w:szCs w:val="24"/>
        </w:rPr>
        <w:t xml:space="preserve"> </w:t>
      </w:r>
      <w:r w:rsidRPr="002B283E">
        <w:rPr>
          <w:rFonts w:cs="Times New Roman"/>
          <w:szCs w:val="24"/>
        </w:rPr>
        <w:t>L.</w:t>
      </w:r>
      <w:r w:rsidR="000326F0">
        <w:rPr>
          <w:rFonts w:cs="Times New Roman"/>
          <w:szCs w:val="24"/>
        </w:rPr>
        <w:t xml:space="preserve"> No.</w:t>
      </w:r>
      <w:r w:rsidRPr="002B283E">
        <w:rPr>
          <w:rFonts w:cs="Times New Roman"/>
          <w:szCs w:val="24"/>
        </w:rPr>
        <w:t xml:space="preserve"> 101-433, Title I, § 103, 104 Stat. 978</w:t>
      </w:r>
      <w:r w:rsidR="000326F0">
        <w:rPr>
          <w:rFonts w:cs="Times New Roman"/>
          <w:szCs w:val="24"/>
        </w:rPr>
        <w:t xml:space="preserve"> (1990)</w:t>
      </w:r>
      <w:r w:rsidRPr="002B283E">
        <w:rPr>
          <w:rFonts w:cs="Times New Roman"/>
          <w:szCs w:val="24"/>
        </w:rPr>
        <w:t xml:space="preserve">; </w:t>
      </w:r>
      <w:r w:rsidRPr="002B283E">
        <w:rPr>
          <w:rFonts w:cs="Times New Roman"/>
          <w:i/>
          <w:iCs/>
          <w:szCs w:val="24"/>
        </w:rPr>
        <w:t>see also Meacham v. Knolls Atomic Power Lab’y</w:t>
      </w:r>
      <w:r w:rsidRPr="002B283E">
        <w:rPr>
          <w:rFonts w:cs="Times New Roman"/>
          <w:szCs w:val="24"/>
        </w:rPr>
        <w:t>, 554 U.S. 84, 94-95</w:t>
      </w:r>
      <w:r w:rsidR="000326F0">
        <w:rPr>
          <w:rFonts w:cs="Times New Roman"/>
          <w:szCs w:val="24"/>
        </w:rPr>
        <w:t xml:space="preserve"> (2008)</w:t>
      </w:r>
    </w:p>
    <w:p w14:paraId="1FA1857E" w14:textId="7B4982F6" w:rsidR="000E0311" w:rsidRPr="002B283E" w:rsidRDefault="000E0311" w:rsidP="002B283E">
      <w:pPr>
        <w:rPr>
          <w:rFonts w:cs="Times New Roman"/>
          <w:szCs w:val="24"/>
        </w:rPr>
      </w:pPr>
      <w:r w:rsidRPr="002B283E">
        <w:rPr>
          <w:rFonts w:cs="Times New Roman"/>
          <w:szCs w:val="24"/>
        </w:rPr>
        <w:t xml:space="preserve">(noting </w:t>
      </w:r>
      <w:r w:rsidR="00011EAA">
        <w:rPr>
          <w:rFonts w:cs="Times New Roman"/>
          <w:szCs w:val="24"/>
        </w:rPr>
        <w:t xml:space="preserve">the </w:t>
      </w:r>
      <w:r w:rsidRPr="002B283E">
        <w:rPr>
          <w:rFonts w:cs="Times New Roman"/>
          <w:szCs w:val="24"/>
        </w:rPr>
        <w:t>enactment of OWBPA and holding that the added phrase “otherwise prohibited” is an</w:t>
      </w:r>
    </w:p>
    <w:p w14:paraId="128B01E7" w14:textId="72D85730" w:rsidR="000E0311" w:rsidRPr="002B283E" w:rsidRDefault="000E0311" w:rsidP="002B283E">
      <w:pPr>
        <w:rPr>
          <w:rFonts w:cs="Times New Roman"/>
          <w:szCs w:val="24"/>
        </w:rPr>
      </w:pPr>
      <w:r w:rsidRPr="002B283E">
        <w:rPr>
          <w:rFonts w:cs="Times New Roman"/>
          <w:szCs w:val="24"/>
        </w:rPr>
        <w:t>affirmative defense). After the 1990 amendment, there is little Ninth Circuit law interpreting the bona fide employee benefit provision. However, Congress was clear that the amendment was meant to return the law to its pre-</w:t>
      </w:r>
      <w:r w:rsidRPr="002B283E">
        <w:rPr>
          <w:rFonts w:cs="Times New Roman"/>
          <w:i/>
          <w:iCs/>
          <w:szCs w:val="24"/>
        </w:rPr>
        <w:t>Betts</w:t>
      </w:r>
      <w:r w:rsidRPr="002B283E">
        <w:rPr>
          <w:rFonts w:cs="Times New Roman"/>
          <w:szCs w:val="24"/>
        </w:rPr>
        <w:t xml:space="preserve"> state. </w:t>
      </w:r>
      <w:r w:rsidRPr="002B283E">
        <w:rPr>
          <w:rFonts w:cs="Times New Roman"/>
          <w:i/>
          <w:iCs/>
          <w:szCs w:val="24"/>
        </w:rPr>
        <w:t xml:space="preserve">See </w:t>
      </w:r>
      <w:r w:rsidRPr="002B283E">
        <w:rPr>
          <w:rFonts w:cs="Times New Roman"/>
          <w:szCs w:val="24"/>
        </w:rPr>
        <w:t xml:space="preserve">OWBPA § 101 (“Congress finds that, as a result of the decision of the Supreme Court in . . . </w:t>
      </w:r>
      <w:r w:rsidRPr="002B283E">
        <w:rPr>
          <w:rFonts w:cs="Times New Roman"/>
          <w:i/>
          <w:iCs/>
          <w:szCs w:val="24"/>
        </w:rPr>
        <w:t>Betts</w:t>
      </w:r>
      <w:r w:rsidRPr="002B283E">
        <w:rPr>
          <w:rFonts w:cs="Times New Roman"/>
          <w:szCs w:val="24"/>
        </w:rPr>
        <w:t>, . . . legislative action is necessary to restore the original congressional intent in passing and amending the [ADEA].”). Thus, the general state of the law pre-</w:t>
      </w:r>
      <w:r w:rsidRPr="002B283E">
        <w:rPr>
          <w:rFonts w:cs="Times New Roman"/>
          <w:i/>
          <w:iCs/>
          <w:szCs w:val="24"/>
        </w:rPr>
        <w:t>Betts</w:t>
      </w:r>
      <w:r w:rsidRPr="002B283E">
        <w:rPr>
          <w:rFonts w:cs="Times New Roman"/>
          <w:szCs w:val="24"/>
        </w:rPr>
        <w:t xml:space="preserve"> is persuasive, and some version of the four-element test should apply. </w:t>
      </w:r>
      <w:r w:rsidRPr="002B283E">
        <w:rPr>
          <w:rFonts w:cs="Times New Roman"/>
          <w:i/>
          <w:iCs/>
          <w:szCs w:val="24"/>
        </w:rPr>
        <w:t>See Orange County</w:t>
      </w:r>
      <w:r w:rsidRPr="002B283E">
        <w:rPr>
          <w:rFonts w:cs="Times New Roman"/>
          <w:szCs w:val="24"/>
        </w:rPr>
        <w:t xml:space="preserve">, 837 F.2d at 421; </w:t>
      </w:r>
      <w:r w:rsidRPr="002B283E">
        <w:rPr>
          <w:rFonts w:cs="Times New Roman"/>
          <w:i/>
          <w:iCs/>
          <w:szCs w:val="24"/>
        </w:rPr>
        <w:t>EEOC v. Borden’s Inc.</w:t>
      </w:r>
      <w:r w:rsidRPr="002B283E">
        <w:rPr>
          <w:rFonts w:cs="Times New Roman"/>
          <w:szCs w:val="24"/>
        </w:rPr>
        <w:t xml:space="preserve">, 724 F.2d 1390, 1395 (9th Cir. 1984), </w:t>
      </w:r>
      <w:r w:rsidRPr="002B283E">
        <w:rPr>
          <w:rFonts w:cs="Times New Roman"/>
          <w:i/>
          <w:iCs/>
          <w:szCs w:val="24"/>
        </w:rPr>
        <w:t>disapproved by Betts</w:t>
      </w:r>
      <w:r w:rsidRPr="002B283E">
        <w:rPr>
          <w:rFonts w:cs="Times New Roman"/>
          <w:szCs w:val="24"/>
        </w:rPr>
        <w:t>, 492 U.S. at 172.</w:t>
      </w:r>
    </w:p>
    <w:p w14:paraId="79D4A733" w14:textId="77777777" w:rsidR="000E0311" w:rsidRPr="002B283E" w:rsidRDefault="000E0311" w:rsidP="002B283E">
      <w:pPr>
        <w:rPr>
          <w:rFonts w:cs="Times New Roman"/>
          <w:szCs w:val="24"/>
        </w:rPr>
      </w:pPr>
    </w:p>
    <w:p w14:paraId="6E1F36C7" w14:textId="6F84F372" w:rsidR="000E0311" w:rsidRPr="002B283E" w:rsidRDefault="000E0311" w:rsidP="002B283E">
      <w:pPr>
        <w:rPr>
          <w:rFonts w:cs="Times New Roman"/>
          <w:szCs w:val="24"/>
        </w:rPr>
      </w:pPr>
      <w:r w:rsidRPr="002B283E">
        <w:rPr>
          <w:rFonts w:cs="Times New Roman"/>
          <w:szCs w:val="24"/>
        </w:rPr>
        <w:tab/>
        <w:t xml:space="preserve">As to the first element, it appears reasonable to retain the relatively broad definition of “employee benefit plan” as discussed in </w:t>
      </w:r>
      <w:r w:rsidRPr="002B283E">
        <w:rPr>
          <w:rFonts w:cs="Times New Roman"/>
          <w:i/>
          <w:iCs/>
          <w:szCs w:val="24"/>
        </w:rPr>
        <w:t>Betts</w:t>
      </w:r>
      <w:r w:rsidRPr="002B283E">
        <w:rPr>
          <w:rFonts w:cs="Times New Roman"/>
          <w:szCs w:val="24"/>
        </w:rPr>
        <w:t xml:space="preserve">. </w:t>
      </w:r>
      <w:r w:rsidRPr="002B283E">
        <w:rPr>
          <w:rFonts w:cs="Times New Roman"/>
          <w:i/>
          <w:iCs/>
          <w:szCs w:val="24"/>
        </w:rPr>
        <w:t>Betts</w:t>
      </w:r>
      <w:r w:rsidRPr="002B283E">
        <w:rPr>
          <w:rFonts w:cs="Times New Roman"/>
          <w:szCs w:val="24"/>
        </w:rPr>
        <w:t xml:space="preserve"> relied on an EEOC regulation’s definition of these benefits as “fringe”—</w:t>
      </w:r>
      <w:r w:rsidRPr="006E52B7">
        <w:rPr>
          <w:rFonts w:cs="Times New Roman"/>
          <w:i/>
          <w:iCs/>
          <w:szCs w:val="24"/>
        </w:rPr>
        <w:t>i.e.</w:t>
      </w:r>
      <w:r w:rsidRPr="002B283E">
        <w:rPr>
          <w:rFonts w:cs="Times New Roman"/>
          <w:szCs w:val="24"/>
        </w:rPr>
        <w:t>, other than monetary compensation—and gave the examples (then in the statute) of retirement, pension, and insurance plans</w:t>
      </w:r>
      <w:r w:rsidR="00A87F6E">
        <w:rPr>
          <w:rFonts w:cs="Times New Roman"/>
          <w:szCs w:val="24"/>
        </w:rPr>
        <w:t xml:space="preserve">. </w:t>
      </w:r>
      <w:r w:rsidRPr="002B283E">
        <w:rPr>
          <w:rFonts w:cs="Times New Roman"/>
          <w:szCs w:val="24"/>
        </w:rPr>
        <w:t xml:space="preserve">492 U.S. at 174. </w:t>
      </w:r>
      <w:r w:rsidRPr="002B283E">
        <w:rPr>
          <w:rFonts w:cs="Times New Roman"/>
          <w:i/>
          <w:iCs/>
          <w:szCs w:val="24"/>
        </w:rPr>
        <w:t>See also Am. Assoc. Ret. Pers. v. Farmers Grp</w:t>
      </w:r>
      <w:r w:rsidR="001B6116">
        <w:rPr>
          <w:rFonts w:cs="Times New Roman"/>
          <w:i/>
          <w:iCs/>
          <w:szCs w:val="24"/>
        </w:rPr>
        <w:t>.</w:t>
      </w:r>
      <w:r w:rsidRPr="002B283E">
        <w:rPr>
          <w:rFonts w:cs="Times New Roman"/>
          <w:i/>
          <w:iCs/>
          <w:szCs w:val="24"/>
        </w:rPr>
        <w:t>, Inc.</w:t>
      </w:r>
      <w:r w:rsidRPr="002B283E">
        <w:rPr>
          <w:rFonts w:cs="Times New Roman"/>
          <w:szCs w:val="24"/>
        </w:rPr>
        <w:t xml:space="preserve">, 943 F.2d 996, 1003 (9th Cir. 1991) (following </w:t>
      </w:r>
      <w:r w:rsidRPr="002B283E">
        <w:rPr>
          <w:rFonts w:cs="Times New Roman"/>
          <w:i/>
          <w:iCs/>
          <w:szCs w:val="24"/>
        </w:rPr>
        <w:t>Betts</w:t>
      </w:r>
      <w:r w:rsidRPr="002B283E">
        <w:rPr>
          <w:rFonts w:cs="Times New Roman"/>
          <w:szCs w:val="24"/>
        </w:rPr>
        <w:t>; distinguishing “wages” from “benefits”). The OWBPA did not alter the substance of that definition.</w:t>
      </w:r>
    </w:p>
    <w:p w14:paraId="3E8555D2" w14:textId="77777777" w:rsidR="000E0311" w:rsidRPr="002B283E" w:rsidRDefault="000E0311" w:rsidP="002B283E">
      <w:pPr>
        <w:rPr>
          <w:rFonts w:cs="Times New Roman"/>
          <w:szCs w:val="24"/>
        </w:rPr>
      </w:pPr>
    </w:p>
    <w:p w14:paraId="1C3A37ED" w14:textId="4C895611" w:rsidR="000E0311" w:rsidRPr="002B283E" w:rsidRDefault="000E0311" w:rsidP="002B283E">
      <w:pPr>
        <w:rPr>
          <w:rFonts w:cs="Times New Roman"/>
          <w:szCs w:val="24"/>
        </w:rPr>
      </w:pPr>
      <w:r w:rsidRPr="002B283E">
        <w:rPr>
          <w:rFonts w:cs="Times New Roman"/>
          <w:szCs w:val="24"/>
        </w:rPr>
        <w:tab/>
        <w:t>The second element is straightforward</w:t>
      </w:r>
      <w:r w:rsidR="00A87F6E">
        <w:rPr>
          <w:rFonts w:cs="Times New Roman"/>
          <w:szCs w:val="24"/>
        </w:rPr>
        <w:t xml:space="preserve">. </w:t>
      </w:r>
      <w:r w:rsidRPr="002B283E">
        <w:rPr>
          <w:rFonts w:cs="Times New Roman"/>
          <w:szCs w:val="24"/>
        </w:rPr>
        <w:t xml:space="preserve">“‘[B]ona fide’ . . . has been held to mean no more than that the plan exists and pays substantial benefits.” </w:t>
      </w:r>
      <w:r w:rsidRPr="002B283E">
        <w:rPr>
          <w:rFonts w:cs="Times New Roman"/>
          <w:i/>
          <w:iCs/>
          <w:szCs w:val="24"/>
        </w:rPr>
        <w:t>Borden’s</w:t>
      </w:r>
      <w:r w:rsidRPr="002B283E">
        <w:rPr>
          <w:rFonts w:cs="Times New Roman"/>
          <w:szCs w:val="24"/>
        </w:rPr>
        <w:t>, 724 F.2d at 1395</w:t>
      </w:r>
      <w:r w:rsidR="00A87F6E">
        <w:rPr>
          <w:rFonts w:cs="Times New Roman"/>
          <w:szCs w:val="24"/>
        </w:rPr>
        <w:t xml:space="preserve">. </w:t>
      </w:r>
    </w:p>
    <w:p w14:paraId="00804263" w14:textId="77777777" w:rsidR="000E0311" w:rsidRPr="002B283E" w:rsidRDefault="000E0311" w:rsidP="002B283E">
      <w:pPr>
        <w:rPr>
          <w:rFonts w:cs="Times New Roman"/>
          <w:szCs w:val="24"/>
        </w:rPr>
      </w:pPr>
    </w:p>
    <w:p w14:paraId="537F87C9" w14:textId="77777777" w:rsidR="000E0311" w:rsidRPr="002B283E" w:rsidRDefault="000E0311" w:rsidP="002B283E">
      <w:pPr>
        <w:rPr>
          <w:rFonts w:cs="Times New Roman"/>
          <w:szCs w:val="24"/>
        </w:rPr>
      </w:pPr>
      <w:r w:rsidRPr="002B283E">
        <w:rPr>
          <w:rFonts w:cs="Times New Roman"/>
          <w:szCs w:val="24"/>
        </w:rPr>
        <w:tab/>
        <w:t>The third element is a question of historical fact.</w:t>
      </w:r>
    </w:p>
    <w:p w14:paraId="5E891039" w14:textId="77777777" w:rsidR="000E0311" w:rsidRPr="002B283E" w:rsidRDefault="000E0311" w:rsidP="002B283E">
      <w:pPr>
        <w:rPr>
          <w:rFonts w:cs="Times New Roman"/>
          <w:szCs w:val="24"/>
        </w:rPr>
      </w:pPr>
    </w:p>
    <w:p w14:paraId="4B4036B8" w14:textId="265D42BC" w:rsidR="000E0311" w:rsidRPr="002B283E" w:rsidRDefault="000E0311" w:rsidP="002B283E">
      <w:pPr>
        <w:rPr>
          <w:rFonts w:cs="Times New Roman"/>
          <w:szCs w:val="24"/>
        </w:rPr>
      </w:pPr>
      <w:r w:rsidRPr="002B283E">
        <w:rPr>
          <w:rFonts w:cs="Times New Roman"/>
          <w:szCs w:val="24"/>
        </w:rPr>
        <w:tab/>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w:t>
      </w:r>
      <w:r w:rsidRPr="002B283E">
        <w:rPr>
          <w:rFonts w:cs="Times New Roman"/>
          <w:szCs w:val="24"/>
        </w:rPr>
        <w:lastRenderedPageBreak/>
        <w:t xml:space="preserve">pursuant to a benefits plan must not lead a reasonable person in the position of the plaintiff to believe that he has “no choice but to retire.” </w:t>
      </w:r>
      <w:r w:rsidRPr="002B283E">
        <w:rPr>
          <w:rFonts w:cs="Times New Roman"/>
          <w:i/>
          <w:iCs/>
          <w:szCs w:val="24"/>
        </w:rPr>
        <w:t>Kalvinskas v. Cal. Inst. of Tech.</w:t>
      </w:r>
      <w:r w:rsidRPr="002B283E">
        <w:rPr>
          <w:rFonts w:cs="Times New Roman"/>
          <w:szCs w:val="24"/>
        </w:rPr>
        <w:t>, 96 F.3d 1305, 1308 (9th Cir. 1996). As the statute requires the employer to prove the legality of its conduct, when relevant, the court should instruct the jury on this additional fourth element.</w:t>
      </w:r>
    </w:p>
    <w:p w14:paraId="79800CC7" w14:textId="77777777" w:rsidR="000E0311" w:rsidRPr="002B283E" w:rsidRDefault="000E0311" w:rsidP="002B283E">
      <w:pPr>
        <w:rPr>
          <w:rFonts w:cs="Times New Roman"/>
          <w:szCs w:val="24"/>
        </w:rPr>
      </w:pPr>
    </w:p>
    <w:p w14:paraId="407729A0" w14:textId="36A4404E" w:rsidR="000E0311" w:rsidRPr="002B283E" w:rsidRDefault="000E0311" w:rsidP="002B283E">
      <w:pPr>
        <w:rPr>
          <w:rFonts w:cs="Times New Roman"/>
          <w:szCs w:val="24"/>
        </w:rPr>
      </w:pPr>
      <w:r w:rsidRPr="002B283E">
        <w:rPr>
          <w:rFonts w:cs="Times New Roman"/>
          <w:szCs w:val="24"/>
        </w:rPr>
        <w:tab/>
        <w:t xml:space="preserve">The final element was clearly altered by the OWBPA. Instead of using the word “subterfuge,” Congress used the definition of subterfuge applied by the EEOC prior to </w:t>
      </w:r>
      <w:r w:rsidRPr="002B283E">
        <w:rPr>
          <w:rFonts w:cs="Times New Roman"/>
          <w:i/>
          <w:iCs/>
          <w:szCs w:val="24"/>
        </w:rPr>
        <w:t>Betts</w:t>
      </w:r>
      <w:r w:rsidR="00A87F6E">
        <w:rPr>
          <w:rFonts w:cs="Times New Roman"/>
          <w:szCs w:val="24"/>
        </w:rPr>
        <w:t xml:space="preserve">. </w:t>
      </w:r>
      <w:r w:rsidRPr="002B283E">
        <w:rPr>
          <w:rFonts w:cs="Times New Roman"/>
          <w:szCs w:val="24"/>
        </w:rPr>
        <w:t>Thus, the fifth element now requires that the plan be “justified by significant cost considerations.” 29 C.F.R. § 1625.10 (incorporated by reference in 29 U.S.C. § 623(f)(2)(B)(i))</w:t>
      </w:r>
      <w:r w:rsidR="00A87F6E">
        <w:rPr>
          <w:rFonts w:cs="Times New Roman"/>
          <w:szCs w:val="24"/>
        </w:rPr>
        <w:t xml:space="preserve">. </w:t>
      </w:r>
      <w:r w:rsidRPr="002B283E">
        <w:rPr>
          <w:rFonts w:cs="Times New Roman"/>
          <w:szCs w:val="24"/>
        </w:rPr>
        <w:t xml:space="preserve">More specifically, an age-based differential in employee benefits is exempted under the ADEA only “to the extent necessary to achieve approximate equivalency in cost for older and younger workers.” </w:t>
      </w:r>
      <w:r w:rsidRPr="002B283E">
        <w:rPr>
          <w:rFonts w:cs="Times New Roman"/>
          <w:i/>
          <w:iCs/>
          <w:szCs w:val="24"/>
        </w:rPr>
        <w:t>Id</w:t>
      </w:r>
      <w:r w:rsidRPr="002B283E">
        <w:rPr>
          <w:rFonts w:cs="Times New Roman"/>
          <w:szCs w:val="24"/>
        </w:rPr>
        <w:t>.</w:t>
      </w:r>
    </w:p>
    <w:p w14:paraId="3684B85E" w14:textId="77777777" w:rsidR="000E0311" w:rsidRPr="002B283E" w:rsidRDefault="000E0311" w:rsidP="002B283E">
      <w:pPr>
        <w:rPr>
          <w:rFonts w:cs="Times New Roman"/>
          <w:szCs w:val="24"/>
        </w:rPr>
      </w:pPr>
    </w:p>
    <w:p w14:paraId="1CA1AE70" w14:textId="281E5379" w:rsidR="000E0311" w:rsidRPr="002B283E" w:rsidRDefault="000E0311" w:rsidP="002B283E">
      <w:pPr>
        <w:rPr>
          <w:rFonts w:cs="Times New Roman"/>
          <w:szCs w:val="24"/>
        </w:rPr>
      </w:pPr>
      <w:r w:rsidRPr="002B283E">
        <w:rPr>
          <w:rFonts w:cs="Times New Roman"/>
          <w:szCs w:val="24"/>
        </w:rPr>
        <w:tab/>
        <w:t>Cost of benefits cannot excuse a failure to hire. 29 U.S.C. § 623(f)(2)(B).</w:t>
      </w:r>
    </w:p>
    <w:p w14:paraId="01ADD2B0" w14:textId="77777777" w:rsidR="000E0311" w:rsidRPr="002B283E" w:rsidRDefault="000E0311" w:rsidP="002B283E">
      <w:pPr>
        <w:rPr>
          <w:rFonts w:cs="Times New Roman"/>
          <w:szCs w:val="24"/>
        </w:rPr>
      </w:pPr>
    </w:p>
    <w:p w14:paraId="04784ECE" w14:textId="77777777" w:rsidR="000E0311" w:rsidRPr="002B283E" w:rsidRDefault="000E0311" w:rsidP="002B283E">
      <w:pPr>
        <w:rPr>
          <w:rFonts w:cs="Times New Roman"/>
          <w:szCs w:val="24"/>
        </w:rPr>
      </w:pPr>
    </w:p>
    <w:p w14:paraId="45E26D4C" w14:textId="266D12FF" w:rsidR="006A4CD7" w:rsidRPr="002B283E" w:rsidRDefault="000E0311" w:rsidP="002B283E">
      <w:pPr>
        <w:jc w:val="right"/>
        <w:rPr>
          <w:rFonts w:cs="Times New Roman"/>
          <w:szCs w:val="24"/>
        </w:rPr>
      </w:pPr>
      <w:r w:rsidRPr="002B283E">
        <w:rPr>
          <w:rFonts w:cs="Times New Roman"/>
          <w:i/>
          <w:iCs/>
          <w:szCs w:val="24"/>
        </w:rPr>
        <w:t>Revised June 2024</w:t>
      </w:r>
    </w:p>
    <w:p w14:paraId="1A87E0A4" w14:textId="50816752" w:rsidR="006A4CD7" w:rsidRPr="002B283E" w:rsidRDefault="006A4CD7" w:rsidP="002B283E">
      <w:pPr>
        <w:pStyle w:val="Heading2"/>
      </w:pPr>
      <w:r w:rsidRPr="002B283E">
        <w:br w:type="page"/>
      </w:r>
      <w:bookmarkStart w:id="287" w:name="_Toc221525242"/>
      <w:r w:rsidRPr="002B283E">
        <w:lastRenderedPageBreak/>
        <w:t xml:space="preserve">11.11 </w:t>
      </w:r>
      <w:r w:rsidR="00223463" w:rsidRPr="002B283E">
        <w:t>Age Discrimination—Defenses—Reasonable Factor Other Than Age</w:t>
      </w:r>
      <w:bookmarkEnd w:id="287"/>
    </w:p>
    <w:p w14:paraId="69C1B9DC" w14:textId="77777777" w:rsidR="006A4CD7" w:rsidRPr="002B283E" w:rsidRDefault="006A4CD7" w:rsidP="002B283E">
      <w:pPr>
        <w:rPr>
          <w:rFonts w:cs="Times New Roman"/>
          <w:szCs w:val="24"/>
        </w:rPr>
      </w:pPr>
    </w:p>
    <w:p w14:paraId="2058C77A" w14:textId="2E7522CC" w:rsidR="00B523FB" w:rsidRPr="002B283E" w:rsidRDefault="009F714C" w:rsidP="002B283E">
      <w:pPr>
        <w:autoSpaceDE w:val="0"/>
        <w:autoSpaceDN w:val="0"/>
        <w:adjustRightInd w:val="0"/>
        <w:rPr>
          <w:rFonts w:cs="Times New Roman"/>
          <w:szCs w:val="24"/>
        </w:rPr>
      </w:pPr>
      <w:r w:rsidRPr="002B283E">
        <w:rPr>
          <w:rFonts w:cs="Times New Roman"/>
          <w:szCs w:val="24"/>
        </w:rPr>
        <w:tab/>
      </w:r>
      <w:r w:rsidR="00B523FB"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contends that its [test] [requirement] [practice] [selection criterion] is based on a reasonable factor other than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B523FB" w:rsidRPr="002B283E">
        <w:rPr>
          <w:rFonts w:cs="Times New Roman"/>
          <w:szCs w:val="24"/>
        </w:rPr>
        <w:t xml:space="preserve">’s age.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has the burden of proving the following elements by a preponderance of the evidence:</w:t>
      </w:r>
    </w:p>
    <w:p w14:paraId="08E947B3" w14:textId="77777777" w:rsidR="00B523FB" w:rsidRPr="002B283E" w:rsidRDefault="00B523FB" w:rsidP="002B283E">
      <w:pPr>
        <w:autoSpaceDE w:val="0"/>
        <w:autoSpaceDN w:val="0"/>
        <w:adjustRightInd w:val="0"/>
        <w:rPr>
          <w:rFonts w:cs="Times New Roman"/>
          <w:szCs w:val="24"/>
        </w:rPr>
      </w:pPr>
    </w:p>
    <w:p w14:paraId="7870503A" w14:textId="5EC4BDC8"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First, </w:t>
      </w:r>
      <w:r w:rsidR="00B523FB" w:rsidRPr="002B283E">
        <w:rPr>
          <w:rFonts w:cs="Times New Roman"/>
          <w:szCs w:val="24"/>
        </w:rPr>
        <w:t>the [test] [requirement] [practice] [selection criterion] is based on a factor other than the age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 xml:space="preserve">] [those similarly situated]; </w:t>
      </w:r>
    </w:p>
    <w:p w14:paraId="07C2B5BD" w14:textId="77777777" w:rsidR="00B523FB" w:rsidRPr="002B283E" w:rsidRDefault="00B523FB" w:rsidP="008A04C2">
      <w:pPr>
        <w:tabs>
          <w:tab w:val="left" w:pos="1350"/>
        </w:tabs>
        <w:autoSpaceDE w:val="0"/>
        <w:autoSpaceDN w:val="0"/>
        <w:adjustRightInd w:val="0"/>
        <w:ind w:firstLine="720"/>
        <w:rPr>
          <w:rFonts w:cs="Times New Roman"/>
          <w:szCs w:val="24"/>
        </w:rPr>
      </w:pPr>
    </w:p>
    <w:p w14:paraId="53C2C017" w14:textId="3CB17B0C"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Second, </w:t>
      </w:r>
      <w:r w:rsidR="00B523FB" w:rsidRPr="002B283E">
        <w:rPr>
          <w:rFonts w:cs="Times New Roman"/>
          <w:szCs w:val="24"/>
        </w:rPr>
        <w:t>[</w:t>
      </w:r>
      <w:r w:rsidR="00B523FB" w:rsidRPr="002B283E">
        <w:rPr>
          <w:rFonts w:cs="Times New Roman"/>
          <w:i/>
          <w:iCs/>
          <w:szCs w:val="24"/>
          <w:u w:val="single"/>
        </w:rPr>
        <w:t>insert justification for factor</w:t>
      </w:r>
      <w:r w:rsidR="00B523FB" w:rsidRPr="002B283E">
        <w:rPr>
          <w:rFonts w:cs="Times New Roman"/>
          <w:szCs w:val="24"/>
        </w:rPr>
        <w:t>] is a legitimate interest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’s business; and</w:t>
      </w:r>
    </w:p>
    <w:p w14:paraId="7150278A" w14:textId="77777777" w:rsidR="00B523FB" w:rsidRPr="002B283E" w:rsidRDefault="00B523FB" w:rsidP="008A04C2">
      <w:pPr>
        <w:tabs>
          <w:tab w:val="left" w:pos="1350"/>
        </w:tabs>
        <w:autoSpaceDE w:val="0"/>
        <w:autoSpaceDN w:val="0"/>
        <w:adjustRightInd w:val="0"/>
        <w:ind w:firstLine="720"/>
        <w:rPr>
          <w:rFonts w:cs="Times New Roman"/>
          <w:szCs w:val="24"/>
        </w:rPr>
      </w:pPr>
    </w:p>
    <w:p w14:paraId="2B09DCA2" w14:textId="7FCA4995"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Third, </w:t>
      </w:r>
      <w:r w:rsidR="00B523FB" w:rsidRPr="002B283E">
        <w:rPr>
          <w:rFonts w:cs="Times New Roman"/>
          <w:szCs w:val="24"/>
        </w:rPr>
        <w:t>the [test] [requirement] [practice] [selection criterion] is reasonably related to achieving [</w:t>
      </w:r>
      <w:r w:rsidR="00B523FB" w:rsidRPr="002B283E">
        <w:rPr>
          <w:rFonts w:cs="Times New Roman"/>
          <w:i/>
          <w:iCs/>
          <w:szCs w:val="24"/>
          <w:u w:val="single"/>
        </w:rPr>
        <w:t>insert justification for factor</w:t>
      </w:r>
      <w:r w:rsidR="00B523FB" w:rsidRPr="002B283E">
        <w:rPr>
          <w:rFonts w:cs="Times New Roman"/>
          <w:szCs w:val="24"/>
        </w:rPr>
        <w:t>].</w:t>
      </w:r>
    </w:p>
    <w:p w14:paraId="3462044D" w14:textId="77777777" w:rsidR="00B523FB" w:rsidRPr="002B283E" w:rsidRDefault="00B523FB" w:rsidP="002B283E">
      <w:pPr>
        <w:autoSpaceDE w:val="0"/>
        <w:autoSpaceDN w:val="0"/>
        <w:adjustRightInd w:val="0"/>
        <w:rPr>
          <w:rFonts w:cs="Times New Roman"/>
          <w:szCs w:val="24"/>
        </w:rPr>
      </w:pPr>
    </w:p>
    <w:p w14:paraId="2F4BC275" w14:textId="64901F7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086FDD19" w14:textId="77777777" w:rsidR="00B523FB" w:rsidRPr="002B283E" w:rsidRDefault="00B523FB" w:rsidP="002B283E">
      <w:pPr>
        <w:autoSpaceDE w:val="0"/>
        <w:autoSpaceDN w:val="0"/>
        <w:adjustRightInd w:val="0"/>
        <w:rPr>
          <w:rFonts w:cs="Times New Roman"/>
          <w:szCs w:val="24"/>
        </w:rPr>
      </w:pPr>
    </w:p>
    <w:p w14:paraId="4681AC59" w14:textId="77777777" w:rsidR="00B523FB" w:rsidRPr="002B283E" w:rsidRDefault="00B523FB" w:rsidP="002B283E">
      <w:pPr>
        <w:autoSpaceDE w:val="0"/>
        <w:autoSpaceDN w:val="0"/>
        <w:adjustRightInd w:val="0"/>
        <w:jc w:val="center"/>
        <w:rPr>
          <w:rFonts w:cs="Times New Roman"/>
          <w:szCs w:val="24"/>
        </w:rPr>
      </w:pPr>
      <w:r w:rsidRPr="002B283E">
        <w:rPr>
          <w:rFonts w:cs="Times New Roman"/>
          <w:b/>
          <w:bCs/>
          <w:szCs w:val="24"/>
        </w:rPr>
        <w:t>Comment</w:t>
      </w:r>
    </w:p>
    <w:p w14:paraId="77BDA8DF" w14:textId="77777777" w:rsidR="00B523FB" w:rsidRPr="002B283E" w:rsidRDefault="00B523FB" w:rsidP="002B283E">
      <w:pPr>
        <w:autoSpaceDE w:val="0"/>
        <w:autoSpaceDN w:val="0"/>
        <w:adjustRightInd w:val="0"/>
        <w:rPr>
          <w:rFonts w:cs="Times New Roman"/>
          <w:szCs w:val="24"/>
        </w:rPr>
      </w:pPr>
    </w:p>
    <w:p w14:paraId="42046B59" w14:textId="40E9AF2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Distinctions “based on reasonable factors other than age” </w:t>
      </w:r>
      <w:r w:rsidR="00850B97">
        <w:rPr>
          <w:rFonts w:cs="Times New Roman"/>
          <w:szCs w:val="24"/>
        </w:rPr>
        <w:t>(</w:t>
      </w:r>
      <w:r w:rsidRPr="002B283E">
        <w:rPr>
          <w:rFonts w:cs="Times New Roman"/>
          <w:szCs w:val="24"/>
        </w:rPr>
        <w:t xml:space="preserve">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Pr="002B283E">
        <w:rPr>
          <w:rFonts w:cs="Times New Roman"/>
          <w:i/>
          <w:iCs/>
          <w:szCs w:val="24"/>
        </w:rPr>
        <w:t>See generally Smith v. City of Jackson</w:t>
      </w:r>
      <w:r w:rsidRPr="002B283E">
        <w:rPr>
          <w:rFonts w:cs="Times New Roman"/>
          <w:szCs w:val="24"/>
        </w:rPr>
        <w:t xml:space="preserve">, 544 U.S. 228, 239 (2005) (“It is . . . in cases involving disparate-impact claims that the RFOA provision plays its principal role by precluding liability if the adverse impact was attributable to a nonage factor that was ‘reasonable.’”); </w:t>
      </w:r>
      <w:r w:rsidRPr="002B283E">
        <w:rPr>
          <w:rFonts w:cs="Times New Roman"/>
          <w:i/>
          <w:iCs/>
          <w:szCs w:val="24"/>
        </w:rPr>
        <w:t>see also Meacham v. Knolls Atomic Power Lab</w:t>
      </w:r>
      <w:r w:rsidR="001B6116">
        <w:rPr>
          <w:rFonts w:cs="Times New Roman"/>
          <w:i/>
          <w:iCs/>
          <w:szCs w:val="24"/>
        </w:rPr>
        <w:t>’y</w:t>
      </w:r>
      <w:r w:rsidRPr="002B283E">
        <w:rPr>
          <w:rFonts w:cs="Times New Roman"/>
          <w:i/>
          <w:iCs/>
          <w:szCs w:val="24"/>
        </w:rPr>
        <w:t>.</w:t>
      </w:r>
      <w:r w:rsidRPr="002B283E">
        <w:rPr>
          <w:rFonts w:cs="Times New Roman"/>
          <w:szCs w:val="24"/>
        </w:rPr>
        <w:t>, 554 U.S. 84, 96 (2008) (noting that</w:t>
      </w:r>
      <w:r w:rsidR="001B6116">
        <w:rPr>
          <w:rFonts w:cs="Times New Roman"/>
          <w:szCs w:val="24"/>
        </w:rPr>
        <w:t xml:space="preserve"> the</w:t>
      </w:r>
      <w:r w:rsidRPr="002B283E">
        <w:rPr>
          <w:rFonts w:cs="Times New Roman"/>
          <w:szCs w:val="24"/>
        </w:rPr>
        <w:t xml:space="preserve"> factor relied on by </w:t>
      </w:r>
      <w:r w:rsidR="001B6116">
        <w:rPr>
          <w:rFonts w:cs="Times New Roman"/>
          <w:szCs w:val="24"/>
        </w:rPr>
        <w:t xml:space="preserve">the </w:t>
      </w:r>
      <w:r w:rsidRPr="002B283E">
        <w:rPr>
          <w:rFonts w:cs="Times New Roman"/>
          <w:szCs w:val="24"/>
        </w:rPr>
        <w:t xml:space="preserve">employer must be </w:t>
      </w:r>
      <w:r w:rsidR="001B6116">
        <w:rPr>
          <w:rFonts w:cs="Times New Roman"/>
          <w:szCs w:val="24"/>
        </w:rPr>
        <w:t xml:space="preserve">a </w:t>
      </w:r>
      <w:r w:rsidRPr="002B283E">
        <w:rPr>
          <w:rFonts w:cs="Times New Roman"/>
          <w:szCs w:val="24"/>
        </w:rPr>
        <w:t>reasonable one, which may lean more heavily on older workers, as against younger ones).</w:t>
      </w:r>
    </w:p>
    <w:p w14:paraId="3E970462" w14:textId="77777777" w:rsidR="00B523FB" w:rsidRPr="002B283E" w:rsidRDefault="00B523FB" w:rsidP="002B283E">
      <w:pPr>
        <w:autoSpaceDE w:val="0"/>
        <w:autoSpaceDN w:val="0"/>
        <w:adjustRightInd w:val="0"/>
        <w:rPr>
          <w:rFonts w:cs="Times New Roman"/>
          <w:szCs w:val="24"/>
        </w:rPr>
      </w:pPr>
    </w:p>
    <w:p w14:paraId="428FEF48" w14:textId="4B4A16EC"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In a disparate treatment case, instruction on RFOA as an affirmative defense will be unnecessary because the plaintiff already bears the burden of proving that the employer’s decision was, in fact, based on age. </w:t>
      </w:r>
      <w:r w:rsidRPr="002B283E">
        <w:rPr>
          <w:rFonts w:cs="Times New Roman"/>
          <w:i/>
          <w:iCs/>
          <w:szCs w:val="24"/>
        </w:rPr>
        <w:t>See Smith</w:t>
      </w:r>
      <w:r w:rsidRPr="002B283E">
        <w:rPr>
          <w:rFonts w:cs="Times New Roman"/>
          <w:szCs w:val="24"/>
        </w:rPr>
        <w:t>, 544 U.S.</w:t>
      </w:r>
      <w:r w:rsidRPr="002B283E">
        <w:rPr>
          <w:rFonts w:cs="Times New Roman"/>
          <w:i/>
          <w:iCs/>
          <w:szCs w:val="24"/>
        </w:rPr>
        <w:t xml:space="preserve"> </w:t>
      </w:r>
      <w:r w:rsidRPr="002B283E">
        <w:rPr>
          <w:rFonts w:cs="Times New Roman"/>
          <w:szCs w:val="24"/>
        </w:rPr>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26DB622B" w14:textId="77777777" w:rsidR="00B523FB" w:rsidRPr="002B283E" w:rsidRDefault="00B523FB" w:rsidP="002B283E">
      <w:pPr>
        <w:autoSpaceDE w:val="0"/>
        <w:autoSpaceDN w:val="0"/>
        <w:adjustRightInd w:val="0"/>
        <w:rPr>
          <w:rFonts w:cs="Times New Roman"/>
          <w:szCs w:val="24"/>
        </w:rPr>
      </w:pPr>
    </w:p>
    <w:p w14:paraId="4951CA43" w14:textId="254187DE" w:rsidR="00B523FB" w:rsidRPr="002B283E" w:rsidRDefault="00B523FB" w:rsidP="002B283E">
      <w:pPr>
        <w:rPr>
          <w:rFonts w:cs="Times New Roman"/>
          <w:szCs w:val="24"/>
        </w:rPr>
      </w:pPr>
      <w:r w:rsidRPr="002B283E">
        <w:rPr>
          <w:rFonts w:cs="Times New Roman"/>
          <w:szCs w:val="24"/>
        </w:rPr>
        <w:tab/>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Pr="002B283E">
        <w:rPr>
          <w:rFonts w:cs="Times New Roman"/>
          <w:i/>
          <w:iCs/>
          <w:szCs w:val="24"/>
        </w:rPr>
        <w:t>See Smith</w:t>
      </w:r>
      <w:r w:rsidRPr="002B283E">
        <w:rPr>
          <w:rFonts w:cs="Times New Roman"/>
          <w:szCs w:val="24"/>
        </w:rPr>
        <w:t xml:space="preserve">, 544 U.S. at 243. Thus, the instruction requires the defendant to show: (1) a factor other than age; (2) a legitimate business purpose; and (3) a reasonable </w:t>
      </w:r>
      <w:r w:rsidRPr="002B283E">
        <w:rPr>
          <w:rFonts w:cs="Times New Roman"/>
          <w:szCs w:val="24"/>
        </w:rPr>
        <w:lastRenderedPageBreak/>
        <w:t xml:space="preserve">relationship between the two. </w:t>
      </w:r>
      <w:r w:rsidRPr="002B283E">
        <w:rPr>
          <w:rFonts w:cs="Times New Roman"/>
          <w:i/>
          <w:iCs/>
          <w:szCs w:val="24"/>
        </w:rPr>
        <w:t>See id.</w:t>
      </w:r>
      <w:r w:rsidRPr="002B283E">
        <w:rPr>
          <w:rFonts w:cs="Times New Roman"/>
          <w:szCs w:val="24"/>
        </w:rPr>
        <w:t xml:space="preserve"> at 242 (non-age consideration disparately impacting older workers is </w:t>
      </w:r>
      <w:r w:rsidR="001B6116">
        <w:rPr>
          <w:rFonts w:cs="Times New Roman"/>
          <w:szCs w:val="24"/>
        </w:rPr>
        <w:t xml:space="preserve">a </w:t>
      </w:r>
      <w:r w:rsidRPr="002B283E">
        <w:rPr>
          <w:rFonts w:cs="Times New Roman"/>
          <w:szCs w:val="24"/>
        </w:rPr>
        <w:t>“reasonable factor other than age” when it “respond[s] to the [employer’s] legitimate goal”).</w:t>
      </w:r>
    </w:p>
    <w:p w14:paraId="61C9407C" w14:textId="77777777" w:rsidR="00B523FB" w:rsidRPr="002B283E" w:rsidRDefault="00B523FB" w:rsidP="002B283E">
      <w:pPr>
        <w:rPr>
          <w:rFonts w:cs="Times New Roman"/>
          <w:szCs w:val="24"/>
        </w:rPr>
      </w:pPr>
    </w:p>
    <w:p w14:paraId="00BBAE37" w14:textId="024B2B0A" w:rsidR="00B523FB" w:rsidRPr="002B283E" w:rsidRDefault="00B523FB" w:rsidP="002B283E">
      <w:pPr>
        <w:rPr>
          <w:rFonts w:cs="Times New Roman"/>
          <w:szCs w:val="24"/>
        </w:rPr>
      </w:pPr>
      <w:r w:rsidRPr="002B283E">
        <w:rPr>
          <w:rFonts w:cs="Times New Roman"/>
          <w:szCs w:val="24"/>
        </w:rPr>
        <w:t>            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411-12 (2020) (analyzing 29 U.S. § 633a(a))</w:t>
      </w:r>
      <w:r w:rsidR="00A87F6E">
        <w:rPr>
          <w:rFonts w:cs="Times New Roman"/>
          <w:szCs w:val="24"/>
        </w:rPr>
        <w:t xml:space="preserve">. </w:t>
      </w:r>
      <w:r w:rsidRPr="002B283E">
        <w:rPr>
          <w:rFonts w:cs="Times New Roman"/>
          <w:szCs w:val="24"/>
        </w:rPr>
        <w:t>Rather, a federal employee is entitled to relief upon a showing of being “subjected to unequal consideration.” </w:t>
      </w:r>
      <w:r w:rsidRPr="002B283E">
        <w:rPr>
          <w:rFonts w:cs="Times New Roman"/>
          <w:i/>
          <w:iCs/>
          <w:szCs w:val="24"/>
        </w:rPr>
        <w:t>Id. </w:t>
      </w:r>
      <w:r w:rsidRPr="002B283E">
        <w:rPr>
          <w:rFonts w:cs="Times New Roman"/>
          <w:szCs w:val="24"/>
        </w:rPr>
        <w:t>However, that showing will support only “injunctive or other forward-looking relief.” </w:t>
      </w:r>
      <w:r w:rsidRPr="002B283E">
        <w:rPr>
          <w:rFonts w:cs="Times New Roman"/>
          <w:i/>
          <w:iCs/>
          <w:szCs w:val="24"/>
        </w:rPr>
        <w:t>Id. </w:t>
      </w:r>
      <w:r w:rsidRPr="002B283E">
        <w:rPr>
          <w:rFonts w:cs="Times New Roman"/>
          <w:szCs w:val="24"/>
        </w:rPr>
        <w:t>at</w:t>
      </w:r>
      <w:r w:rsidR="00850B97">
        <w:rPr>
          <w:rFonts w:cs="Times New Roman"/>
          <w:szCs w:val="24"/>
        </w:rPr>
        <w:t xml:space="preserve"> </w:t>
      </w:r>
      <w:r w:rsidRPr="002B283E">
        <w:rPr>
          <w:rFonts w:cs="Times New Roman"/>
          <w:szCs w:val="24"/>
        </w:rPr>
        <w:t>413. To “obtain reinstatement, backpay, compensatory damages, or other forms of relief related to the end result of an employment decision,” a federal employee must satisfy the “but-for” causation standard. </w:t>
      </w:r>
      <w:r w:rsidRPr="002B283E">
        <w:rPr>
          <w:rFonts w:cs="Times New Roman"/>
          <w:i/>
          <w:iCs/>
          <w:szCs w:val="24"/>
        </w:rPr>
        <w:t>Id.</w:t>
      </w:r>
    </w:p>
    <w:p w14:paraId="3B172D4D" w14:textId="77777777" w:rsidR="00B523FB" w:rsidRPr="002B283E" w:rsidRDefault="00B523FB" w:rsidP="002B283E">
      <w:pPr>
        <w:rPr>
          <w:rFonts w:cs="Times New Roman"/>
          <w:szCs w:val="24"/>
        </w:rPr>
      </w:pPr>
    </w:p>
    <w:p w14:paraId="0331BB18" w14:textId="77777777" w:rsidR="00B523FB" w:rsidRPr="002B283E" w:rsidRDefault="00B523FB" w:rsidP="002B283E">
      <w:pPr>
        <w:rPr>
          <w:rFonts w:cs="Times New Roman"/>
          <w:szCs w:val="24"/>
        </w:rPr>
      </w:pPr>
    </w:p>
    <w:p w14:paraId="5EBCEAC7" w14:textId="74AFE352" w:rsidR="006A4CD7" w:rsidRPr="002B283E" w:rsidRDefault="00B523FB" w:rsidP="002B283E">
      <w:pPr>
        <w:jc w:val="right"/>
        <w:rPr>
          <w:rFonts w:cs="Times New Roman"/>
          <w:szCs w:val="24"/>
        </w:rPr>
      </w:pPr>
      <w:r w:rsidRPr="002B283E">
        <w:rPr>
          <w:rFonts w:cs="Times New Roman"/>
          <w:i/>
          <w:iCs/>
          <w:szCs w:val="24"/>
        </w:rPr>
        <w:t>Revised June 2024</w:t>
      </w:r>
      <w:r w:rsidR="006A4CD7" w:rsidRPr="002B283E">
        <w:rPr>
          <w:rFonts w:cs="Times New Roman"/>
          <w:i/>
          <w:iCs/>
          <w:szCs w:val="24"/>
        </w:rPr>
        <w:t xml:space="preserve"> </w:t>
      </w:r>
    </w:p>
    <w:p w14:paraId="1087BDB8" w14:textId="6A3E8171" w:rsidR="006A4CD7" w:rsidRPr="002B283E" w:rsidRDefault="006A4CD7" w:rsidP="002B283E">
      <w:pPr>
        <w:pStyle w:val="Heading2"/>
      </w:pPr>
      <w:r w:rsidRPr="002B283E">
        <w:br w:type="page"/>
      </w:r>
      <w:bookmarkStart w:id="288" w:name="_Toc221525243"/>
      <w:r w:rsidRPr="002B283E">
        <w:lastRenderedPageBreak/>
        <w:t xml:space="preserve">11.12 </w:t>
      </w:r>
      <w:r w:rsidR="00223463" w:rsidRPr="002B283E">
        <w:t>Age Discrimination—Damages</w:t>
      </w:r>
      <w:bookmarkEnd w:id="288"/>
    </w:p>
    <w:p w14:paraId="42860520" w14:textId="77777777" w:rsidR="006A4CD7" w:rsidRPr="002B283E" w:rsidRDefault="006A4CD7" w:rsidP="002B283E">
      <w:pPr>
        <w:rPr>
          <w:rFonts w:cs="Times New Roman"/>
          <w:szCs w:val="24"/>
        </w:rPr>
      </w:pPr>
    </w:p>
    <w:p w14:paraId="2A7F68D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4E55C70" w14:textId="77777777" w:rsidR="006A4CD7" w:rsidRPr="002B283E" w:rsidRDefault="006A4CD7" w:rsidP="002B283E">
      <w:pPr>
        <w:rPr>
          <w:rFonts w:cs="Times New Roman"/>
          <w:szCs w:val="24"/>
        </w:rPr>
      </w:pPr>
    </w:p>
    <w:p w14:paraId="1E182336" w14:textId="327CEE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following instructions address damages calculations in ADEA cases. For general discussion of damages in civil cases, </w:t>
      </w:r>
      <w:r w:rsidRPr="008A04C2">
        <w:rPr>
          <w:rFonts w:cs="Times New Roman"/>
          <w:szCs w:val="24"/>
        </w:rPr>
        <w:t>see</w:t>
      </w:r>
      <w:r w:rsidRPr="00850B97">
        <w:rPr>
          <w:rFonts w:cs="Times New Roman"/>
          <w:szCs w:val="24"/>
        </w:rPr>
        <w:t xml:space="preserve"> </w:t>
      </w:r>
      <w:r w:rsidRPr="002B283E">
        <w:rPr>
          <w:rFonts w:cs="Times New Roman"/>
          <w:szCs w:val="24"/>
        </w:rPr>
        <w:t>Chapter 5 (Damages).</w:t>
      </w:r>
    </w:p>
    <w:p w14:paraId="1F0B7F19" w14:textId="77777777" w:rsidR="009F714C" w:rsidRPr="002B283E" w:rsidRDefault="009F714C" w:rsidP="002B283E">
      <w:pPr>
        <w:autoSpaceDE w:val="0"/>
        <w:autoSpaceDN w:val="0"/>
        <w:adjustRightInd w:val="0"/>
        <w:rPr>
          <w:rFonts w:cs="Times New Roman"/>
          <w:szCs w:val="24"/>
        </w:rPr>
      </w:pPr>
    </w:p>
    <w:p w14:paraId="1717A991" w14:textId="232A22E6" w:rsidR="006A4CD7" w:rsidRPr="002B283E" w:rsidRDefault="006A4CD7" w:rsidP="002B283E">
      <w:pPr>
        <w:pStyle w:val="Heading2"/>
      </w:pPr>
      <w:r w:rsidRPr="002B283E">
        <w:br w:type="page"/>
      </w:r>
      <w:bookmarkStart w:id="289" w:name="_Toc221525244"/>
      <w:r w:rsidRPr="002B283E">
        <w:lastRenderedPageBreak/>
        <w:t xml:space="preserve">11.13 </w:t>
      </w:r>
      <w:r w:rsidR="00223463" w:rsidRPr="002B283E">
        <w:t>Age Discrimination—Damages—Back Pay—Mitigation</w:t>
      </w:r>
      <w:bookmarkEnd w:id="289"/>
    </w:p>
    <w:p w14:paraId="01D0DE18" w14:textId="77777777" w:rsidR="006A4CD7" w:rsidRPr="002B283E" w:rsidRDefault="006A4CD7" w:rsidP="002B283E">
      <w:pPr>
        <w:rPr>
          <w:rFonts w:cs="Times New Roman"/>
          <w:szCs w:val="24"/>
        </w:rPr>
      </w:pPr>
    </w:p>
    <w:p w14:paraId="6774CFF8" w14:textId="5E061DB9" w:rsidR="00144B53" w:rsidRPr="002B283E" w:rsidRDefault="006A4CD7" w:rsidP="002B283E">
      <w:pPr>
        <w:autoSpaceDE w:val="0"/>
        <w:autoSpaceDN w:val="0"/>
        <w:adjustRightInd w:val="0"/>
        <w:rPr>
          <w:rFonts w:cs="Times New Roman"/>
          <w:szCs w:val="24"/>
        </w:rPr>
      </w:pPr>
      <w:r w:rsidRPr="002B283E">
        <w:rPr>
          <w:rFonts w:cs="Times New Roman"/>
          <w:szCs w:val="24"/>
        </w:rPr>
        <w:tab/>
      </w:r>
      <w:r w:rsidR="00144B53" w:rsidRPr="002B283E">
        <w:rPr>
          <w:rFonts w:cs="Times New Roman"/>
          <w:szCs w:val="24"/>
        </w:rPr>
        <w:t>If you find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00144B53" w:rsidRPr="002B283E">
        <w:rPr>
          <w:rFonts w:cs="Times New Roman"/>
          <w:szCs w:val="24"/>
        </w:rPr>
        <w:t>[on the plaintiff’s ADEA claim], you must determine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’s damages. Damages means the amount of money that will reasonably and fairly compensate the plaintiff for any loss of [pay] [wages] [benefits] you find was caused by the discriminatory act of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 You may award the following:</w:t>
      </w:r>
      <w:r w:rsidR="00144B53" w:rsidRPr="002B283E">
        <w:rPr>
          <w:rFonts w:cs="Times New Roman"/>
          <w:szCs w:val="24"/>
        </w:rPr>
        <w:br/>
      </w:r>
    </w:p>
    <w:p w14:paraId="075B3B4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Back Pay:</w:t>
      </w:r>
    </w:p>
    <w:p w14:paraId="51FDF8FF" w14:textId="77777777" w:rsidR="00144B53" w:rsidRPr="002B283E" w:rsidRDefault="00144B53" w:rsidP="002B283E">
      <w:pPr>
        <w:autoSpaceDE w:val="0"/>
        <w:autoSpaceDN w:val="0"/>
        <w:adjustRightInd w:val="0"/>
        <w:rPr>
          <w:rFonts w:cs="Times New Roman"/>
          <w:szCs w:val="24"/>
        </w:rPr>
      </w:pPr>
    </w:p>
    <w:p w14:paraId="17461F30" w14:textId="461C983D"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Award: Back pay includes any [back wages] [lost pay] [and employee benefits] the plaintiff would have received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the burden of proving both the existence and the amount of back pay by a preponderance of the evidence. </w:t>
      </w:r>
      <w:r w:rsidRPr="002B283E">
        <w:rPr>
          <w:rFonts w:cs="Times New Roman"/>
          <w:szCs w:val="24"/>
        </w:rPr>
        <w:br/>
      </w:r>
    </w:p>
    <w:p w14:paraId="78273207" w14:textId="564B4A32"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Mitigation of Back Pay Award: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undertake reasonable measures to minimize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 xml:space="preserve">damages and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is not required to compensate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for avoidable damages. Thus, your award of back pay should be reduced by the amount of damages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actually avoided, or could have avoided,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had made reasonable efforts.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reduced.</w:t>
      </w:r>
    </w:p>
    <w:p w14:paraId="12B71C39" w14:textId="77777777" w:rsidR="00144B53" w:rsidRPr="002B283E" w:rsidRDefault="00144B53" w:rsidP="002B283E">
      <w:pPr>
        <w:autoSpaceDE w:val="0"/>
        <w:autoSpaceDN w:val="0"/>
        <w:adjustRightInd w:val="0"/>
        <w:rPr>
          <w:rFonts w:cs="Times New Roman"/>
          <w:szCs w:val="24"/>
        </w:rPr>
      </w:pPr>
    </w:p>
    <w:p w14:paraId="15C27CEB" w14:textId="77777777" w:rsidR="00144B53" w:rsidRPr="002B283E" w:rsidRDefault="00144B53" w:rsidP="002B283E">
      <w:pPr>
        <w:autoSpaceDE w:val="0"/>
        <w:autoSpaceDN w:val="0"/>
        <w:adjustRightInd w:val="0"/>
        <w:ind w:left="720"/>
        <w:rPr>
          <w:rFonts w:cs="Times New Roman"/>
          <w:szCs w:val="24"/>
        </w:rPr>
      </w:pPr>
      <w:r w:rsidRPr="002B283E">
        <w:rPr>
          <w:rFonts w:cs="Times New Roman"/>
          <w:szCs w:val="24"/>
        </w:rPr>
        <w:t>Therefore:</w:t>
      </w:r>
    </w:p>
    <w:p w14:paraId="613EFE6A" w14:textId="77777777" w:rsidR="00144B53" w:rsidRPr="002B283E" w:rsidRDefault="00144B53" w:rsidP="002B283E">
      <w:pPr>
        <w:autoSpaceDE w:val="0"/>
        <w:autoSpaceDN w:val="0"/>
        <w:adjustRightInd w:val="0"/>
        <w:rPr>
          <w:rFonts w:cs="Times New Roman"/>
          <w:szCs w:val="24"/>
        </w:rPr>
      </w:pPr>
    </w:p>
    <w:p w14:paraId="48B30771" w14:textId="6CA3416E" w:rsidR="00144B53" w:rsidRPr="002B283E" w:rsidRDefault="00144B53" w:rsidP="002B283E">
      <w:pPr>
        <w:autoSpaceDE w:val="0"/>
        <w:autoSpaceDN w:val="0"/>
        <w:adjustRightInd w:val="0"/>
        <w:ind w:left="1440"/>
        <w:rPr>
          <w:rFonts w:cs="Times New Roman"/>
          <w:szCs w:val="24"/>
        </w:rPr>
      </w:pPr>
      <w:r w:rsidRPr="002B283E">
        <w:rPr>
          <w:rFonts w:cs="Times New Roman"/>
          <w:szCs w:val="24"/>
        </w:rPr>
        <w:t>a</w:t>
      </w:r>
      <w:r w:rsidR="00A87F6E">
        <w:rPr>
          <w:rFonts w:cs="Times New Roman"/>
          <w:szCs w:val="24"/>
        </w:rPr>
        <w:t xml:space="preserve">. </w:t>
      </w:r>
      <w:r w:rsidRPr="002B283E">
        <w:rPr>
          <w:rFonts w:cs="Times New Roman"/>
          <w:szCs w:val="24"/>
        </w:rPr>
        <w:t xml:space="preserve">You must deduct any wages or other earnings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received from other employment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w:t>
      </w:r>
    </w:p>
    <w:p w14:paraId="17315936" w14:textId="4A26754A" w:rsidR="00144B53" w:rsidRPr="002B283E" w:rsidRDefault="00144B53" w:rsidP="002B283E">
      <w:pPr>
        <w:autoSpaceDE w:val="0"/>
        <w:autoSpaceDN w:val="0"/>
        <w:adjustRightInd w:val="0"/>
        <w:ind w:left="1440"/>
        <w:rPr>
          <w:rFonts w:cs="Times New Roman"/>
          <w:szCs w:val="24"/>
        </w:rPr>
      </w:pPr>
      <w:r w:rsidRPr="002B283E">
        <w:rPr>
          <w:rFonts w:cs="Times New Roman"/>
          <w:szCs w:val="24"/>
        </w:rPr>
        <w:br/>
        <w:t xml:space="preserve">[b. You must deduct any severance pay [and pension benefits]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received after the discharge.]</w:t>
      </w:r>
    </w:p>
    <w:p w14:paraId="5B383A51" w14:textId="77777777" w:rsidR="00144B53" w:rsidRPr="002B283E" w:rsidRDefault="00144B53" w:rsidP="002B283E">
      <w:pPr>
        <w:autoSpaceDE w:val="0"/>
        <w:autoSpaceDN w:val="0"/>
        <w:adjustRightInd w:val="0"/>
        <w:rPr>
          <w:rFonts w:cs="Times New Roman"/>
          <w:szCs w:val="24"/>
        </w:rPr>
      </w:pPr>
    </w:p>
    <w:p w14:paraId="17221D21" w14:textId="406E7D9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[b.] [c.] If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proves by a preponderance of the evidence either:</w:t>
      </w:r>
    </w:p>
    <w:p w14:paraId="12C43D74" w14:textId="77777777" w:rsidR="00144B53" w:rsidRPr="002B283E" w:rsidRDefault="00144B53" w:rsidP="002B283E">
      <w:pPr>
        <w:autoSpaceDE w:val="0"/>
        <w:autoSpaceDN w:val="0"/>
        <w:adjustRightInd w:val="0"/>
        <w:rPr>
          <w:rFonts w:cs="Times New Roman"/>
          <w:szCs w:val="24"/>
        </w:rPr>
      </w:pPr>
    </w:p>
    <w:p w14:paraId="0D76430A" w14:textId="51C27C4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unjustifiably failed to take a new job of like kind, status, and pay which was available to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or </w:t>
      </w:r>
    </w:p>
    <w:p w14:paraId="0CF69D72" w14:textId="77777777" w:rsidR="00144B53" w:rsidRPr="002B283E" w:rsidRDefault="00144B53" w:rsidP="002B283E">
      <w:pPr>
        <w:autoSpaceDE w:val="0"/>
        <w:autoSpaceDN w:val="0"/>
        <w:adjustRightInd w:val="0"/>
        <w:rPr>
          <w:rFonts w:cs="Times New Roman"/>
          <w:szCs w:val="24"/>
        </w:rPr>
      </w:pPr>
    </w:p>
    <w:p w14:paraId="6C02C47A" w14:textId="2D25823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failed to make reasonable efforts to find such new job;</w:t>
      </w:r>
    </w:p>
    <w:p w14:paraId="413860A6" w14:textId="77777777" w:rsidR="00144B53" w:rsidRPr="002B283E" w:rsidRDefault="00144B53" w:rsidP="002B283E">
      <w:pPr>
        <w:autoSpaceDE w:val="0"/>
        <w:autoSpaceDN w:val="0"/>
        <w:adjustRightInd w:val="0"/>
        <w:rPr>
          <w:rFonts w:cs="Times New Roman"/>
          <w:szCs w:val="24"/>
        </w:rPr>
      </w:pPr>
    </w:p>
    <w:p w14:paraId="2AE0A28A" w14:textId="04EF8336" w:rsidR="00144B53" w:rsidRPr="002B283E" w:rsidRDefault="00144B53" w:rsidP="002B283E">
      <w:pPr>
        <w:autoSpaceDE w:val="0"/>
        <w:autoSpaceDN w:val="0"/>
        <w:adjustRightInd w:val="0"/>
        <w:ind w:left="1440"/>
        <w:rPr>
          <w:rFonts w:cs="Times New Roman"/>
          <w:szCs w:val="24"/>
        </w:rPr>
      </w:pPr>
      <w:r w:rsidRPr="002B283E">
        <w:rPr>
          <w:rFonts w:cs="Times New Roman"/>
          <w:szCs w:val="24"/>
        </w:rPr>
        <w:lastRenderedPageBreak/>
        <w:t xml:space="preserve">you must subtract from the back pay award the amount of money you find that the plaintiff </w:t>
      </w:r>
      <w:r w:rsidR="001B6116" w:rsidRPr="005F6DAD">
        <w:rPr>
          <w:rFonts w:cs="Times New Roman"/>
          <w:szCs w:val="24"/>
        </w:rPr>
        <w:t>[</w:t>
      </w:r>
      <w:r w:rsidR="001B6116" w:rsidRPr="005F6DAD">
        <w:rPr>
          <w:rFonts w:cs="Times New Roman"/>
          <w:i/>
          <w:iCs/>
          <w:szCs w:val="24"/>
          <w:u w:val="single"/>
        </w:rPr>
        <w:t>name</w:t>
      </w:r>
      <w:r w:rsidR="001B6116" w:rsidRPr="005F6DAD">
        <w:rPr>
          <w:rFonts w:cs="Times New Roman"/>
          <w:szCs w:val="24"/>
        </w:rPr>
        <w:t>]</w:t>
      </w:r>
      <w:r w:rsidR="001B6116" w:rsidRPr="00E202F5">
        <w:t xml:space="preserve"> </w:t>
      </w:r>
      <w:r w:rsidRPr="002B283E">
        <w:rPr>
          <w:rFonts w:cs="Times New Roman"/>
          <w:szCs w:val="24"/>
        </w:rPr>
        <w:t xml:space="preserve">could have earned from the time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could have obtained such new job [or should have obtained from such new job, had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made reasonable efforts to find such new job] to the [date of trial] [date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[declined] [accepted] reinstatement].]</w:t>
      </w:r>
    </w:p>
    <w:p w14:paraId="06C840A2" w14:textId="77777777" w:rsidR="00144B53" w:rsidRPr="002B283E" w:rsidRDefault="00144B53" w:rsidP="002B283E">
      <w:pPr>
        <w:autoSpaceDE w:val="0"/>
        <w:autoSpaceDN w:val="0"/>
        <w:adjustRightInd w:val="0"/>
        <w:ind w:left="1440"/>
        <w:rPr>
          <w:rFonts w:cs="Times New Roman"/>
          <w:szCs w:val="24"/>
        </w:rPr>
      </w:pPr>
    </w:p>
    <w:p w14:paraId="4B6438AE" w14:textId="77777777" w:rsidR="00144B53" w:rsidRPr="002B283E" w:rsidRDefault="00144B53" w:rsidP="002B283E">
      <w:pPr>
        <w:autoSpaceDE w:val="0"/>
        <w:autoSpaceDN w:val="0"/>
        <w:adjustRightInd w:val="0"/>
        <w:jc w:val="center"/>
        <w:rPr>
          <w:rFonts w:cs="Times New Roman"/>
          <w:szCs w:val="24"/>
        </w:rPr>
      </w:pPr>
      <w:r w:rsidRPr="002B283E">
        <w:rPr>
          <w:rFonts w:cs="Times New Roman"/>
          <w:b/>
          <w:bCs/>
          <w:szCs w:val="24"/>
        </w:rPr>
        <w:t>Comment</w:t>
      </w:r>
    </w:p>
    <w:p w14:paraId="5EDF3D08" w14:textId="77777777" w:rsidR="00144B53" w:rsidRPr="002B283E" w:rsidRDefault="00144B53" w:rsidP="002B283E">
      <w:pPr>
        <w:rPr>
          <w:rFonts w:cs="Times New Roman"/>
          <w:szCs w:val="24"/>
        </w:rPr>
      </w:pPr>
    </w:p>
    <w:p w14:paraId="3535433C" w14:textId="4498F0E0"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On the issue of whether or not front pay is an issue for the court or for the jury, </w:t>
      </w:r>
      <w:r w:rsidRPr="009D528F">
        <w:rPr>
          <w:rFonts w:cs="Times New Roman"/>
          <w:szCs w:val="24"/>
        </w:rPr>
        <w:t xml:space="preserve">see </w:t>
      </w:r>
      <w:r w:rsidRPr="002B283E">
        <w:rPr>
          <w:rFonts w:cs="Times New Roman"/>
          <w:i/>
          <w:iCs/>
          <w:szCs w:val="24"/>
        </w:rPr>
        <w:t>Traxler v. Multnomah County</w:t>
      </w:r>
      <w:r w:rsidRPr="002B283E">
        <w:rPr>
          <w:rFonts w:cs="Times New Roman"/>
          <w:szCs w:val="24"/>
        </w:rPr>
        <w:t xml:space="preserve">, 596 F.3d 1007, 1012-14 (9th Cir. 2010), and </w:t>
      </w:r>
      <w:r w:rsidRPr="002B283E">
        <w:rPr>
          <w:rFonts w:cs="Times New Roman"/>
          <w:i/>
          <w:iCs/>
          <w:szCs w:val="24"/>
        </w:rPr>
        <w:t>Cassino</w:t>
      </w:r>
      <w:r w:rsidRPr="002B283E">
        <w:rPr>
          <w:rFonts w:cs="Times New Roman"/>
          <w:szCs w:val="24"/>
        </w:rPr>
        <w:t xml:space="preserve"> </w:t>
      </w:r>
      <w:r w:rsidRPr="002B283E">
        <w:rPr>
          <w:rFonts w:cs="Times New Roman"/>
          <w:i/>
          <w:iCs/>
          <w:szCs w:val="24"/>
        </w:rPr>
        <w:t>v. Reichold Chems</w:t>
      </w:r>
      <w:r w:rsidR="001B6116">
        <w:rPr>
          <w:rFonts w:cs="Times New Roman"/>
          <w:i/>
          <w:iCs/>
          <w:szCs w:val="24"/>
        </w:rPr>
        <w:t>.</w:t>
      </w:r>
      <w:r w:rsidRPr="002B283E">
        <w:rPr>
          <w:rFonts w:cs="Times New Roman"/>
          <w:szCs w:val="24"/>
        </w:rPr>
        <w:t>, 817 F.2d 1338, 1346-47 (9th Cir. 1987). If it is determined that the front pay issue should go to an advisory jury, consider using the following language:</w:t>
      </w:r>
    </w:p>
    <w:p w14:paraId="57611AC7" w14:textId="77777777" w:rsidR="00144B53" w:rsidRPr="002B283E" w:rsidRDefault="00144B53" w:rsidP="002B283E">
      <w:pPr>
        <w:autoSpaceDE w:val="0"/>
        <w:autoSpaceDN w:val="0"/>
        <w:adjustRightInd w:val="0"/>
        <w:rPr>
          <w:rFonts w:cs="Times New Roman"/>
          <w:szCs w:val="24"/>
        </w:rPr>
      </w:pPr>
    </w:p>
    <w:p w14:paraId="434D372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Front Pay: </w:t>
      </w:r>
    </w:p>
    <w:p w14:paraId="0449E4D5" w14:textId="77777777" w:rsidR="00144B53" w:rsidRPr="002B283E" w:rsidRDefault="00144B53" w:rsidP="002B283E">
      <w:pPr>
        <w:autoSpaceDE w:val="0"/>
        <w:autoSpaceDN w:val="0"/>
        <w:adjustRightInd w:val="0"/>
        <w:rPr>
          <w:rFonts w:cs="Times New Roman"/>
          <w:szCs w:val="24"/>
        </w:rPr>
      </w:pPr>
    </w:p>
    <w:p w14:paraId="21DC770E" w14:textId="77CAF020"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a.</w:t>
      </w:r>
      <w:r w:rsidRPr="002B283E">
        <w:rPr>
          <w:rFonts w:cs="Times New Roman"/>
          <w:szCs w:val="24"/>
        </w:rPr>
        <w:tab/>
        <w:t xml:space="preserve">Award: An award for front pay compensates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for the loss of future [wages] [pay] [and employee benefits] that have been caused by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’s discriminatory act. You should award front pay to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compensate for these losses.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bears the burden of proving these losses by a preponderance of the evidence.</w:t>
      </w:r>
    </w:p>
    <w:p w14:paraId="21D005FE" w14:textId="77777777" w:rsidR="00144B53" w:rsidRPr="002B283E" w:rsidRDefault="00144B53" w:rsidP="002B283E">
      <w:pPr>
        <w:autoSpaceDE w:val="0"/>
        <w:autoSpaceDN w:val="0"/>
        <w:adjustRightInd w:val="0"/>
        <w:ind w:left="1440" w:hanging="720"/>
        <w:rPr>
          <w:rFonts w:cs="Times New Roman"/>
          <w:szCs w:val="24"/>
        </w:rPr>
      </w:pPr>
    </w:p>
    <w:p w14:paraId="448293B3" w14:textId="6913D2E3"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b.</w:t>
      </w:r>
      <w:r w:rsidRPr="002B283E">
        <w:rPr>
          <w:rFonts w:cs="Times New Roman"/>
          <w:szCs w:val="24"/>
        </w:rPr>
        <w:tab/>
        <w:t xml:space="preserve">Limit on Front Pay Award: Front pay is intended to be temporary in nature.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make reasonable efforts to obtain a new job of like kind, status, and pay. Thus, you must limit any award of front pay to compensate only for the period of time you find will be necessary for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obtain such a job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makes a reasonable effort.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be reduced.</w:t>
      </w:r>
    </w:p>
    <w:p w14:paraId="60691D3B" w14:textId="77777777" w:rsidR="00144B53" w:rsidRPr="002B283E" w:rsidRDefault="00144B53" w:rsidP="002B283E">
      <w:pPr>
        <w:autoSpaceDE w:val="0"/>
        <w:autoSpaceDN w:val="0"/>
        <w:adjustRightInd w:val="0"/>
        <w:ind w:left="1440" w:hanging="720"/>
        <w:rPr>
          <w:rFonts w:cs="Times New Roman"/>
          <w:szCs w:val="24"/>
        </w:rPr>
      </w:pPr>
    </w:p>
    <w:p w14:paraId="3B934D28" w14:textId="2331C1E9"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c.</w:t>
      </w:r>
      <w:r w:rsidRPr="002B283E">
        <w:rPr>
          <w:rFonts w:cs="Times New Roman"/>
          <w:szCs w:val="24"/>
        </w:rPr>
        <w:tab/>
        <w:t>Reduction to Present Cash Value: Any award of front pay must also be reduced to the present cash value of the award.</w:t>
      </w:r>
      <w:r w:rsidRPr="002B283E">
        <w:rPr>
          <w:rFonts w:cs="Times New Roman"/>
          <w:szCs w:val="24"/>
        </w:rPr>
        <w:br/>
      </w:r>
      <w:r w:rsidRPr="002B283E">
        <w:rPr>
          <w:rFonts w:cs="Times New Roman"/>
          <w:szCs w:val="24"/>
        </w:rPr>
        <w:br/>
      </w:r>
      <w:r w:rsidRPr="002B283E">
        <w:rPr>
          <w:rFonts w:cs="Times New Roman"/>
          <w:szCs w:val="24"/>
        </w:rPr>
        <w:tab/>
        <w:t>Present cash value means the sum of money needed now that, when invested at a reasonable rate of return, would be sufficient to pay the front pay at the time in the future when the money would have been earned by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r w:rsidRPr="002B283E">
        <w:rPr>
          <w:rFonts w:cs="Times New Roman"/>
          <w:szCs w:val="24"/>
        </w:rPr>
        <w:br/>
      </w:r>
      <w:r w:rsidRPr="002B283E">
        <w:rPr>
          <w:rFonts w:cs="Times New Roman"/>
          <w:szCs w:val="24"/>
        </w:rPr>
        <w:br/>
      </w: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w:t>
      </w:r>
      <w:r w:rsidR="00A87F6E">
        <w:rPr>
          <w:rFonts w:cs="Times New Roman"/>
          <w:szCs w:val="24"/>
        </w:rPr>
        <w:t xml:space="preserve">. </w:t>
      </w:r>
    </w:p>
    <w:p w14:paraId="1D03C084" w14:textId="77777777" w:rsidR="00144B53" w:rsidRPr="002B283E" w:rsidRDefault="00144B53" w:rsidP="002B283E">
      <w:pPr>
        <w:autoSpaceDE w:val="0"/>
        <w:autoSpaceDN w:val="0"/>
        <w:adjustRightInd w:val="0"/>
        <w:ind w:left="1440" w:hanging="720"/>
        <w:rPr>
          <w:rFonts w:cs="Times New Roman"/>
          <w:szCs w:val="24"/>
        </w:rPr>
      </w:pPr>
    </w:p>
    <w:p w14:paraId="33FD3848" w14:textId="77777777"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d.</w:t>
      </w:r>
      <w:r w:rsidRPr="002B283E">
        <w:rPr>
          <w:rFonts w:cs="Times New Roman"/>
          <w:szCs w:val="24"/>
        </w:rPr>
        <w:tab/>
        <w:t>You should also consider decreases in the value of money that may be caused by future inflation.</w:t>
      </w:r>
    </w:p>
    <w:p w14:paraId="14650211" w14:textId="77777777" w:rsidR="00144B53" w:rsidRPr="002B283E" w:rsidRDefault="00144B53" w:rsidP="002B283E">
      <w:pPr>
        <w:autoSpaceDE w:val="0"/>
        <w:autoSpaceDN w:val="0"/>
        <w:adjustRightInd w:val="0"/>
        <w:rPr>
          <w:rFonts w:cs="Times New Roman"/>
          <w:szCs w:val="24"/>
        </w:rPr>
      </w:pPr>
    </w:p>
    <w:p w14:paraId="020D0CD6" w14:textId="332F8921" w:rsidR="00144B53" w:rsidRDefault="00144B53" w:rsidP="002B283E">
      <w:pPr>
        <w:adjustRightInd w:val="0"/>
        <w:rPr>
          <w:rFonts w:cs="Times New Roman"/>
          <w:szCs w:val="24"/>
        </w:rPr>
      </w:pPr>
      <w:r w:rsidRPr="002B283E">
        <w:rPr>
          <w:rFonts w:cs="Times New Roman"/>
          <w:szCs w:val="24"/>
        </w:rPr>
        <w:tab/>
        <w:t xml:space="preserve">Unlike a Title VII plaintiff, an ADEA plaintiff has a right to jury trial on the issue of back pay, as well as any mitigation issues. </w:t>
      </w:r>
      <w:r w:rsidRPr="002B283E">
        <w:rPr>
          <w:rFonts w:cs="Times New Roman"/>
          <w:i/>
          <w:iCs/>
          <w:szCs w:val="24"/>
        </w:rPr>
        <w:t>See</w:t>
      </w:r>
      <w:r w:rsidRPr="002B283E">
        <w:rPr>
          <w:rFonts w:cs="Times New Roman"/>
          <w:szCs w:val="24"/>
        </w:rPr>
        <w:t xml:space="preserve"> </w:t>
      </w:r>
      <w:r w:rsidRPr="002B283E">
        <w:rPr>
          <w:rFonts w:cs="Times New Roman"/>
          <w:i/>
          <w:iCs/>
          <w:szCs w:val="24"/>
        </w:rPr>
        <w:t>Lorillard v. Pons</w:t>
      </w:r>
      <w:r w:rsidRPr="002B283E">
        <w:rPr>
          <w:rFonts w:cs="Times New Roman"/>
          <w:szCs w:val="24"/>
        </w:rPr>
        <w:t xml:space="preserve">, 434 U.S. 575, 582-83 (1978) (characterizing this remedy as “legal”); </w:t>
      </w:r>
      <w:r w:rsidRPr="002B283E">
        <w:rPr>
          <w:rFonts w:cs="Times New Roman"/>
          <w:i/>
          <w:iCs/>
          <w:szCs w:val="24"/>
        </w:rPr>
        <w:t>Tamosaitis v. URS Inc.</w:t>
      </w:r>
      <w:r w:rsidRPr="002B283E">
        <w:rPr>
          <w:rFonts w:cs="Times New Roman"/>
          <w:szCs w:val="24"/>
        </w:rPr>
        <w:t xml:space="preserve">, 781 F.3d 468, 485 (9th Cir. 2015) (discussing </w:t>
      </w:r>
      <w:r w:rsidRPr="002B283E">
        <w:rPr>
          <w:rFonts w:cs="Times New Roman"/>
          <w:i/>
          <w:iCs/>
          <w:szCs w:val="24"/>
        </w:rPr>
        <w:t>Lorillard</w:t>
      </w:r>
      <w:r w:rsidRPr="002B283E">
        <w:rPr>
          <w:rFonts w:cs="Times New Roman"/>
          <w:szCs w:val="24"/>
        </w:rPr>
        <w:t xml:space="preserve">); </w:t>
      </w:r>
      <w:r w:rsidRPr="002B283E">
        <w:rPr>
          <w:rFonts w:cs="Times New Roman"/>
          <w:i/>
          <w:iCs/>
          <w:szCs w:val="24"/>
        </w:rPr>
        <w:t>Cassino</w:t>
      </w:r>
      <w:r w:rsidRPr="002B283E">
        <w:rPr>
          <w:rFonts w:cs="Times New Roman"/>
          <w:szCs w:val="24"/>
        </w:rPr>
        <w:t xml:space="preserve">, 817 F.2d at 1346 (9th Cir. 1987) (discussing </w:t>
      </w:r>
      <w:r w:rsidR="001B6116">
        <w:rPr>
          <w:rFonts w:cs="Times New Roman"/>
          <w:szCs w:val="24"/>
        </w:rPr>
        <w:t xml:space="preserve">a </w:t>
      </w:r>
      <w:r w:rsidRPr="002B283E">
        <w:rPr>
          <w:rFonts w:cs="Times New Roman"/>
          <w:szCs w:val="24"/>
        </w:rPr>
        <w:t>jury trial on mitigation).</w:t>
      </w:r>
    </w:p>
    <w:p w14:paraId="4F08DD2D" w14:textId="77777777" w:rsidR="00850B97" w:rsidRPr="002B283E" w:rsidRDefault="00850B97" w:rsidP="002B283E">
      <w:pPr>
        <w:adjustRightInd w:val="0"/>
        <w:rPr>
          <w:rFonts w:cs="Times New Roman"/>
          <w:szCs w:val="24"/>
        </w:rPr>
      </w:pPr>
    </w:p>
    <w:p w14:paraId="686DDEC5" w14:textId="053DCDF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remedies provisions of the ADEA incorporate the remedies from the Fair Labor Standards Act (FLSA). </w:t>
      </w:r>
      <w:r w:rsidRPr="002B283E">
        <w:rPr>
          <w:rFonts w:cs="Times New Roman"/>
          <w:i/>
          <w:iCs/>
          <w:szCs w:val="24"/>
        </w:rPr>
        <w:t>See Lorillard</w:t>
      </w:r>
      <w:r w:rsidRPr="002B283E">
        <w:rPr>
          <w:rFonts w:cs="Times New Roman"/>
          <w:szCs w:val="24"/>
        </w:rPr>
        <w:t xml:space="preserve">, 434 U.S. at 578; </w:t>
      </w:r>
      <w:r w:rsidRPr="002B283E">
        <w:rPr>
          <w:rFonts w:cs="Times New Roman"/>
          <w:i/>
          <w:iCs/>
          <w:szCs w:val="24"/>
        </w:rPr>
        <w:t xml:space="preserve">see also </w:t>
      </w:r>
      <w:r w:rsidRPr="002B283E">
        <w:rPr>
          <w:rFonts w:cs="Times New Roman"/>
          <w:szCs w:val="24"/>
        </w:rPr>
        <w:t xml:space="preserve">29 U.S.C. § 626(b) (ADEA remedies provision). Thus, like the FLSA, the ADEA provides for the recovery of “unpaid minimum wages or unpaid overtime compensation,” which includes back pay, liquidated damages and equitable relief. </w:t>
      </w:r>
      <w:r w:rsidRPr="002B283E">
        <w:rPr>
          <w:rFonts w:cs="Times New Roman"/>
          <w:i/>
          <w:iCs/>
          <w:szCs w:val="24"/>
        </w:rPr>
        <w:t xml:space="preserve">See </w:t>
      </w:r>
      <w:r w:rsidRPr="002B283E">
        <w:rPr>
          <w:rFonts w:cs="Times New Roman"/>
          <w:szCs w:val="24"/>
        </w:rPr>
        <w:t>29 U.S.C. § 216 (FLSA remedies provision).</w:t>
      </w:r>
    </w:p>
    <w:p w14:paraId="5A0827CC" w14:textId="77777777" w:rsidR="00144B53" w:rsidRPr="002B283E" w:rsidRDefault="00144B53" w:rsidP="002B283E">
      <w:pPr>
        <w:autoSpaceDE w:val="0"/>
        <w:autoSpaceDN w:val="0"/>
        <w:adjustRightInd w:val="0"/>
        <w:rPr>
          <w:rFonts w:cs="Times New Roman"/>
          <w:szCs w:val="24"/>
        </w:rPr>
      </w:pPr>
    </w:p>
    <w:p w14:paraId="05EB9D19" w14:textId="7571D35C"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generally includes tips, holiday pay, and overtime pay. </w:t>
      </w:r>
      <w:r w:rsidRPr="002B283E">
        <w:rPr>
          <w:rFonts w:cs="Times New Roman"/>
          <w:i/>
          <w:iCs/>
          <w:szCs w:val="24"/>
        </w:rPr>
        <w:t>See Local Joint Exec</w:t>
      </w:r>
      <w:r w:rsidR="001B6116">
        <w:rPr>
          <w:rFonts w:cs="Times New Roman"/>
          <w:i/>
          <w:iCs/>
          <w:szCs w:val="24"/>
        </w:rPr>
        <w:t>.</w:t>
      </w:r>
      <w:r w:rsidRPr="002B283E">
        <w:rPr>
          <w:rFonts w:cs="Times New Roman"/>
          <w:i/>
          <w:iCs/>
          <w:szCs w:val="24"/>
        </w:rPr>
        <w:t xml:space="preserve"> Bd. of Culinary/Bartender Tr</w:t>
      </w:r>
      <w:r w:rsidR="001B6116">
        <w:rPr>
          <w:rFonts w:cs="Times New Roman"/>
          <w:i/>
          <w:iCs/>
          <w:szCs w:val="24"/>
        </w:rPr>
        <w:t>.</w:t>
      </w:r>
      <w:r w:rsidRPr="002B283E">
        <w:rPr>
          <w:rFonts w:cs="Times New Roman"/>
          <w:i/>
          <w:iCs/>
          <w:szCs w:val="24"/>
        </w:rPr>
        <w:t xml:space="preserve"> Fund v. Las Vegas Sands, Inc.</w:t>
      </w:r>
      <w:r w:rsidRPr="002B283E">
        <w:rPr>
          <w:rFonts w:cs="Times New Roman"/>
          <w:szCs w:val="24"/>
        </w:rPr>
        <w:t>, 244 F.3d 1152, 1157 (9th Cir. 2001).</w:t>
      </w:r>
    </w:p>
    <w:p w14:paraId="3AF66F58" w14:textId="77777777" w:rsidR="00144B53" w:rsidRPr="002B283E" w:rsidRDefault="00144B53" w:rsidP="002B283E">
      <w:pPr>
        <w:autoSpaceDE w:val="0"/>
        <w:autoSpaceDN w:val="0"/>
        <w:adjustRightInd w:val="0"/>
        <w:rPr>
          <w:rFonts w:cs="Times New Roman"/>
          <w:szCs w:val="24"/>
        </w:rPr>
      </w:pPr>
    </w:p>
    <w:p w14:paraId="1B1A63B4" w14:textId="04AF92B4"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sidRPr="002B283E">
        <w:rPr>
          <w:rFonts w:cs="Times New Roman"/>
          <w:i/>
          <w:iCs/>
          <w:szCs w:val="24"/>
        </w:rPr>
        <w:t>Cassino</w:t>
      </w:r>
      <w:r w:rsidRPr="002B283E">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w:t>
      </w:r>
      <w:r w:rsidR="002F1238">
        <w:rPr>
          <w:rFonts w:cs="Times New Roman"/>
          <w:szCs w:val="24"/>
        </w:rPr>
        <w:t>to</w:t>
      </w:r>
      <w:r w:rsidRPr="002B283E">
        <w:rPr>
          <w:rFonts w:cs="Times New Roman"/>
          <w:szCs w:val="24"/>
        </w:rPr>
        <w:t xml:space="preserve"> procure mitigating employment. </w:t>
      </w:r>
      <w:r w:rsidRPr="002B283E">
        <w:rPr>
          <w:rFonts w:cs="Times New Roman"/>
          <w:i/>
          <w:iCs/>
          <w:szCs w:val="24"/>
        </w:rPr>
        <w:t>See EEOC v. Pape Lift, Inc.</w:t>
      </w:r>
      <w:r w:rsidRPr="002B283E">
        <w:rPr>
          <w:rFonts w:cs="Times New Roman"/>
          <w:szCs w:val="24"/>
        </w:rPr>
        <w:t>, 115 F.3d 676, 683 (9th Cir. 1997) (declining to reach issue because</w:t>
      </w:r>
      <w:r w:rsidR="001B6116">
        <w:rPr>
          <w:rFonts w:cs="Times New Roman"/>
          <w:szCs w:val="24"/>
        </w:rPr>
        <w:t xml:space="preserve"> the</w:t>
      </w:r>
      <w:r w:rsidRPr="002B283E">
        <w:rPr>
          <w:rFonts w:cs="Times New Roman"/>
          <w:szCs w:val="24"/>
        </w:rPr>
        <w:t xml:space="preserve"> instruction was not requested at trial) (citing </w:t>
      </w:r>
      <w:r w:rsidRPr="002B283E">
        <w:rPr>
          <w:rFonts w:cs="Times New Roman"/>
          <w:i/>
          <w:iCs/>
          <w:szCs w:val="24"/>
        </w:rPr>
        <w:t>Ford Motor Co. v. EEOC</w:t>
      </w:r>
      <w:r w:rsidRPr="002B283E">
        <w:rPr>
          <w:rFonts w:cs="Times New Roman"/>
          <w:szCs w:val="24"/>
        </w:rPr>
        <w:t>, 458 U.S. 219, 232 n.16 (1982) (noting, without adopting</w:t>
      </w:r>
      <w:r w:rsidR="001B6116">
        <w:rPr>
          <w:rFonts w:cs="Times New Roman"/>
          <w:szCs w:val="24"/>
        </w:rPr>
        <w:t xml:space="preserve"> the</w:t>
      </w:r>
      <w:r w:rsidRPr="002B283E">
        <w:rPr>
          <w:rFonts w:cs="Times New Roman"/>
          <w:szCs w:val="24"/>
        </w:rPr>
        <w:t xml:space="preserve"> principle, that some lower courts have indicated that “after an extended period of time searching for work without success, a claimant must consider taking a lower-paying position”)). </w:t>
      </w:r>
    </w:p>
    <w:p w14:paraId="5E6FB6F9" w14:textId="77777777" w:rsidR="00144B53" w:rsidRPr="002B283E" w:rsidRDefault="00144B53" w:rsidP="002B283E">
      <w:pPr>
        <w:autoSpaceDE w:val="0"/>
        <w:autoSpaceDN w:val="0"/>
        <w:adjustRightInd w:val="0"/>
        <w:rPr>
          <w:rFonts w:cs="Times New Roman"/>
          <w:szCs w:val="24"/>
        </w:rPr>
      </w:pPr>
    </w:p>
    <w:p w14:paraId="7ECB4C57" w14:textId="77777777" w:rsidR="00144B53" w:rsidRPr="002B283E" w:rsidRDefault="00144B53" w:rsidP="002B283E">
      <w:pPr>
        <w:adjustRightInd w:val="0"/>
        <w:rPr>
          <w:rFonts w:cs="Times New Roman"/>
          <w:i/>
          <w:iCs/>
          <w:szCs w:val="24"/>
        </w:rPr>
      </w:pPr>
      <w:r w:rsidRPr="002B283E">
        <w:rPr>
          <w:rFonts w:cs="Times New Roman"/>
          <w:szCs w:val="24"/>
        </w:rPr>
        <w:tab/>
        <w:t xml:space="preserve">The ADEA does not provide for nonwage compensatory or punitive damages. </w:t>
      </w:r>
      <w:r w:rsidRPr="002B283E">
        <w:rPr>
          <w:rFonts w:cs="Times New Roman"/>
          <w:i/>
          <w:iCs/>
          <w:szCs w:val="24"/>
        </w:rPr>
        <w:t>Ahlmeyer</w:t>
      </w:r>
    </w:p>
    <w:p w14:paraId="583C964C" w14:textId="1A8EC57E" w:rsidR="00144B53" w:rsidRPr="002B283E" w:rsidRDefault="00144B53" w:rsidP="002B283E">
      <w:pPr>
        <w:autoSpaceDE w:val="0"/>
        <w:autoSpaceDN w:val="0"/>
        <w:adjustRightInd w:val="0"/>
        <w:rPr>
          <w:rFonts w:cs="Times New Roman"/>
          <w:szCs w:val="24"/>
        </w:rPr>
      </w:pPr>
      <w:r w:rsidRPr="002B283E">
        <w:rPr>
          <w:rFonts w:cs="Times New Roman"/>
          <w:i/>
          <w:iCs/>
          <w:szCs w:val="24"/>
        </w:rPr>
        <w:t>v. Nev</w:t>
      </w:r>
      <w:r w:rsidR="001B6116">
        <w:rPr>
          <w:rFonts w:cs="Times New Roman"/>
          <w:i/>
          <w:iCs/>
          <w:szCs w:val="24"/>
        </w:rPr>
        <w:t>.</w:t>
      </w:r>
      <w:r w:rsidRPr="002B283E">
        <w:rPr>
          <w:rFonts w:cs="Times New Roman"/>
          <w:i/>
          <w:iCs/>
          <w:szCs w:val="24"/>
        </w:rPr>
        <w:t xml:space="preserve"> Sys. of Higher Educ</w:t>
      </w:r>
      <w:r w:rsidRPr="009D528F">
        <w:rPr>
          <w:rFonts w:cs="Times New Roman"/>
          <w:szCs w:val="24"/>
        </w:rPr>
        <w:t>.,</w:t>
      </w:r>
      <w:r w:rsidRPr="002B283E">
        <w:rPr>
          <w:rFonts w:cs="Times New Roman"/>
          <w:i/>
          <w:iCs/>
          <w:szCs w:val="24"/>
        </w:rPr>
        <w:t xml:space="preserve"> </w:t>
      </w:r>
      <w:r w:rsidRPr="002B283E">
        <w:rPr>
          <w:rFonts w:cs="Times New Roman"/>
          <w:szCs w:val="24"/>
        </w:rPr>
        <w:t xml:space="preserve">555 F.3d 1051, 1059 (9th Cir. 2009); </w:t>
      </w:r>
      <w:r w:rsidRPr="002B283E">
        <w:rPr>
          <w:rFonts w:cs="Times New Roman"/>
          <w:i/>
          <w:iCs/>
          <w:szCs w:val="24"/>
        </w:rPr>
        <w:t>Naton v. Bank of Cal</w:t>
      </w:r>
      <w:r w:rsidR="001B6116">
        <w:rPr>
          <w:rFonts w:cs="Times New Roman"/>
          <w:i/>
          <w:iCs/>
          <w:szCs w:val="24"/>
        </w:rPr>
        <w:t>.</w:t>
      </w:r>
      <w:r w:rsidRPr="002B283E">
        <w:rPr>
          <w:rFonts w:cs="Times New Roman"/>
          <w:szCs w:val="24"/>
        </w:rPr>
        <w:t xml:space="preserve">, 649 F.2d 691, 698-99 (9th Cir. 1981). Thus, a plaintiff cannot recover for emotional distress or pain and suffering under the ADEA. </w:t>
      </w:r>
      <w:r w:rsidRPr="002B283E">
        <w:rPr>
          <w:rFonts w:cs="Times New Roman"/>
          <w:i/>
          <w:iCs/>
          <w:szCs w:val="24"/>
        </w:rPr>
        <w:t>Id.</w:t>
      </w:r>
      <w:r w:rsidRPr="002B283E">
        <w:rPr>
          <w:rFonts w:cs="Times New Roman"/>
          <w:szCs w:val="24"/>
        </w:rPr>
        <w:t xml:space="preserve">; </w:t>
      </w:r>
      <w:r w:rsidRPr="002B283E">
        <w:rPr>
          <w:rFonts w:cs="Times New Roman"/>
          <w:i/>
          <w:iCs/>
          <w:szCs w:val="24"/>
        </w:rPr>
        <w:t>see also Comm’r v. Schleier</w:t>
      </w:r>
      <w:r w:rsidRPr="002B283E">
        <w:rPr>
          <w:rFonts w:cs="Times New Roman"/>
          <w:szCs w:val="24"/>
        </w:rPr>
        <w:t>, 515 U.S. 323, 326 (1995) (“[T]he Courts of Appeals have unanimously held . . . that the ADEA does not permit a separate recovery of compensatory damages for pain and suffering or emotional distress.”)</w:t>
      </w:r>
      <w:r w:rsidR="00A87F6E">
        <w:rPr>
          <w:rFonts w:cs="Times New Roman"/>
          <w:szCs w:val="24"/>
        </w:rPr>
        <w:t xml:space="preserve">. </w:t>
      </w:r>
      <w:r w:rsidRPr="002B283E">
        <w:rPr>
          <w:rFonts w:cs="Times New Roman"/>
          <w:szCs w:val="24"/>
        </w:rPr>
        <w:t xml:space="preserve">Nor were these remedies extended to the ADEA (as they were to Title VII actions) by the Civil Rights Act of 1991. </w:t>
      </w:r>
      <w:r w:rsidRPr="002B283E">
        <w:rPr>
          <w:rFonts w:cs="Times New Roman"/>
          <w:i/>
          <w:iCs/>
          <w:szCs w:val="24"/>
        </w:rPr>
        <w:t>See Smith v. City of Jackson</w:t>
      </w:r>
      <w:r w:rsidRPr="002B283E">
        <w:rPr>
          <w:rFonts w:cs="Times New Roman"/>
          <w:szCs w:val="24"/>
        </w:rPr>
        <w:t>, 544 U.S. 228, 240 (2005) (holding that while the Civil Rights Act of 1991 “expanded the coverage of Title VII, [it] did not amend the ADEA or speak to the subject of age discrimination”).</w:t>
      </w:r>
    </w:p>
    <w:p w14:paraId="275EC2A5" w14:textId="77777777" w:rsidR="00144B53" w:rsidRPr="002B283E" w:rsidRDefault="00144B53" w:rsidP="002B283E">
      <w:pPr>
        <w:autoSpaceDE w:val="0"/>
        <w:autoSpaceDN w:val="0"/>
        <w:adjustRightInd w:val="0"/>
        <w:rPr>
          <w:rFonts w:cs="Times New Roman"/>
          <w:szCs w:val="24"/>
        </w:rPr>
      </w:pPr>
    </w:p>
    <w:p w14:paraId="795DF00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Instruction 11.14 (Age Discrimination—Damages—Willful Discrimination—Liquidated Damages).</w:t>
      </w:r>
    </w:p>
    <w:p w14:paraId="23CE56AC" w14:textId="77777777" w:rsidR="00144B53" w:rsidRPr="002B283E" w:rsidRDefault="00144B53" w:rsidP="002B283E">
      <w:pPr>
        <w:autoSpaceDE w:val="0"/>
        <w:autoSpaceDN w:val="0"/>
        <w:adjustRightInd w:val="0"/>
        <w:rPr>
          <w:rFonts w:cs="Times New Roman"/>
          <w:szCs w:val="24"/>
        </w:rPr>
      </w:pPr>
    </w:p>
    <w:p w14:paraId="06E9904D" w14:textId="2A51BAFF" w:rsidR="006A4CD7" w:rsidRPr="002B283E" w:rsidRDefault="00144B53" w:rsidP="002B283E">
      <w:pPr>
        <w:jc w:val="right"/>
        <w:rPr>
          <w:rFonts w:cs="Times New Roman"/>
          <w:szCs w:val="24"/>
        </w:rPr>
      </w:pPr>
      <w:r w:rsidRPr="002B283E">
        <w:rPr>
          <w:rFonts w:cs="Times New Roman"/>
          <w:i/>
          <w:iCs/>
          <w:szCs w:val="24"/>
        </w:rPr>
        <w:t>Revised June 2024</w:t>
      </w:r>
    </w:p>
    <w:p w14:paraId="49519132" w14:textId="2F7DBEF8" w:rsidR="006A4CD7" w:rsidRPr="002B283E" w:rsidRDefault="006A4CD7" w:rsidP="002B283E">
      <w:pPr>
        <w:pStyle w:val="Heading2"/>
      </w:pPr>
      <w:r w:rsidRPr="002B283E">
        <w:br w:type="page"/>
      </w:r>
      <w:bookmarkStart w:id="290" w:name="_Toc221525245"/>
      <w:r w:rsidRPr="002B283E">
        <w:lastRenderedPageBreak/>
        <w:t xml:space="preserve">11.14 </w:t>
      </w:r>
      <w:r w:rsidR="00223463" w:rsidRPr="002B283E">
        <w:t>Age Discrimination—Damages—Willful Discrimination—Liquidated Damages</w:t>
      </w:r>
      <w:bookmarkEnd w:id="290"/>
    </w:p>
    <w:p w14:paraId="593BFFFB" w14:textId="77777777" w:rsidR="006A4CD7" w:rsidRPr="002B283E" w:rsidRDefault="006A4CD7" w:rsidP="002B283E">
      <w:pPr>
        <w:rPr>
          <w:rFonts w:cs="Times New Roman"/>
          <w:szCs w:val="24"/>
        </w:rPr>
      </w:pPr>
    </w:p>
    <w:p w14:paraId="6DD831B3" w14:textId="50DBC64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is entitled to recover back pay, you must also determine if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t>’</w:t>
      </w:r>
      <w:r w:rsidRPr="002B283E">
        <w:rPr>
          <w:rFonts w:cs="Times New Roman"/>
          <w:szCs w:val="24"/>
        </w:rPr>
        <w:t xml:space="preserve">s conduct was willful.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willfulness by a preponderance of the evidence.</w:t>
      </w:r>
    </w:p>
    <w:p w14:paraId="19F780FD" w14:textId="77777777" w:rsidR="006A4CD7" w:rsidRPr="002B283E" w:rsidRDefault="006A4CD7" w:rsidP="002B283E">
      <w:pPr>
        <w:autoSpaceDE w:val="0"/>
        <w:autoSpaceDN w:val="0"/>
        <w:adjustRightInd w:val="0"/>
        <w:rPr>
          <w:rFonts w:cs="Times New Roman"/>
          <w:szCs w:val="24"/>
        </w:rPr>
      </w:pPr>
    </w:p>
    <w:p w14:paraId="471C1F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defendant’s conduct is willful if the defendant knew or showed reckless disregard for whether, the [</w:t>
      </w:r>
      <w:r w:rsidRPr="002B283E">
        <w:rPr>
          <w:rFonts w:cs="Times New Roman"/>
          <w:i/>
          <w:iCs/>
          <w:szCs w:val="24"/>
          <w:u w:val="single"/>
        </w:rPr>
        <w:t>describe the alleged discriminatory act</w:t>
      </w:r>
      <w:r w:rsidRPr="002B283E">
        <w:rPr>
          <w:rFonts w:cs="Times New Roman"/>
          <w:szCs w:val="24"/>
        </w:rPr>
        <w:t>] was prohibited by law.</w:t>
      </w:r>
    </w:p>
    <w:p w14:paraId="1CE52D89" w14:textId="77777777" w:rsidR="006A4CD7" w:rsidRPr="002B283E" w:rsidRDefault="006A4CD7" w:rsidP="002B283E">
      <w:pPr>
        <w:rPr>
          <w:rFonts w:cs="Times New Roman"/>
          <w:szCs w:val="24"/>
        </w:rPr>
      </w:pPr>
    </w:p>
    <w:p w14:paraId="1F10A3F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C6FAB66" w14:textId="77777777" w:rsidR="006A4CD7" w:rsidRPr="002B283E" w:rsidRDefault="006A4CD7" w:rsidP="002B283E">
      <w:pPr>
        <w:rPr>
          <w:rFonts w:cs="Times New Roman"/>
          <w:szCs w:val="24"/>
        </w:rPr>
      </w:pPr>
    </w:p>
    <w:p w14:paraId="430F5261" w14:textId="486822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ADEA incorporates the liquidated damages provision of the Fair Labor Standards Act (FLSA). 29 U.S.C. § 626(b) (ADEA remedies provision); </w:t>
      </w:r>
      <w:r w:rsidRPr="002B283E">
        <w:rPr>
          <w:rFonts w:cs="Times New Roman"/>
          <w:i/>
          <w:iCs/>
          <w:szCs w:val="24"/>
        </w:rPr>
        <w:t xml:space="preserve">see </w:t>
      </w:r>
      <w:r w:rsidRPr="002B283E">
        <w:rPr>
          <w:rFonts w:cs="Times New Roman"/>
          <w:szCs w:val="24"/>
        </w:rPr>
        <w:t xml:space="preserve">29 U.S.C. § 216 (FLSA remedies provision). However, unlike the FLSA, the ADEA awards liquidated damages only if the defendant’s violation is willful. 29 U.S.C. § 626(b) (ADEA remedies provision); </w:t>
      </w:r>
      <w:r w:rsidRPr="002B283E">
        <w:rPr>
          <w:rFonts w:cs="Times New Roman"/>
          <w:i/>
          <w:iCs/>
          <w:szCs w:val="24"/>
        </w:rPr>
        <w:t>Lorillard v. Pons</w:t>
      </w:r>
      <w:r w:rsidRPr="002B283E">
        <w:rPr>
          <w:rFonts w:cs="Times New Roman"/>
          <w:szCs w:val="24"/>
        </w:rPr>
        <w:t xml:space="preserve">, 434 U.S. 575, 581 (1978); </w:t>
      </w:r>
      <w:r w:rsidRPr="002B283E">
        <w:rPr>
          <w:rFonts w:cs="Times New Roman"/>
          <w:i/>
          <w:iCs/>
          <w:szCs w:val="24"/>
        </w:rPr>
        <w:t>compare</w:t>
      </w:r>
      <w:r w:rsidRPr="002B283E">
        <w:rPr>
          <w:rFonts w:cs="Times New Roman"/>
          <w:szCs w:val="24"/>
        </w:rPr>
        <w:t xml:space="preserve"> </w:t>
      </w:r>
      <w:r w:rsidRPr="002B283E">
        <w:rPr>
          <w:rFonts w:cs="Times New Roman"/>
          <w:i/>
          <w:iCs/>
          <w:szCs w:val="24"/>
        </w:rPr>
        <w:t>Bratt v. County of Los Angeles</w:t>
      </w:r>
      <w:r w:rsidRPr="002B283E">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2B283E" w:rsidRDefault="006A4CD7" w:rsidP="002B283E">
      <w:pPr>
        <w:autoSpaceDE w:val="0"/>
        <w:autoSpaceDN w:val="0"/>
        <w:adjustRightInd w:val="0"/>
        <w:rPr>
          <w:rFonts w:cs="Times New Roman"/>
          <w:szCs w:val="24"/>
        </w:rPr>
      </w:pPr>
    </w:p>
    <w:p w14:paraId="27D35A9F" w14:textId="5AAE69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Willfulness is a question for the jury to decide. </w:t>
      </w:r>
      <w:r w:rsidRPr="002B283E">
        <w:rPr>
          <w:rFonts w:cs="Times New Roman"/>
          <w:i/>
          <w:iCs/>
          <w:szCs w:val="24"/>
        </w:rPr>
        <w:t>See EEOC. v. Pape Lift, Inc.</w:t>
      </w:r>
      <w:r w:rsidRPr="002B283E">
        <w:rPr>
          <w:rFonts w:cs="Times New Roman"/>
          <w:szCs w:val="24"/>
        </w:rPr>
        <w:t xml:space="preserve">, 115 F.3d 676, 681 (9th Cir. 1997). If the jury finds willfulness, the plaintiff is entitled to double the amount of back pay awarded. </w:t>
      </w:r>
      <w:r w:rsidRPr="002B283E">
        <w:rPr>
          <w:rFonts w:cs="Times New Roman"/>
          <w:i/>
          <w:iCs/>
          <w:szCs w:val="24"/>
        </w:rPr>
        <w:t>Cassino v. Reichhold Chems., Inc.</w:t>
      </w:r>
      <w:r w:rsidRPr="002B283E">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2B283E" w:rsidRDefault="006A4CD7" w:rsidP="002B283E">
      <w:pPr>
        <w:autoSpaceDE w:val="0"/>
        <w:autoSpaceDN w:val="0"/>
        <w:adjustRightInd w:val="0"/>
        <w:rPr>
          <w:rFonts w:cs="Times New Roman"/>
          <w:szCs w:val="24"/>
        </w:rPr>
      </w:pPr>
    </w:p>
    <w:p w14:paraId="5CA552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An employer acts willfully when it “‘knew or showed reckless disregard’ for whether the ADEA prohibited its conduct.” </w:t>
      </w:r>
      <w:r w:rsidRPr="002B283E">
        <w:rPr>
          <w:rFonts w:cs="Times New Roman"/>
          <w:i/>
          <w:iCs/>
          <w:szCs w:val="24"/>
        </w:rPr>
        <w:t>Cassino</w:t>
      </w:r>
      <w:r w:rsidRPr="002B283E">
        <w:rPr>
          <w:rFonts w:cs="Times New Roman"/>
          <w:szCs w:val="24"/>
        </w:rPr>
        <w:t xml:space="preserve">, 817 F.2d at 1348; </w:t>
      </w:r>
      <w:r w:rsidRPr="002B283E">
        <w:rPr>
          <w:rFonts w:cs="Times New Roman"/>
          <w:i/>
          <w:iCs/>
          <w:szCs w:val="24"/>
        </w:rPr>
        <w:t>see also</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615 (1993) (reaffirming that “[t]he standard of willfulness that was adopted in </w:t>
      </w:r>
      <w:r w:rsidRPr="002B283E">
        <w:rPr>
          <w:rFonts w:cs="Times New Roman"/>
          <w:i/>
          <w:iCs/>
          <w:szCs w:val="24"/>
        </w:rPr>
        <w:t>Thurston</w:t>
      </w:r>
      <w:r w:rsidRPr="002B283E">
        <w:rPr>
          <w:rFonts w:cs="Times New Roman"/>
          <w:szCs w:val="24"/>
        </w:rPr>
        <w:t xml:space="preserve">—that the employer either knew or showed reckless disregard for the matter of whether its conduct was prohibited by the statute”—applies to all disparate treatment cases under the ADEA); </w:t>
      </w:r>
      <w:r w:rsidRPr="002B283E">
        <w:rPr>
          <w:rFonts w:cs="Times New Roman"/>
          <w:i/>
          <w:iCs/>
          <w:szCs w:val="24"/>
        </w:rPr>
        <w:t>Trans World Airlines, Inc. v. Thurston</w:t>
      </w:r>
      <w:r w:rsidRPr="002B283E">
        <w:rPr>
          <w:rFonts w:cs="Times New Roman"/>
          <w:szCs w:val="24"/>
        </w:rPr>
        <w:t xml:space="preserve">, 469 U.S. 111, 128 (1985); </w:t>
      </w:r>
      <w:r w:rsidRPr="002B283E">
        <w:rPr>
          <w:rFonts w:cs="Times New Roman"/>
          <w:i/>
          <w:iCs/>
          <w:szCs w:val="24"/>
        </w:rPr>
        <w:t>Gilchrist v. Jim Slemons Imports, Inc.</w:t>
      </w:r>
      <w:r w:rsidRPr="002B283E">
        <w:rPr>
          <w:rFonts w:cs="Times New Roman"/>
          <w:szCs w:val="24"/>
        </w:rPr>
        <w:t>, 803 F.2d 1488, 1495 (9th Cir. 1986).</w:t>
      </w:r>
    </w:p>
    <w:p w14:paraId="4D67A180" w14:textId="77777777" w:rsidR="009F714C" w:rsidRPr="002B283E" w:rsidRDefault="009F714C" w:rsidP="002B283E">
      <w:pPr>
        <w:autoSpaceDE w:val="0"/>
        <w:autoSpaceDN w:val="0"/>
        <w:adjustRightInd w:val="0"/>
        <w:rPr>
          <w:rFonts w:cs="Times New Roman"/>
          <w:szCs w:val="24"/>
        </w:rPr>
      </w:pPr>
    </w:p>
    <w:p w14:paraId="1BAB8976" w14:textId="46F12299" w:rsidR="006A4CD7" w:rsidRPr="002B283E" w:rsidRDefault="006A4CD7" w:rsidP="002B283E">
      <w:pPr>
        <w:pStyle w:val="Heading1"/>
        <w:spacing w:before="0" w:line="240" w:lineRule="auto"/>
      </w:pPr>
      <w:r w:rsidRPr="002B283E">
        <w:br w:type="page"/>
      </w:r>
      <w:bookmarkStart w:id="291" w:name="_Toc221525246"/>
      <w:r w:rsidRPr="002B283E">
        <w:lastRenderedPageBreak/>
        <w:t>12</w:t>
      </w:r>
      <w:r w:rsidR="00A87F6E">
        <w:t xml:space="preserve">. </w:t>
      </w:r>
      <w:r w:rsidRPr="002B283E">
        <w:t>AMERICANS WITH DISABILITIES ACT</w:t>
      </w:r>
      <w:bookmarkEnd w:id="291"/>
    </w:p>
    <w:p w14:paraId="1EC5452B" w14:textId="77777777" w:rsidR="006A4CD7" w:rsidRPr="002B283E" w:rsidRDefault="006A4CD7" w:rsidP="002B283E">
      <w:pPr>
        <w:rPr>
          <w:rFonts w:cs="Times New Roman"/>
          <w:szCs w:val="24"/>
        </w:rPr>
      </w:pPr>
    </w:p>
    <w:p w14:paraId="10FB392C"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10CD0974" w14:textId="77777777" w:rsidR="006A4CD7" w:rsidRPr="002B283E" w:rsidRDefault="006A4CD7" w:rsidP="002B283E">
      <w:pPr>
        <w:autoSpaceDE w:val="0"/>
        <w:autoSpaceDN w:val="0"/>
        <w:adjustRightInd w:val="0"/>
        <w:rPr>
          <w:rFonts w:cs="Times New Roman"/>
          <w:szCs w:val="24"/>
        </w:rPr>
      </w:pPr>
    </w:p>
    <w:p w14:paraId="65204205" w14:textId="77777777" w:rsidR="00EE2638" w:rsidRPr="002B283E" w:rsidRDefault="00EE2638" w:rsidP="002B283E">
      <w:pPr>
        <w:autoSpaceDE w:val="0"/>
        <w:autoSpaceDN w:val="0"/>
        <w:adjustRightInd w:val="0"/>
        <w:rPr>
          <w:rFonts w:cs="Times New Roman"/>
          <w:szCs w:val="24"/>
        </w:rPr>
      </w:pPr>
      <w:r w:rsidRPr="002B283E">
        <w:rPr>
          <w:rFonts w:cs="Times New Roman"/>
          <w:szCs w:val="24"/>
        </w:rPr>
        <w:t>Introductory Comment</w:t>
      </w:r>
    </w:p>
    <w:p w14:paraId="2191A15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ADA Employment Actions—Actual Disability—Elements</w:t>
      </w:r>
    </w:p>
    <w:p w14:paraId="6AE86E09"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ADA Employment Actions—Record of Disability—Elements</w:t>
      </w:r>
    </w:p>
    <w:p w14:paraId="71D235C5"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12.3</w:t>
      </w:r>
      <w:r w:rsidRPr="002B283E">
        <w:rPr>
          <w:rFonts w:cs="Times New Roman"/>
          <w:szCs w:val="24"/>
        </w:rPr>
        <w:tab/>
        <w:t>ADA Employment Actions—Regarded as Disability—Elements</w:t>
      </w:r>
    </w:p>
    <w:p w14:paraId="2865B2FD"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12.4</w:t>
      </w:r>
      <w:r w:rsidRPr="002B283E">
        <w:rPr>
          <w:rFonts w:cs="Times New Roman"/>
          <w:szCs w:val="24"/>
        </w:rPr>
        <w:tab/>
        <w:t>ADA—Physical or Mental Impairment</w:t>
      </w:r>
    </w:p>
    <w:p w14:paraId="60906774"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12.5</w:t>
      </w:r>
      <w:r w:rsidRPr="002B283E">
        <w:rPr>
          <w:rFonts w:cs="Times New Roman"/>
          <w:szCs w:val="24"/>
        </w:rPr>
        <w:tab/>
        <w:t>ADA—Work as a Major Life Activity</w:t>
      </w:r>
    </w:p>
    <w:p w14:paraId="1EDDBB4A"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12.6</w:t>
      </w:r>
      <w:r w:rsidRPr="002B283E">
        <w:rPr>
          <w:rFonts w:cs="Times New Roman"/>
          <w:szCs w:val="24"/>
        </w:rPr>
        <w:tab/>
        <w:t xml:space="preserve">ADA—Interacting with Others as Major Life Activity </w:t>
      </w:r>
    </w:p>
    <w:p w14:paraId="3B66B9C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12.7</w:t>
      </w:r>
      <w:r w:rsidRPr="002B283E">
        <w:rPr>
          <w:rFonts w:cs="Times New Roman"/>
          <w:szCs w:val="24"/>
        </w:rPr>
        <w:tab/>
        <w:t>ADA—Qualified Individual</w:t>
      </w:r>
    </w:p>
    <w:p w14:paraId="6EF30F5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12.8</w:t>
      </w:r>
      <w:r w:rsidRPr="002B283E">
        <w:rPr>
          <w:rFonts w:cs="Times New Roman"/>
          <w:szCs w:val="24"/>
        </w:rPr>
        <w:tab/>
        <w:t>ADA—Ability to Perform Essential Functions—Factors</w:t>
      </w:r>
    </w:p>
    <w:p w14:paraId="7D9F7D73"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12.9</w:t>
      </w:r>
      <w:r w:rsidRPr="002B283E">
        <w:rPr>
          <w:rFonts w:cs="Times New Roman"/>
          <w:szCs w:val="24"/>
        </w:rPr>
        <w:tab/>
        <w:t>ADA—Reasonable Accommodation</w:t>
      </w:r>
    </w:p>
    <w:p w14:paraId="6A9C9BB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12.10</w:t>
      </w:r>
      <w:r w:rsidRPr="002B283E">
        <w:rPr>
          <w:rFonts w:cs="Times New Roman"/>
          <w:szCs w:val="24"/>
        </w:rPr>
        <w:tab/>
        <w:t>ADA—Defenses—Undue Hardship</w:t>
      </w:r>
    </w:p>
    <w:p w14:paraId="150D92F8"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12.11</w:t>
      </w:r>
      <w:r w:rsidRPr="002B283E">
        <w:rPr>
          <w:rFonts w:cs="Times New Roman"/>
          <w:szCs w:val="24"/>
        </w:rPr>
        <w:tab/>
        <w:t>ADA—Defenses—Business Necessity</w:t>
      </w:r>
    </w:p>
    <w:p w14:paraId="44CBFA6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12.12</w:t>
      </w:r>
      <w:r w:rsidRPr="002B283E">
        <w:rPr>
          <w:rFonts w:cs="Times New Roman"/>
          <w:szCs w:val="24"/>
        </w:rPr>
        <w:tab/>
        <w:t>ADA—Defenses—Direct Threat</w:t>
      </w:r>
    </w:p>
    <w:p w14:paraId="60511D4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12.13</w:t>
      </w:r>
      <w:r w:rsidRPr="002B283E">
        <w:rPr>
          <w:rFonts w:cs="Times New Roman"/>
          <w:szCs w:val="24"/>
        </w:rPr>
        <w:tab/>
        <w:t>ADA—Defenses—Good Faith in Interactive Process</w:t>
      </w:r>
    </w:p>
    <w:p w14:paraId="22DBFB1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12.14</w:t>
      </w:r>
      <w:r w:rsidRPr="002B283E">
        <w:rPr>
          <w:rFonts w:cs="Times New Roman"/>
          <w:szCs w:val="24"/>
        </w:rPr>
        <w:tab/>
        <w:t>ADA—Damages (Comment only)</w:t>
      </w:r>
    </w:p>
    <w:p w14:paraId="6C3B7458" w14:textId="77777777" w:rsidR="00EE2638" w:rsidRPr="002B283E" w:rsidRDefault="00EE2638" w:rsidP="002B283E">
      <w:pPr>
        <w:autoSpaceDE w:val="0"/>
        <w:autoSpaceDN w:val="0"/>
        <w:adjustRightInd w:val="0"/>
        <w:ind w:left="900" w:hanging="900"/>
        <w:rPr>
          <w:rFonts w:cs="Times New Roman"/>
          <w:szCs w:val="24"/>
        </w:rPr>
      </w:pPr>
    </w:p>
    <w:p w14:paraId="3DA2C9EB" w14:textId="77777777" w:rsidR="00DD494C" w:rsidRPr="002B283E" w:rsidRDefault="00DD494C" w:rsidP="002B283E">
      <w:pPr>
        <w:autoSpaceDE w:val="0"/>
        <w:autoSpaceDN w:val="0"/>
        <w:adjustRightInd w:val="0"/>
        <w:ind w:left="900" w:hanging="900"/>
        <w:rPr>
          <w:rFonts w:cs="Times New Roman"/>
          <w:szCs w:val="24"/>
        </w:rPr>
      </w:pPr>
    </w:p>
    <w:p w14:paraId="253C3747" w14:textId="77777777" w:rsidR="00DD494C" w:rsidRPr="002B283E" w:rsidRDefault="00DD494C" w:rsidP="002B283E">
      <w:pPr>
        <w:autoSpaceDE w:val="0"/>
        <w:autoSpaceDN w:val="0"/>
        <w:adjustRightInd w:val="0"/>
        <w:jc w:val="center"/>
        <w:rPr>
          <w:rFonts w:cs="Times New Roman"/>
          <w:szCs w:val="24"/>
        </w:rPr>
      </w:pPr>
      <w:r w:rsidRPr="002B283E">
        <w:rPr>
          <w:rFonts w:cs="Times New Roman"/>
          <w:szCs w:val="24"/>
        </w:rPr>
        <w:t>_____________</w:t>
      </w:r>
    </w:p>
    <w:p w14:paraId="24C7EF83" w14:textId="77777777" w:rsidR="00DD494C" w:rsidRPr="002B283E" w:rsidRDefault="00DD494C" w:rsidP="002B283E">
      <w:pPr>
        <w:autoSpaceDE w:val="0"/>
        <w:autoSpaceDN w:val="0"/>
        <w:adjustRightInd w:val="0"/>
        <w:ind w:left="900" w:hanging="900"/>
        <w:rPr>
          <w:rFonts w:cs="Times New Roman"/>
          <w:szCs w:val="24"/>
        </w:rPr>
      </w:pPr>
    </w:p>
    <w:p w14:paraId="3FEB4483" w14:textId="77777777" w:rsidR="00EE2638" w:rsidRPr="002B283E" w:rsidRDefault="00EE2638" w:rsidP="002B283E">
      <w:pPr>
        <w:autoSpaceDE w:val="0"/>
        <w:autoSpaceDN w:val="0"/>
        <w:adjustRightInd w:val="0"/>
        <w:ind w:left="900" w:hanging="900"/>
        <w:rPr>
          <w:rFonts w:cs="Times New Roman"/>
          <w:szCs w:val="24"/>
        </w:rPr>
      </w:pPr>
    </w:p>
    <w:p w14:paraId="3FB028D6" w14:textId="77777777" w:rsidR="00EE2638" w:rsidRPr="002B283E" w:rsidRDefault="00EE2638" w:rsidP="002B283E">
      <w:pPr>
        <w:rPr>
          <w:rFonts w:cs="Times New Roman"/>
          <w:szCs w:val="24"/>
        </w:rPr>
      </w:pPr>
      <w:r w:rsidRPr="002B283E">
        <w:rPr>
          <w:rFonts w:cs="Times New Roman"/>
          <w:szCs w:val="24"/>
        </w:rPr>
        <w:br w:type="page"/>
      </w:r>
    </w:p>
    <w:p w14:paraId="641B6C03" w14:textId="77777777" w:rsidR="00EE2638" w:rsidRPr="002B283E" w:rsidRDefault="00EE2638" w:rsidP="002B283E">
      <w:pPr>
        <w:pStyle w:val="Heading2"/>
      </w:pPr>
      <w:bookmarkStart w:id="292" w:name="_Toc117512503"/>
      <w:bookmarkStart w:id="293" w:name="_Toc221525247"/>
      <w:r w:rsidRPr="002B283E">
        <w:lastRenderedPageBreak/>
        <w:t>Introductory Comment</w:t>
      </w:r>
      <w:bookmarkEnd w:id="292"/>
      <w:bookmarkEnd w:id="293"/>
    </w:p>
    <w:p w14:paraId="0B0B99DE" w14:textId="77777777" w:rsidR="00EE2638" w:rsidRPr="002B283E" w:rsidRDefault="00EE2638" w:rsidP="002B283E">
      <w:pPr>
        <w:rPr>
          <w:rFonts w:cs="Times New Roman"/>
          <w:szCs w:val="24"/>
        </w:rPr>
      </w:pPr>
    </w:p>
    <w:p w14:paraId="3BEB3600" w14:textId="5B276311" w:rsidR="00F2279A" w:rsidRPr="002B283E" w:rsidRDefault="00EE2638" w:rsidP="002B283E">
      <w:pPr>
        <w:autoSpaceDE w:val="0"/>
        <w:autoSpaceDN w:val="0"/>
        <w:adjustRightInd w:val="0"/>
        <w:rPr>
          <w:rFonts w:cs="Times New Roman"/>
          <w:szCs w:val="24"/>
        </w:rPr>
      </w:pPr>
      <w:r w:rsidRPr="002B283E">
        <w:rPr>
          <w:rFonts w:cs="Times New Roman"/>
          <w:szCs w:val="24"/>
        </w:rPr>
        <w:tab/>
      </w:r>
      <w:r w:rsidR="00F2279A" w:rsidRPr="002B283E">
        <w:rPr>
          <w:rFonts w:cs="Times New Roman"/>
          <w:szCs w:val="24"/>
        </w:rPr>
        <w:t xml:space="preserve">This chapter provides jury instructions for actions brought under the Americans with Disabilities Act (ADA), 42 U.S.C. § 12101, </w:t>
      </w:r>
      <w:r w:rsidR="00F2279A" w:rsidRPr="002B283E">
        <w:rPr>
          <w:rFonts w:cs="Times New Roman"/>
          <w:i/>
          <w:iCs/>
          <w:szCs w:val="24"/>
        </w:rPr>
        <w:t>et seq.</w:t>
      </w:r>
      <w:r w:rsidR="00F2279A" w:rsidRPr="002B283E">
        <w:rPr>
          <w:rFonts w:cs="Times New Roman"/>
          <w:szCs w:val="24"/>
        </w:rPr>
        <w:t xml:space="preserve"> The ADA was first enacted in 1990 and became effective July 26, 1992. The ADA Amendments Act of 2008 (ADAA) became effective January 1, 2009. The ADAA reflected Congress’</w:t>
      </w:r>
      <w:r w:rsidR="00AF5E6B">
        <w:rPr>
          <w:rFonts w:cs="Times New Roman"/>
          <w:szCs w:val="24"/>
        </w:rPr>
        <w:t>s</w:t>
      </w:r>
      <w:r w:rsidR="00F2279A" w:rsidRPr="002B283E">
        <w:rPr>
          <w:rFonts w:cs="Times New Roman"/>
          <w:szCs w:val="24"/>
        </w:rPr>
        <w:t xml:space="preserve"> view that the Supreme Court had interpreted the ADA in an unduly narrow fashion in </w:t>
      </w:r>
      <w:r w:rsidR="00F2279A" w:rsidRPr="002B283E">
        <w:rPr>
          <w:rFonts w:cs="Times New Roman"/>
          <w:i/>
          <w:iCs/>
          <w:szCs w:val="24"/>
        </w:rPr>
        <w:t>Toyota Motor Manufacturing v. Williams</w:t>
      </w:r>
      <w:r w:rsidR="00F2279A" w:rsidRPr="002B283E">
        <w:rPr>
          <w:rFonts w:cs="Times New Roman"/>
          <w:szCs w:val="24"/>
        </w:rPr>
        <w:t xml:space="preserve">, 534 U.S. 184 (2002), and </w:t>
      </w:r>
      <w:r w:rsidR="00F2279A" w:rsidRPr="002B283E">
        <w:rPr>
          <w:rFonts w:cs="Times New Roman"/>
          <w:i/>
          <w:iCs/>
          <w:szCs w:val="24"/>
        </w:rPr>
        <w:t>Sutton v. United Air Lines</w:t>
      </w:r>
      <w:r w:rsidR="00F2279A" w:rsidRPr="002B283E">
        <w:rPr>
          <w:rFonts w:cs="Times New Roman"/>
          <w:szCs w:val="24"/>
        </w:rPr>
        <w:t xml:space="preserve">, 527 U.S. 471 (1999). </w:t>
      </w:r>
      <w:r w:rsidR="00F2279A" w:rsidRPr="002B283E">
        <w:rPr>
          <w:rFonts w:cs="Times New Roman"/>
          <w:i/>
          <w:iCs/>
          <w:szCs w:val="24"/>
        </w:rPr>
        <w:t>See Weaving v. City of Hillsboro</w:t>
      </w:r>
      <w:r w:rsidR="00F2279A" w:rsidRPr="002B283E">
        <w:rPr>
          <w:rFonts w:cs="Times New Roman"/>
          <w:szCs w:val="24"/>
        </w:rPr>
        <w:t xml:space="preserve">, 763 F.3d 1106 (9th Cir. 2014). The jury instructions in this chapter are consistent with the ADAA, which is not retroactive. </w:t>
      </w:r>
      <w:r w:rsidR="00F2279A" w:rsidRPr="002B283E">
        <w:rPr>
          <w:rFonts w:cs="Times New Roman"/>
          <w:i/>
          <w:iCs/>
          <w:szCs w:val="24"/>
        </w:rPr>
        <w:t>Becerril v. Pima Cnty. Assessor’s Off</w:t>
      </w:r>
      <w:r w:rsidR="00AF5E6B">
        <w:rPr>
          <w:rFonts w:cs="Times New Roman"/>
          <w:i/>
          <w:iCs/>
          <w:szCs w:val="24"/>
        </w:rPr>
        <w:t>.</w:t>
      </w:r>
      <w:r w:rsidR="00F2279A" w:rsidRPr="002B283E">
        <w:rPr>
          <w:rFonts w:cs="Times New Roman"/>
          <w:szCs w:val="24"/>
        </w:rPr>
        <w:t>, 587 F.3d 1162, 1164 (9th Cir. 2009).</w:t>
      </w:r>
    </w:p>
    <w:p w14:paraId="498375F7" w14:textId="77777777" w:rsidR="00F2279A" w:rsidRPr="002B283E" w:rsidRDefault="00F2279A" w:rsidP="002B283E">
      <w:pPr>
        <w:autoSpaceDE w:val="0"/>
        <w:autoSpaceDN w:val="0"/>
        <w:adjustRightInd w:val="0"/>
        <w:rPr>
          <w:rFonts w:cs="Times New Roman"/>
          <w:szCs w:val="24"/>
        </w:rPr>
      </w:pPr>
    </w:p>
    <w:p w14:paraId="53516802"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14:paraId="7510086A" w14:textId="77777777" w:rsidR="00F2279A" w:rsidRPr="002B283E" w:rsidRDefault="00F2279A" w:rsidP="002B283E">
      <w:pPr>
        <w:autoSpaceDE w:val="0"/>
        <w:autoSpaceDN w:val="0"/>
        <w:adjustRightInd w:val="0"/>
        <w:rPr>
          <w:rFonts w:cs="Times New Roman"/>
          <w:szCs w:val="24"/>
        </w:rPr>
      </w:pPr>
    </w:p>
    <w:p w14:paraId="031FB5BC" w14:textId="114ADA3E"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As the Supreme Court has observed, “[t]o effectuate its sweeping purpose, the ADA forbids discrimination against disabled individuals in major areas of public life, among them employment (Title I of the Act) [42 U.S.C. §§ 12111–12117], public services (Title II) [§§ 12131–12165], and public accommodations (Title III) [§§ 12181–12189].” </w:t>
      </w:r>
      <w:r w:rsidRPr="002B283E">
        <w:rPr>
          <w:rFonts w:cs="Times New Roman"/>
          <w:i/>
          <w:iCs/>
          <w:szCs w:val="24"/>
        </w:rPr>
        <w:t>PGA Tour, Inc. v. Martin</w:t>
      </w:r>
      <w:r w:rsidRPr="002B283E">
        <w:rPr>
          <w:rFonts w:cs="Times New Roman"/>
          <w:szCs w:val="24"/>
        </w:rPr>
        <w:t xml:space="preserve">, 432 U.S. 661, 675 (2001). Title I protects only employees of employers with 15 or more employees. 42 U.S.C. § 12111(5)(A); </w:t>
      </w:r>
      <w:r w:rsidRPr="002B283E">
        <w:rPr>
          <w:rFonts w:cs="Times New Roman"/>
          <w:i/>
          <w:iCs/>
          <w:szCs w:val="24"/>
        </w:rPr>
        <w:t>Clackamas Gastroenterology Assocs. v. Wells</w:t>
      </w:r>
      <w:r w:rsidRPr="002B283E">
        <w:rPr>
          <w:rFonts w:cs="Times New Roman"/>
          <w:szCs w:val="24"/>
        </w:rPr>
        <w:t xml:space="preserve">, 538 U.S. 440, 444-51 (2003) (defining “employee”); </w:t>
      </w:r>
      <w:r w:rsidRPr="002B283E">
        <w:rPr>
          <w:rFonts w:cs="Times New Roman"/>
          <w:i/>
          <w:iCs/>
          <w:szCs w:val="24"/>
        </w:rPr>
        <w:t>Castle v. Eurofresh</w:t>
      </w:r>
      <w:r w:rsidRPr="002B283E">
        <w:rPr>
          <w:rFonts w:cs="Times New Roman"/>
          <w:szCs w:val="24"/>
        </w:rPr>
        <w:t xml:space="preserve">, 731 F.3d 901 (9th Cir. 2013) (analyzing whether prisoner can be deemed </w:t>
      </w:r>
      <w:r w:rsidR="00AF5E6B">
        <w:rPr>
          <w:rFonts w:cs="Times New Roman"/>
          <w:szCs w:val="24"/>
        </w:rPr>
        <w:t xml:space="preserve">an </w:t>
      </w:r>
      <w:r w:rsidRPr="002B283E">
        <w:rPr>
          <w:rFonts w:cs="Times New Roman"/>
          <w:szCs w:val="24"/>
        </w:rPr>
        <w:t>“employee”).</w:t>
      </w:r>
    </w:p>
    <w:p w14:paraId="728B9E13" w14:textId="77777777" w:rsidR="00F2279A" w:rsidRPr="002B283E" w:rsidRDefault="00F2279A" w:rsidP="002B283E">
      <w:pPr>
        <w:autoSpaceDE w:val="0"/>
        <w:autoSpaceDN w:val="0"/>
        <w:adjustRightInd w:val="0"/>
        <w:rPr>
          <w:rFonts w:cs="Times New Roman"/>
          <w:szCs w:val="24"/>
        </w:rPr>
      </w:pPr>
    </w:p>
    <w:p w14:paraId="713C2242" w14:textId="5276778E" w:rsidR="00F2279A" w:rsidRPr="002B283E" w:rsidRDefault="00F2279A" w:rsidP="002B283E">
      <w:pPr>
        <w:autoSpaceDE w:val="0"/>
        <w:autoSpaceDN w:val="0"/>
        <w:adjustRightInd w:val="0"/>
        <w:rPr>
          <w:rFonts w:cs="Times New Roman"/>
          <w:szCs w:val="24"/>
        </w:rPr>
      </w:pPr>
      <w:r w:rsidRPr="002B283E">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w:t>
      </w:r>
      <w:r w:rsidR="00850B97">
        <w:rPr>
          <w:rFonts w:cs="Times New Roman"/>
          <w:szCs w:val="24"/>
        </w:rPr>
        <w:t xml:space="preserve"> </w:t>
      </w:r>
      <w:r w:rsidRPr="002B283E">
        <w:rPr>
          <w:rFonts w:cs="Times New Roman"/>
          <w:szCs w:val="24"/>
        </w:rPr>
        <w:t>12102(2).</w:t>
      </w:r>
    </w:p>
    <w:p w14:paraId="2AFB295A" w14:textId="77777777" w:rsidR="00F2279A" w:rsidRPr="002B283E" w:rsidRDefault="00F2279A" w:rsidP="002B283E">
      <w:pPr>
        <w:autoSpaceDE w:val="0"/>
        <w:autoSpaceDN w:val="0"/>
        <w:adjustRightInd w:val="0"/>
        <w:rPr>
          <w:rFonts w:cs="Times New Roman"/>
          <w:szCs w:val="24"/>
        </w:rPr>
      </w:pPr>
    </w:p>
    <w:p w14:paraId="006E206A" w14:textId="14F3191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sidR="00AF5E6B">
        <w:rPr>
          <w:rFonts w:cs="Times New Roman"/>
          <w:i/>
          <w:iCs/>
          <w:szCs w:val="24"/>
        </w:rPr>
        <w:t xml:space="preserve">See </w:t>
      </w:r>
      <w:r w:rsidRPr="002B283E">
        <w:rPr>
          <w:rFonts w:cs="Times New Roman"/>
          <w:i/>
          <w:iCs/>
          <w:szCs w:val="24"/>
        </w:rPr>
        <w:t>Dunlap v. Liberty Natural Prods., Inc</w:t>
      </w:r>
      <w:r w:rsidRPr="002B283E">
        <w:rPr>
          <w:rFonts w:cs="Times New Roman"/>
          <w:szCs w:val="24"/>
        </w:rPr>
        <w:t xml:space="preserve">., 878 F.3d 794, 798 (9th Cir. 2017) (“We have recognized that a failure-to-accommodate claim is ‘analytically distinct from a claim of disparate treatment or impact under the ADA.’”) (quoting </w:t>
      </w:r>
      <w:r w:rsidRPr="002B283E">
        <w:rPr>
          <w:rFonts w:cs="Times New Roman"/>
          <w:i/>
          <w:iCs/>
          <w:szCs w:val="24"/>
        </w:rPr>
        <w:t>Johnson v. Bd. of Trustees of Boundary C</w:t>
      </w:r>
      <w:r w:rsidR="009D528F">
        <w:rPr>
          <w:rFonts w:cs="Times New Roman"/>
          <w:i/>
          <w:iCs/>
          <w:szCs w:val="24"/>
        </w:rPr>
        <w:t>n</w:t>
      </w:r>
      <w:r w:rsidRPr="002B283E">
        <w:rPr>
          <w:rFonts w:cs="Times New Roman"/>
          <w:i/>
          <w:iCs/>
          <w:szCs w:val="24"/>
        </w:rPr>
        <w:t>ty. Sch. Dist</w:t>
      </w:r>
      <w:r w:rsidRPr="002B283E">
        <w:rPr>
          <w:rFonts w:cs="Times New Roman"/>
          <w:szCs w:val="24"/>
        </w:rPr>
        <w:t>., 666 F.3d 561, 567 (9th Cir. 2011)).</w:t>
      </w:r>
    </w:p>
    <w:p w14:paraId="1BDE3743" w14:textId="4D165535" w:rsidR="00F2279A" w:rsidRPr="002B283E" w:rsidRDefault="00F2279A" w:rsidP="002B283E">
      <w:pPr>
        <w:autoSpaceDE w:val="0"/>
        <w:autoSpaceDN w:val="0"/>
        <w:adjustRightInd w:val="0"/>
        <w:rPr>
          <w:rFonts w:cs="Times New Roman"/>
          <w:szCs w:val="24"/>
        </w:rPr>
      </w:pPr>
    </w:p>
    <w:p w14:paraId="36FAB406" w14:textId="4E4030ED"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“Both disparate-treatment and disparate-impact claims are cognizable under the ADA.” </w:t>
      </w:r>
      <w:r w:rsidRPr="002B283E">
        <w:rPr>
          <w:rFonts w:cs="Times New Roman"/>
          <w:i/>
          <w:iCs/>
          <w:szCs w:val="24"/>
        </w:rPr>
        <w:t>Raytheon Co. v. Hernandez</w:t>
      </w:r>
      <w:r w:rsidRPr="002B283E">
        <w:rPr>
          <w:rFonts w:cs="Times New Roman"/>
          <w:szCs w:val="24"/>
        </w:rPr>
        <w:t xml:space="preserve">, 540 U.S. 44, 53 (2003); </w:t>
      </w:r>
      <w:r w:rsidRPr="002B283E">
        <w:rPr>
          <w:rFonts w:cs="Times New Roman"/>
          <w:i/>
          <w:iCs/>
          <w:szCs w:val="24"/>
        </w:rPr>
        <w:t>Lopez v. Pacific Maritime Ass’n</w:t>
      </w:r>
      <w:r w:rsidRPr="002B283E">
        <w:rPr>
          <w:rFonts w:cs="Times New Roman"/>
          <w:szCs w:val="24"/>
        </w:rPr>
        <w:t xml:space="preserve">, 657 F.3d 762, 767 (9th Cir. 2011) (leaving open the question of how § 12112(b)(6) applies to a disparate impact claim). For a case involving a pre-employment claim under the ADA, </w:t>
      </w:r>
      <w:r w:rsidRPr="002B283E">
        <w:rPr>
          <w:rFonts w:cs="Times New Roman"/>
          <w:i/>
          <w:iCs/>
          <w:szCs w:val="24"/>
        </w:rPr>
        <w:t>see EEOC v. BNSF Rwy. Co.</w:t>
      </w:r>
      <w:r w:rsidRPr="002B283E">
        <w:rPr>
          <w:rFonts w:cs="Times New Roman"/>
          <w:szCs w:val="24"/>
        </w:rPr>
        <w:t xml:space="preserve">, 902 F.3d 916 (9th Cir. 2018). </w:t>
      </w:r>
    </w:p>
    <w:p w14:paraId="4AD90F60" w14:textId="77777777" w:rsidR="00F2279A" w:rsidRPr="002B283E" w:rsidRDefault="00F2279A" w:rsidP="002B283E">
      <w:pPr>
        <w:autoSpaceDE w:val="0"/>
        <w:autoSpaceDN w:val="0"/>
        <w:adjustRightInd w:val="0"/>
        <w:rPr>
          <w:rFonts w:cs="Times New Roman"/>
          <w:szCs w:val="24"/>
        </w:rPr>
      </w:pPr>
    </w:p>
    <w:p w14:paraId="042FB916" w14:textId="422ED0B4"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Mattioda v. Nelson</w:t>
      </w:r>
      <w:r w:rsidRPr="002B283E">
        <w:rPr>
          <w:rFonts w:cs="Times New Roman"/>
          <w:szCs w:val="24"/>
        </w:rPr>
        <w:t>, 98 F.4th 1164, 1174 (9th Cir. 2024), the Ninth Circuit held that disability-based claims for hostile work environment are actionable under the ADA, joining all other circuits that have addressed the issue.</w:t>
      </w:r>
      <w:r w:rsidRPr="002B283E" w:rsidDel="002664C5">
        <w:rPr>
          <w:rFonts w:cs="Times New Roman"/>
          <w:szCs w:val="24"/>
        </w:rPr>
        <w:t xml:space="preserve"> </w:t>
      </w:r>
    </w:p>
    <w:p w14:paraId="35DC20FD" w14:textId="77777777" w:rsidR="00F2279A" w:rsidRPr="002B283E" w:rsidRDefault="00F2279A" w:rsidP="002B283E">
      <w:pPr>
        <w:autoSpaceDE w:val="0"/>
        <w:autoSpaceDN w:val="0"/>
        <w:adjustRightInd w:val="0"/>
        <w:rPr>
          <w:rFonts w:cs="Times New Roman"/>
          <w:szCs w:val="24"/>
        </w:rPr>
      </w:pPr>
    </w:p>
    <w:p w14:paraId="58EA52E4" w14:textId="414FA42A"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Chevron U.S.A., Inc. v. Echazabal</w:t>
      </w:r>
      <w:r w:rsidRPr="002B283E">
        <w:rPr>
          <w:rFonts w:cs="Times New Roman"/>
          <w:szCs w:val="24"/>
        </w:rPr>
        <w:t xml:space="preserve">, 536 U.S. 73 (2002), the Supreme Court expanded the business necessity defense based on EEOC regulations. </w:t>
      </w:r>
      <w:r w:rsidRPr="002B283E">
        <w:rPr>
          <w:rFonts w:cs="Times New Roman"/>
          <w:i/>
          <w:iCs/>
          <w:szCs w:val="24"/>
        </w:rPr>
        <w:t>Chevron</w:t>
      </w:r>
      <w:r w:rsidRPr="002B283E">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2B283E">
        <w:rPr>
          <w:rFonts w:cs="Times New Roman"/>
          <w:i/>
          <w:iCs/>
          <w:szCs w:val="24"/>
        </w:rPr>
        <w:t>Chevron</w:t>
      </w:r>
      <w:r w:rsidRPr="002B283E">
        <w:rPr>
          <w:rFonts w:cs="Times New Roman"/>
          <w:szCs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 . . .” </w:t>
      </w:r>
      <w:r w:rsidRPr="002B283E">
        <w:rPr>
          <w:rFonts w:cs="Times New Roman"/>
          <w:i/>
          <w:iCs/>
          <w:szCs w:val="24"/>
        </w:rPr>
        <w:t>Id</w:t>
      </w:r>
      <w:r w:rsidRPr="002B283E">
        <w:rPr>
          <w:rFonts w:cs="Times New Roman"/>
          <w:szCs w:val="24"/>
        </w:rPr>
        <w:t>. at 78-79, 86-87;</w:t>
      </w:r>
      <w:r w:rsidRPr="002B283E">
        <w:rPr>
          <w:rFonts w:cs="Times New Roman"/>
          <w:i/>
          <w:iCs/>
          <w:szCs w:val="24"/>
        </w:rPr>
        <w:t xml:space="preserve"> Hutton v. Elf Atochem North America, Inc.,</w:t>
      </w:r>
      <w:r w:rsidRPr="002B283E">
        <w:rPr>
          <w:rFonts w:cs="Times New Roman"/>
          <w:szCs w:val="24"/>
        </w:rPr>
        <w:t xml:space="preserve"> 273 F.3d 884, 892-94 (9th Cir. 2001) (applying</w:t>
      </w:r>
      <w:r w:rsidR="00AF5E6B">
        <w:rPr>
          <w:rFonts w:cs="Times New Roman"/>
          <w:szCs w:val="24"/>
        </w:rPr>
        <w:t xml:space="preserve"> the</w:t>
      </w:r>
      <w:r w:rsidRPr="002B283E">
        <w:rPr>
          <w:rFonts w:cs="Times New Roman"/>
          <w:szCs w:val="24"/>
        </w:rPr>
        <w:t xml:space="preserve"> “direct threat” affirmative defense factors in EEOC regulations to the analysis of qualification standards).</w:t>
      </w:r>
    </w:p>
    <w:p w14:paraId="307ACB85" w14:textId="77777777" w:rsidR="00F2279A" w:rsidRPr="002B283E" w:rsidRDefault="00F2279A" w:rsidP="002B283E">
      <w:pPr>
        <w:autoSpaceDE w:val="0"/>
        <w:autoSpaceDN w:val="0"/>
        <w:adjustRightInd w:val="0"/>
        <w:rPr>
          <w:rFonts w:cs="Times New Roman"/>
          <w:szCs w:val="24"/>
        </w:rPr>
      </w:pPr>
    </w:p>
    <w:p w14:paraId="71DE8D39" w14:textId="37787DC9"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Board of Trustees of the University of Alabama v. Garrett,</w:t>
      </w:r>
      <w:r w:rsidRPr="002B283E">
        <w:rPr>
          <w:rFonts w:cs="Times New Roman"/>
          <w:szCs w:val="24"/>
        </w:rPr>
        <w:t xml:space="preserve"> 531 U.S. 356, 368 (2001), the Supreme Court held that the Eleventh Amendment barred claims for money damages against a State under Title I of the ADA, which addresses disability discrimination in employment</w:t>
      </w:r>
      <w:r w:rsidR="00A87F6E">
        <w:rPr>
          <w:rFonts w:cs="Times New Roman"/>
          <w:szCs w:val="24"/>
        </w:rPr>
        <w:t xml:space="preserve">. </w:t>
      </w:r>
      <w:r w:rsidRPr="002B283E">
        <w:rPr>
          <w:rFonts w:cs="Times New Roman"/>
          <w:szCs w:val="24"/>
        </w:rPr>
        <w:t xml:space="preserve">And in </w:t>
      </w:r>
      <w:r w:rsidRPr="002B283E">
        <w:rPr>
          <w:rFonts w:cs="Times New Roman"/>
          <w:i/>
          <w:iCs/>
          <w:szCs w:val="24"/>
        </w:rPr>
        <w:t>United States v. Georgia</w:t>
      </w:r>
      <w:r w:rsidRPr="002B283E">
        <w:rPr>
          <w:rFonts w:cs="Times New Roman"/>
          <w:szCs w:val="24"/>
        </w:rPr>
        <w:t xml:space="preserve">,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 </w:t>
      </w:r>
    </w:p>
    <w:p w14:paraId="01DCB0BB" w14:textId="77777777" w:rsidR="00F2279A" w:rsidRPr="002B283E" w:rsidRDefault="00F2279A" w:rsidP="002B283E">
      <w:pPr>
        <w:autoSpaceDE w:val="0"/>
        <w:autoSpaceDN w:val="0"/>
        <w:adjustRightInd w:val="0"/>
        <w:ind w:firstLine="720"/>
        <w:rPr>
          <w:rFonts w:cs="Times New Roman"/>
          <w:szCs w:val="24"/>
        </w:rPr>
      </w:pPr>
    </w:p>
    <w:p w14:paraId="0A74B481" w14:textId="1F25B377"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AF5E6B">
        <w:rPr>
          <w:rFonts w:cs="Times New Roman"/>
          <w:szCs w:val="24"/>
        </w:rPr>
        <w:t>ADEA</w:t>
      </w:r>
      <w:r w:rsidRPr="002B283E">
        <w:rPr>
          <w:rFonts w:cs="Times New Roman"/>
          <w:szCs w:val="24"/>
        </w:rPr>
        <w:t xml:space="preserve"> and </w:t>
      </w:r>
      <w:r w:rsidR="00AF5E6B">
        <w:rPr>
          <w:rFonts w:cs="Times New Roman"/>
          <w:szCs w:val="24"/>
        </w:rPr>
        <w:t xml:space="preserve">the </w:t>
      </w:r>
      <w:r w:rsidRPr="002B283E">
        <w:rPr>
          <w:rFonts w:cs="Times New Roman"/>
          <w:szCs w:val="24"/>
        </w:rPr>
        <w:t>ADA).</w:t>
      </w:r>
    </w:p>
    <w:p w14:paraId="3A3D5FAE" w14:textId="77777777" w:rsidR="00F2279A" w:rsidRPr="002B283E" w:rsidRDefault="00F2279A" w:rsidP="002B283E">
      <w:pPr>
        <w:autoSpaceDE w:val="0"/>
        <w:autoSpaceDN w:val="0"/>
        <w:adjustRightInd w:val="0"/>
        <w:rPr>
          <w:rFonts w:cs="Times New Roman"/>
          <w:szCs w:val="24"/>
        </w:rPr>
      </w:pPr>
    </w:p>
    <w:p w14:paraId="5F8C6420"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 plaintiff’s remedies in employment actions under the ADA are generally the same remedies available under Title VII governing employment discrimination. 42 U.S.C. § 12117(a). </w:t>
      </w:r>
      <w:r w:rsidRPr="008A04C2">
        <w:rPr>
          <w:rFonts w:cs="Times New Roman"/>
          <w:szCs w:val="24"/>
        </w:rPr>
        <w:t>See</w:t>
      </w:r>
      <w:r w:rsidRPr="00850B97">
        <w:rPr>
          <w:rFonts w:cs="Times New Roman"/>
          <w:szCs w:val="24"/>
        </w:rPr>
        <w:t xml:space="preserve"> </w:t>
      </w:r>
      <w:r w:rsidRPr="002B283E">
        <w:rPr>
          <w:rFonts w:cs="Times New Roman"/>
          <w:szCs w:val="24"/>
        </w:rPr>
        <w:t xml:space="preserve">Introductory Comment to Chapter 10 (“Civil Rights—Title VII—Employment Discrimination; Harassment; Retaliation”) for a summary of available remedies under Title VII. Compensatory and punitive damages are not available, however, in a retaliation claim under the ADA. </w:t>
      </w:r>
      <w:r w:rsidRPr="002B283E">
        <w:rPr>
          <w:rFonts w:cs="Times New Roman"/>
          <w:i/>
          <w:iCs/>
          <w:szCs w:val="24"/>
        </w:rPr>
        <w:t>Alvarado v. Cajun Operating Co.</w:t>
      </w:r>
      <w:r w:rsidRPr="002B283E">
        <w:rPr>
          <w:rFonts w:cs="Times New Roman"/>
          <w:szCs w:val="24"/>
        </w:rPr>
        <w:t xml:space="preserve">, 588 F.3d 1261, 1270 (9th Cir. 2009) (“Because we conclude that ADA retaliation claims are redressable only by equitable relief, no jury trial is available.”). </w:t>
      </w:r>
    </w:p>
    <w:p w14:paraId="27EA0CF2" w14:textId="77777777" w:rsidR="00F2279A" w:rsidRPr="002B283E" w:rsidRDefault="00F2279A" w:rsidP="002B283E">
      <w:pPr>
        <w:autoSpaceDE w:val="0"/>
        <w:autoSpaceDN w:val="0"/>
        <w:adjustRightInd w:val="0"/>
        <w:rPr>
          <w:rFonts w:cs="Times New Roman"/>
          <w:szCs w:val="24"/>
        </w:rPr>
      </w:pPr>
    </w:p>
    <w:p w14:paraId="58FF7A47" w14:textId="77777777" w:rsidR="00F2279A" w:rsidRPr="002B283E" w:rsidRDefault="00F2279A" w:rsidP="002B283E">
      <w:pPr>
        <w:autoSpaceDE w:val="0"/>
        <w:autoSpaceDN w:val="0"/>
        <w:adjustRightInd w:val="0"/>
        <w:rPr>
          <w:rFonts w:cs="Times New Roman"/>
          <w:szCs w:val="24"/>
        </w:rPr>
      </w:pPr>
      <w:r w:rsidRPr="002B283E">
        <w:rPr>
          <w:rFonts w:cs="Times New Roman"/>
          <w:szCs w:val="24"/>
        </w:rPr>
        <w:lastRenderedPageBreak/>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5C02D1E1" w14:textId="77777777" w:rsidR="00F2279A" w:rsidRPr="002B283E" w:rsidRDefault="00F2279A" w:rsidP="002B283E">
      <w:pPr>
        <w:autoSpaceDE w:val="0"/>
        <w:autoSpaceDN w:val="0"/>
        <w:adjustRightInd w:val="0"/>
        <w:rPr>
          <w:rFonts w:cs="Times New Roman"/>
          <w:szCs w:val="24"/>
        </w:rPr>
      </w:pPr>
    </w:p>
    <w:p w14:paraId="1F5EC5CC" w14:textId="77777777" w:rsidR="00BD01C1" w:rsidRPr="008011F7" w:rsidRDefault="00BD01C1" w:rsidP="00BD01C1">
      <w:pPr>
        <w:autoSpaceDE w:val="0"/>
        <w:autoSpaceDN w:val="0"/>
        <w:adjustRightInd w:val="0"/>
        <w:ind w:firstLine="720"/>
        <w:rPr>
          <w:rFonts w:cs="Times New Roman"/>
          <w:i/>
          <w:iCs/>
          <w:szCs w:val="24"/>
        </w:rPr>
      </w:pPr>
      <w:r w:rsidRPr="00F43EB2">
        <w:rPr>
          <w:rFonts w:cs="Times New Roman"/>
          <w:szCs w:val="24"/>
        </w:rPr>
        <w:t xml:space="preserve">The Committee notes, as stated above, that these instructions focus on employment claims under Title I of the ADA, and not Title III, which addresses public accommodations. In </w:t>
      </w:r>
      <w:r w:rsidRPr="00F43EB2">
        <w:rPr>
          <w:rFonts w:cs="Times New Roman"/>
          <w:i/>
          <w:iCs/>
          <w:szCs w:val="24"/>
        </w:rPr>
        <w:t>Lopez v. Catalina Channel Express, Inc.</w:t>
      </w:r>
      <w:r w:rsidRPr="00F43EB2">
        <w:rPr>
          <w:rFonts w:cs="Times New Roman"/>
          <w:szCs w:val="24"/>
        </w:rPr>
        <w:t>,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stated, “only if the plaintiff first makes a plausible showing that the barrier removal is readily achievable, does the defendant then have to negate that showing and prove that the removal is not readily achievable.”</w:t>
      </w:r>
      <w:r w:rsidRPr="00F43EB2">
        <w:rPr>
          <w:rFonts w:cs="Times New Roman"/>
          <w:i/>
          <w:iCs/>
          <w:szCs w:val="24"/>
        </w:rPr>
        <w:t xml:space="preserve"> Id. </w:t>
      </w:r>
      <w:r w:rsidRPr="00F43EB2">
        <w:rPr>
          <w:rFonts w:cs="Times New Roman"/>
          <w:szCs w:val="24"/>
        </w:rPr>
        <w:t xml:space="preserve">at </w:t>
      </w:r>
      <w:r w:rsidRPr="008011F7">
        <w:rPr>
          <w:rFonts w:cs="Times New Roman"/>
          <w:szCs w:val="24"/>
        </w:rPr>
        <w:t xml:space="preserve">1036; </w:t>
      </w:r>
      <w:r w:rsidRPr="008011F7">
        <w:rPr>
          <w:rFonts w:cs="Times New Roman"/>
          <w:i/>
          <w:iCs/>
          <w:szCs w:val="24"/>
        </w:rPr>
        <w:t>see also Gilbert v. 7-Eleven, Inc.</w:t>
      </w:r>
      <w:r w:rsidRPr="008011F7">
        <w:rPr>
          <w:rFonts w:cs="Times New Roman"/>
          <w:szCs w:val="24"/>
        </w:rPr>
        <w:t>, 157 F.4th 1057, 1062-63</w:t>
      </w:r>
    </w:p>
    <w:p w14:paraId="11D6ED2E" w14:textId="77777777" w:rsidR="00BD01C1" w:rsidRPr="008011F7" w:rsidRDefault="00BD01C1" w:rsidP="00BD01C1">
      <w:pPr>
        <w:autoSpaceDE w:val="0"/>
        <w:autoSpaceDN w:val="0"/>
        <w:adjustRightInd w:val="0"/>
        <w:rPr>
          <w:rFonts w:cs="Times New Roman"/>
          <w:szCs w:val="24"/>
        </w:rPr>
      </w:pPr>
      <w:r w:rsidRPr="008011F7">
        <w:rPr>
          <w:rFonts w:cs="Times New Roman"/>
          <w:szCs w:val="24"/>
        </w:rPr>
        <w:t xml:space="preserve">(9th Cir. 2025) (reaffirming the burden-shifting rule).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7D55B32B" w14:textId="77777777" w:rsidR="00BD01C1" w:rsidRPr="008011F7" w:rsidRDefault="00BD01C1" w:rsidP="00BD01C1">
      <w:pPr>
        <w:autoSpaceDE w:val="0"/>
        <w:autoSpaceDN w:val="0"/>
        <w:adjustRightInd w:val="0"/>
        <w:rPr>
          <w:rFonts w:cs="Times New Roman"/>
          <w:szCs w:val="24"/>
        </w:rPr>
      </w:pPr>
    </w:p>
    <w:p w14:paraId="5BC77CAE" w14:textId="77777777" w:rsidR="00BD01C1" w:rsidRPr="008011F7" w:rsidRDefault="00BD01C1" w:rsidP="00BD01C1">
      <w:pPr>
        <w:autoSpaceDE w:val="0"/>
        <w:autoSpaceDN w:val="0"/>
        <w:adjustRightInd w:val="0"/>
        <w:ind w:firstLine="720"/>
        <w:rPr>
          <w:rFonts w:cs="Times New Roman"/>
          <w:i/>
          <w:szCs w:val="24"/>
        </w:rPr>
      </w:pPr>
      <w:r w:rsidRPr="008011F7">
        <w:rPr>
          <w:rFonts w:cs="Times New Roman"/>
          <w:szCs w:val="24"/>
        </w:rPr>
        <w:t xml:space="preserve">In </w:t>
      </w:r>
      <w:r w:rsidRPr="008011F7">
        <w:rPr>
          <w:rFonts w:cs="Times New Roman"/>
          <w:i/>
          <w:szCs w:val="24"/>
        </w:rPr>
        <w:t>Gilbert</w:t>
      </w:r>
      <w:r w:rsidRPr="008011F7">
        <w:rPr>
          <w:rFonts w:cs="Times New Roman"/>
          <w:szCs w:val="24"/>
        </w:rPr>
        <w:t xml:space="preserve">, the Court concluded that where a defendant fixes the property by removing the barriers to access, the voluntary remodeling demonstrates that barrier removal was readily achievable, and no further evidence is required of the plaintiff to prove his claim. </w:t>
      </w:r>
      <w:r w:rsidRPr="008011F7">
        <w:rPr>
          <w:rFonts w:cs="Times New Roman"/>
          <w:i/>
          <w:szCs w:val="24"/>
        </w:rPr>
        <w:t>Id.</w:t>
      </w:r>
    </w:p>
    <w:p w14:paraId="0F0711C8" w14:textId="77777777" w:rsidR="00BD01C1" w:rsidRDefault="00BD01C1" w:rsidP="00BD01C1">
      <w:pPr>
        <w:autoSpaceDE w:val="0"/>
        <w:autoSpaceDN w:val="0"/>
        <w:adjustRightInd w:val="0"/>
        <w:rPr>
          <w:rFonts w:cs="Times New Roman"/>
          <w:szCs w:val="24"/>
        </w:rPr>
      </w:pPr>
    </w:p>
    <w:p w14:paraId="1D41CEB8" w14:textId="7A2B5E81" w:rsidR="00BD01C1" w:rsidRDefault="00BD01C1" w:rsidP="00BD01C1">
      <w:pPr>
        <w:autoSpaceDE w:val="0"/>
        <w:autoSpaceDN w:val="0"/>
        <w:adjustRightInd w:val="0"/>
        <w:rPr>
          <w:rFonts w:cs="Times New Roman"/>
          <w:szCs w:val="24"/>
        </w:rPr>
      </w:pPr>
      <w:r w:rsidRPr="00110212">
        <w:rPr>
          <w:rFonts w:cs="Times New Roman"/>
          <w:szCs w:val="24"/>
        </w:rPr>
        <w:t>             In </w:t>
      </w:r>
      <w:r w:rsidRPr="00110212">
        <w:rPr>
          <w:rFonts w:cs="Times New Roman"/>
          <w:i/>
          <w:iCs/>
          <w:szCs w:val="24"/>
        </w:rPr>
        <w:t>Langer v. Kiser</w:t>
      </w:r>
      <w:r w:rsidRPr="00110212">
        <w:rPr>
          <w:rFonts w:cs="Times New Roman"/>
          <w:szCs w:val="24"/>
        </w:rPr>
        <w:t>, 57 F.4th 1085 (9th Cir. 2023), the Ninth Circuit held it was legal error to base a credibility determination on a plaintiff’s history of ADA litigation, on a plaintiff’s status as an accessibility advocate or “tester,” or on the plaintiff’s decision to forego claims against neighboring businesses, because past litigation history is not “a basis for questioning the sincerity” of a plaintiff’s intent to return to a facility, and “there is no past patronage or bona fide customer requirement to bring an ADA claim.”  </w:t>
      </w:r>
      <w:r w:rsidRPr="00110212">
        <w:rPr>
          <w:rFonts w:cs="Times New Roman"/>
          <w:i/>
          <w:iCs/>
          <w:szCs w:val="24"/>
        </w:rPr>
        <w:t>Id. </w:t>
      </w:r>
      <w:r w:rsidRPr="00110212">
        <w:rPr>
          <w:rFonts w:cs="Times New Roman"/>
          <w:szCs w:val="24"/>
        </w:rPr>
        <w:t>at 1095-99</w:t>
      </w:r>
      <w:r w:rsidR="00E54E76">
        <w:rPr>
          <w:rFonts w:cs="Times New Roman"/>
          <w:szCs w:val="24"/>
        </w:rPr>
        <w:t xml:space="preserve">. </w:t>
      </w:r>
      <w:r w:rsidRPr="00110212">
        <w:rPr>
          <w:rFonts w:cs="Times New Roman"/>
          <w:szCs w:val="24"/>
        </w:rPr>
        <w:t>A court “may still make a credibility determination against a serial litigant, but there must be something other than the fact that the litigant files a lot of ADA cases to instill doubt in [their] testimony.”  </w:t>
      </w:r>
      <w:r w:rsidRPr="00110212">
        <w:rPr>
          <w:rFonts w:cs="Times New Roman"/>
          <w:i/>
          <w:iCs/>
          <w:szCs w:val="24"/>
        </w:rPr>
        <w:t>Id</w:t>
      </w:r>
      <w:r w:rsidRPr="00110212">
        <w:rPr>
          <w:rFonts w:cs="Times New Roman"/>
          <w:szCs w:val="24"/>
        </w:rPr>
        <w:t>. at 1097</w:t>
      </w:r>
      <w:r>
        <w:rPr>
          <w:rFonts w:cs="Times New Roman"/>
          <w:szCs w:val="24"/>
        </w:rPr>
        <w:t>.</w:t>
      </w:r>
    </w:p>
    <w:p w14:paraId="00A43101" w14:textId="77777777" w:rsidR="00BD01C1" w:rsidRPr="00110212" w:rsidRDefault="00BD01C1" w:rsidP="00BD01C1">
      <w:pPr>
        <w:autoSpaceDE w:val="0"/>
        <w:autoSpaceDN w:val="0"/>
        <w:adjustRightInd w:val="0"/>
        <w:rPr>
          <w:rFonts w:cs="Times New Roman"/>
          <w:szCs w:val="24"/>
        </w:rPr>
      </w:pPr>
    </w:p>
    <w:p w14:paraId="35F8A3C5" w14:textId="1F6688E6" w:rsidR="00BD01C1" w:rsidRPr="00110212" w:rsidRDefault="00BD01C1" w:rsidP="00BD01C1">
      <w:pPr>
        <w:autoSpaceDE w:val="0"/>
        <w:autoSpaceDN w:val="0"/>
        <w:adjustRightInd w:val="0"/>
        <w:rPr>
          <w:rFonts w:cs="Times New Roman"/>
          <w:szCs w:val="24"/>
        </w:rPr>
      </w:pPr>
      <w:r w:rsidRPr="00110212">
        <w:rPr>
          <w:rFonts w:cs="Times New Roman"/>
          <w:szCs w:val="24"/>
        </w:rPr>
        <w:t>            The Ninth Circuit explained </w:t>
      </w:r>
      <w:r w:rsidRPr="00110212">
        <w:rPr>
          <w:rFonts w:cs="Times New Roman"/>
          <w:i/>
          <w:iCs/>
          <w:szCs w:val="24"/>
        </w:rPr>
        <w:t>in Langer</w:t>
      </w:r>
      <w:r w:rsidRPr="00110212">
        <w:rPr>
          <w:rFonts w:cs="Times New Roman"/>
          <w:szCs w:val="24"/>
        </w:rPr>
        <w:t> that “the actual usage of the facility in question” is determinative of whether it is open to the public such that compliance with Title III of the ADA is mandated</w:t>
      </w:r>
      <w:r w:rsidR="00E54E76">
        <w:rPr>
          <w:rFonts w:cs="Times New Roman"/>
          <w:szCs w:val="24"/>
        </w:rPr>
        <w:t xml:space="preserve">. </w:t>
      </w:r>
      <w:r w:rsidRPr="00110212">
        <w:rPr>
          <w:rFonts w:cs="Times New Roman"/>
          <w:i/>
          <w:iCs/>
          <w:szCs w:val="24"/>
        </w:rPr>
        <w:t>Langer</w:t>
      </w:r>
      <w:r w:rsidRPr="00110212">
        <w:rPr>
          <w:rFonts w:cs="Times New Roman"/>
          <w:szCs w:val="24"/>
        </w:rPr>
        <w:t>, 57 F.4th at 1102</w:t>
      </w:r>
      <w:r w:rsidR="00E54E76">
        <w:rPr>
          <w:rFonts w:cs="Times New Roman"/>
          <w:szCs w:val="24"/>
        </w:rPr>
        <w:t xml:space="preserve">. </w:t>
      </w:r>
      <w:r w:rsidRPr="00110212">
        <w:rPr>
          <w:rFonts w:cs="Times New Roman"/>
          <w:szCs w:val="24"/>
        </w:rPr>
        <w:t>“Absent information about actual usage, considerations such as the nature of the entity and the facility, as well as the public’s reasonable expectations regarding use of the facility, may further guide a court’s analysis.” </w:t>
      </w:r>
      <w:r w:rsidRPr="00110212">
        <w:rPr>
          <w:rFonts w:cs="Times New Roman"/>
          <w:i/>
          <w:iCs/>
          <w:szCs w:val="24"/>
        </w:rPr>
        <w:t>Id.</w:t>
      </w:r>
      <w:r>
        <w:rPr>
          <w:rFonts w:cs="Times New Roman"/>
          <w:i/>
          <w:iCs/>
          <w:szCs w:val="24"/>
        </w:rPr>
        <w:t xml:space="preserve"> </w:t>
      </w:r>
      <w:bookmarkStart w:id="294" w:name="Trader_Joe’s_Co._v._Trader_Joe’s_United_"/>
      <w:bookmarkStart w:id="295" w:name="Instruction_15.30"/>
      <w:bookmarkEnd w:id="294"/>
      <w:bookmarkEnd w:id="295"/>
    </w:p>
    <w:p w14:paraId="1EAF7D15" w14:textId="77777777" w:rsidR="00BD01C1" w:rsidRPr="00F43EB2" w:rsidRDefault="00BD01C1" w:rsidP="00BD01C1">
      <w:pPr>
        <w:autoSpaceDE w:val="0"/>
        <w:autoSpaceDN w:val="0"/>
        <w:adjustRightInd w:val="0"/>
        <w:rPr>
          <w:rFonts w:cs="Times New Roman"/>
          <w:szCs w:val="24"/>
        </w:rPr>
      </w:pPr>
    </w:p>
    <w:p w14:paraId="4D5E5CA1" w14:textId="77777777" w:rsidR="00BD01C1" w:rsidRDefault="00BD01C1" w:rsidP="00BD01C1">
      <w:pPr>
        <w:autoSpaceDE w:val="0"/>
        <w:autoSpaceDN w:val="0"/>
        <w:adjustRightInd w:val="0"/>
        <w:rPr>
          <w:rFonts w:cs="Times New Roman"/>
          <w:szCs w:val="24"/>
        </w:rPr>
      </w:pPr>
      <w:r w:rsidRPr="00F43EB2">
        <w:rPr>
          <w:rFonts w:cs="Times New Roman"/>
          <w:szCs w:val="24"/>
        </w:rPr>
        <w:tab/>
        <w:t xml:space="preserve">A retaliation instruction has been withdrawn based on the Ninth Circuit’s decision in </w:t>
      </w:r>
      <w:r w:rsidRPr="00F43EB2">
        <w:rPr>
          <w:rFonts w:cs="Times New Roman"/>
          <w:i/>
          <w:iCs/>
          <w:szCs w:val="24"/>
        </w:rPr>
        <w:t>Alvarado v. Cajun Operating Co.</w:t>
      </w:r>
      <w:r w:rsidRPr="00F43EB2">
        <w:rPr>
          <w:rFonts w:cs="Times New Roman"/>
          <w:szCs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sidRPr="00F43EB2">
        <w:rPr>
          <w:rFonts w:cs="Times New Roman"/>
          <w:i/>
          <w:iCs/>
          <w:szCs w:val="24"/>
        </w:rPr>
        <w:t>Bayer v. Neiman Marcus Grp., Inc</w:t>
      </w:r>
      <w:r w:rsidRPr="00F43EB2">
        <w:rPr>
          <w:rFonts w:cs="Times New Roman"/>
          <w:szCs w:val="24"/>
        </w:rPr>
        <w:t>., 861 F.3d 853, 874 (9th Cir. 2017).</w:t>
      </w:r>
    </w:p>
    <w:p w14:paraId="381469B3" w14:textId="77777777" w:rsidR="00BD01C1" w:rsidRDefault="00BD01C1" w:rsidP="00BD01C1">
      <w:pPr>
        <w:autoSpaceDE w:val="0"/>
        <w:autoSpaceDN w:val="0"/>
        <w:adjustRightInd w:val="0"/>
        <w:rPr>
          <w:rFonts w:cs="Times New Roman"/>
          <w:szCs w:val="24"/>
        </w:rPr>
      </w:pPr>
    </w:p>
    <w:p w14:paraId="0227D05F" w14:textId="77777777" w:rsidR="00BD01C1" w:rsidRPr="0079408B" w:rsidRDefault="00BD01C1" w:rsidP="00BD01C1">
      <w:pPr>
        <w:autoSpaceDE w:val="0"/>
        <w:autoSpaceDN w:val="0"/>
        <w:adjustRightInd w:val="0"/>
        <w:jc w:val="right"/>
        <w:rPr>
          <w:rFonts w:cs="Times New Roman"/>
          <w:i/>
          <w:iCs/>
          <w:szCs w:val="24"/>
        </w:rPr>
      </w:pPr>
      <w:r>
        <w:rPr>
          <w:rFonts w:cs="Times New Roman"/>
          <w:i/>
          <w:iCs/>
          <w:szCs w:val="24"/>
        </w:rPr>
        <w:t>Revised December 2025</w:t>
      </w:r>
    </w:p>
    <w:p w14:paraId="65449EF3" w14:textId="77777777" w:rsidR="00444428" w:rsidRPr="002B283E" w:rsidRDefault="006A4CD7" w:rsidP="00FF121D">
      <w:pPr>
        <w:pStyle w:val="Heading2"/>
      </w:pPr>
      <w:r w:rsidRPr="002B283E">
        <w:br w:type="page"/>
      </w:r>
      <w:bookmarkStart w:id="296" w:name="_Toc117512504"/>
      <w:bookmarkStart w:id="297" w:name="_Toc221525248"/>
      <w:r w:rsidR="00444428" w:rsidRPr="002B283E">
        <w:lastRenderedPageBreak/>
        <w:t>12.1 ADA Employment Actions—Actual Disability—Elements</w:t>
      </w:r>
      <w:bookmarkEnd w:id="296"/>
      <w:bookmarkEnd w:id="297"/>
    </w:p>
    <w:p w14:paraId="1492C58B" w14:textId="77777777" w:rsidR="00444428" w:rsidRPr="002B283E" w:rsidRDefault="00444428" w:rsidP="002B283E">
      <w:pPr>
        <w:rPr>
          <w:rFonts w:cs="Times New Roman"/>
          <w:szCs w:val="24"/>
        </w:rPr>
      </w:pPr>
    </w:p>
    <w:p w14:paraId="5DB1233C" w14:textId="439EEA1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claims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disability was the reason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’s decision to [discharge] [not hire] [not promote] [demote] [</w:t>
      </w:r>
      <w:r w:rsidRPr="002B283E">
        <w:rPr>
          <w:rFonts w:cs="Times New Roman"/>
          <w:i/>
          <w:iCs/>
          <w:szCs w:val="24"/>
          <w:u w:val="single"/>
        </w:rPr>
        <w:t>state other adverse action</w:t>
      </w:r>
      <w:r w:rsidRPr="002B283E">
        <w:rPr>
          <w:rFonts w:cs="Times New Roman"/>
          <w:szCs w:val="24"/>
        </w:rPr>
        <w:t>] [him] [her] [</w:t>
      </w:r>
      <w:r w:rsidRPr="002B283E">
        <w:rPr>
          <w:rFonts w:cs="Times New Roman"/>
          <w:i/>
          <w:iCs/>
          <w:szCs w:val="24"/>
          <w:u w:val="single"/>
        </w:rPr>
        <w:t>other pronoun</w:t>
      </w:r>
      <w:r w:rsidRPr="002B283E">
        <w:rPr>
          <w:rFonts w:cs="Times New Roman"/>
          <w:szCs w:val="24"/>
        </w:rPr>
        <w:t xml:space="preserve">]. To succeed on this claim,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each of the following four elements by a preponderance of the evidence:</w:t>
      </w:r>
    </w:p>
    <w:p w14:paraId="6FA1A869" w14:textId="77777777" w:rsidR="00444428" w:rsidRPr="002B283E" w:rsidRDefault="00444428" w:rsidP="002B283E">
      <w:pPr>
        <w:autoSpaceDE w:val="0"/>
        <w:autoSpaceDN w:val="0"/>
        <w:adjustRightInd w:val="0"/>
        <w:rPr>
          <w:rFonts w:cs="Times New Roman"/>
          <w:szCs w:val="24"/>
        </w:rPr>
      </w:pPr>
    </w:p>
    <w:p w14:paraId="27C6A867" w14:textId="52F6F4EC"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First,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a physical or mental impairment;</w:t>
      </w:r>
    </w:p>
    <w:p w14:paraId="0B372C65" w14:textId="77777777" w:rsidR="00444428" w:rsidRPr="002B283E" w:rsidRDefault="00444428" w:rsidP="008A04C2">
      <w:pPr>
        <w:tabs>
          <w:tab w:val="left" w:pos="810"/>
        </w:tabs>
        <w:autoSpaceDE w:val="0"/>
        <w:autoSpaceDN w:val="0"/>
        <w:adjustRightInd w:val="0"/>
        <w:rPr>
          <w:rFonts w:cs="Times New Roman"/>
          <w:szCs w:val="24"/>
        </w:rPr>
      </w:pPr>
    </w:p>
    <w:p w14:paraId="5EAEE246" w14:textId="77777777"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762B917C" w14:textId="77777777" w:rsidR="00444428" w:rsidRPr="002B283E" w:rsidRDefault="00444428" w:rsidP="008A04C2">
      <w:pPr>
        <w:tabs>
          <w:tab w:val="left" w:pos="810"/>
        </w:tabs>
        <w:autoSpaceDE w:val="0"/>
        <w:autoSpaceDN w:val="0"/>
        <w:adjustRightInd w:val="0"/>
        <w:rPr>
          <w:rFonts w:cs="Times New Roman"/>
          <w:szCs w:val="24"/>
        </w:rPr>
      </w:pPr>
    </w:p>
    <w:p w14:paraId="00793E22" w14:textId="671EF14D"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Third,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a qualified individual as that term is later defined in these instructions; and</w:t>
      </w:r>
    </w:p>
    <w:p w14:paraId="46514A09" w14:textId="77777777" w:rsidR="00444428" w:rsidRPr="002B283E" w:rsidRDefault="00444428" w:rsidP="008A04C2">
      <w:pPr>
        <w:tabs>
          <w:tab w:val="left" w:pos="810"/>
        </w:tabs>
        <w:autoSpaceDE w:val="0"/>
        <w:autoSpaceDN w:val="0"/>
        <w:adjustRightInd w:val="0"/>
        <w:rPr>
          <w:rFonts w:cs="Times New Roman"/>
          <w:szCs w:val="24"/>
        </w:rPr>
      </w:pPr>
    </w:p>
    <w:p w14:paraId="37921124" w14:textId="6EE9D31F"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Fourth,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physical or mental impairment.</w:t>
      </w:r>
    </w:p>
    <w:p w14:paraId="79A85729" w14:textId="77777777" w:rsidR="00444428" w:rsidRPr="002B283E" w:rsidRDefault="00444428" w:rsidP="002B283E">
      <w:pPr>
        <w:autoSpaceDE w:val="0"/>
        <w:autoSpaceDN w:val="0"/>
        <w:adjustRightInd w:val="0"/>
        <w:rPr>
          <w:rFonts w:cs="Times New Roman"/>
          <w:szCs w:val="24"/>
        </w:rPr>
      </w:pPr>
    </w:p>
    <w:p w14:paraId="4A24ABDE" w14:textId="3B508703"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proved each of these elements, your verdict should be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If, on the other hand,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failed to prove any of these elements, your verdict should be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p>
    <w:p w14:paraId="7BE233BE" w14:textId="77777777" w:rsidR="00444428" w:rsidRPr="002B283E" w:rsidRDefault="00444428" w:rsidP="002B283E">
      <w:pPr>
        <w:autoSpaceDE w:val="0"/>
        <w:autoSpaceDN w:val="0"/>
        <w:adjustRightInd w:val="0"/>
        <w:rPr>
          <w:rFonts w:cs="Times New Roman"/>
          <w:szCs w:val="24"/>
        </w:rPr>
      </w:pPr>
    </w:p>
    <w:p w14:paraId="735D573B" w14:textId="42876247"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the normal activities of living that a nondisabled</w:t>
      </w:r>
      <w:r w:rsidRPr="002B283E">
        <w:rPr>
          <w:rFonts w:cs="Times New Roman"/>
          <w:b/>
          <w:bCs/>
          <w:szCs w:val="24"/>
        </w:rPr>
        <w:t xml:space="preserve"> </w:t>
      </w:r>
      <w:r w:rsidRPr="002B283E">
        <w:rPr>
          <w:rFonts w:cs="Times New Roman"/>
          <w:szCs w:val="24"/>
        </w:rPr>
        <w:t>person can do with little or no difficulty, such as [</w:t>
      </w:r>
      <w:r w:rsidRPr="002B283E">
        <w:rPr>
          <w:rFonts w:cs="Times New Roman"/>
          <w:i/>
          <w:iCs/>
          <w:szCs w:val="24"/>
          <w:u w:val="single"/>
        </w:rPr>
        <w:t>specify applicable major life activities</w:t>
      </w:r>
      <w:r w:rsidRPr="002B283E">
        <w:rPr>
          <w:rFonts w:cs="Times New Roman"/>
          <w:szCs w:val="24"/>
        </w:rPr>
        <w:t>].</w:t>
      </w:r>
      <w:r w:rsidRPr="002B283E">
        <w:rPr>
          <w:rFonts w:cs="Times New Roman"/>
          <w:szCs w:val="24"/>
        </w:rPr>
        <w:br/>
      </w:r>
    </w:p>
    <w:p w14:paraId="5EE85CAE" w14:textId="77777777" w:rsidR="00444428" w:rsidRPr="002B283E" w:rsidRDefault="00444428" w:rsidP="002B283E">
      <w:pPr>
        <w:autoSpaceDE w:val="0"/>
        <w:autoSpaceDN w:val="0"/>
        <w:adjustRightInd w:val="0"/>
        <w:jc w:val="center"/>
        <w:rPr>
          <w:rFonts w:cs="Times New Roman"/>
          <w:b/>
          <w:bCs/>
          <w:szCs w:val="24"/>
        </w:rPr>
      </w:pPr>
      <w:r w:rsidRPr="002B283E">
        <w:rPr>
          <w:rFonts w:cs="Times New Roman"/>
          <w:b/>
          <w:bCs/>
          <w:szCs w:val="24"/>
        </w:rPr>
        <w:t>Comment</w:t>
      </w:r>
    </w:p>
    <w:p w14:paraId="13386EEF" w14:textId="77777777" w:rsidR="00444428" w:rsidRPr="002B283E" w:rsidRDefault="00444428" w:rsidP="002B283E">
      <w:pPr>
        <w:autoSpaceDE w:val="0"/>
        <w:autoSpaceDN w:val="0"/>
        <w:adjustRightInd w:val="0"/>
        <w:rPr>
          <w:rFonts w:cs="Times New Roman"/>
          <w:szCs w:val="24"/>
        </w:rPr>
      </w:pPr>
    </w:p>
    <w:p w14:paraId="770473A1" w14:textId="035EEA84"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defined in</w:t>
      </w:r>
      <w:r w:rsidR="00AF5E6B">
        <w:rPr>
          <w:rFonts w:cs="Times New Roman"/>
          <w:szCs w:val="24"/>
        </w:rPr>
        <w:t xml:space="preserve"> 42 U.S.C.</w:t>
      </w:r>
      <w:r w:rsidRPr="002B283E">
        <w:rPr>
          <w:rFonts w:cs="Times New Roman"/>
          <w:szCs w:val="24"/>
        </w:rPr>
        <w:t xml:space="preserve">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 Whether obesity without an underlying physiological cause is an impairment under the ADA is unclear.</w:t>
      </w:r>
      <w:r w:rsidRPr="002B283E">
        <w:rPr>
          <w:rFonts w:cs="Times New Roman"/>
          <w:i/>
          <w:iCs/>
          <w:szCs w:val="24"/>
        </w:rPr>
        <w:t xml:space="preserve"> See Valtierra v. Medtronic, Inc</w:t>
      </w:r>
      <w:r w:rsidRPr="002B283E">
        <w:rPr>
          <w:rFonts w:cs="Times New Roman"/>
          <w:szCs w:val="24"/>
        </w:rPr>
        <w:t>., 934 F.3d 1089 (9th Cir. 2019).</w:t>
      </w:r>
    </w:p>
    <w:p w14:paraId="00D4D929" w14:textId="77777777" w:rsidR="00444428" w:rsidRPr="002B283E" w:rsidRDefault="00444428" w:rsidP="002B283E">
      <w:pPr>
        <w:autoSpaceDE w:val="0"/>
        <w:autoSpaceDN w:val="0"/>
        <w:adjustRightInd w:val="0"/>
        <w:rPr>
          <w:rFonts w:cs="Times New Roman"/>
          <w:szCs w:val="24"/>
        </w:rPr>
      </w:pPr>
    </w:p>
    <w:p w14:paraId="009B9C24" w14:textId="77777777" w:rsidR="00444428" w:rsidRPr="002B283E" w:rsidRDefault="00444428"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6CC1C4ED" w14:textId="77777777" w:rsidR="00444428" w:rsidRPr="002B283E" w:rsidRDefault="00444428" w:rsidP="002B283E">
      <w:pPr>
        <w:autoSpaceDE w:val="0"/>
        <w:autoSpaceDN w:val="0"/>
        <w:adjustRightInd w:val="0"/>
        <w:rPr>
          <w:rFonts w:cs="Times New Roman"/>
          <w:szCs w:val="24"/>
        </w:rPr>
      </w:pPr>
    </w:p>
    <w:p w14:paraId="60ACB81C" w14:textId="79272B7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term “substantially limits” must be interpreted consistently with the ADAA. </w:t>
      </w:r>
      <w:r w:rsidRPr="002B283E">
        <w:rPr>
          <w:rFonts w:cs="Times New Roman"/>
          <w:i/>
          <w:iCs/>
          <w:szCs w:val="24"/>
        </w:rPr>
        <w:t>Id.</w:t>
      </w:r>
      <w:r w:rsidRPr="002B283E">
        <w:rPr>
          <w:rFonts w:cs="Times New Roman"/>
          <w:szCs w:val="24"/>
        </w:rPr>
        <w:t xml:space="preserve"> </w:t>
      </w:r>
      <w:r w:rsidR="00AF5E6B">
        <w:rPr>
          <w:rFonts w:cs="Times New Roman"/>
          <w:szCs w:val="24"/>
        </w:rPr>
        <w:t xml:space="preserve">at </w:t>
      </w:r>
      <w:r w:rsidRPr="002B283E">
        <w:rPr>
          <w:rFonts w:cs="Times New Roman"/>
          <w:szCs w:val="24"/>
        </w:rPr>
        <w:t>§</w:t>
      </w:r>
      <w:r w:rsidR="00AF5E6B">
        <w:rPr>
          <w:rFonts w:cs="Times New Roman"/>
          <w:szCs w:val="24"/>
        </w:rPr>
        <w:t xml:space="preserve"> 1227</w:t>
      </w:r>
      <w:r w:rsidRPr="002B283E">
        <w:rPr>
          <w:rFonts w:cs="Times New Roman"/>
          <w:szCs w:val="24"/>
        </w:rPr>
        <w:t xml:space="preserve">. “An impairment is a disability . . . if it substantially limits the ability of an individual to perform a major life activity as compared to most people in the general population. An </w:t>
      </w:r>
      <w:r w:rsidRPr="002B283E">
        <w:rPr>
          <w:rFonts w:cs="Times New Roman"/>
          <w:szCs w:val="24"/>
        </w:rPr>
        <w:lastRenderedPageBreak/>
        <w:t xml:space="preserve">impairment need not prevent, or significantly or severely restrict, the individual from performing a major life activity in order to be considered substantially limiting.” </w:t>
      </w:r>
      <w:r w:rsidRPr="002B283E">
        <w:rPr>
          <w:rFonts w:cs="Times New Roman"/>
          <w:i/>
          <w:iCs/>
          <w:szCs w:val="24"/>
        </w:rPr>
        <w:t>Weaving v. City of Hillsboro</w:t>
      </w:r>
      <w:r w:rsidRPr="002B283E">
        <w:rPr>
          <w:rFonts w:cs="Times New Roman"/>
          <w:szCs w:val="24"/>
        </w:rPr>
        <w:t>, 763 F.3d 1106, 1111 (9th Cir. 2014) (quoting 29 C.F.R. § 1630.2(j)(1)(ii)).</w:t>
      </w:r>
    </w:p>
    <w:p w14:paraId="5D1FED00" w14:textId="77777777" w:rsidR="00444428" w:rsidRPr="002B283E" w:rsidRDefault="00444428" w:rsidP="002B283E">
      <w:pPr>
        <w:autoSpaceDE w:val="0"/>
        <w:autoSpaceDN w:val="0"/>
        <w:adjustRightInd w:val="0"/>
        <w:rPr>
          <w:rFonts w:cs="Times New Roman"/>
          <w:szCs w:val="24"/>
        </w:rPr>
      </w:pPr>
    </w:p>
    <w:p w14:paraId="2CD4093E" w14:textId="5A242741" w:rsidR="00444428" w:rsidRPr="002B283E" w:rsidRDefault="00444428" w:rsidP="002B283E">
      <w:pPr>
        <w:autoSpaceDE w:val="0"/>
        <w:autoSpaceDN w:val="0"/>
        <w:adjustRightInd w:val="0"/>
        <w:rPr>
          <w:rFonts w:cs="Times New Roman"/>
          <w:szCs w:val="24"/>
        </w:rPr>
      </w:pPr>
      <w:r w:rsidRPr="002B283E">
        <w:rPr>
          <w:rFonts w:cs="Times New Roman"/>
          <w:szCs w:val="24"/>
        </w:rPr>
        <w:tab/>
        <w:t>The ADA places on the plaintiff the burden of showing that the plaintiff is qualified. The plaintiff must show the ability to perform the essential functions of the job either with or without a reasonable accommodation. 42 U.S.C. §</w:t>
      </w:r>
      <w:r w:rsidR="00AF5E6B">
        <w:rPr>
          <w:rFonts w:cs="Times New Roman"/>
          <w:szCs w:val="24"/>
        </w:rPr>
        <w:t>§</w:t>
      </w:r>
      <w:r w:rsidRPr="002B283E">
        <w:rPr>
          <w:rFonts w:cs="Times New Roman"/>
          <w:szCs w:val="24"/>
        </w:rPr>
        <w:t xml:space="preserve"> 12112(b)(5)(A), 12111(8); </w:t>
      </w:r>
      <w:r w:rsidRPr="002B283E">
        <w:rPr>
          <w:rFonts w:cs="Times New Roman"/>
          <w:i/>
          <w:iCs/>
          <w:szCs w:val="24"/>
        </w:rPr>
        <w:t>Smith v. Clark Cnty. Sch. Dist.</w:t>
      </w:r>
      <w:r w:rsidRPr="002B283E">
        <w:rPr>
          <w:rFonts w:cs="Times New Roman"/>
          <w:szCs w:val="24"/>
        </w:rPr>
        <w:t xml:space="preserve">, 727 F.3d 950, 955 (9th Cir. 2013); </w:t>
      </w:r>
      <w:r w:rsidRPr="002B283E">
        <w:rPr>
          <w:rFonts w:cs="Times New Roman"/>
          <w:i/>
          <w:iCs/>
          <w:szCs w:val="24"/>
        </w:rPr>
        <w:t>Cooper v. Neiman Marcus Grp</w:t>
      </w:r>
      <w:r w:rsidR="00AF5E6B">
        <w:rPr>
          <w:rFonts w:cs="Times New Roman"/>
          <w:i/>
          <w:iCs/>
          <w:szCs w:val="24"/>
        </w:rPr>
        <w:t>.</w:t>
      </w:r>
      <w:r w:rsidRPr="002B283E">
        <w:rPr>
          <w:rFonts w:cs="Times New Roman"/>
          <w:szCs w:val="24"/>
        </w:rPr>
        <w:t>, 125 F.3d 786, 790 (9th Cir. 1997) (stating elements).</w:t>
      </w:r>
    </w:p>
    <w:p w14:paraId="5D736D1B" w14:textId="77777777" w:rsidR="00444428" w:rsidRPr="002B283E" w:rsidRDefault="00444428" w:rsidP="002B283E">
      <w:pPr>
        <w:autoSpaceDE w:val="0"/>
        <w:autoSpaceDN w:val="0"/>
        <w:adjustRightInd w:val="0"/>
        <w:rPr>
          <w:rFonts w:cs="Times New Roman"/>
          <w:szCs w:val="24"/>
        </w:rPr>
      </w:pPr>
    </w:p>
    <w:p w14:paraId="302D9FF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An employee who commits an act of misconduct may be fired, regardless of whether he or she is disabled within the meaning of the ADA. </w:t>
      </w:r>
      <w:r w:rsidRPr="002B283E">
        <w:rPr>
          <w:rFonts w:cs="Times New Roman"/>
          <w:i/>
          <w:iCs/>
          <w:szCs w:val="24"/>
        </w:rPr>
        <w:t>Newland v. Dalton</w:t>
      </w:r>
      <w:r w:rsidRPr="002B283E">
        <w:rPr>
          <w:rFonts w:cs="Times New Roman"/>
          <w:szCs w:val="24"/>
        </w:rPr>
        <w:t xml:space="preserve">, 81 F.3d 904, 906 (9th Cir. 1996) (holding that while alcoholism is a “disability” under the ADA, an employee’s arrest for criminal assault while intoxicated was a nondiscriminatory reason for termination). </w:t>
      </w:r>
    </w:p>
    <w:p w14:paraId="615F9E6D" w14:textId="77777777" w:rsidR="00444428" w:rsidRPr="002B283E" w:rsidRDefault="00444428" w:rsidP="002B283E">
      <w:pPr>
        <w:autoSpaceDE w:val="0"/>
        <w:autoSpaceDN w:val="0"/>
        <w:adjustRightInd w:val="0"/>
        <w:rPr>
          <w:rFonts w:cs="Times New Roman"/>
          <w:szCs w:val="24"/>
        </w:rPr>
      </w:pPr>
    </w:p>
    <w:p w14:paraId="2C4D9C8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Raytheon v. Hernandez</w:t>
      </w:r>
      <w:r w:rsidRPr="002B283E">
        <w:rPr>
          <w:rFonts w:cs="Times New Roman"/>
          <w:szCs w:val="24"/>
        </w:rPr>
        <w:t xml:space="preserve">, 540 U.S. 44 (2003), the Supreme Court addressed an employer’s policy not to re-hire employees who left the company for violating personal conduct rules such as illegal drug use. </w:t>
      </w:r>
      <w:r w:rsidRPr="002B283E">
        <w:rPr>
          <w:rFonts w:cs="Times New Roman"/>
          <w:i/>
          <w:iCs/>
          <w:szCs w:val="24"/>
        </w:rPr>
        <w:t>Id.</w:t>
      </w:r>
      <w:r w:rsidRPr="002B283E">
        <w:rPr>
          <w:rFonts w:cs="Times New Roman"/>
          <w:szCs w:val="24"/>
        </w:rPr>
        <w:t xml:space="preserve"> at 46. Under a disparate treatment theory, a neutral “no-rehire” policy was a legitimate, nondiscriminatory reason under the ADA. </w:t>
      </w:r>
      <w:r w:rsidRPr="002B283E">
        <w:rPr>
          <w:rFonts w:cs="Times New Roman"/>
          <w:i/>
          <w:iCs/>
          <w:szCs w:val="24"/>
        </w:rPr>
        <w:t>Id.</w:t>
      </w:r>
      <w:r w:rsidRPr="002B283E">
        <w:rPr>
          <w:rFonts w:cs="Times New Roman"/>
          <w:szCs w:val="24"/>
        </w:rPr>
        <w:t xml:space="preserve"> at 53-55. Because the plaintiff had failed to raise a disparate impact claim on a timely basis, </w:t>
      </w:r>
      <w:r w:rsidRPr="002B283E">
        <w:rPr>
          <w:rFonts w:cs="Times New Roman"/>
          <w:i/>
          <w:iCs/>
          <w:szCs w:val="24"/>
        </w:rPr>
        <w:t>id.</w:t>
      </w:r>
      <w:r w:rsidRPr="002B283E">
        <w:rPr>
          <w:rFonts w:cs="Times New Roman"/>
          <w:szCs w:val="24"/>
        </w:rPr>
        <w:t xml:space="preserve"> at 49, the Court held that the question of whether the neutral no-rehire policy fell more harshly on drug addicts who were successfully rehabilitated could not be considered. </w:t>
      </w:r>
      <w:r w:rsidRPr="002B283E">
        <w:rPr>
          <w:rFonts w:cs="Times New Roman"/>
          <w:i/>
          <w:iCs/>
          <w:szCs w:val="24"/>
        </w:rPr>
        <w:t>Id.</w:t>
      </w:r>
      <w:r w:rsidRPr="002B283E">
        <w:rPr>
          <w:rFonts w:cs="Times New Roman"/>
          <w:szCs w:val="24"/>
        </w:rPr>
        <w:t xml:space="preserve"> at 52, 55.</w:t>
      </w:r>
    </w:p>
    <w:p w14:paraId="387BCF13" w14:textId="77777777" w:rsidR="00444428" w:rsidRPr="002B283E" w:rsidRDefault="00444428" w:rsidP="002B283E">
      <w:pPr>
        <w:autoSpaceDE w:val="0"/>
        <w:autoSpaceDN w:val="0"/>
        <w:adjustRightInd w:val="0"/>
        <w:rPr>
          <w:rFonts w:cs="Times New Roman"/>
          <w:szCs w:val="24"/>
        </w:rPr>
      </w:pPr>
    </w:p>
    <w:p w14:paraId="00C3DD6E" w14:textId="77777777" w:rsidR="00444428" w:rsidRPr="002B283E" w:rsidRDefault="00444428" w:rsidP="002B283E">
      <w:pPr>
        <w:autoSpaceDE w:val="0"/>
        <w:autoSpaceDN w:val="0"/>
        <w:adjustRightInd w:val="0"/>
        <w:rPr>
          <w:rFonts w:cs="Times New Roman"/>
          <w:i/>
          <w:iCs/>
          <w:szCs w:val="24"/>
        </w:rPr>
      </w:pPr>
      <w:r w:rsidRPr="002B283E">
        <w:rPr>
          <w:rFonts w:cs="Times New Roman"/>
          <w:szCs w:val="24"/>
        </w:rPr>
        <w:tab/>
        <w:t xml:space="preserve">Title I provides that “[n]o covered entity shall discriminate against a qualified individual with a disability </w:t>
      </w:r>
      <w:r w:rsidRPr="002B283E">
        <w:rPr>
          <w:rFonts w:cs="Times New Roman"/>
          <w:i/>
          <w:iCs/>
          <w:szCs w:val="24"/>
        </w:rPr>
        <w:t>because of</w:t>
      </w:r>
      <w:r w:rsidRPr="002B283E">
        <w:rPr>
          <w:rFonts w:cs="Times New Roman"/>
          <w:szCs w:val="24"/>
        </w:rPr>
        <w:t xml:space="preserve"> the disability of such individual.” 42 U.S.C. § 12112(a) (emphasis added). An ADA discrimination plaintiff bringing a claim under 42 U.S.C. § 12112 must show that the adverse employment action would not have occurred but for the disability. </w:t>
      </w:r>
      <w:r w:rsidRPr="002B283E">
        <w:rPr>
          <w:rFonts w:cs="Times New Roman"/>
          <w:i/>
          <w:iCs/>
          <w:szCs w:val="24"/>
        </w:rPr>
        <w:t>Murray v.</w:t>
      </w:r>
    </w:p>
    <w:p w14:paraId="75126A0C" w14:textId="77777777" w:rsidR="00444428" w:rsidRPr="002B283E" w:rsidRDefault="00444428" w:rsidP="002B283E">
      <w:pPr>
        <w:autoSpaceDE w:val="0"/>
        <w:autoSpaceDN w:val="0"/>
        <w:adjustRightInd w:val="0"/>
        <w:rPr>
          <w:rFonts w:cs="Times New Roman"/>
          <w:szCs w:val="24"/>
        </w:rPr>
      </w:pPr>
      <w:r w:rsidRPr="002B283E">
        <w:rPr>
          <w:rFonts w:cs="Times New Roman"/>
          <w:i/>
          <w:iCs/>
          <w:szCs w:val="24"/>
        </w:rPr>
        <w:t>Mayo Clinic</w:t>
      </w:r>
      <w:r w:rsidRPr="002B283E">
        <w:rPr>
          <w:rFonts w:cs="Times New Roman"/>
          <w:szCs w:val="24"/>
        </w:rPr>
        <w:t>, 934 F.3d 1101, 1105 (9th Cir. 2019).</w:t>
      </w:r>
    </w:p>
    <w:p w14:paraId="5E7B4B31" w14:textId="77777777" w:rsidR="00444428" w:rsidRPr="002B283E" w:rsidRDefault="00444428" w:rsidP="002B283E">
      <w:pPr>
        <w:autoSpaceDE w:val="0"/>
        <w:autoSpaceDN w:val="0"/>
        <w:adjustRightInd w:val="0"/>
        <w:rPr>
          <w:rFonts w:cs="Times New Roman"/>
          <w:szCs w:val="24"/>
        </w:rPr>
      </w:pPr>
    </w:p>
    <w:p w14:paraId="3B006D58" w14:textId="78BB6F5D"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Supreme Court has held that in a retaliation claim under Title VII, a plaintiff “must establish that his or her protected activity was a but-for cause of the alleged adverse action by the employer.” </w:t>
      </w:r>
      <w:r w:rsidR="00AF5E6B" w:rsidRPr="00AF5E6B">
        <w:rPr>
          <w:rFonts w:cs="Times New Roman"/>
          <w:i/>
          <w:iCs/>
          <w:szCs w:val="24"/>
        </w:rPr>
        <w:t>Univ. of Tex. Sw. Med. Ctr. v. Nassar</w:t>
      </w:r>
      <w:r w:rsidRPr="002B283E">
        <w:rPr>
          <w:rFonts w:cs="Times New Roman"/>
          <w:szCs w:val="24"/>
        </w:rPr>
        <w:t xml:space="preserve">, 570 U.S. 338, 362 (2013). The Court explained that the “because” language in the anti-retaliation provision (42 U.S.C. § 2000e3(a)) lacked any meaningful textual difference from the statutory provision at issue in </w:t>
      </w:r>
      <w:r w:rsidRPr="002B283E">
        <w:rPr>
          <w:rFonts w:cs="Times New Roman"/>
          <w:i/>
          <w:iCs/>
          <w:szCs w:val="24"/>
        </w:rPr>
        <w:t>Gross</w:t>
      </w:r>
      <w:r w:rsidRPr="002B283E">
        <w:rPr>
          <w:rFonts w:cs="Times New Roman"/>
          <w:szCs w:val="24"/>
        </w:rPr>
        <w:t xml:space="preserve">. </w:t>
      </w:r>
      <w:r w:rsidR="00AF5E6B" w:rsidRPr="00AF5E6B">
        <w:rPr>
          <w:rFonts w:cs="Times New Roman"/>
          <w:i/>
          <w:iCs/>
          <w:szCs w:val="24"/>
        </w:rPr>
        <w:t>Nassar</w:t>
      </w:r>
      <w:r w:rsidR="00AF5E6B" w:rsidRPr="00AF5E6B">
        <w:rPr>
          <w:rFonts w:cs="Times New Roman"/>
          <w:szCs w:val="24"/>
        </w:rPr>
        <w:t xml:space="preserve">, </w:t>
      </w:r>
      <w:r w:rsidRPr="00AF5E6B">
        <w:rPr>
          <w:rFonts w:cs="Times New Roman"/>
          <w:szCs w:val="24"/>
        </w:rPr>
        <w:t>570</w:t>
      </w:r>
      <w:r w:rsidRPr="002B283E">
        <w:rPr>
          <w:rFonts w:cs="Times New Roman"/>
          <w:szCs w:val="24"/>
        </w:rPr>
        <w:t xml:space="preserve"> U.S. at 351-53; </w:t>
      </w:r>
      <w:r w:rsidRPr="002B283E">
        <w:rPr>
          <w:rFonts w:cs="Times New Roman"/>
          <w:i/>
          <w:iCs/>
          <w:szCs w:val="24"/>
        </w:rPr>
        <w:t>see also Burrage v. United States</w:t>
      </w:r>
      <w:r w:rsidRPr="002B283E">
        <w:rPr>
          <w:rFonts w:cs="Times New Roman"/>
          <w:szCs w:val="24"/>
        </w:rPr>
        <w:t xml:space="preserve">, 571 U.S. 204, 210-13 (2014) (defining “results from” in </w:t>
      </w:r>
      <w:r w:rsidR="00AF5E6B">
        <w:rPr>
          <w:rFonts w:cs="Times New Roman"/>
          <w:szCs w:val="24"/>
        </w:rPr>
        <w:t xml:space="preserve">the </w:t>
      </w:r>
      <w:r w:rsidRPr="002B283E">
        <w:rPr>
          <w:rFonts w:cs="Times New Roman"/>
          <w:szCs w:val="24"/>
        </w:rPr>
        <w:t xml:space="preserve">Controlled Substances Act to mean “but for” causation). The Ninth Circuit has applied “but for” causation in retaliation claims under the ADA. </w:t>
      </w:r>
      <w:r w:rsidRPr="002B283E">
        <w:rPr>
          <w:rFonts w:cs="Times New Roman"/>
          <w:i/>
          <w:iCs/>
          <w:szCs w:val="24"/>
        </w:rPr>
        <w:t>T.B. v. San Diego Unified Sch. Dist.</w:t>
      </w:r>
      <w:r w:rsidRPr="002B283E">
        <w:rPr>
          <w:rFonts w:cs="Times New Roman"/>
          <w:szCs w:val="24"/>
        </w:rPr>
        <w:t xml:space="preserve">, 795 F.3d 1067, 1088 (9th Cir. 2015). For further discussion of “but-for” causation, </w:t>
      </w:r>
      <w:r w:rsidRPr="00290ECB">
        <w:rPr>
          <w:rFonts w:cs="Times New Roman"/>
          <w:szCs w:val="24"/>
        </w:rPr>
        <w:t xml:space="preserve">see </w:t>
      </w:r>
      <w:r w:rsidR="00AF5E6B">
        <w:rPr>
          <w:rFonts w:cs="Times New Roman"/>
          <w:szCs w:val="24"/>
        </w:rPr>
        <w:t>Instruction</w:t>
      </w:r>
      <w:r w:rsidRPr="002B283E">
        <w:rPr>
          <w:rFonts w:cs="Times New Roman"/>
          <w:szCs w:val="24"/>
        </w:rPr>
        <w:t xml:space="preserve"> 10.3 (Civil Rights—Title VII—Disparate Treatment—“Because of” Defined). </w:t>
      </w:r>
    </w:p>
    <w:p w14:paraId="1A6F9AF1" w14:textId="77777777" w:rsidR="00444428" w:rsidRPr="002B283E" w:rsidRDefault="00444428" w:rsidP="002B283E">
      <w:pPr>
        <w:autoSpaceDE w:val="0"/>
        <w:autoSpaceDN w:val="0"/>
        <w:adjustRightInd w:val="0"/>
        <w:rPr>
          <w:rFonts w:cs="Times New Roman"/>
          <w:szCs w:val="24"/>
        </w:rPr>
      </w:pPr>
    </w:p>
    <w:p w14:paraId="4697DE73"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examples include: intellectual disability, which substantially limits brain function; cancer, which </w:t>
      </w:r>
      <w:r w:rsidRPr="002B283E">
        <w:rPr>
          <w:rFonts w:cs="Times New Roman"/>
          <w:szCs w:val="24"/>
        </w:rPr>
        <w:lastRenderedPageBreak/>
        <w:t xml:space="preserve">substantially limits normal cell growth; diabetes, which substantially limits endocrine function; and HIV, which substantially limits immune function. </w:t>
      </w:r>
      <w:r w:rsidRPr="002B283E">
        <w:rPr>
          <w:rFonts w:cs="Times New Roman"/>
          <w:i/>
          <w:iCs/>
          <w:szCs w:val="24"/>
        </w:rPr>
        <w:t>Id.</w:t>
      </w:r>
      <w:r w:rsidRPr="002B283E">
        <w:rPr>
          <w:rFonts w:cs="Times New Roman"/>
          <w:szCs w:val="24"/>
        </w:rPr>
        <w:t xml:space="preserve"> § 1630.2(j)(3)(iii).</w:t>
      </w:r>
    </w:p>
    <w:p w14:paraId="4B3DC5E2" w14:textId="77777777" w:rsidR="00444428" w:rsidRPr="002B283E" w:rsidRDefault="00444428" w:rsidP="002B283E">
      <w:pPr>
        <w:autoSpaceDE w:val="0"/>
        <w:autoSpaceDN w:val="0"/>
        <w:adjustRightInd w:val="0"/>
        <w:rPr>
          <w:rFonts w:cs="Times New Roman"/>
          <w:szCs w:val="24"/>
        </w:rPr>
      </w:pPr>
    </w:p>
    <w:p w14:paraId="1BDD3C5B" w14:textId="5ED2032D" w:rsidR="00444428" w:rsidRPr="002B283E" w:rsidRDefault="00444428" w:rsidP="002B283E">
      <w:pPr>
        <w:autoSpaceDE w:val="0"/>
        <w:autoSpaceDN w:val="0"/>
        <w:adjustRightInd w:val="0"/>
        <w:rPr>
          <w:rFonts w:cs="Times New Roman"/>
          <w:szCs w:val="24"/>
        </w:rPr>
      </w:pPr>
      <w:r w:rsidRPr="002B283E">
        <w:rPr>
          <w:rFonts w:cs="Times New Roman"/>
          <w:szCs w:val="24"/>
        </w:rPr>
        <w:tab/>
        <w:t>“An impairment that is episodic or in remission is a disability if it would substantially limit a major life activity when active.” 42 U.S.C. § 12102(4)(D).</w:t>
      </w:r>
    </w:p>
    <w:p w14:paraId="11612CF4" w14:textId="77777777" w:rsidR="00444428" w:rsidRPr="002B283E" w:rsidRDefault="00444428" w:rsidP="002B283E">
      <w:pPr>
        <w:autoSpaceDE w:val="0"/>
        <w:autoSpaceDN w:val="0"/>
        <w:adjustRightInd w:val="0"/>
        <w:rPr>
          <w:rFonts w:cs="Times New Roman"/>
          <w:szCs w:val="24"/>
        </w:rPr>
      </w:pPr>
    </w:p>
    <w:p w14:paraId="58064177"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12102(4)(E)(i)-(ii);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030A4E3F" w14:textId="77777777" w:rsidR="00444428" w:rsidRPr="002B283E" w:rsidRDefault="00444428" w:rsidP="002B283E">
      <w:pPr>
        <w:autoSpaceDE w:val="0"/>
        <w:autoSpaceDN w:val="0"/>
        <w:adjustRightInd w:val="0"/>
        <w:rPr>
          <w:rFonts w:cs="Times New Roman"/>
          <w:szCs w:val="24"/>
        </w:rPr>
      </w:pPr>
    </w:p>
    <w:p w14:paraId="3D687C76" w14:textId="47EC732B"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an appropriate case, the trial court must instruct the jury that conduct resulting from a disability is part of the disability and is not a separate basis for termination. </w:t>
      </w:r>
      <w:r w:rsidRPr="002B283E">
        <w:rPr>
          <w:rFonts w:cs="Times New Roman"/>
          <w:i/>
          <w:iCs/>
          <w:szCs w:val="24"/>
        </w:rPr>
        <w:t>See Gambini v. Total Renal Care, Inc.</w:t>
      </w:r>
      <w:r w:rsidRPr="002B283E">
        <w:rPr>
          <w:rFonts w:cs="Times New Roman"/>
          <w:szCs w:val="24"/>
        </w:rPr>
        <w:t xml:space="preserve">, 486 F.3d 1087, 1093 (9th Cir. 2007) (in case brought under the FMLA and Washington law by a plaintiff terminated after engaging in profanity-laced outburst allegedly caused by bipolar disorder, the Ninth Circuit held that it was error to refuse an instruction stating that conduct resulting from </w:t>
      </w:r>
      <w:r w:rsidR="00AF5E6B">
        <w:rPr>
          <w:rFonts w:cs="Times New Roman"/>
          <w:szCs w:val="24"/>
        </w:rPr>
        <w:t xml:space="preserve">a </w:t>
      </w:r>
      <w:r w:rsidRPr="002B283E">
        <w:rPr>
          <w:rFonts w:cs="Times New Roman"/>
          <w:szCs w:val="24"/>
        </w:rPr>
        <w:t xml:space="preserve">disability is part of the disability and not a separate basis for termination, citing </w:t>
      </w:r>
      <w:r w:rsidR="00AF5E6B">
        <w:rPr>
          <w:rFonts w:cs="Times New Roman"/>
          <w:szCs w:val="24"/>
        </w:rPr>
        <w:t xml:space="preserve">the </w:t>
      </w:r>
      <w:r w:rsidRPr="002B283E">
        <w:rPr>
          <w:rFonts w:cs="Times New Roman"/>
          <w:szCs w:val="24"/>
        </w:rPr>
        <w:t xml:space="preserve">ADA case of </w:t>
      </w:r>
      <w:r w:rsidRPr="002B283E">
        <w:rPr>
          <w:rFonts w:cs="Times New Roman"/>
          <w:i/>
          <w:iCs/>
          <w:szCs w:val="24"/>
        </w:rPr>
        <w:t>Humphrey v. Memorial Hospitals Ass’n</w:t>
      </w:r>
      <w:r w:rsidRPr="002B283E">
        <w:rPr>
          <w:rFonts w:cs="Times New Roman"/>
          <w:szCs w:val="24"/>
        </w:rPr>
        <w:t xml:space="preserve">, 239 F.3d 1128, 1139-40 (9th Cir. 2001)). However, </w:t>
      </w:r>
      <w:r w:rsidRPr="002B283E">
        <w:rPr>
          <w:rFonts w:cs="Times New Roman"/>
          <w:i/>
          <w:iCs/>
          <w:szCs w:val="24"/>
        </w:rPr>
        <w:t>Gambini</w:t>
      </w:r>
      <w:r w:rsidRPr="002B283E">
        <w:rPr>
          <w:rFonts w:cs="Times New Roman"/>
          <w:szCs w:val="24"/>
        </w:rPr>
        <w:t xml:space="preserve"> did not preclude the employer from arguing that the plaintiff was not a qualified individual or raising a business necessity or direct threat defense. </w:t>
      </w:r>
      <w:r w:rsidRPr="002B283E">
        <w:rPr>
          <w:rFonts w:cs="Times New Roman"/>
          <w:i/>
          <w:iCs/>
          <w:szCs w:val="24"/>
        </w:rPr>
        <w:t>Id.</w:t>
      </w:r>
      <w:r w:rsidRPr="002B283E">
        <w:rPr>
          <w:rFonts w:cs="Times New Roman"/>
          <w:szCs w:val="24"/>
        </w:rPr>
        <w:t xml:space="preserve"> at 1095-96. In </w:t>
      </w:r>
      <w:r w:rsidRPr="002B283E">
        <w:rPr>
          <w:rFonts w:cs="Times New Roman"/>
          <w:i/>
          <w:iCs/>
          <w:szCs w:val="24"/>
        </w:rPr>
        <w:t>Mayo v. PCC Structurals, Inc.</w:t>
      </w:r>
      <w:r w:rsidRPr="002B283E">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2B283E">
        <w:rPr>
          <w:rFonts w:cs="Times New Roman"/>
          <w:i/>
          <w:iCs/>
          <w:szCs w:val="24"/>
        </w:rPr>
        <w:t>See</w:t>
      </w:r>
      <w:r w:rsidRPr="002B283E">
        <w:rPr>
          <w:rFonts w:cs="Times New Roman"/>
          <w:szCs w:val="24"/>
        </w:rPr>
        <w:t xml:space="preserve"> Instruction 12.10 (ADA—Defenses—Business Necessity)</w:t>
      </w:r>
      <w:r w:rsidR="0081679E">
        <w:rPr>
          <w:rFonts w:cs="Times New Roman"/>
          <w:szCs w:val="24"/>
        </w:rPr>
        <w:t xml:space="preserve">; </w:t>
      </w:r>
      <w:r w:rsidRPr="002B283E">
        <w:rPr>
          <w:rFonts w:cs="Times New Roman"/>
          <w:szCs w:val="24"/>
        </w:rPr>
        <w:t>Instruction 12.11 (ADA—Defenses—Direct Threat).</w:t>
      </w:r>
    </w:p>
    <w:p w14:paraId="6C7B8FD6" w14:textId="77777777" w:rsidR="00444428" w:rsidRPr="002B283E" w:rsidRDefault="00444428" w:rsidP="002B283E">
      <w:pPr>
        <w:rPr>
          <w:rFonts w:cs="Times New Roman"/>
          <w:szCs w:val="24"/>
        </w:rPr>
      </w:pPr>
    </w:p>
    <w:p w14:paraId="2772B054" w14:textId="15544ABC" w:rsidR="001279D1" w:rsidRPr="002B283E" w:rsidRDefault="00444428" w:rsidP="002B283E">
      <w:pPr>
        <w:jc w:val="right"/>
        <w:rPr>
          <w:rFonts w:cs="Times New Roman"/>
          <w:i/>
          <w:iCs/>
          <w:szCs w:val="24"/>
        </w:rPr>
      </w:pPr>
      <w:r w:rsidRPr="002B283E">
        <w:rPr>
          <w:rFonts w:cs="Times New Roman"/>
          <w:i/>
          <w:iCs/>
          <w:szCs w:val="24"/>
        </w:rPr>
        <w:t>Revised March 2024</w:t>
      </w:r>
    </w:p>
    <w:p w14:paraId="77F4F5A2" w14:textId="0B803879" w:rsidR="001279D1" w:rsidRPr="002B283E" w:rsidRDefault="001279D1" w:rsidP="002B283E">
      <w:pPr>
        <w:autoSpaceDE w:val="0"/>
        <w:autoSpaceDN w:val="0"/>
        <w:adjustRightInd w:val="0"/>
        <w:jc w:val="right"/>
        <w:rPr>
          <w:rFonts w:cs="Times New Roman"/>
          <w:i/>
          <w:iCs/>
          <w:szCs w:val="24"/>
        </w:rPr>
      </w:pPr>
    </w:p>
    <w:p w14:paraId="51032DBB" w14:textId="01FE4C7C" w:rsidR="001279D1" w:rsidRPr="002B283E" w:rsidRDefault="001279D1" w:rsidP="002B283E">
      <w:pPr>
        <w:autoSpaceDE w:val="0"/>
        <w:autoSpaceDN w:val="0"/>
        <w:adjustRightInd w:val="0"/>
        <w:jc w:val="right"/>
        <w:rPr>
          <w:rFonts w:cs="Times New Roman"/>
          <w:i/>
          <w:iCs/>
          <w:szCs w:val="24"/>
        </w:rPr>
      </w:pPr>
    </w:p>
    <w:p w14:paraId="13C8D398" w14:textId="1A6A1796" w:rsidR="001279D1" w:rsidRPr="002B283E" w:rsidRDefault="001279D1" w:rsidP="002B283E">
      <w:pPr>
        <w:autoSpaceDE w:val="0"/>
        <w:autoSpaceDN w:val="0"/>
        <w:adjustRightInd w:val="0"/>
        <w:jc w:val="right"/>
        <w:rPr>
          <w:rFonts w:cs="Times New Roman"/>
          <w:i/>
          <w:iCs/>
          <w:szCs w:val="24"/>
        </w:rPr>
      </w:pPr>
    </w:p>
    <w:p w14:paraId="731783CC" w14:textId="68280CB0" w:rsidR="001279D1" w:rsidRPr="002B283E" w:rsidRDefault="001279D1" w:rsidP="002B283E">
      <w:pPr>
        <w:autoSpaceDE w:val="0"/>
        <w:autoSpaceDN w:val="0"/>
        <w:adjustRightInd w:val="0"/>
        <w:jc w:val="right"/>
        <w:rPr>
          <w:rFonts w:cs="Times New Roman"/>
          <w:i/>
          <w:iCs/>
          <w:szCs w:val="24"/>
        </w:rPr>
      </w:pPr>
    </w:p>
    <w:p w14:paraId="637BA536" w14:textId="197DEA54" w:rsidR="001279D1" w:rsidRPr="002B283E" w:rsidRDefault="001279D1" w:rsidP="002B283E">
      <w:pPr>
        <w:autoSpaceDE w:val="0"/>
        <w:autoSpaceDN w:val="0"/>
        <w:adjustRightInd w:val="0"/>
        <w:jc w:val="right"/>
        <w:rPr>
          <w:rFonts w:cs="Times New Roman"/>
          <w:i/>
          <w:iCs/>
          <w:szCs w:val="24"/>
        </w:rPr>
      </w:pPr>
    </w:p>
    <w:p w14:paraId="0E93469A" w14:textId="43082A42" w:rsidR="001279D1" w:rsidRPr="002B283E" w:rsidRDefault="001279D1" w:rsidP="002B283E">
      <w:pPr>
        <w:autoSpaceDE w:val="0"/>
        <w:autoSpaceDN w:val="0"/>
        <w:adjustRightInd w:val="0"/>
        <w:jc w:val="right"/>
        <w:rPr>
          <w:rFonts w:cs="Times New Roman"/>
          <w:i/>
          <w:iCs/>
          <w:szCs w:val="24"/>
        </w:rPr>
      </w:pPr>
    </w:p>
    <w:p w14:paraId="2B49F52D" w14:textId="4F4F98F6" w:rsidR="001279D1" w:rsidRPr="002B283E" w:rsidRDefault="001279D1" w:rsidP="002B283E">
      <w:pPr>
        <w:autoSpaceDE w:val="0"/>
        <w:autoSpaceDN w:val="0"/>
        <w:adjustRightInd w:val="0"/>
        <w:jc w:val="right"/>
        <w:rPr>
          <w:rFonts w:cs="Times New Roman"/>
          <w:i/>
          <w:iCs/>
          <w:szCs w:val="24"/>
        </w:rPr>
      </w:pPr>
    </w:p>
    <w:p w14:paraId="3BABF87F" w14:textId="4F6905E4" w:rsidR="001279D1" w:rsidRPr="002B283E" w:rsidRDefault="001279D1" w:rsidP="002B283E">
      <w:pPr>
        <w:autoSpaceDE w:val="0"/>
        <w:autoSpaceDN w:val="0"/>
        <w:adjustRightInd w:val="0"/>
        <w:jc w:val="right"/>
        <w:rPr>
          <w:rFonts w:cs="Times New Roman"/>
          <w:i/>
          <w:iCs/>
          <w:szCs w:val="24"/>
        </w:rPr>
      </w:pPr>
    </w:p>
    <w:p w14:paraId="0B13C8EF" w14:textId="111028C8" w:rsidR="001279D1" w:rsidRPr="002B283E" w:rsidRDefault="001279D1" w:rsidP="002B283E">
      <w:pPr>
        <w:autoSpaceDE w:val="0"/>
        <w:autoSpaceDN w:val="0"/>
        <w:adjustRightInd w:val="0"/>
        <w:jc w:val="right"/>
        <w:rPr>
          <w:rFonts w:cs="Times New Roman"/>
          <w:i/>
          <w:iCs/>
          <w:szCs w:val="24"/>
        </w:rPr>
      </w:pPr>
    </w:p>
    <w:p w14:paraId="33F93DB9" w14:textId="7BC1BD77" w:rsidR="001279D1" w:rsidRDefault="001279D1" w:rsidP="002B283E">
      <w:pPr>
        <w:autoSpaceDE w:val="0"/>
        <w:autoSpaceDN w:val="0"/>
        <w:adjustRightInd w:val="0"/>
        <w:jc w:val="right"/>
        <w:rPr>
          <w:rFonts w:cs="Times New Roman"/>
          <w:i/>
          <w:iCs/>
          <w:szCs w:val="24"/>
        </w:rPr>
      </w:pPr>
    </w:p>
    <w:p w14:paraId="11BDB7E6" w14:textId="77777777" w:rsidR="00AF5E6B" w:rsidRPr="002B283E" w:rsidRDefault="00AF5E6B" w:rsidP="002B283E">
      <w:pPr>
        <w:autoSpaceDE w:val="0"/>
        <w:autoSpaceDN w:val="0"/>
        <w:adjustRightInd w:val="0"/>
        <w:jc w:val="right"/>
        <w:rPr>
          <w:rFonts w:cs="Times New Roman"/>
          <w:i/>
          <w:iCs/>
          <w:szCs w:val="24"/>
        </w:rPr>
      </w:pPr>
    </w:p>
    <w:p w14:paraId="528E8793" w14:textId="40F3EA4B" w:rsidR="001279D1" w:rsidRPr="002B283E" w:rsidRDefault="001279D1" w:rsidP="002B283E">
      <w:pPr>
        <w:autoSpaceDE w:val="0"/>
        <w:autoSpaceDN w:val="0"/>
        <w:adjustRightInd w:val="0"/>
        <w:jc w:val="right"/>
        <w:rPr>
          <w:rFonts w:cs="Times New Roman"/>
          <w:i/>
          <w:iCs/>
          <w:szCs w:val="24"/>
        </w:rPr>
      </w:pPr>
    </w:p>
    <w:p w14:paraId="68701B8E" w14:textId="2FDE0E66" w:rsidR="001279D1" w:rsidRPr="002B283E" w:rsidRDefault="001279D1" w:rsidP="002B283E">
      <w:pPr>
        <w:autoSpaceDE w:val="0"/>
        <w:autoSpaceDN w:val="0"/>
        <w:adjustRightInd w:val="0"/>
        <w:jc w:val="right"/>
        <w:rPr>
          <w:rFonts w:cs="Times New Roman"/>
          <w:i/>
          <w:iCs/>
          <w:szCs w:val="24"/>
        </w:rPr>
      </w:pPr>
    </w:p>
    <w:p w14:paraId="74DB2389" w14:textId="15EF3FB9" w:rsidR="001279D1" w:rsidRPr="002B283E" w:rsidRDefault="001279D1" w:rsidP="002B283E">
      <w:pPr>
        <w:autoSpaceDE w:val="0"/>
        <w:autoSpaceDN w:val="0"/>
        <w:adjustRightInd w:val="0"/>
        <w:jc w:val="right"/>
        <w:rPr>
          <w:rFonts w:cs="Times New Roman"/>
          <w:i/>
          <w:iCs/>
          <w:szCs w:val="24"/>
        </w:rPr>
      </w:pPr>
    </w:p>
    <w:p w14:paraId="27B37177" w14:textId="77777777" w:rsidR="00C51661" w:rsidRPr="002B283E" w:rsidRDefault="00C51661" w:rsidP="00FF121D">
      <w:pPr>
        <w:pStyle w:val="Heading2"/>
      </w:pPr>
      <w:bookmarkStart w:id="298" w:name="_Toc117512505"/>
      <w:bookmarkStart w:id="299" w:name="_Toc221525249"/>
      <w:r w:rsidRPr="002B283E">
        <w:lastRenderedPageBreak/>
        <w:t>12.2 ADA Employment Actions—Record of Disability—Elements</w:t>
      </w:r>
      <w:bookmarkEnd w:id="298"/>
      <w:bookmarkEnd w:id="299"/>
    </w:p>
    <w:p w14:paraId="2A14A3CB" w14:textId="77777777" w:rsidR="00C51661" w:rsidRPr="002B283E" w:rsidRDefault="00C51661" w:rsidP="002B283E">
      <w:pPr>
        <w:rPr>
          <w:rFonts w:cs="Times New Roman"/>
          <w:szCs w:val="24"/>
        </w:rPr>
      </w:pPr>
    </w:p>
    <w:p w14:paraId="74DC7A1C" w14:textId="6B35699A"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claims that [his] [her] [</w:t>
      </w:r>
      <w:r w:rsidRPr="002B283E">
        <w:rPr>
          <w:rFonts w:cs="Times New Roman"/>
          <w:i/>
          <w:iCs/>
          <w:szCs w:val="24"/>
          <w:u w:val="single"/>
        </w:rPr>
        <w:t>other pronoun</w:t>
      </w:r>
      <w:r w:rsidRPr="002B283E">
        <w:rPr>
          <w:rFonts w:cs="Times New Roman"/>
          <w:szCs w:val="24"/>
        </w:rPr>
        <w:t>] record of disability was the reason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decision to </w:t>
      </w:r>
      <w:r w:rsidR="00290ECB">
        <w:rPr>
          <w:rFonts w:cs="Times New Roman"/>
          <w:szCs w:val="24"/>
        </w:rPr>
        <w:t>[</w:t>
      </w:r>
      <w:r w:rsidRPr="002B283E">
        <w:rPr>
          <w:rFonts w:cs="Times New Roman"/>
          <w:szCs w:val="24"/>
        </w:rPr>
        <w:t>[discharge] [not hire] [not promote] [demote]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r w:rsidRPr="002B283E">
        <w:rPr>
          <w:rFonts w:cs="Times New Roman"/>
          <w:i/>
          <w:iCs/>
          <w:szCs w:val="24"/>
          <w:u w:val="single"/>
        </w:rPr>
        <w:t>other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four elements by a preponderance of the evidence:</w:t>
      </w:r>
    </w:p>
    <w:p w14:paraId="49457C6E" w14:textId="77777777" w:rsidR="00C51661" w:rsidRPr="002B283E" w:rsidRDefault="00C51661" w:rsidP="002B283E">
      <w:pPr>
        <w:autoSpaceDE w:val="0"/>
        <w:autoSpaceDN w:val="0"/>
        <w:adjustRightInd w:val="0"/>
        <w:rPr>
          <w:rFonts w:cs="Times New Roman"/>
          <w:szCs w:val="24"/>
        </w:rPr>
      </w:pPr>
    </w:p>
    <w:p w14:paraId="09C37655" w14:textId="77F0D23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 record of a physical or mental impairment;</w:t>
      </w:r>
    </w:p>
    <w:p w14:paraId="2A9F63B6" w14:textId="77777777" w:rsidR="00C51661" w:rsidRPr="002B283E" w:rsidRDefault="00C51661" w:rsidP="008A04C2">
      <w:pPr>
        <w:tabs>
          <w:tab w:val="left" w:pos="630"/>
        </w:tabs>
        <w:autoSpaceDE w:val="0"/>
        <w:autoSpaceDN w:val="0"/>
        <w:adjustRightInd w:val="0"/>
        <w:rPr>
          <w:rFonts w:cs="Times New Roman"/>
          <w:szCs w:val="24"/>
        </w:rPr>
      </w:pPr>
    </w:p>
    <w:p w14:paraId="3FC105DF" w14:textId="7777777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6B0B2429" w14:textId="77777777" w:rsidR="00C51661" w:rsidRPr="002B283E" w:rsidRDefault="00C51661" w:rsidP="008A04C2">
      <w:pPr>
        <w:tabs>
          <w:tab w:val="left" w:pos="630"/>
        </w:tabs>
        <w:autoSpaceDE w:val="0"/>
        <w:autoSpaceDN w:val="0"/>
        <w:adjustRightInd w:val="0"/>
        <w:rPr>
          <w:rFonts w:cs="Times New Roman"/>
          <w:szCs w:val="24"/>
        </w:rPr>
      </w:pPr>
    </w:p>
    <w:p w14:paraId="2577252B" w14:textId="6CBD91B2"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66D9A83A" w14:textId="77777777" w:rsidR="00C51661" w:rsidRPr="002B283E" w:rsidRDefault="00C51661" w:rsidP="008A04C2">
      <w:pPr>
        <w:tabs>
          <w:tab w:val="left" w:pos="630"/>
        </w:tabs>
        <w:autoSpaceDE w:val="0"/>
        <w:autoSpaceDN w:val="0"/>
        <w:adjustRightInd w:val="0"/>
        <w:rPr>
          <w:rFonts w:cs="Times New Roman"/>
          <w:szCs w:val="24"/>
        </w:rPr>
      </w:pPr>
    </w:p>
    <w:p w14:paraId="4717AF75" w14:textId="3F8B5479"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Fourth,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record of a physical or mental impairment].</w:t>
      </w:r>
    </w:p>
    <w:p w14:paraId="72B2F50A" w14:textId="77777777" w:rsidR="00C51661" w:rsidRPr="002B283E" w:rsidRDefault="00C51661" w:rsidP="002B283E">
      <w:pPr>
        <w:autoSpaceDE w:val="0"/>
        <w:autoSpaceDN w:val="0"/>
        <w:adjustRightInd w:val="0"/>
        <w:rPr>
          <w:rFonts w:cs="Times New Roman"/>
          <w:szCs w:val="24"/>
        </w:rPr>
      </w:pPr>
    </w:p>
    <w:p w14:paraId="566F8328" w14:textId="21CEA7FD"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0F077F8F" w14:textId="77777777" w:rsidR="00C51661" w:rsidRPr="002B283E" w:rsidRDefault="00C51661" w:rsidP="002B283E">
      <w:pPr>
        <w:autoSpaceDE w:val="0"/>
        <w:autoSpaceDN w:val="0"/>
        <w:adjustRightInd w:val="0"/>
        <w:rPr>
          <w:rFonts w:cs="Times New Roman"/>
          <w:szCs w:val="24"/>
        </w:rPr>
      </w:pPr>
    </w:p>
    <w:p w14:paraId="2DB54540" w14:textId="77777777" w:rsidR="00C51661" w:rsidRPr="002B283E" w:rsidRDefault="00C51661" w:rsidP="002B283E">
      <w:pPr>
        <w:autoSpaceDE w:val="0"/>
        <w:autoSpaceDN w:val="0"/>
        <w:adjustRightInd w:val="0"/>
        <w:jc w:val="center"/>
        <w:rPr>
          <w:rFonts w:cs="Times New Roman"/>
          <w:szCs w:val="24"/>
        </w:rPr>
      </w:pPr>
      <w:r w:rsidRPr="002B283E">
        <w:rPr>
          <w:rFonts w:cs="Times New Roman"/>
          <w:b/>
          <w:bCs/>
          <w:szCs w:val="24"/>
        </w:rPr>
        <w:t>Comment</w:t>
      </w:r>
    </w:p>
    <w:p w14:paraId="1E2E79D9" w14:textId="77777777" w:rsidR="00C51661" w:rsidRPr="002B283E" w:rsidRDefault="00C51661" w:rsidP="002B283E">
      <w:pPr>
        <w:autoSpaceDE w:val="0"/>
        <w:autoSpaceDN w:val="0"/>
        <w:adjustRightInd w:val="0"/>
        <w:rPr>
          <w:rFonts w:cs="Times New Roman"/>
          <w:szCs w:val="24"/>
        </w:rPr>
      </w:pPr>
    </w:p>
    <w:p w14:paraId="78054C40" w14:textId="1E915133" w:rsidR="00C51661" w:rsidRPr="002B283E" w:rsidRDefault="00C5166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7E4B2BF5" w14:textId="77777777" w:rsidR="00C51661" w:rsidRPr="002B283E" w:rsidRDefault="00C51661" w:rsidP="002B283E">
      <w:pPr>
        <w:autoSpaceDE w:val="0"/>
        <w:autoSpaceDN w:val="0"/>
        <w:adjustRightInd w:val="0"/>
        <w:rPr>
          <w:rFonts w:cs="Times New Roman"/>
          <w:szCs w:val="24"/>
        </w:rPr>
      </w:pPr>
    </w:p>
    <w:p w14:paraId="24E247D2" w14:textId="77777777" w:rsidR="00C51661" w:rsidRPr="002B283E" w:rsidRDefault="00C51661"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17EA19D6" w14:textId="77777777" w:rsidR="00C51661" w:rsidRPr="002B283E" w:rsidRDefault="00C51661" w:rsidP="002B283E">
      <w:pPr>
        <w:autoSpaceDE w:val="0"/>
        <w:autoSpaceDN w:val="0"/>
        <w:adjustRightInd w:val="0"/>
        <w:rPr>
          <w:rFonts w:cs="Times New Roman"/>
          <w:szCs w:val="24"/>
        </w:rPr>
      </w:pPr>
    </w:p>
    <w:p w14:paraId="19127120" w14:textId="0AEDD25B" w:rsidR="001279D1" w:rsidRPr="002B283E" w:rsidRDefault="00C51661" w:rsidP="002B283E">
      <w:pPr>
        <w:autoSpaceDE w:val="0"/>
        <w:autoSpaceDN w:val="0"/>
        <w:adjustRightInd w:val="0"/>
        <w:jc w:val="right"/>
        <w:rPr>
          <w:rFonts w:cs="Times New Roman"/>
          <w:i/>
          <w:iCs/>
          <w:szCs w:val="24"/>
        </w:rPr>
      </w:pPr>
      <w:r w:rsidRPr="002B283E">
        <w:rPr>
          <w:rFonts w:cs="Times New Roman"/>
          <w:i/>
          <w:iCs/>
          <w:szCs w:val="24"/>
        </w:rPr>
        <w:t>Revised March 2024</w:t>
      </w:r>
    </w:p>
    <w:p w14:paraId="0C555417" w14:textId="0175057F" w:rsidR="001279D1" w:rsidRPr="002B283E" w:rsidRDefault="001279D1" w:rsidP="002B283E">
      <w:pPr>
        <w:autoSpaceDE w:val="0"/>
        <w:autoSpaceDN w:val="0"/>
        <w:adjustRightInd w:val="0"/>
        <w:jc w:val="right"/>
        <w:rPr>
          <w:rFonts w:cs="Times New Roman"/>
          <w:i/>
          <w:iCs/>
          <w:szCs w:val="24"/>
        </w:rPr>
      </w:pPr>
    </w:p>
    <w:p w14:paraId="01609396" w14:textId="710A88AE" w:rsidR="001279D1" w:rsidRPr="002B283E" w:rsidRDefault="001279D1" w:rsidP="002B283E">
      <w:pPr>
        <w:autoSpaceDE w:val="0"/>
        <w:autoSpaceDN w:val="0"/>
        <w:adjustRightInd w:val="0"/>
        <w:jc w:val="right"/>
        <w:rPr>
          <w:rFonts w:cs="Times New Roman"/>
          <w:i/>
          <w:iCs/>
          <w:szCs w:val="24"/>
        </w:rPr>
      </w:pPr>
    </w:p>
    <w:p w14:paraId="3C2A607A" w14:textId="40C3EAC8" w:rsidR="001279D1" w:rsidRPr="002B283E" w:rsidRDefault="001279D1" w:rsidP="002B283E">
      <w:pPr>
        <w:autoSpaceDE w:val="0"/>
        <w:autoSpaceDN w:val="0"/>
        <w:adjustRightInd w:val="0"/>
        <w:jc w:val="right"/>
        <w:rPr>
          <w:rFonts w:cs="Times New Roman"/>
          <w:i/>
          <w:iCs/>
          <w:szCs w:val="24"/>
        </w:rPr>
      </w:pPr>
    </w:p>
    <w:p w14:paraId="3712D8EB" w14:textId="6918762D" w:rsidR="001279D1" w:rsidRPr="002B283E" w:rsidRDefault="001279D1" w:rsidP="002B283E">
      <w:pPr>
        <w:autoSpaceDE w:val="0"/>
        <w:autoSpaceDN w:val="0"/>
        <w:adjustRightInd w:val="0"/>
        <w:jc w:val="right"/>
        <w:rPr>
          <w:rFonts w:cs="Times New Roman"/>
          <w:i/>
          <w:iCs/>
          <w:szCs w:val="24"/>
        </w:rPr>
      </w:pPr>
    </w:p>
    <w:p w14:paraId="6A7A8F23" w14:textId="7AD2160A" w:rsidR="001279D1" w:rsidRPr="002B283E" w:rsidRDefault="001279D1" w:rsidP="002B283E">
      <w:pPr>
        <w:autoSpaceDE w:val="0"/>
        <w:autoSpaceDN w:val="0"/>
        <w:adjustRightInd w:val="0"/>
        <w:jc w:val="right"/>
        <w:rPr>
          <w:rFonts w:cs="Times New Roman"/>
          <w:i/>
          <w:iCs/>
          <w:szCs w:val="24"/>
        </w:rPr>
      </w:pPr>
    </w:p>
    <w:p w14:paraId="68A48626" w14:textId="0ABB5E36" w:rsidR="001279D1" w:rsidRPr="002B283E" w:rsidRDefault="001279D1" w:rsidP="002B283E">
      <w:pPr>
        <w:autoSpaceDE w:val="0"/>
        <w:autoSpaceDN w:val="0"/>
        <w:adjustRightInd w:val="0"/>
        <w:jc w:val="right"/>
        <w:rPr>
          <w:rFonts w:cs="Times New Roman"/>
          <w:i/>
          <w:iCs/>
          <w:szCs w:val="24"/>
        </w:rPr>
      </w:pPr>
    </w:p>
    <w:p w14:paraId="511A0180" w14:textId="6DB87B11" w:rsidR="001279D1" w:rsidRPr="002B283E" w:rsidRDefault="001279D1" w:rsidP="002B283E">
      <w:pPr>
        <w:autoSpaceDE w:val="0"/>
        <w:autoSpaceDN w:val="0"/>
        <w:adjustRightInd w:val="0"/>
        <w:jc w:val="right"/>
        <w:rPr>
          <w:rFonts w:cs="Times New Roman"/>
          <w:i/>
          <w:iCs/>
          <w:szCs w:val="24"/>
        </w:rPr>
      </w:pPr>
    </w:p>
    <w:p w14:paraId="595626C6" w14:textId="591A4D79" w:rsidR="001279D1" w:rsidRPr="002B283E" w:rsidRDefault="001279D1" w:rsidP="002B283E">
      <w:pPr>
        <w:autoSpaceDE w:val="0"/>
        <w:autoSpaceDN w:val="0"/>
        <w:adjustRightInd w:val="0"/>
        <w:jc w:val="right"/>
        <w:rPr>
          <w:rFonts w:cs="Times New Roman"/>
          <w:i/>
          <w:iCs/>
          <w:szCs w:val="24"/>
        </w:rPr>
      </w:pPr>
    </w:p>
    <w:p w14:paraId="611B091A" w14:textId="653904BB" w:rsidR="001279D1" w:rsidRPr="002B283E" w:rsidRDefault="001279D1" w:rsidP="002B283E">
      <w:pPr>
        <w:autoSpaceDE w:val="0"/>
        <w:autoSpaceDN w:val="0"/>
        <w:adjustRightInd w:val="0"/>
        <w:jc w:val="right"/>
        <w:rPr>
          <w:rFonts w:cs="Times New Roman"/>
          <w:i/>
          <w:iCs/>
          <w:szCs w:val="24"/>
        </w:rPr>
      </w:pPr>
    </w:p>
    <w:p w14:paraId="63983A3E" w14:textId="61FF3982" w:rsidR="001279D1" w:rsidRPr="002B283E" w:rsidRDefault="001279D1" w:rsidP="002B283E">
      <w:pPr>
        <w:autoSpaceDE w:val="0"/>
        <w:autoSpaceDN w:val="0"/>
        <w:adjustRightInd w:val="0"/>
        <w:jc w:val="right"/>
        <w:rPr>
          <w:rFonts w:cs="Times New Roman"/>
          <w:i/>
          <w:iCs/>
          <w:szCs w:val="24"/>
        </w:rPr>
      </w:pPr>
    </w:p>
    <w:p w14:paraId="223AF3D7" w14:textId="77777777" w:rsidR="002E292E" w:rsidRPr="002B283E" w:rsidRDefault="002E292E" w:rsidP="00FF121D">
      <w:pPr>
        <w:pStyle w:val="Heading2"/>
      </w:pPr>
      <w:bookmarkStart w:id="300" w:name="_Toc117512506"/>
      <w:bookmarkStart w:id="301" w:name="_Toc221525250"/>
      <w:r w:rsidRPr="002B283E">
        <w:lastRenderedPageBreak/>
        <w:t>12.3 ADA Employment Actions—Regarded as Disability—Elements</w:t>
      </w:r>
      <w:bookmarkEnd w:id="300"/>
      <w:bookmarkEnd w:id="301"/>
    </w:p>
    <w:p w14:paraId="4AA93714" w14:textId="77777777" w:rsidR="002E292E" w:rsidRPr="002B283E" w:rsidRDefault="002E292E" w:rsidP="002B283E">
      <w:pPr>
        <w:rPr>
          <w:rFonts w:cs="Times New Roman"/>
          <w:szCs w:val="24"/>
        </w:rPr>
      </w:pPr>
    </w:p>
    <w:p w14:paraId="58B2C80A" w14:textId="11DC750F"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 xml:space="preserve">claims that because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regarded [him] [her] [</w:t>
      </w:r>
      <w:r w:rsidRPr="002B283E">
        <w:rPr>
          <w:rFonts w:cs="Times New Roman"/>
          <w:i/>
          <w:iCs/>
          <w:szCs w:val="24"/>
          <w:u w:val="single"/>
        </w:rPr>
        <w:t>other pronoun</w:t>
      </w:r>
      <w:r w:rsidRPr="002B283E">
        <w:rPr>
          <w:rFonts w:cs="Times New Roman"/>
          <w:szCs w:val="24"/>
        </w:rPr>
        <w:t xml:space="preserve">] as disabled,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290ECB">
        <w:t>[</w:t>
      </w:r>
      <w:r w:rsidRPr="002B283E">
        <w:rPr>
          <w:rFonts w:cs="Times New Roman"/>
          <w:szCs w:val="24"/>
        </w:rPr>
        <w:t>[discharged] [did not hire] [did not promote] [demoted]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r w:rsidRPr="002B283E">
        <w:rPr>
          <w:rFonts w:cs="Times New Roman"/>
          <w:i/>
          <w:iCs/>
          <w:szCs w:val="24"/>
          <w:u w:val="single"/>
        </w:rPr>
        <w:t>other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three elements by a preponderance of the evidence:</w:t>
      </w:r>
    </w:p>
    <w:p w14:paraId="5DB1164D" w14:textId="77777777" w:rsidR="002E292E" w:rsidRPr="002B283E" w:rsidRDefault="002E292E" w:rsidP="002B283E">
      <w:pPr>
        <w:autoSpaceDE w:val="0"/>
        <w:autoSpaceDN w:val="0"/>
        <w:adjustRightInd w:val="0"/>
        <w:rPr>
          <w:rFonts w:cs="Times New Roman"/>
          <w:szCs w:val="24"/>
        </w:rPr>
      </w:pPr>
    </w:p>
    <w:p w14:paraId="6DB16CAC" w14:textId="1EB68E48"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regarded as having a physical or mental impairment;</w:t>
      </w:r>
    </w:p>
    <w:p w14:paraId="4AA3077B" w14:textId="77777777" w:rsidR="002E292E" w:rsidRPr="002B283E" w:rsidRDefault="002E292E" w:rsidP="008A04C2">
      <w:pPr>
        <w:tabs>
          <w:tab w:val="left" w:pos="540"/>
        </w:tabs>
        <w:autoSpaceDE w:val="0"/>
        <w:autoSpaceDN w:val="0"/>
        <w:adjustRightInd w:val="0"/>
        <w:rPr>
          <w:rFonts w:cs="Times New Roman"/>
          <w:szCs w:val="24"/>
        </w:rPr>
      </w:pPr>
    </w:p>
    <w:p w14:paraId="6B62E368" w14:textId="5C7D1521"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Second,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4BBAF1EF" w14:textId="77777777" w:rsidR="002E292E" w:rsidRPr="002B283E" w:rsidRDefault="002E292E" w:rsidP="008A04C2">
      <w:pPr>
        <w:tabs>
          <w:tab w:val="left" w:pos="540"/>
        </w:tabs>
        <w:autoSpaceDE w:val="0"/>
        <w:autoSpaceDN w:val="0"/>
        <w:adjustRightInd w:val="0"/>
        <w:rPr>
          <w:rFonts w:cs="Times New Roman"/>
          <w:szCs w:val="24"/>
        </w:rPr>
      </w:pPr>
    </w:p>
    <w:p w14:paraId="5DE0400E" w14:textId="45A07CF0"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[he] [she] [</w:t>
      </w:r>
      <w:r w:rsidRPr="002B283E">
        <w:rPr>
          <w:rFonts w:cs="Times New Roman"/>
          <w:i/>
          <w:iCs/>
          <w:szCs w:val="24"/>
          <w:u w:val="single"/>
        </w:rPr>
        <w:t>other pronoun</w:t>
      </w:r>
      <w:r w:rsidRPr="002B283E">
        <w:rPr>
          <w:rFonts w:cs="Times New Roman"/>
          <w:szCs w:val="24"/>
        </w:rPr>
        <w:t>] was regarded as having a physical or mental impairment.</w:t>
      </w:r>
    </w:p>
    <w:p w14:paraId="7F0637F1" w14:textId="77777777" w:rsidR="002E292E" w:rsidRPr="002B283E" w:rsidRDefault="002E292E" w:rsidP="002B283E">
      <w:pPr>
        <w:autoSpaceDE w:val="0"/>
        <w:autoSpaceDN w:val="0"/>
        <w:adjustRightInd w:val="0"/>
        <w:rPr>
          <w:rFonts w:cs="Times New Roman"/>
          <w:szCs w:val="24"/>
        </w:rPr>
      </w:pPr>
    </w:p>
    <w:p w14:paraId="2C9D171B" w14:textId="4A00D9D4"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218C38B5" w14:textId="77777777" w:rsidR="002E292E" w:rsidRPr="002B283E" w:rsidRDefault="002E292E" w:rsidP="002B283E">
      <w:pPr>
        <w:autoSpaceDE w:val="0"/>
        <w:autoSpaceDN w:val="0"/>
        <w:adjustRightInd w:val="0"/>
        <w:rPr>
          <w:rFonts w:cs="Times New Roman"/>
          <w:szCs w:val="24"/>
        </w:rPr>
      </w:pPr>
    </w:p>
    <w:p w14:paraId="1B683FB0" w14:textId="77777777" w:rsidR="002E292E" w:rsidRPr="002B283E" w:rsidRDefault="002E292E" w:rsidP="002B283E">
      <w:pPr>
        <w:autoSpaceDE w:val="0"/>
        <w:autoSpaceDN w:val="0"/>
        <w:adjustRightInd w:val="0"/>
        <w:jc w:val="center"/>
        <w:rPr>
          <w:rFonts w:cs="Times New Roman"/>
          <w:szCs w:val="24"/>
        </w:rPr>
      </w:pPr>
      <w:r w:rsidRPr="002B283E">
        <w:rPr>
          <w:rFonts w:cs="Times New Roman"/>
          <w:b/>
          <w:bCs/>
          <w:szCs w:val="24"/>
        </w:rPr>
        <w:t>Comment</w:t>
      </w:r>
    </w:p>
    <w:p w14:paraId="096004CE" w14:textId="77777777" w:rsidR="002E292E" w:rsidRPr="002B283E" w:rsidRDefault="002E292E" w:rsidP="002B283E">
      <w:pPr>
        <w:autoSpaceDE w:val="0"/>
        <w:autoSpaceDN w:val="0"/>
        <w:adjustRightInd w:val="0"/>
        <w:rPr>
          <w:rFonts w:cs="Times New Roman"/>
          <w:szCs w:val="24"/>
        </w:rPr>
      </w:pPr>
    </w:p>
    <w:p w14:paraId="43A4F959" w14:textId="32FB5445" w:rsidR="002E292E" w:rsidRPr="002B283E" w:rsidRDefault="002E292E"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2AFEB31C" w14:textId="77777777" w:rsidR="002E292E" w:rsidRPr="002B283E" w:rsidRDefault="002E292E" w:rsidP="002B283E">
      <w:pPr>
        <w:autoSpaceDE w:val="0"/>
        <w:autoSpaceDN w:val="0"/>
        <w:adjustRightInd w:val="0"/>
        <w:rPr>
          <w:rFonts w:cs="Times New Roman"/>
          <w:szCs w:val="24"/>
        </w:rPr>
      </w:pPr>
    </w:p>
    <w:p w14:paraId="082A029B"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This instruction is intended to address the ADA Amendments Act of 2008, which clarified two points about “regarded as” disability claims:</w:t>
      </w:r>
    </w:p>
    <w:p w14:paraId="4EB2A815" w14:textId="77777777" w:rsidR="002E292E" w:rsidRPr="002B283E" w:rsidRDefault="002E292E" w:rsidP="002B283E">
      <w:pPr>
        <w:autoSpaceDE w:val="0"/>
        <w:autoSpaceDN w:val="0"/>
        <w:adjustRightInd w:val="0"/>
        <w:rPr>
          <w:rFonts w:cs="Times New Roman"/>
          <w:szCs w:val="24"/>
        </w:rPr>
      </w:pPr>
    </w:p>
    <w:p w14:paraId="36E71B2D" w14:textId="77777777"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A plaintiff meets the requirements of being “regarded as” having a disability if he establishes that he has been discriminated against “because of an actual or perceived impairment </w:t>
      </w:r>
      <w:r w:rsidRPr="002B283E">
        <w:rPr>
          <w:rFonts w:cs="Times New Roman"/>
          <w:i/>
          <w:iCs/>
          <w:szCs w:val="24"/>
        </w:rPr>
        <w:t>whether or not the impairment limits or is perceived to limit a major life activity</w:t>
      </w:r>
      <w:r w:rsidRPr="002B283E">
        <w:rPr>
          <w:rFonts w:cs="Times New Roman"/>
          <w:szCs w:val="24"/>
        </w:rPr>
        <w:t>.” (emphasis added). 42 U.S.C. § 12102(3)(A).</w:t>
      </w:r>
    </w:p>
    <w:p w14:paraId="5B0A5640" w14:textId="77777777" w:rsidR="002E292E" w:rsidRPr="002B283E" w:rsidRDefault="002E292E" w:rsidP="002B283E">
      <w:pPr>
        <w:autoSpaceDE w:val="0"/>
        <w:autoSpaceDN w:val="0"/>
        <w:adjustRightInd w:val="0"/>
        <w:rPr>
          <w:rFonts w:cs="Times New Roman"/>
          <w:szCs w:val="24"/>
        </w:rPr>
      </w:pPr>
    </w:p>
    <w:p w14:paraId="369BCB56" w14:textId="1702C8EC"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2B283E">
        <w:rPr>
          <w:rFonts w:cs="Times New Roman"/>
          <w:i/>
          <w:iCs/>
          <w:szCs w:val="24"/>
        </w:rPr>
        <w:t>Id</w:t>
      </w:r>
      <w:r w:rsidRPr="002B283E">
        <w:rPr>
          <w:rFonts w:cs="Times New Roman"/>
          <w:szCs w:val="24"/>
        </w:rPr>
        <w:t xml:space="preserve">.; </w:t>
      </w:r>
      <w:r w:rsidRPr="002B283E">
        <w:rPr>
          <w:rFonts w:cs="Times New Roman"/>
          <w:i/>
          <w:iCs/>
          <w:szCs w:val="24"/>
        </w:rPr>
        <w:t>Shields v. Credit One Bank</w:t>
      </w:r>
      <w:r w:rsidRPr="002B283E">
        <w:rPr>
          <w:rFonts w:cs="Times New Roman"/>
          <w:szCs w:val="24"/>
        </w:rPr>
        <w:t xml:space="preserve">, </w:t>
      </w:r>
      <w:r w:rsidRPr="002B283E">
        <w:rPr>
          <w:rFonts w:cs="Times New Roman"/>
          <w:i/>
          <w:iCs/>
          <w:szCs w:val="24"/>
        </w:rPr>
        <w:t>N.A.</w:t>
      </w:r>
      <w:r w:rsidRPr="002B283E">
        <w:rPr>
          <w:rFonts w:cs="Times New Roman"/>
          <w:szCs w:val="24"/>
        </w:rPr>
        <w:t>, 32 F.4th 1218, 1224 (9th Cir. 2022).</w:t>
      </w:r>
    </w:p>
    <w:p w14:paraId="11D48646" w14:textId="77777777" w:rsidR="002E292E" w:rsidRPr="002B283E" w:rsidRDefault="002E292E" w:rsidP="002B283E">
      <w:pPr>
        <w:autoSpaceDE w:val="0"/>
        <w:autoSpaceDN w:val="0"/>
        <w:adjustRightInd w:val="0"/>
        <w:rPr>
          <w:rFonts w:cs="Times New Roman"/>
          <w:szCs w:val="24"/>
        </w:rPr>
      </w:pPr>
    </w:p>
    <w:p w14:paraId="212FF1B7"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“transitory and minor” exception is an affirmative defense, and the employer bears the burden of establishing that defense. </w:t>
      </w:r>
      <w:r w:rsidRPr="002B283E">
        <w:rPr>
          <w:rFonts w:cs="Times New Roman"/>
          <w:i/>
          <w:iCs/>
          <w:szCs w:val="24"/>
        </w:rPr>
        <w:t>Nunies v. HIE Holdings, Inc</w:t>
      </w:r>
      <w:r w:rsidRPr="002B283E">
        <w:rPr>
          <w:rFonts w:cs="Times New Roman"/>
          <w:szCs w:val="24"/>
        </w:rPr>
        <w:t>., 908 F.3d 428, 435 (9th Cir. 2018).</w:t>
      </w:r>
    </w:p>
    <w:p w14:paraId="4758BB7E" w14:textId="77777777" w:rsidR="002E292E" w:rsidRPr="002B283E" w:rsidRDefault="002E292E" w:rsidP="002B283E">
      <w:pPr>
        <w:rPr>
          <w:rFonts w:cs="Times New Roman"/>
          <w:szCs w:val="24"/>
        </w:rPr>
      </w:pPr>
    </w:p>
    <w:p w14:paraId="5CD02830" w14:textId="3644AA28" w:rsidR="002E292E" w:rsidRDefault="002E292E" w:rsidP="00AF5E6B">
      <w:pPr>
        <w:jc w:val="right"/>
        <w:rPr>
          <w:rFonts w:cs="Times New Roman"/>
          <w:i/>
          <w:iCs/>
          <w:szCs w:val="24"/>
        </w:rPr>
      </w:pPr>
      <w:r w:rsidRPr="002B283E">
        <w:rPr>
          <w:rFonts w:cs="Times New Roman"/>
          <w:i/>
          <w:iCs/>
          <w:szCs w:val="24"/>
        </w:rPr>
        <w:t>Revised March 2024</w:t>
      </w:r>
    </w:p>
    <w:p w14:paraId="5CDA0970" w14:textId="77777777" w:rsidR="00AF5E6B" w:rsidRPr="002B283E" w:rsidRDefault="00AF5E6B" w:rsidP="00AF5E6B">
      <w:pPr>
        <w:jc w:val="right"/>
        <w:rPr>
          <w:rFonts w:cs="Times New Roman"/>
          <w:i/>
          <w:iCs/>
          <w:szCs w:val="24"/>
        </w:rPr>
      </w:pPr>
    </w:p>
    <w:p w14:paraId="1B925A03" w14:textId="77777777" w:rsidR="00B830EA" w:rsidRPr="002B283E" w:rsidRDefault="00B830EA" w:rsidP="00FF121D">
      <w:pPr>
        <w:pStyle w:val="Heading2"/>
      </w:pPr>
      <w:bookmarkStart w:id="302" w:name="_Toc117512507"/>
      <w:bookmarkStart w:id="303" w:name="_Toc221525251"/>
      <w:r w:rsidRPr="002B283E">
        <w:rPr>
          <w:highlight w:val="white"/>
        </w:rPr>
        <w:lastRenderedPageBreak/>
        <w:t xml:space="preserve">12.4 </w:t>
      </w:r>
      <w:r w:rsidRPr="002B283E">
        <w:t>ADA—Physical or Mental Impairment</w:t>
      </w:r>
      <w:bookmarkEnd w:id="302"/>
      <w:bookmarkEnd w:id="303"/>
    </w:p>
    <w:p w14:paraId="5893D3C5" w14:textId="77777777" w:rsidR="00B830EA" w:rsidRPr="002B283E" w:rsidRDefault="00B830EA" w:rsidP="002B283E">
      <w:pPr>
        <w:autoSpaceDE w:val="0"/>
        <w:autoSpaceDN w:val="0"/>
        <w:adjustRightInd w:val="0"/>
        <w:rPr>
          <w:rFonts w:cs="Times New Roman"/>
          <w:szCs w:val="24"/>
        </w:rPr>
      </w:pPr>
    </w:p>
    <w:p w14:paraId="3A300CA0" w14:textId="75161C38" w:rsidR="00B830EA" w:rsidRPr="002B283E" w:rsidRDefault="00B830EA" w:rsidP="002B283E">
      <w:pPr>
        <w:autoSpaceDE w:val="0"/>
        <w:autoSpaceDN w:val="0"/>
        <w:adjustRightInd w:val="0"/>
        <w:rPr>
          <w:rFonts w:cs="Times New Roman"/>
          <w:szCs w:val="24"/>
        </w:rPr>
      </w:pPr>
      <w:r w:rsidRPr="002B283E">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60612AB8" w14:textId="77777777" w:rsidR="00B830EA" w:rsidRPr="002B283E" w:rsidRDefault="00B830EA" w:rsidP="002B283E">
      <w:pPr>
        <w:autoSpaceDE w:val="0"/>
        <w:autoSpaceDN w:val="0"/>
        <w:adjustRightInd w:val="0"/>
        <w:rPr>
          <w:rFonts w:cs="Times New Roman"/>
          <w:szCs w:val="24"/>
        </w:rPr>
      </w:pPr>
    </w:p>
    <w:p w14:paraId="0AB0B175"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[(2) any mental or psychological disorder such as] [intellectual disability,] [organic brain syndrome,] [emotional or mental illnesses,] [and] [learning disabilities]]. </w:t>
      </w:r>
    </w:p>
    <w:p w14:paraId="37949C76" w14:textId="77777777" w:rsidR="00B830EA" w:rsidRPr="002B283E" w:rsidRDefault="00B830EA" w:rsidP="002B283E">
      <w:pPr>
        <w:rPr>
          <w:rFonts w:cs="Times New Roman"/>
          <w:szCs w:val="24"/>
        </w:rPr>
      </w:pPr>
    </w:p>
    <w:p w14:paraId="5B43353B" w14:textId="77777777" w:rsidR="00B830EA" w:rsidRPr="002B283E" w:rsidRDefault="00B830EA" w:rsidP="002B283E">
      <w:pPr>
        <w:autoSpaceDE w:val="0"/>
        <w:autoSpaceDN w:val="0"/>
        <w:adjustRightInd w:val="0"/>
        <w:jc w:val="center"/>
        <w:rPr>
          <w:rFonts w:cs="Times New Roman"/>
          <w:szCs w:val="24"/>
        </w:rPr>
      </w:pPr>
      <w:r w:rsidRPr="002B283E">
        <w:rPr>
          <w:rFonts w:cs="Times New Roman"/>
          <w:b/>
          <w:bCs/>
          <w:szCs w:val="24"/>
        </w:rPr>
        <w:t>Comment</w:t>
      </w:r>
    </w:p>
    <w:p w14:paraId="3C5DF485" w14:textId="77777777" w:rsidR="00B830EA" w:rsidRPr="002B283E" w:rsidRDefault="00B830EA" w:rsidP="002B283E">
      <w:pPr>
        <w:rPr>
          <w:rFonts w:cs="Times New Roman"/>
          <w:szCs w:val="24"/>
        </w:rPr>
      </w:pPr>
    </w:p>
    <w:p w14:paraId="7B7A7538"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2B283E">
        <w:rPr>
          <w:rFonts w:cs="Times New Roman"/>
          <w:i/>
          <w:iCs/>
          <w:szCs w:val="24"/>
        </w:rPr>
        <w:t>See Nunies v. HIE Holdings, Inc</w:t>
      </w:r>
      <w:r w:rsidRPr="002B283E">
        <w:rPr>
          <w:rFonts w:cs="Times New Roman"/>
          <w:szCs w:val="24"/>
        </w:rPr>
        <w:t>., 908 F.3d 428, 434 (9th Cir. 2018).</w:t>
      </w:r>
    </w:p>
    <w:p w14:paraId="23EFDC8F" w14:textId="77777777" w:rsidR="00B830EA" w:rsidRPr="002B283E" w:rsidRDefault="00B830EA" w:rsidP="002B283E">
      <w:pPr>
        <w:autoSpaceDE w:val="0"/>
        <w:autoSpaceDN w:val="0"/>
        <w:adjustRightInd w:val="0"/>
        <w:rPr>
          <w:rFonts w:cs="Times New Roman"/>
          <w:szCs w:val="24"/>
        </w:rPr>
      </w:pPr>
    </w:p>
    <w:p w14:paraId="43ED0D20"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12102(1). The definition of disability in the first paragraph is taken from § 12102(1)(A)-(C). The definition of physical or mental impairment in the second paragraph is taken from 29 C.F.R. § 1630.2(h)(1)-(2).</w:t>
      </w:r>
    </w:p>
    <w:p w14:paraId="781D60C9" w14:textId="77777777" w:rsidR="00B830EA" w:rsidRPr="002B283E" w:rsidRDefault="00B830EA" w:rsidP="002B283E">
      <w:pPr>
        <w:rPr>
          <w:rFonts w:cs="Times New Roman"/>
          <w:szCs w:val="24"/>
        </w:rPr>
      </w:pPr>
    </w:p>
    <w:p w14:paraId="667365E9" w14:textId="257796CF" w:rsidR="006A4CD7" w:rsidRPr="002B283E" w:rsidRDefault="00B830EA" w:rsidP="002B283E">
      <w:pPr>
        <w:jc w:val="right"/>
        <w:rPr>
          <w:rFonts w:cs="Times New Roman"/>
          <w:i/>
          <w:iCs/>
          <w:szCs w:val="24"/>
        </w:rPr>
      </w:pPr>
      <w:r w:rsidRPr="002B283E">
        <w:rPr>
          <w:rFonts w:cs="Times New Roman"/>
          <w:i/>
          <w:iCs/>
          <w:szCs w:val="24"/>
        </w:rPr>
        <w:t>Revised March 2024</w:t>
      </w:r>
    </w:p>
    <w:p w14:paraId="11213AB8" w14:textId="77777777" w:rsidR="00F73140" w:rsidRPr="002B283E" w:rsidRDefault="006A4CD7" w:rsidP="00FF121D">
      <w:pPr>
        <w:pStyle w:val="Heading2"/>
      </w:pPr>
      <w:r w:rsidRPr="002B283E">
        <w:br w:type="page"/>
      </w:r>
      <w:bookmarkStart w:id="304" w:name="_Toc117512508"/>
      <w:bookmarkStart w:id="305" w:name="_Toc221525252"/>
      <w:r w:rsidR="00F73140" w:rsidRPr="002B283E">
        <w:lastRenderedPageBreak/>
        <w:t>12.5 ADA—Work as a Major Life Activity</w:t>
      </w:r>
      <w:bookmarkEnd w:id="304"/>
      <w:bookmarkEnd w:id="305"/>
    </w:p>
    <w:p w14:paraId="42D65C84" w14:textId="77777777" w:rsidR="00F73140" w:rsidRPr="002B283E" w:rsidRDefault="00F73140" w:rsidP="002B283E">
      <w:pPr>
        <w:rPr>
          <w:rFonts w:cs="Times New Roman"/>
          <w:szCs w:val="24"/>
        </w:rPr>
      </w:pPr>
    </w:p>
    <w:p w14:paraId="34A80C3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When the major life activity under consideration is that of working, the plaintiff must prove, by a preponderance of the evidence, that the plaintiff was substantially limited in [his] [her] [</w:t>
      </w:r>
      <w:r w:rsidRPr="002B283E">
        <w:rPr>
          <w:rFonts w:cs="Times New Roman"/>
          <w:i/>
          <w:iCs/>
          <w:szCs w:val="24"/>
        </w:rPr>
        <w:t>other pronoun</w:t>
      </w:r>
      <w:r w:rsidRPr="002B283E">
        <w:rPr>
          <w:rFonts w:cs="Times New Roman"/>
          <w:szCs w:val="24"/>
        </w:rPr>
        <w:t>] ability to work compared to most people in the general population. An impairment need not prevent, or significantly or severely restrict, the individual from performing a major life activity to be considered substantially limiting. Factors that you may consider include the condition, manner, or duration under which the plaintiff performs the work as compared to most people in the general population.</w:t>
      </w:r>
    </w:p>
    <w:p w14:paraId="2DE99923" w14:textId="77777777" w:rsidR="00F73140" w:rsidRPr="002B283E" w:rsidRDefault="00F73140" w:rsidP="002B283E">
      <w:pPr>
        <w:rPr>
          <w:rFonts w:cs="Times New Roman"/>
          <w:szCs w:val="24"/>
        </w:rPr>
      </w:pPr>
    </w:p>
    <w:p w14:paraId="75A4908E" w14:textId="77777777" w:rsidR="00F73140" w:rsidRPr="002B283E" w:rsidRDefault="00F73140" w:rsidP="002B283E">
      <w:pPr>
        <w:autoSpaceDE w:val="0"/>
        <w:autoSpaceDN w:val="0"/>
        <w:adjustRightInd w:val="0"/>
        <w:jc w:val="center"/>
        <w:rPr>
          <w:rFonts w:cs="Times New Roman"/>
          <w:szCs w:val="24"/>
        </w:rPr>
      </w:pPr>
      <w:r w:rsidRPr="002B283E">
        <w:rPr>
          <w:rFonts w:cs="Times New Roman"/>
          <w:b/>
          <w:bCs/>
          <w:szCs w:val="24"/>
        </w:rPr>
        <w:t>Comment</w:t>
      </w:r>
    </w:p>
    <w:p w14:paraId="454A844F" w14:textId="77777777" w:rsidR="00F73140" w:rsidRPr="002B283E" w:rsidRDefault="00F73140" w:rsidP="002B283E">
      <w:pPr>
        <w:rPr>
          <w:rFonts w:cs="Times New Roman"/>
          <w:szCs w:val="24"/>
        </w:rPr>
      </w:pPr>
    </w:p>
    <w:p w14:paraId="56C293C1" w14:textId="4D005DE7" w:rsidR="00F73140" w:rsidRPr="002B283E" w:rsidRDefault="00F73140"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Weaving v. City of Hillsboro</w:t>
      </w:r>
      <w:r w:rsidRPr="002B283E">
        <w:rPr>
          <w:rFonts w:cs="Times New Roman"/>
          <w:szCs w:val="24"/>
        </w:rPr>
        <w:t xml:space="preserve">, 763 F.3d 1106, 1112 (9th Cir. 2014) (discussing the ADAA’s relaxed standard for determining whether a plaintiff is substantially limited in engaging in </w:t>
      </w:r>
      <w:r w:rsidR="00AF5E6B">
        <w:rPr>
          <w:rFonts w:cs="Times New Roman"/>
          <w:szCs w:val="24"/>
        </w:rPr>
        <w:t xml:space="preserve">a </w:t>
      </w:r>
      <w:r w:rsidRPr="002B283E">
        <w:rPr>
          <w:rFonts w:cs="Times New Roman"/>
          <w:szCs w:val="24"/>
        </w:rPr>
        <w:t xml:space="preserve">major life activity). The ADA lists working as a major life activity. 42 U.S.C. § 12102(2)(A). The definition of “substantially limited” is taken from 29 C.F.R. § 1630.2(j)(1)(ii). The factors are taken from 29 C.F.R. § 1630.2(j)(4). </w:t>
      </w:r>
    </w:p>
    <w:p w14:paraId="01AB30C7" w14:textId="77777777" w:rsidR="00F73140" w:rsidRPr="002B283E" w:rsidRDefault="00F73140" w:rsidP="002B283E">
      <w:pPr>
        <w:autoSpaceDE w:val="0"/>
        <w:autoSpaceDN w:val="0"/>
        <w:adjustRightInd w:val="0"/>
        <w:rPr>
          <w:rFonts w:cs="Times New Roman"/>
          <w:szCs w:val="24"/>
        </w:rPr>
      </w:pPr>
    </w:p>
    <w:p w14:paraId="1F7AF7B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2B283E">
        <w:rPr>
          <w:rFonts w:cs="Times New Roman"/>
          <w:i/>
          <w:iCs/>
          <w:szCs w:val="24"/>
        </w:rPr>
        <w:t>Id.</w:t>
      </w:r>
      <w:r w:rsidRPr="002B283E">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2B283E">
        <w:rPr>
          <w:rFonts w:cs="Times New Roman"/>
          <w:i/>
          <w:iCs/>
          <w:szCs w:val="24"/>
        </w:rPr>
        <w:t>Id.</w:t>
      </w:r>
      <w:r w:rsidRPr="002B283E">
        <w:rPr>
          <w:rFonts w:cs="Times New Roman"/>
          <w:szCs w:val="24"/>
        </w:rPr>
        <w:t xml:space="preserve"> § 1630.2(j)(4)(iii).</w:t>
      </w:r>
    </w:p>
    <w:p w14:paraId="4B7E14E1" w14:textId="77777777" w:rsidR="00F73140" w:rsidRPr="002B283E" w:rsidRDefault="00F73140" w:rsidP="002B283E">
      <w:pPr>
        <w:autoSpaceDE w:val="0"/>
        <w:autoSpaceDN w:val="0"/>
        <w:adjustRightInd w:val="0"/>
        <w:rPr>
          <w:rFonts w:cs="Times New Roman"/>
          <w:szCs w:val="24"/>
        </w:rPr>
      </w:pPr>
    </w:p>
    <w:p w14:paraId="3EF3CDB6"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This instruction may be modified according to the major life activity alleged by the plaintiff.</w:t>
      </w:r>
    </w:p>
    <w:p w14:paraId="2A278E05" w14:textId="77777777" w:rsidR="00F73140" w:rsidRPr="002B283E" w:rsidRDefault="00F73140" w:rsidP="002B283E">
      <w:pPr>
        <w:rPr>
          <w:rFonts w:cs="Times New Roman"/>
          <w:szCs w:val="24"/>
        </w:rPr>
      </w:pPr>
    </w:p>
    <w:p w14:paraId="7D026032" w14:textId="4A80138F" w:rsidR="006A4CD7" w:rsidRPr="002B283E" w:rsidRDefault="00F73140" w:rsidP="002B283E">
      <w:pPr>
        <w:jc w:val="right"/>
        <w:rPr>
          <w:rFonts w:cs="Times New Roman"/>
          <w:i/>
          <w:iCs/>
          <w:szCs w:val="24"/>
        </w:rPr>
      </w:pPr>
      <w:r w:rsidRPr="002B283E">
        <w:rPr>
          <w:rFonts w:cs="Times New Roman"/>
          <w:i/>
          <w:iCs/>
          <w:szCs w:val="24"/>
        </w:rPr>
        <w:t>Revised March 2024</w:t>
      </w:r>
    </w:p>
    <w:p w14:paraId="5F3166C2" w14:textId="76A0ACF2"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66D267B0" w14:textId="77777777" w:rsidR="007E6664" w:rsidRPr="002B283E" w:rsidRDefault="006A4CD7" w:rsidP="00FF121D">
      <w:pPr>
        <w:pStyle w:val="Heading2"/>
      </w:pPr>
      <w:r w:rsidRPr="002B283E">
        <w:br w:type="page"/>
      </w:r>
      <w:bookmarkStart w:id="306" w:name="_Toc117512509"/>
      <w:bookmarkStart w:id="307" w:name="_Toc221525253"/>
      <w:r w:rsidR="007E6664" w:rsidRPr="002B283E">
        <w:lastRenderedPageBreak/>
        <w:t>12.6 ADA—Interacting with Others as Major Life Activity</w:t>
      </w:r>
      <w:bookmarkEnd w:id="306"/>
      <w:bookmarkEnd w:id="307"/>
    </w:p>
    <w:p w14:paraId="30E0AEF8" w14:textId="77777777" w:rsidR="007E6664" w:rsidRPr="002B283E" w:rsidRDefault="007E6664" w:rsidP="002B283E">
      <w:pPr>
        <w:rPr>
          <w:rFonts w:cs="Times New Roman"/>
          <w:szCs w:val="24"/>
        </w:rPr>
      </w:pPr>
    </w:p>
    <w:p w14:paraId="36A52661"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When the major life activity under consideration is the ability to interact with others, the plaintiff must prove, by a preponderance of the evidence, that [he] [she] [</w:t>
      </w:r>
      <w:r w:rsidRPr="002B283E">
        <w:rPr>
          <w:rFonts w:cs="Times New Roman"/>
          <w:i/>
          <w:iCs/>
          <w:szCs w:val="24"/>
          <w:u w:val="single"/>
        </w:rPr>
        <w:t>other pronoun</w:t>
      </w:r>
      <w:r w:rsidRPr="002B283E">
        <w:rPr>
          <w:rFonts w:cs="Times New Roman"/>
          <w:szCs w:val="24"/>
        </w:rPr>
        <w:t>] was substantially limited compared to most people in the general population. An impairment need not prevent, or significantly or severely restrict, the individual from performing a major life activity to be considered substantially limiting.</w:t>
      </w:r>
    </w:p>
    <w:p w14:paraId="78BE193F" w14:textId="77777777" w:rsidR="007E6664" w:rsidRPr="002B283E" w:rsidRDefault="007E6664" w:rsidP="002B283E">
      <w:pPr>
        <w:autoSpaceDE w:val="0"/>
        <w:autoSpaceDN w:val="0"/>
        <w:adjustRightInd w:val="0"/>
        <w:rPr>
          <w:rFonts w:cs="Times New Roman"/>
          <w:szCs w:val="24"/>
        </w:rPr>
      </w:pPr>
    </w:p>
    <w:p w14:paraId="2FDB8710" w14:textId="77777777" w:rsidR="007E6664" w:rsidRPr="002B283E" w:rsidRDefault="007E6664" w:rsidP="002B283E">
      <w:pPr>
        <w:autoSpaceDE w:val="0"/>
        <w:autoSpaceDN w:val="0"/>
        <w:adjustRightInd w:val="0"/>
        <w:ind w:firstLine="720"/>
        <w:rPr>
          <w:rFonts w:cs="Times New Roman"/>
          <w:szCs w:val="24"/>
        </w:rPr>
      </w:pPr>
      <w:r w:rsidRPr="002B283E">
        <w:rPr>
          <w:rFonts w:cs="Times New Roman"/>
          <w:szCs w:val="24"/>
        </w:rPr>
        <w:t>Difficulty getting along with others is not enough. A plaintiff must show that [his] [her] [</w:t>
      </w:r>
      <w:r w:rsidRPr="002B283E">
        <w:rPr>
          <w:rFonts w:cs="Times New Roman"/>
          <w:i/>
          <w:iCs/>
          <w:szCs w:val="24"/>
          <w:u w:val="single"/>
        </w:rPr>
        <w:t>other pronoun</w:t>
      </w:r>
      <w:r w:rsidRPr="002B283E">
        <w:rPr>
          <w:rFonts w:cs="Times New Roman"/>
          <w:szCs w:val="24"/>
        </w:rPr>
        <w:t>] interactions with others were characterized on a regular basis by severe problems, such as consistently high levels of hostility, social withdrawal, or failure to communicate when necessary.</w:t>
      </w:r>
    </w:p>
    <w:p w14:paraId="13D95059" w14:textId="77777777" w:rsidR="007E6664" w:rsidRPr="002B283E" w:rsidRDefault="007E6664" w:rsidP="002B283E">
      <w:pPr>
        <w:rPr>
          <w:rFonts w:cs="Times New Roman"/>
          <w:szCs w:val="24"/>
        </w:rPr>
      </w:pPr>
    </w:p>
    <w:p w14:paraId="12EC3084" w14:textId="77777777" w:rsidR="007E6664" w:rsidRPr="002B283E" w:rsidRDefault="007E6664" w:rsidP="002B283E">
      <w:pPr>
        <w:autoSpaceDE w:val="0"/>
        <w:autoSpaceDN w:val="0"/>
        <w:adjustRightInd w:val="0"/>
        <w:jc w:val="center"/>
        <w:rPr>
          <w:rFonts w:cs="Times New Roman"/>
          <w:szCs w:val="24"/>
        </w:rPr>
      </w:pPr>
      <w:r w:rsidRPr="002B283E">
        <w:rPr>
          <w:rFonts w:cs="Times New Roman"/>
          <w:b/>
          <w:bCs/>
          <w:szCs w:val="24"/>
        </w:rPr>
        <w:t>Comment</w:t>
      </w:r>
    </w:p>
    <w:p w14:paraId="0A0DE4B0" w14:textId="77777777" w:rsidR="007E6664" w:rsidRPr="002B283E" w:rsidRDefault="007E6664" w:rsidP="002B283E">
      <w:pPr>
        <w:rPr>
          <w:rFonts w:cs="Times New Roman"/>
          <w:szCs w:val="24"/>
        </w:rPr>
      </w:pPr>
    </w:p>
    <w:p w14:paraId="520AF845"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w:t>
      </w:r>
    </w:p>
    <w:p w14:paraId="09E36216" w14:textId="77777777" w:rsidR="007E6664" w:rsidRPr="002B283E" w:rsidRDefault="007E6664" w:rsidP="002B283E">
      <w:pPr>
        <w:autoSpaceDE w:val="0"/>
        <w:autoSpaceDN w:val="0"/>
        <w:adjustRightInd w:val="0"/>
        <w:rPr>
          <w:rFonts w:cs="Times New Roman"/>
          <w:szCs w:val="24"/>
        </w:rPr>
      </w:pPr>
    </w:p>
    <w:p w14:paraId="7336927F"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wording of this instruction was taken from </w:t>
      </w:r>
      <w:r w:rsidRPr="002B283E">
        <w:rPr>
          <w:rFonts w:cs="Times New Roman"/>
          <w:i/>
          <w:iCs/>
          <w:szCs w:val="24"/>
        </w:rPr>
        <w:t>McAlindin v. County of San Diego</w:t>
      </w:r>
      <w:r w:rsidRPr="002B283E">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2B283E">
        <w:rPr>
          <w:rFonts w:cs="Times New Roman"/>
          <w:i/>
          <w:iCs/>
          <w:szCs w:val="24"/>
        </w:rPr>
        <w:t>See also Weaving</w:t>
      </w:r>
      <w:r w:rsidRPr="002B283E">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(citation omitted). The definition of “substantially limited” is taken from 29 C.F.R. § 1630.2(j)(1)(ii).</w:t>
      </w:r>
    </w:p>
    <w:p w14:paraId="0F9F0E4C" w14:textId="77777777" w:rsidR="007E6664" w:rsidRPr="002B283E" w:rsidRDefault="007E6664" w:rsidP="002B283E">
      <w:pPr>
        <w:rPr>
          <w:rFonts w:cs="Times New Roman"/>
          <w:szCs w:val="24"/>
        </w:rPr>
      </w:pPr>
    </w:p>
    <w:p w14:paraId="63F42C55" w14:textId="6B97B21C" w:rsidR="007E6664" w:rsidRPr="002B283E" w:rsidRDefault="007E6664" w:rsidP="002B283E">
      <w:pPr>
        <w:jc w:val="right"/>
        <w:rPr>
          <w:rFonts w:cs="Times New Roman"/>
          <w:i/>
          <w:iCs/>
          <w:szCs w:val="24"/>
        </w:rPr>
      </w:pPr>
      <w:r w:rsidRPr="002B283E">
        <w:rPr>
          <w:rFonts w:cs="Times New Roman"/>
          <w:i/>
          <w:iCs/>
          <w:szCs w:val="24"/>
        </w:rPr>
        <w:t>Revised March 2024</w:t>
      </w:r>
    </w:p>
    <w:p w14:paraId="3598BE07" w14:textId="77777777" w:rsidR="007E6664" w:rsidRPr="002B283E" w:rsidRDefault="007E6664" w:rsidP="002B283E">
      <w:pPr>
        <w:rPr>
          <w:rFonts w:cs="Times New Roman"/>
          <w:i/>
          <w:iCs/>
          <w:szCs w:val="24"/>
        </w:rPr>
      </w:pPr>
      <w:r w:rsidRPr="002B283E">
        <w:rPr>
          <w:rFonts w:cs="Times New Roman"/>
          <w:i/>
          <w:iCs/>
          <w:szCs w:val="24"/>
        </w:rPr>
        <w:br w:type="page"/>
      </w:r>
    </w:p>
    <w:p w14:paraId="68DAFD77" w14:textId="77777777" w:rsidR="00A85A19" w:rsidRPr="002B283E" w:rsidRDefault="00A85A19" w:rsidP="00FF121D">
      <w:pPr>
        <w:pStyle w:val="Heading2"/>
      </w:pPr>
      <w:bookmarkStart w:id="308" w:name="_Toc117512510"/>
      <w:bookmarkStart w:id="309" w:name="_Toc221525254"/>
      <w:r w:rsidRPr="002B283E">
        <w:lastRenderedPageBreak/>
        <w:t>12.7 ADA—Qualified Individual</w:t>
      </w:r>
      <w:bookmarkEnd w:id="308"/>
      <w:bookmarkEnd w:id="309"/>
    </w:p>
    <w:p w14:paraId="343A9F6A" w14:textId="77777777" w:rsidR="00A85A19" w:rsidRPr="002B283E" w:rsidRDefault="00A85A19" w:rsidP="002B283E">
      <w:pPr>
        <w:rPr>
          <w:rFonts w:cs="Times New Roman"/>
          <w:szCs w:val="24"/>
        </w:rPr>
      </w:pPr>
    </w:p>
    <w:p w14:paraId="48026F89"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second element of the ADA claim that the plaintiff must prove is that the plaintiff is a qualified individual under the ADA.</w:t>
      </w:r>
    </w:p>
    <w:p w14:paraId="207DC64B" w14:textId="77777777" w:rsidR="00A85A19" w:rsidRPr="002B283E" w:rsidRDefault="00A85A19" w:rsidP="002B283E">
      <w:pPr>
        <w:autoSpaceDE w:val="0"/>
        <w:autoSpaceDN w:val="0"/>
        <w:adjustRightInd w:val="0"/>
        <w:rPr>
          <w:rFonts w:cs="Times New Roman"/>
          <w:szCs w:val="24"/>
        </w:rPr>
      </w:pPr>
    </w:p>
    <w:p w14:paraId="142CF7D3"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1C2C258F" w14:textId="77777777" w:rsidR="00A85A19" w:rsidRPr="002B283E" w:rsidRDefault="00A85A19" w:rsidP="002B283E">
      <w:pPr>
        <w:rPr>
          <w:rFonts w:cs="Times New Roman"/>
          <w:szCs w:val="24"/>
        </w:rPr>
      </w:pPr>
    </w:p>
    <w:p w14:paraId="64A9927F" w14:textId="77777777" w:rsidR="00A85A19" w:rsidRPr="002B283E" w:rsidRDefault="00A85A19" w:rsidP="002B283E">
      <w:pPr>
        <w:autoSpaceDE w:val="0"/>
        <w:autoSpaceDN w:val="0"/>
        <w:adjustRightInd w:val="0"/>
        <w:jc w:val="center"/>
        <w:rPr>
          <w:rFonts w:cs="Times New Roman"/>
          <w:szCs w:val="24"/>
        </w:rPr>
      </w:pPr>
      <w:r w:rsidRPr="002B283E">
        <w:rPr>
          <w:rFonts w:cs="Times New Roman"/>
          <w:b/>
          <w:bCs/>
          <w:szCs w:val="24"/>
        </w:rPr>
        <w:t>Comment</w:t>
      </w:r>
    </w:p>
    <w:p w14:paraId="58661124" w14:textId="77777777" w:rsidR="00A85A19" w:rsidRPr="002B283E" w:rsidRDefault="00A85A19" w:rsidP="002B283E">
      <w:pPr>
        <w:rPr>
          <w:rFonts w:cs="Times New Roman"/>
          <w:szCs w:val="24"/>
        </w:rPr>
      </w:pPr>
    </w:p>
    <w:p w14:paraId="5EAC6758"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 (employment-related definitions); 29 C.F.R. § 1630.2(m) (qualified individual). For a definition of “disability,” </w:t>
      </w:r>
      <w:r w:rsidRPr="00AF5E6B">
        <w:rPr>
          <w:rFonts w:cs="Times New Roman"/>
          <w:szCs w:val="24"/>
        </w:rPr>
        <w:t>see</w:t>
      </w:r>
      <w:r w:rsidRPr="002B283E">
        <w:rPr>
          <w:rFonts w:cs="Times New Roman"/>
          <w:szCs w:val="24"/>
        </w:rPr>
        <w:t xml:space="preserve"> Instruction 12.2 (ADA—Physical or Mental Impairment).</w:t>
      </w:r>
    </w:p>
    <w:p w14:paraId="17058FEF" w14:textId="77777777" w:rsidR="00A85A19" w:rsidRPr="002B283E" w:rsidRDefault="00A85A19" w:rsidP="002B283E">
      <w:pPr>
        <w:autoSpaceDE w:val="0"/>
        <w:autoSpaceDN w:val="0"/>
        <w:adjustRightInd w:val="0"/>
        <w:rPr>
          <w:rFonts w:cs="Times New Roman"/>
          <w:szCs w:val="24"/>
        </w:rPr>
      </w:pPr>
    </w:p>
    <w:p w14:paraId="4B6F8C0E" w14:textId="3B64AC68"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An individual who fails to satisfy job prerequisites, such as having a license, cannot be considered qualified within the meaning of the ADA unless he or she can show that the prerequisite is itself discriminatory. </w:t>
      </w:r>
      <w:r w:rsidRPr="002B283E">
        <w:rPr>
          <w:rFonts w:cs="Times New Roman"/>
          <w:i/>
          <w:iCs/>
          <w:szCs w:val="24"/>
        </w:rPr>
        <w:t>Johnson v. Bd. of Trustees</w:t>
      </w:r>
      <w:r w:rsidRPr="002B283E">
        <w:rPr>
          <w:rFonts w:cs="Times New Roman"/>
          <w:szCs w:val="24"/>
        </w:rPr>
        <w:t>, 666 F.3d 561, 567 (9th Cir. 2011) (noting that a law firm that requires lawyers to have graduated from an accredited law school and passed a bar examination need not provide</w:t>
      </w:r>
      <w:r w:rsidR="00AF5E6B">
        <w:rPr>
          <w:rFonts w:cs="Times New Roman"/>
          <w:szCs w:val="24"/>
        </w:rPr>
        <w:t xml:space="preserve"> an</w:t>
      </w:r>
      <w:r w:rsidRPr="002B283E">
        <w:rPr>
          <w:rFonts w:cs="Times New Roman"/>
          <w:szCs w:val="24"/>
        </w:rPr>
        <w:t xml:space="preserve"> accommodation to </w:t>
      </w:r>
      <w:r w:rsidR="00AF5E6B">
        <w:rPr>
          <w:rFonts w:cs="Times New Roman"/>
          <w:szCs w:val="24"/>
        </w:rPr>
        <w:t xml:space="preserve">a </w:t>
      </w:r>
      <w:r w:rsidRPr="002B283E">
        <w:rPr>
          <w:rFonts w:cs="Times New Roman"/>
          <w:szCs w:val="24"/>
        </w:rPr>
        <w:t>disabled individual who does not meet this selection criteria).</w:t>
      </w:r>
    </w:p>
    <w:p w14:paraId="115CD2D3" w14:textId="77777777" w:rsidR="00A85A19" w:rsidRPr="002B283E" w:rsidRDefault="00A85A19" w:rsidP="002B283E">
      <w:pPr>
        <w:autoSpaceDE w:val="0"/>
        <w:autoSpaceDN w:val="0"/>
        <w:adjustRightInd w:val="0"/>
        <w:rPr>
          <w:rFonts w:cs="Times New Roman"/>
          <w:szCs w:val="24"/>
        </w:rPr>
      </w:pPr>
    </w:p>
    <w:p w14:paraId="3110A50C" w14:textId="05778445"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“[O]ne must be able to perform the essential functions of employment at the time that one is discriminated against in order to bring suit.” </w:t>
      </w:r>
      <w:r w:rsidRPr="002B283E">
        <w:rPr>
          <w:rFonts w:cs="Times New Roman"/>
          <w:i/>
          <w:iCs/>
          <w:szCs w:val="24"/>
        </w:rPr>
        <w:t>Weyer v. Twentieth Century Fox Film Corp.</w:t>
      </w:r>
      <w:r w:rsidRPr="002B283E">
        <w:rPr>
          <w:rFonts w:cs="Times New Roman"/>
          <w:szCs w:val="24"/>
        </w:rPr>
        <w:t xml:space="preserve">, 198 F.3d 1104, 1112 (9th Cir. 2000); </w:t>
      </w:r>
      <w:r w:rsidRPr="002B283E">
        <w:rPr>
          <w:rFonts w:cs="Times New Roman"/>
          <w:i/>
          <w:iCs/>
          <w:szCs w:val="24"/>
        </w:rPr>
        <w:t xml:space="preserve">see </w:t>
      </w:r>
      <w:r w:rsidR="00AF5E6B" w:rsidRPr="00AF5E6B">
        <w:rPr>
          <w:rFonts w:eastAsia="Calibri" w:cs="Times New Roman"/>
          <w:i/>
          <w:iCs/>
          <w:szCs w:val="24"/>
        </w:rPr>
        <w:t>Stanley v. City of Sanford</w:t>
      </w:r>
      <w:r w:rsidR="00AF5E6B" w:rsidRPr="00AF5E6B">
        <w:rPr>
          <w:rFonts w:eastAsia="Calibri" w:cs="Times New Roman"/>
          <w:szCs w:val="24"/>
        </w:rPr>
        <w:t>, __ U.S. __, 145 S. Ct. 2058, 2063-65, 2071 (2025) (holding that “to prevail under [42 U.S.C.] § 12112(a), a plaintiff must plead and prove that she held or desired a job, and could perform its essential functions with or without reasonable accommodation, at the time of an employer’s alleged act of disability-based discrimination” and that a retired employee who does not hold or seek a job is not a “qualified individual” under Title I);</w:t>
      </w:r>
      <w:r w:rsidR="00290ECB">
        <w:rPr>
          <w:rFonts w:eastAsia="Calibri" w:cs="Times New Roman"/>
          <w:szCs w:val="24"/>
        </w:rPr>
        <w:t xml:space="preserve"> </w:t>
      </w:r>
      <w:r w:rsidRPr="002B283E">
        <w:rPr>
          <w:rFonts w:cs="Times New Roman"/>
          <w:i/>
          <w:iCs/>
          <w:szCs w:val="24"/>
        </w:rPr>
        <w:t>Johnson</w:t>
      </w:r>
      <w:r w:rsidRPr="002B283E">
        <w:rPr>
          <w:rFonts w:cs="Times New Roman"/>
          <w:szCs w:val="24"/>
        </w:rPr>
        <w:t>, 666 F.3d at 564. A disabled employee or applicant who engaged in the use of illegal drugs at the time of the discriminatory incident will not be considered a “qualified individual with a disability” when the covered entity acts on the basis of such use</w:t>
      </w:r>
      <w:r w:rsidR="00A87F6E">
        <w:rPr>
          <w:rFonts w:cs="Times New Roman"/>
          <w:szCs w:val="24"/>
        </w:rPr>
        <w:t xml:space="preserve">. </w:t>
      </w:r>
      <w:r w:rsidRPr="002B283E">
        <w:rPr>
          <w:rFonts w:cs="Times New Roman"/>
          <w:szCs w:val="24"/>
        </w:rPr>
        <w:t xml:space="preserve">42 U.S.C. § 12114(a); </w:t>
      </w:r>
      <w:r w:rsidRPr="002B283E">
        <w:rPr>
          <w:rFonts w:cs="Times New Roman"/>
          <w:i/>
          <w:iCs/>
          <w:szCs w:val="24"/>
        </w:rPr>
        <w:t>Lopez v. Pacific Maritime Ass’n</w:t>
      </w:r>
      <w:r w:rsidRPr="002B283E">
        <w:rPr>
          <w:rFonts w:cs="Times New Roman"/>
          <w:szCs w:val="24"/>
        </w:rPr>
        <w:t>, 657 F.3d 762, 764-68 (9th Cir. 2011) (rejecting discrimination claim challenging one-strike rule that permanently eliminated candidates who tested positive for drug use; leaving open</w:t>
      </w:r>
      <w:r w:rsidR="00290ECB">
        <w:rPr>
          <w:rFonts w:cs="Times New Roman"/>
          <w:szCs w:val="24"/>
        </w:rPr>
        <w:t xml:space="preserve"> the</w:t>
      </w:r>
      <w:r w:rsidRPr="002B283E">
        <w:rPr>
          <w:rFonts w:cs="Times New Roman"/>
          <w:szCs w:val="24"/>
        </w:rPr>
        <w:t xml:space="preserve"> question of how disparate impact claim might be affected by 42 U.S.C. § 12112(b)(6), governing selection criteria that tends to screen out individuals with a disability). </w:t>
      </w:r>
      <w:r w:rsidRPr="002B283E">
        <w:rPr>
          <w:rFonts w:cs="Times New Roman"/>
          <w:i/>
          <w:iCs/>
          <w:szCs w:val="24"/>
        </w:rPr>
        <w:t>See also Mayo v. PCC Structurals, Inc.</w:t>
      </w:r>
      <w:r w:rsidRPr="002B283E">
        <w:rPr>
          <w:rFonts w:cs="Times New Roman"/>
          <w:szCs w:val="24"/>
        </w:rPr>
        <w:t xml:space="preserve">,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w:t>
      </w:r>
      <w:r w:rsidR="00AF5E6B">
        <w:rPr>
          <w:rFonts w:cs="Times New Roman"/>
          <w:szCs w:val="24"/>
        </w:rPr>
        <w:t xml:space="preserve">an </w:t>
      </w:r>
      <w:r w:rsidRPr="002B283E">
        <w:rPr>
          <w:rFonts w:cs="Times New Roman"/>
          <w:szCs w:val="24"/>
        </w:rPr>
        <w:t>employer to analyze separately whether an employee poses a direct threat to health or safety of others in workplace under 42 U.S.C. § 12113).</w:t>
      </w:r>
    </w:p>
    <w:p w14:paraId="66988045" w14:textId="77777777" w:rsidR="00A85A19" w:rsidRPr="002B283E" w:rsidRDefault="00A85A19" w:rsidP="002B283E">
      <w:pPr>
        <w:autoSpaceDE w:val="0"/>
        <w:autoSpaceDN w:val="0"/>
        <w:adjustRightInd w:val="0"/>
        <w:rPr>
          <w:rFonts w:cs="Times New Roman"/>
          <w:szCs w:val="24"/>
        </w:rPr>
      </w:pPr>
    </w:p>
    <w:p w14:paraId="037DB8C7" w14:textId="77777777" w:rsidR="00A85A19" w:rsidRPr="002B283E" w:rsidRDefault="00A85A19" w:rsidP="002B283E">
      <w:pPr>
        <w:rPr>
          <w:rFonts w:cs="Times New Roman"/>
          <w:szCs w:val="24"/>
        </w:rPr>
      </w:pPr>
      <w:r w:rsidRPr="002B283E">
        <w:rPr>
          <w:rFonts w:cs="Times New Roman"/>
          <w:szCs w:val="24"/>
        </w:rPr>
        <w:lastRenderedPageBreak/>
        <w:tab/>
        <w:t xml:space="preserve">The phrase “holds or desires” has been interpreted by the Ninth Circuit to apply in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p>
    <w:p w14:paraId="09265861" w14:textId="77777777" w:rsidR="00A85A19" w:rsidRPr="002B283E" w:rsidRDefault="00A85A19" w:rsidP="002B283E">
      <w:pPr>
        <w:rPr>
          <w:rFonts w:cs="Times New Roman"/>
          <w:szCs w:val="24"/>
        </w:rPr>
      </w:pPr>
    </w:p>
    <w:p w14:paraId="1F19298D" w14:textId="77777777" w:rsidR="00A85A19" w:rsidRDefault="00A85A19" w:rsidP="002B283E">
      <w:pPr>
        <w:jc w:val="right"/>
        <w:rPr>
          <w:rFonts w:cs="Times New Roman"/>
          <w:i/>
          <w:iCs/>
          <w:szCs w:val="24"/>
        </w:rPr>
      </w:pPr>
      <w:r w:rsidRPr="002B283E">
        <w:rPr>
          <w:rFonts w:cs="Times New Roman"/>
          <w:i/>
          <w:iCs/>
          <w:szCs w:val="24"/>
        </w:rPr>
        <w:t>Revised March 2024</w:t>
      </w:r>
    </w:p>
    <w:p w14:paraId="577B6473" w14:textId="77777777" w:rsidR="00AF5E6B" w:rsidRDefault="00AF5E6B" w:rsidP="002B283E">
      <w:pPr>
        <w:jc w:val="right"/>
        <w:rPr>
          <w:rFonts w:cs="Times New Roman"/>
          <w:i/>
          <w:iCs/>
          <w:szCs w:val="24"/>
        </w:rPr>
      </w:pPr>
    </w:p>
    <w:p w14:paraId="54525CA0" w14:textId="77777777" w:rsidR="00AF5E6B" w:rsidRDefault="00AF5E6B" w:rsidP="002B283E">
      <w:pPr>
        <w:jc w:val="right"/>
        <w:rPr>
          <w:rFonts w:cs="Times New Roman"/>
          <w:i/>
          <w:iCs/>
          <w:szCs w:val="24"/>
        </w:rPr>
      </w:pPr>
    </w:p>
    <w:p w14:paraId="16C54988" w14:textId="77777777" w:rsidR="00AF5E6B" w:rsidRDefault="00AF5E6B" w:rsidP="002B283E">
      <w:pPr>
        <w:jc w:val="right"/>
        <w:rPr>
          <w:rFonts w:cs="Times New Roman"/>
          <w:i/>
          <w:iCs/>
          <w:szCs w:val="24"/>
        </w:rPr>
      </w:pPr>
    </w:p>
    <w:p w14:paraId="619F5A9D" w14:textId="77777777" w:rsidR="00AF5E6B" w:rsidRDefault="00AF5E6B" w:rsidP="002B283E">
      <w:pPr>
        <w:jc w:val="right"/>
        <w:rPr>
          <w:rFonts w:cs="Times New Roman"/>
          <w:i/>
          <w:iCs/>
          <w:szCs w:val="24"/>
        </w:rPr>
      </w:pPr>
    </w:p>
    <w:p w14:paraId="4F06EF1E" w14:textId="77777777" w:rsidR="00AF5E6B" w:rsidRDefault="00AF5E6B" w:rsidP="002B283E">
      <w:pPr>
        <w:jc w:val="right"/>
        <w:rPr>
          <w:rFonts w:cs="Times New Roman"/>
          <w:i/>
          <w:iCs/>
          <w:szCs w:val="24"/>
        </w:rPr>
      </w:pPr>
    </w:p>
    <w:p w14:paraId="7DBB96BA" w14:textId="77777777" w:rsidR="00AF5E6B" w:rsidRDefault="00AF5E6B" w:rsidP="002B283E">
      <w:pPr>
        <w:jc w:val="right"/>
        <w:rPr>
          <w:rFonts w:cs="Times New Roman"/>
          <w:i/>
          <w:iCs/>
          <w:szCs w:val="24"/>
        </w:rPr>
      </w:pPr>
    </w:p>
    <w:p w14:paraId="2AB9BFF4" w14:textId="77777777" w:rsidR="00AF5E6B" w:rsidRDefault="00AF5E6B" w:rsidP="002B283E">
      <w:pPr>
        <w:jc w:val="right"/>
        <w:rPr>
          <w:rFonts w:cs="Times New Roman"/>
          <w:i/>
          <w:iCs/>
          <w:szCs w:val="24"/>
        </w:rPr>
      </w:pPr>
    </w:p>
    <w:p w14:paraId="7E4474E6" w14:textId="77777777" w:rsidR="00AF5E6B" w:rsidRDefault="00AF5E6B" w:rsidP="002B283E">
      <w:pPr>
        <w:jc w:val="right"/>
        <w:rPr>
          <w:rFonts w:cs="Times New Roman"/>
          <w:i/>
          <w:iCs/>
          <w:szCs w:val="24"/>
        </w:rPr>
      </w:pPr>
    </w:p>
    <w:p w14:paraId="3FB49BD0" w14:textId="77777777" w:rsidR="00AF5E6B" w:rsidRDefault="00AF5E6B" w:rsidP="002B283E">
      <w:pPr>
        <w:jc w:val="right"/>
        <w:rPr>
          <w:rFonts w:cs="Times New Roman"/>
          <w:i/>
          <w:iCs/>
          <w:szCs w:val="24"/>
        </w:rPr>
      </w:pPr>
    </w:p>
    <w:p w14:paraId="0425D8CF" w14:textId="77777777" w:rsidR="00AF5E6B" w:rsidRDefault="00AF5E6B" w:rsidP="002B283E">
      <w:pPr>
        <w:jc w:val="right"/>
        <w:rPr>
          <w:rFonts w:cs="Times New Roman"/>
          <w:i/>
          <w:iCs/>
          <w:szCs w:val="24"/>
        </w:rPr>
      </w:pPr>
    </w:p>
    <w:p w14:paraId="50481CE0" w14:textId="77777777" w:rsidR="00AF5E6B" w:rsidRDefault="00AF5E6B" w:rsidP="002B283E">
      <w:pPr>
        <w:jc w:val="right"/>
        <w:rPr>
          <w:rFonts w:cs="Times New Roman"/>
          <w:i/>
          <w:iCs/>
          <w:szCs w:val="24"/>
        </w:rPr>
      </w:pPr>
    </w:p>
    <w:p w14:paraId="079C907A" w14:textId="77777777" w:rsidR="00AF5E6B" w:rsidRDefault="00AF5E6B" w:rsidP="002B283E">
      <w:pPr>
        <w:jc w:val="right"/>
        <w:rPr>
          <w:rFonts w:cs="Times New Roman"/>
          <w:i/>
          <w:iCs/>
          <w:szCs w:val="24"/>
        </w:rPr>
      </w:pPr>
    </w:p>
    <w:p w14:paraId="0DE8EE6D" w14:textId="77777777" w:rsidR="00AF5E6B" w:rsidRDefault="00AF5E6B" w:rsidP="002B283E">
      <w:pPr>
        <w:jc w:val="right"/>
        <w:rPr>
          <w:rFonts w:cs="Times New Roman"/>
          <w:i/>
          <w:iCs/>
          <w:szCs w:val="24"/>
        </w:rPr>
      </w:pPr>
    </w:p>
    <w:p w14:paraId="3790E456" w14:textId="77777777" w:rsidR="00AF5E6B" w:rsidRDefault="00AF5E6B" w:rsidP="002B283E">
      <w:pPr>
        <w:jc w:val="right"/>
        <w:rPr>
          <w:rFonts w:cs="Times New Roman"/>
          <w:i/>
          <w:iCs/>
          <w:szCs w:val="24"/>
        </w:rPr>
      </w:pPr>
    </w:p>
    <w:p w14:paraId="79F36B48" w14:textId="77777777" w:rsidR="00AF5E6B" w:rsidRDefault="00AF5E6B" w:rsidP="002B283E">
      <w:pPr>
        <w:jc w:val="right"/>
        <w:rPr>
          <w:rFonts w:cs="Times New Roman"/>
          <w:i/>
          <w:iCs/>
          <w:szCs w:val="24"/>
        </w:rPr>
      </w:pPr>
    </w:p>
    <w:p w14:paraId="44A28E23" w14:textId="77777777" w:rsidR="00AF5E6B" w:rsidRDefault="00AF5E6B" w:rsidP="002B283E">
      <w:pPr>
        <w:jc w:val="right"/>
        <w:rPr>
          <w:rFonts w:cs="Times New Roman"/>
          <w:i/>
          <w:iCs/>
          <w:szCs w:val="24"/>
        </w:rPr>
      </w:pPr>
    </w:p>
    <w:p w14:paraId="776BFE63" w14:textId="77777777" w:rsidR="00AF5E6B" w:rsidRDefault="00AF5E6B" w:rsidP="002B283E">
      <w:pPr>
        <w:jc w:val="right"/>
        <w:rPr>
          <w:rFonts w:cs="Times New Roman"/>
          <w:i/>
          <w:iCs/>
          <w:szCs w:val="24"/>
        </w:rPr>
      </w:pPr>
    </w:p>
    <w:p w14:paraId="13B7ECA7" w14:textId="77777777" w:rsidR="00AF5E6B" w:rsidRDefault="00AF5E6B" w:rsidP="002B283E">
      <w:pPr>
        <w:jc w:val="right"/>
        <w:rPr>
          <w:rFonts w:cs="Times New Roman"/>
          <w:i/>
          <w:iCs/>
          <w:szCs w:val="24"/>
        </w:rPr>
      </w:pPr>
    </w:p>
    <w:p w14:paraId="6C2C4269" w14:textId="77777777" w:rsidR="00AF5E6B" w:rsidRDefault="00AF5E6B" w:rsidP="002B283E">
      <w:pPr>
        <w:jc w:val="right"/>
        <w:rPr>
          <w:rFonts w:cs="Times New Roman"/>
          <w:i/>
          <w:iCs/>
          <w:szCs w:val="24"/>
        </w:rPr>
      </w:pPr>
    </w:p>
    <w:p w14:paraId="0EE1490E" w14:textId="77777777" w:rsidR="00AF5E6B" w:rsidRDefault="00AF5E6B" w:rsidP="002B283E">
      <w:pPr>
        <w:jc w:val="right"/>
        <w:rPr>
          <w:rFonts w:cs="Times New Roman"/>
          <w:i/>
          <w:iCs/>
          <w:szCs w:val="24"/>
        </w:rPr>
      </w:pPr>
    </w:p>
    <w:p w14:paraId="1B274C43" w14:textId="77777777" w:rsidR="00AF5E6B" w:rsidRDefault="00AF5E6B" w:rsidP="002B283E">
      <w:pPr>
        <w:jc w:val="right"/>
        <w:rPr>
          <w:rFonts w:cs="Times New Roman"/>
          <w:i/>
          <w:iCs/>
          <w:szCs w:val="24"/>
        </w:rPr>
      </w:pPr>
    </w:p>
    <w:p w14:paraId="5DC95DB2" w14:textId="77777777" w:rsidR="00AF5E6B" w:rsidRDefault="00AF5E6B" w:rsidP="002B283E">
      <w:pPr>
        <w:jc w:val="right"/>
        <w:rPr>
          <w:rFonts w:cs="Times New Roman"/>
          <w:i/>
          <w:iCs/>
          <w:szCs w:val="24"/>
        </w:rPr>
      </w:pPr>
    </w:p>
    <w:p w14:paraId="09D76EDC" w14:textId="77777777" w:rsidR="00AF5E6B" w:rsidRDefault="00AF5E6B" w:rsidP="002B283E">
      <w:pPr>
        <w:jc w:val="right"/>
        <w:rPr>
          <w:rFonts w:cs="Times New Roman"/>
          <w:i/>
          <w:iCs/>
          <w:szCs w:val="24"/>
        </w:rPr>
      </w:pPr>
    </w:p>
    <w:p w14:paraId="1D89F409" w14:textId="77777777" w:rsidR="00AF5E6B" w:rsidRDefault="00AF5E6B" w:rsidP="002B283E">
      <w:pPr>
        <w:jc w:val="right"/>
        <w:rPr>
          <w:rFonts w:cs="Times New Roman"/>
          <w:i/>
          <w:iCs/>
          <w:szCs w:val="24"/>
        </w:rPr>
      </w:pPr>
    </w:p>
    <w:p w14:paraId="1D748A8F" w14:textId="77777777" w:rsidR="00AF5E6B" w:rsidRDefault="00AF5E6B" w:rsidP="002B283E">
      <w:pPr>
        <w:jc w:val="right"/>
        <w:rPr>
          <w:rFonts w:cs="Times New Roman"/>
          <w:i/>
          <w:iCs/>
          <w:szCs w:val="24"/>
        </w:rPr>
      </w:pPr>
    </w:p>
    <w:p w14:paraId="29806A9D" w14:textId="77777777" w:rsidR="00AF5E6B" w:rsidRDefault="00AF5E6B" w:rsidP="002B283E">
      <w:pPr>
        <w:jc w:val="right"/>
        <w:rPr>
          <w:rFonts w:cs="Times New Roman"/>
          <w:i/>
          <w:iCs/>
          <w:szCs w:val="24"/>
        </w:rPr>
      </w:pPr>
    </w:p>
    <w:p w14:paraId="55C6538C" w14:textId="77777777" w:rsidR="00AF5E6B" w:rsidRDefault="00AF5E6B" w:rsidP="002B283E">
      <w:pPr>
        <w:jc w:val="right"/>
        <w:rPr>
          <w:rFonts w:cs="Times New Roman"/>
          <w:i/>
          <w:iCs/>
          <w:szCs w:val="24"/>
        </w:rPr>
      </w:pPr>
    </w:p>
    <w:p w14:paraId="30D026B2" w14:textId="77777777" w:rsidR="00AF5E6B" w:rsidRDefault="00AF5E6B" w:rsidP="002B283E">
      <w:pPr>
        <w:jc w:val="right"/>
        <w:rPr>
          <w:rFonts w:cs="Times New Roman"/>
          <w:i/>
          <w:iCs/>
          <w:szCs w:val="24"/>
        </w:rPr>
      </w:pPr>
    </w:p>
    <w:p w14:paraId="2D9704A9" w14:textId="77777777" w:rsidR="00AF5E6B" w:rsidRDefault="00AF5E6B" w:rsidP="002B283E">
      <w:pPr>
        <w:jc w:val="right"/>
        <w:rPr>
          <w:rFonts w:cs="Times New Roman"/>
          <w:i/>
          <w:iCs/>
          <w:szCs w:val="24"/>
        </w:rPr>
      </w:pPr>
    </w:p>
    <w:p w14:paraId="665C6129" w14:textId="77777777" w:rsidR="00AF5E6B" w:rsidRDefault="00AF5E6B" w:rsidP="002B283E">
      <w:pPr>
        <w:jc w:val="right"/>
        <w:rPr>
          <w:rFonts w:cs="Times New Roman"/>
          <w:i/>
          <w:iCs/>
          <w:szCs w:val="24"/>
        </w:rPr>
      </w:pPr>
    </w:p>
    <w:p w14:paraId="34EB2155" w14:textId="77777777" w:rsidR="00AF5E6B" w:rsidRDefault="00AF5E6B" w:rsidP="002B283E">
      <w:pPr>
        <w:jc w:val="right"/>
        <w:rPr>
          <w:rFonts w:cs="Times New Roman"/>
          <w:i/>
          <w:iCs/>
          <w:szCs w:val="24"/>
        </w:rPr>
      </w:pPr>
    </w:p>
    <w:p w14:paraId="7EC98405" w14:textId="77777777" w:rsidR="00AF5E6B" w:rsidRDefault="00AF5E6B" w:rsidP="002B283E">
      <w:pPr>
        <w:jc w:val="right"/>
        <w:rPr>
          <w:rFonts w:cs="Times New Roman"/>
          <w:i/>
          <w:iCs/>
          <w:szCs w:val="24"/>
        </w:rPr>
      </w:pPr>
    </w:p>
    <w:p w14:paraId="46CBE5EA" w14:textId="77777777" w:rsidR="00AF5E6B" w:rsidRDefault="00AF5E6B" w:rsidP="002B283E">
      <w:pPr>
        <w:jc w:val="right"/>
        <w:rPr>
          <w:rFonts w:cs="Times New Roman"/>
          <w:i/>
          <w:iCs/>
          <w:szCs w:val="24"/>
        </w:rPr>
      </w:pPr>
    </w:p>
    <w:p w14:paraId="0F59DDF3" w14:textId="77777777" w:rsidR="00AF5E6B" w:rsidRDefault="00AF5E6B" w:rsidP="002B283E">
      <w:pPr>
        <w:jc w:val="right"/>
        <w:rPr>
          <w:rFonts w:cs="Times New Roman"/>
          <w:i/>
          <w:iCs/>
          <w:szCs w:val="24"/>
        </w:rPr>
      </w:pPr>
    </w:p>
    <w:p w14:paraId="10B31885" w14:textId="77777777" w:rsidR="00AF5E6B" w:rsidRDefault="00AF5E6B" w:rsidP="002B283E">
      <w:pPr>
        <w:jc w:val="right"/>
        <w:rPr>
          <w:rFonts w:cs="Times New Roman"/>
          <w:i/>
          <w:iCs/>
          <w:szCs w:val="24"/>
        </w:rPr>
      </w:pPr>
    </w:p>
    <w:p w14:paraId="0B27B396" w14:textId="77777777" w:rsidR="00AF5E6B" w:rsidRDefault="00AF5E6B" w:rsidP="002B283E">
      <w:pPr>
        <w:jc w:val="right"/>
        <w:rPr>
          <w:rFonts w:cs="Times New Roman"/>
          <w:i/>
          <w:iCs/>
          <w:szCs w:val="24"/>
        </w:rPr>
      </w:pPr>
    </w:p>
    <w:p w14:paraId="4DB7C2BD" w14:textId="77777777" w:rsidR="00AF5E6B" w:rsidRDefault="00AF5E6B" w:rsidP="002B283E">
      <w:pPr>
        <w:jc w:val="right"/>
        <w:rPr>
          <w:rFonts w:cs="Times New Roman"/>
          <w:i/>
          <w:iCs/>
          <w:szCs w:val="24"/>
        </w:rPr>
      </w:pPr>
    </w:p>
    <w:p w14:paraId="05C1CFC9" w14:textId="77777777" w:rsidR="00AF5E6B" w:rsidRDefault="00AF5E6B" w:rsidP="002B283E">
      <w:pPr>
        <w:jc w:val="right"/>
        <w:rPr>
          <w:rFonts w:cs="Times New Roman"/>
          <w:i/>
          <w:iCs/>
          <w:szCs w:val="24"/>
        </w:rPr>
      </w:pPr>
    </w:p>
    <w:p w14:paraId="5F601BC0" w14:textId="77777777" w:rsidR="00AF5E6B" w:rsidRPr="002B283E" w:rsidRDefault="00AF5E6B" w:rsidP="002B283E">
      <w:pPr>
        <w:jc w:val="right"/>
        <w:rPr>
          <w:rFonts w:cs="Times New Roman"/>
          <w:i/>
          <w:iCs/>
          <w:szCs w:val="24"/>
        </w:rPr>
      </w:pPr>
    </w:p>
    <w:p w14:paraId="1595FDC8" w14:textId="223230D1" w:rsidR="00E50C0F" w:rsidRPr="002B283E" w:rsidRDefault="006A4CD7" w:rsidP="00FF121D">
      <w:pPr>
        <w:pStyle w:val="Heading2"/>
      </w:pPr>
      <w:r w:rsidRPr="002B283E">
        <w:lastRenderedPageBreak/>
        <w:t xml:space="preserve"> </w:t>
      </w:r>
      <w:bookmarkStart w:id="310" w:name="_Toc117512511"/>
      <w:r w:rsidR="006E65C6" w:rsidRPr="002B283E">
        <w:t xml:space="preserve"> </w:t>
      </w:r>
      <w:bookmarkStart w:id="311" w:name="_Toc221525255"/>
      <w:r w:rsidR="00E50C0F" w:rsidRPr="002B283E">
        <w:t>12.8 ADA—Ability to Perform Essential Functions—Factors</w:t>
      </w:r>
      <w:bookmarkEnd w:id="310"/>
      <w:bookmarkEnd w:id="311"/>
    </w:p>
    <w:p w14:paraId="3635926F" w14:textId="77777777" w:rsidR="00E50C0F" w:rsidRPr="002B283E" w:rsidRDefault="00E50C0F" w:rsidP="002B283E">
      <w:pPr>
        <w:rPr>
          <w:rFonts w:cs="Times New Roman"/>
          <w:szCs w:val="24"/>
        </w:rPr>
      </w:pPr>
    </w:p>
    <w:p w14:paraId="403F8FAE" w14:textId="777BB4C1" w:rsidR="00E50C0F" w:rsidRPr="002B283E" w:rsidRDefault="00E50C0F" w:rsidP="002B283E">
      <w:pPr>
        <w:autoSpaceDE w:val="0"/>
        <w:autoSpaceDN w:val="0"/>
        <w:adjustRightInd w:val="0"/>
        <w:rPr>
          <w:rFonts w:cs="Times New Roman"/>
          <w:szCs w:val="24"/>
        </w:rPr>
      </w:pPr>
      <w:r w:rsidRPr="002B283E">
        <w:rPr>
          <w:rFonts w:cs="Times New Roman"/>
          <w:szCs w:val="24"/>
        </w:rPr>
        <w:tab/>
        <w:t>“An essential function of an employment position” means the fundamental job duties of the employment position that the plaintiff holds or desires. It does not include the marginal functions that may occur through the course of a job</w:t>
      </w:r>
      <w:r w:rsidR="00A87F6E">
        <w:rPr>
          <w:rFonts w:cs="Times New Roman"/>
          <w:szCs w:val="24"/>
        </w:rPr>
        <w:t xml:space="preserve">. </w:t>
      </w:r>
    </w:p>
    <w:p w14:paraId="6177DA81" w14:textId="77777777" w:rsidR="00E50C0F" w:rsidRPr="002B283E" w:rsidRDefault="00E50C0F" w:rsidP="002B283E">
      <w:pPr>
        <w:autoSpaceDE w:val="0"/>
        <w:autoSpaceDN w:val="0"/>
        <w:adjustRightInd w:val="0"/>
        <w:rPr>
          <w:rFonts w:cs="Times New Roman"/>
          <w:szCs w:val="24"/>
        </w:rPr>
      </w:pPr>
    </w:p>
    <w:p w14:paraId="4E066DF7"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67B5742B" w14:textId="77777777" w:rsidR="00E50C0F" w:rsidRPr="002B283E" w:rsidRDefault="00E50C0F" w:rsidP="002B283E">
      <w:pPr>
        <w:autoSpaceDE w:val="0"/>
        <w:autoSpaceDN w:val="0"/>
        <w:adjustRightInd w:val="0"/>
        <w:rPr>
          <w:rFonts w:cs="Times New Roman"/>
          <w:szCs w:val="24"/>
        </w:rPr>
      </w:pPr>
    </w:p>
    <w:p w14:paraId="373694DA"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Other factors that may bear upon whether a job function is essential include, but are not limited to:</w:t>
      </w:r>
    </w:p>
    <w:p w14:paraId="43F93301" w14:textId="77777777" w:rsidR="00E50C0F" w:rsidRPr="002B283E" w:rsidRDefault="00E50C0F" w:rsidP="002B283E">
      <w:pPr>
        <w:autoSpaceDE w:val="0"/>
        <w:autoSpaceDN w:val="0"/>
        <w:adjustRightInd w:val="0"/>
        <w:rPr>
          <w:rFonts w:cs="Times New Roman"/>
          <w:szCs w:val="24"/>
        </w:rPr>
      </w:pPr>
    </w:p>
    <w:p w14:paraId="4A2695F6"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(1)</w:t>
      </w:r>
      <w:r w:rsidRPr="002B283E">
        <w:rPr>
          <w:rFonts w:cs="Times New Roman"/>
          <w:szCs w:val="24"/>
        </w:rPr>
        <w:tab/>
        <w:t>[whether the reason the position exists is to perform that function][;]</w:t>
      </w:r>
    </w:p>
    <w:p w14:paraId="4553EE16" w14:textId="77777777" w:rsidR="00E50C0F" w:rsidRPr="002B283E" w:rsidRDefault="00E50C0F" w:rsidP="00021D2C">
      <w:pPr>
        <w:autoSpaceDE w:val="0"/>
        <w:autoSpaceDN w:val="0"/>
        <w:adjustRightInd w:val="0"/>
        <w:ind w:right="720" w:firstLine="720"/>
        <w:rPr>
          <w:rFonts w:cs="Times New Roman"/>
          <w:szCs w:val="24"/>
        </w:rPr>
      </w:pPr>
    </w:p>
    <w:p w14:paraId="3FE1952A"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(2)</w:t>
      </w:r>
      <w:r w:rsidRPr="002B283E">
        <w:rPr>
          <w:rFonts w:cs="Times New Roman"/>
          <w:szCs w:val="24"/>
        </w:rPr>
        <w:tab/>
        <w:t>[whether there are a limited number of employees available among whom the performance of that job function can be distributed][;]</w:t>
      </w:r>
    </w:p>
    <w:p w14:paraId="4C24378F" w14:textId="77777777" w:rsidR="00E50C0F" w:rsidRPr="002B283E" w:rsidRDefault="00E50C0F" w:rsidP="00021D2C">
      <w:pPr>
        <w:autoSpaceDE w:val="0"/>
        <w:autoSpaceDN w:val="0"/>
        <w:adjustRightInd w:val="0"/>
        <w:ind w:right="720" w:firstLine="720"/>
        <w:rPr>
          <w:rFonts w:cs="Times New Roman"/>
          <w:szCs w:val="24"/>
        </w:rPr>
      </w:pPr>
    </w:p>
    <w:p w14:paraId="247457D8"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(3)</w:t>
      </w:r>
      <w:r w:rsidRPr="002B283E">
        <w:rPr>
          <w:rFonts w:cs="Times New Roman"/>
          <w:szCs w:val="24"/>
        </w:rPr>
        <w:tab/>
        <w:t>[whether the job function is highly specialized, and the person in that particular position is hired for [his] [her] [</w:t>
      </w:r>
      <w:r w:rsidRPr="002B283E">
        <w:rPr>
          <w:rFonts w:cs="Times New Roman"/>
          <w:i/>
          <w:iCs/>
          <w:szCs w:val="24"/>
          <w:u w:val="single"/>
        </w:rPr>
        <w:t>other pronoun</w:t>
      </w:r>
      <w:r w:rsidRPr="002B283E">
        <w:rPr>
          <w:rFonts w:cs="Times New Roman"/>
          <w:szCs w:val="24"/>
        </w:rPr>
        <w:t>] expertise or ability to perform the particular function][;]</w:t>
      </w:r>
    </w:p>
    <w:p w14:paraId="1E5ACCB7" w14:textId="77777777" w:rsidR="00E50C0F" w:rsidRPr="002B283E" w:rsidRDefault="00E50C0F" w:rsidP="00021D2C">
      <w:pPr>
        <w:autoSpaceDE w:val="0"/>
        <w:autoSpaceDN w:val="0"/>
        <w:adjustRightInd w:val="0"/>
        <w:ind w:right="720" w:firstLine="720"/>
        <w:rPr>
          <w:rFonts w:cs="Times New Roman"/>
          <w:szCs w:val="24"/>
        </w:rPr>
      </w:pPr>
    </w:p>
    <w:p w14:paraId="1C6C5AC1"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(4)</w:t>
      </w:r>
      <w:r w:rsidRPr="002B283E">
        <w:rPr>
          <w:rFonts w:cs="Times New Roman"/>
          <w:szCs w:val="24"/>
        </w:rPr>
        <w:tab/>
        <w:t>[the amount of time spent performing the job function][;]</w:t>
      </w:r>
    </w:p>
    <w:p w14:paraId="03E26287" w14:textId="77777777" w:rsidR="00E50C0F" w:rsidRPr="002B283E" w:rsidRDefault="00E50C0F" w:rsidP="00021D2C">
      <w:pPr>
        <w:autoSpaceDE w:val="0"/>
        <w:autoSpaceDN w:val="0"/>
        <w:adjustRightInd w:val="0"/>
        <w:ind w:right="720" w:firstLine="720"/>
        <w:rPr>
          <w:rFonts w:cs="Times New Roman"/>
          <w:szCs w:val="24"/>
        </w:rPr>
      </w:pPr>
    </w:p>
    <w:p w14:paraId="1EEA824D"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(5)</w:t>
      </w:r>
      <w:r w:rsidRPr="002B283E">
        <w:rPr>
          <w:rFonts w:cs="Times New Roman"/>
          <w:szCs w:val="24"/>
        </w:rPr>
        <w:tab/>
        <w:t>[the consequences of not requiring the individual holding the position to perform the function][;]</w:t>
      </w:r>
    </w:p>
    <w:p w14:paraId="259592B9" w14:textId="77777777" w:rsidR="00E50C0F" w:rsidRPr="002B283E" w:rsidRDefault="00E50C0F" w:rsidP="00021D2C">
      <w:pPr>
        <w:autoSpaceDE w:val="0"/>
        <w:autoSpaceDN w:val="0"/>
        <w:adjustRightInd w:val="0"/>
        <w:ind w:right="720" w:firstLine="720"/>
        <w:rPr>
          <w:rFonts w:cs="Times New Roman"/>
          <w:szCs w:val="24"/>
        </w:rPr>
      </w:pPr>
    </w:p>
    <w:p w14:paraId="762A995F"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(6)</w:t>
      </w:r>
      <w:r w:rsidRPr="002B283E">
        <w:rPr>
          <w:rFonts w:cs="Times New Roman"/>
          <w:szCs w:val="24"/>
        </w:rPr>
        <w:tab/>
        <w:t>[the terms of any collective bargaining agreement][;]</w:t>
      </w:r>
    </w:p>
    <w:p w14:paraId="5B4ACD5E" w14:textId="77777777" w:rsidR="00E50C0F" w:rsidRPr="002B283E" w:rsidRDefault="00E50C0F" w:rsidP="00021D2C">
      <w:pPr>
        <w:autoSpaceDE w:val="0"/>
        <w:autoSpaceDN w:val="0"/>
        <w:adjustRightInd w:val="0"/>
        <w:ind w:right="720" w:firstLine="720"/>
        <w:rPr>
          <w:rFonts w:cs="Times New Roman"/>
          <w:szCs w:val="24"/>
        </w:rPr>
      </w:pPr>
    </w:p>
    <w:p w14:paraId="5FB572BA"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(7)</w:t>
      </w:r>
      <w:r w:rsidRPr="002B283E">
        <w:rPr>
          <w:rFonts w:cs="Times New Roman"/>
          <w:szCs w:val="24"/>
        </w:rPr>
        <w:tab/>
        <w:t>[the work experience of past employees who have held the position][;] [and]</w:t>
      </w:r>
    </w:p>
    <w:p w14:paraId="4EFF32C5" w14:textId="77777777" w:rsidR="00E50C0F" w:rsidRPr="002B283E" w:rsidRDefault="00E50C0F" w:rsidP="00021D2C">
      <w:pPr>
        <w:autoSpaceDE w:val="0"/>
        <w:autoSpaceDN w:val="0"/>
        <w:adjustRightInd w:val="0"/>
        <w:ind w:right="720" w:firstLine="720"/>
        <w:rPr>
          <w:rFonts w:cs="Times New Roman"/>
          <w:szCs w:val="24"/>
        </w:rPr>
      </w:pPr>
    </w:p>
    <w:p w14:paraId="2F4B8A4E"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(8)</w:t>
      </w:r>
      <w:r w:rsidRPr="002B283E">
        <w:rPr>
          <w:rFonts w:cs="Times New Roman"/>
          <w:szCs w:val="24"/>
        </w:rPr>
        <w:tab/>
        <w:t>[the work experience of current employees who hold similar positions].</w:t>
      </w:r>
    </w:p>
    <w:p w14:paraId="0005AAE8" w14:textId="77777777" w:rsidR="00E50C0F" w:rsidRPr="002B283E" w:rsidRDefault="00E50C0F" w:rsidP="002B283E">
      <w:pPr>
        <w:rPr>
          <w:rFonts w:cs="Times New Roman"/>
          <w:szCs w:val="24"/>
        </w:rPr>
      </w:pPr>
    </w:p>
    <w:p w14:paraId="747A2E37" w14:textId="77777777" w:rsidR="00E50C0F" w:rsidRPr="002B283E" w:rsidRDefault="00E50C0F" w:rsidP="002B283E">
      <w:pPr>
        <w:autoSpaceDE w:val="0"/>
        <w:autoSpaceDN w:val="0"/>
        <w:adjustRightInd w:val="0"/>
        <w:jc w:val="center"/>
        <w:rPr>
          <w:rFonts w:cs="Times New Roman"/>
          <w:szCs w:val="24"/>
        </w:rPr>
      </w:pPr>
      <w:r w:rsidRPr="002B283E">
        <w:rPr>
          <w:rFonts w:cs="Times New Roman"/>
          <w:b/>
          <w:bCs/>
          <w:szCs w:val="24"/>
        </w:rPr>
        <w:t>Comment</w:t>
      </w:r>
    </w:p>
    <w:p w14:paraId="0E4BED12" w14:textId="77777777" w:rsidR="00E50C0F" w:rsidRPr="002B283E" w:rsidRDefault="00E50C0F" w:rsidP="002B283E">
      <w:pPr>
        <w:rPr>
          <w:rFonts w:cs="Times New Roman"/>
          <w:szCs w:val="24"/>
        </w:rPr>
      </w:pPr>
    </w:p>
    <w:p w14:paraId="11D27AF9" w14:textId="64C418EF"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second paragraph is based on 42 U.S.C. § 12111(8). The term “marginal functions” in the first paragraph and the factors in the third paragraph are in 29 C.F.R. § 1630.2(n) (1999). </w:t>
      </w:r>
      <w:r w:rsidRPr="002B283E">
        <w:rPr>
          <w:rFonts w:cs="Times New Roman"/>
          <w:i/>
          <w:iCs/>
          <w:szCs w:val="24"/>
        </w:rPr>
        <w:t>See Dark v. Curry County</w:t>
      </w:r>
      <w:r w:rsidRPr="002B283E">
        <w:rPr>
          <w:rFonts w:cs="Times New Roman"/>
          <w:szCs w:val="24"/>
        </w:rPr>
        <w:t xml:space="preserve">, 451 F.3d 1078, 1084-85 (9th Cir. 2006) (discussing essential functions and marginal functions);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Samper v. Providence St. Vincent Med. Ctr.</w:t>
      </w:r>
      <w:r w:rsidRPr="002B283E">
        <w:rPr>
          <w:rFonts w:cs="Times New Roman"/>
          <w:szCs w:val="24"/>
        </w:rPr>
        <w:t xml:space="preserve">, 675 F.3d 1233, 1238 (9th Cir. 2012) (holding that attendance is </w:t>
      </w:r>
      <w:r w:rsidR="00AF5E6B">
        <w:rPr>
          <w:rFonts w:cs="Times New Roman"/>
          <w:szCs w:val="24"/>
        </w:rPr>
        <w:t xml:space="preserve">an </w:t>
      </w:r>
      <w:r w:rsidRPr="002B283E">
        <w:rPr>
          <w:rFonts w:cs="Times New Roman"/>
          <w:szCs w:val="24"/>
        </w:rPr>
        <w:t>essential job function of neo-natal intensive care nurse)</w:t>
      </w:r>
      <w:r w:rsidR="00A87F6E">
        <w:rPr>
          <w:rFonts w:cs="Times New Roman"/>
          <w:szCs w:val="24"/>
        </w:rPr>
        <w:t xml:space="preserve">. </w:t>
      </w:r>
    </w:p>
    <w:p w14:paraId="52C4551C" w14:textId="77777777" w:rsidR="00E50C0F" w:rsidRPr="002B283E" w:rsidRDefault="00E50C0F" w:rsidP="002B283E">
      <w:pPr>
        <w:autoSpaceDE w:val="0"/>
        <w:autoSpaceDN w:val="0"/>
        <w:adjustRightInd w:val="0"/>
        <w:rPr>
          <w:rFonts w:cs="Times New Roman"/>
          <w:szCs w:val="24"/>
        </w:rPr>
      </w:pPr>
    </w:p>
    <w:p w14:paraId="5101E4EB" w14:textId="232A6A06"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phrase “holds or desires” has been interpreted by the Ninth Circuit to refer to situations when employees request reassignment “even if they cannot perform the essential </w:t>
      </w:r>
      <w:r w:rsidRPr="002B283E">
        <w:rPr>
          <w:rFonts w:cs="Times New Roman"/>
          <w:szCs w:val="24"/>
        </w:rPr>
        <w:lastRenderedPageBreak/>
        <w:t xml:space="preserve">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r w:rsidR="00A87F6E">
        <w:rPr>
          <w:rFonts w:cs="Times New Roman"/>
          <w:szCs w:val="24"/>
        </w:rPr>
        <w:t xml:space="preserve">. </w:t>
      </w:r>
      <w:r w:rsidRPr="002B283E">
        <w:rPr>
          <w:rFonts w:cs="Times New Roman"/>
          <w:szCs w:val="24"/>
        </w:rPr>
        <w:t>A disabled individual who can no longer perform the essential functions of her position may be entitled to relief if reassignment is found to be a “reasonable accommodation.”</w:t>
      </w:r>
    </w:p>
    <w:p w14:paraId="50B7EBBA" w14:textId="77777777" w:rsidR="00E50C0F" w:rsidRPr="002B283E" w:rsidRDefault="00E50C0F" w:rsidP="002B283E">
      <w:pPr>
        <w:autoSpaceDE w:val="0"/>
        <w:autoSpaceDN w:val="0"/>
        <w:adjustRightInd w:val="0"/>
        <w:rPr>
          <w:rFonts w:cs="Times New Roman"/>
          <w:szCs w:val="24"/>
        </w:rPr>
      </w:pPr>
    </w:p>
    <w:p w14:paraId="3ADB2F0A" w14:textId="7A4CC04E"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Kaplan v. City of North Las Vegas</w:t>
      </w:r>
      <w:r w:rsidRPr="002B283E">
        <w:rPr>
          <w:rFonts w:cs="Times New Roman"/>
          <w:szCs w:val="24"/>
        </w:rPr>
        <w:t>, 323 F.3d 1226, 1232-33 (9th Cir. 2003), the court held that an employer had no duty to accommodate a deputy marshal when it was undisputed that he could not perform the essential function of restraining prisoners through hand-to-hand combat, even though the cause of hand pain had been misdiagnosed</w:t>
      </w:r>
      <w:r w:rsidR="00A87F6E">
        <w:rPr>
          <w:rFonts w:cs="Times New Roman"/>
          <w:szCs w:val="24"/>
        </w:rPr>
        <w:t xml:space="preserve">. </w:t>
      </w:r>
    </w:p>
    <w:p w14:paraId="05A85EC4" w14:textId="77777777" w:rsidR="00E50C0F" w:rsidRPr="002B283E" w:rsidRDefault="00E50C0F" w:rsidP="002B283E">
      <w:pPr>
        <w:autoSpaceDE w:val="0"/>
        <w:autoSpaceDN w:val="0"/>
        <w:adjustRightInd w:val="0"/>
        <w:rPr>
          <w:rFonts w:cs="Times New Roman"/>
          <w:szCs w:val="24"/>
        </w:rPr>
      </w:pPr>
    </w:p>
    <w:p w14:paraId="2748274C"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Cripe v. City of San Jose</w:t>
      </w:r>
      <w:r w:rsidRPr="002B283E">
        <w:rPr>
          <w:rFonts w:cs="Times New Roman"/>
          <w:szCs w:val="24"/>
        </w:rPr>
        <w:t xml:space="preserve">, 261 F.3d 877, 887 (9th Cir. 2001), the court observed that “an employer may not turn every condition of employment which it elects to adopt into a job function, let alone an essential job function, merely by including it in a job description.” (quoting </w:t>
      </w:r>
      <w:r w:rsidRPr="002B283E">
        <w:rPr>
          <w:rFonts w:cs="Times New Roman"/>
          <w:i/>
          <w:iCs/>
          <w:szCs w:val="24"/>
        </w:rPr>
        <w:t>Echazabal v. Chevron USA, Inc.</w:t>
      </w:r>
      <w:r w:rsidRPr="002B283E">
        <w:rPr>
          <w:rFonts w:cs="Times New Roman"/>
          <w:szCs w:val="24"/>
        </w:rPr>
        <w:t xml:space="preserve">, 226 F.3d 1063, 1071 (9th Cir. 2000)). In </w:t>
      </w:r>
      <w:r w:rsidRPr="002B283E">
        <w:rPr>
          <w:rFonts w:cs="Times New Roman"/>
          <w:i/>
          <w:iCs/>
          <w:szCs w:val="24"/>
        </w:rPr>
        <w:t>Cripe</w:t>
      </w:r>
      <w:r w:rsidRPr="002B283E">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case. </w:t>
      </w:r>
      <w:r w:rsidRPr="002B283E">
        <w:rPr>
          <w:rFonts w:cs="Times New Roman"/>
          <w:i/>
          <w:iCs/>
          <w:szCs w:val="24"/>
        </w:rPr>
        <w:t>Id.</w:t>
      </w:r>
      <w:r w:rsidRPr="002B283E">
        <w:rPr>
          <w:rFonts w:cs="Times New Roman"/>
          <w:szCs w:val="24"/>
        </w:rPr>
        <w:t xml:space="preserve"> at 888-89.</w:t>
      </w:r>
    </w:p>
    <w:p w14:paraId="16185AE4" w14:textId="77777777" w:rsidR="00E50C0F" w:rsidRPr="002B283E" w:rsidRDefault="00E50C0F" w:rsidP="002B283E">
      <w:pPr>
        <w:autoSpaceDE w:val="0"/>
        <w:autoSpaceDN w:val="0"/>
        <w:adjustRightInd w:val="0"/>
        <w:rPr>
          <w:rFonts w:cs="Times New Roman"/>
          <w:szCs w:val="24"/>
        </w:rPr>
      </w:pPr>
    </w:p>
    <w:p w14:paraId="3F638CDC" w14:textId="58DE3679" w:rsidR="00E50C0F" w:rsidRPr="002B283E" w:rsidRDefault="00E50C0F" w:rsidP="002B283E">
      <w:pPr>
        <w:rPr>
          <w:rFonts w:cs="Times New Roman"/>
          <w:szCs w:val="24"/>
        </w:rPr>
      </w:pPr>
      <w:r w:rsidRPr="002B283E">
        <w:rPr>
          <w:rFonts w:cs="Times New Roman"/>
          <w:szCs w:val="24"/>
        </w:rPr>
        <w:tab/>
        <w:t xml:space="preserve">In </w:t>
      </w:r>
      <w:r w:rsidRPr="002B283E">
        <w:rPr>
          <w:rFonts w:cs="Times New Roman"/>
          <w:i/>
          <w:iCs/>
          <w:szCs w:val="24"/>
        </w:rPr>
        <w:t>Bates v. UPS, Inc</w:t>
      </w:r>
      <w:r w:rsidRPr="002B283E">
        <w:rPr>
          <w:rFonts w:cs="Times New Roman"/>
          <w:szCs w:val="24"/>
        </w:rPr>
        <w:t xml:space="preserve">., 511 F.3d 974, 990 (9th Cir. 2007) (en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2B283E">
        <w:rPr>
          <w:rFonts w:cs="Times New Roman"/>
          <w:i/>
          <w:iCs/>
          <w:szCs w:val="24"/>
        </w:rPr>
        <w:t>Id.</w:t>
      </w:r>
      <w:r w:rsidRPr="002B283E">
        <w:rPr>
          <w:rFonts w:cs="Times New Roman"/>
          <w:szCs w:val="24"/>
        </w:rPr>
        <w:t xml:space="preserve"> § 1630.2(q).”</w:t>
      </w:r>
      <w:r w:rsidR="00AF5E6B" w:rsidRPr="00AF5E6B">
        <w:rPr>
          <w:rFonts w:cs="Times New Roman"/>
          <w:i/>
          <w:iCs/>
          <w:szCs w:val="24"/>
        </w:rPr>
        <w:t xml:space="preserve"> </w:t>
      </w:r>
      <w:r w:rsidR="00AF5E6B" w:rsidRPr="002B283E">
        <w:rPr>
          <w:rFonts w:cs="Times New Roman"/>
          <w:i/>
          <w:iCs/>
          <w:szCs w:val="24"/>
        </w:rPr>
        <w:t>Bates</w:t>
      </w:r>
      <w:r w:rsidR="00AF5E6B" w:rsidRPr="002B283E">
        <w:rPr>
          <w:rFonts w:cs="Times New Roman"/>
          <w:szCs w:val="24"/>
        </w:rPr>
        <w:t>, 511 F.3d</w:t>
      </w:r>
      <w:r w:rsidR="00AF5E6B">
        <w:rPr>
          <w:rFonts w:cs="Times New Roman"/>
          <w:szCs w:val="24"/>
        </w:rPr>
        <w:t xml:space="preserve"> at 990.</w:t>
      </w:r>
    </w:p>
    <w:p w14:paraId="691F97F4" w14:textId="77777777" w:rsidR="00E50C0F" w:rsidRPr="002B283E" w:rsidRDefault="00E50C0F" w:rsidP="002B283E">
      <w:pPr>
        <w:rPr>
          <w:rFonts w:cs="Times New Roman"/>
          <w:szCs w:val="24"/>
        </w:rPr>
      </w:pPr>
    </w:p>
    <w:p w14:paraId="3B606920" w14:textId="70CE5223" w:rsidR="006A4CD7" w:rsidRPr="002B283E" w:rsidRDefault="00E50C0F"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7CADC883" w14:textId="77777777" w:rsidR="00673357" w:rsidRPr="002B283E" w:rsidRDefault="00673357" w:rsidP="002B283E">
      <w:pPr>
        <w:autoSpaceDE w:val="0"/>
        <w:autoSpaceDN w:val="0"/>
        <w:adjustRightInd w:val="0"/>
        <w:rPr>
          <w:rFonts w:cs="Times New Roman"/>
          <w:szCs w:val="24"/>
        </w:rPr>
      </w:pPr>
    </w:p>
    <w:p w14:paraId="3EB2B897" w14:textId="77777777" w:rsidR="00810C1C" w:rsidRPr="002B283E" w:rsidRDefault="006A4CD7" w:rsidP="00FF121D">
      <w:pPr>
        <w:pStyle w:val="Heading2"/>
      </w:pPr>
      <w:r w:rsidRPr="002B283E">
        <w:br w:type="page"/>
      </w:r>
      <w:bookmarkStart w:id="312" w:name="_Toc117512512"/>
      <w:bookmarkStart w:id="313" w:name="_Toc221525256"/>
      <w:r w:rsidR="00810C1C" w:rsidRPr="002B283E">
        <w:lastRenderedPageBreak/>
        <w:t>12.9 ADA—Reasonable Accommodation</w:t>
      </w:r>
      <w:bookmarkEnd w:id="312"/>
      <w:bookmarkEnd w:id="313"/>
    </w:p>
    <w:p w14:paraId="696054DD" w14:textId="77777777" w:rsidR="00810C1C" w:rsidRPr="002B283E" w:rsidRDefault="00810C1C" w:rsidP="002B283E">
      <w:pPr>
        <w:rPr>
          <w:rFonts w:cs="Times New Roman"/>
          <w:szCs w:val="24"/>
        </w:rPr>
      </w:pPr>
    </w:p>
    <w:p w14:paraId="1BC466C1" w14:textId="072CB4B7" w:rsidR="008A3759" w:rsidRPr="002B283E" w:rsidRDefault="00810C1C" w:rsidP="002B283E">
      <w:pPr>
        <w:autoSpaceDE w:val="0"/>
        <w:autoSpaceDN w:val="0"/>
        <w:adjustRightInd w:val="0"/>
        <w:rPr>
          <w:rFonts w:cs="Times New Roman"/>
          <w:szCs w:val="24"/>
        </w:rPr>
      </w:pPr>
      <w:r w:rsidRPr="002B283E">
        <w:rPr>
          <w:rFonts w:cs="Times New Roman"/>
          <w:szCs w:val="24"/>
        </w:rPr>
        <w:tab/>
      </w:r>
      <w:r w:rsidR="008A3759" w:rsidRPr="002B283E">
        <w:rPr>
          <w:rFonts w:cs="Times New Roman"/>
          <w:szCs w:val="24"/>
        </w:rPr>
        <w:t>To establish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8A3759" w:rsidRPr="002B283E">
        <w:rPr>
          <w:rFonts w:cs="Times New Roman"/>
          <w:szCs w:val="24"/>
        </w:rPr>
        <w:t xml:space="preserve">’s claim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discriminated against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in violation of the ADA by failing to provide a reasonable accommodation,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must prove, </w:t>
      </w:r>
      <w:bookmarkStart w:id="314" w:name="_Hlk161675209"/>
      <w:r w:rsidR="008A3759" w:rsidRPr="002B283E">
        <w:rPr>
          <w:rFonts w:cs="Times New Roman"/>
          <w:szCs w:val="24"/>
        </w:rPr>
        <w:t>by a preponderance of the evidence, each of the following three elements</w:t>
      </w:r>
      <w:bookmarkEnd w:id="314"/>
      <w:r w:rsidR="008A3759" w:rsidRPr="002B283E">
        <w:rPr>
          <w:rFonts w:cs="Times New Roman"/>
          <w:szCs w:val="24"/>
        </w:rPr>
        <w:t>:</w:t>
      </w:r>
    </w:p>
    <w:p w14:paraId="584C3DF5" w14:textId="77777777" w:rsidR="00E607FD" w:rsidRPr="002831C0" w:rsidRDefault="00E607FD" w:rsidP="00E607FD">
      <w:pPr>
        <w:autoSpaceDE w:val="0"/>
        <w:autoSpaceDN w:val="0"/>
        <w:adjustRightInd w:val="0"/>
        <w:rPr>
          <w:rFonts w:cs="Times New Roman"/>
          <w:szCs w:val="24"/>
        </w:rPr>
      </w:pPr>
      <w:bookmarkStart w:id="315" w:name="_Toc117512513"/>
    </w:p>
    <w:p w14:paraId="7FF1B4D2" w14:textId="591D878D"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 “qualified individual”;</w:t>
      </w:r>
    </w:p>
    <w:p w14:paraId="76B2CDCD" w14:textId="77777777" w:rsidR="00E607FD" w:rsidRPr="002831C0" w:rsidRDefault="00E607FD" w:rsidP="008A04C2">
      <w:pPr>
        <w:autoSpaceDE w:val="0"/>
        <w:autoSpaceDN w:val="0"/>
        <w:adjustRightInd w:val="0"/>
        <w:ind w:firstLine="720"/>
        <w:rPr>
          <w:rFonts w:cs="Times New Roman"/>
          <w:szCs w:val="24"/>
        </w:rPr>
      </w:pPr>
    </w:p>
    <w:p w14:paraId="448E38DE" w14:textId="0016411F"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Second,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received adequate notice of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831C0">
        <w:rPr>
          <w:rFonts w:cs="Times New Roman"/>
          <w:szCs w:val="24"/>
        </w:rPr>
        <w:t>’s disability and desire for a reasonable accommodation; and</w:t>
      </w:r>
    </w:p>
    <w:p w14:paraId="1F287F2E" w14:textId="77777777" w:rsidR="00E607FD" w:rsidRPr="002831C0" w:rsidRDefault="00E607FD" w:rsidP="008A04C2">
      <w:pPr>
        <w:autoSpaceDE w:val="0"/>
        <w:autoSpaceDN w:val="0"/>
        <w:adjustRightInd w:val="0"/>
        <w:ind w:firstLine="720"/>
        <w:rPr>
          <w:rFonts w:cs="Times New Roman"/>
          <w:szCs w:val="24"/>
        </w:rPr>
      </w:pPr>
    </w:p>
    <w:p w14:paraId="6FA3DC14" w14:textId="70CCFE6E"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Third, a reasonable accommodation is available that would have enabled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to [apply or qualify for] [perform the essential functions of] the job.</w:t>
      </w:r>
    </w:p>
    <w:p w14:paraId="7C3ED955" w14:textId="77777777" w:rsidR="00E607FD" w:rsidRPr="002831C0" w:rsidRDefault="00E607FD" w:rsidP="00E607FD">
      <w:pPr>
        <w:autoSpaceDE w:val="0"/>
        <w:autoSpaceDN w:val="0"/>
        <w:adjustRightInd w:val="0"/>
        <w:rPr>
          <w:rFonts w:cs="Times New Roman"/>
          <w:szCs w:val="24"/>
        </w:rPr>
      </w:pPr>
    </w:p>
    <w:p w14:paraId="12248BA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Under the ADA, [an] accommodation[s] by the defendant may include, but [is] [are] not limited to:</w:t>
      </w:r>
    </w:p>
    <w:p w14:paraId="1F0DCC80" w14:textId="77777777" w:rsidR="00E607FD" w:rsidRPr="002831C0" w:rsidRDefault="00E607FD" w:rsidP="00E607FD">
      <w:pPr>
        <w:autoSpaceDE w:val="0"/>
        <w:autoSpaceDN w:val="0"/>
        <w:adjustRightInd w:val="0"/>
        <w:rPr>
          <w:rFonts w:cs="Times New Roman"/>
          <w:szCs w:val="24"/>
        </w:rPr>
      </w:pPr>
    </w:p>
    <w:p w14:paraId="6F6B0DA2"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(1)</w:t>
      </w:r>
      <w:r w:rsidRPr="002831C0">
        <w:rPr>
          <w:rFonts w:cs="Times New Roman"/>
          <w:szCs w:val="24"/>
        </w:rPr>
        <w:tab/>
        <w:t>[modifying or adjusting a job application process to enable a qualified applicant with a disability to be considered for the position][;]</w:t>
      </w:r>
    </w:p>
    <w:p w14:paraId="78F6F676" w14:textId="77777777" w:rsidR="00E607FD" w:rsidRPr="002831C0" w:rsidRDefault="00E607FD" w:rsidP="00E607FD">
      <w:pPr>
        <w:autoSpaceDE w:val="0"/>
        <w:autoSpaceDN w:val="0"/>
        <w:adjustRightInd w:val="0"/>
        <w:ind w:left="1440" w:hanging="720"/>
        <w:rPr>
          <w:rFonts w:cs="Times New Roman"/>
          <w:szCs w:val="24"/>
        </w:rPr>
      </w:pPr>
    </w:p>
    <w:p w14:paraId="3559FB6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(2)</w:t>
      </w:r>
      <w:r w:rsidRPr="002831C0">
        <w:rPr>
          <w:rFonts w:cs="Times New Roman"/>
          <w:szCs w:val="24"/>
        </w:rPr>
        <w:tab/>
        <w:t>[making existing facilities used by employees readily accessible to and usable by individuals with disabilities][;]</w:t>
      </w:r>
    </w:p>
    <w:p w14:paraId="580DDBCE" w14:textId="77777777" w:rsidR="00E607FD" w:rsidRPr="002831C0" w:rsidRDefault="00E607FD" w:rsidP="00E607FD">
      <w:pPr>
        <w:autoSpaceDE w:val="0"/>
        <w:autoSpaceDN w:val="0"/>
        <w:adjustRightInd w:val="0"/>
        <w:ind w:left="1440" w:hanging="720"/>
        <w:rPr>
          <w:rFonts w:cs="Times New Roman"/>
          <w:szCs w:val="24"/>
        </w:rPr>
      </w:pPr>
    </w:p>
    <w:p w14:paraId="26B65BAF"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(3)</w:t>
      </w:r>
      <w:r w:rsidRPr="002831C0">
        <w:rPr>
          <w:rFonts w:cs="Times New Roman"/>
          <w:szCs w:val="24"/>
        </w:rPr>
        <w:tab/>
        <w:t>[job restructuring][;]</w:t>
      </w:r>
    </w:p>
    <w:p w14:paraId="3CE806FD" w14:textId="77777777" w:rsidR="00E607FD" w:rsidRPr="002831C0" w:rsidRDefault="00E607FD" w:rsidP="00E607FD">
      <w:pPr>
        <w:autoSpaceDE w:val="0"/>
        <w:autoSpaceDN w:val="0"/>
        <w:adjustRightInd w:val="0"/>
        <w:ind w:left="1440" w:hanging="720"/>
        <w:rPr>
          <w:rFonts w:cs="Times New Roman"/>
          <w:szCs w:val="24"/>
        </w:rPr>
      </w:pPr>
    </w:p>
    <w:p w14:paraId="2C60FD8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(4)</w:t>
      </w:r>
      <w:r w:rsidRPr="002831C0">
        <w:rPr>
          <w:rFonts w:cs="Times New Roman"/>
          <w:szCs w:val="24"/>
        </w:rPr>
        <w:tab/>
        <w:t>[part-time or modified work schedule][;]</w:t>
      </w:r>
    </w:p>
    <w:p w14:paraId="1FEA701F" w14:textId="77777777" w:rsidR="00E607FD" w:rsidRPr="002831C0" w:rsidRDefault="00E607FD" w:rsidP="00E607FD">
      <w:pPr>
        <w:autoSpaceDE w:val="0"/>
        <w:autoSpaceDN w:val="0"/>
        <w:adjustRightInd w:val="0"/>
        <w:ind w:left="1440" w:hanging="720"/>
        <w:rPr>
          <w:rFonts w:cs="Times New Roman"/>
          <w:szCs w:val="24"/>
        </w:rPr>
      </w:pPr>
    </w:p>
    <w:p w14:paraId="7FDC0D7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(5)</w:t>
      </w:r>
      <w:r w:rsidRPr="002831C0">
        <w:rPr>
          <w:rFonts w:cs="Times New Roman"/>
          <w:szCs w:val="24"/>
        </w:rPr>
        <w:tab/>
        <w:t>[reassignment to a vacant position][;]</w:t>
      </w:r>
    </w:p>
    <w:p w14:paraId="37FD242F" w14:textId="77777777" w:rsidR="00E607FD" w:rsidRPr="002831C0" w:rsidRDefault="00E607FD" w:rsidP="00E607FD">
      <w:pPr>
        <w:autoSpaceDE w:val="0"/>
        <w:autoSpaceDN w:val="0"/>
        <w:adjustRightInd w:val="0"/>
        <w:ind w:left="1440" w:hanging="720"/>
        <w:rPr>
          <w:rFonts w:cs="Times New Roman"/>
          <w:szCs w:val="24"/>
        </w:rPr>
      </w:pPr>
    </w:p>
    <w:p w14:paraId="05620175" w14:textId="6F8AE134"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(6)</w:t>
      </w:r>
      <w:r w:rsidRPr="002831C0">
        <w:rPr>
          <w:rFonts w:cs="Times New Roman"/>
          <w:szCs w:val="24"/>
        </w:rPr>
        <w:tab/>
        <w:t>[acquisition or modifications of examinations, training materials</w:t>
      </w:r>
      <w:r w:rsidR="00AF5E6B">
        <w:rPr>
          <w:rFonts w:cs="Times New Roman"/>
          <w:szCs w:val="24"/>
        </w:rPr>
        <w:t>,</w:t>
      </w:r>
      <w:r w:rsidRPr="002831C0">
        <w:rPr>
          <w:rFonts w:cs="Times New Roman"/>
          <w:szCs w:val="24"/>
        </w:rPr>
        <w:t xml:space="preserve"> or policies][;]</w:t>
      </w:r>
    </w:p>
    <w:p w14:paraId="1BDEABF0" w14:textId="77777777" w:rsidR="00E607FD" w:rsidRPr="002831C0" w:rsidRDefault="00E607FD" w:rsidP="00E607FD">
      <w:pPr>
        <w:autoSpaceDE w:val="0"/>
        <w:autoSpaceDN w:val="0"/>
        <w:adjustRightInd w:val="0"/>
        <w:ind w:left="1440" w:hanging="720"/>
        <w:rPr>
          <w:rFonts w:cs="Times New Roman"/>
          <w:szCs w:val="24"/>
        </w:rPr>
      </w:pPr>
    </w:p>
    <w:p w14:paraId="4876E62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(7)</w:t>
      </w:r>
      <w:r w:rsidRPr="002831C0">
        <w:rPr>
          <w:rFonts w:cs="Times New Roman"/>
          <w:szCs w:val="24"/>
        </w:rPr>
        <w:tab/>
        <w:t>[provision of qualified readers and interpreters][;] [or]</w:t>
      </w:r>
    </w:p>
    <w:p w14:paraId="14679F4A" w14:textId="77777777" w:rsidR="00E607FD" w:rsidRPr="002831C0" w:rsidRDefault="00E607FD" w:rsidP="00E607FD">
      <w:pPr>
        <w:autoSpaceDE w:val="0"/>
        <w:autoSpaceDN w:val="0"/>
        <w:adjustRightInd w:val="0"/>
        <w:ind w:left="1440" w:hanging="720"/>
        <w:rPr>
          <w:rFonts w:cs="Times New Roman"/>
          <w:szCs w:val="24"/>
        </w:rPr>
      </w:pPr>
    </w:p>
    <w:p w14:paraId="665693CD"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(8)</w:t>
      </w:r>
      <w:r w:rsidRPr="002831C0">
        <w:rPr>
          <w:rFonts w:cs="Times New Roman"/>
          <w:szCs w:val="24"/>
        </w:rPr>
        <w:tab/>
        <w:t>[other similar accommodations for individuals with plaintiff’s disabilities].</w:t>
      </w:r>
    </w:p>
    <w:p w14:paraId="227108F9" w14:textId="77777777" w:rsidR="00E607FD" w:rsidRPr="002831C0" w:rsidRDefault="00E607FD" w:rsidP="00E607FD">
      <w:pPr>
        <w:autoSpaceDE w:val="0"/>
        <w:autoSpaceDN w:val="0"/>
        <w:adjustRightInd w:val="0"/>
        <w:rPr>
          <w:rFonts w:cs="Times New Roman"/>
          <w:szCs w:val="24"/>
        </w:rPr>
      </w:pPr>
    </w:p>
    <w:p w14:paraId="657208B4" w14:textId="6B2EC273"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It is for you to determine whether the accommodation[s] requested by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[are] reasonable.</w:t>
      </w:r>
    </w:p>
    <w:p w14:paraId="62C4CFD5" w14:textId="77777777" w:rsidR="00E607FD" w:rsidRPr="002831C0" w:rsidRDefault="00E607FD" w:rsidP="00E607FD">
      <w:pPr>
        <w:autoSpaceDE w:val="0"/>
        <w:autoSpaceDN w:val="0"/>
        <w:adjustRightInd w:val="0"/>
        <w:rPr>
          <w:rFonts w:cs="Times New Roman"/>
          <w:szCs w:val="24"/>
        </w:rPr>
      </w:pPr>
    </w:p>
    <w:p w14:paraId="3366148B"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A reasonable accommodation does not include changing or eliminating any essential function of employment, shifting any of the essential functions of the employment to others, or creating a new position for the disabled employee.</w:t>
      </w:r>
    </w:p>
    <w:p w14:paraId="6E2EDD21" w14:textId="77777777" w:rsidR="00E607FD" w:rsidRPr="002831C0" w:rsidRDefault="00E607FD" w:rsidP="00E607FD">
      <w:pPr>
        <w:autoSpaceDE w:val="0"/>
        <w:autoSpaceDN w:val="0"/>
        <w:adjustRightInd w:val="0"/>
        <w:rPr>
          <w:rFonts w:cs="Times New Roman"/>
          <w:szCs w:val="24"/>
        </w:rPr>
      </w:pPr>
    </w:p>
    <w:p w14:paraId="16E6238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lastRenderedPageBreak/>
        <w:tab/>
        <w:t>[If the plaintiff rejects a reasonable accommodation that could enable the plaintiff to perform the essential functions of the position, the plaintiff cannot be considered qualified for the position.]</w:t>
      </w:r>
    </w:p>
    <w:p w14:paraId="15ED416B" w14:textId="77777777" w:rsidR="00E607FD" w:rsidRPr="002831C0" w:rsidRDefault="00E607FD" w:rsidP="00E607FD">
      <w:pPr>
        <w:autoSpaceDE w:val="0"/>
        <w:autoSpaceDN w:val="0"/>
        <w:adjustRightInd w:val="0"/>
        <w:rPr>
          <w:rFonts w:cs="Times New Roman"/>
          <w:szCs w:val="24"/>
        </w:rPr>
      </w:pPr>
    </w:p>
    <w:p w14:paraId="49F35DC4" w14:textId="3F940CF9" w:rsidR="00E607FD" w:rsidRPr="002831C0" w:rsidRDefault="00E607FD" w:rsidP="00E607FD">
      <w:pPr>
        <w:autoSpaceDE w:val="0"/>
        <w:autoSpaceDN w:val="0"/>
        <w:adjustRightInd w:val="0"/>
        <w:rPr>
          <w:rFonts w:cs="Times New Roman"/>
          <w:szCs w:val="24"/>
        </w:rPr>
      </w:pPr>
      <w:r w:rsidRPr="002831C0">
        <w:rPr>
          <w:rFonts w:cs="Times New Roman"/>
          <w:szCs w:val="24"/>
        </w:rPr>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8A04C2">
        <w:rPr>
          <w:rFonts w:cs="Times New Roman"/>
          <w:i/>
          <w:iCs/>
          <w:szCs w:val="24"/>
          <w:u w:val="single"/>
        </w:rPr>
        <w:t>state other special circumstance</w:t>
      </w:r>
      <w:r w:rsidRPr="002831C0">
        <w:rPr>
          <w:rFonts w:cs="Times New Roman"/>
          <w:szCs w:val="24"/>
        </w:rPr>
        <w:t xml:space="preserve">].] </w:t>
      </w:r>
    </w:p>
    <w:p w14:paraId="18611560" w14:textId="77777777" w:rsidR="00E607FD" w:rsidRPr="002831C0" w:rsidRDefault="00E607FD" w:rsidP="00E607FD">
      <w:pPr>
        <w:rPr>
          <w:rFonts w:cs="Times New Roman"/>
          <w:szCs w:val="24"/>
        </w:rPr>
      </w:pPr>
    </w:p>
    <w:p w14:paraId="5F7DD04D" w14:textId="77777777" w:rsidR="00E607FD" w:rsidRPr="002831C0" w:rsidRDefault="00E607FD" w:rsidP="00E607FD">
      <w:pPr>
        <w:autoSpaceDE w:val="0"/>
        <w:autoSpaceDN w:val="0"/>
        <w:adjustRightInd w:val="0"/>
        <w:jc w:val="center"/>
        <w:rPr>
          <w:rFonts w:cs="Times New Roman"/>
          <w:szCs w:val="24"/>
        </w:rPr>
      </w:pPr>
      <w:r w:rsidRPr="002831C0">
        <w:rPr>
          <w:rFonts w:cs="Times New Roman"/>
          <w:b/>
          <w:bCs/>
          <w:szCs w:val="24"/>
        </w:rPr>
        <w:t>Comment</w:t>
      </w:r>
    </w:p>
    <w:p w14:paraId="78ACFE4C" w14:textId="77777777" w:rsidR="00E607FD" w:rsidRPr="002831C0" w:rsidRDefault="00E607FD" w:rsidP="00E607FD">
      <w:pPr>
        <w:rPr>
          <w:rFonts w:cs="Times New Roman"/>
          <w:szCs w:val="24"/>
        </w:rPr>
      </w:pPr>
    </w:p>
    <w:p w14:paraId="1FA4B222" w14:textId="0EDCFD0E" w:rsidR="00E607FD" w:rsidRPr="002831C0" w:rsidRDefault="00E607FD" w:rsidP="00E607FD">
      <w:pPr>
        <w:autoSpaceDE w:val="0"/>
        <w:autoSpaceDN w:val="0"/>
        <w:adjustRightInd w:val="0"/>
        <w:rPr>
          <w:rFonts w:cs="Times New Roman"/>
          <w:szCs w:val="24"/>
        </w:rPr>
      </w:pPr>
      <w:r w:rsidRPr="002831C0">
        <w:rPr>
          <w:rFonts w:cs="Times New Roman"/>
          <w:szCs w:val="24"/>
        </w:rPr>
        <w:tab/>
      </w:r>
      <w:r w:rsidRPr="002831C0">
        <w:rPr>
          <w:rFonts w:cs="Times New Roman"/>
          <w:i/>
          <w:iCs/>
          <w:szCs w:val="24"/>
        </w:rPr>
        <w:t>See Snapp v. United Transp. Union</w:t>
      </w:r>
      <w:r w:rsidRPr="002831C0">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2831C0">
        <w:rPr>
          <w:rFonts w:cs="Times New Roman"/>
          <w:i/>
          <w:iCs/>
          <w:szCs w:val="24"/>
        </w:rPr>
        <w:t xml:space="preserve">see also Dunlap v. </w:t>
      </w:r>
      <w:r w:rsidRPr="002831C0">
        <w:rPr>
          <w:rFonts w:eastAsia="Calibri" w:cs="Times New Roman"/>
          <w:i/>
          <w:iCs/>
          <w:szCs w:val="24"/>
        </w:rPr>
        <w:t xml:space="preserve">Liberty Nat. </w:t>
      </w:r>
      <w:r w:rsidRPr="002831C0">
        <w:rPr>
          <w:rFonts w:cs="Times New Roman"/>
          <w:i/>
          <w:iCs/>
          <w:szCs w:val="24"/>
        </w:rPr>
        <w:t>Prods., Inc</w:t>
      </w:r>
      <w:r w:rsidRPr="002831C0">
        <w:rPr>
          <w:rFonts w:cs="Times New Roman"/>
          <w:szCs w:val="24"/>
        </w:rPr>
        <w:t>., 878 F.3d 794, 798 (9th Cir. 2017) (“Liberty was aware of or had reason to be aware of Dunlap’s desire for a reasonable accommodation. Such awareness triggered Liberty’s duty to engage in the interactive process.”) (internal citation omitted)</w:t>
      </w:r>
      <w:r w:rsidR="00A87F6E">
        <w:rPr>
          <w:rFonts w:cs="Times New Roman"/>
          <w:szCs w:val="24"/>
        </w:rPr>
        <w:t xml:space="preserve">. </w:t>
      </w:r>
    </w:p>
    <w:p w14:paraId="0C527408" w14:textId="77777777" w:rsidR="00E607FD" w:rsidRPr="002831C0" w:rsidRDefault="00E607FD" w:rsidP="00E607FD">
      <w:pPr>
        <w:autoSpaceDE w:val="0"/>
        <w:autoSpaceDN w:val="0"/>
        <w:adjustRightInd w:val="0"/>
        <w:rPr>
          <w:rFonts w:cs="Times New Roman"/>
          <w:szCs w:val="24"/>
        </w:rPr>
      </w:pPr>
    </w:p>
    <w:p w14:paraId="523A1ACA" w14:textId="39778B91"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The bracketed words about special circumstances at the end of the instruction have been added based on </w:t>
      </w:r>
      <w:r w:rsidRPr="002831C0">
        <w:rPr>
          <w:rFonts w:cs="Times New Roman"/>
          <w:i/>
          <w:iCs/>
          <w:szCs w:val="24"/>
        </w:rPr>
        <w:t>U.S. Airways, Inc. v. Barnett</w:t>
      </w:r>
      <w:r w:rsidRPr="002831C0">
        <w:rPr>
          <w:rFonts w:cs="Times New Roman"/>
          <w:szCs w:val="24"/>
        </w:rPr>
        <w:t>, 535 U.S. 391, 405-06 (2002)</w:t>
      </w:r>
      <w:r w:rsidR="00A87F6E">
        <w:rPr>
          <w:rFonts w:cs="Times New Roman"/>
          <w:szCs w:val="24"/>
        </w:rPr>
        <w:t xml:space="preserve">. </w:t>
      </w:r>
    </w:p>
    <w:p w14:paraId="1A22A6F4" w14:textId="77777777" w:rsidR="00E607FD" w:rsidRPr="002831C0" w:rsidRDefault="00E607FD" w:rsidP="00E607FD">
      <w:pPr>
        <w:autoSpaceDE w:val="0"/>
        <w:autoSpaceDN w:val="0"/>
        <w:adjustRightInd w:val="0"/>
        <w:rPr>
          <w:rFonts w:cs="Times New Roman"/>
          <w:szCs w:val="24"/>
        </w:rPr>
      </w:pPr>
    </w:p>
    <w:p w14:paraId="3E6BA3E0" w14:textId="3DEE86E5"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factors listed in this instruction are derived from 42 U.S.C. § 12111(9) and 29 C.F.R. §§ 1630.2(o)(1)(i), (3), 1630.9(d); </w:t>
      </w:r>
      <w:r w:rsidRPr="002831C0">
        <w:rPr>
          <w:rFonts w:eastAsia="Calibri" w:cs="Times New Roman"/>
          <w:i/>
          <w:iCs/>
          <w:szCs w:val="24"/>
        </w:rPr>
        <w:t>see also Barnett v. U.S. Air, Inc.</w:t>
      </w:r>
      <w:r w:rsidRPr="002831C0">
        <w:rPr>
          <w:rFonts w:eastAsia="Calibri" w:cs="Times New Roman"/>
          <w:szCs w:val="24"/>
        </w:rPr>
        <w:t xml:space="preserve">, 228 F.3d 1105, 1112-14 (9th Cir. 2000) (en banc) (holding that the interactive process is a mandatory, not permissive, duty of the employer, and the employer has a duty to initiate the interactive process in some circumstances), </w:t>
      </w:r>
      <w:r w:rsidRPr="002831C0">
        <w:rPr>
          <w:rFonts w:eastAsia="Calibri" w:cs="Times New Roman"/>
          <w:i/>
          <w:iCs/>
          <w:szCs w:val="24"/>
        </w:rPr>
        <w:t>vacated on other grounds</w:t>
      </w:r>
      <w:r w:rsidRPr="002831C0">
        <w:rPr>
          <w:rFonts w:eastAsia="Calibri" w:cs="Times New Roman"/>
          <w:szCs w:val="24"/>
        </w:rPr>
        <w:t>, 535 U.S. 391 (2002).</w:t>
      </w:r>
    </w:p>
    <w:p w14:paraId="427A9BEC" w14:textId="77777777" w:rsidR="00E607FD" w:rsidRPr="002831C0" w:rsidRDefault="00E607FD" w:rsidP="00E607FD">
      <w:pPr>
        <w:widowControl w:val="0"/>
        <w:ind w:firstLine="720"/>
        <w:rPr>
          <w:rFonts w:eastAsia="Calibri" w:cs="Times New Roman"/>
          <w:szCs w:val="24"/>
        </w:rPr>
      </w:pPr>
    </w:p>
    <w:p w14:paraId="74BC7483" w14:textId="2E1B615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Barnett</w:t>
      </w:r>
      <w:r w:rsidRPr="002831C0">
        <w:rPr>
          <w:rFonts w:eastAsia="Calibri" w:cs="Times New Roman"/>
          <w:szCs w:val="24"/>
        </w:rPr>
        <w:t xml:space="preserve">, the Supreme Court addressed a requested accommodation (reassignment from the position of cargo handler to that of mailroom worker) that conflicted with a seniority system. 535 U.S. at 393-95. The Supreme Court recognized that while a proposed accommodation that would otherwise be reasonable typically becomes unreasonable when it conflicts with a seniority system, an employee should have an opportunity to establish any special circumstances that may constitute an exception to the general rule. </w:t>
      </w:r>
      <w:r w:rsidRPr="002831C0">
        <w:rPr>
          <w:rFonts w:eastAsia="Calibri" w:cs="Times New Roman"/>
          <w:i/>
          <w:iCs/>
          <w:szCs w:val="24"/>
        </w:rPr>
        <w:t xml:space="preserve">Id. </w:t>
      </w:r>
      <w:r w:rsidRPr="002831C0">
        <w:rPr>
          <w:rFonts w:eastAsia="Calibri" w:cs="Times New Roman"/>
          <w:szCs w:val="24"/>
        </w:rPr>
        <w:t xml:space="preserve">at 394, 405; </w:t>
      </w:r>
      <w:r w:rsidRPr="002831C0">
        <w:rPr>
          <w:rFonts w:eastAsia="Calibri" w:cs="Times New Roman"/>
          <w:i/>
          <w:iCs/>
          <w:szCs w:val="24"/>
        </w:rPr>
        <w:t>see also Willis v. Pac. Mar. Ass’n</w:t>
      </w:r>
      <w:r w:rsidRPr="002831C0">
        <w:rPr>
          <w:rFonts w:eastAsia="Calibri" w:cs="Times New Roman"/>
          <w:szCs w:val="24"/>
        </w:rPr>
        <w:t xml:space="preserve">, 244 F.3d 675, 679 (9th Cir. 2001) (holding that an employee’s proposed accommodation was per se unreasonable because it directly conflicted with bona fide seniority system established under </w:t>
      </w:r>
      <w:r w:rsidR="00AF5E6B">
        <w:rPr>
          <w:rFonts w:eastAsia="Calibri" w:cs="Times New Roman"/>
          <w:szCs w:val="24"/>
        </w:rPr>
        <w:t xml:space="preserve">a </w:t>
      </w:r>
      <w:r w:rsidRPr="002831C0">
        <w:rPr>
          <w:rFonts w:eastAsia="Calibri" w:cs="Times New Roman"/>
          <w:szCs w:val="24"/>
        </w:rPr>
        <w:t>collective bargaining agreement).</w:t>
      </w:r>
    </w:p>
    <w:p w14:paraId="7CCEC63D" w14:textId="77777777" w:rsidR="00E607FD" w:rsidRPr="002831C0" w:rsidRDefault="00E607FD" w:rsidP="00E607FD">
      <w:pPr>
        <w:widowControl w:val="0"/>
        <w:ind w:firstLine="720"/>
        <w:rPr>
          <w:rFonts w:eastAsia="Calibri" w:cs="Times New Roman"/>
          <w:szCs w:val="24"/>
        </w:rPr>
      </w:pPr>
    </w:p>
    <w:p w14:paraId="23980DB8"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In</w:t>
      </w:r>
      <w:r w:rsidRPr="002831C0">
        <w:rPr>
          <w:rFonts w:cs="Times New Roman"/>
          <w:i/>
          <w:iCs/>
          <w:szCs w:val="24"/>
        </w:rPr>
        <w:t xml:space="preserve"> PGA Tour v. Martin</w:t>
      </w:r>
      <w:r w:rsidRPr="002831C0">
        <w:rPr>
          <w:rFonts w:cs="Times New Roman"/>
          <w:szCs w:val="24"/>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2831C0">
        <w:rPr>
          <w:rFonts w:cs="Times New Roman"/>
          <w:i/>
          <w:iCs/>
          <w:szCs w:val="24"/>
        </w:rPr>
        <w:t>Id</w:t>
      </w:r>
      <w:r w:rsidRPr="002831C0">
        <w:rPr>
          <w:rFonts w:cs="Times New Roman"/>
          <w:szCs w:val="24"/>
        </w:rPr>
        <w:t>. at 690.</w:t>
      </w:r>
    </w:p>
    <w:p w14:paraId="1B53138D" w14:textId="77777777" w:rsidR="00E607FD" w:rsidRPr="002831C0" w:rsidRDefault="00E607FD" w:rsidP="00E607FD">
      <w:pPr>
        <w:autoSpaceDE w:val="0"/>
        <w:autoSpaceDN w:val="0"/>
        <w:adjustRightInd w:val="0"/>
        <w:rPr>
          <w:rFonts w:cs="Times New Roman"/>
          <w:szCs w:val="24"/>
        </w:rPr>
      </w:pPr>
    </w:p>
    <w:p w14:paraId="5D21DB8B" w14:textId="6B720AB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Unpaid medical leave may be a reasonable accommodation. “Even an extended medical leave, or an extension of an existing leave period, may be a reasonable accommodation if it does not pose an undue hardship on the employer.” </w:t>
      </w:r>
      <w:r w:rsidRPr="002831C0">
        <w:rPr>
          <w:rFonts w:eastAsia="Calibri" w:cs="Times New Roman"/>
          <w:i/>
          <w:iCs/>
          <w:szCs w:val="24"/>
        </w:rPr>
        <w:t>Dark v. Curry County</w:t>
      </w:r>
      <w:r w:rsidRPr="002831C0">
        <w:rPr>
          <w:rFonts w:eastAsia="Calibri" w:cs="Times New Roman"/>
          <w:szCs w:val="24"/>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sidRPr="002831C0">
        <w:rPr>
          <w:rFonts w:eastAsia="Calibri" w:cs="Times New Roman"/>
          <w:i/>
          <w:iCs/>
          <w:szCs w:val="24"/>
        </w:rPr>
        <w:t>Id</w:t>
      </w:r>
      <w:r w:rsidRPr="002831C0">
        <w:rPr>
          <w:rFonts w:eastAsia="Calibri" w:cs="Times New Roman"/>
          <w:szCs w:val="24"/>
        </w:rPr>
        <w:t xml:space="preserve">. In those jobs for which performance requires attendance at the job, “irregular attendance compromises essential job functions.” </w:t>
      </w:r>
      <w:r w:rsidRPr="002831C0">
        <w:rPr>
          <w:rFonts w:eastAsia="Calibri" w:cs="Times New Roman"/>
          <w:i/>
          <w:iCs/>
          <w:szCs w:val="24"/>
        </w:rPr>
        <w:t>Samper v. Providence St. Vincent Med. Ctr.</w:t>
      </w:r>
      <w:r w:rsidRPr="002831C0">
        <w:rPr>
          <w:rFonts w:eastAsia="Calibri" w:cs="Times New Roman"/>
          <w:szCs w:val="24"/>
        </w:rPr>
        <w:t>, 675 F.3d 1233, 1237-40 (9th Cir. 2012) (holding unreasonable an accommodation request that would allow a neo-natal intensive care unit nurse to miss work whenever that nurse felt missing work was needed and for so long as that nurse felt was needed).</w:t>
      </w:r>
    </w:p>
    <w:p w14:paraId="76F03CBC" w14:textId="77777777" w:rsidR="00E607FD" w:rsidRPr="002831C0" w:rsidRDefault="00E607FD" w:rsidP="00E607FD">
      <w:pPr>
        <w:widowControl w:val="0"/>
        <w:ind w:firstLine="720"/>
        <w:rPr>
          <w:rFonts w:eastAsia="Calibri" w:cs="Times New Roman"/>
          <w:szCs w:val="24"/>
        </w:rPr>
      </w:pPr>
    </w:p>
    <w:p w14:paraId="7956DEF2"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Josephs v. Pacific Bell</w:t>
      </w:r>
      <w:r w:rsidRPr="002831C0">
        <w:rPr>
          <w:rFonts w:eastAsia="Calibri" w:cs="Times New Roman"/>
          <w:szCs w:val="24"/>
        </w:rPr>
        <w:t>, 443 F.3d 1050, 1060 (9th Cir. 2006), the court joined other circuits in expressly recognizing a discriminatory failure to reinstate as a separately actionable claim under the ADA.</w:t>
      </w:r>
    </w:p>
    <w:p w14:paraId="14B3E46D" w14:textId="77777777" w:rsidR="00E607FD" w:rsidRPr="002831C0" w:rsidRDefault="00E607FD" w:rsidP="00E607FD">
      <w:pPr>
        <w:widowControl w:val="0"/>
        <w:ind w:firstLine="720"/>
        <w:rPr>
          <w:rFonts w:eastAsia="Calibri" w:cs="Times New Roman"/>
          <w:szCs w:val="24"/>
        </w:rPr>
      </w:pPr>
    </w:p>
    <w:p w14:paraId="544EDC79"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ADA does not impose a duty to create a new position to accommodate a disabled employee. </w:t>
      </w:r>
      <w:r w:rsidRPr="002831C0">
        <w:rPr>
          <w:rFonts w:eastAsia="Calibri" w:cs="Times New Roman"/>
          <w:i/>
          <w:iCs/>
          <w:szCs w:val="24"/>
        </w:rPr>
        <w:t>Wellington v. Lyon Cnty. Sch. Dist.</w:t>
      </w:r>
      <w:r w:rsidRPr="002831C0">
        <w:rPr>
          <w:rFonts w:eastAsia="Calibri" w:cs="Times New Roman"/>
          <w:szCs w:val="24"/>
        </w:rPr>
        <w:t>, 187 F.3d 1150, 1155-56 (9th Cir. 1999).</w:t>
      </w:r>
    </w:p>
    <w:p w14:paraId="706CF49B" w14:textId="77777777" w:rsidR="00E607FD" w:rsidRPr="002831C0" w:rsidRDefault="00E607FD" w:rsidP="00E607FD">
      <w:pPr>
        <w:widowControl w:val="0"/>
        <w:ind w:firstLine="720"/>
        <w:rPr>
          <w:rFonts w:eastAsia="Calibri" w:cs="Times New Roman"/>
          <w:szCs w:val="24"/>
        </w:rPr>
      </w:pPr>
    </w:p>
    <w:p w14:paraId="1EF0D8AB" w14:textId="2F5FB26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“Title II of the ADA applies to arrests.” </w:t>
      </w:r>
      <w:r w:rsidRPr="002831C0">
        <w:rPr>
          <w:rFonts w:eastAsia="Calibri" w:cs="Times New Roman"/>
          <w:i/>
          <w:iCs/>
          <w:szCs w:val="24"/>
        </w:rPr>
        <w:t>Hyer v. City &amp; County of Honolulu</w:t>
      </w:r>
      <w:r w:rsidRPr="002831C0">
        <w:rPr>
          <w:rFonts w:eastAsia="Calibri" w:cs="Times New Roman"/>
          <w:szCs w:val="24"/>
        </w:rPr>
        <w:t xml:space="preserve">, 118 F.4th 1044, 1065 (9th Cir. 2024) (internal brackets omitted) (quoting </w:t>
      </w:r>
      <w:r w:rsidRPr="002831C0">
        <w:rPr>
          <w:rFonts w:eastAsia="Calibri" w:cs="Times New Roman"/>
          <w:i/>
          <w:iCs/>
          <w:szCs w:val="24"/>
        </w:rPr>
        <w:t>Sheehan v. City &amp; County of San Francisco</w:t>
      </w:r>
      <w:r w:rsidRPr="002831C0">
        <w:rPr>
          <w:rFonts w:eastAsia="Calibri" w:cs="Times New Roman"/>
          <w:szCs w:val="24"/>
        </w:rPr>
        <w:t xml:space="preserve">, 743 F.3d 1211, 1232 (9th Cir. 2014), </w:t>
      </w:r>
      <w:r w:rsidRPr="002831C0">
        <w:rPr>
          <w:rFonts w:eastAsia="Calibri" w:cs="Times New Roman"/>
          <w:i/>
          <w:iCs/>
          <w:szCs w:val="24"/>
        </w:rPr>
        <w:t>rev</w:t>
      </w:r>
      <w:r w:rsidRPr="002831C0">
        <w:rPr>
          <w:rFonts w:eastAsia="Calibri" w:cs="Times New Roman"/>
          <w:i/>
          <w:szCs w:val="24"/>
        </w:rPr>
        <w:t>’</w:t>
      </w:r>
      <w:r w:rsidRPr="002831C0">
        <w:rPr>
          <w:rFonts w:eastAsia="Calibri" w:cs="Times New Roman"/>
          <w:i/>
          <w:iCs/>
          <w:szCs w:val="24"/>
        </w:rPr>
        <w:t>d in part on other grounds</w:t>
      </w:r>
      <w:r w:rsidRPr="002831C0">
        <w:rPr>
          <w:rFonts w:eastAsia="Calibri" w:cs="Times New Roman"/>
          <w:szCs w:val="24"/>
        </w:rPr>
        <w:t xml:space="preserve">, 575 U.S. 600 (2015)). A reasonable accommodation in the context of an arrest of a person with a mental illness could include the use of a throw phone or a crisis negotiation team. </w:t>
      </w:r>
      <w:r w:rsidRPr="002831C0">
        <w:rPr>
          <w:rFonts w:eastAsia="Calibri" w:cs="Times New Roman"/>
          <w:i/>
          <w:szCs w:val="24"/>
        </w:rPr>
        <w:t>Id.</w:t>
      </w:r>
      <w:r w:rsidRPr="002831C0">
        <w:rPr>
          <w:rFonts w:eastAsia="Calibri" w:cs="Times New Roman"/>
          <w:i/>
          <w:iCs/>
          <w:szCs w:val="24"/>
        </w:rPr>
        <w:t xml:space="preserve"> </w:t>
      </w:r>
      <w:r w:rsidRPr="002831C0">
        <w:rPr>
          <w:rFonts w:eastAsia="Calibri" w:cs="Times New Roman"/>
          <w:szCs w:val="24"/>
        </w:rPr>
        <w:t xml:space="preserve">at 1066. In the context of an arrest of a deaf person, “there is no per se obligation to provide ‘an on-site interpreter every time’ one is requested; ‘[r]ather, the test is whether an individual has received an auxiliary aid sufficient to prevent any “real hindrance” in her ability to exchange information.’” </w:t>
      </w:r>
      <w:r w:rsidRPr="002831C0">
        <w:rPr>
          <w:rFonts w:eastAsia="Calibri" w:cs="Times New Roman"/>
          <w:i/>
          <w:szCs w:val="24"/>
        </w:rPr>
        <w:t>Mayfield v. City of Mesa</w:t>
      </w:r>
      <w:r w:rsidRPr="002831C0">
        <w:rPr>
          <w:rFonts w:eastAsia="Calibri" w:cs="Times New Roman"/>
          <w:szCs w:val="24"/>
        </w:rPr>
        <w:t xml:space="preserve">, 131 F.4th 1100, 1110 (9th Cir. 2025) (quoting </w:t>
      </w:r>
      <w:r w:rsidRPr="002831C0">
        <w:rPr>
          <w:rFonts w:eastAsia="Calibri" w:cs="Times New Roman"/>
          <w:i/>
          <w:iCs/>
          <w:szCs w:val="24"/>
        </w:rPr>
        <w:t>Bax v. Doctors Med. Ctr. Of Modesto, Inc.</w:t>
      </w:r>
      <w:r w:rsidRPr="002831C0">
        <w:rPr>
          <w:rFonts w:eastAsia="Calibri" w:cs="Times New Roman"/>
          <w:szCs w:val="24"/>
        </w:rPr>
        <w:t xml:space="preserve">, 52 F.4th 858, 867 (9th Cir. 2022)). “Assessing whether an entity provided appropriate auxiliary aids where necessary to afford effective communication is a fact-intensive exercise. The trier of fact must weigh several factors, including the method of communication used by the individual; the nature, length, and complexity of the communication involved;” and “in the specific context of </w:t>
      </w:r>
      <w:r w:rsidRPr="002831C0">
        <w:rPr>
          <w:rFonts w:eastAsia="Calibri" w:cs="Times New Roman"/>
          <w:i/>
          <w:szCs w:val="24"/>
        </w:rPr>
        <w:t>arrests</w:t>
      </w:r>
      <w:r w:rsidRPr="002831C0">
        <w:rPr>
          <w:rFonts w:eastAsia="Calibri" w:cs="Times New Roman"/>
          <w:szCs w:val="24"/>
        </w:rPr>
        <w:t xml:space="preserve">, . . . whether any ‘exigent circumstances’ surrounding the plaintiff's encounter with law enforcement would render a proposed reasonable accommodation impracticable.” </w:t>
      </w:r>
      <w:r w:rsidRPr="002831C0">
        <w:rPr>
          <w:rFonts w:eastAsia="Calibri" w:cs="Times New Roman"/>
          <w:i/>
          <w:szCs w:val="24"/>
        </w:rPr>
        <w:t>Id.</w:t>
      </w:r>
      <w:r w:rsidRPr="002831C0">
        <w:rPr>
          <w:rFonts w:eastAsia="Calibri" w:cs="Times New Roman"/>
          <w:szCs w:val="24"/>
        </w:rPr>
        <w:t xml:space="preserve"> (citations omitted)</w:t>
      </w:r>
      <w:r w:rsidR="00A87F6E">
        <w:rPr>
          <w:rFonts w:eastAsia="Calibri" w:cs="Times New Roman"/>
          <w:szCs w:val="24"/>
        </w:rPr>
        <w:t xml:space="preserve">. </w:t>
      </w:r>
    </w:p>
    <w:p w14:paraId="206E168B" w14:textId="77777777" w:rsidR="00593078" w:rsidRDefault="00593078" w:rsidP="00593078">
      <w:pPr>
        <w:widowControl w:val="0"/>
        <w:ind w:firstLine="720"/>
        <w:rPr>
          <w:rFonts w:eastAsia="Calibri" w:cs="Times New Roman"/>
          <w:szCs w:val="24"/>
        </w:rPr>
      </w:pPr>
    </w:p>
    <w:p w14:paraId="5986B9DC" w14:textId="0F989A34" w:rsidR="00593078" w:rsidRPr="00593078" w:rsidRDefault="00593078" w:rsidP="00593078">
      <w:pPr>
        <w:ind w:firstLine="720"/>
        <w:rPr>
          <w:rFonts w:cs="Times New Roman"/>
        </w:rPr>
      </w:pPr>
      <w:r w:rsidRPr="00045236">
        <w:rPr>
          <w:rFonts w:eastAsia="Calibri" w:cs="Times New Roman"/>
        </w:rPr>
        <w:t xml:space="preserve">The ADA applies to inmates in prisons who need accommodations for transportation.  </w:t>
      </w:r>
      <w:r w:rsidRPr="00045236">
        <w:rPr>
          <w:rFonts w:cs="Times New Roman"/>
          <w:i/>
          <w:iCs/>
        </w:rPr>
        <w:t>Weldeyohannes v. Washington</w:t>
      </w:r>
      <w:r w:rsidRPr="00045236">
        <w:rPr>
          <w:rFonts w:cs="Times New Roman"/>
        </w:rPr>
        <w:t>, 162 F.4th 972</w:t>
      </w:r>
      <w:r>
        <w:rPr>
          <w:rFonts w:cs="Times New Roman"/>
        </w:rPr>
        <w:t>, 976</w:t>
      </w:r>
      <w:r w:rsidRPr="00045236">
        <w:rPr>
          <w:rFonts w:cs="Times New Roman"/>
        </w:rPr>
        <w:t xml:space="preserve"> (9th Cir. 2025) (citing </w:t>
      </w:r>
      <w:r w:rsidRPr="00045236">
        <w:rPr>
          <w:rFonts w:cs="Times New Roman"/>
          <w:i/>
          <w:iCs/>
        </w:rPr>
        <w:t>Bell v. Williams</w:t>
      </w:r>
      <w:r w:rsidRPr="00045236">
        <w:rPr>
          <w:rFonts w:cs="Times New Roman"/>
        </w:rPr>
        <w:t>, 108 F.4</w:t>
      </w:r>
      <w:r w:rsidRPr="00334DAA">
        <w:rPr>
          <w:rFonts w:cs="Times New Roman"/>
        </w:rPr>
        <w:t>th</w:t>
      </w:r>
      <w:r w:rsidRPr="00045236">
        <w:rPr>
          <w:rFonts w:cs="Times New Roman"/>
        </w:rPr>
        <w:t xml:space="preserve"> 809, 824 (9th Cir. 2024)). If a public entity receives a request for accommodation, the entity must make a “fact-specific investigation to determine what constitutes a reasonable accommodation.” </w:t>
      </w:r>
      <w:r w:rsidRPr="00045236">
        <w:rPr>
          <w:rFonts w:cs="Times New Roman"/>
          <w:i/>
          <w:iCs/>
        </w:rPr>
        <w:t>Duvall v. C</w:t>
      </w:r>
      <w:r>
        <w:rPr>
          <w:rFonts w:cs="Times New Roman"/>
          <w:i/>
          <w:iCs/>
        </w:rPr>
        <w:t>ounty</w:t>
      </w:r>
      <w:r w:rsidRPr="00045236">
        <w:rPr>
          <w:rFonts w:cs="Times New Roman"/>
          <w:i/>
          <w:iCs/>
        </w:rPr>
        <w:t>. of Kitsap</w:t>
      </w:r>
      <w:r w:rsidRPr="00045236">
        <w:rPr>
          <w:rFonts w:cs="Times New Roman"/>
        </w:rPr>
        <w:t xml:space="preserve">, 260 F.3d 1124, 1139 (9th Cir. 2001). To obtain monetary damages, a plaintiff must show “deliberate indifference” to his need for accommodation.” </w:t>
      </w:r>
      <w:r w:rsidRPr="00045236">
        <w:rPr>
          <w:rFonts w:cs="Times New Roman"/>
          <w:i/>
          <w:iCs/>
        </w:rPr>
        <w:t>Id.</w:t>
      </w:r>
      <w:r w:rsidRPr="00045236">
        <w:rPr>
          <w:rFonts w:cs="Times New Roman"/>
        </w:rPr>
        <w:t xml:space="preserve"> at 1138.</w:t>
      </w:r>
    </w:p>
    <w:p w14:paraId="00DFA744" w14:textId="4CC85A62" w:rsidR="004D3956" w:rsidRPr="0024291D" w:rsidRDefault="00593078" w:rsidP="0024291D">
      <w:pPr>
        <w:widowControl w:val="0"/>
        <w:jc w:val="right"/>
        <w:rPr>
          <w:rFonts w:cs="Times New Roman"/>
          <w:i/>
          <w:szCs w:val="24"/>
        </w:rPr>
      </w:pPr>
      <w:r w:rsidRPr="002831C0">
        <w:rPr>
          <w:rFonts w:eastAsia="Calibri" w:cs="Times New Roman"/>
          <w:i/>
          <w:iCs/>
          <w:szCs w:val="24"/>
        </w:rPr>
        <w:t xml:space="preserve">Revised </w:t>
      </w:r>
      <w:r>
        <w:rPr>
          <w:rFonts w:eastAsia="Calibri" w:cs="Times New Roman"/>
          <w:i/>
          <w:iCs/>
          <w:szCs w:val="24"/>
        </w:rPr>
        <w:t>March 2026</w:t>
      </w:r>
    </w:p>
    <w:p w14:paraId="2AA71862" w14:textId="1D111BCD" w:rsidR="00F7633A" w:rsidRPr="002B283E" w:rsidRDefault="00F7633A" w:rsidP="00FF121D">
      <w:pPr>
        <w:pStyle w:val="Heading2"/>
      </w:pPr>
      <w:bookmarkStart w:id="316" w:name="_Toc221525257"/>
      <w:r w:rsidRPr="002B283E">
        <w:lastRenderedPageBreak/>
        <w:t>12.10 ADA—Defenses—Undue Hardship</w:t>
      </w:r>
      <w:bookmarkEnd w:id="315"/>
      <w:bookmarkEnd w:id="316"/>
    </w:p>
    <w:p w14:paraId="675F2005" w14:textId="77777777" w:rsidR="00F7633A" w:rsidRPr="002B283E" w:rsidRDefault="00F7633A" w:rsidP="002B283E">
      <w:pPr>
        <w:rPr>
          <w:rFonts w:cs="Times New Roman"/>
          <w:szCs w:val="24"/>
        </w:rPr>
      </w:pPr>
    </w:p>
    <w:p w14:paraId="475C5767" w14:textId="726139E5"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asserted the affirmative defense of “undue hardship.” A defendant is not required to provide an accommodation that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If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proves by a preponderance of the evidence that providing an accommodation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is not liable under the ADA for failure to provide that accommodation.</w:t>
      </w:r>
    </w:p>
    <w:p w14:paraId="3C91E05C" w14:textId="77777777" w:rsidR="00F7633A" w:rsidRPr="002B283E" w:rsidRDefault="00F7633A" w:rsidP="002B283E">
      <w:pPr>
        <w:autoSpaceDE w:val="0"/>
        <w:autoSpaceDN w:val="0"/>
        <w:adjustRightInd w:val="0"/>
        <w:rPr>
          <w:rFonts w:cs="Times New Roman"/>
          <w:szCs w:val="24"/>
        </w:rPr>
      </w:pPr>
    </w:p>
    <w:p w14:paraId="43591060"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term “undue hardship” means an action requiring significant difficulty or expense. It considers the financial realities of the particular defendant and refers to any accommodation that would be unduly costly, extensive, substantial, or disruptive, or that would fundamentally alter the nature or operation of the business.</w:t>
      </w:r>
    </w:p>
    <w:p w14:paraId="4AD5FC61" w14:textId="77777777" w:rsidR="00F7633A" w:rsidRPr="002B283E" w:rsidRDefault="00F7633A" w:rsidP="002B283E">
      <w:pPr>
        <w:autoSpaceDE w:val="0"/>
        <w:autoSpaceDN w:val="0"/>
        <w:adjustRightInd w:val="0"/>
        <w:rPr>
          <w:rFonts w:cs="Times New Roman"/>
          <w:szCs w:val="24"/>
        </w:rPr>
      </w:pPr>
    </w:p>
    <w:p w14:paraId="0E3FF659"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you should consider in deciding whether an accommodation would cause undue hardship include:</w:t>
      </w:r>
    </w:p>
    <w:p w14:paraId="46DA7765" w14:textId="77777777" w:rsidR="00F7633A" w:rsidRPr="002B283E" w:rsidRDefault="00F7633A" w:rsidP="002B283E">
      <w:pPr>
        <w:autoSpaceDE w:val="0"/>
        <w:autoSpaceDN w:val="0"/>
        <w:adjustRightInd w:val="0"/>
        <w:rPr>
          <w:rFonts w:cs="Times New Roman"/>
          <w:szCs w:val="24"/>
        </w:rPr>
      </w:pPr>
    </w:p>
    <w:p w14:paraId="462326F9" w14:textId="77777777"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nature and net cost of the accommodation, accounting for tax credits or deductions and other outside funding][;]</w:t>
      </w:r>
    </w:p>
    <w:p w14:paraId="4D9AEAA9" w14:textId="77777777" w:rsidR="00F7633A" w:rsidRPr="002B283E" w:rsidRDefault="00F7633A" w:rsidP="00C251B9">
      <w:pPr>
        <w:autoSpaceDE w:val="0"/>
        <w:autoSpaceDN w:val="0"/>
        <w:adjustRightInd w:val="0"/>
        <w:ind w:right="720"/>
        <w:rPr>
          <w:rFonts w:cs="Times New Roman"/>
          <w:szCs w:val="24"/>
        </w:rPr>
      </w:pPr>
    </w:p>
    <w:p w14:paraId="4B2924D1" w14:textId="0ACB4F81"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facility involved in the provision of the reasonable accommodation, the number of persons employed at such facility, the effect on expenses and resources, or the impact otherwise of such accommodation upon the operation of the facility][;]</w:t>
      </w:r>
    </w:p>
    <w:p w14:paraId="04765473" w14:textId="77777777" w:rsidR="00F7633A" w:rsidRPr="002B283E" w:rsidRDefault="00F7633A" w:rsidP="00C251B9">
      <w:pPr>
        <w:autoSpaceDE w:val="0"/>
        <w:autoSpaceDN w:val="0"/>
        <w:adjustRightInd w:val="0"/>
        <w:ind w:right="720"/>
        <w:rPr>
          <w:rFonts w:cs="Times New Roman"/>
          <w:szCs w:val="24"/>
        </w:rPr>
      </w:pPr>
    </w:p>
    <w:p w14:paraId="4A92702E" w14:textId="3B81C309"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facility, the overall size of the business of a defendant’s facility with respect to the number of its employees, the number, type, and location of its facilities][;]</w:t>
      </w:r>
    </w:p>
    <w:p w14:paraId="6EE67B96" w14:textId="77777777" w:rsidR="00F7633A" w:rsidRPr="002B283E" w:rsidRDefault="00F7633A" w:rsidP="00C251B9">
      <w:pPr>
        <w:autoSpaceDE w:val="0"/>
        <w:autoSpaceDN w:val="0"/>
        <w:adjustRightInd w:val="0"/>
        <w:ind w:right="720"/>
        <w:rPr>
          <w:rFonts w:cs="Times New Roman"/>
          <w:szCs w:val="24"/>
        </w:rPr>
      </w:pPr>
    </w:p>
    <w:p w14:paraId="1B201265" w14:textId="0E860C8B"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[the number of persons employed by </w:t>
      </w:r>
      <w:r w:rsidR="00935E4C">
        <w:rPr>
          <w:rFonts w:cs="Times New Roman"/>
          <w:szCs w:val="24"/>
        </w:rPr>
        <w:t xml:space="preserve">the </w:t>
      </w:r>
      <w:r w:rsidRPr="002B283E">
        <w:rPr>
          <w:rFonts w:cs="Times New Roman"/>
          <w:szCs w:val="24"/>
        </w:rPr>
        <w:t xml:space="preserve">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and the effect of accommodation][;]</w:t>
      </w:r>
    </w:p>
    <w:p w14:paraId="386E6B8F" w14:textId="77777777" w:rsidR="00F7633A" w:rsidRPr="002B283E" w:rsidRDefault="00F7633A" w:rsidP="00C251B9">
      <w:pPr>
        <w:autoSpaceDE w:val="0"/>
        <w:autoSpaceDN w:val="0"/>
        <w:adjustRightInd w:val="0"/>
        <w:ind w:right="720"/>
        <w:rPr>
          <w:rFonts w:cs="Times New Roman"/>
          <w:szCs w:val="24"/>
        </w:rPr>
      </w:pPr>
    </w:p>
    <w:p w14:paraId="7F210FA2" w14:textId="479BF7FA"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[the type of operations 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is involved in and the composition, structure, and functions of the work force][;]</w:t>
      </w:r>
    </w:p>
    <w:p w14:paraId="3261AD04" w14:textId="77777777" w:rsidR="00F7633A" w:rsidRPr="002B283E" w:rsidRDefault="00F7633A" w:rsidP="00C251B9">
      <w:pPr>
        <w:autoSpaceDE w:val="0"/>
        <w:autoSpaceDN w:val="0"/>
        <w:adjustRightInd w:val="0"/>
        <w:ind w:right="720"/>
        <w:rPr>
          <w:rFonts w:cs="Times New Roman"/>
          <w:szCs w:val="24"/>
        </w:rPr>
      </w:pPr>
    </w:p>
    <w:p w14:paraId="68375355" w14:textId="1DC0D130"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(6)</w:t>
      </w:r>
      <w:r w:rsidRPr="002B283E">
        <w:rPr>
          <w:rFonts w:cs="Times New Roman"/>
          <w:szCs w:val="24"/>
        </w:rPr>
        <w:tab/>
        <w:t>[the geographic separateness and administrative or fiscal relationship of the facility in question to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[and]</w:t>
      </w:r>
    </w:p>
    <w:p w14:paraId="2D84DEC3" w14:textId="77777777" w:rsidR="00F7633A" w:rsidRPr="002B283E" w:rsidRDefault="00F7633A" w:rsidP="00C251B9">
      <w:pPr>
        <w:autoSpaceDE w:val="0"/>
        <w:autoSpaceDN w:val="0"/>
        <w:adjustRightInd w:val="0"/>
        <w:ind w:right="720"/>
        <w:rPr>
          <w:rFonts w:cs="Times New Roman"/>
          <w:szCs w:val="24"/>
        </w:rPr>
      </w:pPr>
    </w:p>
    <w:p w14:paraId="5D62B47B" w14:textId="1D7414D5"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(7)</w:t>
      </w:r>
      <w:r w:rsidRPr="002B283E">
        <w:rPr>
          <w:rFonts w:cs="Times New Roman"/>
          <w:szCs w:val="24"/>
        </w:rPr>
        <w:tab/>
        <w:t>[the overall impact of the proposed accommodation on the operation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facilities, including the impact on other employees and the ability to conduct business].</w:t>
      </w:r>
    </w:p>
    <w:p w14:paraId="2EB2C420" w14:textId="77777777" w:rsidR="00F7633A" w:rsidRPr="002B283E" w:rsidRDefault="00F7633A" w:rsidP="002B283E">
      <w:pPr>
        <w:rPr>
          <w:rFonts w:cs="Times New Roman"/>
          <w:szCs w:val="24"/>
        </w:rPr>
      </w:pPr>
    </w:p>
    <w:p w14:paraId="1B1AD99E" w14:textId="77777777" w:rsidR="00F7633A" w:rsidRPr="002B283E" w:rsidRDefault="00F7633A" w:rsidP="002B283E">
      <w:pPr>
        <w:autoSpaceDE w:val="0"/>
        <w:autoSpaceDN w:val="0"/>
        <w:adjustRightInd w:val="0"/>
        <w:jc w:val="center"/>
        <w:rPr>
          <w:rFonts w:cs="Times New Roman"/>
          <w:szCs w:val="24"/>
        </w:rPr>
      </w:pPr>
      <w:r w:rsidRPr="002B283E">
        <w:rPr>
          <w:rFonts w:cs="Times New Roman"/>
          <w:b/>
          <w:bCs/>
          <w:szCs w:val="24"/>
        </w:rPr>
        <w:t>Comment</w:t>
      </w:r>
    </w:p>
    <w:p w14:paraId="701B3BA4" w14:textId="77777777" w:rsidR="00F7633A" w:rsidRPr="002B283E" w:rsidRDefault="00F7633A" w:rsidP="002B283E">
      <w:pPr>
        <w:rPr>
          <w:rFonts w:cs="Times New Roman"/>
          <w:szCs w:val="24"/>
        </w:rPr>
      </w:pPr>
    </w:p>
    <w:p w14:paraId="5FCBFA1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lastRenderedPageBreak/>
        <w:tab/>
        <w:t xml:space="preserve">A defendant has the burden of proving the defense of undue hardship. </w:t>
      </w:r>
      <w:r w:rsidRPr="002B283E">
        <w:rPr>
          <w:rFonts w:cs="Times New Roman"/>
          <w:i/>
          <w:iCs/>
          <w:szCs w:val="24"/>
        </w:rPr>
        <w:t xml:space="preserve">See </w:t>
      </w:r>
      <w:r w:rsidRPr="002B283E">
        <w:rPr>
          <w:rFonts w:cs="Times New Roman"/>
          <w:szCs w:val="24"/>
        </w:rPr>
        <w:t xml:space="preserve">42 U.S.C. § 12112(b)(5)(A) (noting that disability discrimination includes “not making reasonable accommodations to the known physical or mental limitations of an otherwise qualified individual with a disability who is an applicant or employee, </w:t>
      </w:r>
      <w:r w:rsidRPr="002B283E">
        <w:rPr>
          <w:rFonts w:cs="Times New Roman"/>
          <w:i/>
          <w:iCs/>
          <w:szCs w:val="24"/>
        </w:rPr>
        <w:t>unless such covered entity can demonstrate that the accommodation would impose an undue hardship on the operation of the business of such covered entity</w:t>
      </w:r>
      <w:r w:rsidRPr="002B283E">
        <w:rPr>
          <w:rFonts w:cs="Times New Roman"/>
          <w:szCs w:val="24"/>
        </w:rPr>
        <w:t xml:space="preserve">”) (emphasis added); </w:t>
      </w:r>
      <w:r w:rsidRPr="002B283E">
        <w:rPr>
          <w:rFonts w:cs="Times New Roman"/>
          <w:i/>
          <w:iCs/>
          <w:szCs w:val="24"/>
        </w:rPr>
        <w:t>U.S. Airways, Inc. v. Barnett</w:t>
      </w:r>
      <w:r w:rsidRPr="002B283E">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2F461368" w14:textId="77777777" w:rsidR="00F7633A" w:rsidRPr="002B283E" w:rsidRDefault="00F7633A" w:rsidP="002B283E">
      <w:pPr>
        <w:autoSpaceDE w:val="0"/>
        <w:autoSpaceDN w:val="0"/>
        <w:adjustRightInd w:val="0"/>
        <w:rPr>
          <w:rFonts w:cs="Times New Roman"/>
          <w:szCs w:val="24"/>
        </w:rPr>
      </w:pPr>
    </w:p>
    <w:p w14:paraId="2E63487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in this instruction are derived from 42 U.S.C. § 12111(10) and 29 C.F.R. § 1630.2(p), App. 1630.2(p).</w:t>
      </w:r>
    </w:p>
    <w:p w14:paraId="31DF9BE1" w14:textId="77777777" w:rsidR="00F7633A" w:rsidRPr="002B283E" w:rsidRDefault="00F7633A" w:rsidP="002B283E">
      <w:pPr>
        <w:rPr>
          <w:rFonts w:cs="Times New Roman"/>
          <w:szCs w:val="24"/>
        </w:rPr>
      </w:pPr>
    </w:p>
    <w:p w14:paraId="5390716D" w14:textId="6A6BC560" w:rsidR="00673357" w:rsidRPr="002B283E" w:rsidRDefault="00F7633A" w:rsidP="002B283E">
      <w:pPr>
        <w:jc w:val="right"/>
        <w:rPr>
          <w:rFonts w:cs="Times New Roman"/>
          <w:i/>
          <w:iCs/>
          <w:szCs w:val="24"/>
        </w:rPr>
      </w:pPr>
      <w:r w:rsidRPr="002B283E">
        <w:rPr>
          <w:rFonts w:cs="Times New Roman"/>
          <w:i/>
          <w:iCs/>
          <w:szCs w:val="24"/>
        </w:rPr>
        <w:t>Revised March 2024</w:t>
      </w:r>
    </w:p>
    <w:p w14:paraId="675C4FB1" w14:textId="35D51E0A" w:rsidR="00780356" w:rsidRPr="002B283E" w:rsidRDefault="006A4CD7" w:rsidP="002B283E">
      <w:pPr>
        <w:pStyle w:val="Heading2"/>
      </w:pPr>
      <w:r w:rsidRPr="002B283E">
        <w:br w:type="page"/>
      </w:r>
    </w:p>
    <w:p w14:paraId="04710CFD" w14:textId="77777777" w:rsidR="006A18E5" w:rsidRPr="002B283E" w:rsidRDefault="006A18E5" w:rsidP="00FF121D">
      <w:pPr>
        <w:pStyle w:val="Heading2"/>
      </w:pPr>
      <w:bookmarkStart w:id="317" w:name="_Toc117512515"/>
      <w:bookmarkStart w:id="318" w:name="_Toc221525258"/>
      <w:r w:rsidRPr="002B283E">
        <w:lastRenderedPageBreak/>
        <w:t>12.11 ADA—Defenses—Business Necessity</w:t>
      </w:r>
      <w:bookmarkEnd w:id="317"/>
      <w:bookmarkEnd w:id="318"/>
    </w:p>
    <w:p w14:paraId="000BE8E8" w14:textId="77777777" w:rsidR="006A18E5" w:rsidRPr="002B283E" w:rsidRDefault="006A18E5" w:rsidP="002B283E">
      <w:pPr>
        <w:rPr>
          <w:rFonts w:cs="Times New Roman"/>
          <w:szCs w:val="24"/>
        </w:rPr>
      </w:pPr>
    </w:p>
    <w:p w14:paraId="63F2B916"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t>Business necessity is a defense to a claim of discrimination under the ADA.</w:t>
      </w:r>
    </w:p>
    <w:p w14:paraId="71B372A8" w14:textId="77777777" w:rsidR="006A18E5" w:rsidRPr="002B283E" w:rsidRDefault="006A18E5" w:rsidP="002B283E">
      <w:pPr>
        <w:autoSpaceDE w:val="0"/>
        <w:autoSpaceDN w:val="0"/>
        <w:adjustRightInd w:val="0"/>
        <w:rPr>
          <w:rFonts w:cs="Times New Roman"/>
          <w:szCs w:val="24"/>
        </w:rPr>
      </w:pPr>
    </w:p>
    <w:p w14:paraId="0C429391" w14:textId="5CE64D61" w:rsidR="006A18E5" w:rsidRPr="002B283E" w:rsidRDefault="006A18E5" w:rsidP="002B283E">
      <w:pPr>
        <w:autoSpaceDE w:val="0"/>
        <w:autoSpaceDN w:val="0"/>
        <w:adjustRightInd w:val="0"/>
        <w:rPr>
          <w:rFonts w:cs="Times New Roman"/>
          <w:szCs w:val="24"/>
        </w:rPr>
      </w:pPr>
      <w:r w:rsidRPr="002B283E">
        <w:rPr>
          <w:rFonts w:cs="Times New Roman"/>
          <w:szCs w:val="24"/>
        </w:rPr>
        <w:tab/>
        <w:t>If you find that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application of a standard, criterion, or policy has [the effect of screening out or otherwise denying a job or benefit to individuals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[a disparate impact on individuals with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’s disability],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must prove, by a preponderance of the evidence, each of the following four elements regarding that standard, criterion, or policy:</w:t>
      </w:r>
    </w:p>
    <w:p w14:paraId="7123D0F4" w14:textId="77777777" w:rsidR="006A18E5" w:rsidRPr="002B283E" w:rsidRDefault="006A18E5" w:rsidP="002B283E">
      <w:pPr>
        <w:autoSpaceDE w:val="0"/>
        <w:autoSpaceDN w:val="0"/>
        <w:adjustRightInd w:val="0"/>
        <w:rPr>
          <w:rFonts w:cs="Times New Roman"/>
          <w:szCs w:val="24"/>
        </w:rPr>
      </w:pPr>
    </w:p>
    <w:p w14:paraId="06141216"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First, it is uniformly applied;</w:t>
      </w:r>
    </w:p>
    <w:p w14:paraId="4B0689C4" w14:textId="77777777" w:rsidR="006A18E5" w:rsidRPr="002B283E" w:rsidRDefault="006A18E5" w:rsidP="008A04C2">
      <w:pPr>
        <w:autoSpaceDE w:val="0"/>
        <w:autoSpaceDN w:val="0"/>
        <w:adjustRightInd w:val="0"/>
        <w:ind w:firstLine="720"/>
        <w:rPr>
          <w:rFonts w:cs="Times New Roman"/>
          <w:szCs w:val="24"/>
        </w:rPr>
      </w:pPr>
    </w:p>
    <w:p w14:paraId="54E011BF"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Second, it is job-related;</w:t>
      </w:r>
    </w:p>
    <w:p w14:paraId="3315BBA8" w14:textId="77777777" w:rsidR="006A18E5" w:rsidRPr="002B283E" w:rsidRDefault="006A18E5" w:rsidP="008A04C2">
      <w:pPr>
        <w:autoSpaceDE w:val="0"/>
        <w:autoSpaceDN w:val="0"/>
        <w:adjustRightInd w:val="0"/>
        <w:ind w:firstLine="720"/>
        <w:rPr>
          <w:rFonts w:cs="Times New Roman"/>
          <w:szCs w:val="24"/>
        </w:rPr>
      </w:pPr>
    </w:p>
    <w:p w14:paraId="63CCEBC1"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Third, it is consistent with business necessity; and</w:t>
      </w:r>
    </w:p>
    <w:p w14:paraId="477D2F24" w14:textId="77777777" w:rsidR="006A18E5" w:rsidRPr="002B283E" w:rsidRDefault="006A18E5" w:rsidP="008A04C2">
      <w:pPr>
        <w:autoSpaceDE w:val="0"/>
        <w:autoSpaceDN w:val="0"/>
        <w:adjustRightInd w:val="0"/>
        <w:ind w:firstLine="720"/>
        <w:rPr>
          <w:rFonts w:cs="Times New Roman"/>
          <w:szCs w:val="24"/>
        </w:rPr>
      </w:pPr>
    </w:p>
    <w:p w14:paraId="288664BA" w14:textId="1953755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Fourth, it cannot be met by a person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even with a reasonable accommodation.</w:t>
      </w:r>
    </w:p>
    <w:p w14:paraId="46D2F595" w14:textId="77777777" w:rsidR="006A18E5" w:rsidRPr="002B283E" w:rsidRDefault="006A18E5" w:rsidP="002B283E">
      <w:pPr>
        <w:autoSpaceDE w:val="0"/>
        <w:autoSpaceDN w:val="0"/>
        <w:adjustRightInd w:val="0"/>
        <w:rPr>
          <w:rFonts w:cs="Times New Roman"/>
          <w:szCs w:val="24"/>
        </w:rPr>
      </w:pPr>
    </w:p>
    <w:p w14:paraId="26242FF2" w14:textId="11C5E860" w:rsidR="006A18E5" w:rsidRPr="002B283E" w:rsidRDefault="006A18E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 elements of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5501015" w14:textId="77777777" w:rsidR="006A18E5" w:rsidRPr="002B283E" w:rsidRDefault="006A18E5" w:rsidP="002B283E">
      <w:pPr>
        <w:rPr>
          <w:rFonts w:cs="Times New Roman"/>
          <w:szCs w:val="24"/>
        </w:rPr>
      </w:pPr>
    </w:p>
    <w:p w14:paraId="7B85E62B" w14:textId="77777777" w:rsidR="006A18E5" w:rsidRPr="002B283E" w:rsidRDefault="006A18E5" w:rsidP="002B283E">
      <w:pPr>
        <w:autoSpaceDE w:val="0"/>
        <w:autoSpaceDN w:val="0"/>
        <w:adjustRightInd w:val="0"/>
        <w:jc w:val="center"/>
        <w:rPr>
          <w:rFonts w:cs="Times New Roman"/>
          <w:szCs w:val="24"/>
        </w:rPr>
      </w:pPr>
      <w:r w:rsidRPr="002B283E">
        <w:rPr>
          <w:rFonts w:cs="Times New Roman"/>
          <w:b/>
          <w:bCs/>
          <w:szCs w:val="24"/>
        </w:rPr>
        <w:t>Comment</w:t>
      </w:r>
    </w:p>
    <w:p w14:paraId="5ADBF914" w14:textId="77777777" w:rsidR="006A18E5" w:rsidRPr="002B283E" w:rsidRDefault="006A18E5" w:rsidP="002B283E">
      <w:pPr>
        <w:rPr>
          <w:rFonts w:cs="Times New Roman"/>
          <w:szCs w:val="24"/>
        </w:rPr>
      </w:pPr>
    </w:p>
    <w:p w14:paraId="43EF5F0A" w14:textId="3B887DA6" w:rsidR="006A18E5" w:rsidRPr="002B283E" w:rsidRDefault="006A18E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12113(a) (describing defenses and terms)</w:t>
      </w:r>
      <w:r w:rsidR="00935E4C">
        <w:rPr>
          <w:rFonts w:cs="Times New Roman"/>
          <w:szCs w:val="24"/>
        </w:rPr>
        <w:t xml:space="preserve">; </w:t>
      </w:r>
      <w:r w:rsidRPr="002B283E">
        <w:rPr>
          <w:rFonts w:cs="Times New Roman"/>
          <w:szCs w:val="24"/>
        </w:rPr>
        <w:t>29 C.F.R. § 1630.15(b)</w:t>
      </w:r>
      <w:r w:rsidRPr="002B283E">
        <w:rPr>
          <w:rFonts w:cs="Times New Roman"/>
          <w:strike/>
          <w:szCs w:val="24"/>
        </w:rPr>
        <w:t xml:space="preserve"> </w:t>
      </w:r>
      <w:r w:rsidRPr="002B283E">
        <w:rPr>
          <w:rFonts w:cs="Times New Roman"/>
          <w:szCs w:val="24"/>
        </w:rPr>
        <w:t>(1999) (describing the four elements a defendant must prove to satisfy</w:t>
      </w:r>
      <w:r w:rsidR="00935E4C">
        <w:rPr>
          <w:rFonts w:cs="Times New Roman"/>
          <w:szCs w:val="24"/>
        </w:rPr>
        <w:t xml:space="preserve"> its</w:t>
      </w:r>
      <w:r w:rsidRPr="002B283E">
        <w:rPr>
          <w:rFonts w:cs="Times New Roman"/>
          <w:szCs w:val="24"/>
        </w:rPr>
        <w:t xml:space="preserve"> burden). For a discussion of the business necessity defense as it applies to an across-the-board employer qualification standard (hearing test for package car drivers), </w:t>
      </w:r>
      <w:r w:rsidRPr="00290ECB">
        <w:rPr>
          <w:rFonts w:cs="Times New Roman"/>
          <w:szCs w:val="24"/>
        </w:rPr>
        <w:t>see</w:t>
      </w:r>
      <w:r w:rsidRPr="002B283E">
        <w:rPr>
          <w:rFonts w:cs="Times New Roman"/>
          <w:i/>
          <w:iCs/>
          <w:szCs w:val="24"/>
        </w:rPr>
        <w:t xml:space="preserve"> Bates v. UPS, Inc</w:t>
      </w:r>
      <w:r w:rsidRPr="00290ECB">
        <w:rPr>
          <w:rFonts w:cs="Times New Roman"/>
          <w:szCs w:val="24"/>
        </w:rPr>
        <w:t>.,</w:t>
      </w:r>
      <w:r w:rsidRPr="002B283E">
        <w:rPr>
          <w:rFonts w:cs="Times New Roman"/>
          <w:i/>
          <w:iCs/>
          <w:szCs w:val="24"/>
        </w:rPr>
        <w:t xml:space="preserve"> </w:t>
      </w:r>
      <w:r w:rsidRPr="002B283E">
        <w:rPr>
          <w:rFonts w:cs="Times New Roman"/>
          <w:szCs w:val="24"/>
        </w:rPr>
        <w:t>511 F.3d 974, 994-98 (9th Cir. 2007) (</w:t>
      </w:r>
      <w:r w:rsidRPr="002B283E">
        <w:rPr>
          <w:rFonts w:cs="Times New Roman"/>
          <w:i/>
          <w:iCs/>
          <w:szCs w:val="24"/>
        </w:rPr>
        <w:t>en banc</w:t>
      </w:r>
      <w:r w:rsidRPr="002B283E">
        <w:rPr>
          <w:rFonts w:cs="Times New Roman"/>
          <w:szCs w:val="24"/>
        </w:rPr>
        <w:t xml:space="preserve">). For an analysis of business necessity as it applies when an employer requires an employee to undergo a medical examination under 42 U.S.C. § 12112(d)(4)(A), </w:t>
      </w:r>
      <w:r w:rsidRPr="00290ECB">
        <w:rPr>
          <w:rFonts w:cs="Times New Roman"/>
          <w:szCs w:val="24"/>
        </w:rPr>
        <w:t xml:space="preserve">see </w:t>
      </w:r>
      <w:r w:rsidRPr="002B283E">
        <w:rPr>
          <w:rFonts w:cs="Times New Roman"/>
          <w:i/>
          <w:iCs/>
          <w:szCs w:val="24"/>
        </w:rPr>
        <w:t>Brownfield v. City of Yakima</w:t>
      </w:r>
      <w:r w:rsidRPr="002B283E">
        <w:rPr>
          <w:rFonts w:cs="Times New Roman"/>
          <w:szCs w:val="24"/>
        </w:rPr>
        <w:t>, 612 F.3d 1140, 1146 (9th Cir. 2010) (holding that</w:t>
      </w:r>
      <w:r w:rsidR="00935E4C">
        <w:rPr>
          <w:rFonts w:cs="Times New Roman"/>
          <w:szCs w:val="24"/>
        </w:rPr>
        <w:t xml:space="preserve"> the</w:t>
      </w:r>
      <w:r w:rsidRPr="002B283E">
        <w:rPr>
          <w:rFonts w:cs="Times New Roman"/>
          <w:szCs w:val="24"/>
        </w:rPr>
        <w:t xml:space="preserve"> standard may be met even before </w:t>
      </w:r>
      <w:r w:rsidR="00935E4C">
        <w:rPr>
          <w:rFonts w:cs="Times New Roman"/>
          <w:szCs w:val="24"/>
        </w:rPr>
        <w:t xml:space="preserve">an </w:t>
      </w:r>
      <w:r w:rsidRPr="002B283E">
        <w:rPr>
          <w:rFonts w:cs="Times New Roman"/>
          <w:szCs w:val="24"/>
        </w:rPr>
        <w:t xml:space="preserve">employee’s work performance declines if </w:t>
      </w:r>
      <w:r w:rsidR="00935E4C">
        <w:rPr>
          <w:rFonts w:cs="Times New Roman"/>
          <w:szCs w:val="24"/>
        </w:rPr>
        <w:t xml:space="preserve">the </w:t>
      </w:r>
      <w:r w:rsidRPr="002B283E">
        <w:rPr>
          <w:rFonts w:cs="Times New Roman"/>
          <w:szCs w:val="24"/>
        </w:rPr>
        <w:t xml:space="preserve">employer has significant evidence that could cause </w:t>
      </w:r>
      <w:r w:rsidR="00935E4C">
        <w:rPr>
          <w:rFonts w:cs="Times New Roman"/>
          <w:szCs w:val="24"/>
        </w:rPr>
        <w:t xml:space="preserve">a </w:t>
      </w:r>
      <w:r w:rsidRPr="002B283E">
        <w:rPr>
          <w:rFonts w:cs="Times New Roman"/>
          <w:szCs w:val="24"/>
        </w:rPr>
        <w:t xml:space="preserve">reasonable person to inquire whether </w:t>
      </w:r>
      <w:r w:rsidR="00935E4C">
        <w:rPr>
          <w:rFonts w:cs="Times New Roman"/>
          <w:szCs w:val="24"/>
        </w:rPr>
        <w:t xml:space="preserve">the </w:t>
      </w:r>
      <w:r w:rsidRPr="002B283E">
        <w:rPr>
          <w:rFonts w:cs="Times New Roman"/>
          <w:szCs w:val="24"/>
        </w:rPr>
        <w:t>employee is still capable of performing</w:t>
      </w:r>
      <w:r w:rsidR="00935E4C">
        <w:rPr>
          <w:rFonts w:cs="Times New Roman"/>
          <w:szCs w:val="24"/>
        </w:rPr>
        <w:t xml:space="preserve"> the</w:t>
      </w:r>
      <w:r w:rsidRPr="002B283E">
        <w:rPr>
          <w:rFonts w:cs="Times New Roman"/>
          <w:szCs w:val="24"/>
        </w:rPr>
        <w:t xml:space="preserve"> job; finding police officer exhibiting erratic behavior could be referred for fitness for duty examination); </w:t>
      </w:r>
      <w:r w:rsidRPr="002B283E">
        <w:rPr>
          <w:rFonts w:cs="Times New Roman"/>
          <w:i/>
          <w:iCs/>
          <w:szCs w:val="24"/>
        </w:rPr>
        <w:t>see also Indergard v. Georgia-Pacific Corp.</w:t>
      </w:r>
      <w:r w:rsidRPr="002B283E">
        <w:rPr>
          <w:rFonts w:cs="Times New Roman"/>
          <w:szCs w:val="24"/>
        </w:rPr>
        <w:t xml:space="preserve">, 582 F.3d 1049 (9th Cir. 2009) (defining medical examination). </w:t>
      </w:r>
    </w:p>
    <w:p w14:paraId="511DD641" w14:textId="77777777" w:rsidR="006A18E5" w:rsidRPr="002B283E" w:rsidRDefault="006A18E5" w:rsidP="002B283E">
      <w:pPr>
        <w:autoSpaceDE w:val="0"/>
        <w:autoSpaceDN w:val="0"/>
        <w:adjustRightInd w:val="0"/>
        <w:rPr>
          <w:rFonts w:cs="Times New Roman"/>
          <w:szCs w:val="24"/>
        </w:rPr>
      </w:pPr>
    </w:p>
    <w:p w14:paraId="00B14A5E" w14:textId="2FD43146" w:rsidR="006A18E5" w:rsidRPr="002B283E" w:rsidRDefault="006A18E5" w:rsidP="002B283E">
      <w:pPr>
        <w:autoSpaceDE w:val="0"/>
        <w:autoSpaceDN w:val="0"/>
        <w:adjustRightInd w:val="0"/>
        <w:rPr>
          <w:rFonts w:cs="Times New Roman"/>
          <w:szCs w:val="24"/>
        </w:rPr>
      </w:pPr>
      <w:r w:rsidRPr="002B283E">
        <w:rPr>
          <w:rFonts w:cs="Times New Roman"/>
          <w:szCs w:val="24"/>
        </w:rPr>
        <w:tab/>
        <w:t>The Supreme Court has recognized that the “direct threat” affirmative defense (</w:t>
      </w:r>
      <w:r w:rsidRPr="002B283E">
        <w:rPr>
          <w:rFonts w:cs="Times New Roman"/>
          <w:i/>
          <w:iCs/>
          <w:szCs w:val="24"/>
        </w:rPr>
        <w:t>i.e</w:t>
      </w:r>
      <w:r w:rsidRPr="002B283E">
        <w:rPr>
          <w:rFonts w:cs="Times New Roman"/>
          <w:szCs w:val="24"/>
        </w:rPr>
        <w:t>., whether an employee poses a threat to others or to the employee himself or herself) is consistent with</w:t>
      </w:r>
      <w:r w:rsidR="00935E4C">
        <w:rPr>
          <w:rFonts w:cs="Times New Roman"/>
          <w:szCs w:val="24"/>
        </w:rPr>
        <w:t xml:space="preserve"> the</w:t>
      </w:r>
      <w:r w:rsidRPr="002B283E">
        <w:rPr>
          <w:rFonts w:cs="Times New Roman"/>
          <w:szCs w:val="24"/>
        </w:rPr>
        <w:t xml:space="preserve"> “business necessity” principles encompassed in the ADA (§ 12113) and the EEOC regulations (29 C.F.R. § 1630.15(b)(2) (2001). </w:t>
      </w:r>
      <w:r w:rsidRPr="002B283E">
        <w:rPr>
          <w:rFonts w:cs="Times New Roman"/>
          <w:i/>
          <w:iCs/>
          <w:szCs w:val="24"/>
        </w:rPr>
        <w:t>Chevron U.S.A., Inc. v. Echazabal</w:t>
      </w:r>
      <w:r w:rsidRPr="00290ECB">
        <w:rPr>
          <w:rFonts w:cs="Times New Roman"/>
          <w:szCs w:val="24"/>
        </w:rPr>
        <w:t>,</w:t>
      </w:r>
      <w:r w:rsidRPr="002B283E">
        <w:rPr>
          <w:rFonts w:cs="Times New Roman"/>
          <w:szCs w:val="24"/>
        </w:rPr>
        <w:t xml:space="preserve"> 536 U.S. 73, 76-77 (2002).</w:t>
      </w:r>
    </w:p>
    <w:p w14:paraId="11FE1123" w14:textId="77777777" w:rsidR="006A18E5" w:rsidRPr="002B283E" w:rsidRDefault="006A18E5" w:rsidP="002B283E">
      <w:pPr>
        <w:jc w:val="right"/>
        <w:rPr>
          <w:rFonts w:cs="Times New Roman"/>
          <w:i/>
          <w:iCs/>
          <w:szCs w:val="24"/>
        </w:rPr>
      </w:pPr>
      <w:r w:rsidRPr="002B283E">
        <w:rPr>
          <w:rFonts w:cs="Times New Roman"/>
          <w:i/>
          <w:iCs/>
          <w:szCs w:val="24"/>
        </w:rPr>
        <w:t>Revised March 2024</w:t>
      </w:r>
    </w:p>
    <w:p w14:paraId="3AEAC4A9" w14:textId="77777777" w:rsidR="002378BF" w:rsidRPr="002B283E" w:rsidRDefault="006A4CD7" w:rsidP="00FF121D">
      <w:pPr>
        <w:pStyle w:val="Heading2"/>
      </w:pPr>
      <w:r w:rsidRPr="002B283E">
        <w:br w:type="page"/>
      </w:r>
      <w:bookmarkStart w:id="319" w:name="_Toc117512516"/>
      <w:bookmarkStart w:id="320" w:name="_Toc221525259"/>
      <w:r w:rsidR="002378BF" w:rsidRPr="002B283E">
        <w:lastRenderedPageBreak/>
        <w:t>12.12 ADA—Defenses—Direct Threat</w:t>
      </w:r>
      <w:bookmarkEnd w:id="319"/>
      <w:bookmarkEnd w:id="320"/>
    </w:p>
    <w:p w14:paraId="5B8767FA" w14:textId="77777777" w:rsidR="002378BF" w:rsidRPr="002B283E" w:rsidRDefault="002378BF" w:rsidP="002B283E">
      <w:pPr>
        <w:rPr>
          <w:rFonts w:cs="Times New Roman"/>
          <w:szCs w:val="24"/>
        </w:rPr>
      </w:pPr>
    </w:p>
    <w:p w14:paraId="74ACC0D4" w14:textId="5C8AE0DC" w:rsidR="002378BF" w:rsidRPr="002B283E" w:rsidRDefault="002378BF" w:rsidP="002B283E">
      <w:pPr>
        <w:autoSpaceDE w:val="0"/>
        <w:autoSpaceDN w:val="0"/>
        <w:adjustRightInd w:val="0"/>
        <w:rPr>
          <w:rFonts w:cs="Times New Roman"/>
          <w:szCs w:val="24"/>
        </w:rPr>
      </w:pPr>
      <w:r w:rsidRPr="002B283E">
        <w:rPr>
          <w:rFonts w:cs="Times New Roman"/>
          <w:szCs w:val="24"/>
        </w:rPr>
        <w:tab/>
        <w:t>It is a defense to the plaintiff’s ADA claim if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posed a direct threat to the health and safety of others [or if the requirements of the job would pose a direct threat to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may require, as a qualification for the position, that an individual not pose a “direct threat” to the health or safety of [others] [himself] [herself] [</w:t>
      </w:r>
      <w:r w:rsidRPr="002B283E">
        <w:rPr>
          <w:rFonts w:cs="Times New Roman"/>
          <w:i/>
          <w:iCs/>
          <w:szCs w:val="24"/>
          <w:u w:val="single"/>
        </w:rPr>
        <w:t>other pronoun</w:t>
      </w:r>
      <w:r w:rsidRPr="002B283E">
        <w:rPr>
          <w:rFonts w:cs="Times New Roman"/>
          <w:szCs w:val="24"/>
        </w:rPr>
        <w:t>] in the workplace. A health or safety risk can only be considered if it is a significant risk of substantial harm. Assessment of the existence of a direct threat must be based on valid and objective evidence and not speculation.</w:t>
      </w:r>
    </w:p>
    <w:p w14:paraId="226E6B25" w14:textId="77777777" w:rsidR="002378BF" w:rsidRPr="002B283E" w:rsidRDefault="002378BF" w:rsidP="002B283E">
      <w:pPr>
        <w:autoSpaceDE w:val="0"/>
        <w:autoSpaceDN w:val="0"/>
        <w:adjustRightInd w:val="0"/>
        <w:rPr>
          <w:rFonts w:cs="Times New Roman"/>
          <w:szCs w:val="24"/>
        </w:rPr>
      </w:pPr>
    </w:p>
    <w:p w14:paraId="0111341A" w14:textId="1A94BC9D"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 xml:space="preserve">claiming the “direct threat” defense must prove by a preponderance of the evidence that the plaintiff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posed a direct threat to the health or safety of [others] [himself] [herself] [</w:t>
      </w:r>
      <w:r w:rsidRPr="002B283E">
        <w:rPr>
          <w:rFonts w:cs="Times New Roman"/>
          <w:i/>
          <w:iCs/>
          <w:szCs w:val="24"/>
          <w:u w:val="single"/>
        </w:rPr>
        <w:t>other pronoun</w:t>
      </w:r>
      <w:r w:rsidRPr="002B283E">
        <w:rPr>
          <w:rFonts w:cs="Times New Roman"/>
          <w:szCs w:val="24"/>
        </w:rPr>
        <w:t>]</w:t>
      </w:r>
      <w:r w:rsidR="007A0652">
        <w:rPr>
          <w:rFonts w:cs="Times New Roman"/>
          <w:szCs w:val="24"/>
        </w:rPr>
        <w:t xml:space="preserve"> </w:t>
      </w:r>
      <w:r w:rsidRPr="002B283E">
        <w:rPr>
          <w:rFonts w:cs="Times New Roman"/>
          <w:szCs w:val="24"/>
        </w:rPr>
        <w:t>that could not be eliminated by a reasonable accommodation.</w:t>
      </w:r>
    </w:p>
    <w:p w14:paraId="0C086BC4" w14:textId="77777777" w:rsidR="002378BF" w:rsidRPr="002B283E" w:rsidRDefault="002378BF" w:rsidP="002B283E">
      <w:pPr>
        <w:autoSpaceDE w:val="0"/>
        <w:autoSpaceDN w:val="0"/>
        <w:adjustRightInd w:val="0"/>
        <w:rPr>
          <w:rFonts w:cs="Times New Roman"/>
          <w:szCs w:val="24"/>
        </w:rPr>
      </w:pPr>
    </w:p>
    <w:p w14:paraId="3A1AF906" w14:textId="4D359E4C" w:rsidR="002378BF" w:rsidRPr="002B283E" w:rsidRDefault="002378BF" w:rsidP="002B283E">
      <w:pPr>
        <w:autoSpaceDE w:val="0"/>
        <w:autoSpaceDN w:val="0"/>
        <w:adjustRightInd w:val="0"/>
        <w:rPr>
          <w:rFonts w:cs="Times New Roman"/>
          <w:szCs w:val="24"/>
        </w:rPr>
      </w:pPr>
      <w:r w:rsidRPr="002B283E">
        <w:rPr>
          <w:rFonts w:cs="Times New Roman"/>
          <w:szCs w:val="24"/>
        </w:rPr>
        <w:tab/>
        <w:t>Factors that you should consider in determining whether an individual poses a direct threat to the health and safety of [others] [himself] [herself] [</w:t>
      </w:r>
      <w:r w:rsidRPr="002B283E">
        <w:rPr>
          <w:rFonts w:cs="Times New Roman"/>
          <w:i/>
          <w:iCs/>
          <w:szCs w:val="24"/>
          <w:u w:val="single"/>
        </w:rPr>
        <w:t>other pronoun</w:t>
      </w:r>
      <w:r w:rsidRPr="002B283E">
        <w:rPr>
          <w:rFonts w:cs="Times New Roman"/>
          <w:szCs w:val="24"/>
        </w:rPr>
        <w:t>] are:</w:t>
      </w:r>
    </w:p>
    <w:p w14:paraId="37D030B6" w14:textId="77777777" w:rsidR="002378BF" w:rsidRPr="002B283E" w:rsidRDefault="002378BF" w:rsidP="002B283E">
      <w:pPr>
        <w:autoSpaceDE w:val="0"/>
        <w:autoSpaceDN w:val="0"/>
        <w:adjustRightInd w:val="0"/>
        <w:rPr>
          <w:rFonts w:cs="Times New Roman"/>
          <w:szCs w:val="24"/>
        </w:rPr>
      </w:pPr>
    </w:p>
    <w:p w14:paraId="48E989E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the nature and severity of the potential harm;</w:t>
      </w:r>
    </w:p>
    <w:p w14:paraId="425BA627" w14:textId="77777777" w:rsidR="002378BF" w:rsidRPr="002B283E" w:rsidRDefault="002378BF" w:rsidP="002B283E">
      <w:pPr>
        <w:autoSpaceDE w:val="0"/>
        <w:autoSpaceDN w:val="0"/>
        <w:adjustRightInd w:val="0"/>
        <w:ind w:left="1440" w:hanging="720"/>
        <w:rPr>
          <w:rFonts w:cs="Times New Roman"/>
          <w:szCs w:val="24"/>
        </w:rPr>
      </w:pPr>
    </w:p>
    <w:p w14:paraId="5101F418"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duration of the potential harm;</w:t>
      </w:r>
    </w:p>
    <w:p w14:paraId="52FE12F6" w14:textId="77777777" w:rsidR="002378BF" w:rsidRPr="002B283E" w:rsidRDefault="002378BF" w:rsidP="002B283E">
      <w:pPr>
        <w:autoSpaceDE w:val="0"/>
        <w:autoSpaceDN w:val="0"/>
        <w:adjustRightInd w:val="0"/>
        <w:ind w:left="1440" w:hanging="720"/>
        <w:rPr>
          <w:rFonts w:cs="Times New Roman"/>
          <w:szCs w:val="24"/>
        </w:rPr>
      </w:pPr>
    </w:p>
    <w:p w14:paraId="782A43D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imminence of the potential harm; and</w:t>
      </w:r>
    </w:p>
    <w:p w14:paraId="0878FB67" w14:textId="77777777" w:rsidR="002378BF" w:rsidRPr="002B283E" w:rsidRDefault="002378BF" w:rsidP="002B283E">
      <w:pPr>
        <w:autoSpaceDE w:val="0"/>
        <w:autoSpaceDN w:val="0"/>
        <w:adjustRightInd w:val="0"/>
        <w:ind w:left="1440" w:hanging="720"/>
        <w:rPr>
          <w:rFonts w:cs="Times New Roman"/>
          <w:szCs w:val="24"/>
        </w:rPr>
      </w:pPr>
    </w:p>
    <w:p w14:paraId="24515ABD"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probability of the harm occurring.</w:t>
      </w:r>
    </w:p>
    <w:p w14:paraId="6012C09A" w14:textId="77777777" w:rsidR="002378BF" w:rsidRPr="002B283E" w:rsidRDefault="002378BF" w:rsidP="002B283E">
      <w:pPr>
        <w:autoSpaceDE w:val="0"/>
        <w:autoSpaceDN w:val="0"/>
        <w:adjustRightInd w:val="0"/>
        <w:rPr>
          <w:rFonts w:cs="Times New Roman"/>
          <w:szCs w:val="24"/>
        </w:rPr>
      </w:pPr>
    </w:p>
    <w:p w14:paraId="4A73B9C6" w14:textId="1F370B3A"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4AAB500" w14:textId="77777777" w:rsidR="002378BF" w:rsidRPr="002B283E" w:rsidRDefault="002378BF" w:rsidP="002B283E">
      <w:pPr>
        <w:rPr>
          <w:rFonts w:cs="Times New Roman"/>
          <w:szCs w:val="24"/>
        </w:rPr>
      </w:pPr>
    </w:p>
    <w:p w14:paraId="33EE9333" w14:textId="77777777" w:rsidR="002378BF" w:rsidRPr="002B283E" w:rsidRDefault="002378BF" w:rsidP="002B283E">
      <w:pPr>
        <w:autoSpaceDE w:val="0"/>
        <w:autoSpaceDN w:val="0"/>
        <w:adjustRightInd w:val="0"/>
        <w:jc w:val="center"/>
        <w:rPr>
          <w:rFonts w:cs="Times New Roman"/>
          <w:szCs w:val="24"/>
        </w:rPr>
      </w:pPr>
      <w:r w:rsidRPr="002B283E">
        <w:rPr>
          <w:rFonts w:cs="Times New Roman"/>
          <w:b/>
          <w:bCs/>
          <w:szCs w:val="24"/>
        </w:rPr>
        <w:t>Comment</w:t>
      </w:r>
    </w:p>
    <w:p w14:paraId="6291C8F7" w14:textId="77777777" w:rsidR="002378BF" w:rsidRPr="002B283E" w:rsidRDefault="002378BF" w:rsidP="002B283E">
      <w:pPr>
        <w:rPr>
          <w:rFonts w:cs="Times New Roman"/>
          <w:szCs w:val="24"/>
        </w:rPr>
      </w:pPr>
    </w:p>
    <w:p w14:paraId="0DD7A9D7" w14:textId="5FEB1BD1" w:rsidR="002378BF" w:rsidRPr="002B283E" w:rsidRDefault="002378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12111(3) (defining “direct threat”)</w:t>
      </w:r>
      <w:r w:rsidR="00290ECB">
        <w:rPr>
          <w:rFonts w:cs="Times New Roman"/>
          <w:szCs w:val="24"/>
        </w:rPr>
        <w:t>;</w:t>
      </w:r>
      <w:r w:rsidRPr="002B283E">
        <w:rPr>
          <w:rFonts w:cs="Times New Roman"/>
          <w:szCs w:val="24"/>
        </w:rPr>
        <w:t xml:space="preserve"> 12113(b) (providing that a qualification standard can include the condition that a person not pose a direct threat); </w:t>
      </w:r>
      <w:r w:rsidRPr="002B283E">
        <w:rPr>
          <w:rFonts w:cs="Times New Roman"/>
          <w:i/>
          <w:iCs/>
          <w:szCs w:val="24"/>
        </w:rPr>
        <w:t>Sch</w:t>
      </w:r>
      <w:r w:rsidR="00935E4C">
        <w:rPr>
          <w:rFonts w:cs="Times New Roman"/>
          <w:i/>
          <w:iCs/>
          <w:szCs w:val="24"/>
        </w:rPr>
        <w:t>.</w:t>
      </w:r>
      <w:r w:rsidRPr="002B283E">
        <w:rPr>
          <w:rFonts w:cs="Times New Roman"/>
          <w:i/>
          <w:iCs/>
          <w:szCs w:val="24"/>
        </w:rPr>
        <w:t xml:space="preserve"> Bd. of Nassau Cnty. v. Arline</w:t>
      </w:r>
      <w:r w:rsidRPr="002B283E">
        <w:rPr>
          <w:rFonts w:cs="Times New Roman"/>
          <w:szCs w:val="24"/>
        </w:rPr>
        <w:t>, 480 U.S. 273 (1987) (addressing a claim under the Rehabilitation Act and providing criteria for what is considered a direct threat).</w:t>
      </w:r>
    </w:p>
    <w:p w14:paraId="259B451E" w14:textId="77777777" w:rsidR="002378BF" w:rsidRPr="002B283E" w:rsidRDefault="002378BF" w:rsidP="002B283E">
      <w:pPr>
        <w:autoSpaceDE w:val="0"/>
        <w:autoSpaceDN w:val="0"/>
        <w:adjustRightInd w:val="0"/>
        <w:rPr>
          <w:rFonts w:cs="Times New Roman"/>
          <w:szCs w:val="24"/>
        </w:rPr>
      </w:pPr>
    </w:p>
    <w:p w14:paraId="50B76996"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Because an employee who makes serious and credible threats to kill coworkers is not a qualified individual, an employer is not required to invoke the direct threat defense. </w:t>
      </w:r>
      <w:r w:rsidRPr="002B283E">
        <w:rPr>
          <w:rFonts w:cs="Times New Roman"/>
          <w:i/>
          <w:iCs/>
          <w:szCs w:val="24"/>
        </w:rPr>
        <w:t xml:space="preserve">See </w:t>
      </w:r>
      <w:r w:rsidRPr="002B283E">
        <w:rPr>
          <w:rFonts w:cs="Times New Roman"/>
          <w:szCs w:val="24"/>
        </w:rPr>
        <w:t xml:space="preserve">Instruction 12.5 (ADA—Qualified Individual); </w:t>
      </w:r>
      <w:r w:rsidRPr="002B283E">
        <w:rPr>
          <w:rFonts w:cs="Times New Roman"/>
          <w:i/>
          <w:iCs/>
          <w:szCs w:val="24"/>
        </w:rPr>
        <w:t>Mayo v. PCC Structurals, Inc.</w:t>
      </w:r>
      <w:r w:rsidRPr="002B283E">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2B283E">
        <w:rPr>
          <w:rFonts w:cs="Times New Roman"/>
          <w:i/>
          <w:iCs/>
          <w:szCs w:val="24"/>
        </w:rPr>
        <w:t>Curley v. City of North Las Vegas</w:t>
      </w:r>
      <w:r w:rsidRPr="002B283E">
        <w:rPr>
          <w:rFonts w:cs="Times New Roman"/>
          <w:szCs w:val="24"/>
        </w:rPr>
        <w:t>, 772 F.3d 629, 632-33 (9th Cir. 2014).</w:t>
      </w:r>
    </w:p>
    <w:p w14:paraId="275A8998" w14:textId="77777777" w:rsidR="002378BF" w:rsidRPr="002B283E" w:rsidRDefault="002378BF" w:rsidP="002B283E">
      <w:pPr>
        <w:autoSpaceDE w:val="0"/>
        <w:autoSpaceDN w:val="0"/>
        <w:adjustRightInd w:val="0"/>
        <w:rPr>
          <w:rFonts w:cs="Times New Roman"/>
          <w:szCs w:val="24"/>
        </w:rPr>
      </w:pPr>
    </w:p>
    <w:p w14:paraId="24AAF2D5"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r>
    </w:p>
    <w:p w14:paraId="575D477C" w14:textId="10DF0BE8" w:rsidR="002378BF" w:rsidRPr="002B283E" w:rsidRDefault="002378BF" w:rsidP="002B283E">
      <w:pPr>
        <w:autoSpaceDE w:val="0"/>
        <w:autoSpaceDN w:val="0"/>
        <w:adjustRightInd w:val="0"/>
        <w:rPr>
          <w:rFonts w:cs="Times New Roman"/>
          <w:szCs w:val="24"/>
        </w:rPr>
      </w:pPr>
      <w:r w:rsidRPr="002B283E">
        <w:rPr>
          <w:rFonts w:cs="Times New Roman"/>
          <w:szCs w:val="24"/>
        </w:rPr>
        <w:t xml:space="preserve">This defense applies when the direct threat is to the disabled individual. </w:t>
      </w:r>
      <w:r w:rsidRPr="002B283E">
        <w:rPr>
          <w:rFonts w:cs="Times New Roman"/>
          <w:i/>
          <w:iCs/>
          <w:szCs w:val="24"/>
        </w:rPr>
        <w:t>See Chevron U.S.A., Inc. v. Echazabal</w:t>
      </w:r>
      <w:r w:rsidRPr="002B283E">
        <w:rPr>
          <w:rFonts w:cs="Times New Roman"/>
          <w:szCs w:val="24"/>
        </w:rPr>
        <w:t xml:space="preserve">, 536 U.S. 73, 76-77 (2002) (recognizing the availability of a “direct threat” defense when toxins at </w:t>
      </w:r>
      <w:r w:rsidR="00935E4C">
        <w:rPr>
          <w:rFonts w:cs="Times New Roman"/>
          <w:szCs w:val="24"/>
        </w:rPr>
        <w:t xml:space="preserve">an </w:t>
      </w:r>
      <w:r w:rsidRPr="002B283E">
        <w:rPr>
          <w:rFonts w:cs="Times New Roman"/>
          <w:szCs w:val="24"/>
        </w:rPr>
        <w:t>oil refinery would exacerbate the plaintiff’s liver condition).</w:t>
      </w:r>
    </w:p>
    <w:p w14:paraId="308C53E3" w14:textId="77777777" w:rsidR="002378BF" w:rsidRPr="002B283E" w:rsidRDefault="002378BF" w:rsidP="002B283E">
      <w:pPr>
        <w:rPr>
          <w:rFonts w:cs="Times New Roman"/>
          <w:szCs w:val="24"/>
        </w:rPr>
      </w:pPr>
    </w:p>
    <w:p w14:paraId="127AFE44" w14:textId="4EDCE938" w:rsidR="002378BF" w:rsidRPr="002B283E" w:rsidRDefault="002378BF" w:rsidP="002B283E">
      <w:pPr>
        <w:jc w:val="right"/>
        <w:rPr>
          <w:rFonts w:cs="Times New Roman"/>
          <w:i/>
          <w:iCs/>
          <w:szCs w:val="24"/>
        </w:rPr>
      </w:pPr>
      <w:r w:rsidRPr="002B283E">
        <w:rPr>
          <w:rFonts w:cs="Times New Roman"/>
          <w:i/>
          <w:iCs/>
          <w:szCs w:val="24"/>
        </w:rPr>
        <w:t>Revised March 2024</w:t>
      </w:r>
    </w:p>
    <w:p w14:paraId="0BEBF88A" w14:textId="77777777" w:rsidR="002378BF" w:rsidRPr="002B283E" w:rsidRDefault="002378BF" w:rsidP="002B283E">
      <w:pPr>
        <w:rPr>
          <w:rFonts w:cs="Times New Roman"/>
          <w:i/>
          <w:iCs/>
          <w:szCs w:val="24"/>
        </w:rPr>
      </w:pPr>
      <w:r w:rsidRPr="002B283E">
        <w:rPr>
          <w:rFonts w:cs="Times New Roman"/>
          <w:i/>
          <w:iCs/>
          <w:szCs w:val="24"/>
        </w:rPr>
        <w:br w:type="page"/>
      </w:r>
    </w:p>
    <w:p w14:paraId="221D09AD" w14:textId="77777777" w:rsidR="001B2B85" w:rsidRPr="002B283E" w:rsidRDefault="001B2B85" w:rsidP="00FF121D">
      <w:pPr>
        <w:pStyle w:val="Heading2"/>
      </w:pPr>
      <w:bookmarkStart w:id="321" w:name="_Toc221525260"/>
      <w:r w:rsidRPr="002B283E">
        <w:lastRenderedPageBreak/>
        <w:t>12.13 ADA—Defenses—Good Faith in Interactive Process</w:t>
      </w:r>
      <w:bookmarkEnd w:id="321"/>
    </w:p>
    <w:p w14:paraId="4F08EEC4" w14:textId="77777777" w:rsidR="001B2B85" w:rsidRPr="002B283E" w:rsidRDefault="001B2B85" w:rsidP="002B283E">
      <w:pPr>
        <w:rPr>
          <w:rFonts w:cs="Times New Roman"/>
          <w:szCs w:val="24"/>
        </w:rPr>
      </w:pPr>
    </w:p>
    <w:p w14:paraId="24BCA288" w14:textId="77777777" w:rsidR="001B2B85" w:rsidRPr="002B283E" w:rsidRDefault="001B2B85" w:rsidP="002B283E">
      <w:pPr>
        <w:autoSpaceDE w:val="0"/>
        <w:autoSpaceDN w:val="0"/>
        <w:adjustRightInd w:val="0"/>
        <w:rPr>
          <w:rFonts w:cs="Times New Roman"/>
          <w:szCs w:val="24"/>
        </w:rPr>
      </w:pPr>
      <w:r w:rsidRPr="002B283E">
        <w:rPr>
          <w:rFonts w:cs="Times New Roman"/>
          <w:szCs w:val="24"/>
        </w:rPr>
        <w:tab/>
        <w:t>Good faith is a defense to a claim seeking damages for discrimination under the ADA where the alleged discriminatory practice involves the provision of a reasonable accommodation.</w:t>
      </w:r>
    </w:p>
    <w:p w14:paraId="73B40043" w14:textId="77777777" w:rsidR="001B2B85" w:rsidRPr="002B283E" w:rsidRDefault="001B2B85" w:rsidP="002B283E">
      <w:pPr>
        <w:autoSpaceDE w:val="0"/>
        <w:autoSpaceDN w:val="0"/>
        <w:adjustRightInd w:val="0"/>
        <w:rPr>
          <w:rFonts w:cs="Times New Roman"/>
          <w:szCs w:val="24"/>
        </w:rPr>
      </w:pPr>
    </w:p>
    <w:p w14:paraId="5B7B07C5" w14:textId="4BC80447"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To prevail on this defense,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must prove, by a preponderance of the evidence,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demonstrated good faith efforts, in consultation with the person who informed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that accommodation is needed, to identify and make a reasonable accommodation that would provide that person with an equally effective opportunity and would not cause an undue hardship on the operation of the business.</w:t>
      </w:r>
    </w:p>
    <w:p w14:paraId="19E5ED1B" w14:textId="77777777" w:rsidR="001B2B85" w:rsidRPr="002B283E" w:rsidRDefault="001B2B85" w:rsidP="002B283E">
      <w:pPr>
        <w:autoSpaceDE w:val="0"/>
        <w:autoSpaceDN w:val="0"/>
        <w:adjustRightInd w:val="0"/>
        <w:rPr>
          <w:rFonts w:cs="Times New Roman"/>
          <w:szCs w:val="24"/>
        </w:rPr>
      </w:pPr>
    </w:p>
    <w:p w14:paraId="24C5E4CD" w14:textId="349E7CDF"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the burden of proof has been proved, your verdict should be for the plaintiff</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 xml:space="preserve">, unless you also find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proved each of the elements of this affirmative defense, in which event your verdict should be for the defendant</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w:t>
      </w:r>
    </w:p>
    <w:p w14:paraId="56E74498" w14:textId="77777777" w:rsidR="001B2B85" w:rsidRPr="002B283E" w:rsidRDefault="001B2B85" w:rsidP="002B283E">
      <w:pPr>
        <w:autoSpaceDE w:val="0"/>
        <w:autoSpaceDN w:val="0"/>
        <w:adjustRightInd w:val="0"/>
        <w:rPr>
          <w:rFonts w:cs="Times New Roman"/>
          <w:szCs w:val="24"/>
        </w:rPr>
      </w:pPr>
    </w:p>
    <w:p w14:paraId="013F56EF" w14:textId="77777777" w:rsidR="001B2B85" w:rsidRPr="002B283E" w:rsidRDefault="001B2B85" w:rsidP="002B283E">
      <w:pPr>
        <w:autoSpaceDE w:val="0"/>
        <w:autoSpaceDN w:val="0"/>
        <w:adjustRightInd w:val="0"/>
        <w:jc w:val="center"/>
        <w:rPr>
          <w:rFonts w:cs="Times New Roman"/>
          <w:szCs w:val="24"/>
        </w:rPr>
      </w:pPr>
      <w:r w:rsidRPr="002B283E">
        <w:rPr>
          <w:rFonts w:cs="Times New Roman"/>
          <w:b/>
          <w:bCs/>
          <w:szCs w:val="24"/>
        </w:rPr>
        <w:t>Comment</w:t>
      </w:r>
    </w:p>
    <w:p w14:paraId="75F6CEE3" w14:textId="77777777" w:rsidR="001B2B85" w:rsidRPr="002B283E" w:rsidRDefault="001B2B85" w:rsidP="002B283E">
      <w:pPr>
        <w:autoSpaceDE w:val="0"/>
        <w:autoSpaceDN w:val="0"/>
        <w:adjustRightInd w:val="0"/>
        <w:rPr>
          <w:rFonts w:cs="Times New Roman"/>
          <w:szCs w:val="24"/>
        </w:rPr>
      </w:pPr>
    </w:p>
    <w:p w14:paraId="186BBFEC" w14:textId="77777777" w:rsidR="001B2B85" w:rsidRPr="002B283E" w:rsidRDefault="001B2B85" w:rsidP="008A04C2">
      <w:pPr>
        <w:autoSpaceDE w:val="0"/>
        <w:autoSpaceDN w:val="0"/>
        <w:adjustRightInd w:val="0"/>
        <w:ind w:left="720" w:right="720"/>
        <w:jc w:val="both"/>
        <w:rPr>
          <w:rFonts w:cs="Times New Roman"/>
          <w:szCs w:val="24"/>
        </w:rPr>
      </w:pPr>
      <w:r w:rsidRPr="002B283E">
        <w:rPr>
          <w:rFonts w:cs="Times New Roman"/>
          <w:szCs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14:paraId="78AE7D80" w14:textId="77777777" w:rsidR="001B2B85" w:rsidRPr="002B283E" w:rsidRDefault="001B2B85" w:rsidP="002B283E">
      <w:pPr>
        <w:autoSpaceDE w:val="0"/>
        <w:autoSpaceDN w:val="0"/>
        <w:adjustRightInd w:val="0"/>
        <w:rPr>
          <w:rFonts w:cs="Times New Roman"/>
          <w:szCs w:val="24"/>
        </w:rPr>
      </w:pPr>
    </w:p>
    <w:p w14:paraId="59117D40" w14:textId="57D879D5" w:rsidR="001B2B85" w:rsidRPr="002B283E" w:rsidRDefault="001B2B85" w:rsidP="002B283E">
      <w:pPr>
        <w:autoSpaceDE w:val="0"/>
        <w:autoSpaceDN w:val="0"/>
        <w:adjustRightInd w:val="0"/>
        <w:rPr>
          <w:rFonts w:cs="Times New Roman"/>
          <w:szCs w:val="24"/>
        </w:rPr>
      </w:pPr>
      <w:r w:rsidRPr="002B283E">
        <w:rPr>
          <w:rFonts w:cs="Times New Roman"/>
          <w:szCs w:val="24"/>
        </w:rPr>
        <w:t>42 U.S.C. § 1981a(a)(3).</w:t>
      </w:r>
    </w:p>
    <w:p w14:paraId="493344A2" w14:textId="5D6D62BA" w:rsidR="000E67A3" w:rsidRPr="002B283E" w:rsidRDefault="000E67A3" w:rsidP="002B283E">
      <w:pPr>
        <w:jc w:val="right"/>
        <w:rPr>
          <w:rFonts w:cs="Times New Roman"/>
          <w:i/>
          <w:iCs/>
          <w:szCs w:val="24"/>
        </w:rPr>
      </w:pPr>
    </w:p>
    <w:p w14:paraId="48716551" w14:textId="77777777" w:rsidR="000E67A3" w:rsidRPr="002B283E" w:rsidRDefault="000E67A3" w:rsidP="002B283E">
      <w:pPr>
        <w:rPr>
          <w:rFonts w:cs="Times New Roman"/>
          <w:i/>
          <w:iCs/>
          <w:szCs w:val="24"/>
        </w:rPr>
      </w:pPr>
      <w:r w:rsidRPr="002B283E">
        <w:rPr>
          <w:rFonts w:cs="Times New Roman"/>
          <w:i/>
          <w:iCs/>
          <w:szCs w:val="24"/>
        </w:rPr>
        <w:br w:type="page"/>
      </w:r>
    </w:p>
    <w:p w14:paraId="0832B547" w14:textId="77777777" w:rsidR="00AB5E15" w:rsidRPr="002B283E" w:rsidRDefault="00AB5E15" w:rsidP="00FF121D">
      <w:pPr>
        <w:pStyle w:val="Heading2"/>
      </w:pPr>
      <w:bookmarkStart w:id="322" w:name="_Toc117512517"/>
      <w:bookmarkStart w:id="323" w:name="_Toc221525261"/>
      <w:r w:rsidRPr="002B283E">
        <w:lastRenderedPageBreak/>
        <w:t>12.14 ADA—Damages</w:t>
      </w:r>
      <w:bookmarkEnd w:id="322"/>
      <w:bookmarkEnd w:id="323"/>
    </w:p>
    <w:p w14:paraId="1C61265C" w14:textId="77777777" w:rsidR="00AB5E15" w:rsidRPr="002B283E" w:rsidRDefault="00AB5E15" w:rsidP="002B283E">
      <w:pPr>
        <w:rPr>
          <w:rFonts w:cs="Times New Roman"/>
          <w:szCs w:val="24"/>
        </w:rPr>
      </w:pPr>
    </w:p>
    <w:p w14:paraId="5609486D" w14:textId="77777777" w:rsidR="00AB5E15" w:rsidRPr="002B283E" w:rsidRDefault="00AB5E15" w:rsidP="002B283E">
      <w:pPr>
        <w:autoSpaceDE w:val="0"/>
        <w:autoSpaceDN w:val="0"/>
        <w:adjustRightInd w:val="0"/>
        <w:jc w:val="center"/>
        <w:rPr>
          <w:rFonts w:cs="Times New Roman"/>
          <w:szCs w:val="24"/>
        </w:rPr>
      </w:pPr>
      <w:r w:rsidRPr="002B283E">
        <w:rPr>
          <w:rFonts w:cs="Times New Roman"/>
          <w:b/>
          <w:bCs/>
          <w:szCs w:val="24"/>
        </w:rPr>
        <w:t>Comment</w:t>
      </w:r>
    </w:p>
    <w:p w14:paraId="3D2C4F7F" w14:textId="77777777" w:rsidR="00AB5E15" w:rsidRPr="002B283E" w:rsidRDefault="00AB5E15" w:rsidP="002B283E">
      <w:pPr>
        <w:rPr>
          <w:rFonts w:cs="Times New Roman"/>
          <w:szCs w:val="24"/>
        </w:rPr>
      </w:pPr>
    </w:p>
    <w:p w14:paraId="67F28311"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Chapter 5 (“Damages”) for damage instructions. </w:t>
      </w:r>
      <w:r w:rsidRPr="002B283E">
        <w:rPr>
          <w:rFonts w:cs="Times New Roman"/>
          <w:i/>
          <w:iCs/>
          <w:szCs w:val="24"/>
        </w:rPr>
        <w:t>See also</w:t>
      </w:r>
      <w:r w:rsidRPr="002B283E">
        <w:rPr>
          <w:rFonts w:cs="Times New Roman"/>
          <w:szCs w:val="24"/>
        </w:rPr>
        <w:t xml:space="preserve"> 42 U.S.C. § 12117(a) (applying powers, remedies, and enforcement provisions of Title VII to any person alleging employment discrimination on basis of disability).</w:t>
      </w:r>
    </w:p>
    <w:p w14:paraId="5D9B0B66" w14:textId="77777777" w:rsidR="00AB5E15" w:rsidRPr="002B283E" w:rsidRDefault="00AB5E15" w:rsidP="002B283E">
      <w:pPr>
        <w:autoSpaceDE w:val="0"/>
        <w:autoSpaceDN w:val="0"/>
        <w:adjustRightInd w:val="0"/>
        <w:rPr>
          <w:rFonts w:cs="Times New Roman"/>
          <w:szCs w:val="24"/>
        </w:rPr>
      </w:pPr>
    </w:p>
    <w:p w14:paraId="20113B4C"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 (b) (providing for recovery of compensatory and punitive damages). Indeed, </w:t>
      </w:r>
    </w:p>
    <w:p w14:paraId="501C9405" w14:textId="77777777" w:rsidR="00AB5E15" w:rsidRPr="002B283E" w:rsidRDefault="00AB5E15" w:rsidP="002B283E">
      <w:pPr>
        <w:autoSpaceDE w:val="0"/>
        <w:autoSpaceDN w:val="0"/>
        <w:adjustRightInd w:val="0"/>
        <w:rPr>
          <w:rFonts w:cs="Times New Roman"/>
          <w:szCs w:val="24"/>
        </w:rPr>
      </w:pPr>
    </w:p>
    <w:p w14:paraId="7367739B" w14:textId="5D5BFD75" w:rsidR="00AB5E15" w:rsidRPr="002B283E" w:rsidRDefault="00935E4C" w:rsidP="008A04C2">
      <w:pPr>
        <w:autoSpaceDE w:val="0"/>
        <w:autoSpaceDN w:val="0"/>
        <w:adjustRightInd w:val="0"/>
        <w:ind w:left="720" w:right="720"/>
        <w:jc w:val="both"/>
        <w:rPr>
          <w:rFonts w:cs="Times New Roman"/>
          <w:szCs w:val="24"/>
        </w:rPr>
      </w:pPr>
      <w:r>
        <w:rPr>
          <w:rFonts w:cs="Times New Roman"/>
          <w:szCs w:val="24"/>
        </w:rPr>
        <w:t>[a]</w:t>
      </w:r>
      <w:r w:rsidR="00AB5E15" w:rsidRPr="002B283E">
        <w:rPr>
          <w:rFonts w:cs="Times New Roman"/>
          <w:szCs w:val="24"/>
        </w:rPr>
        <w:t xml:space="preserve"> complaining party may recover punitive damages under this section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p>
    <w:p w14:paraId="62CB01CF" w14:textId="77777777" w:rsidR="00AB5E15" w:rsidRPr="002B283E" w:rsidRDefault="00AB5E15" w:rsidP="002B283E">
      <w:pPr>
        <w:autoSpaceDE w:val="0"/>
        <w:autoSpaceDN w:val="0"/>
        <w:adjustRightInd w:val="0"/>
        <w:rPr>
          <w:rFonts w:cs="Times New Roman"/>
          <w:szCs w:val="24"/>
        </w:rPr>
      </w:pPr>
    </w:p>
    <w:p w14:paraId="21114FD2"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 xml:space="preserve">42 U.S.C. § 1981a (b)(1). In addition, a district court may award nominal damages in an ADA retaliation claim as equitable relief. </w:t>
      </w:r>
      <w:r w:rsidRPr="002B283E">
        <w:rPr>
          <w:rFonts w:cs="Times New Roman"/>
          <w:i/>
          <w:iCs/>
          <w:szCs w:val="24"/>
        </w:rPr>
        <w:t>Bayer v. Neiman Marcus Grp., Inc</w:t>
      </w:r>
      <w:r w:rsidRPr="002B283E">
        <w:rPr>
          <w:rFonts w:cs="Times New Roman"/>
          <w:szCs w:val="24"/>
        </w:rPr>
        <w:t>., 861 F.3d 853, 874 (9th Cir. 2017).</w:t>
      </w:r>
    </w:p>
    <w:p w14:paraId="302FFB2A" w14:textId="77777777" w:rsidR="00AB5E15" w:rsidRPr="002B283E" w:rsidRDefault="00AB5E15" w:rsidP="002B283E">
      <w:pPr>
        <w:autoSpaceDE w:val="0"/>
        <w:autoSpaceDN w:val="0"/>
        <w:adjustRightInd w:val="0"/>
        <w:rPr>
          <w:rFonts w:cs="Times New Roman"/>
          <w:szCs w:val="24"/>
        </w:rPr>
      </w:pPr>
    </w:p>
    <w:p w14:paraId="3BC345DC" w14:textId="69785FF9"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1981a(b)(3) (limiting the amount of damages recoverable based on a defendant’s employee base). These limits do not apply to back pay or front pay, which are awarded under 42 U.S.C. § 2000e-5(g)(1), not 42 U.S.C. § 1981a. </w:t>
      </w:r>
      <w:r w:rsidRPr="002B283E">
        <w:rPr>
          <w:rFonts w:cs="Times New Roman"/>
          <w:i/>
          <w:iCs/>
          <w:szCs w:val="24"/>
        </w:rPr>
        <w:t>See Pollard v. E.I. du Pont de Nemours &amp; C</w:t>
      </w:r>
      <w:r w:rsidR="00935E4C">
        <w:rPr>
          <w:rFonts w:cs="Times New Roman"/>
          <w:i/>
          <w:iCs/>
          <w:szCs w:val="24"/>
        </w:rPr>
        <w:t>o.</w:t>
      </w:r>
      <w:r w:rsidRPr="002B283E">
        <w:rPr>
          <w:rFonts w:cs="Times New Roman"/>
          <w:szCs w:val="24"/>
        </w:rPr>
        <w:t>, 532 U.S. 843, 848 (2001).</w:t>
      </w:r>
    </w:p>
    <w:p w14:paraId="4D5BED53" w14:textId="77777777" w:rsidR="00AB5E15" w:rsidRPr="002B283E" w:rsidRDefault="00AB5E15" w:rsidP="002B283E">
      <w:pPr>
        <w:autoSpaceDE w:val="0"/>
        <w:autoSpaceDN w:val="0"/>
        <w:adjustRightInd w:val="0"/>
        <w:rPr>
          <w:rFonts w:cs="Times New Roman"/>
          <w:szCs w:val="24"/>
        </w:rPr>
      </w:pPr>
    </w:p>
    <w:p w14:paraId="5AAC7247"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1981a(c)(2) (requiring that limits on damages not be disclosed to the jury).</w:t>
      </w:r>
    </w:p>
    <w:p w14:paraId="24A8E191" w14:textId="77777777" w:rsidR="00AB5E15" w:rsidRPr="002B283E" w:rsidRDefault="00AB5E15" w:rsidP="002B283E">
      <w:pPr>
        <w:autoSpaceDE w:val="0"/>
        <w:autoSpaceDN w:val="0"/>
        <w:adjustRightInd w:val="0"/>
        <w:rPr>
          <w:rFonts w:cs="Times New Roman"/>
          <w:szCs w:val="24"/>
        </w:rPr>
      </w:pPr>
    </w:p>
    <w:p w14:paraId="7DE22DFF" w14:textId="17023B09" w:rsidR="00AB5E15" w:rsidRPr="002B283E" w:rsidRDefault="00AB5E15" w:rsidP="002B283E">
      <w:pPr>
        <w:autoSpaceDE w:val="0"/>
        <w:autoSpaceDN w:val="0"/>
        <w:adjustRightInd w:val="0"/>
        <w:rPr>
          <w:rFonts w:cs="Times New Roman"/>
          <w:szCs w:val="24"/>
        </w:rPr>
      </w:pPr>
      <w:r w:rsidRPr="002B283E">
        <w:rPr>
          <w:rFonts w:cs="Times New Roman"/>
          <w:szCs w:val="24"/>
        </w:rPr>
        <w:tab/>
        <w:t xml:space="preserve">The Ninth Circuit has held in the ADA context that back pay constitutes equitable relief within the discretion of the court, not the jury. </w:t>
      </w:r>
      <w:r w:rsidRPr="002B283E">
        <w:rPr>
          <w:rFonts w:cs="Times New Roman"/>
          <w:i/>
          <w:iCs/>
          <w:szCs w:val="24"/>
        </w:rPr>
        <w:t>See Lutz v. Glendale Union High Sch</w:t>
      </w:r>
      <w:r w:rsidRPr="002B283E">
        <w:rPr>
          <w:rFonts w:cs="Times New Roman"/>
          <w:szCs w:val="24"/>
        </w:rPr>
        <w:t xml:space="preserve">., 403 F.3d 1061, 1069 (9th Cir. 2005) (holding that under the ADA, “there is no right to have a jury determine the appropriate amount of back pay,” which “remains an equitable remedy to be awarded by the district court in its discretion”). Although the Ninth Circuit has not directly addressed the issue, precedent indicates that front pay is also within the discretion of the court, not the jury. In the ADA context, front pay constitutes equitable relief. </w:t>
      </w:r>
      <w:r w:rsidRPr="002B283E">
        <w:rPr>
          <w:rFonts w:cs="Times New Roman"/>
          <w:i/>
          <w:iCs/>
          <w:szCs w:val="24"/>
        </w:rPr>
        <w:t>See Bayer</w:t>
      </w:r>
      <w:r w:rsidRPr="002B283E">
        <w:rPr>
          <w:rFonts w:cs="Times New Roman"/>
          <w:szCs w:val="24"/>
        </w:rPr>
        <w:t xml:space="preserve">, 861 F.3d </w:t>
      </w:r>
      <w:r w:rsidR="00935E4C">
        <w:rPr>
          <w:rFonts w:cs="Times New Roman"/>
          <w:szCs w:val="24"/>
        </w:rPr>
        <w:t xml:space="preserve">at </w:t>
      </w:r>
      <w:r w:rsidRPr="002B283E">
        <w:rPr>
          <w:rFonts w:cs="Times New Roman"/>
          <w:szCs w:val="24"/>
        </w:rPr>
        <w:t xml:space="preserve">866 (citing </w:t>
      </w:r>
      <w:r w:rsidRPr="002B283E">
        <w:rPr>
          <w:rFonts w:cs="Times New Roman"/>
          <w:i/>
          <w:iCs/>
          <w:szCs w:val="24"/>
        </w:rPr>
        <w:t>Pollard</w:t>
      </w:r>
      <w:r w:rsidRPr="002B283E">
        <w:rPr>
          <w:rFonts w:cs="Times New Roman"/>
          <w:szCs w:val="24"/>
        </w:rPr>
        <w:t xml:space="preserve">, 532 U.S. at 849-51) (stating in the ADA context that “money damages in the form of front pay are equitable when awarded in lieu of injunctive reinstatement”). Further, in a related context, the Ninth Circuit has indicated that front pay must be decided by the court, not the jury. </w:t>
      </w:r>
      <w:r w:rsidRPr="002B283E">
        <w:rPr>
          <w:rFonts w:cs="Times New Roman"/>
          <w:i/>
          <w:iCs/>
          <w:szCs w:val="24"/>
        </w:rPr>
        <w:t>See</w:t>
      </w:r>
      <w:r w:rsidRPr="002B283E">
        <w:rPr>
          <w:rFonts w:cs="Times New Roman"/>
          <w:szCs w:val="24"/>
        </w:rPr>
        <w:t xml:space="preserve"> </w:t>
      </w:r>
      <w:r w:rsidRPr="002B283E">
        <w:rPr>
          <w:rFonts w:cs="Times New Roman"/>
          <w:i/>
          <w:iCs/>
          <w:szCs w:val="24"/>
        </w:rPr>
        <w:t>Traxler v. Multnomah County</w:t>
      </w:r>
      <w:r w:rsidRPr="002B283E">
        <w:rPr>
          <w:rFonts w:cs="Times New Roman"/>
          <w:szCs w:val="24"/>
        </w:rPr>
        <w:t xml:space="preserve">, 596 F.3d 1007, 1011-12 (9th Cir. 2010) (explaining in the context of an FMLA case that “front pay is an equitable remedy that must be determined by the court, both as to the availability of the remedy and the amount of any award” and that front pay is different from compensatory damages). A court may, however, empanel an advisory jury. </w:t>
      </w:r>
      <w:r w:rsidRPr="002B283E">
        <w:rPr>
          <w:rFonts w:cs="Times New Roman"/>
          <w:i/>
          <w:iCs/>
          <w:szCs w:val="24"/>
        </w:rPr>
        <w:t>See id</w:t>
      </w:r>
      <w:r w:rsidRPr="002B283E">
        <w:rPr>
          <w:rFonts w:cs="Times New Roman"/>
          <w:szCs w:val="24"/>
        </w:rPr>
        <w:t>. at 1013; Fed. R. Civ. P. 39(c).</w:t>
      </w:r>
    </w:p>
    <w:p w14:paraId="690B83EC" w14:textId="77777777" w:rsidR="00AB5E15" w:rsidRPr="002B283E" w:rsidRDefault="00AB5E15" w:rsidP="002B283E">
      <w:pPr>
        <w:autoSpaceDE w:val="0"/>
        <w:autoSpaceDN w:val="0"/>
        <w:adjustRightInd w:val="0"/>
        <w:rPr>
          <w:rFonts w:cs="Times New Roman"/>
          <w:szCs w:val="24"/>
        </w:rPr>
      </w:pPr>
    </w:p>
    <w:p w14:paraId="79D0F156" w14:textId="7B6DC8AA" w:rsidR="00AB5E15" w:rsidRPr="002B283E" w:rsidRDefault="00AB5E15"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 xml:space="preserve">See also </w:t>
      </w:r>
      <w:r w:rsidRPr="002B283E">
        <w:rPr>
          <w:rFonts w:cs="Times New Roman"/>
          <w:szCs w:val="24"/>
        </w:rPr>
        <w:t>Introductory Comment to Chapter 10 (“Civil Rights—Title VII—Employment Discrimination; Harassment; Retaliation”)</w:t>
      </w:r>
      <w:r w:rsidR="00935E4C">
        <w:rPr>
          <w:rFonts w:cs="Times New Roman"/>
          <w:szCs w:val="24"/>
        </w:rPr>
        <w:t>;</w:t>
      </w:r>
      <w:r w:rsidRPr="002B283E">
        <w:rPr>
          <w:rFonts w:cs="Times New Roman"/>
          <w:szCs w:val="24"/>
        </w:rPr>
        <w:t xml:space="preserve"> Introductory Comment to this chapter.</w:t>
      </w:r>
    </w:p>
    <w:p w14:paraId="5FC77311" w14:textId="77777777" w:rsidR="00AB5E15" w:rsidRPr="002B283E" w:rsidRDefault="00AB5E15" w:rsidP="002B283E">
      <w:pPr>
        <w:rPr>
          <w:rFonts w:cs="Times New Roman"/>
          <w:szCs w:val="24"/>
        </w:rPr>
      </w:pPr>
    </w:p>
    <w:p w14:paraId="019632B7" w14:textId="77777777" w:rsidR="00AB5E15" w:rsidRPr="002B283E" w:rsidRDefault="00AB5E15" w:rsidP="002B283E">
      <w:pPr>
        <w:jc w:val="right"/>
        <w:rPr>
          <w:rFonts w:cs="Times New Roman"/>
          <w:i/>
          <w:iCs/>
          <w:szCs w:val="24"/>
        </w:rPr>
      </w:pPr>
      <w:r w:rsidRPr="002B283E">
        <w:rPr>
          <w:rFonts w:cs="Times New Roman"/>
          <w:i/>
          <w:iCs/>
          <w:szCs w:val="24"/>
        </w:rPr>
        <w:t>Revised March 2024</w:t>
      </w:r>
    </w:p>
    <w:p w14:paraId="4AA28204" w14:textId="77777777" w:rsidR="00673357" w:rsidRPr="002B283E" w:rsidRDefault="00673357" w:rsidP="002B283E">
      <w:pPr>
        <w:autoSpaceDE w:val="0"/>
        <w:autoSpaceDN w:val="0"/>
        <w:adjustRightInd w:val="0"/>
        <w:rPr>
          <w:rFonts w:cs="Times New Roman"/>
          <w:szCs w:val="24"/>
        </w:rPr>
      </w:pPr>
    </w:p>
    <w:p w14:paraId="5762ABCB" w14:textId="4110C120" w:rsidR="006A4CD7" w:rsidRPr="002B283E" w:rsidRDefault="006A4CD7" w:rsidP="002B283E">
      <w:pPr>
        <w:pStyle w:val="Heading1"/>
        <w:spacing w:before="0" w:line="240" w:lineRule="auto"/>
      </w:pPr>
      <w:r w:rsidRPr="002B283E">
        <w:br w:type="page"/>
      </w:r>
      <w:bookmarkStart w:id="324" w:name="_Toc221525262"/>
      <w:r w:rsidRPr="002B283E">
        <w:lastRenderedPageBreak/>
        <w:t>13</w:t>
      </w:r>
      <w:r w:rsidR="00A87F6E">
        <w:t xml:space="preserve">. </w:t>
      </w:r>
      <w:r w:rsidRPr="002B283E">
        <w:t>LABOR (INCLUDING FAIR REPRESENTATION)</w:t>
      </w:r>
      <w:bookmarkEnd w:id="324"/>
    </w:p>
    <w:p w14:paraId="7F656A80" w14:textId="77777777" w:rsidR="006A4CD7" w:rsidRPr="002B283E" w:rsidRDefault="006A4CD7" w:rsidP="002B283E">
      <w:pPr>
        <w:rPr>
          <w:rFonts w:cs="Times New Roman"/>
          <w:szCs w:val="24"/>
        </w:rPr>
      </w:pPr>
    </w:p>
    <w:p w14:paraId="70B3B5F2"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957F216" w14:textId="77777777" w:rsidR="006A4CD7" w:rsidRPr="002B283E" w:rsidRDefault="006A4CD7" w:rsidP="002B283E">
      <w:pPr>
        <w:autoSpaceDE w:val="0"/>
        <w:autoSpaceDN w:val="0"/>
        <w:adjustRightInd w:val="0"/>
        <w:rPr>
          <w:rFonts w:cs="Times New Roman"/>
          <w:szCs w:val="24"/>
        </w:rPr>
      </w:pPr>
    </w:p>
    <w:p w14:paraId="7DEF027E" w14:textId="4393A27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13.1</w:t>
      </w:r>
      <w:r w:rsidRPr="002B283E">
        <w:rPr>
          <w:rFonts w:cs="Times New Roman"/>
          <w:szCs w:val="24"/>
        </w:rPr>
        <w:tab/>
        <w:t xml:space="preserve">Employee Claim Against Union </w:t>
      </w:r>
      <w:r w:rsidR="00D934FC" w:rsidRPr="002B283E">
        <w:rPr>
          <w:rFonts w:cs="Times New Roman"/>
          <w:szCs w:val="24"/>
        </w:rPr>
        <w:t>a</w:t>
      </w:r>
      <w:r w:rsidRPr="002B283E">
        <w:rPr>
          <w:rFonts w:cs="Times New Roman"/>
          <w:szCs w:val="24"/>
        </w:rPr>
        <w:t>nd/or Employer—Labor Management Relations Act (LMRA) § 301</w:t>
      </w:r>
      <w:r w:rsidR="00D934FC" w:rsidRPr="002B283E">
        <w:rPr>
          <w:rFonts w:cs="Times New Roman"/>
          <w:szCs w:val="24"/>
        </w:rPr>
        <w:t xml:space="preserve"> (29 U.S.C. § 185) </w:t>
      </w:r>
    </w:p>
    <w:p w14:paraId="012D9B94" w14:textId="2163098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13.2</w:t>
      </w:r>
      <w:r w:rsidRPr="002B283E">
        <w:rPr>
          <w:rFonts w:cs="Times New Roman"/>
          <w:szCs w:val="24"/>
        </w:rPr>
        <w:tab/>
        <w:t>LMRA § 301—Damages</w:t>
      </w:r>
      <w:r w:rsidR="00D934FC" w:rsidRPr="002B283E">
        <w:rPr>
          <w:rFonts w:cs="Times New Roman"/>
          <w:szCs w:val="24"/>
        </w:rPr>
        <w:t xml:space="preserve"> (29 U.S.C. § 185)</w:t>
      </w:r>
    </w:p>
    <w:p w14:paraId="4DB62EAB" w14:textId="77777777" w:rsidR="00673357" w:rsidRPr="002B283E" w:rsidRDefault="00673357" w:rsidP="002B283E">
      <w:pPr>
        <w:autoSpaceDE w:val="0"/>
        <w:autoSpaceDN w:val="0"/>
        <w:adjustRightInd w:val="0"/>
        <w:jc w:val="center"/>
        <w:rPr>
          <w:rFonts w:cs="Times New Roman"/>
          <w:szCs w:val="24"/>
        </w:rPr>
      </w:pPr>
    </w:p>
    <w:p w14:paraId="61292EE9"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03F98F51" w14:textId="77777777" w:rsidR="00673357" w:rsidRPr="002B283E" w:rsidRDefault="00673357" w:rsidP="002B283E">
      <w:pPr>
        <w:rPr>
          <w:rFonts w:cs="Times New Roman"/>
          <w:b/>
          <w:bCs/>
          <w:szCs w:val="24"/>
        </w:rPr>
      </w:pPr>
      <w:r w:rsidRPr="002B283E">
        <w:rPr>
          <w:rFonts w:cs="Times New Roman"/>
          <w:b/>
          <w:bCs/>
          <w:szCs w:val="24"/>
        </w:rPr>
        <w:br w:type="page"/>
      </w:r>
    </w:p>
    <w:p w14:paraId="17FBD4C5" w14:textId="6FEE3A5C" w:rsidR="00673357" w:rsidRPr="002B283E" w:rsidRDefault="006A4CD7" w:rsidP="002B283E">
      <w:pPr>
        <w:pStyle w:val="Heading2"/>
      </w:pPr>
      <w:bookmarkStart w:id="325" w:name="_Toc221525263"/>
      <w:r w:rsidRPr="002B283E">
        <w:lastRenderedPageBreak/>
        <w:t xml:space="preserve">13.1 </w:t>
      </w:r>
      <w:r w:rsidR="00D934FC" w:rsidRPr="002B283E">
        <w:t>Employee Claim Against Union and/or Employer—Labor Management Relations Ac</w:t>
      </w:r>
      <w:r w:rsidR="00826E77">
        <w:t xml:space="preserve">t </w:t>
      </w:r>
      <w:r w:rsidR="00D934FC" w:rsidRPr="002B283E">
        <w:t>(LMRA) § 301 (29 U.S.C. § 185)</w:t>
      </w:r>
      <w:bookmarkEnd w:id="325"/>
    </w:p>
    <w:p w14:paraId="331E41D7" w14:textId="77777777" w:rsidR="006A4CD7" w:rsidRPr="002B283E" w:rsidRDefault="006A4CD7" w:rsidP="002B283E">
      <w:pPr>
        <w:autoSpaceDE w:val="0"/>
        <w:autoSpaceDN w:val="0"/>
        <w:adjustRightInd w:val="0"/>
        <w:jc w:val="center"/>
        <w:rPr>
          <w:rFonts w:cs="Times New Roman"/>
          <w:szCs w:val="24"/>
        </w:rPr>
      </w:pPr>
    </w:p>
    <w:p w14:paraId="2AD09865" w14:textId="1D06B74F" w:rsidR="006A4CD7"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the plaintiff </w:t>
      </w:r>
      <w:r w:rsidR="00837158" w:rsidRPr="005F6DAD">
        <w:rPr>
          <w:rFonts w:cs="Times New Roman"/>
          <w:szCs w:val="24"/>
        </w:rPr>
        <w:t>[</w:t>
      </w:r>
      <w:r w:rsidR="00837158" w:rsidRPr="005F6DAD">
        <w:rPr>
          <w:rFonts w:cs="Times New Roman"/>
          <w:i/>
          <w:iCs/>
          <w:szCs w:val="24"/>
          <w:u w:val="single"/>
        </w:rPr>
        <w:t>name</w:t>
      </w:r>
      <w:r w:rsidR="00837158" w:rsidRPr="005F6DAD">
        <w:rPr>
          <w:rFonts w:cs="Times New Roman"/>
          <w:szCs w:val="24"/>
        </w:rPr>
        <w:t>]</w:t>
      </w:r>
      <w:r w:rsidR="00837158" w:rsidRPr="00E202F5">
        <w:t xml:space="preserve"> </w:t>
      </w:r>
      <w:r w:rsidRPr="002B283E">
        <w:rPr>
          <w:rFonts w:cs="Times New Roman"/>
          <w:szCs w:val="24"/>
        </w:rPr>
        <w:t>must prove each of the following by a preponderance of the evidence:</w:t>
      </w:r>
    </w:p>
    <w:p w14:paraId="1F731284" w14:textId="77777777" w:rsidR="006A4CD7" w:rsidRPr="002B283E" w:rsidRDefault="006A4CD7" w:rsidP="002B283E">
      <w:pPr>
        <w:autoSpaceDE w:val="0"/>
        <w:autoSpaceDN w:val="0"/>
        <w:adjustRightInd w:val="0"/>
        <w:rPr>
          <w:rFonts w:cs="Times New Roman"/>
          <w:szCs w:val="24"/>
        </w:rPr>
      </w:pPr>
    </w:p>
    <w:p w14:paraId="65ECEE26" w14:textId="25B3022E" w:rsidR="005B1CCE" w:rsidRDefault="00837158" w:rsidP="00612755">
      <w:pPr>
        <w:shd w:val="clear" w:color="auto" w:fill="FFFFFF"/>
        <w:ind w:firstLine="720"/>
        <w:rPr>
          <w:rFonts w:eastAsia="Times New Roman" w:cs="Times New Roman"/>
          <w:szCs w:val="24"/>
        </w:rPr>
      </w:pPr>
      <w:r>
        <w:rPr>
          <w:rFonts w:cs="Times New Roman"/>
          <w:szCs w:val="24"/>
        </w:rPr>
        <w:t xml:space="preserve">First, </w:t>
      </w:r>
      <w:r w:rsidR="005B1CCE" w:rsidRPr="002B283E">
        <w:rPr>
          <w:rFonts w:eastAsia="Times New Roman" w:cs="Times New Roman"/>
          <w:szCs w:val="24"/>
        </w:rPr>
        <w:t>that the plaintiff was discharged from employment by [</w:t>
      </w:r>
      <w:r w:rsidR="005B1CCE" w:rsidRPr="00AB31FA">
        <w:rPr>
          <w:rFonts w:eastAsia="Times New Roman" w:cs="Times New Roman"/>
          <w:i/>
          <w:iCs/>
          <w:szCs w:val="24"/>
          <w:u w:val="single"/>
        </w:rPr>
        <w:t>name of employer</w:t>
      </w:r>
      <w:r w:rsidR="005B1CCE" w:rsidRPr="002B283E">
        <w:rPr>
          <w:rFonts w:eastAsia="Times New Roman" w:cs="Times New Roman"/>
          <w:szCs w:val="24"/>
        </w:rPr>
        <w:t>]; </w:t>
      </w:r>
    </w:p>
    <w:p w14:paraId="6A87F126" w14:textId="77777777" w:rsidR="00612755" w:rsidRPr="002B283E" w:rsidRDefault="00612755" w:rsidP="008A04C2">
      <w:pPr>
        <w:shd w:val="clear" w:color="auto" w:fill="FFFFFF"/>
        <w:ind w:firstLine="720"/>
        <w:rPr>
          <w:rFonts w:eastAsia="Times New Roman" w:cs="Times New Roman"/>
          <w:bCs/>
          <w:szCs w:val="24"/>
        </w:rPr>
      </w:pPr>
    </w:p>
    <w:p w14:paraId="4D790CBC" w14:textId="5F676631" w:rsidR="005B1CCE" w:rsidRDefault="00612755" w:rsidP="00612755">
      <w:pPr>
        <w:shd w:val="clear" w:color="auto" w:fill="FFFFFF"/>
        <w:ind w:firstLine="720"/>
        <w:rPr>
          <w:rFonts w:eastAsia="Times New Roman" w:cs="Times New Roman"/>
          <w:szCs w:val="24"/>
        </w:rPr>
      </w:pPr>
      <w:r>
        <w:rPr>
          <w:rFonts w:eastAsia="Times New Roman" w:cs="Times New Roman"/>
          <w:szCs w:val="24"/>
        </w:rPr>
        <w:t>Second,</w:t>
      </w:r>
      <w:r w:rsidR="005B1CCE" w:rsidRPr="002B283E">
        <w:rPr>
          <w:rFonts w:eastAsia="Times New Roman" w:cs="Times New Roman"/>
          <w:szCs w:val="24"/>
        </w:rPr>
        <w:t> that such discharge was without “just cause”;  </w:t>
      </w:r>
    </w:p>
    <w:p w14:paraId="06F8AC65" w14:textId="77777777" w:rsidR="00612755" w:rsidRPr="002B283E" w:rsidRDefault="00612755" w:rsidP="008A04C2">
      <w:pPr>
        <w:shd w:val="clear" w:color="auto" w:fill="FFFFFF"/>
        <w:ind w:firstLine="720"/>
        <w:rPr>
          <w:rFonts w:eastAsia="Times New Roman" w:cs="Times New Roman"/>
          <w:bCs/>
          <w:szCs w:val="24"/>
        </w:rPr>
      </w:pPr>
    </w:p>
    <w:p w14:paraId="37EA5579" w14:textId="1CC84A95" w:rsidR="005B1CCE" w:rsidRDefault="00612755" w:rsidP="00612755">
      <w:pPr>
        <w:shd w:val="clear" w:color="auto" w:fill="FFFFFF"/>
        <w:ind w:firstLine="720"/>
        <w:rPr>
          <w:rFonts w:eastAsia="Times New Roman" w:cs="Times New Roman"/>
          <w:szCs w:val="24"/>
        </w:rPr>
      </w:pPr>
      <w:r>
        <w:rPr>
          <w:rFonts w:eastAsia="Times New Roman" w:cs="Times New Roman"/>
          <w:szCs w:val="24"/>
        </w:rPr>
        <w:t>Third,</w:t>
      </w:r>
      <w:r w:rsidR="005B1CCE" w:rsidRPr="002B283E">
        <w:rPr>
          <w:rFonts w:eastAsia="Times New Roman" w:cs="Times New Roman"/>
          <w:szCs w:val="24"/>
        </w:rPr>
        <w:t xml:space="preserve"> that the plaintiff filed a grievance with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and </w:t>
      </w:r>
    </w:p>
    <w:p w14:paraId="7AE14545" w14:textId="77777777" w:rsidR="00612755" w:rsidRPr="002B283E" w:rsidRDefault="00612755" w:rsidP="008A04C2">
      <w:pPr>
        <w:shd w:val="clear" w:color="auto" w:fill="FFFFFF"/>
        <w:ind w:firstLine="720"/>
        <w:rPr>
          <w:rFonts w:eastAsia="Times New Roman" w:cs="Times New Roman"/>
          <w:bCs/>
          <w:szCs w:val="24"/>
        </w:rPr>
      </w:pPr>
    </w:p>
    <w:p w14:paraId="33DDE03E" w14:textId="598EFCAD" w:rsidR="005B1CCE" w:rsidRPr="002B283E" w:rsidRDefault="00612755" w:rsidP="008A04C2">
      <w:pPr>
        <w:shd w:val="clear" w:color="auto" w:fill="FFFFFF"/>
        <w:ind w:firstLine="720"/>
        <w:rPr>
          <w:rFonts w:eastAsia="Times New Roman" w:cs="Times New Roman"/>
          <w:bCs/>
          <w:szCs w:val="24"/>
        </w:rPr>
      </w:pPr>
      <w:r>
        <w:rPr>
          <w:rFonts w:eastAsia="Times New Roman" w:cs="Times New Roman"/>
          <w:szCs w:val="24"/>
        </w:rPr>
        <w:t xml:space="preserve">Fourth, </w:t>
      </w:r>
      <w:r w:rsidR="005B1CCE" w:rsidRPr="002B283E">
        <w:rPr>
          <w:rFonts w:eastAsia="Times New Roman" w:cs="Times New Roman"/>
          <w:szCs w:val="24"/>
        </w:rPr>
        <w:t>that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breached its duty to fairly represent the plaintiff’s interests under the collective bargaining agreement </w:t>
      </w:r>
      <w:bookmarkStart w:id="326" w:name="_Hlk127447862"/>
      <w:r w:rsidR="005B1CCE" w:rsidRPr="002B283E">
        <w:rPr>
          <w:rFonts w:eastAsia="Times New Roman" w:cs="Times New Roman"/>
          <w:szCs w:val="24"/>
        </w:rPr>
        <w:t>by handling the grievance proceedings arbitrarily, discriminatorily, or in bad faith</w:t>
      </w:r>
      <w:bookmarkEnd w:id="326"/>
      <w:r w:rsidR="005B1CCE" w:rsidRPr="002B283E">
        <w:rPr>
          <w:rFonts w:eastAsia="Times New Roman" w:cs="Times New Roman"/>
          <w:szCs w:val="24"/>
        </w:rPr>
        <w:t>. </w:t>
      </w:r>
    </w:p>
    <w:p w14:paraId="246CD8E0" w14:textId="5D805768" w:rsidR="00612755" w:rsidRDefault="00612755" w:rsidP="00612755">
      <w:pPr>
        <w:autoSpaceDE w:val="0"/>
        <w:autoSpaceDN w:val="0"/>
        <w:adjustRightInd w:val="0"/>
        <w:rPr>
          <w:rFonts w:cs="Times New Roman"/>
          <w:szCs w:val="24"/>
        </w:rPr>
      </w:pPr>
    </w:p>
    <w:p w14:paraId="69CCC98C" w14:textId="100AE3C9" w:rsidR="006A4CD7" w:rsidRPr="002B283E" w:rsidRDefault="005B1CCE" w:rsidP="008A04C2">
      <w:pPr>
        <w:autoSpaceDE w:val="0"/>
        <w:autoSpaceDN w:val="0"/>
        <w:adjustRightInd w:val="0"/>
        <w:ind w:firstLine="720"/>
        <w:rPr>
          <w:rFonts w:cs="Times New Roman"/>
          <w:szCs w:val="24"/>
        </w:rPr>
      </w:pPr>
      <w:r w:rsidRPr="002B283E">
        <w:rPr>
          <w:rFonts w:eastAsia="Times New Roman" w:cs="Times New Roman"/>
          <w:szCs w:val="24"/>
        </w:rPr>
        <w:t xml:space="preserve">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Pr="002B283E">
        <w:rPr>
          <w:rFonts w:eastAsia="Times New Roman" w:cs="Times New Roman"/>
          <w:szCs w:val="24"/>
        </w:rPr>
        <w:t>must prove all four of the elements listed above</w:t>
      </w:r>
      <w:r w:rsidR="006A4CD7" w:rsidRPr="002B283E">
        <w:rPr>
          <w:rFonts w:cs="Times New Roman"/>
          <w:szCs w:val="24"/>
        </w:rPr>
        <w:t xml:space="preserve"> whether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6A4CD7" w:rsidRPr="002B283E">
        <w:rPr>
          <w:rFonts w:cs="Times New Roman"/>
          <w:szCs w:val="24"/>
        </w:rPr>
        <w:t xml:space="preserve">is suing the union, the employer, or both. In this case,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6A4CD7" w:rsidRPr="002B283E">
        <w:rPr>
          <w:rFonts w:cs="Times New Roman"/>
          <w:szCs w:val="24"/>
        </w:rPr>
        <w:t>is suing [the union] [the employer] [both the union and the employer].</w:t>
      </w:r>
    </w:p>
    <w:p w14:paraId="705CE59C" w14:textId="77777777" w:rsidR="006A4CD7" w:rsidRPr="002B283E" w:rsidRDefault="006A4CD7" w:rsidP="002B283E">
      <w:pPr>
        <w:autoSpaceDE w:val="0"/>
        <w:autoSpaceDN w:val="0"/>
        <w:adjustRightInd w:val="0"/>
        <w:rPr>
          <w:rFonts w:cs="Times New Roman"/>
          <w:szCs w:val="24"/>
        </w:rPr>
      </w:pPr>
    </w:p>
    <w:p w14:paraId="36E18523" w14:textId="212015D0" w:rsidR="006A4CD7" w:rsidRPr="002B283E" w:rsidRDefault="006A4CD7" w:rsidP="002B283E">
      <w:pPr>
        <w:autoSpaceDE w:val="0"/>
        <w:autoSpaceDN w:val="0"/>
        <w:adjustRightInd w:val="0"/>
        <w:rPr>
          <w:rFonts w:cs="Times New Roman"/>
          <w:szCs w:val="24"/>
        </w:rPr>
      </w:pPr>
      <w:r w:rsidRPr="002B283E">
        <w:rPr>
          <w:rFonts w:cs="Times New Roman"/>
          <w:szCs w:val="24"/>
        </w:rPr>
        <w:tab/>
      </w:r>
      <w:r w:rsidR="003A034E" w:rsidRPr="002B283E">
        <w:rPr>
          <w:rFonts w:eastAsia="Times New Roman" w:cs="Times New Roman"/>
          <w:szCs w:val="24"/>
        </w:rPr>
        <w:t xml:space="preserve">If you find that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proved all four of the elements listed above, your verdict should be for the plaintiff</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xml:space="preserve">. If, on the other hand,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failed to prove any of these elements, your verdict should be for the defendant</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w:t>
      </w:r>
    </w:p>
    <w:p w14:paraId="04BD661C" w14:textId="77777777" w:rsidR="006A4CD7" w:rsidRPr="002B283E" w:rsidRDefault="006A4CD7" w:rsidP="002B283E">
      <w:pPr>
        <w:autoSpaceDE w:val="0"/>
        <w:autoSpaceDN w:val="0"/>
        <w:adjustRightInd w:val="0"/>
        <w:rPr>
          <w:rFonts w:cs="Times New Roman"/>
          <w:szCs w:val="24"/>
        </w:rPr>
      </w:pPr>
    </w:p>
    <w:p w14:paraId="71030434" w14:textId="66F1A0A1"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2B283E" w:rsidRDefault="006A4CD7" w:rsidP="002B283E">
      <w:pPr>
        <w:autoSpaceDE w:val="0"/>
        <w:autoSpaceDN w:val="0"/>
        <w:adjustRightInd w:val="0"/>
        <w:rPr>
          <w:rFonts w:cs="Times New Roman"/>
          <w:szCs w:val="24"/>
        </w:rPr>
      </w:pPr>
    </w:p>
    <w:p w14:paraId="78AAD21E" w14:textId="1FD6D400" w:rsidR="006A4CD7" w:rsidRPr="002B283E" w:rsidRDefault="006A4CD7" w:rsidP="002B283E">
      <w:pPr>
        <w:autoSpaceDE w:val="0"/>
        <w:autoSpaceDN w:val="0"/>
        <w:adjustRightInd w:val="0"/>
        <w:rPr>
          <w:rFonts w:cs="Times New Roman"/>
          <w:szCs w:val="24"/>
        </w:rPr>
      </w:pPr>
      <w:r w:rsidRPr="002B283E">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2B283E" w:rsidRDefault="006A4CD7" w:rsidP="002B283E">
      <w:pPr>
        <w:autoSpaceDE w:val="0"/>
        <w:autoSpaceDN w:val="0"/>
        <w:adjustRightInd w:val="0"/>
        <w:rPr>
          <w:rFonts w:cs="Times New Roman"/>
          <w:szCs w:val="24"/>
        </w:rPr>
      </w:pPr>
    </w:p>
    <w:p w14:paraId="02FCA077" w14:textId="7C218888" w:rsidR="0087201A" w:rsidRDefault="006A4CD7" w:rsidP="002B283E">
      <w:pPr>
        <w:autoSpaceDE w:val="0"/>
        <w:autoSpaceDN w:val="0"/>
        <w:adjustRightInd w:val="0"/>
        <w:rPr>
          <w:rFonts w:cs="Times New Roman"/>
          <w:szCs w:val="24"/>
        </w:rPr>
      </w:pPr>
      <w:r w:rsidRPr="002B283E">
        <w:rPr>
          <w:rFonts w:cs="Times New Roman"/>
          <w:szCs w:val="24"/>
        </w:rPr>
        <w:tab/>
        <w:t>Breach of the duty of fair representation occurs only whe</w:t>
      </w:r>
      <w:r w:rsidR="003A034E" w:rsidRPr="002B283E">
        <w:rPr>
          <w:rFonts w:cs="Times New Roman"/>
          <w:szCs w:val="24"/>
        </w:rPr>
        <w:t>n</w:t>
      </w:r>
      <w:r w:rsidRPr="002B283E">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19B11F7E" w14:textId="77777777" w:rsidR="00957D4D" w:rsidRPr="002B283E" w:rsidRDefault="00957D4D" w:rsidP="002B283E">
      <w:pPr>
        <w:autoSpaceDE w:val="0"/>
        <w:autoSpaceDN w:val="0"/>
        <w:adjustRightInd w:val="0"/>
        <w:rPr>
          <w:rFonts w:cs="Times New Roman"/>
          <w:szCs w:val="24"/>
        </w:rPr>
      </w:pPr>
    </w:p>
    <w:p w14:paraId="0CE58F6B" w14:textId="73DADC12" w:rsidR="006A4CD7"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Comment</w:t>
      </w:r>
    </w:p>
    <w:p w14:paraId="312EDB16" w14:textId="77777777" w:rsidR="00612755" w:rsidRPr="002B283E" w:rsidRDefault="00612755" w:rsidP="002B283E">
      <w:pPr>
        <w:autoSpaceDE w:val="0"/>
        <w:autoSpaceDN w:val="0"/>
        <w:adjustRightInd w:val="0"/>
        <w:jc w:val="center"/>
        <w:rPr>
          <w:rFonts w:cs="Times New Roman"/>
          <w:szCs w:val="24"/>
        </w:rPr>
      </w:pPr>
    </w:p>
    <w:p w14:paraId="63877F58" w14:textId="4F921F06" w:rsidR="003A034E" w:rsidRDefault="003A034E" w:rsidP="002B283E">
      <w:pPr>
        <w:shd w:val="clear" w:color="auto" w:fill="FFFFFF"/>
        <w:ind w:firstLine="720"/>
        <w:rPr>
          <w:rFonts w:eastAsia="Times New Roman" w:cs="Times New Roman"/>
          <w:szCs w:val="24"/>
        </w:rPr>
      </w:pPr>
      <w:r w:rsidRPr="002B283E">
        <w:rPr>
          <w:rFonts w:eastAsia="Times New Roman" w:cs="Times New Roman"/>
          <w:szCs w:val="24"/>
        </w:rPr>
        <w:t>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w:t>
      </w:r>
      <w:r w:rsidR="00612755">
        <w:rPr>
          <w:rFonts w:eastAsia="Times New Roman" w:cs="Times New Roman"/>
          <w:szCs w:val="24"/>
        </w:rPr>
        <w:t xml:space="preserve"> </w:t>
      </w:r>
      <w:r w:rsidRPr="002B283E">
        <w:rPr>
          <w:rFonts w:eastAsia="Times New Roman" w:cs="Times New Roman"/>
          <w:i/>
          <w:iCs/>
          <w:szCs w:val="24"/>
        </w:rPr>
        <w:t>Starla Rollins v. Cmty. Hosp. of San Bernadino</w:t>
      </w:r>
      <w:r w:rsidRPr="002B283E">
        <w:rPr>
          <w:rFonts w:eastAsia="Times New Roman" w:cs="Times New Roman"/>
          <w:szCs w:val="24"/>
        </w:rPr>
        <w:t xml:space="preserve">, 839 F.3d 1181, 1185 (9th Cir. 2016) (explaining that </w:t>
      </w:r>
      <w:r w:rsidR="00290ECB">
        <w:rPr>
          <w:rFonts w:eastAsia="Times New Roman" w:cs="Times New Roman"/>
          <w:szCs w:val="24"/>
        </w:rPr>
        <w:t xml:space="preserve">the </w:t>
      </w:r>
      <w:r w:rsidRPr="002B283E">
        <w:rPr>
          <w:rFonts w:eastAsia="Times New Roman" w:cs="Times New Roman"/>
          <w:szCs w:val="24"/>
        </w:rPr>
        <w:t>plaintiff could pursue claim against</w:t>
      </w:r>
      <w:r w:rsidR="00290ECB">
        <w:rPr>
          <w:rFonts w:eastAsia="Times New Roman" w:cs="Times New Roman"/>
          <w:szCs w:val="24"/>
        </w:rPr>
        <w:t xml:space="preserve"> the</w:t>
      </w:r>
      <w:r w:rsidRPr="002B283E">
        <w:rPr>
          <w:rFonts w:eastAsia="Times New Roman" w:cs="Times New Roman"/>
          <w:szCs w:val="24"/>
        </w:rPr>
        <w:t xml:space="preserve"> union after</w:t>
      </w:r>
      <w:r w:rsidR="00290ECB">
        <w:rPr>
          <w:rFonts w:eastAsia="Times New Roman" w:cs="Times New Roman"/>
          <w:szCs w:val="24"/>
        </w:rPr>
        <w:t xml:space="preserve"> the</w:t>
      </w:r>
      <w:r w:rsidRPr="002B283E">
        <w:rPr>
          <w:rFonts w:eastAsia="Times New Roman" w:cs="Times New Roman"/>
          <w:szCs w:val="24"/>
        </w:rPr>
        <w:t xml:space="preserve"> employer had settled but must still show that </w:t>
      </w:r>
      <w:r w:rsidR="00290ECB">
        <w:rPr>
          <w:rFonts w:eastAsia="Times New Roman" w:cs="Times New Roman"/>
          <w:szCs w:val="24"/>
        </w:rPr>
        <w:t xml:space="preserve">the </w:t>
      </w:r>
      <w:r w:rsidRPr="002B283E">
        <w:rPr>
          <w:rFonts w:eastAsia="Times New Roman" w:cs="Times New Roman"/>
          <w:szCs w:val="24"/>
        </w:rPr>
        <w:t xml:space="preserve">employer breached </w:t>
      </w:r>
      <w:r w:rsidR="00957D4D">
        <w:rPr>
          <w:rFonts w:eastAsia="Times New Roman" w:cs="Times New Roman"/>
          <w:szCs w:val="24"/>
        </w:rPr>
        <w:t xml:space="preserve">the </w:t>
      </w:r>
      <w:r w:rsidRPr="002B283E">
        <w:rPr>
          <w:rFonts w:eastAsia="Times New Roman" w:cs="Times New Roman"/>
          <w:szCs w:val="24"/>
        </w:rPr>
        <w:t>collective bargaining agreement)</w:t>
      </w:r>
      <w:r w:rsidR="00E54E76">
        <w:rPr>
          <w:rFonts w:eastAsia="Times New Roman" w:cs="Times New Roman"/>
          <w:szCs w:val="24"/>
        </w:rPr>
        <w:t xml:space="preserve">. </w:t>
      </w:r>
      <w:r w:rsidRPr="002B283E">
        <w:rPr>
          <w:rFonts w:eastAsia="Times New Roman" w:cs="Times New Roman"/>
          <w:szCs w:val="24"/>
        </w:rPr>
        <w:t>          </w:t>
      </w:r>
    </w:p>
    <w:p w14:paraId="70B638E7" w14:textId="77777777" w:rsidR="00612755" w:rsidRPr="002B283E" w:rsidRDefault="00612755" w:rsidP="002B283E">
      <w:pPr>
        <w:shd w:val="clear" w:color="auto" w:fill="FFFFFF"/>
        <w:ind w:firstLine="720"/>
        <w:rPr>
          <w:rFonts w:eastAsia="Times New Roman" w:cs="Times New Roman"/>
          <w:bCs/>
          <w:szCs w:val="24"/>
        </w:rPr>
      </w:pPr>
    </w:p>
    <w:p w14:paraId="57116D26" w14:textId="045F65E9" w:rsidR="006A4CD7" w:rsidRDefault="003A034E" w:rsidP="002B283E">
      <w:pPr>
        <w:autoSpaceDE w:val="0"/>
        <w:autoSpaceDN w:val="0"/>
        <w:adjustRightInd w:val="0"/>
        <w:ind w:firstLine="720"/>
        <w:rPr>
          <w:rFonts w:eastAsia="Times New Roman" w:cs="Times New Roman"/>
          <w:szCs w:val="24"/>
        </w:rPr>
      </w:pPr>
      <w:r w:rsidRPr="002B283E">
        <w:rPr>
          <w:rFonts w:eastAsia="Times New Roman" w:cs="Times New Roman"/>
          <w:szCs w:val="24"/>
        </w:rPr>
        <w:t>To support a breach of the duty of fair representation claim, the plaintiff must prove that the employer’s action violated the terms of the collective bargaining agreement and that the union breached its duty to act honestly and in good faith and to avoid arbitrary conduct. </w:t>
      </w:r>
      <w:r w:rsidRPr="002B283E">
        <w:rPr>
          <w:rFonts w:eastAsia="Times New Roman" w:cs="Times New Roman"/>
          <w:i/>
          <w:iCs/>
          <w:szCs w:val="24"/>
        </w:rPr>
        <w:t>Bliesner v. Commc’n Workers of Am</w:t>
      </w:r>
      <w:r w:rsidR="00AB31FA">
        <w:rPr>
          <w:rFonts w:eastAsia="Times New Roman" w:cs="Times New Roman"/>
          <w:i/>
          <w:iCs/>
          <w:szCs w:val="24"/>
        </w:rPr>
        <w:t>.</w:t>
      </w:r>
      <w:r w:rsidRPr="002B283E">
        <w:rPr>
          <w:rFonts w:eastAsia="Times New Roman" w:cs="Times New Roman"/>
          <w:szCs w:val="24"/>
        </w:rPr>
        <w:t>, 464 F.3d 910, 913</w:t>
      </w:r>
      <w:r w:rsidR="00957D4D">
        <w:rPr>
          <w:rFonts w:eastAsia="Times New Roman" w:cs="Times New Roman"/>
          <w:szCs w:val="24"/>
        </w:rPr>
        <w:t>-</w:t>
      </w:r>
      <w:r w:rsidRPr="002B283E">
        <w:rPr>
          <w:rFonts w:eastAsia="Times New Roman" w:cs="Times New Roman"/>
          <w:szCs w:val="24"/>
        </w:rPr>
        <w:t xml:space="preserve">14 (9th Cir. 2006) (affirming summary judgment of hybrid </w:t>
      </w:r>
      <w:r w:rsidRPr="002B283E">
        <w:rPr>
          <w:rFonts w:eastAsia="Times New Roman" w:cs="Times New Roman"/>
          <w:szCs w:val="24"/>
          <w:u w:val="single"/>
        </w:rPr>
        <w:t>suit based</w:t>
      </w:r>
      <w:r w:rsidRPr="002B283E">
        <w:rPr>
          <w:rFonts w:eastAsia="Times New Roman" w:cs="Times New Roman"/>
          <w:szCs w:val="24"/>
        </w:rPr>
        <w:t xml:space="preserve"> on failure to show employer’s breach of collective bargaining agreement without deciding whether </w:t>
      </w:r>
      <w:r w:rsidR="00AB31FA">
        <w:rPr>
          <w:rFonts w:eastAsia="Times New Roman" w:cs="Times New Roman"/>
          <w:szCs w:val="24"/>
        </w:rPr>
        <w:t xml:space="preserve">the </w:t>
      </w:r>
      <w:r w:rsidRPr="002B283E">
        <w:rPr>
          <w:rFonts w:eastAsia="Times New Roman" w:cs="Times New Roman"/>
          <w:szCs w:val="24"/>
        </w:rPr>
        <w:t>union breached</w:t>
      </w:r>
      <w:r w:rsidR="00AB31FA">
        <w:rPr>
          <w:rFonts w:eastAsia="Times New Roman" w:cs="Times New Roman"/>
          <w:szCs w:val="24"/>
        </w:rPr>
        <w:t xml:space="preserve"> its</w:t>
      </w:r>
      <w:r w:rsidRPr="002B283E">
        <w:rPr>
          <w:rFonts w:eastAsia="Times New Roman" w:cs="Times New Roman"/>
          <w:szCs w:val="24"/>
        </w:rPr>
        <w:t xml:space="preserve"> duty of fair representation).</w:t>
      </w:r>
    </w:p>
    <w:p w14:paraId="2FEEED9A" w14:textId="77777777" w:rsidR="00612755" w:rsidRPr="002B283E" w:rsidRDefault="00612755" w:rsidP="002B283E">
      <w:pPr>
        <w:autoSpaceDE w:val="0"/>
        <w:autoSpaceDN w:val="0"/>
        <w:adjustRightInd w:val="0"/>
        <w:ind w:firstLine="720"/>
        <w:rPr>
          <w:rFonts w:eastAsia="Times New Roman" w:cs="Times New Roman"/>
          <w:szCs w:val="24"/>
        </w:rPr>
      </w:pPr>
    </w:p>
    <w:p w14:paraId="74B486D4" w14:textId="483A135E" w:rsidR="003A034E" w:rsidRDefault="003A034E" w:rsidP="002B283E">
      <w:pPr>
        <w:shd w:val="clear" w:color="auto" w:fill="FFFFFF"/>
        <w:ind w:firstLine="720"/>
        <w:rPr>
          <w:rFonts w:eastAsia="Times New Roman" w:cs="Times New Roman"/>
          <w:szCs w:val="24"/>
        </w:rPr>
      </w:pPr>
      <w:r w:rsidRPr="008A04C2">
        <w:rPr>
          <w:rFonts w:eastAsia="Times New Roman" w:cs="Times New Roman"/>
          <w:szCs w:val="24"/>
        </w:rPr>
        <w:t>As a general rule</w:t>
      </w:r>
      <w:r w:rsidRPr="00612755">
        <w:rPr>
          <w:rFonts w:eastAsia="Times New Roman" w:cs="Times New Roman"/>
          <w:szCs w:val="24"/>
        </w:rPr>
        <w:t>,</w:t>
      </w:r>
      <w:r w:rsidRPr="002B283E">
        <w:rPr>
          <w:rFonts w:eastAsia="Times New Roman" w:cs="Times New Roman"/>
          <w:szCs w:val="24"/>
        </w:rPr>
        <w:t xml:space="preserve"> before bringing suit, a plaintiff “must first exhaust the grievance procedures established by the [collective bargaining agreement].” </w:t>
      </w:r>
      <w:r w:rsidRPr="002B283E">
        <w:rPr>
          <w:rFonts w:eastAsia="Times New Roman" w:cs="Times New Roman"/>
          <w:i/>
          <w:iCs/>
          <w:szCs w:val="24"/>
        </w:rPr>
        <w:t>Sidhu v. Flecto Co., Inc.</w:t>
      </w:r>
      <w:r w:rsidRPr="002B283E">
        <w:rPr>
          <w:rFonts w:eastAsia="Times New Roman" w:cs="Times New Roman"/>
          <w:szCs w:val="24"/>
        </w:rPr>
        <w:t>, 279 F.3d 896, 898</w:t>
      </w:r>
      <w:r w:rsidR="00612755">
        <w:rPr>
          <w:rFonts w:eastAsia="Times New Roman" w:cs="Times New Roman"/>
          <w:szCs w:val="24"/>
        </w:rPr>
        <w:t>-</w:t>
      </w:r>
      <w:r w:rsidRPr="002B283E">
        <w:rPr>
          <w:rFonts w:eastAsia="Times New Roman" w:cs="Times New Roman"/>
          <w:szCs w:val="24"/>
        </w:rPr>
        <w:t xml:space="preserve">99 (9th Cir. 2002). However, a plaintiff need not do so if the employer repudiates those procedures. </w:t>
      </w:r>
      <w:r w:rsidRPr="002B283E">
        <w:rPr>
          <w:rFonts w:eastAsia="Times New Roman" w:cs="Times New Roman"/>
          <w:i/>
          <w:iCs/>
          <w:szCs w:val="24"/>
        </w:rPr>
        <w:t>Id</w:t>
      </w:r>
      <w:r w:rsidRPr="002B283E">
        <w:rPr>
          <w:rFonts w:eastAsia="Times New Roman" w:cs="Times New Roman"/>
          <w:szCs w:val="24"/>
        </w:rPr>
        <w:t xml:space="preserve">. (waiving exhaustion when </w:t>
      </w:r>
      <w:r w:rsidR="00AB31FA">
        <w:rPr>
          <w:rFonts w:eastAsia="Times New Roman" w:cs="Times New Roman"/>
          <w:szCs w:val="24"/>
        </w:rPr>
        <w:t xml:space="preserve">the </w:t>
      </w:r>
      <w:r w:rsidRPr="002B283E">
        <w:rPr>
          <w:rFonts w:eastAsia="Times New Roman" w:cs="Times New Roman"/>
          <w:szCs w:val="24"/>
        </w:rPr>
        <w:t>union attempted to use grievance procedures on plaintiff’s behalf and</w:t>
      </w:r>
      <w:r w:rsidR="00AB31FA">
        <w:rPr>
          <w:rFonts w:eastAsia="Times New Roman" w:cs="Times New Roman"/>
          <w:szCs w:val="24"/>
        </w:rPr>
        <w:t xml:space="preserve"> the</w:t>
      </w:r>
      <w:r w:rsidRPr="002B283E">
        <w:rPr>
          <w:rFonts w:eastAsia="Times New Roman" w:cs="Times New Roman"/>
          <w:szCs w:val="24"/>
        </w:rPr>
        <w:t xml:space="preserve">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r w:rsidRPr="002B283E">
        <w:rPr>
          <w:rFonts w:eastAsia="Times New Roman" w:cs="Times New Roman"/>
          <w:i/>
          <w:iCs/>
          <w:szCs w:val="24"/>
        </w:rPr>
        <w:t>Soremekun v. Thrifty Payless, Inc.</w:t>
      </w:r>
      <w:r w:rsidRPr="002B283E">
        <w:rPr>
          <w:rFonts w:eastAsia="Times New Roman" w:cs="Times New Roman"/>
          <w:szCs w:val="24"/>
        </w:rPr>
        <w:t xml:space="preserve">, 509 F.3d 978, 986 (9th Cir. 2007) (quoting </w:t>
      </w:r>
      <w:r w:rsidRPr="002B283E">
        <w:rPr>
          <w:rFonts w:eastAsia="Times New Roman" w:cs="Times New Roman"/>
          <w:i/>
          <w:iCs/>
          <w:szCs w:val="24"/>
        </w:rPr>
        <w:t>DelCostello v. Int’l Bhd. of Teamsters</w:t>
      </w:r>
      <w:r w:rsidRPr="002B283E">
        <w:rPr>
          <w:rFonts w:eastAsia="Times New Roman" w:cs="Times New Roman"/>
          <w:szCs w:val="24"/>
        </w:rPr>
        <w:t>, 462 U.S. 151, 164 (1983)) (affirming summary judgment for defendant on § 301 claim when plaintiff “failed to exhaust his contractual remedies, and no breach of the duty of fair representation [wa]s alleged in the complaint”)</w:t>
      </w:r>
      <w:r w:rsidR="00A87F6E">
        <w:rPr>
          <w:rFonts w:eastAsia="Times New Roman" w:cs="Times New Roman"/>
          <w:szCs w:val="24"/>
        </w:rPr>
        <w:t xml:space="preserve">. </w:t>
      </w:r>
      <w:r w:rsidRPr="002B283E">
        <w:rPr>
          <w:rFonts w:eastAsia="Times New Roman" w:cs="Times New Roman"/>
          <w:szCs w:val="24"/>
        </w:rPr>
        <w:t xml:space="preserve">“The determination whether to require exhaustion is left to the sound discretion of the trial court.”  </w:t>
      </w:r>
      <w:r w:rsidRPr="002B283E">
        <w:rPr>
          <w:rFonts w:eastAsia="Times New Roman" w:cs="Times New Roman"/>
          <w:i/>
          <w:iCs/>
          <w:szCs w:val="24"/>
        </w:rPr>
        <w:t>Scoggins v. Boeing Co.</w:t>
      </w:r>
      <w:r w:rsidRPr="002B283E">
        <w:rPr>
          <w:rFonts w:eastAsia="Times New Roman" w:cs="Times New Roman"/>
          <w:szCs w:val="24"/>
        </w:rPr>
        <w:t>, 742 F.2d 1225, 1229 (9th Cir. 1984)</w:t>
      </w:r>
      <w:r w:rsidR="00AB31FA">
        <w:rPr>
          <w:rFonts w:eastAsia="Times New Roman" w:cs="Times New Roman"/>
          <w:szCs w:val="24"/>
        </w:rPr>
        <w:t xml:space="preserve"> </w:t>
      </w:r>
      <w:r w:rsidR="00AB31FA" w:rsidRPr="00AB31FA">
        <w:rPr>
          <w:rFonts w:eastAsia="Times New Roman" w:cs="Times New Roman"/>
          <w:szCs w:val="24"/>
        </w:rPr>
        <w:t xml:space="preserve">(citing </w:t>
      </w:r>
      <w:hyperlink r:id="rId22" w:anchor="co_pp_sp_350_1214" w:history="1">
        <w:r w:rsidR="00AB31FA" w:rsidRPr="00AB31FA">
          <w:rPr>
            <w:rStyle w:val="Hyperlink"/>
            <w:rFonts w:eastAsia="Times New Roman" w:cs="Times New Roman"/>
            <w:i/>
            <w:iCs/>
            <w:color w:val="auto"/>
            <w:szCs w:val="24"/>
            <w:u w:val="none"/>
          </w:rPr>
          <w:t>Fristoe v. Reynolds Metal Co</w:t>
        </w:r>
        <w:r w:rsidR="00AB31FA" w:rsidRPr="00AB31FA">
          <w:rPr>
            <w:rStyle w:val="Hyperlink"/>
            <w:rFonts w:eastAsia="Times New Roman" w:cs="Times New Roman"/>
            <w:color w:val="auto"/>
            <w:szCs w:val="24"/>
            <w:u w:val="none"/>
          </w:rPr>
          <w:t>., 615 F.2d 1209, 1214 (9th Cir. 1980)</w:t>
        </w:r>
      </w:hyperlink>
      <w:r w:rsidR="00AB31FA" w:rsidRPr="00AB31FA">
        <w:rPr>
          <w:rFonts w:eastAsia="Times New Roman" w:cs="Times New Roman"/>
          <w:szCs w:val="24"/>
        </w:rPr>
        <w:t>)</w:t>
      </w:r>
      <w:r w:rsidRPr="002B283E">
        <w:rPr>
          <w:rFonts w:eastAsia="Times New Roman" w:cs="Times New Roman"/>
          <w:szCs w:val="24"/>
        </w:rPr>
        <w:t>.</w:t>
      </w:r>
    </w:p>
    <w:p w14:paraId="77926675" w14:textId="77777777" w:rsidR="00612755" w:rsidRPr="002B283E" w:rsidRDefault="00612755" w:rsidP="002B283E">
      <w:pPr>
        <w:shd w:val="clear" w:color="auto" w:fill="FFFFFF"/>
        <w:ind w:firstLine="720"/>
        <w:rPr>
          <w:rFonts w:eastAsia="Times New Roman" w:cs="Times New Roman"/>
          <w:bCs/>
          <w:szCs w:val="24"/>
        </w:rPr>
      </w:pPr>
    </w:p>
    <w:p w14:paraId="4CA56A87" w14:textId="21B8E29C" w:rsidR="003A034E" w:rsidRDefault="003A034E" w:rsidP="002B283E">
      <w:pPr>
        <w:shd w:val="clear" w:color="auto" w:fill="FFFFFF"/>
        <w:rPr>
          <w:rFonts w:eastAsia="Times New Roman" w:cs="Times New Roman"/>
          <w:szCs w:val="24"/>
        </w:rPr>
      </w:pPr>
      <w:r w:rsidRPr="002B283E">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2B283E">
        <w:rPr>
          <w:rFonts w:eastAsia="Times New Roman" w:cs="Times New Roman"/>
          <w:i/>
          <w:iCs/>
          <w:szCs w:val="24"/>
        </w:rPr>
        <w:t>Simo v. Union of Needletrades, Indus. &amp; Textile Emps., S</w:t>
      </w:r>
      <w:r w:rsidR="00AB31FA">
        <w:rPr>
          <w:rFonts w:eastAsia="Times New Roman" w:cs="Times New Roman"/>
          <w:i/>
          <w:iCs/>
          <w:szCs w:val="24"/>
        </w:rPr>
        <w:t>w.</w:t>
      </w:r>
      <w:r w:rsidRPr="002B283E">
        <w:rPr>
          <w:rFonts w:eastAsia="Times New Roman" w:cs="Times New Roman"/>
          <w:i/>
          <w:iCs/>
          <w:szCs w:val="24"/>
        </w:rPr>
        <w:t xml:space="preserve"> Dist. Council</w:t>
      </w:r>
      <w:r w:rsidRPr="002B283E">
        <w:rPr>
          <w:rFonts w:eastAsia="Times New Roman" w:cs="Times New Roman"/>
          <w:szCs w:val="24"/>
        </w:rPr>
        <w:t xml:space="preserve">, 322 F.3d 602, 614 (9th Cir. 2003) (holding that no duty of fair representation attached because </w:t>
      </w:r>
      <w:r w:rsidR="00AB31FA">
        <w:rPr>
          <w:rFonts w:eastAsia="Times New Roman" w:cs="Times New Roman"/>
          <w:szCs w:val="24"/>
        </w:rPr>
        <w:t xml:space="preserve">the </w:t>
      </w:r>
      <w:r w:rsidRPr="002B283E">
        <w:rPr>
          <w:rFonts w:eastAsia="Times New Roman" w:cs="Times New Roman"/>
          <w:szCs w:val="24"/>
        </w:rPr>
        <w:t xml:space="preserve">union was not acting as exclusive bargaining representative nor pursuant to collective bargaining agreement). 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2B283E">
        <w:rPr>
          <w:rFonts w:eastAsia="Times New Roman" w:cs="Times New Roman"/>
          <w:i/>
          <w:iCs/>
          <w:szCs w:val="24"/>
        </w:rPr>
        <w:t>United Bhd. of Carpenters &amp; Joiners of Am</w:t>
      </w:r>
      <w:r w:rsidR="00AB31FA">
        <w:rPr>
          <w:rFonts w:eastAsia="Times New Roman" w:cs="Times New Roman"/>
          <w:i/>
          <w:iCs/>
          <w:szCs w:val="24"/>
        </w:rPr>
        <w:t>.</w:t>
      </w:r>
      <w:r w:rsidRPr="002B283E">
        <w:rPr>
          <w:rFonts w:eastAsia="Times New Roman" w:cs="Times New Roman"/>
          <w:i/>
          <w:iCs/>
          <w:szCs w:val="24"/>
        </w:rPr>
        <w:t xml:space="preserve"> v. Metal Trades Dep</w:t>
      </w:r>
      <w:r w:rsidR="00AB31FA">
        <w:rPr>
          <w:rFonts w:eastAsia="Times New Roman" w:cs="Times New Roman"/>
          <w:i/>
          <w:iCs/>
          <w:szCs w:val="24"/>
        </w:rPr>
        <w:t>’</w:t>
      </w:r>
      <w:r w:rsidRPr="002B283E">
        <w:rPr>
          <w:rFonts w:eastAsia="Times New Roman" w:cs="Times New Roman"/>
          <w:i/>
          <w:iCs/>
          <w:szCs w:val="24"/>
        </w:rPr>
        <w:t>t., AFL-CIO</w:t>
      </w:r>
      <w:r w:rsidRPr="002B283E">
        <w:rPr>
          <w:rFonts w:eastAsia="Times New Roman" w:cs="Times New Roman"/>
          <w:szCs w:val="24"/>
        </w:rPr>
        <w:t>, 770 F.3d 846, 848</w:t>
      </w:r>
      <w:r w:rsidR="00612755">
        <w:rPr>
          <w:rFonts w:eastAsia="Times New Roman" w:cs="Times New Roman"/>
          <w:szCs w:val="24"/>
        </w:rPr>
        <w:t>-</w:t>
      </w:r>
      <w:r w:rsidRPr="002B283E">
        <w:rPr>
          <w:rFonts w:eastAsia="Times New Roman" w:cs="Times New Roman"/>
          <w:szCs w:val="24"/>
        </w:rPr>
        <w:t>49 (9th Cir. 2014)</w:t>
      </w:r>
      <w:r w:rsidR="00AB31FA">
        <w:rPr>
          <w:rFonts w:eastAsia="Times New Roman" w:cs="Times New Roman"/>
          <w:szCs w:val="24"/>
        </w:rPr>
        <w:t xml:space="preserve"> (citations omitted).</w:t>
      </w:r>
    </w:p>
    <w:p w14:paraId="0C3FABA5" w14:textId="77777777" w:rsidR="00612755" w:rsidRPr="002B283E" w:rsidRDefault="00612755" w:rsidP="002B283E">
      <w:pPr>
        <w:shd w:val="clear" w:color="auto" w:fill="FFFFFF"/>
        <w:rPr>
          <w:rFonts w:eastAsia="Times New Roman" w:cs="Times New Roman"/>
          <w:bCs/>
          <w:szCs w:val="24"/>
        </w:rPr>
      </w:pPr>
    </w:p>
    <w:p w14:paraId="4A8CC2FF" w14:textId="3734ECA6" w:rsidR="00612755" w:rsidRDefault="003A034E" w:rsidP="002B283E">
      <w:pPr>
        <w:shd w:val="clear" w:color="auto" w:fill="FFFFFF"/>
        <w:rPr>
          <w:rFonts w:eastAsia="Times New Roman" w:cs="Times New Roman"/>
          <w:szCs w:val="24"/>
        </w:rPr>
      </w:pPr>
      <w:r w:rsidRPr="002B283E">
        <w:rPr>
          <w:rFonts w:eastAsia="Times New Roman" w:cs="Times New Roman"/>
          <w:szCs w:val="24"/>
        </w:rPr>
        <w:t>            A union is not liable for merely negligent conduct. </w:t>
      </w:r>
      <w:r w:rsidRPr="002B283E">
        <w:rPr>
          <w:rFonts w:eastAsia="Times New Roman" w:cs="Times New Roman"/>
          <w:i/>
          <w:iCs/>
          <w:szCs w:val="24"/>
        </w:rPr>
        <w:t>See Slevira v. W</w:t>
      </w:r>
      <w:r w:rsidR="00AB31FA">
        <w:rPr>
          <w:rFonts w:eastAsia="Times New Roman" w:cs="Times New Roman"/>
          <w:i/>
          <w:iCs/>
          <w:szCs w:val="24"/>
        </w:rPr>
        <w:t xml:space="preserve">. </w:t>
      </w:r>
      <w:r w:rsidRPr="002B283E">
        <w:rPr>
          <w:rFonts w:eastAsia="Times New Roman" w:cs="Times New Roman"/>
          <w:i/>
          <w:iCs/>
          <w:szCs w:val="24"/>
        </w:rPr>
        <w:t>Sugar Co.</w:t>
      </w:r>
      <w:r w:rsidRPr="002B283E">
        <w:rPr>
          <w:rFonts w:eastAsia="Times New Roman" w:cs="Times New Roman"/>
          <w:szCs w:val="24"/>
        </w:rPr>
        <w:t xml:space="preserve">, 200 F.3d 1218, 1221 (9th Cir. 2000). A breach of the duty of fair representation occurs when “the union </w:t>
      </w:r>
      <w:r w:rsidRPr="002B283E">
        <w:rPr>
          <w:rFonts w:eastAsia="Times New Roman" w:cs="Times New Roman"/>
          <w:szCs w:val="24"/>
        </w:rPr>
        <w:lastRenderedPageBreak/>
        <w:t xml:space="preserve">conduct at issue is a discriminatory or bad faith exercise of judgment, or is an arbitrary (meaning wholly irrational, inexplicable, or unintentional) action that substantially injured an employee.” </w:t>
      </w:r>
      <w:r w:rsidRPr="002B283E">
        <w:rPr>
          <w:rFonts w:eastAsia="Times New Roman" w:cs="Times New Roman"/>
          <w:i/>
          <w:iCs/>
          <w:szCs w:val="24"/>
        </w:rPr>
        <w:t xml:space="preserve">Beck v. United Food &amp; Com. Workers Union, Loc. </w:t>
      </w:r>
      <w:r w:rsidRPr="002B283E">
        <w:rPr>
          <w:rFonts w:eastAsia="Times New Roman" w:cs="Times New Roman"/>
          <w:szCs w:val="24"/>
        </w:rPr>
        <w:t xml:space="preserve">99, 506 F.3d 874, 880 (9th Cir. 2007). “Whether a union acted arbitrarily, discriminatorily or in bad faith requires a separate analysis, because each of these requirements represents a distinct and separate obligation.” </w:t>
      </w:r>
      <w:r w:rsidRPr="002B283E">
        <w:rPr>
          <w:rFonts w:eastAsia="Times New Roman" w:cs="Times New Roman"/>
          <w:i/>
          <w:iCs/>
          <w:szCs w:val="24"/>
        </w:rPr>
        <w:t>Simo</w:t>
      </w:r>
      <w:r w:rsidRPr="002B283E">
        <w:rPr>
          <w:rFonts w:eastAsia="Times New Roman" w:cs="Times New Roman"/>
          <w:szCs w:val="24"/>
        </w:rPr>
        <w:t xml:space="preserve">, 322 F.3d at 617 (quoting </w:t>
      </w:r>
      <w:r w:rsidRPr="002B283E">
        <w:rPr>
          <w:rFonts w:eastAsia="Times New Roman" w:cs="Times New Roman"/>
          <w:i/>
          <w:iCs/>
          <w:szCs w:val="24"/>
        </w:rPr>
        <w:t>Thompson v. Aluminum Co. of Am.</w:t>
      </w:r>
      <w:r w:rsidRPr="002B283E">
        <w:rPr>
          <w:rFonts w:eastAsia="Times New Roman" w:cs="Times New Roman"/>
          <w:szCs w:val="24"/>
        </w:rPr>
        <w:t>, 276 F.3d 651, 657 (4th Cir. 2002))</w:t>
      </w:r>
      <w:r w:rsidR="00A87F6E">
        <w:rPr>
          <w:rFonts w:eastAsia="Times New Roman" w:cs="Times New Roman"/>
          <w:szCs w:val="24"/>
        </w:rPr>
        <w:t xml:space="preserve">. </w:t>
      </w:r>
    </w:p>
    <w:p w14:paraId="00F48C19" w14:textId="44389A85"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 xml:space="preserve"> </w:t>
      </w:r>
    </w:p>
    <w:p w14:paraId="40AF4066" w14:textId="119C2A90"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2B283E">
        <w:rPr>
          <w:rFonts w:eastAsia="Times New Roman" w:cs="Times New Roman"/>
          <w:i/>
          <w:iCs/>
          <w:szCs w:val="24"/>
        </w:rPr>
        <w:t>Beck</w:t>
      </w:r>
      <w:r w:rsidRPr="002B283E">
        <w:rPr>
          <w:rFonts w:eastAsia="Times New Roman" w:cs="Times New Roman"/>
          <w:szCs w:val="24"/>
        </w:rPr>
        <w:t>, 506 F.3d at 880</w:t>
      </w:r>
      <w:r w:rsidRPr="002B283E">
        <w:rPr>
          <w:rFonts w:eastAsia="Times New Roman" w:cs="Times New Roman"/>
          <w:szCs w:val="24"/>
        </w:rPr>
        <w:softHyphen/>
      </w:r>
      <w:r w:rsidR="00612755">
        <w:rPr>
          <w:rFonts w:eastAsia="Times New Roman" w:cs="Times New Roman"/>
          <w:szCs w:val="24"/>
        </w:rPr>
        <w:t>-</w:t>
      </w:r>
      <w:r w:rsidRPr="002B283E">
        <w:rPr>
          <w:rFonts w:eastAsia="Times New Roman" w:cs="Times New Roman"/>
          <w:szCs w:val="24"/>
        </w:rPr>
        <w:t>81 (</w:t>
      </w:r>
      <w:r w:rsidR="00AB31FA">
        <w:rPr>
          <w:rFonts w:eastAsia="Times New Roman" w:cs="Times New Roman"/>
          <w:szCs w:val="24"/>
        </w:rPr>
        <w:t xml:space="preserve">the </w:t>
      </w:r>
      <w:r w:rsidRPr="002B283E">
        <w:rPr>
          <w:rFonts w:eastAsia="Times New Roman" w:cs="Times New Roman"/>
          <w:szCs w:val="24"/>
        </w:rPr>
        <w:t xml:space="preserve">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2B283E">
        <w:rPr>
          <w:rFonts w:eastAsia="Times New Roman" w:cs="Times New Roman"/>
          <w:i/>
          <w:iCs/>
          <w:szCs w:val="24"/>
        </w:rPr>
        <w:t>Starla Rollins</w:t>
      </w:r>
      <w:r w:rsidRPr="002B283E">
        <w:rPr>
          <w:rFonts w:eastAsia="Times New Roman" w:cs="Times New Roman"/>
          <w:szCs w:val="24"/>
        </w:rPr>
        <w:t xml:space="preserve">, 839 F.3d at 1186 (quoting </w:t>
      </w:r>
      <w:r w:rsidRPr="002B283E">
        <w:rPr>
          <w:rFonts w:eastAsia="Times New Roman" w:cs="Times New Roman"/>
          <w:i/>
          <w:iCs/>
          <w:szCs w:val="24"/>
        </w:rPr>
        <w:t>Peterson v. Kennedy</w:t>
      </w:r>
      <w:r w:rsidRPr="002B283E">
        <w:rPr>
          <w:rFonts w:eastAsia="Times New Roman" w:cs="Times New Roman"/>
          <w:szCs w:val="24"/>
        </w:rPr>
        <w:t>, 771 F.2d 1244, 1253</w:t>
      </w:r>
      <w:r w:rsidR="00612755">
        <w:rPr>
          <w:rFonts w:eastAsia="Times New Roman" w:cs="Times New Roman"/>
          <w:szCs w:val="24"/>
        </w:rPr>
        <w:t>-</w:t>
      </w:r>
      <w:r w:rsidRPr="002B283E">
        <w:rPr>
          <w:rFonts w:eastAsia="Times New Roman" w:cs="Times New Roman"/>
          <w:szCs w:val="24"/>
        </w:rPr>
        <w:t xml:space="preserve">54 (9th Cir. 1985)). By contrast, if “a union’s conduct constitutes an exercise of judgment,” </w:t>
      </w:r>
      <w:r w:rsidR="00AB31FA">
        <w:rPr>
          <w:rFonts w:eastAsia="Times New Roman" w:cs="Times New Roman"/>
          <w:szCs w:val="24"/>
        </w:rPr>
        <w:t>the union</w:t>
      </w:r>
      <w:r w:rsidRPr="002B283E">
        <w:rPr>
          <w:rFonts w:eastAsia="Times New Roman" w:cs="Times New Roman"/>
          <w:szCs w:val="24"/>
        </w:rPr>
        <w:t xml:space="preserve"> is “entitled to deference” unless its decision is “wholly irrational.” </w:t>
      </w:r>
      <w:r w:rsidRPr="002B283E">
        <w:rPr>
          <w:rFonts w:eastAsia="Times New Roman" w:cs="Times New Roman"/>
          <w:i/>
          <w:iCs/>
          <w:szCs w:val="24"/>
        </w:rPr>
        <w:t>Beck</w:t>
      </w:r>
      <w:r w:rsidRPr="002B283E">
        <w:rPr>
          <w:rFonts w:eastAsia="Times New Roman" w:cs="Times New Roman"/>
          <w:szCs w:val="24"/>
        </w:rPr>
        <w:t>, 506 F.3d at 879</w:t>
      </w:r>
      <w:r w:rsidR="00612755">
        <w:rPr>
          <w:rFonts w:eastAsia="Times New Roman" w:cs="Times New Roman"/>
          <w:szCs w:val="24"/>
        </w:rPr>
        <w:t>-</w:t>
      </w:r>
      <w:r w:rsidRPr="002B283E">
        <w:rPr>
          <w:rFonts w:eastAsia="Times New Roman" w:cs="Times New Roman"/>
          <w:szCs w:val="24"/>
        </w:rPr>
        <w:t xml:space="preserve">80. This is a deferential standard that “gives the union room to make discretionary decisions and choices, even if those judgments are ultimately wrong.” </w:t>
      </w:r>
      <w:r w:rsidRPr="002B283E">
        <w:rPr>
          <w:rFonts w:eastAsia="Times New Roman" w:cs="Times New Roman"/>
          <w:i/>
          <w:iCs/>
          <w:szCs w:val="24"/>
        </w:rPr>
        <w:t>Id</w:t>
      </w:r>
      <w:r w:rsidR="00A87F6E">
        <w:rPr>
          <w:rFonts w:eastAsia="Times New Roman" w:cs="Times New Roman"/>
          <w:i/>
          <w:iCs/>
          <w:szCs w:val="24"/>
        </w:rPr>
        <w:t xml:space="preserve">. </w:t>
      </w:r>
      <w:r w:rsidRPr="002B283E">
        <w:rPr>
          <w:rFonts w:eastAsia="Times New Roman" w:cs="Times New Roman"/>
          <w:szCs w:val="24"/>
        </w:rPr>
        <w:t xml:space="preserve">(quoting </w:t>
      </w:r>
      <w:r w:rsidRPr="002B283E">
        <w:rPr>
          <w:rFonts w:eastAsia="Times New Roman" w:cs="Times New Roman"/>
          <w:i/>
          <w:iCs/>
          <w:szCs w:val="24"/>
        </w:rPr>
        <w:t>Marquez v. Screen Actors Guild, Inc.</w:t>
      </w:r>
      <w:r w:rsidRPr="002B283E">
        <w:rPr>
          <w:rFonts w:eastAsia="Times New Roman" w:cs="Times New Roman"/>
          <w:szCs w:val="24"/>
        </w:rPr>
        <w:t>, 525 U.S. 33, 45</w:t>
      </w:r>
      <w:r w:rsidR="00612755">
        <w:rPr>
          <w:rFonts w:eastAsia="Times New Roman" w:cs="Times New Roman"/>
          <w:szCs w:val="24"/>
        </w:rPr>
        <w:t>-</w:t>
      </w:r>
      <w:r w:rsidRPr="002B283E">
        <w:rPr>
          <w:rFonts w:eastAsia="Times New Roman" w:cs="Times New Roman"/>
          <w:szCs w:val="24"/>
        </w:rPr>
        <w:t xml:space="preserve">46 (1998)); </w:t>
      </w:r>
      <w:r w:rsidRPr="002B283E">
        <w:rPr>
          <w:rFonts w:eastAsia="Times New Roman" w:cs="Times New Roman"/>
          <w:i/>
          <w:iCs/>
          <w:szCs w:val="24"/>
        </w:rPr>
        <w:t>see also Demetris v. Transp. Workers Union of Am</w:t>
      </w:r>
      <w:r w:rsidR="00AB31FA">
        <w:rPr>
          <w:rFonts w:eastAsia="Times New Roman" w:cs="Times New Roman"/>
          <w:i/>
          <w:iCs/>
          <w:szCs w:val="24"/>
        </w:rPr>
        <w:t>.</w:t>
      </w:r>
      <w:r w:rsidRPr="002B283E">
        <w:rPr>
          <w:rFonts w:eastAsia="Times New Roman" w:cs="Times New Roman"/>
          <w:i/>
          <w:iCs/>
          <w:szCs w:val="24"/>
        </w:rPr>
        <w:t>, AFL-CIO</w:t>
      </w:r>
      <w:r w:rsidRPr="002B283E">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48AC82FF" w14:textId="77777777" w:rsidR="00612755" w:rsidRPr="002B283E" w:rsidRDefault="00612755" w:rsidP="002B283E">
      <w:pPr>
        <w:shd w:val="clear" w:color="auto" w:fill="FFFFFF"/>
        <w:rPr>
          <w:rFonts w:eastAsia="Times New Roman" w:cs="Times New Roman"/>
          <w:bCs/>
          <w:szCs w:val="24"/>
        </w:rPr>
      </w:pPr>
    </w:p>
    <w:p w14:paraId="1E464E11" w14:textId="65D5A156"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2B283E">
        <w:rPr>
          <w:rFonts w:eastAsia="Times New Roman" w:cs="Times New Roman"/>
          <w:i/>
          <w:iCs/>
          <w:szCs w:val="24"/>
        </w:rPr>
        <w:t>Beck</w:t>
      </w:r>
      <w:r w:rsidRPr="002B283E">
        <w:rPr>
          <w:rFonts w:eastAsia="Times New Roman" w:cs="Times New Roman"/>
          <w:szCs w:val="24"/>
        </w:rPr>
        <w:t>, 506 F.3d at 880. To establish that a union acted in “bad faith,” a plaintiff must provide “substantial evidence of fraud, deceitful action, or dishonest</w:t>
      </w:r>
      <w:r w:rsidR="00612755">
        <w:rPr>
          <w:rFonts w:eastAsia="Times New Roman" w:cs="Times New Roman"/>
          <w:szCs w:val="24"/>
        </w:rPr>
        <w:t xml:space="preserve"> </w:t>
      </w:r>
      <w:r w:rsidRPr="002B283E">
        <w:rPr>
          <w:rFonts w:eastAsia="Times New Roman" w:cs="Times New Roman"/>
          <w:szCs w:val="24"/>
        </w:rPr>
        <w:t>conduct,” </w:t>
      </w:r>
      <w:r w:rsidRPr="002B283E">
        <w:rPr>
          <w:rFonts w:eastAsia="Times New Roman" w:cs="Times New Roman"/>
          <w:i/>
          <w:iCs/>
          <w:szCs w:val="24"/>
        </w:rPr>
        <w:t>Beck</w:t>
      </w:r>
      <w:r w:rsidRPr="002B283E">
        <w:rPr>
          <w:rFonts w:eastAsia="Times New Roman" w:cs="Times New Roman"/>
          <w:szCs w:val="24"/>
        </w:rPr>
        <w:t xml:space="preserve">, 506 F.3d at 880 (quoting </w:t>
      </w:r>
      <w:r w:rsidRPr="002B283E">
        <w:rPr>
          <w:rFonts w:eastAsia="Times New Roman" w:cs="Times New Roman"/>
          <w:i/>
          <w:iCs/>
          <w:szCs w:val="24"/>
        </w:rPr>
        <w:t>Amalgamated Ass’n of St., Elec. Ry. &amp; Motor Coach Emps. of Am. v. Lockridge</w:t>
      </w:r>
      <w:r w:rsidRPr="002B283E">
        <w:rPr>
          <w:rFonts w:eastAsia="Times New Roman" w:cs="Times New Roman"/>
          <w:szCs w:val="24"/>
        </w:rPr>
        <w:t>, 403 U.S. 274, 299 (1971)), or evidence that the union was motivated by personal animus toward the plaintiff. </w:t>
      </w:r>
      <w:r w:rsidRPr="002B283E">
        <w:rPr>
          <w:rFonts w:eastAsia="Times New Roman" w:cs="Times New Roman"/>
          <w:i/>
          <w:iCs/>
          <w:szCs w:val="24"/>
        </w:rPr>
        <w:t>See Conkle v. Jeong</w:t>
      </w:r>
      <w:r w:rsidRPr="002B283E">
        <w:rPr>
          <w:rFonts w:eastAsia="Times New Roman" w:cs="Times New Roman"/>
          <w:szCs w:val="24"/>
        </w:rPr>
        <w:t xml:space="preserve">, 73 F.3d 909, 916 (9th Cir. 1995) (including personal animus as basis for finding of bad faith); </w:t>
      </w:r>
      <w:r w:rsidRPr="002B283E">
        <w:rPr>
          <w:rFonts w:eastAsia="Times New Roman" w:cs="Times New Roman"/>
          <w:i/>
          <w:iCs/>
          <w:szCs w:val="24"/>
        </w:rPr>
        <w:t>see also United Bhd. of Carpenters &amp; Joiners of Am</w:t>
      </w:r>
      <w:r w:rsidR="00AB31FA">
        <w:rPr>
          <w:rFonts w:eastAsia="Times New Roman" w:cs="Times New Roman"/>
          <w:i/>
          <w:iCs/>
          <w:szCs w:val="24"/>
        </w:rPr>
        <w:t>.</w:t>
      </w:r>
      <w:r w:rsidRPr="002B283E">
        <w:rPr>
          <w:rFonts w:eastAsia="Times New Roman" w:cs="Times New Roman"/>
          <w:szCs w:val="24"/>
        </w:rPr>
        <w:t>, 770 F.3d at 852 (observing that</w:t>
      </w:r>
      <w:r w:rsidR="00853816">
        <w:rPr>
          <w:rFonts w:eastAsia="Times New Roman" w:cs="Times New Roman"/>
          <w:szCs w:val="24"/>
        </w:rPr>
        <w:t xml:space="preserve"> the</w:t>
      </w:r>
      <w:r w:rsidRPr="002B283E">
        <w:rPr>
          <w:rFonts w:eastAsia="Times New Roman" w:cs="Times New Roman"/>
          <w:szCs w:val="24"/>
        </w:rPr>
        <w:t xml:space="preserve"> union’s failure to follow internal policies is “strong evidence of bad faith”).</w:t>
      </w:r>
    </w:p>
    <w:p w14:paraId="585783B9" w14:textId="77777777" w:rsidR="00612755" w:rsidRPr="002B283E" w:rsidRDefault="00612755" w:rsidP="002B283E">
      <w:pPr>
        <w:shd w:val="clear" w:color="auto" w:fill="FFFFFF"/>
        <w:rPr>
          <w:rFonts w:eastAsia="Times New Roman" w:cs="Times New Roman"/>
          <w:bCs/>
          <w:szCs w:val="24"/>
        </w:rPr>
      </w:pPr>
    </w:p>
    <w:p w14:paraId="786F9DE9" w14:textId="03268C48" w:rsidR="006E65C6" w:rsidRPr="002B283E" w:rsidRDefault="003A034E" w:rsidP="002B283E">
      <w:pPr>
        <w:shd w:val="clear" w:color="auto" w:fill="FFFFFF"/>
        <w:ind w:firstLine="720"/>
        <w:rPr>
          <w:rFonts w:eastAsia="Times New Roman" w:cs="Times New Roman"/>
          <w:szCs w:val="24"/>
        </w:rPr>
      </w:pPr>
      <w:r w:rsidRPr="002B283E">
        <w:rPr>
          <w:rFonts w:eastAsia="Times New Roman" w:cs="Times New Roman"/>
          <w:szCs w:val="24"/>
        </w:rPr>
        <w:t xml:space="preserve">To establish that a union impermissibly discriminated against its members, “the aggrieved members </w:t>
      </w:r>
      <w:r w:rsidR="00853816">
        <w:rPr>
          <w:rFonts w:eastAsia="Times New Roman" w:cs="Times New Roman"/>
          <w:szCs w:val="24"/>
        </w:rPr>
        <w:t>[</w:t>
      </w:r>
      <w:r w:rsidRPr="002B283E">
        <w:rPr>
          <w:rFonts w:eastAsia="Times New Roman" w:cs="Times New Roman"/>
          <w:szCs w:val="24"/>
        </w:rPr>
        <w:t>must</w:t>
      </w:r>
      <w:r w:rsidR="00853816">
        <w:rPr>
          <w:rFonts w:eastAsia="Times New Roman" w:cs="Times New Roman"/>
          <w:szCs w:val="24"/>
        </w:rPr>
        <w:t>]</w:t>
      </w:r>
      <w:r w:rsidRPr="002B283E">
        <w:rPr>
          <w:rFonts w:eastAsia="Times New Roman" w:cs="Times New Roman"/>
          <w:szCs w:val="24"/>
        </w:rPr>
        <w:t xml:space="preserve"> set forth ‘substantial evidence of discrimination that is intentional, severe, and unrelated to legitimate union objectives.’” </w:t>
      </w:r>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Lockridge</w:t>
      </w:r>
      <w:r w:rsidRPr="002B283E">
        <w:rPr>
          <w:rFonts w:eastAsia="Times New Roman" w:cs="Times New Roman"/>
          <w:szCs w:val="24"/>
        </w:rPr>
        <w:t>, 403 U.S. at 301)</w:t>
      </w:r>
      <w:r w:rsidR="00A87F6E">
        <w:rPr>
          <w:rFonts w:eastAsia="Times New Roman" w:cs="Times New Roman"/>
          <w:szCs w:val="24"/>
        </w:rPr>
        <w:t xml:space="preserve">. </w:t>
      </w:r>
      <w:r w:rsidRPr="008A04C2">
        <w:rPr>
          <w:rFonts w:eastAsia="Times New Roman" w:cs="Times New Roman"/>
          <w:szCs w:val="24"/>
        </w:rPr>
        <w:t>The duty to not discriminate</w:t>
      </w:r>
      <w:r w:rsidRPr="002B283E">
        <w:rPr>
          <w:rFonts w:eastAsia="Times New Roman" w:cs="Times New Roman"/>
          <w:szCs w:val="24"/>
        </w:rPr>
        <w:t xml:space="preserve"> extends beyond “race or other constitutionally protected categories.” </w:t>
      </w:r>
      <w:r w:rsidRPr="002B283E">
        <w:rPr>
          <w:rFonts w:eastAsia="Times New Roman" w:cs="Times New Roman"/>
          <w:i/>
          <w:iCs/>
          <w:szCs w:val="24"/>
        </w:rPr>
        <w:t>Simo</w:t>
      </w:r>
      <w:r w:rsidRPr="002B283E">
        <w:rPr>
          <w:rFonts w:eastAsia="Times New Roman" w:cs="Times New Roman"/>
          <w:szCs w:val="24"/>
        </w:rPr>
        <w:t xml:space="preserve">, 322 F.3d at 61-19. For example, “a union may not ‘discriminate on the basis of union membership.’” </w:t>
      </w:r>
      <w:r w:rsidRPr="002B283E">
        <w:rPr>
          <w:rFonts w:eastAsia="Times New Roman" w:cs="Times New Roman"/>
          <w:i/>
          <w:iCs/>
          <w:szCs w:val="24"/>
        </w:rPr>
        <w:t>Id</w:t>
      </w:r>
      <w:r w:rsidRPr="002B283E">
        <w:rPr>
          <w:rFonts w:eastAsia="Times New Roman" w:cs="Times New Roman"/>
          <w:szCs w:val="24"/>
        </w:rPr>
        <w:t xml:space="preserve">. (quoting </w:t>
      </w:r>
      <w:r w:rsidRPr="002B283E">
        <w:rPr>
          <w:rFonts w:eastAsia="Times New Roman" w:cs="Times New Roman"/>
          <w:i/>
          <w:iCs/>
          <w:szCs w:val="24"/>
        </w:rPr>
        <w:t>Bernard v. Air Line Pilots Ass’n, Int’l</w:t>
      </w:r>
      <w:r w:rsidRPr="002B283E">
        <w:rPr>
          <w:rFonts w:eastAsia="Times New Roman" w:cs="Times New Roman"/>
          <w:szCs w:val="24"/>
        </w:rPr>
        <w:t>, 873 F.2d 213, 216 (9th Cir. 1989));</w:t>
      </w:r>
      <w:r w:rsidRPr="002B283E">
        <w:rPr>
          <w:rFonts w:eastAsia="Times New Roman" w:cs="Times New Roman"/>
          <w:i/>
          <w:iCs/>
          <w:szCs w:val="24"/>
        </w:rPr>
        <w:t xml:space="preserve"> see also Demetris</w:t>
      </w:r>
      <w:r w:rsidRPr="002B283E">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327" w:name="_Hlk127358195"/>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Vaughn v. Air Line Pilots Ass’n, Int’l</w:t>
      </w:r>
      <w:r w:rsidRPr="002B283E">
        <w:rPr>
          <w:rFonts w:eastAsia="Times New Roman" w:cs="Times New Roman"/>
          <w:szCs w:val="24"/>
        </w:rPr>
        <w:t>, 604 F.3d 703, 712 (2d Cir. 2010)).</w:t>
      </w:r>
      <w:bookmarkEnd w:id="327"/>
    </w:p>
    <w:p w14:paraId="15371249" w14:textId="5E68E03E" w:rsidR="003A034E" w:rsidRDefault="003A034E" w:rsidP="002B283E">
      <w:pPr>
        <w:shd w:val="clear" w:color="auto" w:fill="FFFFFF"/>
        <w:ind w:firstLine="720"/>
        <w:jc w:val="right"/>
        <w:rPr>
          <w:rFonts w:eastAsia="Times New Roman" w:cs="Times New Roman"/>
          <w:i/>
          <w:iCs/>
          <w:szCs w:val="24"/>
        </w:rPr>
      </w:pPr>
      <w:r w:rsidRPr="002B283E">
        <w:rPr>
          <w:rFonts w:eastAsia="Times New Roman" w:cs="Times New Roman"/>
          <w:i/>
          <w:iCs/>
          <w:szCs w:val="24"/>
        </w:rPr>
        <w:lastRenderedPageBreak/>
        <w:t>Revised Mar. 2023</w:t>
      </w:r>
    </w:p>
    <w:p w14:paraId="3AFA4EE0" w14:textId="77777777" w:rsidR="00957D4D" w:rsidRDefault="00957D4D" w:rsidP="002B283E">
      <w:pPr>
        <w:shd w:val="clear" w:color="auto" w:fill="FFFFFF"/>
        <w:ind w:firstLine="720"/>
        <w:jc w:val="right"/>
        <w:rPr>
          <w:rFonts w:eastAsia="Times New Roman" w:cs="Times New Roman"/>
          <w:i/>
          <w:iCs/>
          <w:szCs w:val="24"/>
        </w:rPr>
      </w:pPr>
    </w:p>
    <w:p w14:paraId="2795B353" w14:textId="77777777" w:rsidR="00957D4D" w:rsidRDefault="00957D4D" w:rsidP="002B283E">
      <w:pPr>
        <w:shd w:val="clear" w:color="auto" w:fill="FFFFFF"/>
        <w:ind w:firstLine="720"/>
        <w:jc w:val="right"/>
        <w:rPr>
          <w:rFonts w:eastAsia="Times New Roman" w:cs="Times New Roman"/>
          <w:i/>
          <w:iCs/>
          <w:szCs w:val="24"/>
        </w:rPr>
      </w:pPr>
    </w:p>
    <w:p w14:paraId="6569286F" w14:textId="77777777" w:rsidR="00957D4D" w:rsidRDefault="00957D4D" w:rsidP="002B283E">
      <w:pPr>
        <w:shd w:val="clear" w:color="auto" w:fill="FFFFFF"/>
        <w:ind w:firstLine="720"/>
        <w:jc w:val="right"/>
        <w:rPr>
          <w:rFonts w:eastAsia="Times New Roman" w:cs="Times New Roman"/>
          <w:i/>
          <w:iCs/>
          <w:szCs w:val="24"/>
        </w:rPr>
      </w:pPr>
    </w:p>
    <w:p w14:paraId="41C28B62" w14:textId="77777777" w:rsidR="00957D4D" w:rsidRDefault="00957D4D" w:rsidP="002B283E">
      <w:pPr>
        <w:shd w:val="clear" w:color="auto" w:fill="FFFFFF"/>
        <w:ind w:firstLine="720"/>
        <w:jc w:val="right"/>
        <w:rPr>
          <w:rFonts w:eastAsia="Times New Roman" w:cs="Times New Roman"/>
          <w:i/>
          <w:iCs/>
          <w:szCs w:val="24"/>
        </w:rPr>
      </w:pPr>
    </w:p>
    <w:p w14:paraId="30AE22E2" w14:textId="77777777" w:rsidR="00957D4D" w:rsidRDefault="00957D4D" w:rsidP="002B283E">
      <w:pPr>
        <w:shd w:val="clear" w:color="auto" w:fill="FFFFFF"/>
        <w:ind w:firstLine="720"/>
        <w:jc w:val="right"/>
        <w:rPr>
          <w:rFonts w:eastAsia="Times New Roman" w:cs="Times New Roman"/>
          <w:i/>
          <w:iCs/>
          <w:szCs w:val="24"/>
        </w:rPr>
      </w:pPr>
    </w:p>
    <w:p w14:paraId="058E06E3" w14:textId="77777777" w:rsidR="00957D4D" w:rsidRDefault="00957D4D" w:rsidP="002B283E">
      <w:pPr>
        <w:shd w:val="clear" w:color="auto" w:fill="FFFFFF"/>
        <w:ind w:firstLine="720"/>
        <w:jc w:val="right"/>
        <w:rPr>
          <w:rFonts w:eastAsia="Times New Roman" w:cs="Times New Roman"/>
          <w:i/>
          <w:iCs/>
          <w:szCs w:val="24"/>
        </w:rPr>
      </w:pPr>
    </w:p>
    <w:p w14:paraId="60925038" w14:textId="77777777" w:rsidR="00957D4D" w:rsidRDefault="00957D4D" w:rsidP="002B283E">
      <w:pPr>
        <w:shd w:val="clear" w:color="auto" w:fill="FFFFFF"/>
        <w:ind w:firstLine="720"/>
        <w:jc w:val="right"/>
        <w:rPr>
          <w:rFonts w:eastAsia="Times New Roman" w:cs="Times New Roman"/>
          <w:i/>
          <w:iCs/>
          <w:szCs w:val="24"/>
        </w:rPr>
      </w:pPr>
    </w:p>
    <w:p w14:paraId="6F4C7692" w14:textId="77777777" w:rsidR="00957D4D" w:rsidRDefault="00957D4D" w:rsidP="002B283E">
      <w:pPr>
        <w:shd w:val="clear" w:color="auto" w:fill="FFFFFF"/>
        <w:ind w:firstLine="720"/>
        <w:jc w:val="right"/>
        <w:rPr>
          <w:rFonts w:eastAsia="Times New Roman" w:cs="Times New Roman"/>
          <w:i/>
          <w:iCs/>
          <w:szCs w:val="24"/>
        </w:rPr>
      </w:pPr>
    </w:p>
    <w:p w14:paraId="777C3F8A" w14:textId="77777777" w:rsidR="00957D4D" w:rsidRDefault="00957D4D" w:rsidP="002B283E">
      <w:pPr>
        <w:shd w:val="clear" w:color="auto" w:fill="FFFFFF"/>
        <w:ind w:firstLine="720"/>
        <w:jc w:val="right"/>
        <w:rPr>
          <w:rFonts w:eastAsia="Times New Roman" w:cs="Times New Roman"/>
          <w:i/>
          <w:iCs/>
          <w:szCs w:val="24"/>
        </w:rPr>
      </w:pPr>
    </w:p>
    <w:p w14:paraId="5B62C6F4" w14:textId="77777777" w:rsidR="00957D4D" w:rsidRDefault="00957D4D" w:rsidP="002B283E">
      <w:pPr>
        <w:shd w:val="clear" w:color="auto" w:fill="FFFFFF"/>
        <w:ind w:firstLine="720"/>
        <w:jc w:val="right"/>
        <w:rPr>
          <w:rFonts w:eastAsia="Times New Roman" w:cs="Times New Roman"/>
          <w:i/>
          <w:iCs/>
          <w:szCs w:val="24"/>
        </w:rPr>
      </w:pPr>
    </w:p>
    <w:p w14:paraId="20A17A56" w14:textId="77777777" w:rsidR="00957D4D" w:rsidRDefault="00957D4D" w:rsidP="002B283E">
      <w:pPr>
        <w:shd w:val="clear" w:color="auto" w:fill="FFFFFF"/>
        <w:ind w:firstLine="720"/>
        <w:jc w:val="right"/>
        <w:rPr>
          <w:rFonts w:eastAsia="Times New Roman" w:cs="Times New Roman"/>
          <w:i/>
          <w:iCs/>
          <w:szCs w:val="24"/>
        </w:rPr>
      </w:pPr>
    </w:p>
    <w:p w14:paraId="3D59C4B9" w14:textId="77777777" w:rsidR="00957D4D" w:rsidRDefault="00957D4D" w:rsidP="002B283E">
      <w:pPr>
        <w:shd w:val="clear" w:color="auto" w:fill="FFFFFF"/>
        <w:ind w:firstLine="720"/>
        <w:jc w:val="right"/>
        <w:rPr>
          <w:rFonts w:eastAsia="Times New Roman" w:cs="Times New Roman"/>
          <w:i/>
          <w:iCs/>
          <w:szCs w:val="24"/>
        </w:rPr>
      </w:pPr>
    </w:p>
    <w:p w14:paraId="7BE7A43B" w14:textId="77777777" w:rsidR="00957D4D" w:rsidRDefault="00957D4D" w:rsidP="002B283E">
      <w:pPr>
        <w:shd w:val="clear" w:color="auto" w:fill="FFFFFF"/>
        <w:ind w:firstLine="720"/>
        <w:jc w:val="right"/>
        <w:rPr>
          <w:rFonts w:eastAsia="Times New Roman" w:cs="Times New Roman"/>
          <w:i/>
          <w:iCs/>
          <w:szCs w:val="24"/>
        </w:rPr>
      </w:pPr>
    </w:p>
    <w:p w14:paraId="0BE8B7F5" w14:textId="77777777" w:rsidR="00957D4D" w:rsidRDefault="00957D4D" w:rsidP="002B283E">
      <w:pPr>
        <w:shd w:val="clear" w:color="auto" w:fill="FFFFFF"/>
        <w:ind w:firstLine="720"/>
        <w:jc w:val="right"/>
        <w:rPr>
          <w:rFonts w:eastAsia="Times New Roman" w:cs="Times New Roman"/>
          <w:i/>
          <w:iCs/>
          <w:szCs w:val="24"/>
        </w:rPr>
      </w:pPr>
    </w:p>
    <w:p w14:paraId="598A76D3" w14:textId="77777777" w:rsidR="00957D4D" w:rsidRDefault="00957D4D" w:rsidP="002B283E">
      <w:pPr>
        <w:shd w:val="clear" w:color="auto" w:fill="FFFFFF"/>
        <w:ind w:firstLine="720"/>
        <w:jc w:val="right"/>
        <w:rPr>
          <w:rFonts w:eastAsia="Times New Roman" w:cs="Times New Roman"/>
          <w:i/>
          <w:iCs/>
          <w:szCs w:val="24"/>
        </w:rPr>
      </w:pPr>
    </w:p>
    <w:p w14:paraId="7F02D2FA" w14:textId="77777777" w:rsidR="00957D4D" w:rsidRDefault="00957D4D" w:rsidP="002B283E">
      <w:pPr>
        <w:shd w:val="clear" w:color="auto" w:fill="FFFFFF"/>
        <w:ind w:firstLine="720"/>
        <w:jc w:val="right"/>
        <w:rPr>
          <w:rFonts w:eastAsia="Times New Roman" w:cs="Times New Roman"/>
          <w:i/>
          <w:iCs/>
          <w:szCs w:val="24"/>
        </w:rPr>
      </w:pPr>
    </w:p>
    <w:p w14:paraId="5494A588" w14:textId="77777777" w:rsidR="00957D4D" w:rsidRDefault="00957D4D" w:rsidP="002B283E">
      <w:pPr>
        <w:shd w:val="clear" w:color="auto" w:fill="FFFFFF"/>
        <w:ind w:firstLine="720"/>
        <w:jc w:val="right"/>
        <w:rPr>
          <w:rFonts w:eastAsia="Times New Roman" w:cs="Times New Roman"/>
          <w:i/>
          <w:iCs/>
          <w:szCs w:val="24"/>
        </w:rPr>
      </w:pPr>
    </w:p>
    <w:p w14:paraId="73BD30D2" w14:textId="77777777" w:rsidR="00957D4D" w:rsidRDefault="00957D4D" w:rsidP="002B283E">
      <w:pPr>
        <w:shd w:val="clear" w:color="auto" w:fill="FFFFFF"/>
        <w:ind w:firstLine="720"/>
        <w:jc w:val="right"/>
        <w:rPr>
          <w:rFonts w:eastAsia="Times New Roman" w:cs="Times New Roman"/>
          <w:i/>
          <w:iCs/>
          <w:szCs w:val="24"/>
        </w:rPr>
      </w:pPr>
    </w:p>
    <w:p w14:paraId="52AD1402" w14:textId="77777777" w:rsidR="00957D4D" w:rsidRDefault="00957D4D" w:rsidP="002B283E">
      <w:pPr>
        <w:shd w:val="clear" w:color="auto" w:fill="FFFFFF"/>
        <w:ind w:firstLine="720"/>
        <w:jc w:val="right"/>
        <w:rPr>
          <w:rFonts w:eastAsia="Times New Roman" w:cs="Times New Roman"/>
          <w:i/>
          <w:iCs/>
          <w:szCs w:val="24"/>
        </w:rPr>
      </w:pPr>
    </w:p>
    <w:p w14:paraId="3909F599" w14:textId="77777777" w:rsidR="00957D4D" w:rsidRDefault="00957D4D" w:rsidP="002B283E">
      <w:pPr>
        <w:shd w:val="clear" w:color="auto" w:fill="FFFFFF"/>
        <w:ind w:firstLine="720"/>
        <w:jc w:val="right"/>
        <w:rPr>
          <w:rFonts w:eastAsia="Times New Roman" w:cs="Times New Roman"/>
          <w:i/>
          <w:iCs/>
          <w:szCs w:val="24"/>
        </w:rPr>
      </w:pPr>
    </w:p>
    <w:p w14:paraId="498F8705" w14:textId="77777777" w:rsidR="00957D4D" w:rsidRDefault="00957D4D" w:rsidP="002B283E">
      <w:pPr>
        <w:shd w:val="clear" w:color="auto" w:fill="FFFFFF"/>
        <w:ind w:firstLine="720"/>
        <w:jc w:val="right"/>
        <w:rPr>
          <w:rFonts w:eastAsia="Times New Roman" w:cs="Times New Roman"/>
          <w:i/>
          <w:iCs/>
          <w:szCs w:val="24"/>
        </w:rPr>
      </w:pPr>
    </w:p>
    <w:p w14:paraId="0B8D0E12" w14:textId="77777777" w:rsidR="00957D4D" w:rsidRDefault="00957D4D" w:rsidP="002B283E">
      <w:pPr>
        <w:shd w:val="clear" w:color="auto" w:fill="FFFFFF"/>
        <w:ind w:firstLine="720"/>
        <w:jc w:val="right"/>
        <w:rPr>
          <w:rFonts w:eastAsia="Times New Roman" w:cs="Times New Roman"/>
          <w:i/>
          <w:iCs/>
          <w:szCs w:val="24"/>
        </w:rPr>
      </w:pPr>
    </w:p>
    <w:p w14:paraId="6DD1E8A8" w14:textId="77777777" w:rsidR="00957D4D" w:rsidRDefault="00957D4D" w:rsidP="002B283E">
      <w:pPr>
        <w:shd w:val="clear" w:color="auto" w:fill="FFFFFF"/>
        <w:ind w:firstLine="720"/>
        <w:jc w:val="right"/>
        <w:rPr>
          <w:rFonts w:eastAsia="Times New Roman" w:cs="Times New Roman"/>
          <w:i/>
          <w:iCs/>
          <w:szCs w:val="24"/>
        </w:rPr>
      </w:pPr>
    </w:p>
    <w:p w14:paraId="65FD2786" w14:textId="77777777" w:rsidR="00957D4D" w:rsidRDefault="00957D4D" w:rsidP="002B283E">
      <w:pPr>
        <w:shd w:val="clear" w:color="auto" w:fill="FFFFFF"/>
        <w:ind w:firstLine="720"/>
        <w:jc w:val="right"/>
        <w:rPr>
          <w:rFonts w:eastAsia="Times New Roman" w:cs="Times New Roman"/>
          <w:i/>
          <w:iCs/>
          <w:szCs w:val="24"/>
        </w:rPr>
      </w:pPr>
    </w:p>
    <w:p w14:paraId="08799BDF" w14:textId="77777777" w:rsidR="00957D4D" w:rsidRDefault="00957D4D" w:rsidP="002B283E">
      <w:pPr>
        <w:shd w:val="clear" w:color="auto" w:fill="FFFFFF"/>
        <w:ind w:firstLine="720"/>
        <w:jc w:val="right"/>
        <w:rPr>
          <w:rFonts w:eastAsia="Times New Roman" w:cs="Times New Roman"/>
          <w:i/>
          <w:iCs/>
          <w:szCs w:val="24"/>
        </w:rPr>
      </w:pPr>
    </w:p>
    <w:p w14:paraId="3AD8F00B" w14:textId="77777777" w:rsidR="00957D4D" w:rsidRDefault="00957D4D" w:rsidP="002B283E">
      <w:pPr>
        <w:shd w:val="clear" w:color="auto" w:fill="FFFFFF"/>
        <w:ind w:firstLine="720"/>
        <w:jc w:val="right"/>
        <w:rPr>
          <w:rFonts w:eastAsia="Times New Roman" w:cs="Times New Roman"/>
          <w:i/>
          <w:iCs/>
          <w:szCs w:val="24"/>
        </w:rPr>
      </w:pPr>
    </w:p>
    <w:p w14:paraId="4A889F75" w14:textId="77777777" w:rsidR="00957D4D" w:rsidRDefault="00957D4D" w:rsidP="002B283E">
      <w:pPr>
        <w:shd w:val="clear" w:color="auto" w:fill="FFFFFF"/>
        <w:ind w:firstLine="720"/>
        <w:jc w:val="right"/>
        <w:rPr>
          <w:rFonts w:eastAsia="Times New Roman" w:cs="Times New Roman"/>
          <w:i/>
          <w:iCs/>
          <w:szCs w:val="24"/>
        </w:rPr>
      </w:pPr>
    </w:p>
    <w:p w14:paraId="3563EFB6" w14:textId="77777777" w:rsidR="00957D4D" w:rsidRDefault="00957D4D" w:rsidP="002B283E">
      <w:pPr>
        <w:shd w:val="clear" w:color="auto" w:fill="FFFFFF"/>
        <w:ind w:firstLine="720"/>
        <w:jc w:val="right"/>
        <w:rPr>
          <w:rFonts w:eastAsia="Times New Roman" w:cs="Times New Roman"/>
          <w:i/>
          <w:iCs/>
          <w:szCs w:val="24"/>
        </w:rPr>
      </w:pPr>
    </w:p>
    <w:p w14:paraId="0679B623" w14:textId="77777777" w:rsidR="00957D4D" w:rsidRDefault="00957D4D" w:rsidP="002B283E">
      <w:pPr>
        <w:shd w:val="clear" w:color="auto" w:fill="FFFFFF"/>
        <w:ind w:firstLine="720"/>
        <w:jc w:val="right"/>
        <w:rPr>
          <w:rFonts w:eastAsia="Times New Roman" w:cs="Times New Roman"/>
          <w:i/>
          <w:iCs/>
          <w:szCs w:val="24"/>
        </w:rPr>
      </w:pPr>
    </w:p>
    <w:p w14:paraId="101656A0" w14:textId="77777777" w:rsidR="00957D4D" w:rsidRDefault="00957D4D" w:rsidP="002B283E">
      <w:pPr>
        <w:shd w:val="clear" w:color="auto" w:fill="FFFFFF"/>
        <w:ind w:firstLine="720"/>
        <w:jc w:val="right"/>
        <w:rPr>
          <w:rFonts w:eastAsia="Times New Roman" w:cs="Times New Roman"/>
          <w:i/>
          <w:iCs/>
          <w:szCs w:val="24"/>
        </w:rPr>
      </w:pPr>
    </w:p>
    <w:p w14:paraId="17B38E36" w14:textId="77777777" w:rsidR="00957D4D" w:rsidRDefault="00957D4D" w:rsidP="002B283E">
      <w:pPr>
        <w:shd w:val="clear" w:color="auto" w:fill="FFFFFF"/>
        <w:ind w:firstLine="720"/>
        <w:jc w:val="right"/>
        <w:rPr>
          <w:rFonts w:eastAsia="Times New Roman" w:cs="Times New Roman"/>
          <w:i/>
          <w:iCs/>
          <w:szCs w:val="24"/>
        </w:rPr>
      </w:pPr>
    </w:p>
    <w:p w14:paraId="248A78DB" w14:textId="77777777" w:rsidR="00957D4D" w:rsidRDefault="00957D4D" w:rsidP="002B283E">
      <w:pPr>
        <w:shd w:val="clear" w:color="auto" w:fill="FFFFFF"/>
        <w:ind w:firstLine="720"/>
        <w:jc w:val="right"/>
        <w:rPr>
          <w:rFonts w:eastAsia="Times New Roman" w:cs="Times New Roman"/>
          <w:i/>
          <w:iCs/>
          <w:szCs w:val="24"/>
        </w:rPr>
      </w:pPr>
    </w:p>
    <w:p w14:paraId="597142B5" w14:textId="77777777" w:rsidR="00957D4D" w:rsidRDefault="00957D4D" w:rsidP="002B283E">
      <w:pPr>
        <w:shd w:val="clear" w:color="auto" w:fill="FFFFFF"/>
        <w:ind w:firstLine="720"/>
        <w:jc w:val="right"/>
        <w:rPr>
          <w:rFonts w:eastAsia="Times New Roman" w:cs="Times New Roman"/>
          <w:i/>
          <w:iCs/>
          <w:szCs w:val="24"/>
        </w:rPr>
      </w:pPr>
    </w:p>
    <w:p w14:paraId="4EA380DA" w14:textId="77777777" w:rsidR="00957D4D" w:rsidRDefault="00957D4D" w:rsidP="002B283E">
      <w:pPr>
        <w:shd w:val="clear" w:color="auto" w:fill="FFFFFF"/>
        <w:ind w:firstLine="720"/>
        <w:jc w:val="right"/>
        <w:rPr>
          <w:rFonts w:eastAsia="Times New Roman" w:cs="Times New Roman"/>
          <w:i/>
          <w:iCs/>
          <w:szCs w:val="24"/>
        </w:rPr>
      </w:pPr>
    </w:p>
    <w:p w14:paraId="3297F9BF" w14:textId="77777777" w:rsidR="00957D4D" w:rsidRDefault="00957D4D" w:rsidP="002B283E">
      <w:pPr>
        <w:shd w:val="clear" w:color="auto" w:fill="FFFFFF"/>
        <w:ind w:firstLine="720"/>
        <w:jc w:val="right"/>
        <w:rPr>
          <w:rFonts w:eastAsia="Times New Roman" w:cs="Times New Roman"/>
          <w:i/>
          <w:iCs/>
          <w:szCs w:val="24"/>
        </w:rPr>
      </w:pPr>
    </w:p>
    <w:p w14:paraId="7CE6B81C" w14:textId="77777777" w:rsidR="00957D4D" w:rsidRDefault="00957D4D" w:rsidP="002B283E">
      <w:pPr>
        <w:shd w:val="clear" w:color="auto" w:fill="FFFFFF"/>
        <w:ind w:firstLine="720"/>
        <w:jc w:val="right"/>
        <w:rPr>
          <w:rFonts w:eastAsia="Times New Roman" w:cs="Times New Roman"/>
          <w:i/>
          <w:iCs/>
          <w:szCs w:val="24"/>
        </w:rPr>
      </w:pPr>
    </w:p>
    <w:p w14:paraId="3FA61892" w14:textId="77777777" w:rsidR="00957D4D" w:rsidRDefault="00957D4D" w:rsidP="002B283E">
      <w:pPr>
        <w:shd w:val="clear" w:color="auto" w:fill="FFFFFF"/>
        <w:ind w:firstLine="720"/>
        <w:jc w:val="right"/>
        <w:rPr>
          <w:rFonts w:eastAsia="Times New Roman" w:cs="Times New Roman"/>
          <w:i/>
          <w:iCs/>
          <w:szCs w:val="24"/>
        </w:rPr>
      </w:pPr>
    </w:p>
    <w:p w14:paraId="5CA1412C" w14:textId="77777777" w:rsidR="00957D4D" w:rsidRDefault="00957D4D" w:rsidP="002B283E">
      <w:pPr>
        <w:shd w:val="clear" w:color="auto" w:fill="FFFFFF"/>
        <w:ind w:firstLine="720"/>
        <w:jc w:val="right"/>
        <w:rPr>
          <w:rFonts w:eastAsia="Times New Roman" w:cs="Times New Roman"/>
          <w:i/>
          <w:iCs/>
          <w:szCs w:val="24"/>
        </w:rPr>
      </w:pPr>
    </w:p>
    <w:p w14:paraId="51A6DCC9" w14:textId="77777777" w:rsidR="00957D4D" w:rsidRDefault="00957D4D" w:rsidP="002B283E">
      <w:pPr>
        <w:shd w:val="clear" w:color="auto" w:fill="FFFFFF"/>
        <w:ind w:firstLine="720"/>
        <w:jc w:val="right"/>
        <w:rPr>
          <w:rFonts w:eastAsia="Times New Roman" w:cs="Times New Roman"/>
          <w:i/>
          <w:iCs/>
          <w:szCs w:val="24"/>
        </w:rPr>
      </w:pPr>
    </w:p>
    <w:p w14:paraId="6892DAEA" w14:textId="77777777" w:rsidR="00957D4D" w:rsidRDefault="00957D4D" w:rsidP="002B283E">
      <w:pPr>
        <w:shd w:val="clear" w:color="auto" w:fill="FFFFFF"/>
        <w:ind w:firstLine="720"/>
        <w:jc w:val="right"/>
        <w:rPr>
          <w:rFonts w:eastAsia="Times New Roman" w:cs="Times New Roman"/>
          <w:i/>
          <w:iCs/>
          <w:szCs w:val="24"/>
        </w:rPr>
      </w:pPr>
    </w:p>
    <w:p w14:paraId="52188D8E" w14:textId="77777777" w:rsidR="00957D4D" w:rsidRDefault="00957D4D" w:rsidP="002B283E">
      <w:pPr>
        <w:shd w:val="clear" w:color="auto" w:fill="FFFFFF"/>
        <w:ind w:firstLine="720"/>
        <w:jc w:val="right"/>
        <w:rPr>
          <w:rFonts w:eastAsia="Times New Roman" w:cs="Times New Roman"/>
          <w:i/>
          <w:iCs/>
          <w:szCs w:val="24"/>
        </w:rPr>
      </w:pPr>
    </w:p>
    <w:p w14:paraId="31C4E155" w14:textId="77777777" w:rsidR="00957D4D" w:rsidRDefault="00957D4D" w:rsidP="002B283E">
      <w:pPr>
        <w:shd w:val="clear" w:color="auto" w:fill="FFFFFF"/>
        <w:ind w:firstLine="720"/>
        <w:jc w:val="right"/>
        <w:rPr>
          <w:rFonts w:eastAsia="Times New Roman" w:cs="Times New Roman"/>
          <w:i/>
          <w:iCs/>
          <w:szCs w:val="24"/>
        </w:rPr>
      </w:pPr>
    </w:p>
    <w:p w14:paraId="39BF55F0" w14:textId="77777777" w:rsidR="00957D4D" w:rsidRDefault="00957D4D" w:rsidP="002B283E">
      <w:pPr>
        <w:shd w:val="clear" w:color="auto" w:fill="FFFFFF"/>
        <w:ind w:firstLine="720"/>
        <w:jc w:val="right"/>
        <w:rPr>
          <w:rFonts w:eastAsia="Times New Roman" w:cs="Times New Roman"/>
          <w:i/>
          <w:iCs/>
          <w:szCs w:val="24"/>
        </w:rPr>
      </w:pPr>
    </w:p>
    <w:p w14:paraId="1B6772B0" w14:textId="77777777" w:rsidR="00957D4D" w:rsidRPr="002B283E" w:rsidRDefault="00957D4D" w:rsidP="002B283E">
      <w:pPr>
        <w:shd w:val="clear" w:color="auto" w:fill="FFFFFF"/>
        <w:ind w:firstLine="720"/>
        <w:jc w:val="right"/>
        <w:rPr>
          <w:rFonts w:cs="Times New Roman"/>
          <w:szCs w:val="24"/>
        </w:rPr>
      </w:pPr>
    </w:p>
    <w:p w14:paraId="4BD1C055" w14:textId="6E504DA2" w:rsidR="00673357" w:rsidRPr="002B283E" w:rsidRDefault="006A4CD7" w:rsidP="002B283E">
      <w:pPr>
        <w:pStyle w:val="Heading2"/>
      </w:pPr>
      <w:bookmarkStart w:id="328" w:name="_Toc221525264"/>
      <w:r w:rsidRPr="002B283E">
        <w:lastRenderedPageBreak/>
        <w:t>13.2 LMRA § 301—Damages</w:t>
      </w:r>
      <w:r w:rsidR="00673357" w:rsidRPr="002B283E">
        <w:t xml:space="preserve"> </w:t>
      </w:r>
      <w:r w:rsidRPr="002B283E">
        <w:t>(29 U.S.C. § 185)</w:t>
      </w:r>
      <w:bookmarkEnd w:id="328"/>
    </w:p>
    <w:p w14:paraId="48CC62B5" w14:textId="77777777" w:rsidR="006A4CD7" w:rsidRPr="002B283E" w:rsidRDefault="006A4CD7" w:rsidP="002B283E">
      <w:pPr>
        <w:rPr>
          <w:rFonts w:cs="Times New Roman"/>
          <w:szCs w:val="24"/>
        </w:rPr>
      </w:pPr>
    </w:p>
    <w:p w14:paraId="63F38DD2" w14:textId="19CEC25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2B283E" w:rsidRDefault="006A4CD7" w:rsidP="002B283E">
      <w:pPr>
        <w:autoSpaceDE w:val="0"/>
        <w:autoSpaceDN w:val="0"/>
        <w:adjustRightInd w:val="0"/>
        <w:rPr>
          <w:rFonts w:cs="Times New Roman"/>
          <w:szCs w:val="24"/>
        </w:rPr>
      </w:pPr>
    </w:p>
    <w:p w14:paraId="0F44CDA4" w14:textId="2C023A14"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 of damages recoverable</w:t>
      </w:r>
      <w:r w:rsidRPr="002B283E">
        <w:rPr>
          <w:rFonts w:cs="Times New Roman"/>
          <w:i/>
          <w:iCs/>
          <w:szCs w:val="24"/>
        </w:rPr>
        <w:t xml:space="preserve">. </w:t>
      </w:r>
      <w:r w:rsidRPr="002B283E">
        <w:rPr>
          <w:rFonts w:cs="Times New Roman"/>
          <w:i/>
          <w:iCs/>
          <w:szCs w:val="24"/>
          <w:u w:val="single"/>
        </w:rPr>
        <w:t xml:space="preserve">See Instructions 5.1 (Damages–Proof) and 5.2 (Measures of Types of Damages), and if mitigation is at issue, see Instruction 5.3 </w:t>
      </w:r>
      <w:r w:rsidRPr="002B283E">
        <w:rPr>
          <w:rFonts w:cs="Times New Roman"/>
          <w:szCs w:val="24"/>
          <w:u w:val="single"/>
        </w:rPr>
        <w:t>(</w:t>
      </w:r>
      <w:r w:rsidRPr="002B283E">
        <w:rPr>
          <w:rFonts w:cs="Times New Roman"/>
          <w:i/>
          <w:iCs/>
          <w:szCs w:val="24"/>
          <w:u w:val="single"/>
        </w:rPr>
        <w:t>Damages–Mitigation</w:t>
      </w:r>
      <w:r w:rsidRPr="002B283E">
        <w:rPr>
          <w:rFonts w:cs="Times New Roman"/>
          <w:szCs w:val="24"/>
          <w:u w:val="single"/>
        </w:rPr>
        <w:t>)</w:t>
      </w:r>
      <w:r w:rsidRPr="002B283E">
        <w:rPr>
          <w:rFonts w:cs="Times New Roman"/>
          <w:i/>
          <w:iCs/>
          <w:szCs w:val="24"/>
        </w:rPr>
        <w:t>.</w:t>
      </w:r>
      <w:r w:rsidRPr="002B283E">
        <w:rPr>
          <w:rFonts w:cs="Times New Roman"/>
          <w:szCs w:val="24"/>
        </w:rPr>
        <w:t>]</w:t>
      </w:r>
    </w:p>
    <w:p w14:paraId="5D91BDF4" w14:textId="77777777" w:rsidR="006A4CD7" w:rsidRPr="002B283E" w:rsidRDefault="006A4CD7" w:rsidP="002B283E">
      <w:pPr>
        <w:autoSpaceDE w:val="0"/>
        <w:autoSpaceDN w:val="0"/>
        <w:adjustRightInd w:val="0"/>
        <w:rPr>
          <w:rFonts w:cs="Times New Roman"/>
          <w:szCs w:val="24"/>
        </w:rPr>
      </w:pPr>
    </w:p>
    <w:p w14:paraId="3B312E61" w14:textId="537C3F32" w:rsidR="006A4CD7" w:rsidRPr="002B283E" w:rsidRDefault="006A4CD7" w:rsidP="002B283E">
      <w:pPr>
        <w:autoSpaceDE w:val="0"/>
        <w:autoSpaceDN w:val="0"/>
        <w:adjustRightInd w:val="0"/>
        <w:rPr>
          <w:rFonts w:cs="Times New Roman"/>
          <w:szCs w:val="24"/>
        </w:rPr>
      </w:pPr>
      <w:r w:rsidRPr="002B283E">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2B283E" w:rsidRDefault="006A4CD7" w:rsidP="002B283E">
      <w:pPr>
        <w:rPr>
          <w:rFonts w:cs="Times New Roman"/>
          <w:szCs w:val="24"/>
        </w:rPr>
      </w:pPr>
    </w:p>
    <w:p w14:paraId="1F42263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7C02DCC" w14:textId="77777777" w:rsidR="006A4CD7" w:rsidRPr="002B283E" w:rsidRDefault="006A4CD7" w:rsidP="002B283E">
      <w:pPr>
        <w:rPr>
          <w:rFonts w:cs="Times New Roman"/>
          <w:szCs w:val="24"/>
        </w:rPr>
      </w:pPr>
    </w:p>
    <w:p w14:paraId="32A9B896" w14:textId="50F623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Bowen v. U</w:t>
      </w:r>
      <w:r w:rsidR="00853816">
        <w:rPr>
          <w:rFonts w:cs="Times New Roman"/>
          <w:i/>
          <w:iCs/>
          <w:szCs w:val="24"/>
        </w:rPr>
        <w:t>nited States</w:t>
      </w:r>
      <w:r w:rsidRPr="002B283E">
        <w:rPr>
          <w:rFonts w:cs="Times New Roman"/>
          <w:i/>
          <w:iCs/>
          <w:szCs w:val="24"/>
        </w:rPr>
        <w:t xml:space="preserve"> Postal Serv</w:t>
      </w:r>
      <w:r w:rsidR="00853816">
        <w:rPr>
          <w:rFonts w:cs="Times New Roman"/>
          <w:i/>
          <w:iCs/>
          <w:szCs w:val="24"/>
        </w:rPr>
        <w:t>ice</w:t>
      </w:r>
      <w:r w:rsidRPr="002B283E">
        <w:rPr>
          <w:rFonts w:cs="Times New Roman"/>
          <w:szCs w:val="24"/>
        </w:rPr>
        <w:t xml:space="preserve">, the Supreme Court held that “damages attributable </w:t>
      </w:r>
      <w:r w:rsidRPr="002B283E">
        <w:rPr>
          <w:rFonts w:cs="Times New Roman"/>
          <w:i/>
          <w:iCs/>
          <w:szCs w:val="24"/>
        </w:rPr>
        <w:t>solely</w:t>
      </w:r>
      <w:r w:rsidRPr="002B283E">
        <w:rPr>
          <w:rFonts w:cs="Times New Roman"/>
          <w:szCs w:val="24"/>
        </w:rPr>
        <w:t xml:space="preserve"> to the employer’s breach of contract should not be charged to the union but </w:t>
      </w:r>
      <w:r w:rsidRPr="002B283E">
        <w:rPr>
          <w:rFonts w:cs="Times New Roman"/>
          <w:i/>
          <w:iCs/>
          <w:szCs w:val="24"/>
        </w:rPr>
        <w:t>increases</w:t>
      </w:r>
      <w:r w:rsidRPr="002B283E">
        <w:rPr>
          <w:rFonts w:cs="Times New Roman"/>
          <w:szCs w:val="24"/>
        </w:rPr>
        <w:t xml:space="preserve"> if any in those damages caused by the union’s refusal to process the grievance should not be charged to the employer.” 459 U.S. at </w:t>
      </w:r>
      <w:r w:rsidR="00853816">
        <w:rPr>
          <w:rFonts w:cs="Times New Roman"/>
          <w:szCs w:val="24"/>
        </w:rPr>
        <w:t>212, 2</w:t>
      </w:r>
      <w:r w:rsidRPr="002B283E">
        <w:rPr>
          <w:rFonts w:cs="Times New Roman"/>
          <w:szCs w:val="24"/>
        </w:rPr>
        <w:t>23-24</w:t>
      </w:r>
      <w:r w:rsidR="00853816">
        <w:rPr>
          <w:rFonts w:cs="Times New Roman"/>
          <w:szCs w:val="24"/>
        </w:rPr>
        <w:t xml:space="preserve"> (1983)</w:t>
      </w:r>
      <w:r w:rsidRPr="002B283E">
        <w:rPr>
          <w:rFonts w:cs="Times New Roman"/>
          <w:szCs w:val="24"/>
        </w:rPr>
        <w:t xml:space="preserve"> (quoting </w:t>
      </w:r>
      <w:r w:rsidRPr="002B283E">
        <w:rPr>
          <w:rFonts w:cs="Times New Roman"/>
          <w:i/>
          <w:iCs/>
          <w:szCs w:val="24"/>
        </w:rPr>
        <w:t>Vaca v. Sipes</w:t>
      </w:r>
      <w:r w:rsidRPr="002B283E">
        <w:rPr>
          <w:rFonts w:cs="Times New Roman"/>
          <w:szCs w:val="24"/>
        </w:rPr>
        <w:t>, 386 U.S. 171, 197-98 (1967)).</w:t>
      </w:r>
      <w:r w:rsidRPr="002B283E">
        <w:rPr>
          <w:rFonts w:cs="Times New Roman"/>
          <w:i/>
          <w:iCs/>
          <w:szCs w:val="24"/>
        </w:rPr>
        <w:t xml:space="preserve"> Bowen</w:t>
      </w:r>
      <w:r w:rsidRPr="002B283E">
        <w:rPr>
          <w:rFonts w:cs="Times New Roman"/>
          <w:szCs w:val="24"/>
        </w:rPr>
        <w:t xml:space="preserve"> does not indicate exactly how damages are to be apportioned between the employer and union.</w:t>
      </w:r>
      <w:r w:rsidRPr="002B283E">
        <w:rPr>
          <w:rFonts w:cs="Times New Roman"/>
          <w:i/>
          <w:iCs/>
          <w:szCs w:val="24"/>
        </w:rPr>
        <w:t xml:space="preserve"> See</w:t>
      </w:r>
      <w:r w:rsidRPr="002B283E">
        <w:rPr>
          <w:rFonts w:cs="Times New Roman"/>
          <w:szCs w:val="24"/>
        </w:rPr>
        <w:t xml:space="preserve"> Murray, Steven L., </w:t>
      </w:r>
      <w:r w:rsidRPr="002B283E">
        <w:rPr>
          <w:rFonts w:cs="Times New Roman"/>
          <w:i/>
          <w:iCs/>
          <w:szCs w:val="24"/>
        </w:rPr>
        <w:t>Apportionment of Damages in Section 301 Duty of Fair Representation Actions: The Impact of Bowen v. United States Postal Service</w:t>
      </w:r>
      <w:r w:rsidRPr="002B283E">
        <w:rPr>
          <w:rFonts w:cs="Times New Roman"/>
          <w:szCs w:val="24"/>
        </w:rPr>
        <w:t xml:space="preserve">, 32 DePaul L. Rev. 743, 767 (1983) (noting that </w:t>
      </w:r>
      <w:r w:rsidR="00957D4D">
        <w:rPr>
          <w:rFonts w:cs="Times New Roman"/>
          <w:szCs w:val="24"/>
        </w:rPr>
        <w:t xml:space="preserve">the </w:t>
      </w:r>
      <w:r w:rsidRPr="002B283E">
        <w:rPr>
          <w:rFonts w:cs="Times New Roman"/>
          <w:szCs w:val="24"/>
        </w:rPr>
        <w:t xml:space="preserve">Supreme Court’s decision in </w:t>
      </w:r>
      <w:r w:rsidRPr="002B283E">
        <w:rPr>
          <w:rFonts w:cs="Times New Roman"/>
          <w:i/>
          <w:iCs/>
          <w:szCs w:val="24"/>
        </w:rPr>
        <w:t>Bowen</w:t>
      </w:r>
      <w:r w:rsidRPr="002B283E">
        <w:rPr>
          <w:rFonts w:cs="Times New Roman"/>
          <w:szCs w:val="24"/>
        </w:rPr>
        <w:t xml:space="preserve"> could be interpreted to support three different apportionment rules). For example, </w:t>
      </w:r>
      <w:r w:rsidRPr="002B283E">
        <w:rPr>
          <w:rFonts w:cs="Times New Roman"/>
          <w:i/>
          <w:iCs/>
          <w:szCs w:val="24"/>
        </w:rPr>
        <w:t>Bowen</w:t>
      </w:r>
      <w:r w:rsidRPr="002B283E">
        <w:rPr>
          <w:rFonts w:cs="Times New Roman"/>
          <w:szCs w:val="24"/>
        </w:rPr>
        <w:t xml:space="preserve"> could be read to hold that the employer and union are liable on the basis of relative degrees of fault. </w:t>
      </w:r>
      <w:r w:rsidRPr="002B283E">
        <w:rPr>
          <w:rFonts w:cs="Times New Roman"/>
          <w:i/>
          <w:iCs/>
          <w:szCs w:val="24"/>
        </w:rPr>
        <w:t>See id</w:t>
      </w:r>
      <w:r w:rsidRPr="002B283E">
        <w:rPr>
          <w:rFonts w:cs="Times New Roman"/>
          <w:szCs w:val="24"/>
        </w:rPr>
        <w:t xml:space="preserve">. at 767. </w:t>
      </w:r>
      <w:r w:rsidRPr="002B283E">
        <w:rPr>
          <w:rFonts w:cs="Times New Roman"/>
          <w:i/>
          <w:iCs/>
          <w:szCs w:val="24"/>
        </w:rPr>
        <w:t>Bowen</w:t>
      </w:r>
      <w:r w:rsidRPr="002B283E">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2B283E">
        <w:rPr>
          <w:rFonts w:cs="Times New Roman"/>
          <w:i/>
          <w:iCs/>
          <w:szCs w:val="24"/>
        </w:rPr>
        <w:t>See id.</w:t>
      </w:r>
    </w:p>
    <w:p w14:paraId="341B254A" w14:textId="77777777" w:rsidR="006A4CD7" w:rsidRPr="002B283E" w:rsidRDefault="006A4CD7" w:rsidP="002B283E">
      <w:pPr>
        <w:autoSpaceDE w:val="0"/>
        <w:autoSpaceDN w:val="0"/>
        <w:adjustRightInd w:val="0"/>
        <w:rPr>
          <w:rFonts w:cs="Times New Roman"/>
          <w:szCs w:val="24"/>
        </w:rPr>
      </w:pPr>
    </w:p>
    <w:p w14:paraId="107256B6" w14:textId="6BFB651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district court in </w:t>
      </w:r>
      <w:r w:rsidRPr="002B283E">
        <w:rPr>
          <w:rFonts w:cs="Times New Roman"/>
          <w:i/>
          <w:iCs/>
          <w:szCs w:val="24"/>
        </w:rPr>
        <w:t>Bowen</w:t>
      </w:r>
      <w:r w:rsidRPr="002B283E">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2B283E">
        <w:rPr>
          <w:rFonts w:cs="Times New Roman"/>
          <w:i/>
          <w:iCs/>
          <w:szCs w:val="24"/>
        </w:rPr>
        <w:t>See Bowen</w:t>
      </w:r>
      <w:r w:rsidRPr="002B283E">
        <w:rPr>
          <w:rFonts w:cs="Times New Roman"/>
          <w:szCs w:val="24"/>
        </w:rPr>
        <w:t xml:space="preserve">, 459 U.S. at 215. The district court suggested that the employer was liable for damages before that date and the union for damages thereafter. </w:t>
      </w:r>
      <w:r w:rsidRPr="002B283E">
        <w:rPr>
          <w:rFonts w:cs="Times New Roman"/>
          <w:i/>
          <w:iCs/>
          <w:szCs w:val="24"/>
        </w:rPr>
        <w:t>Bowen</w:t>
      </w:r>
      <w:r w:rsidRPr="002B283E">
        <w:rPr>
          <w:rFonts w:cs="Times New Roman"/>
          <w:szCs w:val="24"/>
        </w:rPr>
        <w:t xml:space="preserve"> was explicit, however, in leaving undecided “whether the District Court’s instructions on apportionment of damages were proper.” </w:t>
      </w:r>
      <w:r w:rsidRPr="002B283E">
        <w:rPr>
          <w:rFonts w:cs="Times New Roman"/>
          <w:i/>
          <w:iCs/>
          <w:szCs w:val="24"/>
        </w:rPr>
        <w:t>Id.</w:t>
      </w:r>
      <w:r w:rsidRPr="002B283E">
        <w:rPr>
          <w:rFonts w:cs="Times New Roman"/>
          <w:szCs w:val="24"/>
        </w:rPr>
        <w:t xml:space="preserve"> at 230 n.19.</w:t>
      </w:r>
    </w:p>
    <w:p w14:paraId="65610E33" w14:textId="2EAE17C4"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t xml:space="preserve">Some courts have held that </w:t>
      </w:r>
      <w:r w:rsidRPr="002B283E">
        <w:rPr>
          <w:rFonts w:cs="Times New Roman"/>
          <w:i/>
          <w:iCs/>
          <w:szCs w:val="24"/>
        </w:rPr>
        <w:t>Bowen</w:t>
      </w:r>
      <w:r w:rsidRPr="002B283E">
        <w:rPr>
          <w:rFonts w:cs="Times New Roman"/>
          <w:szCs w:val="24"/>
        </w:rPr>
        <w:t xml:space="preserve"> does not mandate the hypothetical date method. </w:t>
      </w:r>
      <w:r w:rsidRPr="002B283E">
        <w:rPr>
          <w:rFonts w:cs="Times New Roman"/>
          <w:i/>
          <w:iCs/>
          <w:szCs w:val="24"/>
        </w:rPr>
        <w:t>See Aguinaga v. United Food &amp; Com. Workers Int’l</w:t>
      </w:r>
      <w:r w:rsidRPr="002B283E">
        <w:rPr>
          <w:rFonts w:cs="Times New Roman"/>
          <w:szCs w:val="24"/>
        </w:rPr>
        <w:t xml:space="preserve">, 993 F.2d 1463, 1475 (10th Cir. 1993) (“We do not agree that </w:t>
      </w:r>
      <w:r w:rsidRPr="002B283E">
        <w:rPr>
          <w:rFonts w:cs="Times New Roman"/>
          <w:i/>
          <w:iCs/>
          <w:szCs w:val="24"/>
        </w:rPr>
        <w:t>Bowen</w:t>
      </w:r>
      <w:r w:rsidRPr="002B283E">
        <w:rPr>
          <w:rFonts w:cs="Times New Roman"/>
          <w:szCs w:val="24"/>
        </w:rPr>
        <w:t xml:space="preserve"> requires that damages be apportioned based on chronology using the hypothetical arbitration date.”). What is clear from </w:t>
      </w:r>
      <w:r w:rsidRPr="002B283E">
        <w:rPr>
          <w:rFonts w:cs="Times New Roman"/>
          <w:i/>
          <w:iCs/>
          <w:szCs w:val="24"/>
        </w:rPr>
        <w:t>Bowen</w:t>
      </w:r>
      <w:r w:rsidRPr="002B283E">
        <w:rPr>
          <w:rFonts w:cs="Times New Roman"/>
          <w:szCs w:val="24"/>
        </w:rPr>
        <w:t xml:space="preserve"> and its progeny is that union liability is not limited to the litigation expenses and fees incurred by the employee-plaintiff as a result of the union’s breach of the duty of fair representation. </w:t>
      </w:r>
      <w:r w:rsidRPr="002B283E">
        <w:rPr>
          <w:rFonts w:cs="Times New Roman"/>
          <w:i/>
          <w:iCs/>
          <w:szCs w:val="24"/>
        </w:rPr>
        <w:t>See Bowen</w:t>
      </w:r>
      <w:r w:rsidRPr="002B283E">
        <w:rPr>
          <w:rFonts w:cs="Times New Roman"/>
          <w:szCs w:val="24"/>
        </w:rPr>
        <w:t>, 459 U.S. at 220</w:t>
      </w:r>
      <w:r w:rsidR="008E2051">
        <w:rPr>
          <w:rFonts w:cs="Times New Roman"/>
          <w:szCs w:val="24"/>
        </w:rPr>
        <w:t>-</w:t>
      </w:r>
      <w:r w:rsidRPr="002B283E">
        <w:rPr>
          <w:rFonts w:cs="Times New Roman"/>
          <w:szCs w:val="24"/>
        </w:rPr>
        <w:t>25 (rejecting union’s argument that its liability was limited to litigation expenses resulting from its breach of duty)</w:t>
      </w:r>
      <w:r w:rsidR="00A87F6E">
        <w:rPr>
          <w:rFonts w:cs="Times New Roman"/>
          <w:szCs w:val="24"/>
        </w:rPr>
        <w:t xml:space="preserve">. </w:t>
      </w:r>
      <w:r w:rsidRPr="002B283E">
        <w:rPr>
          <w:rFonts w:cs="Times New Roman"/>
          <w:szCs w:val="24"/>
        </w:rPr>
        <w:t xml:space="preserve">Implicit (if not explicit) in </w:t>
      </w:r>
      <w:r w:rsidRPr="002B283E">
        <w:rPr>
          <w:rFonts w:cs="Times New Roman"/>
          <w:i/>
          <w:iCs/>
          <w:szCs w:val="24"/>
        </w:rPr>
        <w:t>Bowen</w:t>
      </w:r>
      <w:r w:rsidRPr="002B283E">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2B283E">
        <w:rPr>
          <w:rFonts w:cs="Times New Roman"/>
          <w:i/>
          <w:iCs/>
          <w:szCs w:val="24"/>
        </w:rPr>
        <w:t>Id.</w:t>
      </w:r>
      <w:r w:rsidRPr="002B283E">
        <w:rPr>
          <w:rFonts w:cs="Times New Roman"/>
          <w:szCs w:val="24"/>
        </w:rPr>
        <w:t xml:space="preserve"> at 223 n.12</w:t>
      </w:r>
      <w:r w:rsidR="00A87F6E">
        <w:rPr>
          <w:rFonts w:cs="Times New Roman"/>
          <w:szCs w:val="24"/>
        </w:rPr>
        <w:t xml:space="preserve">. </w:t>
      </w:r>
      <w:r w:rsidRPr="002B283E">
        <w:rPr>
          <w:rFonts w:cs="Times New Roman"/>
          <w:szCs w:val="24"/>
        </w:rPr>
        <w:t xml:space="preserve">Inherent in this statement is that a union may be primarily liable for a percentage of the employee’s back pay. Numerous courts addressing this issue after </w:t>
      </w:r>
      <w:r w:rsidRPr="002B283E">
        <w:rPr>
          <w:rFonts w:cs="Times New Roman"/>
          <w:i/>
          <w:iCs/>
          <w:szCs w:val="24"/>
        </w:rPr>
        <w:t>Bowen</w:t>
      </w:r>
      <w:r w:rsidRPr="002B283E">
        <w:rPr>
          <w:rFonts w:cs="Times New Roman"/>
          <w:szCs w:val="24"/>
        </w:rPr>
        <w:t xml:space="preserve"> have held that a union may be liable for back pay when it breaches the duty of fair representation.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Aguinaga</w:t>
      </w:r>
      <w:r w:rsidRPr="002B283E">
        <w:rPr>
          <w:rFonts w:cs="Times New Roman"/>
          <w:szCs w:val="24"/>
        </w:rPr>
        <w:t xml:space="preserve">, 993 F.2d at 1475 (“[I]n </w:t>
      </w:r>
      <w:r w:rsidRPr="002B283E">
        <w:rPr>
          <w:rFonts w:cs="Times New Roman"/>
          <w:i/>
          <w:iCs/>
          <w:szCs w:val="24"/>
        </w:rPr>
        <w:t>Bowen</w:t>
      </w:r>
      <w:r w:rsidRPr="002B283E">
        <w:rPr>
          <w:rFonts w:cs="Times New Roman"/>
          <w:szCs w:val="24"/>
        </w:rPr>
        <w:t>, the Supreme Court held that a union can be liable for back pay and benefits.”).</w:t>
      </w:r>
    </w:p>
    <w:p w14:paraId="576A9E68" w14:textId="77777777" w:rsidR="006A4CD7" w:rsidRPr="002B283E" w:rsidRDefault="006A4CD7" w:rsidP="002B283E">
      <w:pPr>
        <w:autoSpaceDE w:val="0"/>
        <w:autoSpaceDN w:val="0"/>
        <w:adjustRightInd w:val="0"/>
        <w:rPr>
          <w:rFonts w:cs="Times New Roman"/>
          <w:szCs w:val="24"/>
        </w:rPr>
      </w:pPr>
    </w:p>
    <w:p w14:paraId="2EBEAB73" w14:textId="14D6B80D" w:rsidR="003A034E" w:rsidRDefault="006A4CD7" w:rsidP="002B283E">
      <w:pPr>
        <w:shd w:val="clear" w:color="auto" w:fill="FFFFFF"/>
        <w:rPr>
          <w:rFonts w:eastAsia="Times New Roman" w:cs="Times New Roman"/>
          <w:szCs w:val="24"/>
        </w:rPr>
      </w:pPr>
      <w:r w:rsidRPr="002B283E">
        <w:rPr>
          <w:rFonts w:cs="Times New Roman"/>
          <w:szCs w:val="24"/>
        </w:rPr>
        <w:tab/>
      </w:r>
      <w:r w:rsidR="003A034E" w:rsidRPr="002B283E">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w:t>
      </w:r>
      <w:r w:rsidR="00A87F6E">
        <w:rPr>
          <w:rFonts w:eastAsia="Times New Roman" w:cs="Times New Roman"/>
          <w:szCs w:val="24"/>
        </w:rPr>
        <w:t xml:space="preserve">. </w:t>
      </w:r>
      <w:r w:rsidR="003A034E" w:rsidRPr="002B283E">
        <w:rPr>
          <w:rFonts w:eastAsia="Times New Roman" w:cs="Times New Roman"/>
          <w:i/>
          <w:iCs/>
          <w:szCs w:val="24"/>
        </w:rPr>
        <w:t>Lewis v. Tuscan Dairy Farms, Inc</w:t>
      </w:r>
      <w:r w:rsidR="003A034E" w:rsidRPr="00957D4D">
        <w:rPr>
          <w:rFonts w:eastAsia="Times New Roman" w:cs="Times New Roman"/>
          <w:szCs w:val="24"/>
        </w:rPr>
        <w:t>.,</w:t>
      </w:r>
      <w:r w:rsidR="003A034E" w:rsidRPr="002B283E">
        <w:rPr>
          <w:rFonts w:eastAsia="Times New Roman" w:cs="Times New Roman"/>
          <w:szCs w:val="24"/>
        </w:rPr>
        <w:t> 25 F.3d 1138, 1145-46 (2d Cir. 1994); </w:t>
      </w:r>
      <w:r w:rsidR="003A034E" w:rsidRPr="002B283E">
        <w:rPr>
          <w:rFonts w:eastAsia="Times New Roman" w:cs="Times New Roman"/>
          <w:i/>
          <w:iCs/>
          <w:szCs w:val="24"/>
        </w:rPr>
        <w:t>Aguinaga</w:t>
      </w:r>
      <w:r w:rsidR="003A034E" w:rsidRPr="002B283E">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2B283E">
        <w:rPr>
          <w:rFonts w:eastAsia="Times New Roman" w:cs="Times New Roman"/>
          <w:i/>
          <w:iCs/>
          <w:szCs w:val="24"/>
        </w:rPr>
        <w:t>See Aguinaga</w:t>
      </w:r>
      <w:r w:rsidR="003A034E" w:rsidRPr="002B283E">
        <w:rPr>
          <w:rFonts w:eastAsia="Times New Roman" w:cs="Times New Roman"/>
          <w:szCs w:val="24"/>
        </w:rPr>
        <w:t>, 993 F.2d at 1475; </w:t>
      </w:r>
      <w:r w:rsidR="003A034E" w:rsidRPr="002B283E">
        <w:rPr>
          <w:rFonts w:eastAsia="Times New Roman" w:cs="Times New Roman"/>
          <w:i/>
          <w:iCs/>
          <w:szCs w:val="24"/>
        </w:rPr>
        <w:t>Bennett v. Local Union No. 66</w:t>
      </w:r>
      <w:r w:rsidR="003A034E" w:rsidRPr="002B283E">
        <w:rPr>
          <w:rFonts w:eastAsia="Times New Roman" w:cs="Times New Roman"/>
          <w:szCs w:val="24"/>
        </w:rPr>
        <w:t>, 958 F.2d 1429, 1440</w:t>
      </w:r>
      <w:r w:rsidR="008E2051">
        <w:rPr>
          <w:rFonts w:eastAsia="Times New Roman" w:cs="Times New Roman"/>
          <w:szCs w:val="24"/>
        </w:rPr>
        <w:t>-</w:t>
      </w:r>
      <w:r w:rsidR="003A034E" w:rsidRPr="002B283E">
        <w:rPr>
          <w:rFonts w:eastAsia="Times New Roman" w:cs="Times New Roman"/>
          <w:szCs w:val="24"/>
        </w:rPr>
        <w:t>41 (7th Cir. 1992). </w:t>
      </w:r>
      <w:r w:rsidR="003A034E" w:rsidRPr="002B283E">
        <w:rPr>
          <w:rFonts w:eastAsia="Times New Roman" w:cs="Times New Roman"/>
          <w:i/>
          <w:iCs/>
          <w:szCs w:val="24"/>
        </w:rPr>
        <w:t>See</w:t>
      </w:r>
      <w:r w:rsidR="003A034E" w:rsidRPr="002B283E">
        <w:rPr>
          <w:rFonts w:eastAsia="Times New Roman" w:cs="Times New Roman"/>
          <w:szCs w:val="24"/>
        </w:rPr>
        <w:t> </w:t>
      </w:r>
      <w:r w:rsidR="008E2051">
        <w:rPr>
          <w:rFonts w:eastAsia="Times New Roman" w:cs="Times New Roman"/>
          <w:szCs w:val="24"/>
        </w:rPr>
        <w:t xml:space="preserve">Instruction </w:t>
      </w:r>
      <w:r w:rsidR="003A034E" w:rsidRPr="002B283E">
        <w:rPr>
          <w:rFonts w:eastAsia="Times New Roman" w:cs="Times New Roman"/>
          <w:szCs w:val="24"/>
        </w:rPr>
        <w:t>5.1 (Damages—Proof) regarding causation. </w:t>
      </w:r>
    </w:p>
    <w:p w14:paraId="0AD66B8B" w14:textId="77777777" w:rsidR="008E2051" w:rsidRPr="002B283E" w:rsidRDefault="008E2051" w:rsidP="002B283E">
      <w:pPr>
        <w:shd w:val="clear" w:color="auto" w:fill="FFFFFF"/>
        <w:rPr>
          <w:rFonts w:eastAsia="Times New Roman" w:cs="Times New Roman"/>
          <w:bCs/>
          <w:szCs w:val="24"/>
        </w:rPr>
      </w:pPr>
    </w:p>
    <w:p w14:paraId="63C428DA" w14:textId="2BFE80CA" w:rsidR="003A034E" w:rsidRDefault="003A034E" w:rsidP="002B283E">
      <w:pPr>
        <w:shd w:val="clear" w:color="auto" w:fill="FFFFFF"/>
        <w:rPr>
          <w:rFonts w:eastAsia="Times New Roman" w:cs="Times New Roman"/>
          <w:szCs w:val="24"/>
        </w:rPr>
      </w:pPr>
      <w:r w:rsidRPr="002B283E">
        <w:rPr>
          <w:rFonts w:eastAsia="Times New Roman" w:cs="Times New Roman"/>
          <w:szCs w:val="24"/>
        </w:rPr>
        <w:t>            Attorneys’ fees and awards for costs incurred in suing the union may be awarded as compensatory damages for a breach of the duty to represent. </w:t>
      </w:r>
      <w:r w:rsidRPr="002B283E">
        <w:rPr>
          <w:rFonts w:eastAsia="Times New Roman" w:cs="Times New Roman"/>
          <w:i/>
          <w:iCs/>
          <w:szCs w:val="24"/>
        </w:rPr>
        <w:t>Vaca v. Sipes</w:t>
      </w:r>
      <w:r w:rsidRPr="002B283E">
        <w:rPr>
          <w:rFonts w:eastAsia="Times New Roman" w:cs="Times New Roman"/>
          <w:szCs w:val="24"/>
        </w:rPr>
        <w:t xml:space="preserve">, 386 U.S. 171, 195-96 (1967) (explaining that “[t]he appropriate remedy for a breach of a union’s duty of fair representation must vary with the circumstances of the particular breach”); </w:t>
      </w:r>
      <w:r w:rsidRPr="002B283E">
        <w:rPr>
          <w:rFonts w:eastAsia="Times New Roman" w:cs="Times New Roman"/>
          <w:i/>
          <w:iCs/>
          <w:szCs w:val="24"/>
        </w:rPr>
        <w:t>Dutrisac v. Caterpillar Tractor Co.</w:t>
      </w:r>
      <w:r w:rsidRPr="002B283E">
        <w:rPr>
          <w:rFonts w:eastAsia="Times New Roman" w:cs="Times New Roman"/>
          <w:szCs w:val="24"/>
        </w:rPr>
        <w:t>, 749 F.2d 1270 (9th Cir. 1983) (holding employee may recover from union attorneys’ fees expended in pursuing his employer for breach of contract).</w:t>
      </w:r>
      <w:r w:rsidR="008E2051">
        <w:rPr>
          <w:rFonts w:eastAsia="Times New Roman" w:cs="Times New Roman"/>
          <w:szCs w:val="24"/>
        </w:rPr>
        <w:t xml:space="preserve"> </w:t>
      </w:r>
      <w:r w:rsidRPr="002B283E">
        <w:rPr>
          <w:rFonts w:eastAsia="Times New Roman" w:cs="Times New Roman"/>
          <w:szCs w:val="24"/>
        </w:rPr>
        <w:t>When an employee proves both a breach of the duty of fair representation and a violation of the collective bargaining agreement, the union must pay attorneys’ fees incurred by the employee in his suit against the employer and the union. </w:t>
      </w:r>
      <w:r w:rsidRPr="002B283E">
        <w:rPr>
          <w:rFonts w:eastAsia="Times New Roman" w:cs="Times New Roman"/>
          <w:i/>
          <w:iCs/>
          <w:szCs w:val="24"/>
        </w:rPr>
        <w:t>S</w:t>
      </w:r>
      <w:r w:rsidR="00A15A8F">
        <w:rPr>
          <w:rFonts w:eastAsia="Times New Roman" w:cs="Times New Roman"/>
          <w:i/>
          <w:iCs/>
          <w:szCs w:val="24"/>
        </w:rPr>
        <w:t>ee, e.g.</w:t>
      </w:r>
      <w:r w:rsidR="00A15A8F" w:rsidRPr="00F518D1">
        <w:rPr>
          <w:rFonts w:eastAsia="Times New Roman" w:cs="Times New Roman"/>
          <w:szCs w:val="24"/>
        </w:rPr>
        <w:t>,</w:t>
      </w:r>
      <w:r w:rsidR="00A15A8F">
        <w:rPr>
          <w:rFonts w:eastAsia="Times New Roman" w:cs="Times New Roman"/>
          <w:i/>
          <w:iCs/>
          <w:szCs w:val="24"/>
        </w:rPr>
        <w:t xml:space="preserve"> </w:t>
      </w:r>
      <w:r w:rsidRPr="002B283E">
        <w:rPr>
          <w:rFonts w:eastAsia="Times New Roman" w:cs="Times New Roman"/>
          <w:i/>
          <w:iCs/>
          <w:szCs w:val="24"/>
        </w:rPr>
        <w:t>Zuniga v. United Can Co.</w:t>
      </w:r>
      <w:r w:rsidRPr="002B283E">
        <w:rPr>
          <w:rFonts w:eastAsia="Times New Roman" w:cs="Times New Roman"/>
          <w:szCs w:val="24"/>
        </w:rPr>
        <w:t xml:space="preserve">, 812 F.2d 443, 451-52, 455 (9th Cir. 1987) (attributing wrongfully-denied sick leave benefits to employer, and attorneys’ fees to union). Compensatory damages “may include lost wages and fringe benefits,” but lost wages should be “offset by wages earned at other employment.” </w:t>
      </w:r>
      <w:r w:rsidRPr="002B283E">
        <w:rPr>
          <w:rFonts w:eastAsia="Times New Roman" w:cs="Times New Roman"/>
          <w:i/>
          <w:iCs/>
          <w:szCs w:val="24"/>
        </w:rPr>
        <w:t>Galindo v. Stoody Co.</w:t>
      </w:r>
      <w:r w:rsidRPr="002B283E">
        <w:rPr>
          <w:rFonts w:eastAsia="Times New Roman" w:cs="Times New Roman"/>
          <w:szCs w:val="24"/>
        </w:rPr>
        <w:t>, 793 F.2d 1502, 1516 (9th Cir. 1986).</w:t>
      </w:r>
    </w:p>
    <w:p w14:paraId="5D828F62" w14:textId="77777777" w:rsidR="008E2051" w:rsidRPr="002B283E" w:rsidRDefault="008E2051" w:rsidP="002B283E">
      <w:pPr>
        <w:shd w:val="clear" w:color="auto" w:fill="FFFFFF"/>
        <w:rPr>
          <w:rFonts w:eastAsia="Times New Roman" w:cs="Times New Roman"/>
          <w:bCs/>
          <w:szCs w:val="24"/>
        </w:rPr>
      </w:pPr>
    </w:p>
    <w:p w14:paraId="7760175F" w14:textId="379E65EA"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ab/>
      </w:r>
      <w:r w:rsidRPr="008A04C2">
        <w:rPr>
          <w:rFonts w:eastAsia="Times New Roman" w:cs="Times New Roman"/>
          <w:szCs w:val="24"/>
        </w:rPr>
        <w:t>As of February 2023, the Ninth Circuit has not decided whether</w:t>
      </w:r>
      <w:r w:rsidRPr="008E2051">
        <w:rPr>
          <w:rFonts w:eastAsia="Times New Roman" w:cs="Times New Roman"/>
          <w:szCs w:val="24"/>
        </w:rPr>
        <w:t xml:space="preserve"> punitive</w:t>
      </w:r>
      <w:r w:rsidRPr="002B283E">
        <w:rPr>
          <w:rFonts w:eastAsia="Times New Roman" w:cs="Times New Roman"/>
          <w:szCs w:val="24"/>
        </w:rPr>
        <w:t xml:space="preserve"> and extra-contractual damages are recoverable in an action under the Labor Management Relations Act for breach of a collective bargaining agreement. </w:t>
      </w:r>
      <w:r w:rsidRPr="002B283E">
        <w:rPr>
          <w:rFonts w:eastAsia="Times New Roman" w:cs="Times New Roman"/>
          <w:i/>
          <w:iCs/>
          <w:szCs w:val="24"/>
        </w:rPr>
        <w:t>Alday v. Raytheon Co.</w:t>
      </w:r>
      <w:r w:rsidRPr="002B283E">
        <w:rPr>
          <w:rFonts w:eastAsia="Times New Roman" w:cs="Times New Roman"/>
          <w:szCs w:val="24"/>
        </w:rPr>
        <w:t xml:space="preserve">, 693 F.3d 772, 795 (9th Cir. 2012) (declining to decide whether court may award punitive damages “if it would deter persistent misconduct” or award extra-contractual damages if “defendant’s conduct was </w:t>
      </w:r>
      <w:r w:rsidRPr="002B283E">
        <w:rPr>
          <w:rFonts w:eastAsia="Times New Roman" w:cs="Times New Roman"/>
          <w:szCs w:val="24"/>
        </w:rPr>
        <w:lastRenderedPageBreak/>
        <w:t xml:space="preserve">particularly likely to result in serious emotional distress”); </w:t>
      </w:r>
      <w:r w:rsidRPr="002B283E">
        <w:rPr>
          <w:rFonts w:eastAsia="Times New Roman" w:cs="Times New Roman"/>
          <w:i/>
          <w:iCs/>
          <w:szCs w:val="24"/>
        </w:rPr>
        <w:t>see also Bloom v. Int’l Bhd. of Teamsters Loc. 468</w:t>
      </w:r>
      <w:r w:rsidRPr="002B283E">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0DF3A569" w14:textId="77777777" w:rsidR="008E2051" w:rsidRDefault="006A4CD7" w:rsidP="002B283E">
      <w:pPr>
        <w:autoSpaceDE w:val="0"/>
        <w:autoSpaceDN w:val="0"/>
        <w:adjustRightInd w:val="0"/>
        <w:rPr>
          <w:rFonts w:cs="Times New Roman"/>
          <w:szCs w:val="24"/>
        </w:rPr>
      </w:pPr>
      <w:r w:rsidRPr="002B283E">
        <w:rPr>
          <w:rFonts w:cs="Times New Roman"/>
          <w:szCs w:val="24"/>
        </w:rPr>
        <w:tab/>
      </w:r>
    </w:p>
    <w:p w14:paraId="7ED79E5A" w14:textId="74C39337"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For an example of a suggested verdict form, see below:</w:t>
      </w:r>
    </w:p>
    <w:p w14:paraId="30E2D616" w14:textId="77777777" w:rsidR="006A4CD7" w:rsidRPr="002B283E" w:rsidRDefault="006A4CD7" w:rsidP="002B283E">
      <w:pPr>
        <w:rPr>
          <w:rFonts w:cs="Times New Roman"/>
          <w:szCs w:val="24"/>
        </w:rPr>
      </w:pPr>
    </w:p>
    <w:p w14:paraId="093BD958"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580DC628" w14:textId="77777777" w:rsidR="006A4CD7" w:rsidRPr="002B283E" w:rsidRDefault="006A4CD7" w:rsidP="002B283E">
      <w:pPr>
        <w:autoSpaceDE w:val="0"/>
        <w:autoSpaceDN w:val="0"/>
        <w:adjustRightInd w:val="0"/>
        <w:rPr>
          <w:rFonts w:cs="Times New Roman"/>
          <w:szCs w:val="24"/>
        </w:rPr>
      </w:pPr>
    </w:p>
    <w:p w14:paraId="2377C76C" w14:textId="6A9A9280" w:rsidR="006A4CD7" w:rsidRPr="000D448B" w:rsidRDefault="006A4CD7" w:rsidP="008A04C2">
      <w:pPr>
        <w:pStyle w:val="ListParagraph"/>
        <w:numPr>
          <w:ilvl w:val="0"/>
          <w:numId w:val="27"/>
        </w:numPr>
        <w:autoSpaceDE w:val="0"/>
        <w:autoSpaceDN w:val="0"/>
        <w:adjustRightInd w:val="0"/>
        <w:rPr>
          <w:rFonts w:cs="Times New Roman"/>
          <w:szCs w:val="24"/>
        </w:rPr>
      </w:pPr>
      <w:r w:rsidRPr="000D448B">
        <w:rPr>
          <w:rFonts w:cs="Times New Roman"/>
          <w:szCs w:val="24"/>
        </w:rPr>
        <w:t xml:space="preserve">Do you find from a preponderance of the evidence that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0D448B">
        <w:rPr>
          <w:rFonts w:cs="Times New Roman"/>
          <w:szCs w:val="24"/>
        </w:rPr>
        <w:t>was discharged from employment by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0D448B">
        <w:rPr>
          <w:rFonts w:cs="Times New Roman"/>
          <w:szCs w:val="24"/>
        </w:rPr>
        <w:t>?</w:t>
      </w:r>
    </w:p>
    <w:p w14:paraId="1EFEEF31" w14:textId="77777777" w:rsidR="008E2051" w:rsidRPr="000D448B" w:rsidRDefault="008E2051" w:rsidP="008A04C2">
      <w:pPr>
        <w:pStyle w:val="ListParagraph"/>
        <w:autoSpaceDE w:val="0"/>
        <w:autoSpaceDN w:val="0"/>
        <w:adjustRightInd w:val="0"/>
        <w:ind w:left="1440"/>
        <w:rPr>
          <w:rFonts w:cs="Times New Roman"/>
          <w:szCs w:val="24"/>
        </w:rPr>
      </w:pPr>
    </w:p>
    <w:p w14:paraId="452A3A5F"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000E3AF0"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CF7B64B" w14:textId="77777777" w:rsidR="006A4CD7" w:rsidRPr="002B283E" w:rsidRDefault="006A4CD7" w:rsidP="002B283E">
      <w:pPr>
        <w:autoSpaceDE w:val="0"/>
        <w:autoSpaceDN w:val="0"/>
        <w:adjustRightInd w:val="0"/>
        <w:rPr>
          <w:rFonts w:cs="Times New Roman"/>
          <w:szCs w:val="24"/>
        </w:rPr>
      </w:pPr>
    </w:p>
    <w:p w14:paraId="0619426D" w14:textId="465C7D7E"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1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1 is “yes,” proceed to Question No. 2.</w:t>
      </w:r>
    </w:p>
    <w:p w14:paraId="12161549" w14:textId="77777777" w:rsidR="006A4CD7" w:rsidRPr="002B283E" w:rsidRDefault="006A4CD7" w:rsidP="002B283E">
      <w:pPr>
        <w:autoSpaceDE w:val="0"/>
        <w:autoSpaceDN w:val="0"/>
        <w:adjustRightInd w:val="0"/>
        <w:rPr>
          <w:rFonts w:cs="Times New Roman"/>
          <w:szCs w:val="24"/>
        </w:rPr>
      </w:pPr>
    </w:p>
    <w:p w14:paraId="743B4225" w14:textId="0CCCC31A"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such discharge was without “just cause” (as defined in the Court’s instructions)?</w:t>
      </w:r>
    </w:p>
    <w:p w14:paraId="0464097D" w14:textId="77777777" w:rsidR="00957D4D" w:rsidRPr="00957D4D" w:rsidRDefault="00957D4D" w:rsidP="00957D4D">
      <w:pPr>
        <w:pStyle w:val="ListParagraph"/>
        <w:autoSpaceDE w:val="0"/>
        <w:autoSpaceDN w:val="0"/>
        <w:adjustRightInd w:val="0"/>
        <w:ind w:left="1440"/>
        <w:rPr>
          <w:rFonts w:cs="Times New Roman"/>
          <w:szCs w:val="24"/>
        </w:rPr>
      </w:pPr>
    </w:p>
    <w:p w14:paraId="2065813A"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711B443E"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E15E4E0" w14:textId="77777777" w:rsidR="006A4CD7" w:rsidRPr="002B283E" w:rsidRDefault="006A4CD7" w:rsidP="002B283E">
      <w:pPr>
        <w:autoSpaceDE w:val="0"/>
        <w:autoSpaceDN w:val="0"/>
        <w:adjustRightInd w:val="0"/>
        <w:rPr>
          <w:rFonts w:cs="Times New Roman"/>
          <w:szCs w:val="24"/>
        </w:rPr>
      </w:pPr>
    </w:p>
    <w:p w14:paraId="68FA4402" w14:textId="75B06891"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2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2 is “yes,” proceed to Question No. 3.</w:t>
      </w:r>
    </w:p>
    <w:p w14:paraId="640FEA60" w14:textId="77777777" w:rsidR="006A4CD7" w:rsidRPr="002B283E" w:rsidRDefault="006A4CD7" w:rsidP="002B283E">
      <w:pPr>
        <w:autoSpaceDE w:val="0"/>
        <w:autoSpaceDN w:val="0"/>
        <w:adjustRightInd w:val="0"/>
        <w:rPr>
          <w:rFonts w:cs="Times New Roman"/>
          <w:szCs w:val="24"/>
        </w:rPr>
      </w:pPr>
    </w:p>
    <w:p w14:paraId="519F430F" w14:textId="402A8D0D"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 xml:space="preserve">Do you find from a preponderance of the evidence that the defendant union breached its duty of fair representation owed to the plaintiff </w:t>
      </w:r>
      <w:r w:rsidR="00957D4D" w:rsidRPr="00957D4D">
        <w:rPr>
          <w:rFonts w:cs="Times New Roman"/>
          <w:szCs w:val="24"/>
        </w:rPr>
        <w:t>[</w:t>
      </w:r>
      <w:r w:rsidR="00957D4D" w:rsidRPr="00957D4D">
        <w:rPr>
          <w:rFonts w:cs="Times New Roman"/>
          <w:i/>
          <w:iCs/>
          <w:szCs w:val="24"/>
          <w:u w:val="single"/>
        </w:rPr>
        <w:t>name</w:t>
      </w:r>
      <w:r w:rsidR="00957D4D" w:rsidRPr="00957D4D">
        <w:rPr>
          <w:rFonts w:cs="Times New Roman"/>
          <w:szCs w:val="24"/>
        </w:rPr>
        <w:t xml:space="preserve">] </w:t>
      </w:r>
      <w:r w:rsidRPr="00957D4D">
        <w:rPr>
          <w:rFonts w:cs="Times New Roman"/>
          <w:szCs w:val="24"/>
        </w:rPr>
        <w:t>as one of its members</w:t>
      </w:r>
      <w:r w:rsidR="003A034E" w:rsidRPr="00957D4D">
        <w:rPr>
          <w:rFonts w:cs="Times New Roman"/>
          <w:szCs w:val="24"/>
        </w:rPr>
        <w:t xml:space="preserve"> </w:t>
      </w:r>
      <w:r w:rsidR="003A034E" w:rsidRPr="00957D4D">
        <w:rPr>
          <w:rFonts w:eastAsia="Times New Roman" w:cs="Times New Roman"/>
          <w:szCs w:val="24"/>
        </w:rPr>
        <w:t>by handling the grievance proceedings arbitrarily, discriminatorily, or in bad faith</w:t>
      </w:r>
      <w:r w:rsidRPr="00957D4D">
        <w:rPr>
          <w:rFonts w:cs="Times New Roman"/>
          <w:szCs w:val="24"/>
        </w:rPr>
        <w:t>?</w:t>
      </w:r>
    </w:p>
    <w:p w14:paraId="23EC6D51" w14:textId="77777777" w:rsidR="00957D4D" w:rsidRPr="00957D4D" w:rsidRDefault="00957D4D" w:rsidP="00957D4D">
      <w:pPr>
        <w:pStyle w:val="ListParagraph"/>
        <w:autoSpaceDE w:val="0"/>
        <w:autoSpaceDN w:val="0"/>
        <w:adjustRightInd w:val="0"/>
        <w:ind w:left="1440"/>
        <w:rPr>
          <w:rFonts w:cs="Times New Roman"/>
          <w:szCs w:val="24"/>
        </w:rPr>
      </w:pPr>
    </w:p>
    <w:p w14:paraId="65DC7CA6"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56A6E337"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5B6798EF" w14:textId="77777777" w:rsidR="006A4CD7" w:rsidRPr="002B283E" w:rsidRDefault="006A4CD7" w:rsidP="002B283E">
      <w:pPr>
        <w:autoSpaceDE w:val="0"/>
        <w:autoSpaceDN w:val="0"/>
        <w:adjustRightInd w:val="0"/>
        <w:rPr>
          <w:rFonts w:cs="Times New Roman"/>
          <w:szCs w:val="24"/>
        </w:rPr>
      </w:pPr>
    </w:p>
    <w:p w14:paraId="3062EE81" w14:textId="581CA13B"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3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3 is “yes,” proceed to Question No. 4.</w:t>
      </w:r>
    </w:p>
    <w:p w14:paraId="5E6490FF" w14:textId="77777777" w:rsidR="006A4CD7" w:rsidRPr="002B283E" w:rsidRDefault="006A4CD7" w:rsidP="002B283E">
      <w:pPr>
        <w:autoSpaceDE w:val="0"/>
        <w:autoSpaceDN w:val="0"/>
        <w:adjustRightInd w:val="0"/>
        <w:rPr>
          <w:rFonts w:cs="Times New Roman"/>
          <w:szCs w:val="24"/>
        </w:rPr>
      </w:pPr>
    </w:p>
    <w:p w14:paraId="531B6113" w14:textId="1C888893"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suffered damages from the above actions of [the union] [the employer] [both the union and the employer] in the amount of $________________?</w:t>
      </w:r>
    </w:p>
    <w:p w14:paraId="5C67F8F5" w14:textId="77777777" w:rsidR="006A4CD7" w:rsidRPr="002B283E" w:rsidRDefault="006A4CD7" w:rsidP="002B283E">
      <w:pPr>
        <w:autoSpaceDE w:val="0"/>
        <w:autoSpaceDN w:val="0"/>
        <w:adjustRightInd w:val="0"/>
        <w:rPr>
          <w:rFonts w:cs="Times New Roman"/>
          <w:szCs w:val="24"/>
        </w:rPr>
      </w:pPr>
    </w:p>
    <w:p w14:paraId="1BC6ADC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[Proceed to Question No. 5 only if you found that the plaintiff suffered damages from the actions of both the union and the employer.]</w:t>
      </w:r>
    </w:p>
    <w:p w14:paraId="3005EF9B" w14:textId="77777777" w:rsidR="006A4CD7" w:rsidRPr="002B283E" w:rsidRDefault="006A4CD7" w:rsidP="002B283E">
      <w:pPr>
        <w:autoSpaceDE w:val="0"/>
        <w:autoSpaceDN w:val="0"/>
        <w:adjustRightInd w:val="0"/>
        <w:rPr>
          <w:rFonts w:cs="Times New Roman"/>
          <w:szCs w:val="24"/>
        </w:rPr>
      </w:pPr>
    </w:p>
    <w:p w14:paraId="6EC5E340" w14:textId="50837311"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’s damages should be apportioned between the defendants, $_____________ to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 and $______________ to the defendant union</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w:t>
      </w:r>
    </w:p>
    <w:p w14:paraId="755A01B7" w14:textId="77777777" w:rsidR="00957D4D" w:rsidRPr="00957D4D" w:rsidRDefault="00957D4D" w:rsidP="00957D4D">
      <w:pPr>
        <w:pStyle w:val="ListParagraph"/>
        <w:autoSpaceDE w:val="0"/>
        <w:autoSpaceDN w:val="0"/>
        <w:adjustRightInd w:val="0"/>
        <w:ind w:left="1440"/>
        <w:rPr>
          <w:rFonts w:cs="Times New Roman"/>
          <w:szCs w:val="24"/>
        </w:rPr>
      </w:pPr>
    </w:p>
    <w:p w14:paraId="38ABF534" w14:textId="77777777" w:rsidR="006A4CD7" w:rsidRPr="002B283E" w:rsidRDefault="006A4CD7" w:rsidP="002B283E">
      <w:pPr>
        <w:autoSpaceDE w:val="0"/>
        <w:autoSpaceDN w:val="0"/>
        <w:adjustRightInd w:val="0"/>
        <w:rPr>
          <w:rFonts w:cs="Times New Roman"/>
          <w:szCs w:val="24"/>
        </w:rPr>
      </w:pPr>
    </w:p>
    <w:p w14:paraId="37EA958C" w14:textId="77777777" w:rsidR="006A4CD7" w:rsidRPr="002B283E" w:rsidRDefault="006A4CD7" w:rsidP="002B283E">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Pr="002B283E" w:rsidRDefault="006A4CD7" w:rsidP="002B283E">
      <w:pPr>
        <w:tabs>
          <w:tab w:val="left" w:pos="1080"/>
          <w:tab w:val="left" w:pos="2880"/>
          <w:tab w:val="left" w:pos="4320"/>
          <w:tab w:val="left" w:pos="9180"/>
        </w:tabs>
        <w:autoSpaceDE w:val="0"/>
        <w:autoSpaceDN w:val="0"/>
        <w:adjustRightInd w:val="0"/>
        <w:rPr>
          <w:rFonts w:cs="Times New Roman"/>
          <w:szCs w:val="24"/>
          <w:u w:val="single"/>
        </w:rPr>
      </w:pPr>
      <w:r w:rsidRPr="002B283E">
        <w:rPr>
          <w:rFonts w:cs="Times New Roman"/>
          <w:szCs w:val="24"/>
        </w:rPr>
        <w:t>DATED</w:t>
      </w:r>
      <w:r w:rsidR="00673357" w:rsidRPr="002B283E">
        <w:rPr>
          <w:rFonts w:cs="Times New Roman"/>
          <w:szCs w:val="24"/>
        </w:rPr>
        <w:t>:</w:t>
      </w:r>
      <w:r w:rsidR="00673357" w:rsidRPr="002B283E">
        <w:rPr>
          <w:rFonts w:cs="Times New Roman"/>
          <w:szCs w:val="24"/>
        </w:rPr>
        <w:tab/>
      </w:r>
      <w:r w:rsidR="00673357" w:rsidRPr="002B283E">
        <w:rPr>
          <w:rFonts w:cs="Times New Roman"/>
          <w:szCs w:val="24"/>
          <w:u w:val="single"/>
        </w:rPr>
        <w:tab/>
      </w:r>
      <w:r w:rsidR="00673357" w:rsidRPr="002B283E">
        <w:rPr>
          <w:rFonts w:cs="Times New Roman"/>
          <w:szCs w:val="24"/>
        </w:rPr>
        <w:tab/>
      </w:r>
      <w:r w:rsidR="00673357" w:rsidRPr="002B283E">
        <w:rPr>
          <w:rFonts w:cs="Times New Roman"/>
          <w:szCs w:val="24"/>
          <w:u w:val="single"/>
        </w:rPr>
        <w:tab/>
      </w:r>
    </w:p>
    <w:p w14:paraId="3B876351" w14:textId="77777777" w:rsidR="006A4CD7" w:rsidRPr="002B283E" w:rsidRDefault="00673357" w:rsidP="002B283E">
      <w:pPr>
        <w:tabs>
          <w:tab w:val="left" w:pos="4320"/>
          <w:tab w:val="left" w:pos="9180"/>
        </w:tabs>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PRESIDING JUROR</w:t>
      </w:r>
    </w:p>
    <w:p w14:paraId="53F9E474" w14:textId="77777777" w:rsidR="00673357" w:rsidRPr="002B283E" w:rsidRDefault="00673357" w:rsidP="002B283E">
      <w:pPr>
        <w:rPr>
          <w:rFonts w:cs="Times New Roman"/>
          <w:szCs w:val="24"/>
        </w:rPr>
      </w:pPr>
    </w:p>
    <w:p w14:paraId="6E98A428" w14:textId="77777777" w:rsidR="003A034E" w:rsidRPr="002B283E" w:rsidRDefault="003A034E" w:rsidP="002B283E">
      <w:pPr>
        <w:shd w:val="clear" w:color="auto" w:fill="FFFFFF"/>
        <w:jc w:val="right"/>
        <w:rPr>
          <w:rFonts w:eastAsia="Times New Roman" w:cs="Times New Roman"/>
          <w:bCs/>
          <w:i/>
          <w:iCs/>
          <w:szCs w:val="24"/>
        </w:rPr>
      </w:pPr>
      <w:r w:rsidRPr="002B283E">
        <w:rPr>
          <w:rFonts w:eastAsia="Times New Roman" w:cs="Times New Roman"/>
          <w:i/>
          <w:iCs/>
          <w:szCs w:val="24"/>
        </w:rPr>
        <w:t>Revised Mar. 2023</w:t>
      </w:r>
    </w:p>
    <w:p w14:paraId="34BE21AA" w14:textId="19E0ED40" w:rsidR="006A4CD7" w:rsidRPr="002B283E" w:rsidRDefault="006A4CD7" w:rsidP="002B283E">
      <w:pPr>
        <w:pStyle w:val="Heading1"/>
        <w:spacing w:before="0" w:line="240" w:lineRule="auto"/>
      </w:pPr>
      <w:r w:rsidRPr="002B283E">
        <w:br w:type="page"/>
      </w:r>
      <w:bookmarkStart w:id="329" w:name="_Toc221525265"/>
      <w:r w:rsidRPr="002B283E">
        <w:lastRenderedPageBreak/>
        <w:t>14</w:t>
      </w:r>
      <w:r w:rsidR="00A87F6E">
        <w:t xml:space="preserve">. </w:t>
      </w:r>
      <w:r w:rsidRPr="002B283E">
        <w:t>ANTITRUST</w:t>
      </w:r>
      <w:bookmarkEnd w:id="329"/>
    </w:p>
    <w:p w14:paraId="7D1E4355" w14:textId="77777777" w:rsidR="006A4CD7" w:rsidRPr="002B283E" w:rsidRDefault="006A4CD7" w:rsidP="002B283E">
      <w:pPr>
        <w:rPr>
          <w:rFonts w:cs="Times New Roman"/>
          <w:szCs w:val="24"/>
        </w:rPr>
      </w:pPr>
    </w:p>
    <w:p w14:paraId="0D0A062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9A936E" w14:textId="77777777" w:rsidR="006A4CD7" w:rsidRPr="002B283E" w:rsidRDefault="006A4CD7" w:rsidP="002B283E">
      <w:pPr>
        <w:autoSpaceDE w:val="0"/>
        <w:autoSpaceDN w:val="0"/>
        <w:adjustRightInd w:val="0"/>
        <w:rPr>
          <w:rFonts w:cs="Times New Roman"/>
          <w:szCs w:val="24"/>
        </w:rPr>
      </w:pPr>
    </w:p>
    <w:p w14:paraId="1DA4B33C" w14:textId="77777777" w:rsidR="002846A2" w:rsidRPr="002B283E" w:rsidRDefault="006A4CD7" w:rsidP="002B283E">
      <w:pPr>
        <w:ind w:firstLine="720"/>
        <w:rPr>
          <w:rFonts w:cs="Times New Roman"/>
          <w:szCs w:val="24"/>
        </w:rPr>
      </w:pPr>
      <w:r w:rsidRPr="002B283E">
        <w:rPr>
          <w:rFonts w:cs="Times New Roman"/>
          <w:szCs w:val="24"/>
        </w:rPr>
        <w:tab/>
      </w:r>
      <w:r w:rsidR="002846A2" w:rsidRPr="002B283E">
        <w:rPr>
          <w:rFonts w:cs="Times New Roman"/>
          <w:szCs w:val="24"/>
        </w:rPr>
        <w:t>These sources may be helpful:</w:t>
      </w:r>
    </w:p>
    <w:p w14:paraId="527CC981" w14:textId="77777777" w:rsidR="002846A2" w:rsidRPr="002B283E" w:rsidRDefault="002846A2" w:rsidP="002B283E">
      <w:pPr>
        <w:rPr>
          <w:rFonts w:cs="Times New Roman"/>
          <w:szCs w:val="24"/>
        </w:rPr>
      </w:pPr>
    </w:p>
    <w:p w14:paraId="184B495C" w14:textId="77777777" w:rsidR="002846A2" w:rsidRPr="002B283E" w:rsidRDefault="002846A2" w:rsidP="002B283E">
      <w:pPr>
        <w:ind w:firstLine="720"/>
        <w:rPr>
          <w:rFonts w:cs="Times New Roman"/>
          <w:szCs w:val="24"/>
        </w:rPr>
      </w:pPr>
      <w:r w:rsidRPr="002B283E">
        <w:rPr>
          <w:rFonts w:cs="Times New Roman"/>
          <w:smallCaps/>
          <w:szCs w:val="24"/>
        </w:rPr>
        <w:t>American Bar Association Antitrust Section, Model Jury Instructions in Civil Antitrust Cases</w:t>
      </w:r>
      <w:r w:rsidRPr="002B283E">
        <w:rPr>
          <w:rFonts w:cs="Times New Roman"/>
          <w:szCs w:val="24"/>
        </w:rPr>
        <w:t xml:space="preserve"> (A.B.A., Chicago, Ill., 2016).</w:t>
      </w:r>
    </w:p>
    <w:p w14:paraId="1B4A0CB1" w14:textId="77777777" w:rsidR="002846A2" w:rsidRPr="002B283E" w:rsidRDefault="002846A2" w:rsidP="002B283E">
      <w:pPr>
        <w:rPr>
          <w:rFonts w:cs="Times New Roman"/>
          <w:szCs w:val="24"/>
        </w:rPr>
      </w:pPr>
    </w:p>
    <w:p w14:paraId="02D5939C" w14:textId="77777777" w:rsidR="002846A2" w:rsidRPr="002B283E" w:rsidRDefault="002846A2" w:rsidP="002B283E">
      <w:pPr>
        <w:ind w:firstLine="720"/>
        <w:rPr>
          <w:rFonts w:cs="Times New Roman"/>
          <w:szCs w:val="24"/>
        </w:rPr>
      </w:pPr>
      <w:r w:rsidRPr="002B283E">
        <w:rPr>
          <w:rFonts w:cs="Times New Roman"/>
          <w:smallCaps/>
          <w:szCs w:val="24"/>
        </w:rPr>
        <w:t>Kevin F. O’Malley, et al., 3A Federal Jury Practice and Instructions</w:t>
      </w:r>
      <w:r w:rsidRPr="002B283E">
        <w:rPr>
          <w:rFonts w:cs="Times New Roman"/>
          <w:szCs w:val="24"/>
        </w:rPr>
        <w:t>, ch. 150 Antitrust—Private Action (6th ed. 2012).</w:t>
      </w:r>
    </w:p>
    <w:p w14:paraId="568C68B7" w14:textId="77777777" w:rsidR="002846A2" w:rsidRPr="002B283E" w:rsidRDefault="002846A2" w:rsidP="002B283E">
      <w:pPr>
        <w:ind w:firstLine="720"/>
        <w:rPr>
          <w:rFonts w:cs="Times New Roman"/>
          <w:szCs w:val="24"/>
        </w:rPr>
      </w:pPr>
    </w:p>
    <w:p w14:paraId="639A124B" w14:textId="77777777" w:rsidR="002846A2" w:rsidRPr="002B283E" w:rsidRDefault="002846A2" w:rsidP="002B283E">
      <w:pPr>
        <w:ind w:firstLine="720"/>
        <w:rPr>
          <w:rFonts w:cs="Times New Roman"/>
          <w:szCs w:val="24"/>
        </w:rPr>
      </w:pPr>
      <w:r w:rsidRPr="002B283E">
        <w:rPr>
          <w:rFonts w:cs="Times New Roman"/>
          <w:smallCaps/>
          <w:szCs w:val="24"/>
        </w:rPr>
        <w:t>Leonard B. Sand, et al., 4 Modern Federal Jury Instructions–Civil</w:t>
      </w:r>
      <w:r w:rsidRPr="002B283E">
        <w:rPr>
          <w:rFonts w:cs="Times New Roman"/>
          <w:szCs w:val="24"/>
        </w:rPr>
        <w:t xml:space="preserve"> (Matthew Bender), ch. 79, ¶ ¶ 79.01-79.08 (</w:t>
      </w:r>
      <w:r w:rsidRPr="002B283E">
        <w:rPr>
          <w:rFonts w:cs="Times New Roman"/>
          <w:i/>
          <w:iCs/>
          <w:szCs w:val="24"/>
        </w:rPr>
        <w:t>Restraint of Trade</w:t>
      </w:r>
      <w:r w:rsidRPr="002B283E">
        <w:rPr>
          <w:rFonts w:cs="Times New Roman"/>
          <w:szCs w:val="24"/>
        </w:rPr>
        <w:t>); ch. 80, ¶ ¶ 80.01-80.03 (</w:t>
      </w:r>
      <w:r w:rsidRPr="002B283E">
        <w:rPr>
          <w:rFonts w:cs="Times New Roman"/>
          <w:i/>
          <w:iCs/>
          <w:szCs w:val="24"/>
        </w:rPr>
        <w:t>Monopolization</w:t>
      </w:r>
      <w:r w:rsidRPr="002B283E">
        <w:rPr>
          <w:rFonts w:cs="Times New Roman"/>
          <w:szCs w:val="24"/>
        </w:rPr>
        <w:t>); ch. 81, ¶ ¶ 81.01-81.04 (</w:t>
      </w:r>
      <w:r w:rsidRPr="002B283E">
        <w:rPr>
          <w:rFonts w:cs="Times New Roman"/>
          <w:i/>
          <w:iCs/>
          <w:szCs w:val="24"/>
        </w:rPr>
        <w:t>Patent Based Antitrust Claims</w:t>
      </w:r>
      <w:r w:rsidRPr="002B283E">
        <w:rPr>
          <w:rFonts w:cs="Times New Roman"/>
          <w:szCs w:val="24"/>
        </w:rPr>
        <w:t>).</w:t>
      </w:r>
    </w:p>
    <w:p w14:paraId="28BCA19D" w14:textId="77777777" w:rsidR="002846A2" w:rsidRPr="002B283E" w:rsidRDefault="002846A2" w:rsidP="002B283E">
      <w:pPr>
        <w:ind w:firstLine="720"/>
        <w:jc w:val="right"/>
        <w:rPr>
          <w:rFonts w:cs="Times New Roman"/>
          <w:i/>
          <w:iCs/>
          <w:szCs w:val="24"/>
        </w:rPr>
      </w:pPr>
    </w:p>
    <w:p w14:paraId="2C47F04D" w14:textId="25611CE4" w:rsidR="00673357" w:rsidRPr="002B283E" w:rsidRDefault="002846A2" w:rsidP="002B283E">
      <w:pPr>
        <w:ind w:firstLine="720"/>
        <w:jc w:val="right"/>
        <w:rPr>
          <w:rFonts w:cs="Times New Roman"/>
          <w:i/>
          <w:iCs/>
          <w:szCs w:val="24"/>
        </w:rPr>
      </w:pPr>
      <w:r w:rsidRPr="002B283E">
        <w:rPr>
          <w:rFonts w:cs="Times New Roman"/>
          <w:i/>
          <w:iCs/>
          <w:szCs w:val="24"/>
        </w:rPr>
        <w:t>Revised March 2025</w:t>
      </w:r>
    </w:p>
    <w:p w14:paraId="5EDA97C8" w14:textId="4002E940" w:rsidR="006A4CD7" w:rsidRPr="002B283E" w:rsidRDefault="006A4CD7" w:rsidP="002B283E">
      <w:pPr>
        <w:pStyle w:val="Heading1"/>
        <w:spacing w:before="0" w:line="240" w:lineRule="auto"/>
      </w:pPr>
      <w:bookmarkStart w:id="330" w:name="_15._TRADEMARK"/>
      <w:bookmarkEnd w:id="330"/>
      <w:r w:rsidRPr="002B283E">
        <w:br w:type="page"/>
      </w:r>
      <w:bookmarkStart w:id="331" w:name="_Toc221525266"/>
      <w:r w:rsidRPr="002B283E">
        <w:lastRenderedPageBreak/>
        <w:t>15. TRADEMARK</w:t>
      </w:r>
      <w:bookmarkEnd w:id="331"/>
    </w:p>
    <w:p w14:paraId="02FDBD62" w14:textId="77777777" w:rsidR="006A4CD7" w:rsidRPr="002B283E" w:rsidRDefault="006A4CD7" w:rsidP="002B283E">
      <w:pPr>
        <w:autoSpaceDE w:val="0"/>
        <w:autoSpaceDN w:val="0"/>
        <w:adjustRightInd w:val="0"/>
        <w:rPr>
          <w:rFonts w:cs="Times New Roman"/>
          <w:szCs w:val="24"/>
        </w:rPr>
      </w:pPr>
    </w:p>
    <w:p w14:paraId="5B571764"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729396A" w14:textId="77777777" w:rsidR="006A4CD7" w:rsidRPr="002B283E" w:rsidRDefault="006A4CD7" w:rsidP="002B283E">
      <w:pPr>
        <w:autoSpaceDE w:val="0"/>
        <w:autoSpaceDN w:val="0"/>
        <w:adjustRightInd w:val="0"/>
        <w:rPr>
          <w:rFonts w:cs="Times New Roman"/>
          <w:szCs w:val="24"/>
        </w:rPr>
      </w:pPr>
    </w:p>
    <w:p w14:paraId="438C591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w:t>
      </w:r>
      <w:r w:rsidRPr="002B283E">
        <w:rPr>
          <w:rFonts w:cs="Times New Roman"/>
          <w:szCs w:val="24"/>
        </w:rPr>
        <w:tab/>
        <w:t>Preliminary Instruction—Trademark</w:t>
      </w:r>
    </w:p>
    <w:p w14:paraId="7A41DEE7" w14:textId="292E95C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Pr="002B283E">
        <w:rPr>
          <w:rFonts w:cs="Times New Roman"/>
          <w:szCs w:val="24"/>
        </w:rPr>
        <w:tab/>
        <w:t>Definition—Trademark</w:t>
      </w:r>
      <w:r w:rsidR="00D934FC" w:rsidRPr="002B283E">
        <w:rPr>
          <w:rFonts w:cs="Times New Roman"/>
          <w:szCs w:val="24"/>
        </w:rPr>
        <w:t xml:space="preserve"> (15 U.S.C. § 1127)</w:t>
      </w:r>
    </w:p>
    <w:p w14:paraId="4C113C2D" w14:textId="418E7D8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Pr="002B283E">
        <w:rPr>
          <w:rFonts w:cs="Times New Roman"/>
          <w:szCs w:val="24"/>
        </w:rPr>
        <w:tab/>
        <w:t>Definition—Trade Dress</w:t>
      </w:r>
      <w:r w:rsidR="00D934FC" w:rsidRPr="002B283E">
        <w:rPr>
          <w:rFonts w:cs="Times New Roman"/>
          <w:szCs w:val="24"/>
        </w:rPr>
        <w:t xml:space="preserve"> (15 U.S.C. § 1125(</w:t>
      </w:r>
      <w:r w:rsidR="00F9611C" w:rsidRPr="002B283E">
        <w:rPr>
          <w:rFonts w:cs="Times New Roman"/>
          <w:szCs w:val="24"/>
        </w:rPr>
        <w:t>a</w:t>
      </w:r>
      <w:r w:rsidR="00D934FC" w:rsidRPr="002B283E">
        <w:rPr>
          <w:rFonts w:cs="Times New Roman"/>
          <w:szCs w:val="24"/>
        </w:rPr>
        <w:t>))</w:t>
      </w:r>
    </w:p>
    <w:p w14:paraId="4C3E78B7" w14:textId="3DA95B1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15.4</w:t>
      </w:r>
      <w:r w:rsidRPr="002B283E">
        <w:rPr>
          <w:rFonts w:cs="Times New Roman"/>
          <w:szCs w:val="24"/>
        </w:rPr>
        <w:tab/>
        <w:t>Definition—Trade Name/Commercial Name</w:t>
      </w:r>
      <w:r w:rsidR="00D934FC" w:rsidRPr="002B283E">
        <w:rPr>
          <w:rFonts w:cs="Times New Roman"/>
          <w:szCs w:val="24"/>
        </w:rPr>
        <w:t xml:space="preserve"> (15 U.S.C. § 1127)</w:t>
      </w:r>
    </w:p>
    <w:p w14:paraId="13A9F3AD" w14:textId="5CBBE75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15.5</w:t>
      </w:r>
      <w:r w:rsidRPr="002B283E">
        <w:rPr>
          <w:rFonts w:cs="Times New Roman"/>
          <w:szCs w:val="24"/>
        </w:rPr>
        <w:tab/>
        <w:t>Trademark Liability—Theories and Policies</w:t>
      </w:r>
      <w:r w:rsidR="00D934FC" w:rsidRPr="002B283E">
        <w:rPr>
          <w:rFonts w:cs="Times New Roman"/>
          <w:szCs w:val="24"/>
        </w:rPr>
        <w:t xml:space="preserve"> (15 U.S.C. §§ 1114(1), 1125(</w:t>
      </w:r>
      <w:r w:rsidR="00F9611C" w:rsidRPr="002B283E">
        <w:rPr>
          <w:rFonts w:cs="Times New Roman"/>
          <w:szCs w:val="24"/>
        </w:rPr>
        <w:t>a</w:t>
      </w:r>
      <w:r w:rsidR="00D934FC" w:rsidRPr="002B283E">
        <w:rPr>
          <w:rFonts w:cs="Times New Roman"/>
          <w:szCs w:val="24"/>
        </w:rPr>
        <w:t>))</w:t>
      </w:r>
    </w:p>
    <w:p w14:paraId="79F5FC9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15.6</w:t>
      </w:r>
      <w:r w:rsidRPr="002B283E">
        <w:rPr>
          <w:rFonts w:cs="Times New Roman"/>
          <w:szCs w:val="24"/>
        </w:rPr>
        <w:tab/>
        <w:t>Infringement—Elements and Burden of Proof—Trademark</w:t>
      </w:r>
    </w:p>
    <w:p w14:paraId="6CE888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15.7</w:t>
      </w:r>
      <w:r w:rsidRPr="002B283E">
        <w:rPr>
          <w:rFonts w:cs="Times New Roman"/>
          <w:szCs w:val="24"/>
        </w:rPr>
        <w:tab/>
        <w:t>Infringement—Elements and Burden of Proof—Trade Dress</w:t>
      </w:r>
    </w:p>
    <w:p w14:paraId="2FB9ED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15.8</w:t>
      </w:r>
      <w:r w:rsidRPr="002B283E">
        <w:rPr>
          <w:rFonts w:cs="Times New Roman"/>
          <w:szCs w:val="24"/>
        </w:rPr>
        <w:tab/>
        <w:t>Infringement—Elements—Presumed Validity and Ownership—Registered Trademark</w:t>
      </w:r>
    </w:p>
    <w:p w14:paraId="0ACB51A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15.9</w:t>
      </w:r>
      <w:r w:rsidRPr="002B283E">
        <w:rPr>
          <w:rFonts w:cs="Times New Roman"/>
          <w:szCs w:val="24"/>
        </w:rPr>
        <w:tab/>
        <w:t>Infringement—Elements—Validity—Unregistered Marks</w:t>
      </w:r>
    </w:p>
    <w:p w14:paraId="35072E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15.10</w:t>
      </w:r>
      <w:r w:rsidRPr="002B283E">
        <w:rPr>
          <w:rFonts w:cs="Times New Roman"/>
          <w:szCs w:val="24"/>
        </w:rPr>
        <w:tab/>
        <w:t>Infringement—Elements—Validity—Unregistered Marks—Distinctiveness</w:t>
      </w:r>
    </w:p>
    <w:p w14:paraId="6F9F549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15.11</w:t>
      </w:r>
      <w:r w:rsidRPr="002B283E">
        <w:rPr>
          <w:rFonts w:cs="Times New Roman"/>
          <w:szCs w:val="24"/>
        </w:rPr>
        <w:tab/>
        <w:t>Infringement—Elements—Validity—Distinctiveness—Secondary Meaning</w:t>
      </w:r>
    </w:p>
    <w:p w14:paraId="4E7C3A2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15.12</w:t>
      </w:r>
      <w:r w:rsidRPr="002B283E">
        <w:rPr>
          <w:rFonts w:cs="Times New Roman"/>
          <w:szCs w:val="24"/>
        </w:rPr>
        <w:tab/>
        <w:t>Infringement—Elements—Validity—Trade Dress—Non–Functionality Requirement</w:t>
      </w:r>
    </w:p>
    <w:p w14:paraId="0ECFF79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15.13</w:t>
      </w:r>
      <w:r w:rsidRPr="002B283E">
        <w:rPr>
          <w:rFonts w:cs="Times New Roman"/>
          <w:szCs w:val="24"/>
        </w:rPr>
        <w:tab/>
        <w:t>Infringement—Elements—Ownership—Generally</w:t>
      </w:r>
    </w:p>
    <w:p w14:paraId="5B58F96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15.14</w:t>
      </w:r>
      <w:r w:rsidRPr="002B283E">
        <w:rPr>
          <w:rFonts w:cs="Times New Roman"/>
          <w:szCs w:val="24"/>
        </w:rPr>
        <w:tab/>
        <w:t>Infringement—Elements—Ownership—Priority Through Tacking</w:t>
      </w:r>
    </w:p>
    <w:p w14:paraId="7F658138" w14:textId="3DEF419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15.15</w:t>
      </w:r>
      <w:r w:rsidRPr="002B283E">
        <w:rPr>
          <w:rFonts w:cs="Times New Roman"/>
          <w:szCs w:val="24"/>
        </w:rPr>
        <w:tab/>
        <w:t>Trademark Ownership—Assignee</w:t>
      </w:r>
      <w:r w:rsidR="003B01C3" w:rsidRPr="002B283E">
        <w:rPr>
          <w:rFonts w:cs="Times New Roman"/>
          <w:szCs w:val="24"/>
        </w:rPr>
        <w:t xml:space="preserve"> (15 U.S.C. § 1060)</w:t>
      </w:r>
    </w:p>
    <w:p w14:paraId="741B2B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15.16</w:t>
      </w:r>
      <w:r w:rsidRPr="002B283E">
        <w:rPr>
          <w:rFonts w:cs="Times New Roman"/>
          <w:szCs w:val="24"/>
        </w:rPr>
        <w:tab/>
        <w:t>Trademark Ownership—Licensee</w:t>
      </w:r>
    </w:p>
    <w:p w14:paraId="5152F03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15.17</w:t>
      </w:r>
      <w:r w:rsidRPr="002B283E">
        <w:rPr>
          <w:rFonts w:cs="Times New Roman"/>
          <w:szCs w:val="24"/>
        </w:rPr>
        <w:tab/>
        <w:t>Trademark Ownership—Merchant or Distributor</w:t>
      </w:r>
    </w:p>
    <w:p w14:paraId="75D5B2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15.18</w:t>
      </w:r>
      <w:r w:rsidRPr="002B283E">
        <w:rPr>
          <w:rFonts w:cs="Times New Roman"/>
          <w:szCs w:val="24"/>
        </w:rPr>
        <w:tab/>
        <w:t>Infringement—Likelihood of Confusion—Factors—</w:t>
      </w:r>
      <w:r w:rsidRPr="002B283E">
        <w:rPr>
          <w:rFonts w:cs="Times New Roman"/>
          <w:i/>
          <w:iCs/>
          <w:szCs w:val="24"/>
        </w:rPr>
        <w:t>Sleekcraft</w:t>
      </w:r>
      <w:r w:rsidRPr="002B283E">
        <w:rPr>
          <w:rFonts w:cs="Times New Roman"/>
          <w:szCs w:val="24"/>
        </w:rPr>
        <w:t xml:space="preserve"> Test</w:t>
      </w:r>
    </w:p>
    <w:p w14:paraId="22301695" w14:textId="1345907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15.19</w:t>
      </w:r>
      <w:r w:rsidRPr="002B283E">
        <w:rPr>
          <w:rFonts w:cs="Times New Roman"/>
          <w:szCs w:val="24"/>
        </w:rPr>
        <w:tab/>
      </w:r>
      <w:r w:rsidR="00873CEE" w:rsidRPr="002B283E">
        <w:rPr>
          <w:rFonts w:cs="Times New Roman"/>
          <w:szCs w:val="24"/>
        </w:rPr>
        <w:t>Infringement—Likelihood of Confusion—Sleekcraft Factor 1— Strength or Weakness of the Plaintiff’s Mark</w:t>
      </w:r>
    </w:p>
    <w:p w14:paraId="29DF04B5" w14:textId="726D363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20</w:t>
      </w:r>
      <w:r w:rsidRPr="002B283E">
        <w:rPr>
          <w:rFonts w:cs="Times New Roman"/>
          <w:szCs w:val="24"/>
        </w:rPr>
        <w:tab/>
        <w:t xml:space="preserve">Expressive Works </w:t>
      </w:r>
    </w:p>
    <w:p w14:paraId="6BC45E88" w14:textId="6FBBE11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1</w:t>
      </w:r>
      <w:r w:rsidRPr="002B283E">
        <w:rPr>
          <w:rFonts w:cs="Times New Roman"/>
          <w:szCs w:val="24"/>
        </w:rPr>
        <w:tab/>
        <w:t>Derivative Liability—Inducing Infringement</w:t>
      </w:r>
    </w:p>
    <w:p w14:paraId="676B6BE2" w14:textId="0B4415E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2</w:t>
      </w:r>
      <w:r w:rsidRPr="002B283E">
        <w:rPr>
          <w:rFonts w:cs="Times New Roman"/>
          <w:szCs w:val="24"/>
        </w:rPr>
        <w:tab/>
        <w:t>Derivative Liability—Contributory Infringement</w:t>
      </w:r>
    </w:p>
    <w:p w14:paraId="1F16AD46" w14:textId="622F540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3</w:t>
      </w:r>
      <w:r w:rsidRPr="002B283E">
        <w:rPr>
          <w:rFonts w:cs="Times New Roman"/>
          <w:szCs w:val="24"/>
        </w:rPr>
        <w:tab/>
        <w:t>Defenses—Abandonment—Affirmative Defense—Defendant’s Burden of Proof</w:t>
      </w:r>
    </w:p>
    <w:p w14:paraId="440206AF" w14:textId="17AEA35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4</w:t>
      </w:r>
      <w:r w:rsidRPr="002B283E">
        <w:rPr>
          <w:rFonts w:cs="Times New Roman"/>
          <w:szCs w:val="24"/>
        </w:rPr>
        <w:tab/>
        <w:t>Defenses—Continuous Prior Use Within Remote Geographic Area—Affirmative Defense</w:t>
      </w:r>
      <w:r w:rsidR="003B01C3" w:rsidRPr="002B283E">
        <w:rPr>
          <w:rFonts w:cs="Times New Roman"/>
          <w:szCs w:val="24"/>
        </w:rPr>
        <w:t xml:space="preserve"> (15 U.S.C. § 1115(b)(5))</w:t>
      </w:r>
    </w:p>
    <w:p w14:paraId="1CC74084" w14:textId="04D979A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5</w:t>
      </w:r>
      <w:r w:rsidRPr="002B283E">
        <w:rPr>
          <w:rFonts w:cs="Times New Roman"/>
          <w:szCs w:val="24"/>
        </w:rPr>
        <w:tab/>
        <w:t>Defenses</w:t>
      </w:r>
      <w:r w:rsidR="0087201A" w:rsidRPr="002B283E">
        <w:rPr>
          <w:rFonts w:cs="Times New Roman"/>
          <w:szCs w:val="24"/>
        </w:rPr>
        <w:t>— “</w:t>
      </w:r>
      <w:r w:rsidRPr="002B283E">
        <w:rPr>
          <w:rFonts w:cs="Times New Roman"/>
          <w:szCs w:val="24"/>
        </w:rPr>
        <w:t>Classic” Fair Use</w:t>
      </w:r>
      <w:r w:rsidR="003B01C3" w:rsidRPr="002B283E">
        <w:rPr>
          <w:rFonts w:cs="Times New Roman"/>
          <w:szCs w:val="24"/>
        </w:rPr>
        <w:t xml:space="preserve"> (15 U.S.C. § 1115(b)(4))</w:t>
      </w:r>
    </w:p>
    <w:p w14:paraId="2302D2BC" w14:textId="513C904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6</w:t>
      </w:r>
      <w:r w:rsidRPr="002B283E">
        <w:rPr>
          <w:rFonts w:cs="Times New Roman"/>
          <w:szCs w:val="24"/>
        </w:rPr>
        <w:tab/>
        <w:t>Defenses—Nominative Fair Use</w:t>
      </w:r>
    </w:p>
    <w:p w14:paraId="5D111239" w14:textId="289B70D5" w:rsidR="009E6FE5" w:rsidRPr="002B283E" w:rsidRDefault="009E6FE5"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7</w:t>
      </w:r>
      <w:r w:rsidRPr="002B283E">
        <w:rPr>
          <w:rFonts w:cs="Times New Roman"/>
          <w:szCs w:val="24"/>
        </w:rPr>
        <w:tab/>
        <w:t>Defenses—First Sale</w:t>
      </w:r>
    </w:p>
    <w:p w14:paraId="3E5B346A" w14:textId="58A6103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8</w:t>
      </w:r>
      <w:r w:rsidRPr="002B283E">
        <w:rPr>
          <w:rFonts w:cs="Times New Roman"/>
          <w:szCs w:val="24"/>
        </w:rPr>
        <w:tab/>
        <w:t>Trademark Damages—Actual or Statutory Notice</w:t>
      </w:r>
      <w:r w:rsidR="003B01C3" w:rsidRPr="002B283E">
        <w:rPr>
          <w:rFonts w:cs="Times New Roman"/>
          <w:szCs w:val="24"/>
        </w:rPr>
        <w:t xml:space="preserve"> (15 U.S.C. § 1111)</w:t>
      </w:r>
    </w:p>
    <w:p w14:paraId="4BF6903D" w14:textId="2289E5C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9</w:t>
      </w:r>
      <w:r w:rsidRPr="002B283E">
        <w:rPr>
          <w:rFonts w:cs="Times New Roman"/>
          <w:szCs w:val="24"/>
        </w:rPr>
        <w:tab/>
        <w:t>Trademark Damages—Plaintiff’s Actual Damages</w:t>
      </w:r>
      <w:r w:rsidR="003B01C3" w:rsidRPr="002B283E">
        <w:rPr>
          <w:rFonts w:cs="Times New Roman"/>
          <w:szCs w:val="24"/>
        </w:rPr>
        <w:t xml:space="preserve"> (15 U.S.C. § 1117(a))</w:t>
      </w:r>
    </w:p>
    <w:p w14:paraId="4D0843CF" w14:textId="3D8A26A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30</w:t>
      </w:r>
      <w:r w:rsidRPr="002B283E">
        <w:rPr>
          <w:rFonts w:cs="Times New Roman"/>
          <w:szCs w:val="24"/>
        </w:rPr>
        <w:tab/>
        <w:t>Trademark Damages—Plaintiff's Statutory Damages</w:t>
      </w:r>
      <w:r w:rsidR="003B01C3" w:rsidRPr="002B283E">
        <w:rPr>
          <w:rFonts w:cs="Times New Roman"/>
          <w:szCs w:val="24"/>
        </w:rPr>
        <w:t xml:space="preserve"> (15 U.S.C. § 1117(c) and (d))</w:t>
      </w:r>
    </w:p>
    <w:p w14:paraId="7492E90F" w14:textId="3FB6B8BE" w:rsidR="00983578"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31</w:t>
      </w:r>
      <w:r w:rsidRPr="002B283E">
        <w:rPr>
          <w:rFonts w:cs="Times New Roman"/>
          <w:szCs w:val="24"/>
        </w:rPr>
        <w:tab/>
      </w:r>
      <w:r w:rsidR="00983578" w:rsidRPr="002B283E">
        <w:rPr>
          <w:rFonts w:cs="Times New Roman"/>
          <w:szCs w:val="24"/>
        </w:rPr>
        <w:t xml:space="preserve">Trademark Damages—Disgorgement of Defendant’s Profits </w:t>
      </w:r>
    </w:p>
    <w:p w14:paraId="511E3942" w14:textId="59C429C0" w:rsidR="006A4CD7" w:rsidRPr="002B283E" w:rsidRDefault="0086014F" w:rsidP="002B283E">
      <w:pPr>
        <w:autoSpaceDE w:val="0"/>
        <w:autoSpaceDN w:val="0"/>
        <w:adjustRightInd w:val="0"/>
        <w:ind w:left="900" w:hanging="180"/>
        <w:rPr>
          <w:rFonts w:cs="Times New Roman"/>
          <w:szCs w:val="24"/>
        </w:rPr>
      </w:pPr>
      <w:r w:rsidRPr="002B283E">
        <w:rPr>
          <w:rFonts w:cs="Times New Roman"/>
          <w:szCs w:val="24"/>
        </w:rPr>
        <w:t xml:space="preserve">   </w:t>
      </w:r>
      <w:r w:rsidR="00983578" w:rsidRPr="002B283E">
        <w:rPr>
          <w:rFonts w:cs="Times New Roman"/>
          <w:szCs w:val="24"/>
        </w:rPr>
        <w:t>(15 U.S.C. § 1117(a))</w:t>
      </w:r>
    </w:p>
    <w:p w14:paraId="0F8789BF" w14:textId="66F1130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6F1E94">
        <w:rPr>
          <w:rFonts w:cs="Times New Roman"/>
          <w:szCs w:val="24"/>
        </w:rPr>
        <w:t>2</w:t>
      </w:r>
      <w:r w:rsidRPr="002B283E">
        <w:rPr>
          <w:rFonts w:cs="Times New Roman"/>
          <w:szCs w:val="24"/>
        </w:rPr>
        <w:tab/>
        <w:t>Trademark Dilution</w:t>
      </w:r>
      <w:r w:rsidR="003B01C3" w:rsidRPr="002B283E">
        <w:rPr>
          <w:rFonts w:cs="Times New Roman"/>
          <w:szCs w:val="24"/>
        </w:rPr>
        <w:t xml:space="preserve"> (15 U.S.C. § 1125(c))</w:t>
      </w:r>
    </w:p>
    <w:p w14:paraId="160B9284" w14:textId="73710CC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6F1E94">
        <w:rPr>
          <w:rFonts w:cs="Times New Roman"/>
          <w:szCs w:val="24"/>
        </w:rPr>
        <w:t>3</w:t>
      </w:r>
      <w:r w:rsidRPr="002B283E">
        <w:rPr>
          <w:rFonts w:cs="Times New Roman"/>
          <w:szCs w:val="24"/>
        </w:rPr>
        <w:tab/>
        <w:t>Anti-Cybersquatting</w:t>
      </w:r>
      <w:r w:rsidR="003B01C3" w:rsidRPr="002B283E">
        <w:rPr>
          <w:rFonts w:cs="Times New Roman"/>
          <w:szCs w:val="24"/>
        </w:rPr>
        <w:t xml:space="preserve"> (15 U.S.C. § 1125(d))</w:t>
      </w:r>
    </w:p>
    <w:p w14:paraId="23B54078" w14:textId="77777777" w:rsidR="00F9611C" w:rsidRPr="002B283E" w:rsidRDefault="00F9611C" w:rsidP="002B283E">
      <w:pPr>
        <w:autoSpaceDE w:val="0"/>
        <w:autoSpaceDN w:val="0"/>
        <w:adjustRightInd w:val="0"/>
        <w:jc w:val="center"/>
        <w:rPr>
          <w:rFonts w:cs="Times New Roman"/>
          <w:szCs w:val="24"/>
        </w:rPr>
      </w:pPr>
    </w:p>
    <w:p w14:paraId="13FC913E" w14:textId="67E93889" w:rsidR="00673357" w:rsidRPr="002B283E" w:rsidRDefault="0087201A" w:rsidP="002B283E">
      <w:pPr>
        <w:jc w:val="center"/>
        <w:rPr>
          <w:rFonts w:cs="Times New Roman"/>
          <w:szCs w:val="24"/>
        </w:rPr>
      </w:pPr>
      <w:r w:rsidRPr="002B283E">
        <w:rPr>
          <w:rFonts w:cs="Times New Roman"/>
          <w:szCs w:val="24"/>
        </w:rPr>
        <w:t>____________________</w:t>
      </w:r>
      <w:r w:rsidR="00673357" w:rsidRPr="002B283E">
        <w:rPr>
          <w:rFonts w:cs="Times New Roman"/>
          <w:szCs w:val="24"/>
        </w:rPr>
        <w:br w:type="page"/>
      </w:r>
    </w:p>
    <w:p w14:paraId="5B5CB5DD" w14:textId="6E18AC9C" w:rsidR="006A4CD7" w:rsidRPr="002B283E" w:rsidRDefault="006A4CD7" w:rsidP="002B283E">
      <w:pPr>
        <w:pStyle w:val="Heading2"/>
      </w:pPr>
      <w:bookmarkStart w:id="332" w:name="_Toc221525267"/>
      <w:r w:rsidRPr="002B283E">
        <w:lastRenderedPageBreak/>
        <w:t xml:space="preserve">15.1 </w:t>
      </w:r>
      <w:r w:rsidR="00D934FC" w:rsidRPr="002B283E">
        <w:t>Preliminary Instruction—Trademark</w:t>
      </w:r>
      <w:bookmarkEnd w:id="332"/>
    </w:p>
    <w:p w14:paraId="0EB9BDEC" w14:textId="77777777" w:rsidR="006A4CD7" w:rsidRPr="002B283E" w:rsidRDefault="006A4CD7" w:rsidP="002B283E">
      <w:pPr>
        <w:rPr>
          <w:rFonts w:cs="Times New Roman"/>
          <w:szCs w:val="24"/>
        </w:rPr>
      </w:pPr>
    </w:p>
    <w:p w14:paraId="0F5F752A" w14:textId="2869F5DF" w:rsidR="00786205" w:rsidRPr="002B283E" w:rsidRDefault="006A4CD7" w:rsidP="002B283E">
      <w:pPr>
        <w:autoSpaceDE w:val="0"/>
        <w:autoSpaceDN w:val="0"/>
        <w:adjustRightInd w:val="0"/>
        <w:rPr>
          <w:rFonts w:cs="Times New Roman"/>
          <w:szCs w:val="24"/>
        </w:rPr>
      </w:pPr>
      <w:r w:rsidRPr="002B283E">
        <w:rPr>
          <w:rFonts w:cs="Times New Roman"/>
          <w:szCs w:val="24"/>
        </w:rPr>
        <w:tab/>
      </w:r>
      <w:r w:rsidR="00786205" w:rsidRPr="002B283E">
        <w:rPr>
          <w:rFonts w:cs="Times New Roman"/>
          <w:szCs w:val="24"/>
        </w:rPr>
        <w:t>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 seeks damages against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for [trademark infringement] [unfair competition].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00786205" w:rsidRPr="002B283E">
        <w:rPr>
          <w:rFonts w:cs="Times New Roman"/>
          <w:szCs w:val="24"/>
        </w:rPr>
        <w:t>denies [infringing the trademark] [unfairly competing] [and] [contends the trademark is invalid].</w:t>
      </w:r>
      <w:r w:rsidR="008E2051">
        <w:rPr>
          <w:rFonts w:cs="Times New Roman"/>
          <w:szCs w:val="24"/>
        </w:rPr>
        <w:t xml:space="preserve"> </w:t>
      </w:r>
      <w:r w:rsidR="00786205" w:rsidRPr="002B283E">
        <w:rPr>
          <w:rFonts w:cs="Times New Roman"/>
          <w:szCs w:val="24"/>
        </w:rPr>
        <w:t xml:space="preserve">To help you understand the evidence that will be presented in this case, I will explain some of the legal terms you will hear during this trial. </w:t>
      </w:r>
    </w:p>
    <w:p w14:paraId="5C1E849A" w14:textId="77777777" w:rsidR="00786205" w:rsidRPr="002B283E" w:rsidRDefault="00786205" w:rsidP="002B283E">
      <w:pPr>
        <w:rPr>
          <w:rFonts w:cs="Times New Roman"/>
          <w:szCs w:val="24"/>
        </w:rPr>
      </w:pPr>
    </w:p>
    <w:p w14:paraId="19D1F891"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DEFINITION AND FUNCTION OF A TRADEMARK</w:t>
      </w:r>
    </w:p>
    <w:p w14:paraId="27398661" w14:textId="77777777" w:rsidR="00786205" w:rsidRPr="002B283E" w:rsidRDefault="00786205" w:rsidP="002B283E">
      <w:pPr>
        <w:rPr>
          <w:rFonts w:cs="Times New Roman"/>
          <w:szCs w:val="24"/>
        </w:rPr>
      </w:pPr>
    </w:p>
    <w:p w14:paraId="64E4F773"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trademark is a word, name, symbol, or device, or any combination of these items that indicates the source of goods. The [owner] [assignee] [licensee] of a trademark has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3EF5EA2B" w14:textId="77777777" w:rsidR="00786205" w:rsidRPr="002B283E" w:rsidRDefault="00786205" w:rsidP="002B283E">
      <w:pPr>
        <w:autoSpaceDE w:val="0"/>
        <w:autoSpaceDN w:val="0"/>
        <w:adjustRightInd w:val="0"/>
        <w:rPr>
          <w:rFonts w:cs="Times New Roman"/>
          <w:szCs w:val="24"/>
        </w:rPr>
      </w:pPr>
    </w:p>
    <w:p w14:paraId="7B2542F8"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[HOW A TRADEMARK IS OBTAINED]</w:t>
      </w:r>
    </w:p>
    <w:p w14:paraId="5F870BA5" w14:textId="77777777" w:rsidR="00786205" w:rsidRPr="002B283E" w:rsidRDefault="00786205" w:rsidP="002B283E">
      <w:pPr>
        <w:rPr>
          <w:rFonts w:cs="Times New Roman"/>
          <w:szCs w:val="24"/>
        </w:rPr>
      </w:pPr>
    </w:p>
    <w:p w14:paraId="5AD693FA"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74F7D242" w14:textId="77777777" w:rsidR="00786205" w:rsidRPr="002B283E" w:rsidRDefault="00786205" w:rsidP="002B283E">
      <w:pPr>
        <w:autoSpaceDE w:val="0"/>
        <w:autoSpaceDN w:val="0"/>
        <w:adjustRightInd w:val="0"/>
        <w:rPr>
          <w:rFonts w:cs="Times New Roman"/>
          <w:szCs w:val="24"/>
        </w:rPr>
      </w:pPr>
    </w:p>
    <w:p w14:paraId="624A1227"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INTERESTS]</w:t>
      </w:r>
    </w:p>
    <w:p w14:paraId="4EA75CD3" w14:textId="77777777" w:rsidR="00786205" w:rsidRPr="002B283E" w:rsidRDefault="00786205" w:rsidP="002B283E">
      <w:pPr>
        <w:autoSpaceDE w:val="0"/>
        <w:autoSpaceDN w:val="0"/>
        <w:adjustRightInd w:val="0"/>
        <w:rPr>
          <w:rFonts w:cs="Times New Roman"/>
          <w:szCs w:val="24"/>
        </w:rPr>
      </w:pPr>
    </w:p>
    <w:p w14:paraId="05A0F1C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0A67508F" w14:textId="77777777" w:rsidR="00786205" w:rsidRPr="002B283E" w:rsidRDefault="00786205" w:rsidP="002B283E">
      <w:pPr>
        <w:autoSpaceDE w:val="0"/>
        <w:autoSpaceDN w:val="0"/>
        <w:adjustRightInd w:val="0"/>
        <w:rPr>
          <w:rFonts w:cs="Times New Roman"/>
          <w:szCs w:val="24"/>
        </w:rPr>
      </w:pPr>
    </w:p>
    <w:p w14:paraId="388A3074"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287195F4" w14:textId="77777777" w:rsidR="00786205" w:rsidRPr="002B283E" w:rsidRDefault="00786205" w:rsidP="002B283E">
      <w:pPr>
        <w:autoSpaceDE w:val="0"/>
        <w:autoSpaceDN w:val="0"/>
        <w:adjustRightInd w:val="0"/>
        <w:rPr>
          <w:rFonts w:cs="Times New Roman"/>
          <w:szCs w:val="24"/>
        </w:rPr>
      </w:pPr>
    </w:p>
    <w:p w14:paraId="289273E1"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[owner] [assignee] [licensee] may enforce the right to exclude others in an action for [infringement] [or] [</w:t>
      </w:r>
      <w:r w:rsidRPr="002B283E">
        <w:rPr>
          <w:rFonts w:cs="Times New Roman"/>
          <w:i/>
          <w:iCs/>
          <w:szCs w:val="24"/>
          <w:u w:val="single"/>
        </w:rPr>
        <w:t>insert applicable form of unfair competition from 15 U.S.C. § 1125(a)</w:t>
      </w:r>
      <w:r w:rsidRPr="002B283E">
        <w:rPr>
          <w:rFonts w:cs="Times New Roman"/>
          <w:szCs w:val="24"/>
        </w:rPr>
        <w:t xml:space="preserve">]. </w:t>
      </w:r>
    </w:p>
    <w:p w14:paraId="15744819" w14:textId="77777777" w:rsidR="00786205" w:rsidRPr="002B283E" w:rsidRDefault="00786205" w:rsidP="002B283E">
      <w:pPr>
        <w:autoSpaceDE w:val="0"/>
        <w:autoSpaceDN w:val="0"/>
        <w:adjustRightInd w:val="0"/>
        <w:rPr>
          <w:rFonts w:cs="Times New Roman"/>
          <w:szCs w:val="24"/>
        </w:rPr>
      </w:pPr>
    </w:p>
    <w:p w14:paraId="28FE93E4"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REGISTRATION]</w:t>
      </w:r>
    </w:p>
    <w:p w14:paraId="497C5D21" w14:textId="77777777" w:rsidR="00786205" w:rsidRPr="002B283E" w:rsidRDefault="00786205" w:rsidP="002B283E">
      <w:pPr>
        <w:autoSpaceDE w:val="0"/>
        <w:autoSpaceDN w:val="0"/>
        <w:adjustRightInd w:val="0"/>
        <w:jc w:val="center"/>
        <w:rPr>
          <w:rFonts w:cs="Times New Roman"/>
          <w:szCs w:val="24"/>
        </w:rPr>
      </w:pPr>
    </w:p>
    <w:p w14:paraId="430DA9E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[After the owner of a trademark has obtained the right to exclude others from using the trademark, the owner may obtain a certificate of registration issued by the United States Patent and Trademark Office. Thereafter, when the owner brings an action for infringement, the owner </w:t>
      </w:r>
      <w:r w:rsidRPr="002B283E">
        <w:rPr>
          <w:rFonts w:cs="Times New Roman"/>
          <w:szCs w:val="24"/>
        </w:rPr>
        <w:lastRenderedPageBreak/>
        <w:t>may rely solely on the registration certificate to prove that the owner has the right to exclude 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7E3B1658" w14:textId="77777777" w:rsidR="00786205" w:rsidRPr="002B283E" w:rsidRDefault="00786205" w:rsidP="002B283E">
      <w:pPr>
        <w:autoSpaceDE w:val="0"/>
        <w:autoSpaceDN w:val="0"/>
        <w:adjustRightInd w:val="0"/>
        <w:rPr>
          <w:rFonts w:cs="Times New Roman"/>
          <w:szCs w:val="24"/>
        </w:rPr>
      </w:pPr>
    </w:p>
    <w:p w14:paraId="3BD5269B"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[LIKELIHOOD OF CONFUSION]</w:t>
      </w:r>
    </w:p>
    <w:p w14:paraId="7B36CCDD" w14:textId="77777777" w:rsidR="00786205" w:rsidRPr="002B283E" w:rsidRDefault="00786205" w:rsidP="002B283E">
      <w:pPr>
        <w:rPr>
          <w:rFonts w:cs="Times New Roman"/>
          <w:szCs w:val="24"/>
        </w:rPr>
      </w:pPr>
    </w:p>
    <w:p w14:paraId="005E4236" w14:textId="72B38E2A" w:rsidR="00786205" w:rsidRPr="002B283E" w:rsidRDefault="00786205"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[To prove infringement,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must prove, by a preponderance of the evidence,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without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consent, used in commerce a reproduction, copy, counterfeit or colorable imitation of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mark in connection with the distribution or advertisement of goods, such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use of the mark is likely to cause confusion as to the source of the goods. It is not necessary that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be an exact copy of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mark. Rather,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 xml:space="preserve">must demonstrate that, viewed in its entirety,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is likely to cause confusion in the minds of reasonably prudent purchasers or users as to the source of the product in question.]</w:t>
      </w:r>
    </w:p>
    <w:p w14:paraId="3B1EB1E9" w14:textId="77777777" w:rsidR="00786205" w:rsidRPr="002B283E" w:rsidRDefault="00786205" w:rsidP="002B283E">
      <w:pPr>
        <w:autoSpaceDE w:val="0"/>
        <w:autoSpaceDN w:val="0"/>
        <w:adjustRightInd w:val="0"/>
        <w:rPr>
          <w:rFonts w:cs="Times New Roman"/>
          <w:szCs w:val="24"/>
        </w:rPr>
      </w:pPr>
    </w:p>
    <w:p w14:paraId="239C1C80"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PLAINTIFF’S BURDEN OF PROOF</w:t>
      </w:r>
    </w:p>
    <w:p w14:paraId="36FE2F18" w14:textId="77777777" w:rsidR="00786205" w:rsidRPr="002B283E" w:rsidRDefault="00786205" w:rsidP="002B283E">
      <w:pPr>
        <w:rPr>
          <w:rFonts w:cs="Times New Roman"/>
          <w:szCs w:val="24"/>
        </w:rPr>
      </w:pPr>
    </w:p>
    <w:p w14:paraId="50618854" w14:textId="30ECD003" w:rsidR="00786205" w:rsidRPr="002B283E" w:rsidRDefault="00786205" w:rsidP="002B283E">
      <w:pPr>
        <w:autoSpaceDE w:val="0"/>
        <w:autoSpaceDN w:val="0"/>
        <w:adjustRightInd w:val="0"/>
        <w:rPr>
          <w:rFonts w:cs="Times New Roman"/>
          <w:szCs w:val="24"/>
        </w:rPr>
      </w:pPr>
      <w:r w:rsidRPr="002B283E">
        <w:rPr>
          <w:rFonts w:cs="Times New Roman"/>
          <w:szCs w:val="24"/>
        </w:rPr>
        <w:tab/>
        <w:t>In this case,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contends that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has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has the burden of proving by a preponderance of the evidence that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is the owner of a valid trademark and that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infringed that trademark. Preponderance of the evidence means that you must be persuaded by the evidence that it is more probably true than not true that the defendant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w:t>
      </w:r>
    </w:p>
    <w:p w14:paraId="48B7EBD6" w14:textId="77777777" w:rsidR="00786205" w:rsidRPr="002B283E" w:rsidRDefault="00786205" w:rsidP="002B283E">
      <w:pPr>
        <w:rPr>
          <w:rFonts w:cs="Times New Roman"/>
          <w:szCs w:val="24"/>
        </w:rPr>
      </w:pPr>
    </w:p>
    <w:p w14:paraId="52DF4B1B"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DEFENDANT’S BURDEN OF PROOF]</w:t>
      </w:r>
    </w:p>
    <w:p w14:paraId="5B5126E5" w14:textId="77777777" w:rsidR="00786205" w:rsidRPr="002B283E" w:rsidRDefault="00786205" w:rsidP="002B283E">
      <w:pPr>
        <w:rPr>
          <w:rFonts w:cs="Times New Roman"/>
          <w:szCs w:val="24"/>
        </w:rPr>
      </w:pPr>
    </w:p>
    <w:p w14:paraId="534E0219" w14:textId="03137652"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contends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has the burden of proving by a preponderance of the evidence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w:t>
      </w:r>
    </w:p>
    <w:p w14:paraId="72B349ED" w14:textId="77777777" w:rsidR="00786205" w:rsidRPr="002B283E" w:rsidRDefault="00786205" w:rsidP="002B283E">
      <w:pPr>
        <w:autoSpaceDE w:val="0"/>
        <w:autoSpaceDN w:val="0"/>
        <w:adjustRightInd w:val="0"/>
        <w:rPr>
          <w:rFonts w:cs="Times New Roman"/>
          <w:szCs w:val="24"/>
        </w:rPr>
      </w:pPr>
    </w:p>
    <w:p w14:paraId="632808EC"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[Preponderance of the evidence means that you must be persuaded by the evidence that it is more probably true than not true that the [[registered] trademark is invalid] [or] [</w:t>
      </w:r>
      <w:r w:rsidRPr="002B283E">
        <w:rPr>
          <w:rFonts w:cs="Times New Roman"/>
          <w:i/>
          <w:iCs/>
          <w:szCs w:val="24"/>
          <w:u w:val="single"/>
        </w:rPr>
        <w:t>insert other affirmative defense</w:t>
      </w:r>
      <w:r w:rsidRPr="002B283E">
        <w:rPr>
          <w:rFonts w:cs="Times New Roman"/>
          <w:szCs w:val="24"/>
        </w:rPr>
        <w:t xml:space="preserve">].] </w:t>
      </w:r>
    </w:p>
    <w:p w14:paraId="11EB4172" w14:textId="77777777" w:rsidR="00786205" w:rsidRPr="002B283E" w:rsidRDefault="00786205" w:rsidP="002B283E">
      <w:pPr>
        <w:autoSpaceDE w:val="0"/>
        <w:autoSpaceDN w:val="0"/>
        <w:adjustRightInd w:val="0"/>
        <w:rPr>
          <w:rFonts w:cs="Times New Roman"/>
          <w:szCs w:val="24"/>
        </w:rPr>
      </w:pPr>
    </w:p>
    <w:p w14:paraId="093A619F"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Comment</w:t>
      </w:r>
    </w:p>
    <w:p w14:paraId="1FBFD4E0" w14:textId="77777777" w:rsidR="00786205" w:rsidRPr="002B283E" w:rsidRDefault="00786205" w:rsidP="002B283E">
      <w:pPr>
        <w:rPr>
          <w:rFonts w:cs="Times New Roman"/>
          <w:szCs w:val="24"/>
        </w:rPr>
      </w:pPr>
    </w:p>
    <w:p w14:paraId="1D564D20"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12D97D80" w14:textId="77777777" w:rsidR="00786205" w:rsidRPr="002B283E" w:rsidRDefault="00786205" w:rsidP="002B283E">
      <w:pPr>
        <w:autoSpaceDE w:val="0"/>
        <w:autoSpaceDN w:val="0"/>
        <w:adjustRightInd w:val="0"/>
        <w:rPr>
          <w:rFonts w:cs="Times New Roman"/>
          <w:szCs w:val="24"/>
        </w:rPr>
      </w:pPr>
    </w:p>
    <w:p w14:paraId="3CB045CE" w14:textId="77777777" w:rsidR="00786205" w:rsidRPr="002B283E" w:rsidRDefault="00786205" w:rsidP="002B283E">
      <w:pPr>
        <w:autoSpaceDE w:val="0"/>
        <w:autoSpaceDN w:val="0"/>
        <w:adjustRightInd w:val="0"/>
        <w:rPr>
          <w:rFonts w:cs="Times New Roman"/>
          <w:szCs w:val="24"/>
        </w:rPr>
      </w:pPr>
      <w:r w:rsidRPr="002B283E">
        <w:rPr>
          <w:rFonts w:cs="Times New Roman"/>
          <w:szCs w:val="24"/>
        </w:rPr>
        <w:lastRenderedPageBreak/>
        <w:tab/>
        <w:t xml:space="preserve">Throughout these instructions, whenever the term “trademark” is used, as is appropriate for the facts of the case, a more specific term, such as “service mark,” “collective mark,” or “certification mark” may be substituted. </w:t>
      </w:r>
      <w:r w:rsidRPr="002B283E">
        <w:rPr>
          <w:rFonts w:cs="Times New Roman"/>
          <w:i/>
          <w:iCs/>
          <w:szCs w:val="24"/>
        </w:rPr>
        <w:t>Lahoti v. VeriCheck, Inc.</w:t>
      </w:r>
      <w:r w:rsidRPr="002B283E">
        <w:rPr>
          <w:rFonts w:cs="Times New Roman"/>
          <w:szCs w:val="24"/>
        </w:rPr>
        <w:t>, 586 F.3d 1190, 1194 n.1 (9th Cir. 2009) (“Under the Lanham Act, the only difference between a trademark and a service mark is that a trademark identifies goods while a service mark identifies services.” (internal quotation marks omitted)).</w:t>
      </w:r>
    </w:p>
    <w:p w14:paraId="5172D36A" w14:textId="77777777" w:rsidR="00786205" w:rsidRPr="002B283E" w:rsidRDefault="00786205" w:rsidP="002B283E">
      <w:pPr>
        <w:autoSpaceDE w:val="0"/>
        <w:autoSpaceDN w:val="0"/>
        <w:adjustRightInd w:val="0"/>
        <w:rPr>
          <w:rFonts w:cs="Times New Roman"/>
          <w:szCs w:val="24"/>
        </w:rPr>
      </w:pPr>
    </w:p>
    <w:p w14:paraId="3D2572B5"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generally</w:t>
      </w:r>
      <w:r w:rsidRPr="002B283E">
        <w:rPr>
          <w:rFonts w:cs="Times New Roman"/>
          <w:szCs w:val="24"/>
        </w:rPr>
        <w:t xml:space="preserve"> 15 U.S.C. § 1051 </w:t>
      </w:r>
      <w:r w:rsidRPr="002B283E">
        <w:rPr>
          <w:rFonts w:cs="Times New Roman"/>
          <w:i/>
          <w:iCs/>
          <w:szCs w:val="24"/>
        </w:rPr>
        <w:t xml:space="preserve">et seq. </w:t>
      </w:r>
      <w:r w:rsidRPr="002B283E">
        <w:rPr>
          <w:rFonts w:cs="Times New Roman"/>
          <w:szCs w:val="24"/>
        </w:rPr>
        <w:t xml:space="preserve">The statute now protects both actual and intended use of a trademark. </w:t>
      </w:r>
      <w:r w:rsidRPr="002B283E">
        <w:rPr>
          <w:rFonts w:cs="Times New Roman"/>
          <w:i/>
          <w:iCs/>
          <w:szCs w:val="24"/>
        </w:rPr>
        <w:t>See</w:t>
      </w:r>
      <w:r w:rsidRPr="002B283E">
        <w:rPr>
          <w:rFonts w:cs="Times New Roman"/>
          <w:szCs w:val="24"/>
        </w:rPr>
        <w:t xml:space="preserve"> 15 U.S.C. § 1051(b). In a case involving merely intended use of a trademark, these instructions must be tailored to fit the case.</w:t>
      </w:r>
      <w:r w:rsidRPr="002B283E">
        <w:rPr>
          <w:rFonts w:cs="Times New Roman"/>
          <w:szCs w:val="24"/>
        </w:rPr>
        <w:tab/>
      </w:r>
    </w:p>
    <w:p w14:paraId="60AE647E" w14:textId="77777777" w:rsidR="00786205" w:rsidRPr="002B283E" w:rsidRDefault="00786205" w:rsidP="002B283E">
      <w:pPr>
        <w:autoSpaceDE w:val="0"/>
        <w:autoSpaceDN w:val="0"/>
        <w:adjustRightInd w:val="0"/>
        <w:rPr>
          <w:rFonts w:cs="Times New Roman"/>
          <w:szCs w:val="24"/>
        </w:rPr>
      </w:pPr>
    </w:p>
    <w:p w14:paraId="1D520E57"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infringement case can be brought under three different causes of action: (1) statutory trademark infringement, (2) common law trademark infringement, and (3) unfair competition.</w:t>
      </w:r>
    </w:p>
    <w:p w14:paraId="6FFCEDE7" w14:textId="77777777" w:rsidR="00786205" w:rsidRPr="002B283E" w:rsidRDefault="00786205" w:rsidP="002B283E">
      <w:pPr>
        <w:autoSpaceDE w:val="0"/>
        <w:autoSpaceDN w:val="0"/>
        <w:adjustRightInd w:val="0"/>
        <w:rPr>
          <w:rFonts w:cs="Times New Roman"/>
          <w:szCs w:val="24"/>
        </w:rPr>
      </w:pPr>
    </w:p>
    <w:p w14:paraId="553FB000" w14:textId="07F4C568" w:rsidR="00786205" w:rsidRPr="002B283E" w:rsidRDefault="00786205" w:rsidP="002B283E">
      <w:pPr>
        <w:autoSpaceDE w:val="0"/>
        <w:autoSpaceDN w:val="0"/>
        <w:adjustRightInd w:val="0"/>
        <w:ind w:firstLine="720"/>
        <w:rPr>
          <w:rFonts w:cs="Times New Roman"/>
          <w:szCs w:val="24"/>
        </w:rPr>
      </w:pPr>
      <w:r w:rsidRPr="002B283E">
        <w:rPr>
          <w:rFonts w:cs="Times New Roman"/>
          <w:szCs w:val="24"/>
        </w:rPr>
        <w:t>Although elements of a claim in trademark may overlap with a claim in copyright, the acts do not preempt each other.</w:t>
      </w:r>
      <w:r w:rsidRPr="002B283E">
        <w:rPr>
          <w:rFonts w:cs="Times New Roman"/>
          <w:i/>
          <w:iCs/>
          <w:szCs w:val="24"/>
        </w:rPr>
        <w:t xml:space="preserve"> See Polar Bear Prods., Inc. v. Timex Corp</w:t>
      </w:r>
      <w:r w:rsidRPr="002B283E">
        <w:rPr>
          <w:rFonts w:cs="Times New Roman"/>
          <w:szCs w:val="24"/>
        </w:rPr>
        <w:t>., 384 F.3d 700, 721 &amp; n.18 (9th Cir. 2004) (“Copyright and trademark are related but distinct property rights, evidenced by different federal statutes governing their protection” so that “[a]lthough there is a general bar to double recovery, we caution that damages arising from a copyright violation do not</w:t>
      </w:r>
      <w:r w:rsidR="008E2051">
        <w:rPr>
          <w:rFonts w:cs="Times New Roman"/>
          <w:szCs w:val="24"/>
        </w:rPr>
        <w:t xml:space="preserve"> </w:t>
      </w:r>
      <w:r w:rsidRPr="002B283E">
        <w:rPr>
          <w:rFonts w:cs="Times New Roman"/>
          <w:szCs w:val="24"/>
        </w:rPr>
        <w:t xml:space="preserve">necessarily overlap wholly with damages from a trademark violation, even though there might be only one underlying action.”); </w:t>
      </w:r>
      <w:r w:rsidRPr="002B283E">
        <w:rPr>
          <w:rFonts w:cs="Times New Roman"/>
          <w:i/>
          <w:iCs/>
          <w:szCs w:val="24"/>
        </w:rPr>
        <w:t>Nintendo of Am., Inc. v. Dragon Pac. Int’l</w:t>
      </w:r>
      <w:r w:rsidRPr="002B283E">
        <w:rPr>
          <w:rFonts w:cs="Times New Roman"/>
          <w:szCs w:val="24"/>
        </w:rPr>
        <w:t>, 40 F.3d 1007, 1011 (9th Cir. 1994) (upholding award for statutory damages under Copyright Act and actual damages under trademark statute).</w:t>
      </w:r>
    </w:p>
    <w:p w14:paraId="074FDE39" w14:textId="77777777" w:rsidR="00786205" w:rsidRPr="002B283E" w:rsidRDefault="00786205" w:rsidP="002B283E">
      <w:pPr>
        <w:autoSpaceDE w:val="0"/>
        <w:autoSpaceDN w:val="0"/>
        <w:adjustRightInd w:val="0"/>
        <w:rPr>
          <w:rFonts w:cs="Times New Roman"/>
          <w:szCs w:val="24"/>
        </w:rPr>
      </w:pPr>
    </w:p>
    <w:p w14:paraId="1E0CEB9A" w14:textId="77777777" w:rsidR="00786205" w:rsidRPr="002B283E" w:rsidRDefault="00786205" w:rsidP="002B283E">
      <w:pPr>
        <w:rPr>
          <w:rFonts w:cs="Times New Roman"/>
          <w:szCs w:val="24"/>
        </w:rPr>
      </w:pPr>
      <w:r w:rsidRPr="002B283E">
        <w:rPr>
          <w:rFonts w:cs="Times New Roman"/>
          <w:szCs w:val="24"/>
        </w:rPr>
        <w:tab/>
        <w:t xml:space="preserve">Additional useful references include: (1) </w:t>
      </w:r>
      <w:r w:rsidRPr="002B283E">
        <w:rPr>
          <w:rFonts w:cs="Times New Roman"/>
          <w:i/>
          <w:iCs/>
          <w:szCs w:val="24"/>
        </w:rPr>
        <w:t>Model Jury Instructions: Copyright, Trademark and Trade Dress Litigation</w:t>
      </w:r>
      <w:r w:rsidRPr="002B283E">
        <w:rPr>
          <w:rFonts w:cs="Times New Roman"/>
          <w:szCs w:val="24"/>
        </w:rPr>
        <w:t xml:space="preserve">, Chapter Two, “Trademark” (Alan Nathan Harris &amp; Todd S. Holbrook eds., American Bar Association 2008); and (2) </w:t>
      </w:r>
      <w:r w:rsidRPr="002B283E">
        <w:rPr>
          <w:rFonts w:cs="Times New Roman"/>
          <w:i/>
          <w:iCs/>
          <w:szCs w:val="24"/>
        </w:rPr>
        <w:t>Model Jury Instructions: Business Torts Litigation</w:t>
      </w:r>
      <w:r w:rsidRPr="002B283E">
        <w:rPr>
          <w:rFonts w:cs="Times New Roman"/>
          <w:szCs w:val="24"/>
        </w:rPr>
        <w:t>, Chapter Four, “Confusion of Source” (Brian A. Hill ed., American Bar Association 5th ed. 2022).</w:t>
      </w:r>
    </w:p>
    <w:p w14:paraId="70B743F1" w14:textId="77777777" w:rsidR="00786205" w:rsidRPr="002B283E" w:rsidRDefault="00786205" w:rsidP="002B283E">
      <w:pPr>
        <w:rPr>
          <w:rFonts w:cs="Times New Roman"/>
          <w:szCs w:val="24"/>
        </w:rPr>
      </w:pPr>
    </w:p>
    <w:p w14:paraId="57C17F26" w14:textId="02B5B83F" w:rsidR="006A4CD7" w:rsidRPr="002B283E" w:rsidRDefault="00786205"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537C6C6" w14:textId="77777777" w:rsidR="00673357" w:rsidRPr="002B283E" w:rsidRDefault="00673357" w:rsidP="002B283E">
      <w:pPr>
        <w:autoSpaceDE w:val="0"/>
        <w:autoSpaceDN w:val="0"/>
        <w:adjustRightInd w:val="0"/>
        <w:rPr>
          <w:rFonts w:cs="Times New Roman"/>
          <w:szCs w:val="24"/>
        </w:rPr>
      </w:pPr>
    </w:p>
    <w:p w14:paraId="37D157F9" w14:textId="4C324D50" w:rsidR="006A4CD7" w:rsidRPr="002B283E" w:rsidRDefault="006A4CD7" w:rsidP="002B283E">
      <w:pPr>
        <w:pStyle w:val="Heading2"/>
      </w:pPr>
      <w:r w:rsidRPr="002B283E">
        <w:br w:type="page"/>
      </w:r>
      <w:bookmarkStart w:id="333" w:name="_Toc221525268"/>
      <w:r w:rsidRPr="002B283E">
        <w:lastRenderedPageBreak/>
        <w:t xml:space="preserve">15.2 </w:t>
      </w:r>
      <w:r w:rsidR="00D934FC" w:rsidRPr="002B283E">
        <w:t>Definition—Trademark (15 U.S.C. § 1127)</w:t>
      </w:r>
      <w:bookmarkEnd w:id="333"/>
    </w:p>
    <w:p w14:paraId="7528AE37" w14:textId="77777777" w:rsidR="006A4CD7" w:rsidRPr="002B283E" w:rsidRDefault="006A4CD7" w:rsidP="002B283E">
      <w:pPr>
        <w:rPr>
          <w:rFonts w:cs="Times New Roman"/>
          <w:szCs w:val="24"/>
        </w:rPr>
      </w:pPr>
    </w:p>
    <w:p w14:paraId="008C7F7E" w14:textId="6D61CBF4" w:rsidR="00F83946" w:rsidRPr="002B283E" w:rsidRDefault="006A4CD7" w:rsidP="002B283E">
      <w:pPr>
        <w:rPr>
          <w:rFonts w:cs="Times New Roman"/>
          <w:szCs w:val="24"/>
        </w:rPr>
      </w:pPr>
      <w:r w:rsidRPr="002B283E">
        <w:rPr>
          <w:rFonts w:cs="Times New Roman"/>
          <w:szCs w:val="24"/>
        </w:rPr>
        <w:tab/>
      </w:r>
      <w:r w:rsidR="00F83946" w:rsidRPr="002B283E">
        <w:rPr>
          <w:rFonts w:cs="Times New Roman"/>
          <w:szCs w:val="24"/>
        </w:rPr>
        <w:t xml:space="preserve">A trademark is any word, name, symbol, device [, or any combination thereof,] used by a person to identify and distinguish that person’s goods from those of others and to indicate the source of the goods[, even if that source is generally unknown]. </w:t>
      </w:r>
    </w:p>
    <w:p w14:paraId="2903AB10" w14:textId="77777777" w:rsidR="00F83946" w:rsidRPr="002B283E" w:rsidRDefault="00F83946" w:rsidP="002B283E">
      <w:pPr>
        <w:rPr>
          <w:rFonts w:cs="Times New Roman"/>
          <w:szCs w:val="24"/>
        </w:rPr>
      </w:pPr>
    </w:p>
    <w:p w14:paraId="0CC657B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corporation, if a party</w:t>
      </w:r>
      <w:r w:rsidRPr="002B283E">
        <w:rPr>
          <w:rFonts w:cs="Times New Roman"/>
          <w:szCs w:val="24"/>
        </w:rPr>
        <w:t xml:space="preserve">] is a person as that term is used in these instructions.] </w:t>
      </w:r>
    </w:p>
    <w:p w14:paraId="301EB5DF" w14:textId="77777777" w:rsidR="00F83946" w:rsidRPr="002B283E" w:rsidRDefault="00F83946" w:rsidP="002B283E">
      <w:pPr>
        <w:rPr>
          <w:rFonts w:cs="Times New Roman"/>
          <w:szCs w:val="24"/>
        </w:rPr>
      </w:pPr>
      <w:r w:rsidRPr="002B283E">
        <w:rPr>
          <w:rFonts w:cs="Times New Roman"/>
          <w:szCs w:val="24"/>
        </w:rPr>
        <w:tab/>
      </w:r>
    </w:p>
    <w:p w14:paraId="2533ED50" w14:textId="77777777" w:rsidR="00F83946" w:rsidRPr="002B283E" w:rsidRDefault="00F83946" w:rsidP="002B283E">
      <w:pPr>
        <w:ind w:firstLine="720"/>
        <w:rPr>
          <w:rFonts w:cs="Times New Roman"/>
          <w:szCs w:val="24"/>
        </w:rPr>
      </w:pPr>
      <w:r w:rsidRPr="002B283E">
        <w:rPr>
          <w:rFonts w:cs="Times New Roman"/>
          <w:szCs w:val="24"/>
        </w:rPr>
        <w:t xml:space="preserve">[A person who uses the trademark of another may be liable for damages.] </w:t>
      </w:r>
    </w:p>
    <w:p w14:paraId="5423E838" w14:textId="77777777" w:rsidR="00F83946" w:rsidRPr="002B283E" w:rsidRDefault="00F83946" w:rsidP="002B283E">
      <w:pPr>
        <w:rPr>
          <w:rFonts w:cs="Times New Roman"/>
          <w:szCs w:val="24"/>
        </w:rPr>
      </w:pPr>
    </w:p>
    <w:p w14:paraId="00909FDA" w14:textId="77777777" w:rsidR="00F83946" w:rsidRPr="002B283E" w:rsidRDefault="00F83946" w:rsidP="002B283E">
      <w:pPr>
        <w:jc w:val="center"/>
        <w:rPr>
          <w:rFonts w:cs="Times New Roman"/>
          <w:b/>
          <w:bCs/>
          <w:szCs w:val="24"/>
        </w:rPr>
      </w:pPr>
      <w:r w:rsidRPr="002B283E">
        <w:rPr>
          <w:rFonts w:cs="Times New Roman"/>
          <w:b/>
          <w:bCs/>
          <w:szCs w:val="24"/>
        </w:rPr>
        <w:t>Comment</w:t>
      </w:r>
    </w:p>
    <w:p w14:paraId="47510E6A" w14:textId="77777777" w:rsidR="00F83946" w:rsidRPr="002B283E" w:rsidRDefault="00F83946" w:rsidP="002B283E">
      <w:pPr>
        <w:rPr>
          <w:rFonts w:cs="Times New Roman"/>
          <w:szCs w:val="24"/>
        </w:rPr>
      </w:pPr>
    </w:p>
    <w:p w14:paraId="0BA2D666" w14:textId="77777777" w:rsidR="00F83946" w:rsidRPr="002B283E" w:rsidRDefault="00F83946" w:rsidP="002B283E">
      <w:pPr>
        <w:rPr>
          <w:rFonts w:cs="Times New Roman"/>
          <w:szCs w:val="24"/>
        </w:rPr>
      </w:pPr>
      <w:r w:rsidRPr="002B283E">
        <w:rPr>
          <w:rFonts w:cs="Times New Roman"/>
          <w:szCs w:val="24"/>
        </w:rPr>
        <w:tab/>
        <w:t xml:space="preserve">This instruction is a model for any case involving a trademark as defined by the Lanham Act, 15 U.S.C. § 1127. Under the Lanham Act, the term “mark” is often used to define the various types of mark protected by the trademark law, such as trade and service marks, collective trade and service marks, and certification trade and service marks. </w:t>
      </w:r>
      <w:r w:rsidRPr="002B283E">
        <w:rPr>
          <w:rFonts w:cs="Times New Roman"/>
          <w:i/>
          <w:iCs/>
          <w:szCs w:val="24"/>
        </w:rPr>
        <w:t>New Kids on the Block v. News Am. Publ’g, Inc</w:t>
      </w:r>
      <w:r w:rsidRPr="002B283E">
        <w:rPr>
          <w:rFonts w:cs="Times New Roman"/>
          <w:szCs w:val="24"/>
        </w:rPr>
        <w:t xml:space="preserve">., 971 F.2d 302, 306 (9th Cir. 1992). For instructions on other trade devices protected by trademark law, </w:t>
      </w:r>
      <w:r w:rsidRPr="008A04C2">
        <w:rPr>
          <w:rFonts w:cs="Times New Roman"/>
          <w:szCs w:val="24"/>
        </w:rPr>
        <w:t>see</w:t>
      </w:r>
      <w:r w:rsidRPr="008E2051">
        <w:rPr>
          <w:rFonts w:cs="Times New Roman"/>
          <w:szCs w:val="24"/>
        </w:rPr>
        <w:t xml:space="preserve"> </w:t>
      </w:r>
      <w:r w:rsidRPr="002B283E">
        <w:rPr>
          <w:rFonts w:cs="Times New Roman"/>
          <w:szCs w:val="24"/>
        </w:rPr>
        <w:t>Instruction 15.3 (Definition</w:t>
      </w:r>
      <w:r w:rsidRPr="002B283E">
        <w:rPr>
          <w:rFonts w:cs="Times New Roman"/>
          <w:b/>
          <w:bCs/>
          <w:szCs w:val="24"/>
        </w:rPr>
        <w:t>—</w:t>
      </w:r>
      <w:r w:rsidRPr="002B283E">
        <w:rPr>
          <w:rFonts w:cs="Times New Roman"/>
          <w:szCs w:val="24"/>
        </w:rPr>
        <w:t>Trade Dress) and Instruction 15.4 (Definition</w:t>
      </w:r>
      <w:r w:rsidRPr="002B283E">
        <w:rPr>
          <w:rFonts w:cs="Times New Roman"/>
          <w:b/>
          <w:bCs/>
          <w:szCs w:val="24"/>
        </w:rPr>
        <w:t>—</w:t>
      </w:r>
      <w:r w:rsidRPr="002B283E">
        <w:rPr>
          <w:rFonts w:cs="Times New Roman"/>
          <w:szCs w:val="24"/>
        </w:rPr>
        <w:t>Trade Name/Commercial Name).</w:t>
      </w:r>
    </w:p>
    <w:p w14:paraId="0107B67D" w14:textId="77777777" w:rsidR="00F83946" w:rsidRPr="002B283E" w:rsidRDefault="00F83946" w:rsidP="002B283E">
      <w:pPr>
        <w:rPr>
          <w:rFonts w:cs="Times New Roman"/>
          <w:szCs w:val="24"/>
        </w:rPr>
      </w:pPr>
    </w:p>
    <w:p w14:paraId="1FF08C10" w14:textId="5AFEEBC6" w:rsidR="00F83946" w:rsidRPr="002B283E" w:rsidRDefault="00F83946" w:rsidP="002B283E">
      <w:pPr>
        <w:ind w:firstLine="720"/>
        <w:rPr>
          <w:rFonts w:cs="Times New Roman"/>
          <w:szCs w:val="24"/>
        </w:rPr>
      </w:pPr>
      <w:r w:rsidRPr="002B283E">
        <w:rPr>
          <w:rFonts w:cs="Times New Roman"/>
          <w:szCs w:val="24"/>
        </w:rPr>
        <w:t>A corporation is a person.</w:t>
      </w:r>
      <w:r w:rsidRPr="002B283E">
        <w:rPr>
          <w:rFonts w:cs="Times New Roman"/>
          <w:i/>
          <w:iCs/>
          <w:szCs w:val="24"/>
        </w:rPr>
        <w:t xml:space="preserve"> 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6A3A138F" w14:textId="77777777" w:rsidR="00F83946" w:rsidRPr="002B283E" w:rsidRDefault="00F83946" w:rsidP="002B283E">
      <w:pPr>
        <w:ind w:firstLine="720"/>
        <w:rPr>
          <w:rFonts w:cs="Times New Roman"/>
          <w:szCs w:val="24"/>
        </w:rPr>
      </w:pPr>
    </w:p>
    <w:p w14:paraId="510D40CF" w14:textId="4C068C67" w:rsidR="00F83946" w:rsidRPr="002B283E" w:rsidRDefault="00F83946" w:rsidP="002B283E">
      <w:pPr>
        <w:rPr>
          <w:rFonts w:cs="Times New Roman"/>
          <w:i/>
          <w:iCs/>
          <w:szCs w:val="24"/>
        </w:rPr>
      </w:pPr>
      <w:r w:rsidRPr="002B283E">
        <w:rPr>
          <w:rFonts w:cs="Times New Roman"/>
          <w:szCs w:val="24"/>
        </w:rPr>
        <w:tab/>
        <w:t xml:space="preserve">A trademark is a limited property right in a particular word, phrase or symbol. </w:t>
      </w:r>
      <w:r w:rsidRPr="002B283E">
        <w:rPr>
          <w:rFonts w:cs="Times New Roman"/>
          <w:i/>
          <w:iCs/>
          <w:szCs w:val="24"/>
        </w:rPr>
        <w:t>See New Kids on the Block</w:t>
      </w:r>
      <w:r w:rsidRPr="002B283E">
        <w:rPr>
          <w:rFonts w:cs="Times New Roman"/>
          <w:szCs w:val="24"/>
        </w:rPr>
        <w:t xml:space="preserve">, 971 F.2d at 306. </w:t>
      </w:r>
      <w:r w:rsidR="00CE6E72">
        <w:rPr>
          <w:rFonts w:cs="Times New Roman"/>
          <w:szCs w:val="24"/>
        </w:rPr>
        <w:t>A trademark</w:t>
      </w:r>
      <w:r w:rsidRPr="002B283E">
        <w:rPr>
          <w:rFonts w:cs="Times New Roman"/>
          <w:szCs w:val="24"/>
        </w:rPr>
        <w:t xml:space="preserve"> identifies the source of goods. </w:t>
      </w:r>
      <w:r w:rsidRPr="002B283E">
        <w:rPr>
          <w:rFonts w:cs="Times New Roman"/>
          <w:i/>
          <w:iCs/>
          <w:szCs w:val="24"/>
        </w:rPr>
        <w:t>See Brookfield Commc’ns Inc. v. W. Coast Ent. Corp.</w:t>
      </w:r>
      <w:r w:rsidRPr="002B283E">
        <w:rPr>
          <w:rFonts w:cs="Times New Roman"/>
          <w:szCs w:val="24"/>
        </w:rPr>
        <w:t xml:space="preserve">, 174 F.3d 1036, 1051 (9th Cir. 1999). But it fails to serve its source-identifying function when the public has never seen it, for instance when registered for an Internet domain name. </w:t>
      </w:r>
      <w:r w:rsidRPr="002B283E">
        <w:rPr>
          <w:rFonts w:cs="Times New Roman"/>
          <w:i/>
          <w:iCs/>
          <w:szCs w:val="24"/>
        </w:rPr>
        <w:t xml:space="preserve">Id. </w:t>
      </w:r>
      <w:r w:rsidRPr="002B283E">
        <w:rPr>
          <w:rFonts w:cs="Times New Roman"/>
          <w:szCs w:val="24"/>
        </w:rPr>
        <w:t xml:space="preserve">Accordingly, </w:t>
      </w:r>
      <w:r w:rsidR="00CE6E72">
        <w:rPr>
          <w:rFonts w:cs="Times New Roman"/>
          <w:szCs w:val="24"/>
        </w:rPr>
        <w:t>a trademark</w:t>
      </w:r>
      <w:r w:rsidRPr="002B283E">
        <w:rPr>
          <w:rFonts w:cs="Times New Roman"/>
          <w:szCs w:val="24"/>
        </w:rPr>
        <w:t xml:space="preserve"> is not protected until it is used in public in a manner that creates an association among consumers between the mark and the mark’s owner. </w:t>
      </w:r>
      <w:r w:rsidRPr="002B283E">
        <w:rPr>
          <w:rFonts w:cs="Times New Roman"/>
          <w:i/>
          <w:iCs/>
          <w:szCs w:val="24"/>
        </w:rPr>
        <w:t xml:space="preserve">Id. </w:t>
      </w:r>
      <w:r w:rsidRPr="002B283E">
        <w:rPr>
          <w:rFonts w:cs="Times New Roman"/>
          <w:szCs w:val="24"/>
        </w:rPr>
        <w:t xml:space="preserve">The ability of a trademark to distinguish the source of the goods it marks, not the uniqueness of its color, shape, fragrance, word, or sign, entitles it to protection. </w:t>
      </w:r>
      <w:r w:rsidRPr="002B283E">
        <w:rPr>
          <w:rFonts w:cs="Times New Roman"/>
          <w:i/>
          <w:iCs/>
          <w:szCs w:val="24"/>
        </w:rPr>
        <w:t>See Qualitex Co. v. Jacobson Prods. Co</w:t>
      </w:r>
      <w:r w:rsidRPr="002B283E">
        <w:rPr>
          <w:rFonts w:cs="Times New Roman"/>
          <w:szCs w:val="24"/>
        </w:rPr>
        <w:t xml:space="preserve">., 514 U.S. 159, 164, 166 (1995). Accordingly, even “a color may sometimes meet the basic legal requirements for use as a trademark” if it can sufficiently serve the basic purpose of source identification. </w:t>
      </w:r>
      <w:r w:rsidRPr="002B283E">
        <w:rPr>
          <w:rFonts w:cs="Times New Roman"/>
          <w:i/>
          <w:iCs/>
          <w:szCs w:val="24"/>
        </w:rPr>
        <w:t xml:space="preserve">Id. </w:t>
      </w:r>
    </w:p>
    <w:p w14:paraId="047C1DEB" w14:textId="77777777" w:rsidR="00F83946" w:rsidRPr="002B283E" w:rsidRDefault="00F83946" w:rsidP="002B283E">
      <w:pPr>
        <w:rPr>
          <w:rFonts w:cs="Times New Roman"/>
          <w:szCs w:val="24"/>
        </w:rPr>
      </w:pPr>
    </w:p>
    <w:p w14:paraId="2894763F" w14:textId="77777777" w:rsidR="00F83946" w:rsidRDefault="00F83946" w:rsidP="002B283E">
      <w:pPr>
        <w:rPr>
          <w:rFonts w:cs="Times New Roman"/>
          <w:szCs w:val="24"/>
        </w:rPr>
      </w:pPr>
      <w:r w:rsidRPr="002B283E">
        <w:rPr>
          <w:rFonts w:cs="Times New Roman"/>
          <w:szCs w:val="24"/>
        </w:rPr>
        <w:tab/>
        <w:t xml:space="preserve">If other types of marks are involved in the case, adjustments to this instruction should be made as follows: </w:t>
      </w:r>
    </w:p>
    <w:p w14:paraId="415AD790" w14:textId="77777777" w:rsidR="008E2051" w:rsidRPr="002B283E" w:rsidRDefault="008E2051" w:rsidP="002B283E">
      <w:pPr>
        <w:rPr>
          <w:rFonts w:cs="Times New Roman"/>
          <w:szCs w:val="24"/>
        </w:rPr>
      </w:pPr>
    </w:p>
    <w:p w14:paraId="6289195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Service Mark Cases</w:t>
      </w:r>
    </w:p>
    <w:p w14:paraId="409EF3C1" w14:textId="77777777" w:rsidR="00F83946" w:rsidRPr="002B283E" w:rsidRDefault="00F83946" w:rsidP="002B283E">
      <w:pPr>
        <w:autoSpaceDE w:val="0"/>
        <w:autoSpaceDN w:val="0"/>
        <w:adjustRightInd w:val="0"/>
        <w:rPr>
          <w:rFonts w:cs="Times New Roman"/>
          <w:szCs w:val="24"/>
        </w:rPr>
      </w:pPr>
    </w:p>
    <w:p w14:paraId="2CFA0D5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If a service mark is at issue, the court should replace “goods” with “services” for the remaining instructions. Further, the court should substitute the following paragraph for the first paragraph of this instruction and substitute the word “service mark” for “trademark” in the second paragraph: </w:t>
      </w:r>
    </w:p>
    <w:p w14:paraId="0FDE1DAB" w14:textId="77777777" w:rsidR="00F83946" w:rsidRPr="002B283E" w:rsidRDefault="00F83946" w:rsidP="002B283E">
      <w:pPr>
        <w:autoSpaceDE w:val="0"/>
        <w:autoSpaceDN w:val="0"/>
        <w:adjustRightInd w:val="0"/>
        <w:rPr>
          <w:rFonts w:cs="Times New Roman"/>
          <w:szCs w:val="24"/>
        </w:rPr>
      </w:pPr>
    </w:p>
    <w:p w14:paraId="5724EDE7" w14:textId="43C6ADD3"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A service mark is any word, name, symbol, device[, or any combination thereof,] used by a person to identify and distinguish such person’s services from those of others and to indicate the source of the services[, even if that source is generally unknown]. [Titles, character names, and other distinctive features of radio or television programs may be registered as service marks as well]. </w:t>
      </w:r>
    </w:p>
    <w:p w14:paraId="3EC7AD61" w14:textId="77777777" w:rsidR="00F83946" w:rsidRPr="002B283E" w:rsidRDefault="00F83946" w:rsidP="002B283E">
      <w:pPr>
        <w:autoSpaceDE w:val="0"/>
        <w:autoSpaceDN w:val="0"/>
        <w:adjustRightInd w:val="0"/>
        <w:rPr>
          <w:rFonts w:cs="Times New Roman"/>
          <w:szCs w:val="24"/>
        </w:rPr>
      </w:pPr>
    </w:p>
    <w:p w14:paraId="0D5342C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 xml:space="preserve">“Generally speaking, a service mark is a distinctive mark used in connection with the sale or advertising of services . . . .” </w:t>
      </w:r>
      <w:r w:rsidRPr="002B283E">
        <w:rPr>
          <w:rFonts w:cs="Times New Roman"/>
          <w:i/>
          <w:iCs/>
          <w:szCs w:val="24"/>
        </w:rPr>
        <w:t>Am. Int’l Grp. v. Am. Int’l Bank</w:t>
      </w:r>
      <w:r w:rsidRPr="002B283E">
        <w:rPr>
          <w:rFonts w:cs="Times New Roman"/>
          <w:szCs w:val="24"/>
        </w:rPr>
        <w:t xml:space="preserve">, 926 F.2d 829, 830 n.1 (9th Cir. 1991). </w:t>
      </w:r>
    </w:p>
    <w:p w14:paraId="4E34716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Trademark Cases</w:t>
      </w:r>
    </w:p>
    <w:p w14:paraId="4CF04CD8" w14:textId="77777777" w:rsidR="00F83946" w:rsidRPr="002B283E" w:rsidRDefault="00F83946" w:rsidP="002B283E">
      <w:pPr>
        <w:autoSpaceDE w:val="0"/>
        <w:autoSpaceDN w:val="0"/>
        <w:adjustRightInd w:val="0"/>
        <w:rPr>
          <w:rFonts w:cs="Times New Roman"/>
          <w:szCs w:val="24"/>
        </w:rPr>
      </w:pPr>
    </w:p>
    <w:p w14:paraId="39C0EA0A"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trademark is at issue, in lieu of this instruction, insert the following two paragraphs: </w:t>
      </w:r>
    </w:p>
    <w:p w14:paraId="38DF46DE" w14:textId="77777777" w:rsidR="00F83946" w:rsidRPr="002B283E" w:rsidRDefault="00F83946" w:rsidP="002B283E">
      <w:pPr>
        <w:autoSpaceDE w:val="0"/>
        <w:autoSpaceDN w:val="0"/>
        <w:adjustRightInd w:val="0"/>
        <w:rPr>
          <w:rFonts w:cs="Times New Roman"/>
          <w:szCs w:val="24"/>
        </w:rPr>
      </w:pPr>
    </w:p>
    <w:p w14:paraId="68AE8631" w14:textId="26B84F5D"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trademark is any [word] [name] [symbol] [device][, or combination thereof,] used by [a cooperative] [an association][, or other collective group or organization] to identify and distinguish its goods from those of others, and to indicate the source of the goods[, even if that source is generally unknown]. </w:t>
      </w:r>
    </w:p>
    <w:p w14:paraId="0A5EF3F3" w14:textId="77777777" w:rsidR="00F83946" w:rsidRPr="002B283E" w:rsidRDefault="00F83946" w:rsidP="008A04C2">
      <w:pPr>
        <w:autoSpaceDE w:val="0"/>
        <w:autoSpaceDN w:val="0"/>
        <w:adjustRightInd w:val="0"/>
        <w:ind w:left="720" w:right="720"/>
        <w:jc w:val="both"/>
        <w:rPr>
          <w:rFonts w:cs="Times New Roman"/>
          <w:szCs w:val="24"/>
        </w:rPr>
      </w:pPr>
    </w:p>
    <w:p w14:paraId="77C16533"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trademark of a [cooperative] [an association] [, or another collective group or organization] may be liable for damages]. </w:t>
      </w:r>
    </w:p>
    <w:p w14:paraId="51545102" w14:textId="77777777" w:rsidR="00F83946" w:rsidRPr="002B283E" w:rsidRDefault="00F83946" w:rsidP="002B283E">
      <w:pPr>
        <w:autoSpaceDE w:val="0"/>
        <w:autoSpaceDN w:val="0"/>
        <w:adjustRightInd w:val="0"/>
        <w:rPr>
          <w:rFonts w:cs="Times New Roman"/>
          <w:szCs w:val="24"/>
        </w:rPr>
      </w:pPr>
    </w:p>
    <w:p w14:paraId="2AB4A0C1"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For a description of a collective mark, </w:t>
      </w:r>
      <w:r w:rsidRPr="003D4A5D">
        <w:rPr>
          <w:rFonts w:cs="Times New Roman"/>
          <w:szCs w:val="24"/>
        </w:rPr>
        <w:t>see</w:t>
      </w:r>
      <w:r w:rsidRPr="002B283E">
        <w:rPr>
          <w:rFonts w:cs="Times New Roman"/>
          <w:i/>
          <w:iCs/>
          <w:szCs w:val="24"/>
        </w:rPr>
        <w:t xml:space="preserve"> Sebastian Int’l v. Longs Drug Stores</w:t>
      </w:r>
      <w:r w:rsidRPr="002B283E">
        <w:rPr>
          <w:rFonts w:cs="Times New Roman"/>
          <w:szCs w:val="24"/>
        </w:rPr>
        <w:t xml:space="preserve">, 53 F.3d 1073, 1077-78 (9th Cir. 1995) (Ferguson, J., concurring). </w:t>
      </w:r>
    </w:p>
    <w:p w14:paraId="6E87DC95" w14:textId="77777777" w:rsidR="00F83946" w:rsidRPr="002B283E" w:rsidRDefault="00F83946" w:rsidP="002B283E">
      <w:pPr>
        <w:rPr>
          <w:rFonts w:cs="Times New Roman"/>
          <w:szCs w:val="24"/>
        </w:rPr>
      </w:pPr>
    </w:p>
    <w:p w14:paraId="6D26437A"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Service Mark Cases</w:t>
      </w:r>
    </w:p>
    <w:p w14:paraId="6FF78931" w14:textId="77777777" w:rsidR="00F83946" w:rsidRPr="002B283E" w:rsidRDefault="00F83946" w:rsidP="002B283E">
      <w:pPr>
        <w:autoSpaceDE w:val="0"/>
        <w:autoSpaceDN w:val="0"/>
        <w:adjustRightInd w:val="0"/>
        <w:rPr>
          <w:rFonts w:cs="Times New Roman"/>
          <w:szCs w:val="24"/>
        </w:rPr>
      </w:pPr>
    </w:p>
    <w:p w14:paraId="06570FF8"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service mark is at issue, in lieu of this instruction, insert the following two paragraphs: </w:t>
      </w:r>
    </w:p>
    <w:p w14:paraId="550C579D" w14:textId="77777777" w:rsidR="00F83946" w:rsidRPr="002B283E" w:rsidRDefault="00F83946" w:rsidP="002B283E">
      <w:pPr>
        <w:autoSpaceDE w:val="0"/>
        <w:autoSpaceDN w:val="0"/>
        <w:adjustRightInd w:val="0"/>
        <w:rPr>
          <w:rFonts w:cs="Times New Roman"/>
          <w:szCs w:val="24"/>
        </w:rPr>
      </w:pPr>
    </w:p>
    <w:p w14:paraId="5589F68E" w14:textId="3FB5F190"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service mark is any [word] [name] [symbol] [device][, or combination thereof,] used by [a cooperative] [an association][, or other collective group or organization] to identify and distinguish its services from those of others, and to indicate the source of the services[, even if that source is generally unknown]. </w:t>
      </w:r>
    </w:p>
    <w:p w14:paraId="28C47B3B" w14:textId="77777777" w:rsidR="00F83946" w:rsidRPr="002B283E" w:rsidRDefault="00F83946" w:rsidP="008A04C2">
      <w:pPr>
        <w:autoSpaceDE w:val="0"/>
        <w:autoSpaceDN w:val="0"/>
        <w:adjustRightInd w:val="0"/>
        <w:ind w:left="720" w:right="720"/>
        <w:jc w:val="both"/>
        <w:rPr>
          <w:rFonts w:cs="Times New Roman"/>
          <w:szCs w:val="24"/>
        </w:rPr>
      </w:pPr>
    </w:p>
    <w:p w14:paraId="14B85184"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service mark of a [cooperative] [an association] [, or another collective group or organization] may be liable for damages.]. </w:t>
      </w:r>
    </w:p>
    <w:p w14:paraId="7E1BE893" w14:textId="77777777" w:rsidR="00F83946" w:rsidRPr="002B283E" w:rsidRDefault="00F83946" w:rsidP="002B283E">
      <w:pPr>
        <w:autoSpaceDE w:val="0"/>
        <w:autoSpaceDN w:val="0"/>
        <w:adjustRightInd w:val="0"/>
        <w:rPr>
          <w:rFonts w:cs="Times New Roman"/>
          <w:szCs w:val="24"/>
        </w:rPr>
      </w:pPr>
    </w:p>
    <w:p w14:paraId="0FB65561" w14:textId="4C9FCFFD"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Regarding a collective service mark, </w:t>
      </w:r>
      <w:r w:rsidRPr="003D4A5D">
        <w:rPr>
          <w:rFonts w:cs="Times New Roman"/>
          <w:szCs w:val="24"/>
        </w:rPr>
        <w:t>see</w:t>
      </w:r>
      <w:r w:rsidRPr="002B283E">
        <w:rPr>
          <w:rFonts w:cs="Times New Roman"/>
          <w:szCs w:val="24"/>
        </w:rPr>
        <w:t xml:space="preserve"> </w:t>
      </w:r>
      <w:r w:rsidRPr="002B283E">
        <w:rPr>
          <w:rFonts w:cs="Times New Roman"/>
          <w:i/>
          <w:iCs/>
          <w:szCs w:val="24"/>
        </w:rPr>
        <w:t>Robi v. Reed</w:t>
      </w:r>
      <w:r w:rsidRPr="002B283E">
        <w:rPr>
          <w:rFonts w:cs="Times New Roman"/>
          <w:szCs w:val="24"/>
        </w:rPr>
        <w:t>, 173 F.3d 736, 739-40 (9th Cir. 1999) (holding that musical group members, as collective owners of</w:t>
      </w:r>
      <w:r w:rsidR="00CE6E72">
        <w:rPr>
          <w:rFonts w:cs="Times New Roman"/>
          <w:szCs w:val="24"/>
        </w:rPr>
        <w:t xml:space="preserve"> the</w:t>
      </w:r>
      <w:r w:rsidRPr="002B283E">
        <w:rPr>
          <w:rFonts w:cs="Times New Roman"/>
          <w:szCs w:val="24"/>
        </w:rPr>
        <w:t xml:space="preserve"> group’s service mark, do not retain </w:t>
      </w:r>
      <w:r w:rsidR="00CE6E72">
        <w:rPr>
          <w:rFonts w:cs="Times New Roman"/>
          <w:szCs w:val="24"/>
        </w:rPr>
        <w:t xml:space="preserve">the </w:t>
      </w:r>
      <w:r w:rsidRPr="002B283E">
        <w:rPr>
          <w:rFonts w:cs="Times New Roman"/>
          <w:szCs w:val="24"/>
        </w:rPr>
        <w:t xml:space="preserve">right to use </w:t>
      </w:r>
      <w:r w:rsidR="00CE6E72">
        <w:rPr>
          <w:rFonts w:cs="Times New Roman"/>
          <w:szCs w:val="24"/>
        </w:rPr>
        <w:t xml:space="preserve">the </w:t>
      </w:r>
      <w:r w:rsidRPr="002B283E">
        <w:rPr>
          <w:rFonts w:cs="Times New Roman"/>
          <w:szCs w:val="24"/>
        </w:rPr>
        <w:t>service mark when they leave</w:t>
      </w:r>
      <w:r w:rsidR="00CE6E72">
        <w:rPr>
          <w:rFonts w:cs="Times New Roman"/>
          <w:szCs w:val="24"/>
        </w:rPr>
        <w:t xml:space="preserve"> the</w:t>
      </w:r>
      <w:r w:rsidRPr="002B283E">
        <w:rPr>
          <w:rFonts w:cs="Times New Roman"/>
          <w:szCs w:val="24"/>
        </w:rPr>
        <w:t xml:space="preserve"> group if</w:t>
      </w:r>
      <w:r w:rsidR="00CE6E72">
        <w:rPr>
          <w:rFonts w:cs="Times New Roman"/>
          <w:szCs w:val="24"/>
        </w:rPr>
        <w:t xml:space="preserve"> the</w:t>
      </w:r>
      <w:r w:rsidRPr="002B283E">
        <w:rPr>
          <w:rFonts w:cs="Times New Roman"/>
          <w:szCs w:val="24"/>
        </w:rPr>
        <w:t xml:space="preserve"> members of original group continue to use service mark; manager of group, who was in</w:t>
      </w:r>
      <w:r w:rsidR="00CE6E72">
        <w:rPr>
          <w:rFonts w:cs="Times New Roman"/>
          <w:szCs w:val="24"/>
        </w:rPr>
        <w:t xml:space="preserve"> a</w:t>
      </w:r>
      <w:r w:rsidRPr="002B283E">
        <w:rPr>
          <w:rFonts w:cs="Times New Roman"/>
          <w:szCs w:val="24"/>
        </w:rPr>
        <w:t xml:space="preserve"> position to control</w:t>
      </w:r>
      <w:r w:rsidR="00CE6E72">
        <w:rPr>
          <w:rFonts w:cs="Times New Roman"/>
          <w:szCs w:val="24"/>
        </w:rPr>
        <w:t xml:space="preserve"> the</w:t>
      </w:r>
      <w:r w:rsidRPr="002B283E">
        <w:rPr>
          <w:rFonts w:cs="Times New Roman"/>
          <w:szCs w:val="24"/>
        </w:rPr>
        <w:t xml:space="preserve"> quality of its services, retained right to use service mark). </w:t>
      </w:r>
    </w:p>
    <w:p w14:paraId="60F61505" w14:textId="77777777" w:rsidR="00F83946" w:rsidRPr="002B283E" w:rsidRDefault="00F83946" w:rsidP="002B283E">
      <w:pPr>
        <w:autoSpaceDE w:val="0"/>
        <w:autoSpaceDN w:val="0"/>
        <w:adjustRightInd w:val="0"/>
        <w:rPr>
          <w:rFonts w:cs="Times New Roman"/>
          <w:szCs w:val="24"/>
        </w:rPr>
      </w:pPr>
    </w:p>
    <w:p w14:paraId="08B59B4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Certification Mark for Goods Cases</w:t>
      </w:r>
    </w:p>
    <w:p w14:paraId="3A138A47" w14:textId="77777777" w:rsidR="00F83946" w:rsidRPr="002B283E" w:rsidRDefault="00F83946" w:rsidP="002B283E">
      <w:pPr>
        <w:autoSpaceDE w:val="0"/>
        <w:autoSpaceDN w:val="0"/>
        <w:adjustRightInd w:val="0"/>
        <w:rPr>
          <w:rFonts w:cs="Times New Roman"/>
          <w:szCs w:val="24"/>
        </w:rPr>
      </w:pPr>
    </w:p>
    <w:p w14:paraId="1AAC8D3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When a certification mark for goods is at issue, in lieu of this instruction, insert the following two paragraphs:</w:t>
      </w:r>
    </w:p>
    <w:p w14:paraId="68B1BB56" w14:textId="77777777" w:rsidR="00F83946" w:rsidRPr="002B283E" w:rsidRDefault="00F83946" w:rsidP="002B283E">
      <w:pPr>
        <w:autoSpaceDE w:val="0"/>
        <w:autoSpaceDN w:val="0"/>
        <w:adjustRightInd w:val="0"/>
        <w:rPr>
          <w:rFonts w:cs="Times New Roman"/>
          <w:szCs w:val="24"/>
        </w:rPr>
      </w:pPr>
    </w:p>
    <w:p w14:paraId="056CBBF8"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goods is any [word] [name] [symbol] [device] [, or any combination thereof,] which its owner permits others to use to certify [[a good’s [origin] [material] [mode of manufacture] [quality] [accuracy] [</w:t>
      </w:r>
      <w:r w:rsidRPr="002B283E">
        <w:rPr>
          <w:rFonts w:cs="Times New Roman"/>
          <w:i/>
          <w:iCs/>
          <w:szCs w:val="24"/>
          <w:u w:val="single"/>
        </w:rPr>
        <w:t>fill in other certifiable characteristics</w:t>
      </w:r>
      <w:r w:rsidRPr="002B283E">
        <w:rPr>
          <w:rFonts w:cs="Times New Roman"/>
          <w:szCs w:val="24"/>
        </w:rPr>
        <w:t xml:space="preserve">]] [that the work or labor on the goods was performed by members of a union or other organization]. </w:t>
      </w:r>
    </w:p>
    <w:p w14:paraId="3773D7E2" w14:textId="77777777" w:rsidR="00F83946" w:rsidRPr="002B283E" w:rsidRDefault="00F83946" w:rsidP="008A04C2">
      <w:pPr>
        <w:autoSpaceDE w:val="0"/>
        <w:autoSpaceDN w:val="0"/>
        <w:adjustRightInd w:val="0"/>
        <w:ind w:left="720" w:right="720"/>
        <w:jc w:val="both"/>
        <w:rPr>
          <w:rFonts w:cs="Times New Roman"/>
          <w:szCs w:val="24"/>
        </w:rPr>
      </w:pPr>
    </w:p>
    <w:p w14:paraId="722DDB2E"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certification mark for goods of a [cooperative] [an association] [, or another collective group or organization] may be liable for damages.] </w:t>
      </w:r>
    </w:p>
    <w:p w14:paraId="643E6AFF" w14:textId="77777777" w:rsidR="00F83946" w:rsidRPr="002B283E" w:rsidRDefault="00F83946" w:rsidP="002B283E">
      <w:pPr>
        <w:autoSpaceDE w:val="0"/>
        <w:autoSpaceDN w:val="0"/>
        <w:adjustRightInd w:val="0"/>
        <w:jc w:val="center"/>
        <w:rPr>
          <w:rFonts w:cs="Times New Roman"/>
          <w:szCs w:val="24"/>
          <w:u w:val="single"/>
        </w:rPr>
      </w:pPr>
    </w:p>
    <w:p w14:paraId="499B9912"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 xml:space="preserve">Certification Mark for Services Cases </w:t>
      </w:r>
    </w:p>
    <w:p w14:paraId="714C189C" w14:textId="77777777" w:rsidR="00F83946" w:rsidRPr="002B283E" w:rsidRDefault="00F83946" w:rsidP="002B283E">
      <w:pPr>
        <w:autoSpaceDE w:val="0"/>
        <w:autoSpaceDN w:val="0"/>
        <w:adjustRightInd w:val="0"/>
        <w:jc w:val="center"/>
        <w:rPr>
          <w:rFonts w:cs="Times New Roman"/>
          <w:szCs w:val="24"/>
          <w:u w:val="single"/>
        </w:rPr>
      </w:pPr>
    </w:p>
    <w:p w14:paraId="0F59070B"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certification mark for services is at issue, in lieu of this instruction, insert the following two paragraphs: </w:t>
      </w:r>
    </w:p>
    <w:p w14:paraId="656FF9E6" w14:textId="77777777" w:rsidR="00F83946" w:rsidRPr="002B283E" w:rsidRDefault="00F83946" w:rsidP="002B283E">
      <w:pPr>
        <w:autoSpaceDE w:val="0"/>
        <w:autoSpaceDN w:val="0"/>
        <w:adjustRightInd w:val="0"/>
        <w:rPr>
          <w:rFonts w:cs="Times New Roman"/>
          <w:szCs w:val="24"/>
        </w:rPr>
      </w:pPr>
    </w:p>
    <w:p w14:paraId="13D2E2A5" w14:textId="375FDEFE"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services is any [word] [name] [symbol] [device][, or any combination thereof,] which its owner permits others to use to certify [a service’s [origin] [quality] [accuracy] [</w:t>
      </w:r>
      <w:r w:rsidRPr="002B283E">
        <w:rPr>
          <w:rFonts w:cs="Times New Roman"/>
          <w:i/>
          <w:iCs/>
          <w:szCs w:val="24"/>
          <w:u w:val="single"/>
        </w:rPr>
        <w:t>fill in other certifiable characteristics</w:t>
      </w:r>
      <w:r w:rsidRPr="002B283E">
        <w:rPr>
          <w:rFonts w:cs="Times New Roman"/>
          <w:szCs w:val="24"/>
        </w:rPr>
        <w:t xml:space="preserve">]] [that a service is performed by members of a union or other organization]. </w:t>
      </w:r>
    </w:p>
    <w:p w14:paraId="1C4D919C" w14:textId="77777777" w:rsidR="00F83946" w:rsidRPr="002B283E" w:rsidRDefault="00F83946" w:rsidP="008A04C2">
      <w:pPr>
        <w:autoSpaceDE w:val="0"/>
        <w:autoSpaceDN w:val="0"/>
        <w:adjustRightInd w:val="0"/>
        <w:ind w:left="720" w:right="720"/>
        <w:jc w:val="both"/>
        <w:rPr>
          <w:rFonts w:cs="Times New Roman"/>
          <w:szCs w:val="24"/>
        </w:rPr>
      </w:pPr>
    </w:p>
    <w:p w14:paraId="66D7D3F4" w14:textId="4200E50C" w:rsidR="00F83946" w:rsidRPr="002B283E" w:rsidRDefault="00F83946" w:rsidP="008A04C2">
      <w:pPr>
        <w:ind w:left="720" w:right="720"/>
        <w:jc w:val="both"/>
        <w:rPr>
          <w:rFonts w:cs="Times New Roman"/>
          <w:szCs w:val="24"/>
        </w:rPr>
      </w:pPr>
      <w:r w:rsidRPr="002B283E">
        <w:rPr>
          <w:rFonts w:cs="Times New Roman"/>
          <w:szCs w:val="24"/>
        </w:rPr>
        <w:t>[A person who uses the certification mark of a [cooperative] [an association][, or another collective group or organization] may be liable for damages.]</w:t>
      </w:r>
    </w:p>
    <w:p w14:paraId="00EB2005" w14:textId="77777777" w:rsidR="00F83946" w:rsidRPr="002B283E" w:rsidRDefault="00F83946" w:rsidP="002B283E">
      <w:pPr>
        <w:rPr>
          <w:rFonts w:cs="Times New Roman"/>
          <w:szCs w:val="24"/>
        </w:rPr>
      </w:pPr>
    </w:p>
    <w:p w14:paraId="57381444" w14:textId="77777777" w:rsidR="00F83946" w:rsidRPr="002B283E" w:rsidRDefault="00F83946" w:rsidP="002B283E">
      <w:pPr>
        <w:jc w:val="right"/>
        <w:rPr>
          <w:rFonts w:cs="Times New Roman"/>
          <w:i/>
          <w:iCs/>
          <w:szCs w:val="24"/>
        </w:rPr>
      </w:pPr>
      <w:r w:rsidRPr="002B283E">
        <w:rPr>
          <w:rFonts w:cs="Times New Roman"/>
          <w:i/>
          <w:iCs/>
          <w:szCs w:val="24"/>
        </w:rPr>
        <w:t>Revised March 2024</w:t>
      </w:r>
    </w:p>
    <w:p w14:paraId="1D9653CE" w14:textId="1D6E543E" w:rsidR="006A4CD7" w:rsidRPr="002B283E" w:rsidRDefault="006A4CD7" w:rsidP="002B283E">
      <w:pPr>
        <w:rPr>
          <w:rFonts w:cs="Times New Roman"/>
          <w:szCs w:val="24"/>
        </w:rPr>
      </w:pPr>
      <w:r w:rsidRPr="002B283E">
        <w:rPr>
          <w:rFonts w:cs="Times New Roman"/>
          <w:szCs w:val="24"/>
        </w:rPr>
        <w:t xml:space="preserve"> </w:t>
      </w:r>
    </w:p>
    <w:p w14:paraId="2B19D33D" w14:textId="77777777" w:rsidR="006964C1" w:rsidRPr="002B283E" w:rsidRDefault="006964C1" w:rsidP="002B283E">
      <w:pPr>
        <w:rPr>
          <w:rFonts w:cs="Times New Roman"/>
          <w:szCs w:val="24"/>
        </w:rPr>
      </w:pPr>
    </w:p>
    <w:p w14:paraId="08B23ADC" w14:textId="4F4B1350" w:rsidR="006A4CD7" w:rsidRPr="002B283E" w:rsidRDefault="006A4CD7" w:rsidP="002B283E">
      <w:pPr>
        <w:pStyle w:val="Heading2"/>
      </w:pPr>
      <w:r w:rsidRPr="002B283E">
        <w:br w:type="page"/>
      </w:r>
      <w:bookmarkStart w:id="334" w:name="_Toc221525269"/>
      <w:r w:rsidRPr="002B283E">
        <w:lastRenderedPageBreak/>
        <w:t xml:space="preserve">15.3 </w:t>
      </w:r>
      <w:r w:rsidR="00D934FC" w:rsidRPr="002B283E">
        <w:t>Definition—Trade Dress (15 U.S.C. § 1125(a))</w:t>
      </w:r>
      <w:bookmarkEnd w:id="334"/>
      <w:r w:rsidRPr="002B283E">
        <w:t xml:space="preserve"> </w:t>
      </w:r>
    </w:p>
    <w:p w14:paraId="17885858" w14:textId="77777777" w:rsidR="00D934FC" w:rsidRPr="002B283E" w:rsidRDefault="00D934FC" w:rsidP="002B283E">
      <w:pPr>
        <w:rPr>
          <w:rFonts w:cs="Times New Roman"/>
          <w:szCs w:val="24"/>
        </w:rPr>
      </w:pPr>
    </w:p>
    <w:p w14:paraId="5D4890DB" w14:textId="77777777" w:rsidR="00141CA4" w:rsidRPr="002B283E" w:rsidRDefault="006A4CD7" w:rsidP="002B283E">
      <w:pPr>
        <w:autoSpaceDE w:val="0"/>
        <w:autoSpaceDN w:val="0"/>
        <w:adjustRightInd w:val="0"/>
        <w:rPr>
          <w:rFonts w:cs="Times New Roman"/>
          <w:szCs w:val="24"/>
        </w:rPr>
      </w:pPr>
      <w:r w:rsidRPr="002B283E">
        <w:rPr>
          <w:rFonts w:cs="Times New Roman"/>
          <w:szCs w:val="24"/>
        </w:rPr>
        <w:tab/>
      </w:r>
      <w:r w:rsidR="00141CA4" w:rsidRPr="002B283E">
        <w:rPr>
          <w:rFonts w:cs="Times New Roman"/>
          <w:szCs w:val="24"/>
        </w:rPr>
        <w:t>Trade dress is the non-functional physical detail and design of a product or its packaging, which [indicates] [or] [identifies] the product’s source and distinguishes it from the products of others.</w:t>
      </w:r>
    </w:p>
    <w:p w14:paraId="43EA127A" w14:textId="77777777" w:rsidR="00141CA4" w:rsidRPr="002B283E" w:rsidRDefault="00141CA4" w:rsidP="002B283E">
      <w:pPr>
        <w:autoSpaceDE w:val="0"/>
        <w:autoSpaceDN w:val="0"/>
        <w:adjustRightInd w:val="0"/>
        <w:rPr>
          <w:rFonts w:cs="Times New Roman"/>
          <w:szCs w:val="24"/>
        </w:rPr>
      </w:pPr>
    </w:p>
    <w:p w14:paraId="05D3A1E6"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to the market, its manner of display. </w:t>
      </w:r>
    </w:p>
    <w:p w14:paraId="22F6A449" w14:textId="77777777" w:rsidR="00141CA4" w:rsidRPr="002B283E" w:rsidRDefault="00141CA4" w:rsidP="002B283E">
      <w:pPr>
        <w:autoSpaceDE w:val="0"/>
        <w:autoSpaceDN w:val="0"/>
        <w:adjustRightInd w:val="0"/>
        <w:rPr>
          <w:rFonts w:cs="Times New Roman"/>
          <w:szCs w:val="24"/>
        </w:rPr>
      </w:pPr>
    </w:p>
    <w:p w14:paraId="6B09530B"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FC3B49F" w14:textId="77777777" w:rsidR="00141CA4" w:rsidRPr="002B283E" w:rsidRDefault="00141CA4" w:rsidP="002B283E">
      <w:pPr>
        <w:autoSpaceDE w:val="0"/>
        <w:autoSpaceDN w:val="0"/>
        <w:adjustRightInd w:val="0"/>
        <w:rPr>
          <w:rFonts w:cs="Times New Roman"/>
          <w:szCs w:val="24"/>
        </w:rPr>
      </w:pPr>
    </w:p>
    <w:p w14:paraId="71F519B1" w14:textId="77777777" w:rsidR="00141CA4" w:rsidRPr="002B283E" w:rsidRDefault="00141CA4"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2E784A6" w14:textId="77777777" w:rsidR="00141CA4" w:rsidRPr="002B283E" w:rsidRDefault="00141CA4" w:rsidP="002B283E">
      <w:pPr>
        <w:autoSpaceDE w:val="0"/>
        <w:autoSpaceDN w:val="0"/>
        <w:adjustRightInd w:val="0"/>
        <w:rPr>
          <w:rFonts w:cs="Times New Roman"/>
          <w:szCs w:val="24"/>
        </w:rPr>
      </w:pPr>
    </w:p>
    <w:p w14:paraId="66D8BD21" w14:textId="129E1B41"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In a trade dress case, it is reversible error to fail to give an instruction defining non-functionality. </w:t>
      </w:r>
      <w:r w:rsidRPr="002B283E">
        <w:rPr>
          <w:rFonts w:cs="Times New Roman"/>
          <w:i/>
          <w:iCs/>
          <w:szCs w:val="24"/>
        </w:rPr>
        <w:t>Fuddruckers, Inc. v. Doc’s B.R. Others, Inc.</w:t>
      </w:r>
      <w:r w:rsidRPr="002B283E">
        <w:rPr>
          <w:rFonts w:cs="Times New Roman"/>
          <w:szCs w:val="24"/>
        </w:rPr>
        <w:t xml:space="preserve">, 826 F.2d 837, 842-43 (9th Cir. 1987). For such an instruction, </w:t>
      </w:r>
      <w:r w:rsidRPr="003D4A5D">
        <w:rPr>
          <w:rFonts w:cs="Times New Roman"/>
          <w:szCs w:val="24"/>
        </w:rPr>
        <w:t>see</w:t>
      </w:r>
      <w:r w:rsidRPr="002B283E">
        <w:rPr>
          <w:rFonts w:cs="Times New Roman"/>
          <w:szCs w:val="24"/>
        </w:rPr>
        <w:t xml:space="preserve"> Instruction 15.12 (Infringement</w:t>
      </w:r>
      <w:r w:rsidR="008E2051">
        <w:rPr>
          <w:rFonts w:cs="Times New Roman"/>
          <w:szCs w:val="24"/>
        </w:rPr>
        <w:t>—</w:t>
      </w:r>
      <w:r w:rsidRPr="002B283E">
        <w:rPr>
          <w:rFonts w:cs="Times New Roman"/>
          <w:szCs w:val="24"/>
        </w:rPr>
        <w:t>Elements</w:t>
      </w:r>
      <w:r w:rsidR="008E2051">
        <w:rPr>
          <w:rFonts w:cs="Times New Roman"/>
          <w:szCs w:val="24"/>
        </w:rPr>
        <w:t>—</w:t>
      </w:r>
      <w:r w:rsidRPr="002B283E">
        <w:rPr>
          <w:rFonts w:cs="Times New Roman"/>
          <w:szCs w:val="24"/>
        </w:rPr>
        <w:t>Validity</w:t>
      </w:r>
      <w:r w:rsidR="008E2051">
        <w:rPr>
          <w:rFonts w:cs="Times New Roman"/>
          <w:szCs w:val="24"/>
        </w:rPr>
        <w:t>—</w:t>
      </w:r>
      <w:r w:rsidRPr="002B283E">
        <w:rPr>
          <w:rFonts w:cs="Times New Roman"/>
          <w:szCs w:val="24"/>
        </w:rPr>
        <w:t>Trade Dress</w:t>
      </w:r>
      <w:r w:rsidR="008E2051">
        <w:rPr>
          <w:rFonts w:cs="Times New Roman"/>
          <w:szCs w:val="24"/>
        </w:rPr>
        <w:t>—</w:t>
      </w:r>
      <w:r w:rsidRPr="002B283E">
        <w:rPr>
          <w:rFonts w:cs="Times New Roman"/>
          <w:szCs w:val="24"/>
        </w:rPr>
        <w:t>Non-Functionality Requirement)</w:t>
      </w:r>
      <w:r w:rsidR="003D4A5D">
        <w:rPr>
          <w:rFonts w:cs="Times New Roman"/>
          <w:szCs w:val="24"/>
        </w:rPr>
        <w:t xml:space="preserve"> and</w:t>
      </w:r>
      <w:r w:rsidRPr="002B283E">
        <w:rPr>
          <w:rFonts w:cs="Times New Roman"/>
          <w:szCs w:val="24"/>
        </w:rPr>
        <w:t xml:space="preserve"> Instruction 15.7 (Infringement</w:t>
      </w:r>
      <w:r w:rsidR="008E2051">
        <w:rPr>
          <w:rFonts w:cs="Times New Roman"/>
          <w:szCs w:val="24"/>
        </w:rPr>
        <w:t>—</w:t>
      </w:r>
      <w:r w:rsidRPr="002B283E">
        <w:rPr>
          <w:rFonts w:cs="Times New Roman"/>
          <w:szCs w:val="24"/>
        </w:rPr>
        <w:t>Elements and Burden of Proof</w:t>
      </w:r>
      <w:r w:rsidR="008E2051">
        <w:rPr>
          <w:rFonts w:cs="Times New Roman"/>
          <w:szCs w:val="24"/>
        </w:rPr>
        <w:t>—</w:t>
      </w:r>
      <w:r w:rsidRPr="002B283E">
        <w:rPr>
          <w:rFonts w:cs="Times New Roman"/>
          <w:szCs w:val="24"/>
        </w:rPr>
        <w:t xml:space="preserve">Trade Dress). </w:t>
      </w:r>
    </w:p>
    <w:p w14:paraId="23DC7940" w14:textId="77777777" w:rsidR="00141CA4" w:rsidRPr="002B283E" w:rsidRDefault="00141CA4" w:rsidP="002B283E">
      <w:pPr>
        <w:autoSpaceDE w:val="0"/>
        <w:autoSpaceDN w:val="0"/>
        <w:adjustRightInd w:val="0"/>
        <w:rPr>
          <w:rFonts w:cs="Times New Roman"/>
          <w:szCs w:val="24"/>
        </w:rPr>
      </w:pPr>
    </w:p>
    <w:p w14:paraId="5C24530E" w14:textId="56884662"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encompasses the design of a product. Unregistered trade dress requires a showing of non-functionality, distinctiveness, and likelihood of confusion to support a finding of infringement. </w:t>
      </w:r>
      <w:r w:rsidRPr="002B283E">
        <w:rPr>
          <w:rFonts w:cs="Times New Roman"/>
          <w:i/>
          <w:iCs/>
          <w:szCs w:val="24"/>
        </w:rPr>
        <w:t>See Wal-Mart Stores, Inc., v. Samara Bros., Inc.</w:t>
      </w:r>
      <w:r w:rsidRPr="002B283E">
        <w:rPr>
          <w:rFonts w:cs="Times New Roman"/>
          <w:szCs w:val="24"/>
        </w:rPr>
        <w:t>, 520 U.S.</w:t>
      </w:r>
      <w:r w:rsidR="003D4A5D">
        <w:rPr>
          <w:rFonts w:cs="Times New Roman"/>
          <w:szCs w:val="24"/>
        </w:rPr>
        <w:t xml:space="preserve"> </w:t>
      </w:r>
      <w:r w:rsidRPr="002B283E">
        <w:rPr>
          <w:rFonts w:cs="Times New Roman"/>
          <w:szCs w:val="24"/>
        </w:rPr>
        <w:t xml:space="preserve">205, 210 (2000); </w:t>
      </w:r>
      <w:r w:rsidRPr="002B283E">
        <w:rPr>
          <w:rFonts w:cs="Times New Roman"/>
          <w:i/>
          <w:iCs/>
          <w:szCs w:val="24"/>
        </w:rPr>
        <w:t>Two Pesos, Inc. v. Taco Cabana, Inc</w:t>
      </w:r>
      <w:r w:rsidRPr="002B283E">
        <w:rPr>
          <w:rFonts w:cs="Times New Roman"/>
          <w:szCs w:val="24"/>
        </w:rPr>
        <w:t xml:space="preserve">., 505 U.S. 763, 765 n.1 (1992) (noting that trade dress involves “the total image of a product and may include features such as size, shape, color or color combination, texture, graphics, or even particular sales techniques.”); </w:t>
      </w:r>
      <w:r w:rsidRPr="002B283E">
        <w:rPr>
          <w:rFonts w:cs="Times New Roman"/>
          <w:i/>
          <w:iCs/>
          <w:szCs w:val="24"/>
        </w:rPr>
        <w:t>Traffix Devices, Inc. v. Mktg. Displays, Inc.</w:t>
      </w:r>
      <w:r w:rsidRPr="002B283E">
        <w:rPr>
          <w:rFonts w:cs="Times New Roman"/>
          <w:szCs w:val="24"/>
        </w:rPr>
        <w:t>, 532 U.S. 23, 28 (2001) (“</w:t>
      </w:r>
      <w:r w:rsidR="00CE6E72">
        <w:rPr>
          <w:rFonts w:cs="Times New Roman"/>
          <w:szCs w:val="24"/>
        </w:rPr>
        <w:t>T</w:t>
      </w:r>
      <w:r w:rsidRPr="002B283E">
        <w:rPr>
          <w:rFonts w:cs="Times New Roman"/>
          <w:szCs w:val="24"/>
        </w:rPr>
        <w:t xml:space="preserve">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 protection for trade dress exists to promote competition.”). </w:t>
      </w:r>
      <w:r w:rsidRPr="002B283E">
        <w:rPr>
          <w:rFonts w:cs="Times New Roman"/>
          <w:i/>
          <w:iCs/>
          <w:szCs w:val="24"/>
        </w:rPr>
        <w:t>See generally</w:t>
      </w:r>
      <w:r w:rsidRPr="002B283E">
        <w:rPr>
          <w:rFonts w:cs="Times New Roman"/>
          <w:szCs w:val="24"/>
        </w:rPr>
        <w:t xml:space="preserve"> 1 </w:t>
      </w:r>
      <w:r w:rsidRPr="002B283E">
        <w:rPr>
          <w:rFonts w:cs="Times New Roman"/>
          <w:smallCaps/>
          <w:szCs w:val="24"/>
        </w:rPr>
        <w:t xml:space="preserve">J. Thomas McCarthy, McCarthy on Trademarks and Unfair Competition </w:t>
      </w:r>
      <w:r w:rsidRPr="002B283E">
        <w:rPr>
          <w:rFonts w:cs="Times New Roman"/>
          <w:szCs w:val="24"/>
        </w:rPr>
        <w:t>§ 8 (5th ed. 2019).</w:t>
      </w:r>
    </w:p>
    <w:p w14:paraId="789332DF" w14:textId="77777777" w:rsidR="00141CA4" w:rsidRPr="002B283E" w:rsidRDefault="00141CA4" w:rsidP="002B283E">
      <w:pPr>
        <w:autoSpaceDE w:val="0"/>
        <w:autoSpaceDN w:val="0"/>
        <w:adjustRightInd w:val="0"/>
        <w:rPr>
          <w:rFonts w:cs="Times New Roman"/>
          <w:szCs w:val="24"/>
        </w:rPr>
      </w:pPr>
    </w:p>
    <w:p w14:paraId="42139FB4" w14:textId="516398BF" w:rsidR="00141CA4" w:rsidRPr="002B283E" w:rsidRDefault="00141CA4"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05E29EA0" w14:textId="77777777" w:rsidR="00141CA4" w:rsidRPr="002B283E" w:rsidRDefault="00141CA4" w:rsidP="002B283E">
      <w:pPr>
        <w:autoSpaceDE w:val="0"/>
        <w:autoSpaceDN w:val="0"/>
        <w:adjustRightInd w:val="0"/>
        <w:rPr>
          <w:rFonts w:cs="Times New Roman"/>
          <w:szCs w:val="24"/>
        </w:rPr>
      </w:pPr>
    </w:p>
    <w:p w14:paraId="61EC189F"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Depending on the particular good or service to which the trade dress at issues applies, the instruction should be modified as indicated below:</w:t>
      </w:r>
    </w:p>
    <w:p w14:paraId="397963F4" w14:textId="77777777" w:rsidR="00141CA4" w:rsidRPr="002B283E" w:rsidRDefault="00141CA4" w:rsidP="002B283E">
      <w:pPr>
        <w:autoSpaceDE w:val="0"/>
        <w:autoSpaceDN w:val="0"/>
        <w:adjustRightInd w:val="0"/>
        <w:ind w:firstLine="720"/>
        <w:rPr>
          <w:rFonts w:cs="Times New Roman"/>
          <w:b/>
          <w:bCs/>
          <w:szCs w:val="24"/>
          <w:u w:val="single"/>
        </w:rPr>
      </w:pPr>
    </w:p>
    <w:p w14:paraId="00FC5977"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Packaging Cases</w:t>
      </w:r>
    </w:p>
    <w:p w14:paraId="5BB163D8" w14:textId="77777777" w:rsidR="008E2051" w:rsidRPr="002B283E" w:rsidRDefault="008E2051" w:rsidP="002B283E">
      <w:pPr>
        <w:autoSpaceDE w:val="0"/>
        <w:autoSpaceDN w:val="0"/>
        <w:adjustRightInd w:val="0"/>
        <w:jc w:val="center"/>
        <w:rPr>
          <w:rFonts w:cs="Times New Roman"/>
          <w:b/>
          <w:bCs/>
          <w:szCs w:val="24"/>
          <w:u w:val="single"/>
        </w:rPr>
      </w:pPr>
    </w:p>
    <w:p w14:paraId="6C00EB31"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Trade dress may involve the packaging or wrapping of the product at issue. This is the most frequent type of trade dress case. If such trade dress is at issue, the court may add the following after the third paragraph of this instruction:</w:t>
      </w:r>
    </w:p>
    <w:p w14:paraId="7A4BA325" w14:textId="77777777" w:rsidR="00141CA4" w:rsidRPr="002B283E" w:rsidRDefault="00141CA4"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In this case, you will hear evidence about the manner in which </w:t>
      </w:r>
      <w:r w:rsidRPr="003D4A5D">
        <w:rPr>
          <w:rFonts w:cs="Times New Roman"/>
          <w:szCs w:val="24"/>
        </w:rPr>
        <w:t>[</w:t>
      </w:r>
      <w:r w:rsidRPr="002B283E">
        <w:rPr>
          <w:rFonts w:cs="Times New Roman"/>
          <w:i/>
          <w:iCs/>
          <w:szCs w:val="24"/>
          <w:u w:val="single"/>
        </w:rPr>
        <w:t>insert description of good</w:t>
      </w:r>
      <w:r w:rsidRPr="002B283E">
        <w:rPr>
          <w:rFonts w:cs="Times New Roman"/>
          <w:szCs w:val="24"/>
        </w:rPr>
        <w:t xml:space="preserve">] was [packed] [wrapped] [boxed] [held in a container]. Trademark law protects such trade dress from others using the same or similar presentation of another product if that trade dress is non-functional and if consumers identify the packaging with the source of the product, distinguishing it from other sources. </w:t>
      </w:r>
    </w:p>
    <w:p w14:paraId="42BEC0D8" w14:textId="74E7C514" w:rsidR="00141CA4" w:rsidRDefault="00141CA4" w:rsidP="008A04C2">
      <w:pPr>
        <w:autoSpaceDE w:val="0"/>
        <w:autoSpaceDN w:val="0"/>
        <w:adjustRightInd w:val="0"/>
        <w:ind w:left="720" w:right="720"/>
        <w:jc w:val="both"/>
        <w:rPr>
          <w:rFonts w:cs="Times New Roman"/>
          <w:szCs w:val="24"/>
        </w:rPr>
      </w:pPr>
      <w:r w:rsidRPr="002B283E">
        <w:rPr>
          <w:rFonts w:cs="Times New Roman"/>
          <w:szCs w:val="24"/>
        </w:rPr>
        <w:t xml:space="preserve">Trade literature used in marketing constitutes trade dress. Unauthorized use by a competitor constitutes false designation of origin and unfair competition. </w:t>
      </w:r>
    </w:p>
    <w:p w14:paraId="5472C8CE" w14:textId="77777777" w:rsidR="008E2051" w:rsidRPr="002B283E" w:rsidRDefault="008E2051" w:rsidP="002B283E">
      <w:pPr>
        <w:autoSpaceDE w:val="0"/>
        <w:autoSpaceDN w:val="0"/>
        <w:adjustRightInd w:val="0"/>
        <w:rPr>
          <w:rFonts w:cs="Times New Roman"/>
          <w:szCs w:val="24"/>
        </w:rPr>
      </w:pPr>
    </w:p>
    <w:p w14:paraId="2AF908CB"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Design or Configuration Cases</w:t>
      </w:r>
    </w:p>
    <w:p w14:paraId="7FA50F68" w14:textId="77777777" w:rsidR="008E2051" w:rsidRPr="002B283E" w:rsidRDefault="008E2051" w:rsidP="002B283E">
      <w:pPr>
        <w:autoSpaceDE w:val="0"/>
        <w:autoSpaceDN w:val="0"/>
        <w:adjustRightInd w:val="0"/>
        <w:jc w:val="center"/>
        <w:rPr>
          <w:rFonts w:cs="Times New Roman"/>
          <w:szCs w:val="24"/>
          <w:u w:val="single"/>
        </w:rPr>
      </w:pPr>
    </w:p>
    <w:p w14:paraId="2ED323EC" w14:textId="77777777" w:rsidR="00141CA4" w:rsidRDefault="00141CA4" w:rsidP="002B283E">
      <w:pPr>
        <w:autoSpaceDE w:val="0"/>
        <w:autoSpaceDN w:val="0"/>
        <w:adjustRightInd w:val="0"/>
        <w:rPr>
          <w:rFonts w:cs="Times New Roman"/>
          <w:szCs w:val="24"/>
        </w:rPr>
      </w:pPr>
      <w:r w:rsidRPr="002B283E">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7713EC17" w14:textId="77777777" w:rsidR="008E2051" w:rsidRPr="002B283E" w:rsidRDefault="008E2051" w:rsidP="002B283E">
      <w:pPr>
        <w:autoSpaceDE w:val="0"/>
        <w:autoSpaceDN w:val="0"/>
        <w:adjustRightInd w:val="0"/>
        <w:rPr>
          <w:rFonts w:cs="Times New Roman"/>
          <w:szCs w:val="24"/>
        </w:rPr>
      </w:pPr>
    </w:p>
    <w:p w14:paraId="7515D5D8" w14:textId="77777777" w:rsidR="00141CA4" w:rsidRDefault="00141CA4" w:rsidP="002B283E">
      <w:pPr>
        <w:autoSpaceDE w:val="0"/>
        <w:autoSpaceDN w:val="0"/>
        <w:adjustRightInd w:val="0"/>
        <w:ind w:left="720" w:right="720"/>
        <w:jc w:val="both"/>
        <w:rPr>
          <w:rFonts w:cs="Times New Roman"/>
          <w:szCs w:val="24"/>
        </w:rPr>
      </w:pPr>
      <w:r w:rsidRPr="002B283E">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25222127" w14:textId="77777777" w:rsidR="008E2051" w:rsidRPr="002B283E" w:rsidRDefault="008E2051" w:rsidP="002B283E">
      <w:pPr>
        <w:autoSpaceDE w:val="0"/>
        <w:autoSpaceDN w:val="0"/>
        <w:adjustRightInd w:val="0"/>
        <w:ind w:left="720" w:right="720"/>
        <w:jc w:val="both"/>
        <w:rPr>
          <w:rFonts w:cs="Times New Roman"/>
          <w:szCs w:val="24"/>
        </w:rPr>
      </w:pPr>
    </w:p>
    <w:p w14:paraId="61B9B9C0" w14:textId="03B035EF" w:rsidR="00141CA4" w:rsidRPr="002B283E" w:rsidRDefault="00141CA4"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Millenium Lab</w:t>
      </w:r>
      <w:r w:rsidR="00CE6E72">
        <w:rPr>
          <w:rFonts w:cs="Times New Roman"/>
          <w:i/>
          <w:iCs/>
          <w:szCs w:val="24"/>
        </w:rPr>
        <w:t>’y</w:t>
      </w:r>
      <w:r w:rsidRPr="002B283E">
        <w:rPr>
          <w:rFonts w:cs="Times New Roman"/>
          <w:i/>
          <w:iCs/>
          <w:szCs w:val="24"/>
        </w:rPr>
        <w:t>s., Inc. v. Ameritox, Ltd.</w:t>
      </w:r>
      <w:r w:rsidRPr="002B283E">
        <w:rPr>
          <w:rFonts w:cs="Times New Roman"/>
          <w:szCs w:val="24"/>
        </w:rPr>
        <w:t xml:space="preserve">, 817 F.3d 1123 (9th. Cir. 2016) (holding that publication formats may be protectable trade dress); </w:t>
      </w:r>
      <w:r w:rsidRPr="002B283E">
        <w:rPr>
          <w:rFonts w:cs="Times New Roman"/>
          <w:i/>
          <w:iCs/>
          <w:szCs w:val="24"/>
        </w:rPr>
        <w:t xml:space="preserve">Two Pesos, Inc., v. Taco Cabana, Int’l Inc., </w:t>
      </w:r>
      <w:r w:rsidRPr="002B283E">
        <w:rPr>
          <w:rFonts w:cs="Times New Roman"/>
          <w:szCs w:val="24"/>
        </w:rPr>
        <w:t>932 F.2d 1113 (5th Cir. 1991),</w:t>
      </w:r>
      <w:r w:rsidRPr="002B283E">
        <w:rPr>
          <w:rFonts w:cs="Times New Roman"/>
          <w:i/>
          <w:iCs/>
          <w:szCs w:val="24"/>
        </w:rPr>
        <w:t xml:space="preserve"> aff’d, </w:t>
      </w:r>
      <w:r w:rsidRPr="002B283E">
        <w:rPr>
          <w:rFonts w:cs="Times New Roman"/>
          <w:szCs w:val="24"/>
        </w:rPr>
        <w:t>505 U.S. 763, 770-73 (1992);</w:t>
      </w:r>
      <w:r w:rsidRPr="002B283E">
        <w:rPr>
          <w:rFonts w:cs="Times New Roman"/>
          <w:i/>
          <w:iCs/>
          <w:szCs w:val="24"/>
        </w:rPr>
        <w:t xml:space="preserve"> Vision Sports, Inc. v. Meville Corp.</w:t>
      </w:r>
      <w:r w:rsidRPr="002B283E">
        <w:rPr>
          <w:rFonts w:cs="Times New Roman"/>
          <w:szCs w:val="24"/>
        </w:rPr>
        <w:t xml:space="preserve">, 888 F.2d 609, 613 (9th Cir. 1989). </w:t>
      </w:r>
    </w:p>
    <w:p w14:paraId="2D17E560" w14:textId="77777777" w:rsidR="00141CA4" w:rsidRPr="002B283E" w:rsidRDefault="00141CA4" w:rsidP="002B283E">
      <w:pPr>
        <w:autoSpaceDE w:val="0"/>
        <w:autoSpaceDN w:val="0"/>
        <w:adjustRightInd w:val="0"/>
        <w:rPr>
          <w:rFonts w:cs="Times New Roman"/>
          <w:szCs w:val="24"/>
        </w:rPr>
      </w:pPr>
    </w:p>
    <w:p w14:paraId="08C75990" w14:textId="77777777" w:rsidR="00141CA4" w:rsidRPr="002B283E" w:rsidRDefault="00141CA4" w:rsidP="002B283E">
      <w:pPr>
        <w:autoSpaceDE w:val="0"/>
        <w:autoSpaceDN w:val="0"/>
        <w:adjustRightInd w:val="0"/>
        <w:jc w:val="center"/>
        <w:rPr>
          <w:rFonts w:cs="Times New Roman"/>
          <w:szCs w:val="24"/>
          <w:u w:val="single"/>
        </w:rPr>
      </w:pPr>
      <w:r w:rsidRPr="002B283E">
        <w:rPr>
          <w:rFonts w:cs="Times New Roman"/>
          <w:b/>
          <w:bCs/>
          <w:szCs w:val="24"/>
          <w:u w:val="single"/>
        </w:rPr>
        <w:t>Business Image Cases</w:t>
      </w:r>
    </w:p>
    <w:p w14:paraId="62C399F0" w14:textId="77777777" w:rsidR="00141CA4" w:rsidRPr="002B283E" w:rsidRDefault="00141CA4" w:rsidP="002B283E">
      <w:pPr>
        <w:autoSpaceDE w:val="0"/>
        <w:autoSpaceDN w:val="0"/>
        <w:adjustRightInd w:val="0"/>
        <w:rPr>
          <w:rFonts w:cs="Times New Roman"/>
          <w:szCs w:val="24"/>
        </w:rPr>
      </w:pPr>
    </w:p>
    <w:p w14:paraId="04F587F9"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Although this instruction addresses the trade dress of a product, the cases suggest that services might also have a protectable trade dress. </w:t>
      </w:r>
      <w:r w:rsidRPr="002B283E">
        <w:rPr>
          <w:rFonts w:cs="Times New Roman"/>
          <w:i/>
          <w:iCs/>
          <w:szCs w:val="24"/>
        </w:rPr>
        <w:t>See Two Pesos, Inc.</w:t>
      </w:r>
      <w:r w:rsidRPr="002B283E">
        <w:rPr>
          <w:rFonts w:cs="Times New Roman"/>
          <w:szCs w:val="24"/>
        </w:rPr>
        <w:t xml:space="preserve">, 505 U.S. at 764-65 (noting that trade dress may include “even particular sales techniques”); </w:t>
      </w:r>
      <w:r w:rsidRPr="002B283E">
        <w:rPr>
          <w:rFonts w:cs="Times New Roman"/>
          <w:i/>
          <w:iCs/>
          <w:szCs w:val="24"/>
        </w:rPr>
        <w:t>Fuddruckers, Inc.</w:t>
      </w:r>
      <w:r w:rsidRPr="002B283E">
        <w:rPr>
          <w:rFonts w:cs="Times New Roman"/>
          <w:szCs w:val="24"/>
        </w:rPr>
        <w:t xml:space="preserve">, 826 F.2d at 841-42. This is treated much like trade dress comprised of product packaging. If business image trade dress is at issue in the case, the following paragraph can be added after the third paragraph of the instruction: </w:t>
      </w:r>
    </w:p>
    <w:p w14:paraId="5A6E11A1" w14:textId="77777777" w:rsidR="00141CA4" w:rsidRPr="002B283E" w:rsidRDefault="00141CA4" w:rsidP="002B283E">
      <w:pPr>
        <w:autoSpaceDE w:val="0"/>
        <w:autoSpaceDN w:val="0"/>
        <w:adjustRightInd w:val="0"/>
        <w:rPr>
          <w:rFonts w:cs="Times New Roman"/>
          <w:szCs w:val="24"/>
        </w:rPr>
      </w:pPr>
    </w:p>
    <w:p w14:paraId="4BA733D7" w14:textId="77777777" w:rsidR="00141CA4" w:rsidRPr="002B283E" w:rsidRDefault="00141CA4" w:rsidP="002B283E">
      <w:pPr>
        <w:autoSpaceDE w:val="0"/>
        <w:autoSpaceDN w:val="0"/>
        <w:adjustRightInd w:val="0"/>
        <w:ind w:left="720" w:right="720"/>
        <w:jc w:val="both"/>
        <w:rPr>
          <w:rFonts w:cs="Times New Roman"/>
          <w:szCs w:val="24"/>
        </w:rPr>
      </w:pPr>
      <w:r w:rsidRPr="002B283E">
        <w:rPr>
          <w:rFonts w:cs="Times New Roman"/>
          <w:szCs w:val="24"/>
        </w:rPr>
        <w:t>In this case, you will hear evidence about the manner in which [</w:t>
      </w:r>
      <w:r w:rsidRPr="002B283E">
        <w:rPr>
          <w:rFonts w:cs="Times New Roman"/>
          <w:i/>
          <w:iCs/>
          <w:szCs w:val="24"/>
          <w:u w:val="single"/>
        </w:rPr>
        <w:t>insert name of business</w:t>
      </w:r>
      <w:r w:rsidRPr="002B283E">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2B283E">
        <w:rPr>
          <w:rFonts w:cs="Times New Roman"/>
          <w:szCs w:val="24"/>
        </w:rPr>
        <w:tab/>
      </w:r>
    </w:p>
    <w:p w14:paraId="687C9D97" w14:textId="77777777" w:rsidR="00141CA4" w:rsidRPr="002B283E" w:rsidRDefault="00141CA4" w:rsidP="002B283E">
      <w:pPr>
        <w:rPr>
          <w:rFonts w:cs="Times New Roman"/>
          <w:szCs w:val="24"/>
        </w:rPr>
      </w:pPr>
    </w:p>
    <w:p w14:paraId="0FB68592" w14:textId="77777777" w:rsidR="00141CA4" w:rsidRDefault="00141CA4" w:rsidP="002B283E">
      <w:pPr>
        <w:autoSpaceDE w:val="0"/>
        <w:autoSpaceDN w:val="0"/>
        <w:adjustRightInd w:val="0"/>
        <w:rPr>
          <w:rFonts w:cs="Times New Roman"/>
          <w:szCs w:val="24"/>
        </w:rPr>
      </w:pPr>
      <w:r w:rsidRPr="002B283E">
        <w:rPr>
          <w:rFonts w:cs="Times New Roman"/>
          <w:i/>
          <w:iCs/>
          <w:szCs w:val="24"/>
        </w:rPr>
        <w:tab/>
        <w:t>See Taco Cabana Int’l, Inc.</w:t>
      </w:r>
      <w:r w:rsidRPr="002B283E">
        <w:rPr>
          <w:rFonts w:cs="Times New Roman"/>
          <w:szCs w:val="24"/>
        </w:rPr>
        <w:t xml:space="preserve">, 932 F.2d at 1113; </w:t>
      </w:r>
      <w:r w:rsidRPr="002B283E">
        <w:rPr>
          <w:rFonts w:cs="Times New Roman"/>
          <w:i/>
          <w:iCs/>
          <w:szCs w:val="24"/>
        </w:rPr>
        <w:t>Clicks Billiards Inc. v. Sixshooters Inc</w:t>
      </w:r>
      <w:r w:rsidRPr="002B283E">
        <w:rPr>
          <w:rFonts w:cs="Times New Roman"/>
          <w:szCs w:val="24"/>
        </w:rPr>
        <w:t>., 251 F.3d 1252, 1258-59 (9th Cir. 2001) (providing definition of trade dress).</w:t>
      </w:r>
    </w:p>
    <w:p w14:paraId="2C310228" w14:textId="77777777" w:rsidR="008E2051" w:rsidRPr="002B283E" w:rsidRDefault="008E2051" w:rsidP="002B283E">
      <w:pPr>
        <w:autoSpaceDE w:val="0"/>
        <w:autoSpaceDN w:val="0"/>
        <w:adjustRightInd w:val="0"/>
        <w:rPr>
          <w:rFonts w:cs="Times New Roman"/>
          <w:szCs w:val="24"/>
        </w:rPr>
      </w:pPr>
    </w:p>
    <w:p w14:paraId="29B1A8DE" w14:textId="7DDD8851" w:rsidR="00D42C60" w:rsidRPr="002B283E" w:rsidRDefault="00141CA4" w:rsidP="002B283E">
      <w:pPr>
        <w:jc w:val="right"/>
        <w:rPr>
          <w:rFonts w:cs="Times New Roman"/>
          <w:i/>
          <w:iCs/>
          <w:szCs w:val="24"/>
        </w:rPr>
      </w:pPr>
      <w:r w:rsidRPr="002B283E">
        <w:rPr>
          <w:rFonts w:cs="Times New Roman"/>
          <w:i/>
          <w:iCs/>
          <w:szCs w:val="24"/>
        </w:rPr>
        <w:t>Revised November 2024</w:t>
      </w:r>
    </w:p>
    <w:p w14:paraId="78B51578" w14:textId="1FA8284A" w:rsidR="006A4CD7" w:rsidRPr="002B283E" w:rsidRDefault="006A4CD7" w:rsidP="002B283E">
      <w:pPr>
        <w:pStyle w:val="Heading2"/>
      </w:pPr>
      <w:r w:rsidRPr="002B283E">
        <w:br w:type="page"/>
      </w:r>
      <w:bookmarkStart w:id="335" w:name="_Toc221525270"/>
      <w:r w:rsidRPr="002B283E">
        <w:lastRenderedPageBreak/>
        <w:t xml:space="preserve">15.4 </w:t>
      </w:r>
      <w:r w:rsidR="00D934FC" w:rsidRPr="002B283E">
        <w:t xml:space="preserve">Definition—Trade Name/Commercial Name </w:t>
      </w:r>
      <w:r w:rsidR="009F70BA" w:rsidRPr="002B283E">
        <w:br/>
      </w:r>
      <w:r w:rsidR="00D934FC" w:rsidRPr="002B283E">
        <w:t>(15 U.S.C. § 1127)</w:t>
      </w:r>
      <w:bookmarkEnd w:id="335"/>
    </w:p>
    <w:p w14:paraId="560598AD" w14:textId="77777777" w:rsidR="006A4CD7" w:rsidRPr="002B283E" w:rsidRDefault="006A4CD7" w:rsidP="002B283E">
      <w:pPr>
        <w:autoSpaceDE w:val="0"/>
        <w:autoSpaceDN w:val="0"/>
        <w:adjustRightInd w:val="0"/>
        <w:rPr>
          <w:rFonts w:cs="Times New Roman"/>
          <w:szCs w:val="24"/>
        </w:rPr>
      </w:pPr>
    </w:p>
    <w:p w14:paraId="640BD165" w14:textId="77777777" w:rsidR="0074476C" w:rsidRPr="002B283E" w:rsidRDefault="006A4CD7" w:rsidP="002B283E">
      <w:pPr>
        <w:autoSpaceDE w:val="0"/>
        <w:autoSpaceDN w:val="0"/>
        <w:adjustRightInd w:val="0"/>
        <w:rPr>
          <w:rFonts w:cs="Times New Roman"/>
          <w:szCs w:val="24"/>
        </w:rPr>
      </w:pPr>
      <w:r w:rsidRPr="002B283E">
        <w:rPr>
          <w:rFonts w:cs="Times New Roman"/>
          <w:szCs w:val="24"/>
        </w:rPr>
        <w:tab/>
      </w:r>
      <w:r w:rsidR="0074476C" w:rsidRPr="002B283E">
        <w:rPr>
          <w:rFonts w:cs="Times New Roman"/>
          <w:szCs w:val="24"/>
        </w:rPr>
        <w:t xml:space="preserve">A [trade name] [commercial name] is any word or words, a symbol, or combination of words and symbol, used by a person to identify that person’s [business] [vocation] [or] [occupation] and to distinguish it from the business of others. A [trade name] [commercial name] symbolizes the reputation of a person’s [business] [vocation] [or] [occupation] as a whole. [By comparison, a trademark identifies a person’s goods.] </w:t>
      </w:r>
    </w:p>
    <w:p w14:paraId="346D0A6D" w14:textId="77777777" w:rsidR="0074476C" w:rsidRPr="002B283E" w:rsidRDefault="0074476C" w:rsidP="002B283E">
      <w:pPr>
        <w:autoSpaceDE w:val="0"/>
        <w:autoSpaceDN w:val="0"/>
        <w:adjustRightInd w:val="0"/>
        <w:rPr>
          <w:rFonts w:cs="Times New Roman"/>
          <w:szCs w:val="24"/>
        </w:rPr>
      </w:pPr>
    </w:p>
    <w:p w14:paraId="5635BF4E"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Any person who uses the [trade name] [commercial name] of another may be liable for damages. </w:t>
      </w:r>
    </w:p>
    <w:p w14:paraId="66F8E6A7" w14:textId="77777777" w:rsidR="0074476C" w:rsidRPr="002B283E" w:rsidRDefault="0074476C" w:rsidP="002B283E">
      <w:pPr>
        <w:autoSpaceDE w:val="0"/>
        <w:autoSpaceDN w:val="0"/>
        <w:adjustRightInd w:val="0"/>
        <w:ind w:firstLine="720"/>
        <w:rPr>
          <w:rFonts w:cs="Times New Roman"/>
          <w:szCs w:val="24"/>
        </w:rPr>
      </w:pPr>
    </w:p>
    <w:p w14:paraId="75B59445" w14:textId="77777777" w:rsidR="0074476C" w:rsidRPr="002B283E" w:rsidRDefault="0074476C"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20601B8" w14:textId="77777777" w:rsidR="0074476C" w:rsidRPr="002B283E" w:rsidRDefault="0074476C" w:rsidP="002B283E">
      <w:pPr>
        <w:autoSpaceDE w:val="0"/>
        <w:autoSpaceDN w:val="0"/>
        <w:adjustRightInd w:val="0"/>
        <w:rPr>
          <w:rFonts w:cs="Times New Roman"/>
          <w:szCs w:val="24"/>
        </w:rPr>
      </w:pPr>
    </w:p>
    <w:p w14:paraId="4B7CC3FD"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[If a person owns a trade name, then that person has the exclusive right to use the name or to control the use of confusingly similar variations of the name by others in the market.] </w:t>
      </w:r>
    </w:p>
    <w:p w14:paraId="0C779A14" w14:textId="77777777" w:rsidR="0074476C" w:rsidRPr="002B283E" w:rsidRDefault="0074476C" w:rsidP="002B283E">
      <w:pPr>
        <w:autoSpaceDE w:val="0"/>
        <w:autoSpaceDN w:val="0"/>
        <w:adjustRightInd w:val="0"/>
        <w:rPr>
          <w:rFonts w:cs="Times New Roman"/>
          <w:szCs w:val="24"/>
        </w:rPr>
      </w:pPr>
    </w:p>
    <w:p w14:paraId="635EAA95" w14:textId="77777777" w:rsidR="0074476C" w:rsidRPr="002B283E" w:rsidRDefault="0074476C"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1C3149C" w14:textId="77777777" w:rsidR="0074476C" w:rsidRPr="002B283E" w:rsidRDefault="0074476C" w:rsidP="002B283E">
      <w:pPr>
        <w:autoSpaceDE w:val="0"/>
        <w:autoSpaceDN w:val="0"/>
        <w:adjustRightInd w:val="0"/>
        <w:rPr>
          <w:rFonts w:cs="Times New Roman"/>
          <w:szCs w:val="24"/>
        </w:rPr>
      </w:pPr>
    </w:p>
    <w:p w14:paraId="73FA6F86"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Use of a term as a trade name and use of the same term as a trademark are properly analyzed separately for infringement when the term serves as both identification for an organization (trade name) and as an identification of the source of a product (trademark). </w:t>
      </w:r>
      <w:r w:rsidRPr="002B283E">
        <w:rPr>
          <w:rFonts w:cs="Times New Roman"/>
          <w:i/>
          <w:iCs/>
          <w:szCs w:val="24"/>
        </w:rPr>
        <w:t>See Self-Realization Fellowship Church v. Ananda Church of Self-Realization</w:t>
      </w:r>
      <w:r w:rsidRPr="002B283E">
        <w:rPr>
          <w:rFonts w:cs="Times New Roman"/>
          <w:szCs w:val="24"/>
        </w:rPr>
        <w:t xml:space="preserve">, 59 F.3d 903, 908-09 (9th Cir. 1995). The right to use a term as a trade name is not necessarily coterminous with the right to use that term as a trademark for goods or services. </w:t>
      </w:r>
      <w:r w:rsidRPr="002B283E">
        <w:rPr>
          <w:rFonts w:cs="Times New Roman"/>
          <w:i/>
          <w:iCs/>
          <w:szCs w:val="24"/>
        </w:rPr>
        <w:t>See Stephen W. Boney Inc. v. Boney Servs., Inc.</w:t>
      </w:r>
      <w:r w:rsidRPr="002B283E">
        <w:rPr>
          <w:rFonts w:cs="Times New Roman"/>
          <w:szCs w:val="24"/>
        </w:rPr>
        <w:t>, 127 F.3d 821, 828-29 (9th Cir. 1997). Accordingly, each should be analyzed and instructed separately.</w:t>
      </w:r>
    </w:p>
    <w:p w14:paraId="69955320" w14:textId="77777777" w:rsidR="0074476C" w:rsidRPr="002B283E" w:rsidRDefault="0074476C" w:rsidP="002B283E">
      <w:pPr>
        <w:autoSpaceDE w:val="0"/>
        <w:autoSpaceDN w:val="0"/>
        <w:adjustRightInd w:val="0"/>
        <w:rPr>
          <w:rFonts w:cs="Times New Roman"/>
          <w:szCs w:val="24"/>
        </w:rPr>
      </w:pPr>
    </w:p>
    <w:p w14:paraId="20A2DEC0" w14:textId="1CCE5099"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“Trade names symbolize the reputation of a business as a whole. In contrast, trademarks and service marks are designed to identify and distinguish a company’s goods and services . . . . As a practical matter, courts are rarely called upon to distinguish between trade names, trademarks and service marks. Trade names often function as trademarks or service marks as well . . . . Perhaps because of this functional overlap, the same broad standards of protection apply to trademarks and trade names.” </w:t>
      </w:r>
      <w:r w:rsidRPr="002B283E">
        <w:rPr>
          <w:rFonts w:cs="Times New Roman"/>
          <w:i/>
          <w:iCs/>
          <w:szCs w:val="24"/>
        </w:rPr>
        <w:t>Accuride Int’l v. Accuride Corp.</w:t>
      </w:r>
      <w:r w:rsidRPr="002B283E">
        <w:rPr>
          <w:rFonts w:cs="Times New Roman"/>
          <w:szCs w:val="24"/>
        </w:rPr>
        <w:t>, 871 F.2d 1531, 1534-35 (9th Cir. 1989)</w:t>
      </w:r>
      <w:r w:rsidR="00CE6E72">
        <w:rPr>
          <w:rFonts w:cs="Times New Roman"/>
          <w:szCs w:val="24"/>
        </w:rPr>
        <w:t xml:space="preserve"> (citations omitted)</w:t>
      </w:r>
      <w:r w:rsidRPr="002B283E">
        <w:rPr>
          <w:rFonts w:cs="Times New Roman"/>
          <w:szCs w:val="24"/>
        </w:rPr>
        <w:t xml:space="preserve">. </w:t>
      </w:r>
    </w:p>
    <w:p w14:paraId="23482359" w14:textId="77777777" w:rsidR="0074476C" w:rsidRPr="002B283E" w:rsidRDefault="0074476C" w:rsidP="002B283E">
      <w:pPr>
        <w:autoSpaceDE w:val="0"/>
        <w:autoSpaceDN w:val="0"/>
        <w:adjustRightInd w:val="0"/>
        <w:rPr>
          <w:rFonts w:cs="Times New Roman"/>
          <w:szCs w:val="24"/>
        </w:rPr>
      </w:pPr>
    </w:p>
    <w:p w14:paraId="2180DEA2" w14:textId="0CB48695" w:rsidR="0074476C" w:rsidRPr="002B283E" w:rsidRDefault="0074476C"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EC11C4">
        <w:rPr>
          <w:rFonts w:cs="Times New Roman"/>
          <w:szCs w:val="24"/>
        </w:rPr>
        <w:t>—</w:t>
      </w:r>
      <w:r w:rsidRPr="002B283E">
        <w:rPr>
          <w:rFonts w:cs="Times New Roman"/>
          <w:szCs w:val="24"/>
        </w:rPr>
        <w:t>Scope of Authority Not in Issue).</w:t>
      </w:r>
    </w:p>
    <w:p w14:paraId="67E9A366" w14:textId="77777777" w:rsidR="0074476C" w:rsidRPr="002B283E" w:rsidRDefault="0074476C" w:rsidP="002B283E">
      <w:pPr>
        <w:rPr>
          <w:rFonts w:cs="Times New Roman"/>
          <w:szCs w:val="24"/>
        </w:rPr>
      </w:pPr>
    </w:p>
    <w:p w14:paraId="66A0571F" w14:textId="4591319E" w:rsidR="006A4CD7" w:rsidRPr="002B283E" w:rsidRDefault="0074476C"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03B2F9C" w14:textId="77777777" w:rsidR="006964C1" w:rsidRPr="002B283E" w:rsidRDefault="006964C1" w:rsidP="002B283E">
      <w:pPr>
        <w:autoSpaceDE w:val="0"/>
        <w:autoSpaceDN w:val="0"/>
        <w:adjustRightInd w:val="0"/>
        <w:rPr>
          <w:rFonts w:cs="Times New Roman"/>
          <w:szCs w:val="24"/>
        </w:rPr>
      </w:pPr>
    </w:p>
    <w:p w14:paraId="699E2F76" w14:textId="6C251B12" w:rsidR="006A4CD7" w:rsidRPr="002B283E" w:rsidRDefault="006A4CD7" w:rsidP="002B283E">
      <w:pPr>
        <w:pStyle w:val="Heading2"/>
      </w:pPr>
      <w:r w:rsidRPr="002B283E">
        <w:br w:type="page"/>
      </w:r>
      <w:bookmarkStart w:id="336" w:name="_Toc221525271"/>
      <w:r w:rsidRPr="002B283E">
        <w:lastRenderedPageBreak/>
        <w:t xml:space="preserve">15.5 </w:t>
      </w:r>
      <w:r w:rsidR="002D3E69" w:rsidRPr="002B283E">
        <w:t>Trademark Liability—Theories and Policies</w:t>
      </w:r>
      <w:r w:rsidR="007A6519" w:rsidRPr="002B283E">
        <w:t xml:space="preserve"> </w:t>
      </w:r>
      <w:r w:rsidR="009F70BA" w:rsidRPr="002B283E">
        <w:br/>
      </w:r>
      <w:r w:rsidRPr="002B283E">
        <w:t>(15 U.S.C. §§ 1114(1), 1125(a))</w:t>
      </w:r>
      <w:bookmarkEnd w:id="336"/>
      <w:r w:rsidRPr="002B283E">
        <w:t xml:space="preserve"> </w:t>
      </w:r>
    </w:p>
    <w:p w14:paraId="748FC01E" w14:textId="77777777" w:rsidR="006A4CD7" w:rsidRPr="002B283E" w:rsidRDefault="006A4CD7" w:rsidP="002B283E">
      <w:pPr>
        <w:rPr>
          <w:rFonts w:cs="Times New Roman"/>
          <w:szCs w:val="24"/>
        </w:rPr>
      </w:pPr>
    </w:p>
    <w:p w14:paraId="1C53138F" w14:textId="77777777" w:rsidR="005861BA" w:rsidRPr="002B283E" w:rsidRDefault="006A4CD7" w:rsidP="002B283E">
      <w:pPr>
        <w:rPr>
          <w:rFonts w:cs="Times New Roman"/>
          <w:szCs w:val="24"/>
        </w:rPr>
      </w:pPr>
      <w:r w:rsidRPr="002B283E">
        <w:rPr>
          <w:rFonts w:cs="Times New Roman"/>
          <w:b/>
          <w:bCs/>
          <w:szCs w:val="24"/>
        </w:rPr>
        <w:tab/>
      </w:r>
      <w:r w:rsidR="005861BA" w:rsidRPr="002B283E">
        <w:rPr>
          <w:rFonts w:cs="Times New Roman"/>
          <w:szCs w:val="24"/>
        </w:rPr>
        <w:t xml:space="preserve">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3A220B46" w14:textId="77777777" w:rsidR="005861BA" w:rsidRPr="002B283E" w:rsidRDefault="005861BA" w:rsidP="002B283E">
      <w:pPr>
        <w:rPr>
          <w:rFonts w:cs="Times New Roman"/>
          <w:szCs w:val="24"/>
        </w:rPr>
      </w:pPr>
    </w:p>
    <w:p w14:paraId="47174A5B" w14:textId="129F7AA7" w:rsidR="005861BA" w:rsidRPr="002B283E" w:rsidRDefault="005861BA" w:rsidP="002B283E">
      <w:pPr>
        <w:rPr>
          <w:rFonts w:cs="Times New Roman"/>
          <w:szCs w:val="24"/>
        </w:rPr>
      </w:pPr>
      <w:r w:rsidRPr="002B283E">
        <w:rPr>
          <w:rFonts w:cs="Times New Roman"/>
          <w:szCs w:val="24"/>
        </w:rPr>
        <w:tab/>
        <w:t>The balance of these policy objectives var</w:t>
      </w:r>
      <w:r w:rsidR="00CE6E72">
        <w:rPr>
          <w:rFonts w:cs="Times New Roman"/>
          <w:szCs w:val="24"/>
        </w:rPr>
        <w:t>ies</w:t>
      </w:r>
      <w:r w:rsidRPr="002B283E">
        <w:rPr>
          <w:rFonts w:cs="Times New Roman"/>
          <w:szCs w:val="24"/>
        </w:rPr>
        <w:t xml:space="preserve"> from case to case, because they may often conflict. Accordingly, each case must be decided by examining its specific facts and circumstances, of which you are to judge. </w:t>
      </w:r>
    </w:p>
    <w:p w14:paraId="638C5B4D" w14:textId="77777777" w:rsidR="005861BA" w:rsidRPr="002B283E" w:rsidRDefault="005861BA" w:rsidP="002B283E">
      <w:pPr>
        <w:rPr>
          <w:rFonts w:cs="Times New Roman"/>
          <w:szCs w:val="24"/>
        </w:rPr>
      </w:pPr>
    </w:p>
    <w:p w14:paraId="1A977570" w14:textId="77777777" w:rsidR="005861BA" w:rsidRPr="002B283E" w:rsidRDefault="005861BA" w:rsidP="002B283E">
      <w:pPr>
        <w:rPr>
          <w:rFonts w:cs="Times New Roman"/>
          <w:szCs w:val="24"/>
        </w:rPr>
      </w:pPr>
      <w:r w:rsidRPr="002B283E">
        <w:rPr>
          <w:rFonts w:cs="Times New Roman"/>
          <w:szCs w:val="24"/>
        </w:rPr>
        <w:tab/>
        <w:t xml:space="preserve">In these instructions, I will identify types of facts you are to consider in deciding if the defendant is liable to the plaintiff for violating trademark law. These facts are relevant to whether the defendant is liable for: </w:t>
      </w:r>
    </w:p>
    <w:p w14:paraId="3F8102B5" w14:textId="77777777" w:rsidR="005861BA" w:rsidRPr="002B283E" w:rsidRDefault="005861BA" w:rsidP="002B283E">
      <w:pPr>
        <w:rPr>
          <w:rFonts w:cs="Times New Roman"/>
          <w:szCs w:val="24"/>
        </w:rPr>
      </w:pPr>
    </w:p>
    <w:p w14:paraId="5351BC5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infringing plaintiff’s registered trademark rights, by using a trademark in a manner likely to cause confusion among consumers;]</w:t>
      </w:r>
    </w:p>
    <w:p w14:paraId="01B3F0C3"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unfairly competing, by using a trademark in a manner likely to cause confusion as to the origin or quality of plaintiff’s goods;]</w:t>
      </w:r>
    </w:p>
    <w:p w14:paraId="6F282C6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unfairly competing, by using trade dress in a manner likely to cause confusion as to the origin or quality of plaintiff’s goods;]</w:t>
      </w:r>
    </w:p>
    <w:p w14:paraId="733D254B"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infringing plaintiff’s trade name, by using similar corporate, business or professional names in a manner likely to cause confusion about the source of products in the minds of consumers;] </w:t>
      </w:r>
    </w:p>
    <w:p w14:paraId="0BCC9AF8" w14:textId="77777777" w:rsidR="005861BA" w:rsidRDefault="005861BA"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false advertising, by making a false statement that was material and that tended to deceive consumers, injuring the plaintiff in the market.] </w:t>
      </w:r>
    </w:p>
    <w:p w14:paraId="7143522F" w14:textId="77777777" w:rsidR="00EC11C4" w:rsidRPr="002B283E" w:rsidRDefault="00EC11C4" w:rsidP="002B283E">
      <w:pPr>
        <w:autoSpaceDE w:val="0"/>
        <w:autoSpaceDN w:val="0"/>
        <w:adjustRightInd w:val="0"/>
        <w:ind w:left="1440" w:right="720" w:hanging="720"/>
        <w:rPr>
          <w:rFonts w:cs="Times New Roman"/>
          <w:szCs w:val="24"/>
        </w:rPr>
      </w:pPr>
    </w:p>
    <w:p w14:paraId="4361E526" w14:textId="77777777" w:rsidR="005861BA" w:rsidRPr="002B283E" w:rsidRDefault="005861BA" w:rsidP="002B283E">
      <w:pPr>
        <w:jc w:val="center"/>
        <w:rPr>
          <w:rFonts w:cs="Times New Roman"/>
          <w:szCs w:val="24"/>
        </w:rPr>
      </w:pPr>
      <w:r w:rsidRPr="002B283E">
        <w:rPr>
          <w:rFonts w:cs="Times New Roman"/>
          <w:b/>
          <w:bCs/>
          <w:szCs w:val="24"/>
        </w:rPr>
        <w:t>Comment</w:t>
      </w:r>
    </w:p>
    <w:p w14:paraId="1DA0C078" w14:textId="77777777" w:rsidR="005861BA" w:rsidRPr="002B283E" w:rsidRDefault="005861BA" w:rsidP="002B283E">
      <w:pPr>
        <w:rPr>
          <w:rFonts w:cs="Times New Roman"/>
          <w:szCs w:val="24"/>
        </w:rPr>
      </w:pPr>
    </w:p>
    <w:p w14:paraId="3B047105" w14:textId="77777777" w:rsidR="005861BA" w:rsidRPr="002B283E" w:rsidRDefault="005861BA" w:rsidP="002B283E">
      <w:pPr>
        <w:rPr>
          <w:rFonts w:cs="Times New Roman"/>
          <w:szCs w:val="24"/>
        </w:rPr>
      </w:pPr>
      <w:r w:rsidRPr="002B283E">
        <w:rPr>
          <w:rFonts w:cs="Times New Roman"/>
          <w:szCs w:val="24"/>
        </w:rPr>
        <w:tab/>
        <w:t>Instruct the jury on one or more of the above theories based on the theories relied on by the parties.</w:t>
      </w:r>
    </w:p>
    <w:p w14:paraId="347093D9" w14:textId="77777777" w:rsidR="005861BA" w:rsidRPr="002B283E" w:rsidRDefault="005861BA" w:rsidP="002B283E">
      <w:pPr>
        <w:rPr>
          <w:rFonts w:cs="Times New Roman"/>
          <w:szCs w:val="24"/>
        </w:rPr>
      </w:pPr>
    </w:p>
    <w:p w14:paraId="5DE4CD2A" w14:textId="7601B537" w:rsidR="005861BA" w:rsidRPr="002B283E" w:rsidRDefault="005861BA" w:rsidP="002B283E">
      <w:pPr>
        <w:ind w:firstLine="720"/>
        <w:rPr>
          <w:rFonts w:cs="Times New Roman"/>
          <w:szCs w:val="24"/>
        </w:rPr>
      </w:pPr>
      <w:r w:rsidRPr="002B283E">
        <w:rPr>
          <w:rFonts w:cs="Times New Roman"/>
          <w:szCs w:val="24"/>
        </w:rPr>
        <w:t xml:space="preserve">“The limited purpose of trademark protections set forth in the Lanham Trade-Mark Act, is to ‘avoid confusion in the marketplace’ by allowing a trademark owner to ‘prevent[ ] others from duping consumers into buying a product they mistakenly believe is sponsored by the trademark owner.’” </w:t>
      </w:r>
      <w:r w:rsidRPr="002B283E">
        <w:rPr>
          <w:rFonts w:cs="Times New Roman"/>
          <w:i/>
          <w:iCs/>
          <w:szCs w:val="24"/>
        </w:rPr>
        <w:t>Mattel, Inc. v. Walking Mountain Prods.</w:t>
      </w:r>
      <w:r w:rsidRPr="002B283E">
        <w:rPr>
          <w:rFonts w:cs="Times New Roman"/>
          <w:szCs w:val="24"/>
        </w:rPr>
        <w:t xml:space="preserve">, 353 F.3d 792, 806 (9th Cir. 2003). </w:t>
      </w:r>
      <w:r w:rsidRPr="002B283E">
        <w:rPr>
          <w:rFonts w:cs="Times New Roman"/>
          <w:i/>
          <w:iCs/>
          <w:szCs w:val="24"/>
        </w:rPr>
        <w:t>See id</w:t>
      </w:r>
      <w:r w:rsidRPr="002B283E">
        <w:rPr>
          <w:rFonts w:cs="Times New Roman"/>
          <w:szCs w:val="24"/>
        </w:rPr>
        <w:t xml:space="preserve">. at 806-07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(citations omitted). Federal trademark law addresses “the dual purposes of infringement law: ensuring that owners of trademarks can benefit from the goodwill associated with their marks and that consumers can </w:t>
      </w:r>
      <w:r w:rsidRPr="002B283E">
        <w:rPr>
          <w:rFonts w:cs="Times New Roman"/>
          <w:szCs w:val="24"/>
        </w:rPr>
        <w:lastRenderedPageBreak/>
        <w:t xml:space="preserve">distinguish among competing producers.” </w:t>
      </w:r>
      <w:r w:rsidRPr="002B283E">
        <w:rPr>
          <w:rFonts w:cs="Times New Roman"/>
          <w:i/>
          <w:iCs/>
          <w:szCs w:val="24"/>
        </w:rPr>
        <w:t>Thane Int’l v. Trek Bicycle Corp</w:t>
      </w:r>
      <w:r w:rsidRPr="002B283E">
        <w:rPr>
          <w:rFonts w:cs="Times New Roman"/>
          <w:szCs w:val="24"/>
        </w:rPr>
        <w:t xml:space="preserve">., 305 F.3d 894, 900-01 (9th Cir. 2002). </w:t>
      </w:r>
    </w:p>
    <w:p w14:paraId="2D9F9C3A" w14:textId="77777777" w:rsidR="005861BA" w:rsidRPr="002B283E" w:rsidRDefault="005861BA" w:rsidP="002B283E">
      <w:pPr>
        <w:rPr>
          <w:rFonts w:cs="Times New Roman"/>
          <w:szCs w:val="24"/>
        </w:rPr>
      </w:pPr>
    </w:p>
    <w:p w14:paraId="5F3919FC" w14:textId="7DD486DD"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The general test of liability under the trademark law is likelihood of confusion. </w:t>
      </w:r>
      <w:r w:rsidRPr="002B283E">
        <w:rPr>
          <w:rFonts w:cs="Times New Roman"/>
          <w:i/>
          <w:iCs/>
          <w:szCs w:val="24"/>
        </w:rPr>
        <w:t xml:space="preserve">See </w:t>
      </w:r>
      <w:r w:rsidRPr="002B283E">
        <w:rPr>
          <w:rFonts w:cs="Times New Roman"/>
          <w:szCs w:val="24"/>
        </w:rPr>
        <w:t>15 U.S.C. §§ 1114(1), 1125(a). “[T]he ultimate test is whether the public is likely to be deceived or confused by the similarity of the marks . . . . Whether we call the violation infringement, unfair competition or false designation of origin, the test is identical</w:t>
      </w:r>
      <w:r w:rsidR="00CE6E72">
        <w:rPr>
          <w:rFonts w:cs="Times New Roman"/>
          <w:szCs w:val="24"/>
        </w:rPr>
        <w:t xml:space="preserve"> </w:t>
      </w:r>
      <w:r w:rsidRPr="002B283E">
        <w:rPr>
          <w:rFonts w:cs="Times New Roman"/>
          <w:szCs w:val="24"/>
        </w:rPr>
        <w:t xml:space="preserve">is there a ‘likelihood of confusion?’” </w:t>
      </w:r>
      <w:r w:rsidRPr="002B283E">
        <w:rPr>
          <w:rFonts w:cs="Times New Roman"/>
          <w:i/>
          <w:iCs/>
          <w:szCs w:val="24"/>
        </w:rPr>
        <w:t>New W. Corp. v. NYM Co. of Cal., Inc.</w:t>
      </w:r>
      <w:r w:rsidRPr="002B283E">
        <w:rPr>
          <w:rFonts w:cs="Times New Roman"/>
          <w:szCs w:val="24"/>
        </w:rPr>
        <w:t xml:space="preserve">, 595 F.2d 1194, 1201 (9th Cir. 1997). “[T]he single type of confusion most commonly in trademark law’s sights is confusion ‘about the source of a product or service.’” </w:t>
      </w:r>
      <w:r w:rsidRPr="002B283E">
        <w:rPr>
          <w:rFonts w:cs="Times New Roman"/>
          <w:i/>
          <w:iCs/>
          <w:szCs w:val="24"/>
        </w:rPr>
        <w:t>Jack Daniel’s Props. v. VIP Prods. LLC</w:t>
      </w:r>
      <w:r w:rsidRPr="002B283E">
        <w:rPr>
          <w:rFonts w:cs="Times New Roman"/>
          <w:szCs w:val="24"/>
        </w:rPr>
        <w:t xml:space="preserve">, </w:t>
      </w:r>
      <w:r w:rsidR="006C5F19" w:rsidRPr="006C5F19">
        <w:rPr>
          <w:rFonts w:cs="Times New Roman"/>
          <w:szCs w:val="24"/>
        </w:rPr>
        <w:t>599 U.S. 140</w:t>
      </w:r>
      <w:r w:rsidRPr="002B283E">
        <w:rPr>
          <w:rFonts w:cs="Times New Roman"/>
          <w:szCs w:val="24"/>
        </w:rPr>
        <w:t xml:space="preserve">, </w:t>
      </w:r>
      <w:r w:rsidR="006C5F19" w:rsidRPr="002B283E">
        <w:rPr>
          <w:rFonts w:cs="Times New Roman"/>
          <w:szCs w:val="24"/>
        </w:rPr>
        <w:t>1</w:t>
      </w:r>
      <w:r w:rsidR="006C5F19">
        <w:rPr>
          <w:rFonts w:cs="Times New Roman"/>
          <w:szCs w:val="24"/>
        </w:rPr>
        <w:t>47</w:t>
      </w:r>
      <w:r w:rsidR="006C5F19" w:rsidRPr="002B283E">
        <w:rPr>
          <w:rFonts w:cs="Times New Roman"/>
          <w:szCs w:val="24"/>
        </w:rPr>
        <w:t xml:space="preserve"> </w:t>
      </w:r>
      <w:r w:rsidRPr="002B283E">
        <w:rPr>
          <w:rFonts w:cs="Times New Roman"/>
          <w:szCs w:val="24"/>
        </w:rPr>
        <w:t xml:space="preserve">(2023) (quoting </w:t>
      </w:r>
      <w:r w:rsidRPr="002B283E">
        <w:rPr>
          <w:rFonts w:cs="Times New Roman"/>
          <w:i/>
          <w:iCs/>
          <w:szCs w:val="24"/>
        </w:rPr>
        <w:t>Moseley v. V Secret Catalogue, Inc.</w:t>
      </w:r>
      <w:r w:rsidRPr="002B283E">
        <w:rPr>
          <w:rFonts w:cs="Times New Roman"/>
          <w:szCs w:val="24"/>
        </w:rPr>
        <w:t>, 537 U. S. 418, 428 (2003)).</w:t>
      </w:r>
    </w:p>
    <w:p w14:paraId="2CA6CC3D" w14:textId="77777777" w:rsidR="005861BA" w:rsidRPr="002B283E" w:rsidRDefault="005861BA" w:rsidP="002B283E">
      <w:pPr>
        <w:autoSpaceDE w:val="0"/>
        <w:autoSpaceDN w:val="0"/>
        <w:adjustRightInd w:val="0"/>
        <w:rPr>
          <w:rFonts w:cs="Times New Roman"/>
          <w:szCs w:val="24"/>
        </w:rPr>
      </w:pPr>
    </w:p>
    <w:p w14:paraId="15F60506" w14:textId="55F8E769"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2B283E">
        <w:rPr>
          <w:rFonts w:cs="Times New Roman"/>
          <w:i/>
          <w:iCs/>
          <w:szCs w:val="24"/>
        </w:rPr>
        <w:t>See Harper House Inc. v. Thomas Nelson, Inc</w:t>
      </w:r>
      <w:r w:rsidRPr="002B283E">
        <w:rPr>
          <w:rFonts w:cs="Times New Roman"/>
          <w:szCs w:val="24"/>
        </w:rPr>
        <w:t>., 889 F.2d 197 (9th Cir. 1989);</w:t>
      </w:r>
      <w:r w:rsidRPr="002B283E">
        <w:rPr>
          <w:rFonts w:cs="Times New Roman"/>
          <w:i/>
          <w:iCs/>
          <w:szCs w:val="24"/>
        </w:rPr>
        <w:t xml:space="preserve"> U-Haul Int’l v. Jartran, Inc</w:t>
      </w:r>
      <w:r w:rsidRPr="002B283E">
        <w:rPr>
          <w:rFonts w:cs="Times New Roman"/>
          <w:szCs w:val="24"/>
        </w:rPr>
        <w:t xml:space="preserve">., 601 F.Supp. 1140 (D. Ariz. 1984), </w:t>
      </w:r>
      <w:r w:rsidRPr="002B283E">
        <w:rPr>
          <w:rFonts w:cs="Times New Roman"/>
          <w:i/>
          <w:iCs/>
          <w:szCs w:val="24"/>
        </w:rPr>
        <w:t>aff’d in part, modified in part &amp; rev’d in part,</w:t>
      </w:r>
      <w:r w:rsidRPr="002B283E">
        <w:rPr>
          <w:rFonts w:cs="Times New Roman"/>
          <w:szCs w:val="24"/>
        </w:rPr>
        <w:t xml:space="preserve"> 793 F.2d 1034 (9th Cir. 1986). Elements required for a false advertising claim, cognizable under 15 U.S.C. § 1125(a)(1)(B), are set forth in </w:t>
      </w:r>
      <w:r w:rsidRPr="002B283E">
        <w:rPr>
          <w:rFonts w:cs="Times New Roman"/>
          <w:i/>
          <w:iCs/>
          <w:szCs w:val="24"/>
        </w:rPr>
        <w:t>Rice v. Fox Broadcasting Co</w:t>
      </w:r>
      <w:r w:rsidRPr="002B283E">
        <w:rPr>
          <w:rFonts w:cs="Times New Roman"/>
          <w:szCs w:val="24"/>
        </w:rPr>
        <w:t>., 330 F.3d 1170, 1180 (9th Cir. 2003)</w:t>
      </w:r>
      <w:r w:rsidR="003D4A5D">
        <w:rPr>
          <w:rFonts w:cs="Times New Roman"/>
          <w:szCs w:val="24"/>
        </w:rPr>
        <w:t>,</w:t>
      </w:r>
      <w:r w:rsidR="00CE6E72" w:rsidRPr="00CE6E72">
        <w:t xml:space="preserve"> </w:t>
      </w:r>
      <w:r w:rsidR="00CE6E72" w:rsidRPr="00CE6E72">
        <w:rPr>
          <w:rFonts w:cs="Times New Roman"/>
          <w:i/>
          <w:iCs/>
          <w:szCs w:val="24"/>
        </w:rPr>
        <w:t>overruled in part by Skidmore as Tr. for Randy Craig Wolfe Tr. v. Led Zeppelin</w:t>
      </w:r>
      <w:r w:rsidR="00CE6E72" w:rsidRPr="00CE6E72">
        <w:rPr>
          <w:rFonts w:cs="Times New Roman"/>
          <w:szCs w:val="24"/>
        </w:rPr>
        <w:t>, 952 F.3d 1051 (9th Cir. 2020)</w:t>
      </w:r>
      <w:r w:rsidRPr="002B283E">
        <w:rPr>
          <w:rFonts w:cs="Times New Roman"/>
          <w:szCs w:val="24"/>
        </w:rPr>
        <w:t xml:space="preserve">. </w:t>
      </w:r>
    </w:p>
    <w:p w14:paraId="1A2B67E3" w14:textId="77777777" w:rsidR="005861BA" w:rsidRPr="002B283E" w:rsidRDefault="005861BA" w:rsidP="002B283E">
      <w:pPr>
        <w:rPr>
          <w:rFonts w:cs="Times New Roman"/>
          <w:szCs w:val="24"/>
        </w:rPr>
      </w:pPr>
    </w:p>
    <w:p w14:paraId="0E3D257E" w14:textId="59E3B80F" w:rsidR="005861BA" w:rsidRPr="002B283E" w:rsidRDefault="005861BA" w:rsidP="002B283E">
      <w:pPr>
        <w:rPr>
          <w:rFonts w:cs="Times New Roman"/>
          <w:szCs w:val="24"/>
        </w:rPr>
      </w:pPr>
      <w:r w:rsidRPr="002B283E">
        <w:rPr>
          <w:rFonts w:cs="Times New Roman"/>
          <w:szCs w:val="24"/>
        </w:rPr>
        <w:tab/>
        <w:t xml:space="preserve">For false endorsement claims under § 1125(a) based on the use of a celebrity’s likeness or persona, </w:t>
      </w:r>
      <w:r w:rsidRPr="003D4A5D">
        <w:rPr>
          <w:rFonts w:cs="Times New Roman"/>
          <w:szCs w:val="24"/>
        </w:rPr>
        <w:t>see</w:t>
      </w:r>
      <w:r w:rsidRPr="002B283E">
        <w:rPr>
          <w:rFonts w:cs="Times New Roman"/>
          <w:i/>
          <w:iCs/>
          <w:szCs w:val="24"/>
        </w:rPr>
        <w:t xml:space="preserve"> Fifty-Six Hope Rd</w:t>
      </w:r>
      <w:r w:rsidR="00CE6E72">
        <w:rPr>
          <w:rFonts w:cs="Times New Roman"/>
          <w:i/>
          <w:iCs/>
          <w:szCs w:val="24"/>
        </w:rPr>
        <w:t>.</w:t>
      </w:r>
      <w:r w:rsidRPr="002B283E">
        <w:rPr>
          <w:rFonts w:cs="Times New Roman"/>
          <w:i/>
          <w:iCs/>
          <w:szCs w:val="24"/>
        </w:rPr>
        <w:t xml:space="preserve"> Music, Ltd. v. A.V.E.L.A., Inc.</w:t>
      </w:r>
      <w:r w:rsidRPr="002B283E">
        <w:rPr>
          <w:rFonts w:cs="Times New Roman"/>
          <w:szCs w:val="24"/>
        </w:rPr>
        <w:t xml:space="preserve">, 778 F.3d 1059, 1067-73 (9th Cir. 2015) (describing false endorsement claim and listing eight factors relevant to </w:t>
      </w:r>
      <w:r w:rsidR="003D4A5D">
        <w:rPr>
          <w:rFonts w:cs="Times New Roman"/>
          <w:szCs w:val="24"/>
        </w:rPr>
        <w:t xml:space="preserve">the </w:t>
      </w:r>
      <w:r w:rsidRPr="002B283E">
        <w:rPr>
          <w:rFonts w:cs="Times New Roman"/>
          <w:szCs w:val="24"/>
        </w:rPr>
        <w:t xml:space="preserve">determination of likelihood of confusion as to sponsorship or approval and adding that when “plaintiff is not the celebrity himself, an additional factor becomes relevant: the strength of association between the mark and the plaintiff”). </w:t>
      </w:r>
    </w:p>
    <w:p w14:paraId="5AD404D3" w14:textId="77777777" w:rsidR="005861BA" w:rsidRPr="002B283E" w:rsidRDefault="005861BA" w:rsidP="002B283E">
      <w:pPr>
        <w:rPr>
          <w:rFonts w:cs="Times New Roman"/>
          <w:szCs w:val="24"/>
          <w:u w:val="single"/>
        </w:rPr>
      </w:pPr>
    </w:p>
    <w:p w14:paraId="12C9F962" w14:textId="16B32DA0" w:rsidR="005861BA" w:rsidRPr="002B283E" w:rsidRDefault="005861BA" w:rsidP="002B283E">
      <w:pPr>
        <w:ind w:firstLine="720"/>
        <w:rPr>
          <w:rFonts w:cs="Times New Roman"/>
          <w:szCs w:val="24"/>
        </w:rPr>
      </w:pPr>
      <w:r w:rsidRPr="002B283E">
        <w:rPr>
          <w:rFonts w:cs="Times New Roman"/>
          <w:szCs w:val="24"/>
        </w:rPr>
        <w:t xml:space="preserve">For a “false or misleading” description or representation of fact about “goods or services” in “commercial advertising or promotion,” </w:t>
      </w:r>
      <w:r w:rsidR="00CE6E72">
        <w:rPr>
          <w:rFonts w:cs="Times New Roman"/>
          <w:szCs w:val="24"/>
        </w:rPr>
        <w:t xml:space="preserve">under </w:t>
      </w:r>
      <w:r w:rsidRPr="002B283E">
        <w:rPr>
          <w:rFonts w:cs="Times New Roman"/>
          <w:szCs w:val="24"/>
        </w:rPr>
        <w:t xml:space="preserve">15 U.S.C. § 1125(a) “[c]omparative assertions about effectiveness, riskiness, and security are the kinds of generalized statements of product superiority that [the Ninth Circuit has] routinely found to be nonactionable.” </w:t>
      </w:r>
      <w:r w:rsidRPr="002B283E">
        <w:rPr>
          <w:rFonts w:cs="Times New Roman"/>
          <w:i/>
          <w:iCs/>
          <w:szCs w:val="24"/>
        </w:rPr>
        <w:t>Oracle Int’l Corp. v. Rimini St., Inc.</w:t>
      </w:r>
      <w:r w:rsidRPr="002B283E">
        <w:rPr>
          <w:rFonts w:cs="Times New Roman"/>
          <w:szCs w:val="24"/>
        </w:rPr>
        <w:t>, 123 F.4th 986, 1001 (9th Cir. 2024) (holding that a company’s statements that its services were more effective than its competitor’s services amounted to mere “puffery,” and were not actionable factual statements under the Lanham Act’s false advertising provision, as “[w]ithout an objective measure of the difference between” the services, any statement about their comparative effectiveness “was necessarily tinged with subjectivity”).</w:t>
      </w:r>
    </w:p>
    <w:p w14:paraId="6970D933" w14:textId="77777777" w:rsidR="005861BA" w:rsidRPr="002B283E" w:rsidRDefault="005861BA" w:rsidP="002B283E">
      <w:pPr>
        <w:rPr>
          <w:rFonts w:cs="Times New Roman"/>
          <w:szCs w:val="24"/>
        </w:rPr>
      </w:pPr>
    </w:p>
    <w:p w14:paraId="29496700" w14:textId="77777777" w:rsidR="005861BA" w:rsidRPr="002B283E" w:rsidRDefault="005861BA" w:rsidP="002B283E">
      <w:pPr>
        <w:rPr>
          <w:rFonts w:cs="Times New Roman"/>
          <w:szCs w:val="24"/>
        </w:rPr>
      </w:pPr>
      <w:r w:rsidRPr="002B283E">
        <w:rPr>
          <w:rFonts w:cs="Times New Roman"/>
          <w:szCs w:val="24"/>
        </w:rPr>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w:t>
      </w:r>
      <w:r w:rsidRPr="002B283E">
        <w:rPr>
          <w:rFonts w:cs="Times New Roman"/>
          <w:szCs w:val="24"/>
        </w:rPr>
        <w:lastRenderedPageBreak/>
        <w:t xml:space="preserve">theory of likely confusion that may be alleged by itself or in addition to forward confusion. </w:t>
      </w:r>
      <w:r w:rsidRPr="002B283E">
        <w:rPr>
          <w:rFonts w:cs="Times New Roman"/>
          <w:i/>
          <w:iCs/>
          <w:szCs w:val="24"/>
        </w:rPr>
        <w:t>Marketquest Grp., Inc. v. BIC Corp</w:t>
      </w:r>
      <w:r w:rsidRPr="002B283E">
        <w:rPr>
          <w:rFonts w:cs="Times New Roman"/>
          <w:szCs w:val="24"/>
        </w:rPr>
        <w:t>., 862 F.3d 927, 932, 937 (9th Cir. 2017).</w:t>
      </w:r>
    </w:p>
    <w:p w14:paraId="00012CF1" w14:textId="77777777" w:rsidR="005861BA" w:rsidRPr="002B283E" w:rsidRDefault="005861BA" w:rsidP="002B283E">
      <w:pPr>
        <w:rPr>
          <w:rFonts w:cs="Times New Roman"/>
          <w:szCs w:val="24"/>
        </w:rPr>
      </w:pPr>
    </w:p>
    <w:p w14:paraId="4825C708" w14:textId="77777777" w:rsidR="005861BA" w:rsidRPr="002B283E" w:rsidRDefault="005861BA"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C51618F" w14:textId="77777777" w:rsidR="005861BA" w:rsidRPr="002B283E" w:rsidRDefault="005861BA" w:rsidP="002B283E">
      <w:pPr>
        <w:rPr>
          <w:rFonts w:cs="Times New Roman"/>
          <w:szCs w:val="24"/>
        </w:rPr>
      </w:pPr>
    </w:p>
    <w:p w14:paraId="7059556C" w14:textId="77777777" w:rsidR="00474D84" w:rsidRPr="002B283E" w:rsidRDefault="005861BA" w:rsidP="002B283E">
      <w:pPr>
        <w:jc w:val="right"/>
        <w:rPr>
          <w:rFonts w:cs="Times New Roman"/>
          <w:i/>
          <w:iCs/>
          <w:szCs w:val="24"/>
        </w:rPr>
      </w:pPr>
      <w:r w:rsidRPr="002B283E">
        <w:rPr>
          <w:rFonts w:cs="Times New Roman"/>
          <w:i/>
          <w:iCs/>
          <w:szCs w:val="24"/>
        </w:rPr>
        <w:t>Revised March 2025</w:t>
      </w:r>
    </w:p>
    <w:p w14:paraId="5E516D89" w14:textId="77777777" w:rsidR="00474D84" w:rsidRPr="002B283E" w:rsidRDefault="00474D84" w:rsidP="002B283E">
      <w:pPr>
        <w:rPr>
          <w:rFonts w:cs="Times New Roman"/>
          <w:i/>
          <w:iCs/>
          <w:szCs w:val="24"/>
        </w:rPr>
      </w:pPr>
      <w:r w:rsidRPr="002B283E">
        <w:rPr>
          <w:rFonts w:cs="Times New Roman"/>
          <w:i/>
          <w:iCs/>
          <w:szCs w:val="24"/>
        </w:rPr>
        <w:br w:type="page"/>
      </w:r>
    </w:p>
    <w:p w14:paraId="5A8CCD85" w14:textId="2C087B36" w:rsidR="006A4CD7" w:rsidRPr="002B283E" w:rsidRDefault="006A4CD7" w:rsidP="002B283E">
      <w:pPr>
        <w:pStyle w:val="Heading2"/>
      </w:pPr>
      <w:bookmarkStart w:id="337" w:name="_Toc221525272"/>
      <w:r w:rsidRPr="002B283E">
        <w:lastRenderedPageBreak/>
        <w:t xml:space="preserve">15.6 </w:t>
      </w:r>
      <w:r w:rsidR="002D3E69" w:rsidRPr="002B283E">
        <w:t>Infringement—Elements and Burden of Proof—Trademark</w:t>
      </w:r>
      <w:r w:rsidR="007A6519" w:rsidRPr="002B283E">
        <w:t xml:space="preserve"> </w:t>
      </w:r>
      <w:r w:rsidR="009F70BA" w:rsidRPr="002B283E">
        <w:br/>
      </w:r>
      <w:r w:rsidRPr="002B283E">
        <w:t>(15 U.S.C. § 1114(1))</w:t>
      </w:r>
      <w:bookmarkEnd w:id="337"/>
    </w:p>
    <w:p w14:paraId="66B54FC4" w14:textId="77777777" w:rsidR="006964C1" w:rsidRPr="002B283E" w:rsidRDefault="006964C1" w:rsidP="002B283E">
      <w:pPr>
        <w:rPr>
          <w:rFonts w:cs="Times New Roman"/>
          <w:szCs w:val="24"/>
        </w:rPr>
      </w:pPr>
    </w:p>
    <w:p w14:paraId="3D8442C3" w14:textId="6318E846" w:rsidR="009765DC" w:rsidRPr="002B283E" w:rsidRDefault="006A4CD7" w:rsidP="002B283E">
      <w:pPr>
        <w:rPr>
          <w:rFonts w:cs="Times New Roman"/>
          <w:szCs w:val="24"/>
        </w:rPr>
      </w:pPr>
      <w:r w:rsidRPr="002B283E">
        <w:rPr>
          <w:rFonts w:cs="Times New Roman"/>
          <w:szCs w:val="24"/>
        </w:rPr>
        <w:tab/>
      </w:r>
      <w:r w:rsidR="009765DC"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9765DC" w:rsidRPr="002B283E">
        <w:rPr>
          <w:rFonts w:cs="Times New Roman"/>
          <w:szCs w:val="24"/>
        </w:rPr>
        <w:t xml:space="preserve">’s claim for trademark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9765DC" w:rsidRPr="002B283E">
        <w:rPr>
          <w:rFonts w:cs="Times New Roman"/>
          <w:szCs w:val="24"/>
        </w:rPr>
        <w:t>has the burden of proving each of the following elements by a preponderance of the evidence:</w:t>
      </w:r>
    </w:p>
    <w:p w14:paraId="16020E68" w14:textId="77777777" w:rsidR="009765DC" w:rsidRPr="002B283E" w:rsidRDefault="009765DC" w:rsidP="002B283E">
      <w:pPr>
        <w:rPr>
          <w:rFonts w:cs="Times New Roman"/>
          <w:szCs w:val="24"/>
        </w:rPr>
      </w:pPr>
    </w:p>
    <w:p w14:paraId="67EF5DE8" w14:textId="77777777" w:rsidR="009765DC" w:rsidRPr="002B283E" w:rsidRDefault="009765DC" w:rsidP="002B283E">
      <w:pPr>
        <w:ind w:left="1440" w:hanging="720"/>
        <w:rPr>
          <w:rFonts w:cs="Times New Roman"/>
          <w:szCs w:val="24"/>
        </w:rPr>
      </w:pPr>
      <w:r w:rsidRPr="002B283E">
        <w:rPr>
          <w:rFonts w:cs="Times New Roman"/>
          <w:szCs w:val="24"/>
        </w:rPr>
        <w:t>First, [</w:t>
      </w:r>
      <w:r w:rsidRPr="002B283E">
        <w:rPr>
          <w:rFonts w:cs="Times New Roman"/>
          <w:i/>
          <w:iCs/>
          <w:szCs w:val="24"/>
          <w:u w:val="single"/>
        </w:rPr>
        <w:t>describe the plaintiff’s symbol or term</w:t>
      </w:r>
      <w:r w:rsidRPr="002B283E">
        <w:rPr>
          <w:rFonts w:cs="Times New Roman"/>
          <w:szCs w:val="24"/>
        </w:rPr>
        <w:t>] is a valid, protectable trademark;</w:t>
      </w:r>
    </w:p>
    <w:p w14:paraId="64F27AF9" w14:textId="77777777" w:rsidR="009765DC" w:rsidRPr="002B283E" w:rsidRDefault="009765DC" w:rsidP="002B283E">
      <w:pPr>
        <w:ind w:left="1440" w:hanging="720"/>
        <w:rPr>
          <w:rFonts w:cs="Times New Roman"/>
          <w:szCs w:val="24"/>
        </w:rPr>
      </w:pPr>
    </w:p>
    <w:p w14:paraId="45649FAA" w14:textId="4D93B6F2" w:rsidR="009765DC" w:rsidRPr="002B283E" w:rsidRDefault="009765DC" w:rsidP="008A04C2">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2B283E">
        <w:rPr>
          <w:rFonts w:cs="Times New Roman"/>
          <w:i/>
          <w:iCs/>
          <w:szCs w:val="24"/>
          <w:u w:val="single"/>
        </w:rPr>
        <w:t>describe the plaintiff’s symbol or term</w:t>
      </w:r>
      <w:r w:rsidRPr="002B283E">
        <w:rPr>
          <w:rFonts w:cs="Times New Roman"/>
          <w:szCs w:val="24"/>
        </w:rPr>
        <w:t>] as a trademark;</w:t>
      </w:r>
    </w:p>
    <w:p w14:paraId="404E043D" w14:textId="77777777" w:rsidR="009765DC" w:rsidRPr="002B283E" w:rsidRDefault="009765DC" w:rsidP="002B283E">
      <w:pPr>
        <w:ind w:left="1440" w:hanging="720"/>
        <w:rPr>
          <w:rFonts w:cs="Times New Roman"/>
          <w:szCs w:val="24"/>
        </w:rPr>
      </w:pPr>
    </w:p>
    <w:p w14:paraId="0C057CF1" w14:textId="36DE42DF" w:rsidR="009765DC" w:rsidRPr="002B283E" w:rsidRDefault="009765DC" w:rsidP="002B283E">
      <w:pPr>
        <w:ind w:firstLine="720"/>
        <w:rPr>
          <w:rFonts w:cs="Times New Roman"/>
          <w:szCs w:val="24"/>
        </w:rPr>
      </w:pPr>
      <w:r w:rsidRPr="002B283E">
        <w:rPr>
          <w:rFonts w:cs="Times New Roman"/>
          <w:szCs w:val="24"/>
        </w:rPr>
        <w:t xml:space="preserve">Third,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 xml:space="preserve">describe the plaintiff’s symbol or term </w:t>
      </w:r>
      <w:r w:rsidRPr="002B283E">
        <w:rPr>
          <w:rFonts w:cs="Times New Roman"/>
          <w:szCs w:val="24"/>
        </w:rPr>
        <w:t>]] in interstate commerce; and</w:t>
      </w:r>
    </w:p>
    <w:p w14:paraId="4996E8CA" w14:textId="77777777" w:rsidR="009765DC" w:rsidRPr="002B283E" w:rsidRDefault="009765DC" w:rsidP="002B283E">
      <w:pPr>
        <w:ind w:left="1440" w:hanging="720"/>
        <w:rPr>
          <w:rFonts w:cs="Times New Roman"/>
          <w:szCs w:val="24"/>
        </w:rPr>
      </w:pPr>
    </w:p>
    <w:p w14:paraId="3D6D72E9" w14:textId="428F4006" w:rsidR="009765DC" w:rsidRPr="002B283E" w:rsidRDefault="009765DC" w:rsidP="002B283E">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describe the plaintiff’s symbol or term</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in a manner that is likely to cause confusion among ordinary consumers as to the source, sponsorship, affiliation, or approval of the goods. </w:t>
      </w:r>
    </w:p>
    <w:p w14:paraId="2ADE3335" w14:textId="77777777" w:rsidR="009765DC" w:rsidRPr="002B283E" w:rsidRDefault="009765DC" w:rsidP="002B283E">
      <w:pPr>
        <w:rPr>
          <w:rFonts w:cs="Times New Roman"/>
          <w:szCs w:val="24"/>
        </w:rPr>
      </w:pPr>
    </w:p>
    <w:p w14:paraId="295F3493" w14:textId="3A934A63" w:rsidR="009765DC" w:rsidRPr="002B283E" w:rsidRDefault="009765DC"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4470A758" w14:textId="77777777" w:rsidR="009765DC" w:rsidRPr="002B283E" w:rsidRDefault="009765DC" w:rsidP="002B283E">
      <w:pPr>
        <w:rPr>
          <w:rFonts w:cs="Times New Roman"/>
          <w:szCs w:val="24"/>
        </w:rPr>
      </w:pPr>
    </w:p>
    <w:p w14:paraId="30D0C0CC" w14:textId="77777777" w:rsidR="009765DC" w:rsidRPr="002B283E" w:rsidRDefault="009765DC" w:rsidP="002B283E">
      <w:pPr>
        <w:jc w:val="center"/>
        <w:rPr>
          <w:rFonts w:cs="Times New Roman"/>
          <w:b/>
          <w:bCs/>
          <w:szCs w:val="24"/>
        </w:rPr>
      </w:pPr>
      <w:r w:rsidRPr="002B283E">
        <w:rPr>
          <w:rFonts w:cs="Times New Roman"/>
          <w:b/>
          <w:bCs/>
          <w:szCs w:val="24"/>
        </w:rPr>
        <w:t>Comment</w:t>
      </w:r>
    </w:p>
    <w:p w14:paraId="5381262E" w14:textId="77777777" w:rsidR="009765DC" w:rsidRPr="002B283E" w:rsidRDefault="009765DC" w:rsidP="002B283E">
      <w:pPr>
        <w:rPr>
          <w:rFonts w:cs="Times New Roman"/>
          <w:szCs w:val="24"/>
        </w:rPr>
      </w:pPr>
    </w:p>
    <w:p w14:paraId="1CA284E9" w14:textId="73237864" w:rsidR="009765DC" w:rsidRPr="002B283E" w:rsidRDefault="009765DC" w:rsidP="002B283E">
      <w:pPr>
        <w:rPr>
          <w:rFonts w:cs="Times New Roman"/>
          <w:szCs w:val="24"/>
        </w:rPr>
      </w:pPr>
      <w:r w:rsidRPr="002B283E">
        <w:rPr>
          <w:rFonts w:cs="Times New Roman"/>
          <w:szCs w:val="24"/>
        </w:rPr>
        <w:tab/>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This instruction sets out the general standard for trademark infringement liability under the Lanham Act. Modify this instruction as necessary when other marks (</w:t>
      </w:r>
      <w:r w:rsidRPr="006E52B7">
        <w:rPr>
          <w:rFonts w:cs="Times New Roman"/>
          <w:i/>
          <w:iCs/>
          <w:szCs w:val="24"/>
        </w:rPr>
        <w:t>e.g.</w:t>
      </w:r>
      <w:r w:rsidRPr="002B283E">
        <w:rPr>
          <w:rFonts w:cs="Times New Roman"/>
          <w:szCs w:val="24"/>
        </w:rPr>
        <w:t xml:space="preserve">, service mark, collective trade or service marks, or certification trade or service marks), are at issue by inserting such terms in lieu of the word “trademark” in this instruction and “services” in lieu of “goods.” When the defendant’s infringing action consists of using a mark similar, but not identical to the plaintiff’s, particular care should be exercised in the third numbered element of this instruction. </w:t>
      </w:r>
      <w:r w:rsidRPr="002B283E">
        <w:rPr>
          <w:rFonts w:cs="Times New Roman"/>
          <w:i/>
          <w:iCs/>
          <w:szCs w:val="24"/>
        </w:rPr>
        <w:t>Gracie v. Gracie</w:t>
      </w:r>
      <w:r w:rsidRPr="002B283E">
        <w:rPr>
          <w:rFonts w:cs="Times New Roman"/>
          <w:szCs w:val="24"/>
        </w:rPr>
        <w:t xml:space="preserve">, 217 F.3d 1060, 1066-67 (9th Cir. 2000) (noting that, when instructing jury to consider if defendant “used” plaintiff’s mark, trial court should make it clear jury can consider whether the marks were similar). </w:t>
      </w:r>
    </w:p>
    <w:p w14:paraId="21D19C17" w14:textId="77777777" w:rsidR="009765DC" w:rsidRPr="002B283E" w:rsidRDefault="009765DC" w:rsidP="002B283E">
      <w:pPr>
        <w:rPr>
          <w:rFonts w:cs="Times New Roman"/>
          <w:szCs w:val="24"/>
        </w:rPr>
      </w:pPr>
    </w:p>
    <w:p w14:paraId="015DCFBD" w14:textId="72EA0B18" w:rsidR="009765DC" w:rsidRPr="002B283E" w:rsidRDefault="009765DC" w:rsidP="002B283E">
      <w:pPr>
        <w:ind w:firstLine="720"/>
        <w:rPr>
          <w:rFonts w:cs="Times New Roman"/>
          <w:szCs w:val="24"/>
        </w:rPr>
      </w:pPr>
      <w:r w:rsidRPr="002B283E">
        <w:rPr>
          <w:rFonts w:cs="Times New Roman"/>
          <w:szCs w:val="24"/>
        </w:rPr>
        <w:t xml:space="preserve">To prove trademark infringement, a trademark holder must show that a defendant’s use of its trademark is likely to cause confusion, to cause mistake, or to deceive. </w:t>
      </w:r>
      <w:r w:rsidRPr="002B283E">
        <w:rPr>
          <w:rFonts w:cs="Times New Roman"/>
          <w:i/>
          <w:iCs/>
          <w:szCs w:val="24"/>
        </w:rPr>
        <w:t>See Adobe Sys. Inc. v. Christenson</w:t>
      </w:r>
      <w:r w:rsidRPr="002B283E">
        <w:rPr>
          <w:rFonts w:cs="Times New Roman"/>
          <w:szCs w:val="24"/>
        </w:rPr>
        <w:t>, 809 F.3d 1071, 1081 (9th Cir. 2015);</w:t>
      </w:r>
      <w:r w:rsidRPr="002B283E">
        <w:rPr>
          <w:rFonts w:cs="Times New Roman"/>
          <w:i/>
          <w:iCs/>
          <w:szCs w:val="24"/>
        </w:rPr>
        <w:t xml:space="preserve"> see also Arcona, Inc. v. Farmacy Beauty, LLC</w:t>
      </w:r>
      <w:r w:rsidRPr="002B283E">
        <w:rPr>
          <w:rFonts w:cs="Times New Roman"/>
          <w:szCs w:val="24"/>
        </w:rPr>
        <w:t xml:space="preserve">, 976 F.3d 1074, 1079 (9th Cir. 2020) (holding that “a counterfeit claim requires a showing of likelihood of confusion under Section 1114”). The second bracketed phrase in the third and fourth numbered elements of this instruction may be a sufficient specification in most cases involving defendant’s use of mark similar, rather than identical, to the plaintiff’s. In cases involving confusion “on the part of someone other than the purchaser” that occurs after the point of sale, the elements may be modified to reference members of the relevant public beyond the </w:t>
      </w:r>
      <w:r w:rsidRPr="002B283E">
        <w:rPr>
          <w:rFonts w:cs="Times New Roman"/>
          <w:szCs w:val="24"/>
        </w:rPr>
        <w:lastRenderedPageBreak/>
        <w:t xml:space="preserve">direct purchaser. </w:t>
      </w:r>
      <w:r w:rsidRPr="002B283E">
        <w:rPr>
          <w:rFonts w:cs="Times New Roman"/>
          <w:i/>
          <w:iCs/>
          <w:szCs w:val="24"/>
        </w:rPr>
        <w:t>See Abercrombie &amp; Fitch, Inc. v. Moose Creek, Inc</w:t>
      </w:r>
      <w:r w:rsidRPr="002B283E">
        <w:rPr>
          <w:rFonts w:cs="Times New Roman"/>
          <w:szCs w:val="24"/>
        </w:rPr>
        <w:t xml:space="preserve">., 486 F.3d 629, 635 (9th Cir. 2007). </w:t>
      </w:r>
    </w:p>
    <w:p w14:paraId="06F72DAD" w14:textId="77777777" w:rsidR="009765DC" w:rsidRPr="002B283E" w:rsidRDefault="009765DC" w:rsidP="002B283E">
      <w:pPr>
        <w:rPr>
          <w:rFonts w:cs="Times New Roman"/>
          <w:szCs w:val="24"/>
        </w:rPr>
      </w:pPr>
    </w:p>
    <w:p w14:paraId="539FF92D" w14:textId="77777777" w:rsidR="009765DC" w:rsidRPr="002B283E" w:rsidRDefault="009765DC" w:rsidP="002B283E">
      <w:pPr>
        <w:rPr>
          <w:rFonts w:cs="Times New Roman"/>
          <w:szCs w:val="24"/>
        </w:rPr>
      </w:pPr>
      <w:r w:rsidRPr="002B283E">
        <w:rPr>
          <w:rFonts w:cs="Times New Roman"/>
          <w:szCs w:val="24"/>
        </w:rPr>
        <w:tab/>
        <w:t xml:space="preserve">“The intent of the Congress in passing section 43(a) was to create a right of action for a competitor to stop . . . unfair competition in interstate commerce.” </w:t>
      </w:r>
      <w:r w:rsidRPr="002B283E">
        <w:rPr>
          <w:rFonts w:cs="Times New Roman"/>
          <w:i/>
          <w:iCs/>
          <w:szCs w:val="24"/>
        </w:rPr>
        <w:t>U-Haul Int'l, Inc. v. Jartran, Inc</w:t>
      </w:r>
      <w:r w:rsidRPr="002B283E">
        <w:rPr>
          <w:rFonts w:cs="Times New Roman"/>
          <w:szCs w:val="24"/>
        </w:rPr>
        <w:t>., 681 F.2d 1159, 1162 (9th Cir. 1982).</w:t>
      </w:r>
    </w:p>
    <w:p w14:paraId="3B270296" w14:textId="77777777" w:rsidR="009765DC" w:rsidRPr="002B283E" w:rsidRDefault="009765DC" w:rsidP="002B283E">
      <w:pPr>
        <w:ind w:firstLine="720"/>
        <w:rPr>
          <w:rFonts w:cs="Times New Roman"/>
          <w:szCs w:val="24"/>
        </w:rPr>
      </w:pPr>
    </w:p>
    <w:p w14:paraId="629AFE5F" w14:textId="4FF33E15" w:rsidR="009765DC" w:rsidRPr="002B283E" w:rsidRDefault="009765DC" w:rsidP="002B283E">
      <w:pPr>
        <w:ind w:firstLine="720"/>
        <w:rPr>
          <w:rFonts w:cs="Times New Roman"/>
          <w:szCs w:val="24"/>
        </w:rPr>
      </w:pPr>
      <w:r w:rsidRPr="002B283E">
        <w:rPr>
          <w:rFonts w:cs="Times New Roman"/>
          <w:szCs w:val="24"/>
        </w:rPr>
        <w:t xml:space="preserve">Consult the following instructions to explain the elements identified by this instruction: Instruction 15.8 (Infringement—Elements–Presumed Validity and Ownership– Registered Trademark); Instruction 15.13 (Infringement—Elements–Ownership–Generally); </w:t>
      </w:r>
      <w:r w:rsidR="003D4A5D">
        <w:rPr>
          <w:rFonts w:cs="Times New Roman"/>
          <w:szCs w:val="24"/>
        </w:rPr>
        <w:t xml:space="preserve">and </w:t>
      </w:r>
      <w:r w:rsidRPr="002B283E">
        <w:rPr>
          <w:rFonts w:cs="Times New Roman"/>
          <w:szCs w:val="24"/>
        </w:rPr>
        <w:t>Instruction 15.18 (Infringement—Likelihood of Confusion—Factors—</w:t>
      </w:r>
      <w:r w:rsidRPr="002B283E">
        <w:rPr>
          <w:rFonts w:cs="Times New Roman"/>
          <w:i/>
          <w:iCs/>
          <w:szCs w:val="24"/>
        </w:rPr>
        <w:t>Sleekcraft</w:t>
      </w:r>
      <w:r w:rsidRPr="002B283E">
        <w:rPr>
          <w:rFonts w:cs="Times New Roman"/>
          <w:szCs w:val="24"/>
        </w:rPr>
        <w:t xml:space="preserve"> Test). </w:t>
      </w:r>
    </w:p>
    <w:p w14:paraId="6F1D6018" w14:textId="77777777" w:rsidR="009765DC" w:rsidRPr="002B283E" w:rsidRDefault="009765DC" w:rsidP="002B283E">
      <w:pPr>
        <w:rPr>
          <w:rFonts w:cs="Times New Roman"/>
          <w:szCs w:val="24"/>
        </w:rPr>
      </w:pPr>
    </w:p>
    <w:p w14:paraId="54FC73E6" w14:textId="77777777" w:rsidR="009765DC" w:rsidRPr="002B283E" w:rsidRDefault="009765DC" w:rsidP="002B283E">
      <w:pPr>
        <w:rPr>
          <w:rFonts w:cs="Times New Roman"/>
          <w:szCs w:val="24"/>
        </w:rPr>
      </w:pPr>
      <w:r w:rsidRPr="002B283E">
        <w:rPr>
          <w:rFonts w:cs="Times New Roman"/>
          <w:szCs w:val="24"/>
        </w:rPr>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73F73011" w14:textId="77777777" w:rsidR="009765DC" w:rsidRPr="002B283E" w:rsidRDefault="009765DC" w:rsidP="002B283E">
      <w:pPr>
        <w:rPr>
          <w:rFonts w:cs="Times New Roman"/>
          <w:szCs w:val="24"/>
        </w:rPr>
      </w:pPr>
    </w:p>
    <w:p w14:paraId="6CFC037E" w14:textId="77777777" w:rsidR="009765DC" w:rsidRPr="002B283E" w:rsidRDefault="009765DC" w:rsidP="002B283E">
      <w:pPr>
        <w:rPr>
          <w:rFonts w:cs="Times New Roman"/>
          <w:szCs w:val="24"/>
        </w:rPr>
      </w:pPr>
      <w:r w:rsidRPr="002B283E">
        <w:rPr>
          <w:rFonts w:cs="Times New Roman"/>
          <w:szCs w:val="24"/>
        </w:rPr>
        <w:tab/>
        <w:t xml:space="preserve">Generally, the burden of proof in infringement rests with the plaintiff. </w:t>
      </w:r>
      <w:r w:rsidRPr="002B283E">
        <w:rPr>
          <w:rFonts w:cs="Times New Roman"/>
          <w:i/>
          <w:iCs/>
          <w:szCs w:val="24"/>
        </w:rPr>
        <w:t>Tie Tech, Inc. v. Kinedyne Corp.</w:t>
      </w:r>
      <w:r w:rsidRPr="002B283E">
        <w:rPr>
          <w:rFonts w:cs="Times New Roman"/>
          <w:szCs w:val="24"/>
        </w:rPr>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1B1EFAC7" w14:textId="77777777" w:rsidR="009765DC" w:rsidRPr="002B283E" w:rsidRDefault="009765DC" w:rsidP="002B283E">
      <w:pPr>
        <w:rPr>
          <w:rFonts w:cs="Times New Roman"/>
          <w:szCs w:val="24"/>
        </w:rPr>
      </w:pPr>
    </w:p>
    <w:p w14:paraId="0E875D77" w14:textId="17B88BDC" w:rsidR="009765DC" w:rsidRPr="002B283E" w:rsidRDefault="009765DC" w:rsidP="002B283E">
      <w:pPr>
        <w:rPr>
          <w:rFonts w:cs="Times New Roman"/>
          <w:szCs w:val="24"/>
        </w:rPr>
      </w:pPr>
      <w:r w:rsidRPr="002B283E">
        <w:rPr>
          <w:rFonts w:cs="Times New Roman"/>
          <w:szCs w:val="24"/>
        </w:rPr>
        <w:tab/>
        <w:t>Although 15 U.S.C. § 1114(1) provides protection only to registered marks and 15 U.S.C. § 1125(a)(1) protects against infringement of unregistered and registered marks, trade dress</w:t>
      </w:r>
      <w:r w:rsidR="00CE6E72">
        <w:rPr>
          <w:rFonts w:cs="Times New Roman"/>
          <w:szCs w:val="24"/>
        </w:rPr>
        <w:t>,</w:t>
      </w:r>
      <w:r w:rsidRPr="002B283E">
        <w:rPr>
          <w:rFonts w:cs="Times New Roman"/>
          <w:szCs w:val="24"/>
        </w:rPr>
        <w:t xml:space="preserve"> and false advertising, the Ninth Circuit has explained that “[d]espite these differences, the analysis [for infringement] under the two provisions is sometimes identical.” </w:t>
      </w:r>
      <w:r w:rsidRPr="002B283E">
        <w:rPr>
          <w:rFonts w:cs="Times New Roman"/>
          <w:i/>
          <w:iCs/>
          <w:szCs w:val="24"/>
        </w:rPr>
        <w:t>Brookfield Commc’ns, Inc., v. W. Coast Ent. Corp.</w:t>
      </w:r>
      <w:r w:rsidRPr="002B283E">
        <w:rPr>
          <w:rFonts w:cs="Times New Roman"/>
          <w:szCs w:val="24"/>
        </w:rPr>
        <w:t>, 174 F.3d 1036, 1046-47 n.8 (9th Cir. 1999) (noting that trademark infringement elements under either § 1114 or § 1125(a) involve plaintiff showing (1) that defendant used mark confusingly similar to (2) valid, protectable trademark (3) that was owned by plaintiff).</w:t>
      </w:r>
    </w:p>
    <w:p w14:paraId="7A196868" w14:textId="77777777" w:rsidR="009765DC" w:rsidRPr="002B283E" w:rsidRDefault="009765DC" w:rsidP="002B283E">
      <w:pPr>
        <w:rPr>
          <w:rFonts w:cs="Times New Roman"/>
          <w:szCs w:val="24"/>
        </w:rPr>
      </w:pPr>
    </w:p>
    <w:p w14:paraId="3BC7573E" w14:textId="77777777" w:rsidR="009765DC" w:rsidRPr="002B283E" w:rsidRDefault="009765DC"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96AA9EE" w14:textId="77777777" w:rsidR="009765DC" w:rsidRPr="002B283E" w:rsidRDefault="009765DC" w:rsidP="002B283E">
      <w:pPr>
        <w:ind w:firstLine="720"/>
        <w:rPr>
          <w:rFonts w:cs="Times New Roman"/>
          <w:szCs w:val="24"/>
        </w:rPr>
      </w:pPr>
    </w:p>
    <w:p w14:paraId="19BF1C44" w14:textId="3C72182D" w:rsidR="00BE3322" w:rsidRPr="002B283E" w:rsidRDefault="009765DC" w:rsidP="002B283E">
      <w:pPr>
        <w:jc w:val="right"/>
        <w:rPr>
          <w:rFonts w:cs="Times New Roman"/>
          <w:szCs w:val="24"/>
        </w:rPr>
      </w:pPr>
      <w:r w:rsidRPr="002B283E">
        <w:rPr>
          <w:rFonts w:cs="Times New Roman"/>
          <w:i/>
          <w:iCs/>
          <w:szCs w:val="24"/>
        </w:rPr>
        <w:t>Revised March 2025</w:t>
      </w:r>
    </w:p>
    <w:p w14:paraId="53AC2A8E" w14:textId="2141D4F5" w:rsidR="006A4CD7" w:rsidRPr="002B283E" w:rsidRDefault="006A4CD7" w:rsidP="00826E77">
      <w:pPr>
        <w:pStyle w:val="Heading2"/>
      </w:pPr>
      <w:r w:rsidRPr="002B283E">
        <w:br w:type="page"/>
      </w:r>
      <w:bookmarkStart w:id="338" w:name="_Toc221525273"/>
      <w:r w:rsidRPr="002B283E">
        <w:lastRenderedPageBreak/>
        <w:t xml:space="preserve">15.7 </w:t>
      </w:r>
      <w:r w:rsidR="002D3E69" w:rsidRPr="002B283E">
        <w:t>Infringement—Elements and Burden of Proof—Trade Dress</w:t>
      </w:r>
      <w:r w:rsidR="007A6519" w:rsidRPr="002B283E">
        <w:t xml:space="preserve"> </w:t>
      </w:r>
      <w:r w:rsidRPr="002B283E">
        <w:t>(15 U.S.C. § 1125(a)(1))</w:t>
      </w:r>
      <w:bookmarkEnd w:id="338"/>
      <w:r w:rsidRPr="002B283E">
        <w:t xml:space="preserve"> </w:t>
      </w:r>
    </w:p>
    <w:p w14:paraId="0EE958DD" w14:textId="77777777" w:rsidR="00046A0C" w:rsidRPr="002B283E" w:rsidRDefault="00046A0C" w:rsidP="002B283E">
      <w:pPr>
        <w:rPr>
          <w:rFonts w:cs="Times New Roman"/>
          <w:szCs w:val="24"/>
        </w:rPr>
      </w:pPr>
    </w:p>
    <w:p w14:paraId="646BAE91" w14:textId="41180298" w:rsidR="00091767" w:rsidRPr="002B283E" w:rsidRDefault="006A4CD7" w:rsidP="002B283E">
      <w:pPr>
        <w:rPr>
          <w:rFonts w:cs="Times New Roman"/>
          <w:szCs w:val="24"/>
        </w:rPr>
      </w:pPr>
      <w:r w:rsidRPr="002B283E">
        <w:rPr>
          <w:rFonts w:cs="Times New Roman"/>
          <w:b/>
          <w:bCs/>
          <w:szCs w:val="24"/>
        </w:rPr>
        <w:tab/>
      </w:r>
      <w:r w:rsidR="00091767"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091767" w:rsidRPr="002B283E">
        <w:rPr>
          <w:rFonts w:cs="Times New Roman"/>
          <w:szCs w:val="24"/>
        </w:rPr>
        <w:t xml:space="preserve">’s claim for trade dress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091767" w:rsidRPr="002B283E">
        <w:rPr>
          <w:rFonts w:cs="Times New Roman"/>
          <w:szCs w:val="24"/>
        </w:rPr>
        <w:t xml:space="preserve">has the burden of proving by a preponderance of the evidence each of the following elements: </w:t>
      </w:r>
    </w:p>
    <w:p w14:paraId="1214EE69" w14:textId="77777777" w:rsidR="00091767" w:rsidRPr="002B283E" w:rsidRDefault="00091767" w:rsidP="002B283E">
      <w:pPr>
        <w:rPr>
          <w:rFonts w:cs="Times New Roman"/>
          <w:szCs w:val="24"/>
        </w:rPr>
      </w:pPr>
    </w:p>
    <w:p w14:paraId="480ADDAD" w14:textId="77777777" w:rsidR="00091767" w:rsidRPr="002B283E" w:rsidRDefault="00091767" w:rsidP="002B283E">
      <w:pPr>
        <w:ind w:left="1440" w:hanging="720"/>
        <w:rPr>
          <w:rFonts w:cs="Times New Roman"/>
          <w:szCs w:val="24"/>
        </w:rPr>
      </w:pPr>
      <w:r w:rsidRPr="002B283E">
        <w:rPr>
          <w:rFonts w:cs="Times New Roman"/>
          <w:szCs w:val="24"/>
        </w:rPr>
        <w:t>First, [</w:t>
      </w:r>
      <w:r w:rsidRPr="003D4A5D">
        <w:rPr>
          <w:rFonts w:cs="Times New Roman"/>
          <w:i/>
          <w:iCs/>
          <w:szCs w:val="24"/>
          <w:u w:val="single"/>
        </w:rPr>
        <w:t>describe the plaintiff’s trade dress</w:t>
      </w:r>
      <w:r w:rsidRPr="002B283E">
        <w:rPr>
          <w:rFonts w:cs="Times New Roman"/>
          <w:szCs w:val="24"/>
        </w:rPr>
        <w:t xml:space="preserve">] is distinctive; </w:t>
      </w:r>
    </w:p>
    <w:p w14:paraId="63E72424" w14:textId="77777777" w:rsidR="00091767" w:rsidRPr="002B283E" w:rsidRDefault="00091767" w:rsidP="002B283E">
      <w:pPr>
        <w:ind w:left="1440" w:hanging="720"/>
        <w:rPr>
          <w:rFonts w:cs="Times New Roman"/>
          <w:szCs w:val="24"/>
        </w:rPr>
      </w:pPr>
    </w:p>
    <w:p w14:paraId="3562614E" w14:textId="51681CA4" w:rsidR="00091767" w:rsidRPr="002B283E" w:rsidRDefault="00091767" w:rsidP="003D4A5D">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3D4A5D">
        <w:rPr>
          <w:rFonts w:cs="Times New Roman"/>
          <w:i/>
          <w:iCs/>
          <w:szCs w:val="24"/>
          <w:u w:val="single"/>
        </w:rPr>
        <w:t xml:space="preserve">describe the </w:t>
      </w:r>
      <w:r w:rsidRPr="003D4A5D">
        <w:rPr>
          <w:rFonts w:cs="Times New Roman"/>
          <w:szCs w:val="24"/>
          <w:u w:val="single"/>
        </w:rPr>
        <w:t>plaintiff</w:t>
      </w:r>
      <w:r w:rsidR="003D4A5D" w:rsidRPr="003D4A5D">
        <w:rPr>
          <w:rFonts w:cs="Times New Roman"/>
          <w:szCs w:val="24"/>
          <w:u w:val="single"/>
        </w:rPr>
        <w:t xml:space="preserve"> [name]</w:t>
      </w:r>
      <w:r w:rsidRPr="003D4A5D">
        <w:rPr>
          <w:rFonts w:cs="Times New Roman"/>
          <w:i/>
          <w:iCs/>
          <w:szCs w:val="24"/>
          <w:u w:val="single"/>
        </w:rPr>
        <w:t>’s trade dress</w:t>
      </w:r>
      <w:r w:rsidRPr="002B283E">
        <w:rPr>
          <w:rFonts w:cs="Times New Roman"/>
          <w:szCs w:val="24"/>
        </w:rPr>
        <w:t xml:space="preserve">] as trade dress; </w:t>
      </w:r>
    </w:p>
    <w:p w14:paraId="1A3BBA37" w14:textId="77777777" w:rsidR="00091767" w:rsidRPr="002B283E" w:rsidRDefault="00091767" w:rsidP="002B283E">
      <w:pPr>
        <w:ind w:left="1440" w:hanging="720"/>
        <w:rPr>
          <w:rFonts w:cs="Times New Roman"/>
          <w:szCs w:val="24"/>
        </w:rPr>
      </w:pPr>
    </w:p>
    <w:p w14:paraId="00639166" w14:textId="77777777" w:rsidR="00091767" w:rsidRPr="002B283E" w:rsidRDefault="00091767" w:rsidP="002B283E">
      <w:pPr>
        <w:ind w:left="1440" w:hanging="720"/>
        <w:rPr>
          <w:rFonts w:cs="Times New Roman"/>
          <w:szCs w:val="24"/>
        </w:rPr>
      </w:pPr>
      <w:r w:rsidRPr="002B283E">
        <w:rPr>
          <w:rFonts w:cs="Times New Roman"/>
          <w:szCs w:val="24"/>
        </w:rPr>
        <w:t>Third, the [</w:t>
      </w:r>
      <w:r w:rsidRPr="003D4A5D">
        <w:rPr>
          <w:rFonts w:cs="Times New Roman"/>
          <w:i/>
          <w:iCs/>
          <w:szCs w:val="24"/>
          <w:u w:val="single"/>
        </w:rPr>
        <w:t>describe the plaintiff’s trade dress</w:t>
      </w:r>
      <w:r w:rsidRPr="002B283E">
        <w:rPr>
          <w:rFonts w:cs="Times New Roman"/>
          <w:szCs w:val="24"/>
        </w:rPr>
        <w:t>] is nonfunctional; and</w:t>
      </w:r>
    </w:p>
    <w:p w14:paraId="06CD9920" w14:textId="77777777" w:rsidR="00091767" w:rsidRPr="002B283E" w:rsidRDefault="00091767" w:rsidP="002B283E">
      <w:pPr>
        <w:ind w:left="1440" w:hanging="720"/>
        <w:rPr>
          <w:rFonts w:cs="Times New Roman"/>
          <w:szCs w:val="24"/>
        </w:rPr>
      </w:pPr>
    </w:p>
    <w:p w14:paraId="18781468" w14:textId="66131ED9" w:rsidR="00091767" w:rsidRPr="002B283E" w:rsidRDefault="00091767" w:rsidP="008A04C2">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3D4A5D">
        <w:rPr>
          <w:rFonts w:cs="Times New Roman"/>
          <w:i/>
          <w:iCs/>
          <w:szCs w:val="24"/>
          <w:u w:val="single"/>
        </w:rPr>
        <w:t>describe trade dress used by the defendant</w:t>
      </w:r>
      <w:r w:rsidRPr="002B283E">
        <w:rPr>
          <w:rFonts w:cs="Times New Roman"/>
          <w:szCs w:val="24"/>
        </w:rPr>
        <w:t>] [trade dress similar to [</w:t>
      </w:r>
      <w:r w:rsidRPr="003D4A5D">
        <w:rPr>
          <w:rFonts w:cs="Times New Roman"/>
          <w:i/>
          <w:iCs/>
          <w:szCs w:val="24"/>
          <w:u w:val="single"/>
        </w:rPr>
        <w:t>describe the plaintiff’s trade dress</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in a manner that is likely to cause confusion among ordinary consumers as to the source, sponsorship, affiliation, or approval of the [plaintiff</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’s] [defendant</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 xml:space="preserve">’s] goods. </w:t>
      </w:r>
    </w:p>
    <w:p w14:paraId="51B388FA" w14:textId="77777777" w:rsidR="00091767" w:rsidRPr="002B283E" w:rsidRDefault="00091767" w:rsidP="002B283E">
      <w:pPr>
        <w:rPr>
          <w:rFonts w:cs="Times New Roman"/>
          <w:szCs w:val="24"/>
        </w:rPr>
      </w:pPr>
    </w:p>
    <w:p w14:paraId="6F9ABA0B" w14:textId="1E90B212" w:rsidR="00091767" w:rsidRPr="002B283E" w:rsidRDefault="00091767"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1DE02AA4" w14:textId="77777777" w:rsidR="00091767" w:rsidRPr="002B283E" w:rsidRDefault="00091767" w:rsidP="002B283E">
      <w:pPr>
        <w:rPr>
          <w:rFonts w:cs="Times New Roman"/>
          <w:szCs w:val="24"/>
        </w:rPr>
      </w:pPr>
    </w:p>
    <w:p w14:paraId="3BD085C2" w14:textId="77777777" w:rsidR="00091767" w:rsidRPr="002B283E" w:rsidRDefault="00091767"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9A83573" w14:textId="77777777" w:rsidR="00091767" w:rsidRPr="002B283E" w:rsidRDefault="00091767" w:rsidP="002B283E">
      <w:pPr>
        <w:rPr>
          <w:rFonts w:cs="Times New Roman"/>
          <w:szCs w:val="24"/>
        </w:rPr>
      </w:pPr>
      <w:r w:rsidRPr="002B283E">
        <w:rPr>
          <w:rFonts w:cs="Times New Roman"/>
          <w:szCs w:val="24"/>
        </w:rPr>
        <w:tab/>
        <w:t>To provide the jury further guidance on the first element of this instruction (distinctiveness), use Instruction 15.9 (Infringement—Elements—Validity—Unregistered Marks), Instruction 15.10 (Infringement–Elements—Validity—Unregistered Marks—Distinctiveness) (</w:t>
      </w:r>
      <w:r w:rsidRPr="002B283E">
        <w:rPr>
          <w:rFonts w:cs="Times New Roman"/>
          <w:i/>
          <w:iCs/>
          <w:szCs w:val="24"/>
        </w:rPr>
        <w:t>see</w:t>
      </w:r>
      <w:r w:rsidRPr="002B283E">
        <w:rPr>
          <w:rFonts w:cs="Times New Roman"/>
          <w:szCs w:val="24"/>
        </w:rPr>
        <w:t xml:space="preserve"> the Comment to that instruction on Modifications for Trade Dress cases), and 15.11 (Infringement—Elements—Validity—Distinctiveness—Secondary Meaning). If the trade dress is registered, use Instruction 15.8 (Infringement—Elements—Presumed Validity and Ownership—Registered Trademark). For an instruction providing guidance on the third element of this instruction,</w:t>
      </w:r>
      <w:r w:rsidRPr="002B283E">
        <w:rPr>
          <w:rFonts w:cs="Times New Roman"/>
          <w:i/>
          <w:iCs/>
          <w:szCs w:val="24"/>
        </w:rPr>
        <w:t xml:space="preserve"> </w:t>
      </w:r>
      <w:r w:rsidRPr="003D4A5D">
        <w:rPr>
          <w:rFonts w:cs="Times New Roman"/>
          <w:szCs w:val="24"/>
        </w:rPr>
        <w:t xml:space="preserve">see </w:t>
      </w:r>
      <w:r w:rsidRPr="002B283E">
        <w:rPr>
          <w:rFonts w:cs="Times New Roman"/>
          <w:szCs w:val="24"/>
        </w:rPr>
        <w:t>Instruction 15.12 (Infringement—Elements—Validity—Trade Dress—Non–Functionality Requirement). For an instruction covering the fourth element of this instruction,</w:t>
      </w:r>
      <w:r w:rsidRPr="003D4A5D">
        <w:rPr>
          <w:rFonts w:cs="Times New Roman"/>
          <w:szCs w:val="24"/>
        </w:rPr>
        <w:t xml:space="preserve"> see</w:t>
      </w:r>
      <w:r w:rsidRPr="002B283E">
        <w:rPr>
          <w:rFonts w:cs="Times New Roman"/>
          <w:szCs w:val="24"/>
        </w:rPr>
        <w:t xml:space="preserve"> Instruction 15.18 (Infringement—Likelihood of Confusion—Factors—</w:t>
      </w:r>
      <w:r w:rsidRPr="002B283E">
        <w:rPr>
          <w:rFonts w:cs="Times New Roman"/>
          <w:i/>
          <w:iCs/>
          <w:szCs w:val="24"/>
        </w:rPr>
        <w:t>Sleekcraft</w:t>
      </w:r>
      <w:r w:rsidRPr="002B283E">
        <w:rPr>
          <w:rFonts w:cs="Times New Roman"/>
          <w:szCs w:val="24"/>
        </w:rPr>
        <w:t xml:space="preserve"> Test). </w:t>
      </w:r>
    </w:p>
    <w:p w14:paraId="55174BAD" w14:textId="77777777" w:rsidR="00091767" w:rsidRPr="002B283E" w:rsidRDefault="00091767" w:rsidP="002B283E">
      <w:pPr>
        <w:rPr>
          <w:rFonts w:cs="Times New Roman"/>
          <w:szCs w:val="24"/>
        </w:rPr>
      </w:pPr>
    </w:p>
    <w:p w14:paraId="79BF0FF3" w14:textId="2792372A" w:rsidR="00091767" w:rsidRPr="002B283E" w:rsidRDefault="00091767" w:rsidP="002B283E">
      <w:pPr>
        <w:rPr>
          <w:rFonts w:cs="Times New Roman"/>
          <w:szCs w:val="24"/>
        </w:rPr>
      </w:pPr>
      <w:r w:rsidRPr="002B283E">
        <w:rPr>
          <w:rFonts w:cs="Times New Roman"/>
          <w:i/>
          <w:iCs/>
          <w:szCs w:val="24"/>
        </w:rPr>
        <w:tab/>
        <w:t>See Mattel, Inc. v. Walking Mountain Prods.</w:t>
      </w:r>
      <w:r w:rsidRPr="002B283E">
        <w:rPr>
          <w:rFonts w:cs="Times New Roman"/>
          <w:szCs w:val="24"/>
        </w:rPr>
        <w:t>, 353 F.3d 792, 808 (9th Cir. 2003) (“Generally, to recover for trade dress infringement under [15 U.S.C.] § 1125, a plaintiff must show that ‘its trade dress is protectable and that defendant’s use of the same or similar trade dress is likely to confuse consumers.’</w:t>
      </w:r>
      <w:r w:rsidR="00EC11C4">
        <w:rPr>
          <w:rFonts w:cs="Times New Roman"/>
          <w:szCs w:val="24"/>
        </w:rPr>
        <w:t xml:space="preserve"> </w:t>
      </w:r>
      <w:r w:rsidRPr="002B283E">
        <w:rPr>
          <w:rFonts w:cs="Times New Roman"/>
          <w:szCs w:val="24"/>
        </w:rPr>
        <w:t xml:space="preserve">A trade dress is protectable if it is ‘nonfunctional and has acquired secondary meaning and if its imitation creates a likelihood of consumer confusion.’”) (citations omitted); </w:t>
      </w:r>
      <w:r w:rsidRPr="002B283E">
        <w:rPr>
          <w:rFonts w:cs="Times New Roman"/>
          <w:i/>
          <w:iCs/>
          <w:szCs w:val="24"/>
        </w:rPr>
        <w:t xml:space="preserve">Talking Rain Beverage Co. Inc. v. S. Beach Beverage Co., </w:t>
      </w:r>
      <w:r w:rsidRPr="002B283E">
        <w:rPr>
          <w:rFonts w:cs="Times New Roman"/>
          <w:szCs w:val="24"/>
        </w:rPr>
        <w:t>349 F.3d 601, 603 (9th Cir. 2003) (citing as elements of proof necessary to show infringement of bottle design: “(1) nonfunctionality, (2) distinctiveness and (3) likelihood of confusion”).</w:t>
      </w:r>
    </w:p>
    <w:p w14:paraId="31D3D0E5" w14:textId="77777777" w:rsidR="00091767" w:rsidRPr="002B283E" w:rsidRDefault="00091767" w:rsidP="002B283E">
      <w:pPr>
        <w:rPr>
          <w:rFonts w:cs="Times New Roman"/>
          <w:szCs w:val="24"/>
        </w:rPr>
      </w:pPr>
    </w:p>
    <w:p w14:paraId="26019F29" w14:textId="2F5B10BD" w:rsidR="00091767" w:rsidRPr="002B283E" w:rsidRDefault="00091767" w:rsidP="002B283E">
      <w:pPr>
        <w:rPr>
          <w:rFonts w:cs="Times New Roman"/>
          <w:szCs w:val="24"/>
        </w:rPr>
      </w:pPr>
      <w:r w:rsidRPr="002B283E">
        <w:rPr>
          <w:rFonts w:cs="Times New Roman"/>
          <w:szCs w:val="24"/>
        </w:rPr>
        <w:lastRenderedPageBreak/>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2743A3B0" w14:textId="77777777" w:rsidR="00091767" w:rsidRPr="002B283E" w:rsidRDefault="00091767" w:rsidP="002B283E">
      <w:pPr>
        <w:rPr>
          <w:rFonts w:cs="Times New Roman"/>
          <w:szCs w:val="24"/>
        </w:rPr>
      </w:pPr>
    </w:p>
    <w:p w14:paraId="68EB6ED4" w14:textId="77777777" w:rsidR="00091767" w:rsidRPr="002B283E" w:rsidRDefault="00091767" w:rsidP="002B283E">
      <w:pPr>
        <w:jc w:val="right"/>
        <w:rPr>
          <w:rFonts w:cs="Times New Roman"/>
          <w:i/>
          <w:iCs/>
          <w:szCs w:val="24"/>
        </w:rPr>
      </w:pPr>
      <w:r w:rsidRPr="002B283E">
        <w:rPr>
          <w:rFonts w:cs="Times New Roman"/>
          <w:i/>
          <w:iCs/>
          <w:szCs w:val="24"/>
        </w:rPr>
        <w:t>Revised March 2024</w:t>
      </w:r>
    </w:p>
    <w:p w14:paraId="403ADB9C" w14:textId="2B079754" w:rsidR="006A4CD7" w:rsidRPr="002B283E" w:rsidRDefault="006A4CD7" w:rsidP="002B283E">
      <w:pPr>
        <w:rPr>
          <w:rFonts w:cs="Times New Roman"/>
          <w:szCs w:val="24"/>
        </w:rPr>
      </w:pPr>
    </w:p>
    <w:p w14:paraId="1E269FA3" w14:textId="43297CA1" w:rsidR="00046A0C" w:rsidRPr="002B283E" w:rsidRDefault="006A4CD7" w:rsidP="00826E77">
      <w:pPr>
        <w:pStyle w:val="Heading2"/>
      </w:pPr>
      <w:r w:rsidRPr="002B283E">
        <w:br w:type="page"/>
      </w:r>
      <w:bookmarkStart w:id="339" w:name="_Toc221525274"/>
      <w:r w:rsidRPr="002B283E">
        <w:lastRenderedPageBreak/>
        <w:t xml:space="preserve">15.8 </w:t>
      </w:r>
      <w:r w:rsidR="002D3E69" w:rsidRPr="002B283E">
        <w:t xml:space="preserve">Infringement—Elements—Presumed Validity and Ownership—Registered Trademark </w:t>
      </w:r>
      <w:r w:rsidRPr="002B283E">
        <w:t>(15 U.S.C. §§ 1057, 1065 and 1115)</w:t>
      </w:r>
      <w:bookmarkEnd w:id="339"/>
    </w:p>
    <w:p w14:paraId="4AC6E7F6" w14:textId="77777777" w:rsidR="006A4CD7" w:rsidRPr="002B283E" w:rsidRDefault="006A4CD7" w:rsidP="002B283E">
      <w:pPr>
        <w:autoSpaceDE w:val="0"/>
        <w:autoSpaceDN w:val="0"/>
        <w:adjustRightInd w:val="0"/>
        <w:rPr>
          <w:rFonts w:cs="Times New Roman"/>
          <w:szCs w:val="24"/>
        </w:rPr>
      </w:pPr>
    </w:p>
    <w:p w14:paraId="41FF379A" w14:textId="7151018A" w:rsidR="003E4B35" w:rsidRPr="002B283E" w:rsidRDefault="006A4CD7" w:rsidP="002B283E">
      <w:pPr>
        <w:autoSpaceDE w:val="0"/>
        <w:autoSpaceDN w:val="0"/>
        <w:adjustRightInd w:val="0"/>
        <w:rPr>
          <w:rFonts w:cs="Times New Roman"/>
          <w:szCs w:val="24"/>
        </w:rPr>
      </w:pPr>
      <w:r w:rsidRPr="002B283E">
        <w:rPr>
          <w:rFonts w:cs="Times New Roman"/>
          <w:szCs w:val="24"/>
        </w:rPr>
        <w:tab/>
      </w:r>
      <w:r w:rsidR="003E4B35" w:rsidRPr="002B283E">
        <w:rPr>
          <w:rFonts w:cs="Times New Roman"/>
          <w:szCs w:val="24"/>
        </w:rPr>
        <w:t>I gave you instruction number [</w:t>
      </w:r>
      <w:r w:rsidR="003E4B35" w:rsidRPr="002B283E">
        <w:rPr>
          <w:rFonts w:cs="Times New Roman"/>
          <w:i/>
          <w:iCs/>
          <w:szCs w:val="24"/>
          <w:u w:val="single"/>
        </w:rPr>
        <w:t>insert number of instruction regarding Trademark Elements and Burden of Proof, e.g., 15.6</w:t>
      </w:r>
      <w:r w:rsidR="003E4B35" w:rsidRPr="002B283E">
        <w:rPr>
          <w:rFonts w:cs="Times New Roman"/>
          <w:szCs w:val="24"/>
        </w:rPr>
        <w:t xml:space="preserve">] that requires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3E4B35" w:rsidRPr="002B283E">
        <w:rPr>
          <w:rFonts w:cs="Times New Roman"/>
          <w:szCs w:val="24"/>
        </w:rPr>
        <w:t xml:space="preserve">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7704D4A0" w14:textId="77777777" w:rsidR="003E4B35" w:rsidRPr="002B283E" w:rsidRDefault="003E4B35" w:rsidP="002B283E">
      <w:pPr>
        <w:autoSpaceDE w:val="0"/>
        <w:autoSpaceDN w:val="0"/>
        <w:adjustRightInd w:val="0"/>
        <w:rPr>
          <w:rFonts w:cs="Times New Roman"/>
          <w:szCs w:val="24"/>
        </w:rPr>
      </w:pPr>
    </w:p>
    <w:p w14:paraId="0F5DFB7C" w14:textId="4BB4EDAA"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One way for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385732E" w14:textId="77777777" w:rsidR="003E4B35" w:rsidRPr="002B283E" w:rsidRDefault="003E4B35" w:rsidP="002B283E">
      <w:pPr>
        <w:autoSpaceDE w:val="0"/>
        <w:autoSpaceDN w:val="0"/>
        <w:adjustRightInd w:val="0"/>
        <w:rPr>
          <w:rFonts w:cs="Times New Roman"/>
          <w:szCs w:val="24"/>
        </w:rPr>
      </w:pPr>
    </w:p>
    <w:p w14:paraId="51A068D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11E3556E" w14:textId="77777777" w:rsidR="003E4B35" w:rsidRPr="002B283E" w:rsidRDefault="003E4B35" w:rsidP="002B283E">
      <w:pPr>
        <w:autoSpaceDE w:val="0"/>
        <w:autoSpaceDN w:val="0"/>
        <w:adjustRightInd w:val="0"/>
        <w:rPr>
          <w:rFonts w:cs="Times New Roman"/>
          <w:szCs w:val="24"/>
        </w:rPr>
      </w:pPr>
    </w:p>
    <w:p w14:paraId="59511575" w14:textId="5595D6CB" w:rsidR="003E4B35" w:rsidRPr="002B283E" w:rsidRDefault="003E4B35" w:rsidP="002B283E">
      <w:pPr>
        <w:autoSpaceDE w:val="0"/>
        <w:autoSpaceDN w:val="0"/>
        <w:adjustRightInd w:val="0"/>
        <w:rPr>
          <w:rFonts w:cs="Times New Roman"/>
          <w:szCs w:val="24"/>
        </w:rPr>
      </w:pPr>
      <w:r w:rsidRPr="002B283E">
        <w:rPr>
          <w:rFonts w:cs="Times New Roman"/>
          <w:szCs w:val="24"/>
        </w:rPr>
        <w:tab/>
        <w:t>The facts recited in this certificate are: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xml:space="preserve">]. However,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submitted evidence to dispute these recitals.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alleges that the certificate cannot be considered proof of [validity] [and] [ownership] of the trademark because [</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the trademark had been abandoned, the defendant’s fair use of the trademark, etc.</w:t>
      </w:r>
      <w:r w:rsidRPr="002B283E">
        <w:rPr>
          <w:rFonts w:cs="Times New Roman"/>
          <w:szCs w:val="24"/>
        </w:rPr>
        <w:t xml:space="preserve">]. </w:t>
      </w:r>
    </w:p>
    <w:p w14:paraId="16B101B3" w14:textId="77777777" w:rsidR="003E4B35" w:rsidRPr="002B283E" w:rsidRDefault="003E4B35" w:rsidP="002B283E">
      <w:pPr>
        <w:autoSpaceDE w:val="0"/>
        <w:autoSpaceDN w:val="0"/>
        <w:adjustRightInd w:val="0"/>
        <w:rPr>
          <w:rFonts w:cs="Times New Roman"/>
          <w:szCs w:val="24"/>
        </w:rPr>
      </w:pPr>
    </w:p>
    <w:p w14:paraId="1F9ADB7D" w14:textId="79C8247F"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[Unless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proves by a preponderance of the evidence that </w:t>
      </w:r>
      <w:r w:rsidRPr="003D4A5D">
        <w:rPr>
          <w:rFonts w:cs="Times New Roman"/>
          <w:szCs w:val="24"/>
        </w:rPr>
        <w:t>[</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that the trademark was abandoned</w:t>
      </w:r>
      <w:r w:rsidRPr="002B283E">
        <w:rPr>
          <w:rFonts w:cs="Times New Roman"/>
          <w:szCs w:val="24"/>
        </w:rPr>
        <w:t>], you must consider the trademark to be conclusively proved as [valid] [and] [owned by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However, if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shows that [</w:t>
      </w:r>
      <w:r w:rsidRPr="002B283E">
        <w:rPr>
          <w:rFonts w:cs="Times New Roman"/>
          <w:i/>
          <w:iCs/>
          <w:szCs w:val="24"/>
          <w:u w:val="single"/>
        </w:rPr>
        <w:t xml:space="preserve">insert </w:t>
      </w:r>
      <w:r w:rsidRPr="002B283E">
        <w:rPr>
          <w:rFonts w:cs="Times New Roman"/>
          <w:szCs w:val="24"/>
          <w:u w:val="single"/>
        </w:rPr>
        <w:t>§</w:t>
      </w:r>
      <w:r w:rsidRPr="002B283E">
        <w:rPr>
          <w:rFonts w:cs="Times New Roman"/>
          <w:i/>
          <w:iCs/>
          <w:szCs w:val="24"/>
          <w:u w:val="single"/>
        </w:rPr>
        <w:t xml:space="preserve"> 1115(b) defense[s] raised, e.g., the trademark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B283E">
        <w:rPr>
          <w:rFonts w:cs="Times New Roman"/>
          <w:i/>
          <w:iCs/>
          <w:szCs w:val="24"/>
          <w:u w:val="single"/>
        </w:rPr>
        <w:t>insert number of instruction regarding Trademark Elements and Burden of Proof, e.g., 15.6</w:t>
      </w:r>
      <w:r w:rsidRPr="002B283E">
        <w:rPr>
          <w:rFonts w:cs="Times New Roman"/>
          <w:szCs w:val="24"/>
        </w:rPr>
        <w:t>].</w:t>
      </w:r>
    </w:p>
    <w:p w14:paraId="12E30B60" w14:textId="77777777" w:rsidR="003E4B35" w:rsidRPr="002B283E" w:rsidRDefault="003E4B35" w:rsidP="002B283E">
      <w:pPr>
        <w:autoSpaceDE w:val="0"/>
        <w:autoSpaceDN w:val="0"/>
        <w:adjustRightInd w:val="0"/>
        <w:jc w:val="center"/>
        <w:rPr>
          <w:rFonts w:cs="Times New Roman"/>
          <w:b/>
          <w:bCs/>
          <w:szCs w:val="24"/>
        </w:rPr>
      </w:pPr>
    </w:p>
    <w:p w14:paraId="2B3827DC" w14:textId="77777777" w:rsidR="003E4B35" w:rsidRPr="002B283E" w:rsidRDefault="003E4B35"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245DEF6D" w14:textId="77777777" w:rsidR="003E4B35" w:rsidRPr="002B283E" w:rsidRDefault="003E4B35" w:rsidP="002B283E">
      <w:pPr>
        <w:autoSpaceDE w:val="0"/>
        <w:autoSpaceDN w:val="0"/>
        <w:adjustRightInd w:val="0"/>
        <w:jc w:val="center"/>
        <w:rPr>
          <w:rFonts w:cs="Times New Roman"/>
          <w:b/>
          <w:bCs/>
          <w:szCs w:val="24"/>
        </w:rPr>
      </w:pPr>
    </w:p>
    <w:p w14:paraId="42B6ED88" w14:textId="4D75E4C9"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when the plaintiff relies on registration of the mark to show two elements of the plaintiff’s burden: ownership and validity. </w:t>
      </w:r>
      <w:r w:rsidRPr="002B283E">
        <w:rPr>
          <w:rFonts w:cs="Times New Roman"/>
          <w:i/>
          <w:iCs/>
          <w:szCs w:val="24"/>
        </w:rPr>
        <w:t>See</w:t>
      </w:r>
      <w:r w:rsidRPr="002B283E">
        <w:rPr>
          <w:rFonts w:cs="Times New Roman"/>
          <w:szCs w:val="24"/>
        </w:rPr>
        <w:t xml:space="preserve"> Instruction 15.6 (Infringement</w:t>
      </w:r>
      <w:r w:rsidR="00EC11C4">
        <w:rPr>
          <w:rFonts w:cs="Times New Roman"/>
          <w:szCs w:val="24"/>
        </w:rPr>
        <w:t>—</w:t>
      </w:r>
      <w:r w:rsidRPr="002B283E">
        <w:rPr>
          <w:rFonts w:cs="Times New Roman"/>
          <w:szCs w:val="24"/>
        </w:rPr>
        <w:t>Elements and Burden of Proof</w:t>
      </w:r>
      <w:r w:rsidR="00EC11C4">
        <w:rPr>
          <w:rFonts w:cs="Times New Roman"/>
          <w:szCs w:val="24"/>
        </w:rPr>
        <w:t>—</w:t>
      </w:r>
      <w:r w:rsidRPr="002B283E">
        <w:rPr>
          <w:rFonts w:cs="Times New Roman"/>
          <w:szCs w:val="24"/>
        </w:rPr>
        <w:t xml:space="preserve">Trademark). This instruction is a model for any case involving an incontestable trademark in which the defendant introduces a defense or exception under 15 </w:t>
      </w:r>
      <w:r w:rsidRPr="002B283E">
        <w:rPr>
          <w:rFonts w:cs="Times New Roman"/>
          <w:szCs w:val="24"/>
        </w:rPr>
        <w:lastRenderedPageBreak/>
        <w:t xml:space="preserve">U.S.C. § 1115(b). If other types of registration are at issue in the case, modification should be made as indicated in the supplementary section of these comments, below. Modify this instruction as necessary in any case involving service marks, trade dress, collective trade or service marks, or certification trade or service marks, by inserting such terms in lieu of the word “trademark” in this instruction. </w:t>
      </w:r>
    </w:p>
    <w:p w14:paraId="7EC35870" w14:textId="77777777" w:rsidR="003E4B35" w:rsidRPr="002B283E" w:rsidRDefault="003E4B35" w:rsidP="002B283E">
      <w:pPr>
        <w:autoSpaceDE w:val="0"/>
        <w:autoSpaceDN w:val="0"/>
        <w:adjustRightInd w:val="0"/>
        <w:rPr>
          <w:rFonts w:cs="Times New Roman"/>
          <w:szCs w:val="24"/>
        </w:rPr>
      </w:pPr>
    </w:p>
    <w:p w14:paraId="2724BF51" w14:textId="1EBC0DC4" w:rsidR="003E4B35" w:rsidRPr="002B283E" w:rsidRDefault="003E4B35" w:rsidP="002B283E">
      <w:pPr>
        <w:autoSpaceDE w:val="0"/>
        <w:autoSpaceDN w:val="0"/>
        <w:adjustRightInd w:val="0"/>
        <w:rPr>
          <w:rFonts w:cs="Times New Roman"/>
          <w:szCs w:val="24"/>
        </w:rPr>
      </w:pPr>
      <w:r w:rsidRPr="002B283E">
        <w:rPr>
          <w:rFonts w:cs="Times New Roman"/>
          <w:i/>
          <w:iCs/>
          <w:szCs w:val="24"/>
        </w:rPr>
        <w:tab/>
        <w:t>See</w:t>
      </w:r>
      <w:r w:rsidRPr="002B283E">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B283E">
        <w:rPr>
          <w:rFonts w:cs="Times New Roman"/>
          <w:i/>
          <w:iCs/>
          <w:szCs w:val="24"/>
        </w:rPr>
        <w:t>See Sengoku Works Ltd. v. RMC Int’l, Ltd</w:t>
      </w:r>
      <w:r w:rsidRPr="003D4A5D">
        <w:rPr>
          <w:rFonts w:cs="Times New Roman"/>
          <w:szCs w:val="24"/>
        </w:rPr>
        <w:t>.,</w:t>
      </w:r>
      <w:r w:rsidRPr="002B283E">
        <w:rPr>
          <w:rFonts w:cs="Times New Roman"/>
          <w:i/>
          <w:iCs/>
          <w:szCs w:val="24"/>
        </w:rPr>
        <w:t xml:space="preserve"> </w:t>
      </w:r>
      <w:r w:rsidRPr="002B283E">
        <w:rPr>
          <w:rFonts w:cs="Times New Roman"/>
          <w:szCs w:val="24"/>
        </w:rPr>
        <w:t>96 F.3d 1217, 1219-20 (9th Cir. 1996) (noting that registrant is granted presumption of ownership under the Lanham Act and “challenger must overcome this presumption by a preponderance of the evidence”</w:t>
      </w:r>
      <w:r w:rsidRPr="00CE6E72">
        <w:rPr>
          <w:rFonts w:cs="Times New Roman"/>
          <w:szCs w:val="24"/>
        </w:rPr>
        <w:t>)</w:t>
      </w:r>
      <w:r w:rsidRPr="002B283E">
        <w:rPr>
          <w:rFonts w:cs="Times New Roman"/>
          <w:szCs w:val="24"/>
        </w:rPr>
        <w:t>;</w:t>
      </w:r>
      <w:r w:rsidRPr="002B283E">
        <w:rPr>
          <w:rFonts w:cs="Times New Roman"/>
          <w:i/>
          <w:iCs/>
          <w:szCs w:val="24"/>
        </w:rPr>
        <w:t xml:space="preserve"> Vuitton et Fils S.A. v. J. Young Enters., Inc.</w:t>
      </w:r>
      <w:r w:rsidRPr="002B283E">
        <w:rPr>
          <w:rFonts w:cs="Times New Roman"/>
          <w:szCs w:val="24"/>
        </w:rPr>
        <w:t xml:space="preserve">, 644 F.2d 769, 775-76 (9th Cir. 1981) (noting that </w:t>
      </w:r>
      <w:r w:rsidR="003D4A5D">
        <w:rPr>
          <w:rFonts w:cs="Times New Roman"/>
          <w:szCs w:val="24"/>
        </w:rPr>
        <w:t xml:space="preserve">the </w:t>
      </w:r>
      <w:r w:rsidRPr="002B283E">
        <w:rPr>
          <w:rFonts w:cs="Times New Roman"/>
          <w:szCs w:val="24"/>
        </w:rPr>
        <w:t xml:space="preserve">presumption of validity of </w:t>
      </w:r>
      <w:r w:rsidR="003D4A5D">
        <w:rPr>
          <w:rFonts w:cs="Times New Roman"/>
          <w:szCs w:val="24"/>
        </w:rPr>
        <w:t xml:space="preserve">a </w:t>
      </w:r>
      <w:r w:rsidRPr="002B283E">
        <w:rPr>
          <w:rFonts w:cs="Times New Roman"/>
          <w:szCs w:val="24"/>
        </w:rPr>
        <w:t>registered mark must be overcome by</w:t>
      </w:r>
      <w:r w:rsidR="003D4A5D">
        <w:rPr>
          <w:rFonts w:cs="Times New Roman"/>
          <w:szCs w:val="24"/>
        </w:rPr>
        <w:t xml:space="preserve"> a</w:t>
      </w:r>
      <w:r w:rsidRPr="002B283E">
        <w:rPr>
          <w:rFonts w:cs="Times New Roman"/>
          <w:szCs w:val="24"/>
        </w:rPr>
        <w:t xml:space="preserve"> preponderance of the evidence); </w:t>
      </w:r>
      <w:r w:rsidRPr="002B283E">
        <w:rPr>
          <w:rFonts w:cs="Times New Roman"/>
          <w:i/>
          <w:iCs/>
          <w:szCs w:val="24"/>
        </w:rPr>
        <w:t>Tie Tech, Inc. v. Kinedyne Corp.</w:t>
      </w:r>
      <w:r w:rsidRPr="002B283E">
        <w:rPr>
          <w:rFonts w:cs="Times New Roman"/>
          <w:szCs w:val="24"/>
        </w:rPr>
        <w:t>, 296 F.3d 778, 783 (9th Cir. 2002) (“Validity</w:t>
      </w:r>
      <w:r w:rsidR="003D4A5D">
        <w:rPr>
          <w:rFonts w:cs="Times New Roman"/>
          <w:szCs w:val="24"/>
        </w:rPr>
        <w:t xml:space="preserve"> . . . </w:t>
      </w:r>
      <w:r w:rsidRPr="002B283E">
        <w:rPr>
          <w:rFonts w:cs="Times New Roman"/>
          <w:szCs w:val="24"/>
        </w:rPr>
        <w:t xml:space="preserve">is a threshold issue. On this point, the plaintiff in an infringement action with a registered mark is given the prima facie or presumptive advantage on the issue of validity, thus shifting the burden of production to the defendant to prove otherwise </w:t>
      </w:r>
      <w:r w:rsidR="003D4A5D">
        <w:rPr>
          <w:rFonts w:cs="Times New Roman"/>
          <w:szCs w:val="24"/>
        </w:rPr>
        <w:t xml:space="preserve">. . . </w:t>
      </w:r>
      <w:r w:rsidRPr="002B283E">
        <w:rPr>
          <w:rFonts w:cs="Times New Roman"/>
          <w:szCs w:val="24"/>
        </w:rPr>
        <w:t xml:space="preserve">Or, to put it as we did in </w:t>
      </w:r>
      <w:r w:rsidRPr="002B283E">
        <w:rPr>
          <w:rFonts w:cs="Times New Roman"/>
          <w:i/>
          <w:iCs/>
          <w:szCs w:val="24"/>
        </w:rPr>
        <w:t>Vuitton</w:t>
      </w:r>
      <w:r w:rsidRPr="002B283E">
        <w:rPr>
          <w:rFonts w:cs="Times New Roman"/>
          <w:szCs w:val="24"/>
        </w:rPr>
        <w:t>,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(summary judgment case)</w:t>
      </w:r>
      <w:r w:rsidR="00A87F6E">
        <w:rPr>
          <w:rFonts w:cs="Times New Roman"/>
          <w:szCs w:val="24"/>
        </w:rPr>
        <w:t xml:space="preserve">. </w:t>
      </w:r>
      <w:r w:rsidRPr="002B283E">
        <w:rPr>
          <w:rFonts w:cs="Times New Roman"/>
          <w:i/>
          <w:iCs/>
          <w:szCs w:val="24"/>
        </w:rPr>
        <w:t>See also Social Techs. v. Apple</w:t>
      </w:r>
      <w:r w:rsidRPr="002B283E">
        <w:rPr>
          <w:rFonts w:cs="Times New Roman"/>
          <w:szCs w:val="24"/>
        </w:rPr>
        <w:t>, 4 F.4th 811, 821-22 (9th Cir. 2021) (discussing petition to cancel registration).</w:t>
      </w:r>
    </w:p>
    <w:p w14:paraId="47CC5F5E" w14:textId="77777777" w:rsidR="003E4B35" w:rsidRPr="002B283E" w:rsidRDefault="003E4B35" w:rsidP="002B283E">
      <w:pPr>
        <w:autoSpaceDE w:val="0"/>
        <w:autoSpaceDN w:val="0"/>
        <w:adjustRightInd w:val="0"/>
        <w:rPr>
          <w:rFonts w:cs="Times New Roman"/>
          <w:szCs w:val="24"/>
        </w:rPr>
      </w:pPr>
    </w:p>
    <w:p w14:paraId="067363EE"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Incontestability</w:t>
      </w:r>
    </w:p>
    <w:p w14:paraId="13CD5F94" w14:textId="77777777" w:rsidR="003E4B35" w:rsidRPr="002B283E" w:rsidRDefault="003E4B35" w:rsidP="002B283E">
      <w:pPr>
        <w:autoSpaceDE w:val="0"/>
        <w:autoSpaceDN w:val="0"/>
        <w:adjustRightInd w:val="0"/>
        <w:rPr>
          <w:rFonts w:cs="Times New Roman"/>
          <w:szCs w:val="24"/>
        </w:rPr>
      </w:pPr>
    </w:p>
    <w:p w14:paraId="48D87A7F"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This instruction treats the issue of incontestability as determined. When registered more than five years and if certain statutory formalities are met (</w:t>
      </w:r>
      <w:r w:rsidRPr="002B283E">
        <w:rPr>
          <w:rFonts w:cs="Times New Roman"/>
          <w:i/>
          <w:iCs/>
          <w:szCs w:val="24"/>
        </w:rPr>
        <w:t>e.g</w:t>
      </w:r>
      <w:r w:rsidRPr="002B283E">
        <w:rPr>
          <w:rFonts w:cs="Times New Roman"/>
          <w:szCs w:val="24"/>
        </w:rPr>
        <w:t xml:space="preserve">., timely filed affidavit of continuous use), a registration is considered “incontestable”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incontestable, subject to certain defenses. </w:t>
      </w:r>
      <w:r w:rsidRPr="002B283E">
        <w:rPr>
          <w:rFonts w:cs="Times New Roman"/>
          <w:i/>
          <w:iCs/>
          <w:szCs w:val="24"/>
        </w:rPr>
        <w:t>Brookfield Commc’ns Inc. v. W. Coast Ent. Corp.</w:t>
      </w:r>
      <w:r w:rsidRPr="002B283E">
        <w:rPr>
          <w:rFonts w:cs="Times New Roman"/>
          <w:szCs w:val="24"/>
        </w:rPr>
        <w:t xml:space="preserve">, 174 F.3d 1036, 1046-47 n.10 (9th Cir. 1999). </w:t>
      </w:r>
    </w:p>
    <w:p w14:paraId="33E029C9" w14:textId="77777777" w:rsidR="003E4B35" w:rsidRPr="002B283E" w:rsidRDefault="003E4B35" w:rsidP="002B283E">
      <w:pPr>
        <w:autoSpaceDE w:val="0"/>
        <w:autoSpaceDN w:val="0"/>
        <w:adjustRightInd w:val="0"/>
        <w:rPr>
          <w:rFonts w:cs="Times New Roman"/>
          <w:szCs w:val="24"/>
        </w:rPr>
      </w:pPr>
    </w:p>
    <w:p w14:paraId="39AFE11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B283E">
        <w:rPr>
          <w:rFonts w:cs="Times New Roman"/>
          <w:i/>
          <w:iCs/>
          <w:szCs w:val="24"/>
        </w:rPr>
        <w:t>See Applied Info. Sci. Corp. v. eBAY, Inc.</w:t>
      </w:r>
      <w:r w:rsidRPr="002B283E">
        <w:rPr>
          <w:rFonts w:cs="Times New Roman"/>
          <w:szCs w:val="24"/>
        </w:rPr>
        <w:t xml:space="preserve">, 511 F.3d 966, 971 (9th Cir. 2007) (holding that plaintiff could not rely on mark’s registration for pants as applying to its use in shirt market). </w:t>
      </w:r>
    </w:p>
    <w:p w14:paraId="2B5AAD09" w14:textId="77777777" w:rsidR="003E4B35" w:rsidRPr="002B283E" w:rsidRDefault="003E4B35" w:rsidP="002B283E">
      <w:pPr>
        <w:autoSpaceDE w:val="0"/>
        <w:autoSpaceDN w:val="0"/>
        <w:adjustRightInd w:val="0"/>
        <w:rPr>
          <w:rFonts w:cs="Times New Roman"/>
          <w:szCs w:val="24"/>
        </w:rPr>
      </w:pPr>
    </w:p>
    <w:p w14:paraId="50ACF3E8"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judge decides to place the issue of contestability before the jury, the following </w:t>
      </w:r>
    </w:p>
    <w:p w14:paraId="1615E99E"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 xml:space="preserve">paragraph should be added in lieu of the fifth paragraph: </w:t>
      </w:r>
    </w:p>
    <w:p w14:paraId="61B0202C" w14:textId="77777777" w:rsidR="003E4B35" w:rsidRPr="002B283E" w:rsidRDefault="003E4B35" w:rsidP="002B283E">
      <w:pPr>
        <w:autoSpaceDE w:val="0"/>
        <w:autoSpaceDN w:val="0"/>
        <w:adjustRightInd w:val="0"/>
        <w:rPr>
          <w:rFonts w:cs="Times New Roman"/>
          <w:szCs w:val="24"/>
        </w:rPr>
      </w:pPr>
    </w:p>
    <w:p w14:paraId="3CCF26A7" w14:textId="1764C696"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[Unless the defendant proves by a preponderance of the evidence that [</w:t>
      </w:r>
      <w:r w:rsidRPr="002B283E">
        <w:rPr>
          <w:rFonts w:cs="Times New Roman"/>
          <w:i/>
          <w:iCs/>
          <w:szCs w:val="24"/>
          <w:u w:val="single"/>
        </w:rPr>
        <w:t xml:space="preserve">insert </w:t>
      </w:r>
      <w:r w:rsidRPr="002B283E">
        <w:rPr>
          <w:rFonts w:cs="Times New Roman"/>
          <w:szCs w:val="24"/>
        </w:rPr>
        <w:t xml:space="preserve">§ </w:t>
      </w:r>
      <w:r w:rsidRPr="002B283E">
        <w:rPr>
          <w:rFonts w:cs="Times New Roman"/>
          <w:i/>
          <w:iCs/>
          <w:szCs w:val="24"/>
          <w:u w:val="single"/>
        </w:rPr>
        <w:t>1115(b) defense[s] raised by defendant, e.g., that the mark was abandoned</w:t>
      </w:r>
      <w:r w:rsidRPr="002B283E">
        <w:rPr>
          <w:rFonts w:cs="Times New Roman"/>
          <w:szCs w:val="24"/>
        </w:rPr>
        <w:t>], you must consider the trademark to be conclusively proved as [valid] [and] [owned by the plaintiff], [if the mark has been in continuous use for five consecutive years after the date of registration in the certificate and other statutory formalities have been observed]. However, if the defendant shows that [</w:t>
      </w:r>
      <w:r w:rsidRPr="002B283E">
        <w:rPr>
          <w:rFonts w:cs="Times New Roman"/>
          <w:i/>
          <w:iCs/>
          <w:szCs w:val="24"/>
          <w:u w:val="single"/>
        </w:rPr>
        <w:t xml:space="preserve">insert </w:t>
      </w:r>
      <w:r w:rsidRPr="002B283E">
        <w:rPr>
          <w:rFonts w:cs="Times New Roman"/>
          <w:szCs w:val="24"/>
        </w:rPr>
        <w:t>§</w:t>
      </w:r>
      <w:r w:rsidRPr="002B283E">
        <w:rPr>
          <w:rFonts w:cs="Times New Roman"/>
          <w:i/>
          <w:iCs/>
          <w:szCs w:val="24"/>
          <w:u w:val="single"/>
        </w:rPr>
        <w:t xml:space="preserve"> 1115(b) defense[s] raised, e.g., that the 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B283E">
        <w:rPr>
          <w:rFonts w:cs="Times New Roman"/>
          <w:szCs w:val="24"/>
          <w:u w:val="single"/>
        </w:rPr>
        <w:t>[</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720AB95E" w14:textId="77777777" w:rsidR="003E4B35" w:rsidRPr="002B283E" w:rsidRDefault="003E4B35" w:rsidP="002B283E">
      <w:pPr>
        <w:autoSpaceDE w:val="0"/>
        <w:autoSpaceDN w:val="0"/>
        <w:adjustRightInd w:val="0"/>
        <w:rPr>
          <w:rFonts w:cs="Times New Roman"/>
          <w:szCs w:val="24"/>
        </w:rPr>
      </w:pPr>
    </w:p>
    <w:p w14:paraId="20765026" w14:textId="4B3CB276"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plaintiff is not the registrant of the mark, but a successor to the registrant, this instruction should be modified to explain the plaintiff’s claim of ownership of the mark, </w:t>
      </w:r>
      <w:r w:rsidRPr="006E52B7">
        <w:rPr>
          <w:rFonts w:cs="Times New Roman"/>
          <w:i/>
          <w:iCs/>
          <w:szCs w:val="24"/>
        </w:rPr>
        <w:t>e.g</w:t>
      </w:r>
      <w:r w:rsidRPr="002B283E">
        <w:rPr>
          <w:rFonts w:cs="Times New Roman"/>
          <w:szCs w:val="24"/>
        </w:rPr>
        <w:t xml:space="preserve">., through assignment, exclusive license, etc. </w:t>
      </w:r>
      <w:r w:rsidRPr="002B283E">
        <w:rPr>
          <w:rFonts w:cs="Times New Roman"/>
          <w:i/>
          <w:iCs/>
          <w:szCs w:val="24"/>
        </w:rPr>
        <w:t>S</w:t>
      </w:r>
      <w:r w:rsidR="00A15A8F">
        <w:rPr>
          <w:rFonts w:cs="Times New Roman"/>
          <w:i/>
          <w:iCs/>
          <w:szCs w:val="24"/>
        </w:rPr>
        <w:t xml:space="preserve">ee, </w:t>
      </w:r>
      <w:r w:rsidR="00A15A8F" w:rsidRPr="006E52B7">
        <w:rPr>
          <w:rFonts w:cs="Times New Roman"/>
          <w:i/>
          <w:iCs/>
          <w:szCs w:val="24"/>
        </w:rPr>
        <w:t>e.g</w:t>
      </w:r>
      <w:r w:rsidR="00A15A8F" w:rsidRPr="006E52B7">
        <w:rPr>
          <w:rFonts w:cs="Times New Roman"/>
          <w:szCs w:val="24"/>
        </w:rPr>
        <w:t>.</w:t>
      </w:r>
      <w:r w:rsidR="00A15A8F" w:rsidRPr="00F518D1">
        <w:rPr>
          <w:rFonts w:cs="Times New Roman"/>
          <w:szCs w:val="24"/>
        </w:rPr>
        <w:t>,</w:t>
      </w:r>
      <w:r w:rsidR="00A15A8F">
        <w:rPr>
          <w:rFonts w:cs="Times New Roman"/>
          <w:i/>
          <w:iCs/>
          <w:szCs w:val="24"/>
        </w:rPr>
        <w:t xml:space="preserve"> </w:t>
      </w:r>
      <w:r w:rsidRPr="002B283E">
        <w:rPr>
          <w:rFonts w:cs="Times New Roman"/>
          <w:szCs w:val="24"/>
        </w:rPr>
        <w:t xml:space="preserve">Instructions 15.15 (Trademark Ownership—Assignee); 15.16 (Trademark Ownership—Licensee); 15.17 (Trademark Ownership—Merchant or Distributor). </w:t>
      </w:r>
    </w:p>
    <w:p w14:paraId="75ED852A" w14:textId="77777777" w:rsidR="003E4B35" w:rsidRPr="002B283E" w:rsidRDefault="003E4B35" w:rsidP="002B283E">
      <w:pPr>
        <w:autoSpaceDE w:val="0"/>
        <w:autoSpaceDN w:val="0"/>
        <w:adjustRightInd w:val="0"/>
        <w:rPr>
          <w:rFonts w:cs="Times New Roman"/>
          <w:szCs w:val="24"/>
        </w:rPr>
      </w:pPr>
    </w:p>
    <w:p w14:paraId="341A8169"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77E37B5F" w14:textId="77777777" w:rsidR="003E4B35" w:rsidRPr="002B283E" w:rsidRDefault="003E4B35" w:rsidP="002B283E">
      <w:pPr>
        <w:autoSpaceDE w:val="0"/>
        <w:autoSpaceDN w:val="0"/>
        <w:adjustRightInd w:val="0"/>
        <w:rPr>
          <w:rFonts w:cs="Times New Roman"/>
          <w:i/>
          <w:iCs/>
          <w:szCs w:val="24"/>
        </w:rPr>
      </w:pPr>
    </w:p>
    <w:p w14:paraId="6D00F0BB" w14:textId="2D0BF53E"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Incontestable Marks: </w:t>
      </w:r>
      <w:r w:rsidRPr="002B283E">
        <w:rPr>
          <w:rFonts w:cs="Times New Roman"/>
          <w:szCs w:val="24"/>
        </w:rPr>
        <w:t>If registered more than five years and if certain statutory formalities are met (</w:t>
      </w:r>
      <w:r w:rsidRPr="006E52B7">
        <w:rPr>
          <w:rFonts w:cs="Times New Roman"/>
          <w:i/>
          <w:iCs/>
          <w:szCs w:val="24"/>
        </w:rPr>
        <w:t>e.g</w:t>
      </w:r>
      <w:r w:rsidRPr="002B283E">
        <w:rPr>
          <w:rFonts w:cs="Times New Roman"/>
          <w:szCs w:val="24"/>
        </w:rPr>
        <w:t xml:space="preserve">., timely filed affidavit of continuous use), the registration is considered “incontestable” evidence of the registrant’s right to use the mark. </w:t>
      </w:r>
      <w:r w:rsidRPr="002B283E">
        <w:rPr>
          <w:rFonts w:cs="Times New Roman"/>
          <w:i/>
          <w:iCs/>
          <w:szCs w:val="24"/>
        </w:rPr>
        <w:t>See</w:t>
      </w:r>
      <w:r w:rsidRPr="002B283E">
        <w:rPr>
          <w:rFonts w:cs="Times New Roman"/>
          <w:szCs w:val="24"/>
        </w:rPr>
        <w:t xml:space="preserve"> 15 U.S.C.§ 1065. It is considered conclusive evidence of the validity of the registered mark as well as the registrant’s ownership. </w:t>
      </w:r>
      <w:r w:rsidRPr="002B283E">
        <w:rPr>
          <w:rFonts w:cs="Times New Roman"/>
          <w:i/>
          <w:iCs/>
          <w:szCs w:val="24"/>
        </w:rPr>
        <w:t>See</w:t>
      </w:r>
      <w:r w:rsidRPr="002B283E">
        <w:rPr>
          <w:rFonts w:cs="Times New Roman"/>
          <w:szCs w:val="24"/>
        </w:rPr>
        <w:t xml:space="preserve"> 15 U.S.C.§ 1115(b). Although a mark may become incontestable, it is still subject to certain defenses or defects, set forth in 15 U.S.C. § 1115. 6 </w:t>
      </w:r>
      <w:r w:rsidRPr="002B283E">
        <w:rPr>
          <w:rFonts w:cs="Times New Roman"/>
          <w:smallCaps/>
          <w:szCs w:val="24"/>
        </w:rPr>
        <w:t>J. Thomas McCarthy, McCarthy on Trademarks and Unfair Competition</w:t>
      </w:r>
      <w:r w:rsidRPr="002B283E">
        <w:rPr>
          <w:rFonts w:cs="Times New Roman"/>
          <w:szCs w:val="24"/>
        </w:rPr>
        <w:t xml:space="preserve"> § 32:147 (5th ed. 2019). McCarthy suggests that there are at least twenty-one exceptions to incontestability provided in 15 U.S.C. §§ 1115(b), 1065</w:t>
      </w:r>
      <w:r w:rsidR="00412566">
        <w:rPr>
          <w:rFonts w:cs="Times New Roman"/>
          <w:szCs w:val="24"/>
        </w:rPr>
        <w:t>,</w:t>
      </w:r>
      <w:r w:rsidRPr="002B283E">
        <w:rPr>
          <w:rFonts w:cs="Times New Roman"/>
          <w:szCs w:val="24"/>
        </w:rPr>
        <w:t xml:space="preserve"> and 1064.</w:t>
      </w:r>
      <w:r w:rsidRPr="002B283E">
        <w:rPr>
          <w:rFonts w:cs="Times New Roman"/>
          <w:i/>
          <w:iCs/>
          <w:szCs w:val="24"/>
        </w:rPr>
        <w:t xml:space="preserve"> Id.</w:t>
      </w:r>
      <w:r w:rsidRPr="002B283E">
        <w:rPr>
          <w:rFonts w:cs="Times New Roman"/>
          <w:szCs w:val="24"/>
        </w:rPr>
        <w:t xml:space="preserve"> The most frequently asserted exceptions include (1) fraud in obtaining the registration or incontestable status; (2) abandonment; (3) use of the mark to misrepresent source; (4) fair use of the mark; (5) limited territorial defense by a junior user; (6) prior registration by the defendant; (7) use of mark to violate federal antitrust law; (8) the mark is functional; and (9) equitable defenses, such as laches, estoppel</w:t>
      </w:r>
      <w:r w:rsidR="00412566">
        <w:rPr>
          <w:rFonts w:cs="Times New Roman"/>
          <w:szCs w:val="24"/>
        </w:rPr>
        <w:t>,</w:t>
      </w:r>
      <w:r w:rsidRPr="002B283E">
        <w:rPr>
          <w:rFonts w:cs="Times New Roman"/>
          <w:szCs w:val="24"/>
        </w:rPr>
        <w:t xml:space="preserve"> and acquiescence.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w:t>
      </w:r>
      <w:r w:rsidRPr="002B283E">
        <w:rPr>
          <w:rFonts w:cs="Times New Roman"/>
          <w:szCs w:val="24"/>
        </w:rPr>
        <w:t xml:space="preserve"> 6 </w:t>
      </w:r>
      <w:r w:rsidRPr="002B283E">
        <w:rPr>
          <w:rFonts w:cs="Times New Roman"/>
          <w:smallCaps/>
          <w:szCs w:val="24"/>
        </w:rPr>
        <w:t>J. Thomas McCarthy, McCarthy on Trademarks and Unfair Competition</w:t>
      </w:r>
      <w:r w:rsidRPr="002B283E">
        <w:rPr>
          <w:rFonts w:cs="Times New Roman"/>
          <w:szCs w:val="24"/>
        </w:rPr>
        <w:t xml:space="preserve"> § 32:149 (5th ed. 2019). </w:t>
      </w:r>
    </w:p>
    <w:p w14:paraId="582034A3" w14:textId="77777777" w:rsidR="003E4B35" w:rsidRPr="002B283E" w:rsidRDefault="003E4B35" w:rsidP="002B283E">
      <w:pPr>
        <w:autoSpaceDE w:val="0"/>
        <w:autoSpaceDN w:val="0"/>
        <w:adjustRightInd w:val="0"/>
        <w:rPr>
          <w:rFonts w:cs="Times New Roman"/>
          <w:szCs w:val="24"/>
        </w:rPr>
      </w:pPr>
    </w:p>
    <w:p w14:paraId="6690310C" w14:textId="77777777" w:rsidR="003E4B35" w:rsidRDefault="003E4B35" w:rsidP="002B283E">
      <w:pPr>
        <w:autoSpaceDE w:val="0"/>
        <w:autoSpaceDN w:val="0"/>
        <w:adjustRightInd w:val="0"/>
        <w:rPr>
          <w:rFonts w:cs="Times New Roman"/>
          <w:szCs w:val="24"/>
        </w:rPr>
      </w:pPr>
      <w:r w:rsidRPr="002B283E">
        <w:rPr>
          <w:rFonts w:cs="Times New Roman"/>
          <w:i/>
          <w:iCs/>
          <w:szCs w:val="24"/>
        </w:rPr>
        <w:tab/>
        <w:t>Incontestability Exceptions and Defenses:</w:t>
      </w:r>
      <w:r w:rsidRPr="002B283E">
        <w:rPr>
          <w:rFonts w:cs="Times New Roman"/>
          <w:szCs w:val="24"/>
        </w:rPr>
        <w:t xml:space="preserve"> If one of the exceptions to incontestable registration is proven, the registration is no longer conclusive but merely prima facie evidence of the registrant’s right to ownership and the mark’s validity (</w:t>
      </w:r>
      <w:r w:rsidRPr="002B283E">
        <w:rPr>
          <w:rFonts w:cs="Times New Roman"/>
          <w:i/>
          <w:iCs/>
          <w:szCs w:val="24"/>
        </w:rPr>
        <w:t>i.e.</w:t>
      </w:r>
      <w:r w:rsidRPr="002B283E">
        <w:rPr>
          <w:rFonts w:cs="Times New Roman"/>
          <w:szCs w:val="24"/>
        </w:rPr>
        <w:t xml:space="preserve">, it becomes simply a contestable registration).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 Park ’N Fly, Inc. v. Dollar Park &amp; Fly, Inc.</w:t>
      </w:r>
      <w:r w:rsidRPr="002B283E">
        <w:rPr>
          <w:rFonts w:cs="Times New Roman"/>
          <w:szCs w:val="24"/>
        </w:rPr>
        <w:t xml:space="preserve">, 469 </w:t>
      </w:r>
      <w:r w:rsidRPr="002B283E">
        <w:rPr>
          <w:rFonts w:cs="Times New Roman"/>
          <w:szCs w:val="24"/>
        </w:rPr>
        <w:lastRenderedPageBreak/>
        <w:t xml:space="preserve">U.S. 189, 199 n.6 (1985). Accordingly, the fact-finder must still consider whether the defendant has met the defendant’s burden of showing by a preponderance of the evidence that the mark is not valid or that the plaintiff does not own it. </w:t>
      </w:r>
      <w:r w:rsidRPr="002B283E">
        <w:rPr>
          <w:rFonts w:cs="Times New Roman"/>
          <w:i/>
          <w:iCs/>
          <w:szCs w:val="24"/>
        </w:rPr>
        <w:t xml:space="preserve">See </w:t>
      </w:r>
      <w:r w:rsidRPr="002B283E">
        <w:rPr>
          <w:rFonts w:cs="Times New Roman"/>
          <w:szCs w:val="24"/>
        </w:rPr>
        <w:t xml:space="preserve">6 </w:t>
      </w:r>
      <w:r w:rsidRPr="002B283E">
        <w:rPr>
          <w:rFonts w:cs="Times New Roman"/>
          <w:smallCaps/>
          <w:szCs w:val="24"/>
        </w:rPr>
        <w:t>J. Thomas McCarthy, McCarthy on Trademarks and Unfair Competition</w:t>
      </w:r>
      <w:r w:rsidRPr="002B283E">
        <w:rPr>
          <w:rFonts w:cs="Times New Roman"/>
          <w:szCs w:val="24"/>
        </w:rPr>
        <w:t xml:space="preserve"> § 32:153 (5th ed. 2019).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1844E307" w14:textId="77777777" w:rsidR="00EC11C4" w:rsidRPr="002B283E" w:rsidRDefault="00EC11C4" w:rsidP="002B283E">
      <w:pPr>
        <w:autoSpaceDE w:val="0"/>
        <w:autoSpaceDN w:val="0"/>
        <w:adjustRightInd w:val="0"/>
        <w:rPr>
          <w:rFonts w:cs="Times New Roman"/>
          <w:szCs w:val="24"/>
        </w:rPr>
      </w:pPr>
    </w:p>
    <w:p w14:paraId="44B67F69" w14:textId="346EFA2D"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Contestable Marks: </w:t>
      </w:r>
      <w:r w:rsidRPr="002B283E">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B283E">
        <w:rPr>
          <w:rFonts w:cs="Times New Roman"/>
          <w:i/>
          <w:iCs/>
          <w:szCs w:val="24"/>
        </w:rPr>
        <w:t>See Vuitton et Fils S.A.</w:t>
      </w:r>
      <w:r w:rsidRPr="002B283E">
        <w:rPr>
          <w:rFonts w:cs="Times New Roman"/>
          <w:szCs w:val="24"/>
        </w:rPr>
        <w:t>, 644 F.2d at 775;</w:t>
      </w:r>
      <w:r w:rsidRPr="002B283E">
        <w:rPr>
          <w:rFonts w:cs="Times New Roman"/>
          <w:i/>
          <w:iCs/>
          <w:szCs w:val="24"/>
        </w:rPr>
        <w:t xml:space="preserve"> Maktab Tarighe Oveyssi Shah Maghsoudi v. Kianfar</w:t>
      </w:r>
      <w:r w:rsidRPr="002B283E">
        <w:rPr>
          <w:rFonts w:cs="Times New Roman"/>
          <w:szCs w:val="24"/>
        </w:rPr>
        <w:t xml:space="preserve">, 179 F.3d 1244, 1249 (9th Cir. 1999) (noting that </w:t>
      </w:r>
      <w:r w:rsidR="00412566">
        <w:rPr>
          <w:rFonts w:cs="Times New Roman"/>
          <w:szCs w:val="24"/>
        </w:rPr>
        <w:t xml:space="preserve">the </w:t>
      </w:r>
      <w:r w:rsidRPr="002B283E">
        <w:rPr>
          <w:rFonts w:cs="Times New Roman"/>
          <w:szCs w:val="24"/>
        </w:rPr>
        <w:t xml:space="preserve">registration of </w:t>
      </w:r>
      <w:r w:rsidR="00412566">
        <w:rPr>
          <w:rFonts w:cs="Times New Roman"/>
          <w:szCs w:val="24"/>
        </w:rPr>
        <w:t xml:space="preserve">a </w:t>
      </w:r>
      <w:r w:rsidRPr="002B283E">
        <w:rPr>
          <w:rFonts w:cs="Times New Roman"/>
          <w:szCs w:val="24"/>
        </w:rPr>
        <w:t xml:space="preserve">mark constitutes prima facie evidence that </w:t>
      </w:r>
      <w:r w:rsidR="00412566">
        <w:rPr>
          <w:rFonts w:cs="Times New Roman"/>
          <w:szCs w:val="24"/>
        </w:rPr>
        <w:t xml:space="preserve">the </w:t>
      </w:r>
      <w:r w:rsidRPr="002B283E">
        <w:rPr>
          <w:rFonts w:cs="Times New Roman"/>
          <w:szCs w:val="24"/>
        </w:rPr>
        <w:t xml:space="preserve">registrant owns </w:t>
      </w:r>
      <w:r w:rsidR="00412566">
        <w:rPr>
          <w:rFonts w:cs="Times New Roman"/>
          <w:szCs w:val="24"/>
        </w:rPr>
        <w:t xml:space="preserve">the </w:t>
      </w:r>
      <w:r w:rsidRPr="002B283E">
        <w:rPr>
          <w:rFonts w:cs="Times New Roman"/>
          <w:szCs w:val="24"/>
        </w:rPr>
        <w:t xml:space="preserve">mark and is constructive notice of claimed ownership of </w:t>
      </w:r>
      <w:r w:rsidR="00412566">
        <w:rPr>
          <w:rFonts w:cs="Times New Roman"/>
          <w:szCs w:val="24"/>
        </w:rPr>
        <w:t xml:space="preserve">a </w:t>
      </w:r>
      <w:r w:rsidRPr="002B283E">
        <w:rPr>
          <w:rFonts w:cs="Times New Roman"/>
          <w:szCs w:val="24"/>
        </w:rPr>
        <w:t xml:space="preserve">mark by </w:t>
      </w:r>
      <w:r w:rsidR="00412566">
        <w:rPr>
          <w:rFonts w:cs="Times New Roman"/>
          <w:szCs w:val="24"/>
        </w:rPr>
        <w:t xml:space="preserve">the </w:t>
      </w:r>
      <w:r w:rsidRPr="002B283E">
        <w:rPr>
          <w:rFonts w:cs="Times New Roman"/>
          <w:szCs w:val="24"/>
        </w:rPr>
        <w:t>registrant)</w:t>
      </w:r>
      <w:r w:rsidR="00A87F6E">
        <w:rPr>
          <w:rFonts w:cs="Times New Roman"/>
          <w:szCs w:val="24"/>
        </w:rPr>
        <w:t xml:space="preserve">. </w:t>
      </w:r>
    </w:p>
    <w:p w14:paraId="2842C81F" w14:textId="77777777" w:rsidR="003E4B35" w:rsidRPr="002B283E" w:rsidRDefault="003E4B35" w:rsidP="002B283E">
      <w:pPr>
        <w:autoSpaceDE w:val="0"/>
        <w:autoSpaceDN w:val="0"/>
        <w:adjustRightInd w:val="0"/>
        <w:jc w:val="center"/>
        <w:rPr>
          <w:rFonts w:cs="Times New Roman"/>
          <w:szCs w:val="24"/>
          <w:u w:val="single"/>
        </w:rPr>
      </w:pPr>
    </w:p>
    <w:p w14:paraId="25041319"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Other Registration Issues</w:t>
      </w:r>
    </w:p>
    <w:p w14:paraId="285D64A6" w14:textId="77777777" w:rsidR="003E4B35" w:rsidRPr="002B283E" w:rsidRDefault="003E4B35" w:rsidP="002B283E">
      <w:pPr>
        <w:autoSpaceDE w:val="0"/>
        <w:autoSpaceDN w:val="0"/>
        <w:adjustRightInd w:val="0"/>
        <w:jc w:val="center"/>
        <w:rPr>
          <w:rFonts w:cs="Times New Roman"/>
          <w:szCs w:val="24"/>
        </w:rPr>
      </w:pPr>
    </w:p>
    <w:p w14:paraId="21EB017C"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in any case involving an incontestable trademark in which the defendant introduces a defense or exception under 15 U.S.C. § 1115(b). If other types of registration are at issue in the case, modification to the instruction should be made as follows: </w:t>
      </w:r>
    </w:p>
    <w:p w14:paraId="4FA4A8F8" w14:textId="77777777" w:rsidR="003E4B35" w:rsidRPr="002B283E" w:rsidRDefault="003E4B35" w:rsidP="002B283E">
      <w:pPr>
        <w:autoSpaceDE w:val="0"/>
        <w:autoSpaceDN w:val="0"/>
        <w:adjustRightInd w:val="0"/>
        <w:rPr>
          <w:rFonts w:cs="Times New Roman"/>
          <w:b/>
          <w:bCs/>
          <w:szCs w:val="24"/>
        </w:rPr>
      </w:pPr>
    </w:p>
    <w:p w14:paraId="7AF31166"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A. Disputed Incontestable Registration:</w:t>
      </w:r>
      <w:r w:rsidRPr="002B283E">
        <w:rPr>
          <w:rFonts w:cs="Times New Roman"/>
          <w:szCs w:val="24"/>
        </w:rPr>
        <w:t xml:space="preserve"> When the defendant disputes the incontestability of a trademark, use this instruction. </w:t>
      </w:r>
    </w:p>
    <w:p w14:paraId="59EF780E" w14:textId="77777777" w:rsidR="003E4B35" w:rsidRPr="002B283E" w:rsidRDefault="003E4B35" w:rsidP="002B283E">
      <w:pPr>
        <w:autoSpaceDE w:val="0"/>
        <w:autoSpaceDN w:val="0"/>
        <w:adjustRightInd w:val="0"/>
        <w:rPr>
          <w:rFonts w:cs="Times New Roman"/>
          <w:szCs w:val="24"/>
        </w:rPr>
      </w:pPr>
    </w:p>
    <w:p w14:paraId="52DD909E"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B. 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substitute the following after the third paragraph of this instruction, if the defendant disputes the facts stated in the registration certificate: </w:t>
      </w:r>
    </w:p>
    <w:p w14:paraId="1901EDF2" w14:textId="77777777" w:rsidR="003E4B35" w:rsidRPr="002B283E" w:rsidRDefault="003E4B35" w:rsidP="008A04C2">
      <w:pPr>
        <w:autoSpaceDE w:val="0"/>
        <w:autoSpaceDN w:val="0"/>
        <w:adjustRightInd w:val="0"/>
        <w:jc w:val="both"/>
        <w:rPr>
          <w:rFonts w:cs="Times New Roman"/>
          <w:szCs w:val="24"/>
        </w:rPr>
      </w:pPr>
    </w:p>
    <w:p w14:paraId="7A1209A5"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The law presumes that the facts noted in the certificate are true, that is that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But this presumption can be overcome by sufficient evidence to the contrary. Here, the defendant has presented evidence that [</w:t>
      </w:r>
      <w:r w:rsidRPr="002B283E">
        <w:rPr>
          <w:rFonts w:cs="Times New Roman"/>
          <w:i/>
          <w:iCs/>
          <w:szCs w:val="24"/>
          <w:u w:val="single"/>
        </w:rPr>
        <w:t>summarize defendant’s contentions, e.g., that the trademark was abandoned, the registration was fraudulently obtained, etc.</w:t>
      </w:r>
      <w:r w:rsidRPr="002B283E">
        <w:rPr>
          <w:rFonts w:cs="Times New Roman"/>
          <w:szCs w:val="24"/>
        </w:rPr>
        <w:t xml:space="preserve">]. If the defendant can show this evidence by a preponderance of the evidence, then you cannot rely on the registration as stating the truth of the matters contained therein. </w:t>
      </w:r>
    </w:p>
    <w:p w14:paraId="2108E9A4" w14:textId="77777777" w:rsidR="003E4B35" w:rsidRPr="002B283E" w:rsidRDefault="003E4B35" w:rsidP="002B283E">
      <w:pPr>
        <w:autoSpaceDE w:val="0"/>
        <w:autoSpaceDN w:val="0"/>
        <w:adjustRightInd w:val="0"/>
        <w:rPr>
          <w:rFonts w:cs="Times New Roman"/>
          <w:szCs w:val="24"/>
        </w:rPr>
      </w:pPr>
    </w:p>
    <w:p w14:paraId="6DF8053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C. Undisputed Incontestable Registration:</w:t>
      </w:r>
      <w:r w:rsidRPr="002B283E">
        <w:rPr>
          <w:rFonts w:cs="Times New Roman"/>
          <w:szCs w:val="24"/>
        </w:rPr>
        <w:t xml:space="preserve"> When defendant does not dispute an incontestable trademark, substitute the following paragraph in lieu of the fourth and fifth paragraphs of this instruction: </w:t>
      </w:r>
    </w:p>
    <w:p w14:paraId="5EED7B4E" w14:textId="77777777" w:rsidR="003E4B35" w:rsidRPr="002B283E" w:rsidRDefault="003E4B35" w:rsidP="002B283E">
      <w:pPr>
        <w:autoSpaceDE w:val="0"/>
        <w:autoSpaceDN w:val="0"/>
        <w:adjustRightInd w:val="0"/>
        <w:rPr>
          <w:rFonts w:cs="Times New Roman"/>
          <w:szCs w:val="24"/>
        </w:rPr>
      </w:pPr>
    </w:p>
    <w:p w14:paraId="57A03547"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In this case, there is no dispute that the plaintiff received a registration for the trademark [</w:t>
      </w:r>
      <w:r w:rsidRPr="002B283E">
        <w:rPr>
          <w:rFonts w:cs="Times New Roman"/>
          <w:i/>
          <w:iCs/>
          <w:szCs w:val="24"/>
          <w:u w:val="single"/>
        </w:rPr>
        <w:t>identify the trademark</w:t>
      </w:r>
      <w:r w:rsidRPr="002B283E">
        <w:rPr>
          <w:rFonts w:cs="Times New Roman"/>
          <w:szCs w:val="24"/>
        </w:rPr>
        <w:t>] and this registration is now “incontestable” under the trademark laws. This means that the plaintiff’s registration of the trademark is conclusive evidence of plaintiff’s ownership of that trademark and that the trademark is valid and protectable. [I instruct you that for purposes of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you must find that the plaintiff owned the trademark and that the trademark was valid and protectable.] </w:t>
      </w:r>
    </w:p>
    <w:p w14:paraId="3828CBBF" w14:textId="77777777" w:rsidR="003E4B35" w:rsidRPr="002B283E" w:rsidRDefault="003E4B35" w:rsidP="002B283E">
      <w:pPr>
        <w:autoSpaceDE w:val="0"/>
        <w:autoSpaceDN w:val="0"/>
        <w:adjustRightInd w:val="0"/>
        <w:ind w:left="1440" w:right="1440"/>
        <w:rPr>
          <w:rFonts w:cs="Times New Roman"/>
          <w:szCs w:val="24"/>
        </w:rPr>
      </w:pPr>
    </w:p>
    <w:p w14:paraId="101D27E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D. Undisputed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but the defendant does not dispute the facts stated in the contestable registration certificate, substitute the following after the first and second paragraphs of this instruction: </w:t>
      </w:r>
    </w:p>
    <w:p w14:paraId="499036EF" w14:textId="77777777" w:rsidR="003E4B35" w:rsidRPr="002B283E" w:rsidRDefault="003E4B35" w:rsidP="002B283E">
      <w:pPr>
        <w:autoSpaceDE w:val="0"/>
        <w:autoSpaceDN w:val="0"/>
        <w:adjustRightInd w:val="0"/>
        <w:rPr>
          <w:rFonts w:cs="Times New Roman"/>
          <w:szCs w:val="24"/>
        </w:rPr>
      </w:pPr>
    </w:p>
    <w:p w14:paraId="3C985840" w14:textId="77777777" w:rsidR="003E4B35" w:rsidRPr="002B283E" w:rsidRDefault="003E4B35" w:rsidP="008A04C2">
      <w:pPr>
        <w:ind w:left="720" w:right="720"/>
        <w:jc w:val="both"/>
        <w:rPr>
          <w:rFonts w:cs="Times New Roman"/>
          <w:szCs w:val="24"/>
        </w:rPr>
      </w:pPr>
      <w:r w:rsidRPr="002B283E">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3B7E5888" w14:textId="77777777" w:rsidR="003E4B35" w:rsidRPr="002B283E" w:rsidRDefault="003E4B35" w:rsidP="002B283E">
      <w:pPr>
        <w:rPr>
          <w:rFonts w:cs="Times New Roman"/>
          <w:szCs w:val="24"/>
        </w:rPr>
      </w:pPr>
    </w:p>
    <w:p w14:paraId="7917259B" w14:textId="77777777" w:rsidR="003E4B35" w:rsidRPr="002B283E" w:rsidRDefault="003E4B35" w:rsidP="002B283E">
      <w:pPr>
        <w:jc w:val="right"/>
        <w:rPr>
          <w:rFonts w:cs="Times New Roman"/>
          <w:i/>
          <w:iCs/>
          <w:szCs w:val="24"/>
        </w:rPr>
      </w:pPr>
    </w:p>
    <w:p w14:paraId="133BE594" w14:textId="4835FA7B" w:rsidR="006A4CD7" w:rsidRPr="002B283E" w:rsidRDefault="003E4B35" w:rsidP="002B283E">
      <w:pPr>
        <w:jc w:val="right"/>
        <w:rPr>
          <w:rFonts w:cs="Times New Roman"/>
          <w:i/>
          <w:iCs/>
          <w:szCs w:val="24"/>
        </w:rPr>
      </w:pPr>
      <w:r w:rsidRPr="002B283E">
        <w:rPr>
          <w:rFonts w:cs="Times New Roman"/>
          <w:i/>
          <w:iCs/>
          <w:szCs w:val="24"/>
        </w:rPr>
        <w:t>Revised June 2024</w:t>
      </w:r>
      <w:r w:rsidR="006A4CD7" w:rsidRPr="002B283E">
        <w:rPr>
          <w:rFonts w:cs="Times New Roman"/>
          <w:szCs w:val="24"/>
        </w:rPr>
        <w:t xml:space="preserve"> </w:t>
      </w:r>
    </w:p>
    <w:p w14:paraId="7BE32040" w14:textId="77777777" w:rsidR="006A4CD7" w:rsidRPr="002B283E" w:rsidRDefault="006A4CD7" w:rsidP="002B283E">
      <w:pPr>
        <w:autoSpaceDE w:val="0"/>
        <w:autoSpaceDN w:val="0"/>
        <w:adjustRightInd w:val="0"/>
        <w:rPr>
          <w:rFonts w:cs="Times New Roman"/>
          <w:szCs w:val="24"/>
        </w:rPr>
      </w:pPr>
    </w:p>
    <w:p w14:paraId="53592E03" w14:textId="2786308A" w:rsidR="006A4CD7" w:rsidRPr="002B283E" w:rsidRDefault="006A4CD7" w:rsidP="002B283E">
      <w:pPr>
        <w:pStyle w:val="Heading2"/>
      </w:pPr>
      <w:r w:rsidRPr="002B283E">
        <w:br w:type="page"/>
      </w:r>
      <w:bookmarkStart w:id="340" w:name="_Toc221525275"/>
      <w:r w:rsidRPr="002B283E">
        <w:lastRenderedPageBreak/>
        <w:t xml:space="preserve">15.9 </w:t>
      </w:r>
      <w:r w:rsidR="002D3E69" w:rsidRPr="002B283E">
        <w:t>Infringement—Elements—Validity—Unregistered Marks</w:t>
      </w:r>
      <w:bookmarkEnd w:id="340"/>
    </w:p>
    <w:p w14:paraId="1F46FF2F" w14:textId="77777777" w:rsidR="006A4CD7" w:rsidRPr="002B283E" w:rsidRDefault="006A4CD7" w:rsidP="002B283E">
      <w:pPr>
        <w:autoSpaceDE w:val="0"/>
        <w:autoSpaceDN w:val="0"/>
        <w:adjustRightInd w:val="0"/>
        <w:rPr>
          <w:rFonts w:cs="Times New Roman"/>
          <w:szCs w:val="24"/>
        </w:rPr>
      </w:pPr>
    </w:p>
    <w:p w14:paraId="6D7C9979" w14:textId="77777777" w:rsidR="00AE23FC" w:rsidRPr="002B283E" w:rsidRDefault="006A4CD7" w:rsidP="002B283E">
      <w:pPr>
        <w:autoSpaceDE w:val="0"/>
        <w:autoSpaceDN w:val="0"/>
        <w:adjustRightInd w:val="0"/>
        <w:rPr>
          <w:rFonts w:cs="Times New Roman"/>
          <w:szCs w:val="24"/>
        </w:rPr>
      </w:pPr>
      <w:r w:rsidRPr="002B283E">
        <w:rPr>
          <w:rFonts w:cs="Times New Roman"/>
          <w:szCs w:val="24"/>
        </w:rPr>
        <w:tab/>
      </w:r>
      <w:r w:rsidR="00AE23FC" w:rsidRPr="002B283E">
        <w:rPr>
          <w:rFonts w:cs="Times New Roman"/>
          <w:szCs w:val="24"/>
        </w:rPr>
        <w:t>[</w:t>
      </w:r>
      <w:r w:rsidR="00AE23FC" w:rsidRPr="002B283E">
        <w:rPr>
          <w:rFonts w:cs="Times New Roman"/>
          <w:i/>
          <w:iCs/>
          <w:szCs w:val="24"/>
          <w:u w:val="single"/>
        </w:rPr>
        <w:t>Describe plaintiff’s alleged trademark</w:t>
      </w:r>
      <w:r w:rsidR="00AE23FC" w:rsidRPr="002B283E">
        <w:rPr>
          <w:rFonts w:cs="Times New Roman"/>
          <w:szCs w:val="24"/>
        </w:rPr>
        <w:t>] is not registered. Unregistered trademarks can be valid and provide the trademark owner with the exclusive right to use that mark. Instruction [</w:t>
      </w:r>
      <w:r w:rsidR="00AE23FC" w:rsidRPr="002B283E">
        <w:rPr>
          <w:rFonts w:cs="Times New Roman"/>
          <w:i/>
          <w:iCs/>
          <w:szCs w:val="24"/>
          <w:u w:val="single"/>
        </w:rPr>
        <w:t>insert number of instruction regarding Trademark Elements and Burden of Proof, e.g., 15.6</w:t>
      </w:r>
      <w:r w:rsidR="00AE23FC" w:rsidRPr="002B283E">
        <w:rPr>
          <w:rFonts w:cs="Times New Roman"/>
          <w:szCs w:val="24"/>
        </w:rPr>
        <w:t>] requires the plaintiff to prove by a preponderance of the evidence that [</w:t>
      </w:r>
      <w:r w:rsidR="00AE23FC" w:rsidRPr="002B283E">
        <w:rPr>
          <w:rFonts w:cs="Times New Roman"/>
          <w:i/>
          <w:iCs/>
          <w:szCs w:val="24"/>
          <w:u w:val="single"/>
        </w:rPr>
        <w:t>describe plaintiff’s alleged trademark</w:t>
      </w:r>
      <w:r w:rsidR="00AE23FC" w:rsidRPr="002B283E">
        <w:rPr>
          <w:rFonts w:cs="Times New Roman"/>
          <w:szCs w:val="24"/>
        </w:rPr>
        <w:t xml:space="preserve">] is valid. A valid trademark is a [word, name, symbol, device, or any combination of these items] that is either: </w:t>
      </w:r>
    </w:p>
    <w:p w14:paraId="601896F0" w14:textId="77777777" w:rsidR="00AE23FC" w:rsidRPr="002B283E" w:rsidRDefault="00AE23FC" w:rsidP="002B283E">
      <w:pPr>
        <w:autoSpaceDE w:val="0"/>
        <w:autoSpaceDN w:val="0"/>
        <w:adjustRightInd w:val="0"/>
        <w:rPr>
          <w:rFonts w:cs="Times New Roman"/>
          <w:szCs w:val="24"/>
        </w:rPr>
      </w:pPr>
    </w:p>
    <w:p w14:paraId="2A636941"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inherently distinctive; or </w:t>
      </w:r>
    </w:p>
    <w:p w14:paraId="42C9A3F3" w14:textId="77777777" w:rsidR="00AE23FC" w:rsidRPr="002B283E" w:rsidRDefault="00AE23FC" w:rsidP="002B283E">
      <w:pPr>
        <w:autoSpaceDE w:val="0"/>
        <w:autoSpaceDN w:val="0"/>
        <w:adjustRightInd w:val="0"/>
        <w:ind w:left="1440" w:hanging="720"/>
        <w:rPr>
          <w:rFonts w:cs="Times New Roman"/>
          <w:szCs w:val="24"/>
        </w:rPr>
      </w:pPr>
    </w:p>
    <w:p w14:paraId="4CA38A1A"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descriptive but has acquired a secondary meaning. </w:t>
      </w:r>
    </w:p>
    <w:p w14:paraId="38F5E5B5" w14:textId="77777777" w:rsidR="00AE23FC" w:rsidRPr="002B283E" w:rsidRDefault="00AE23FC" w:rsidP="002B283E">
      <w:pPr>
        <w:autoSpaceDE w:val="0"/>
        <w:autoSpaceDN w:val="0"/>
        <w:adjustRightInd w:val="0"/>
        <w:rPr>
          <w:rFonts w:cs="Times New Roman"/>
          <w:szCs w:val="24"/>
        </w:rPr>
      </w:pPr>
    </w:p>
    <w:p w14:paraId="4C7A1790" w14:textId="6A03CB8C" w:rsidR="00AE23FC" w:rsidRPr="002B283E" w:rsidRDefault="00AE23FC" w:rsidP="002B283E">
      <w:pPr>
        <w:autoSpaceDE w:val="0"/>
        <w:autoSpaceDN w:val="0"/>
        <w:adjustRightInd w:val="0"/>
        <w:rPr>
          <w:rFonts w:cs="Times New Roman"/>
          <w:szCs w:val="24"/>
        </w:rPr>
      </w:pPr>
      <w:r w:rsidRPr="002B283E">
        <w:rPr>
          <w:rFonts w:cs="Times New Roman"/>
          <w:szCs w:val="24"/>
        </w:rPr>
        <w:tab/>
        <w:t>[Only a valid trademark can be infringed.] [Only if you determine plaintiff proved by a preponderance of the evidence that the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xml:space="preserve">] is a valid trademark should you consider whether plaintiff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 xml:space="preserve">] </w:t>
      </w:r>
      <w:r w:rsidRPr="002B283E">
        <w:rPr>
          <w:rFonts w:cs="Times New Roman"/>
          <w:szCs w:val="24"/>
        </w:rPr>
        <w:t>owns it or whether defendant</w:t>
      </w:r>
      <w:r w:rsidR="00412566">
        <w:rPr>
          <w:rFonts w:cs="Times New Roman"/>
          <w:szCs w:val="24"/>
        </w:rPr>
        <w:t xml:space="preserve">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w:t>
      </w:r>
      <w:r w:rsidRPr="002B283E">
        <w:rPr>
          <w:rFonts w:cs="Times New Roman"/>
          <w:szCs w:val="24"/>
        </w:rPr>
        <w:t>’s actions infringed it.]</w:t>
      </w:r>
    </w:p>
    <w:p w14:paraId="02E6BBBE" w14:textId="77777777" w:rsidR="00AE23FC" w:rsidRPr="002B283E" w:rsidRDefault="00AE23FC" w:rsidP="002B283E">
      <w:pPr>
        <w:autoSpaceDE w:val="0"/>
        <w:autoSpaceDN w:val="0"/>
        <w:adjustRightInd w:val="0"/>
        <w:rPr>
          <w:rFonts w:cs="Times New Roman"/>
          <w:szCs w:val="24"/>
        </w:rPr>
      </w:pPr>
    </w:p>
    <w:p w14:paraId="68BD25FD" w14:textId="3FBB6F8D" w:rsidR="00AE23FC" w:rsidRPr="002B283E" w:rsidRDefault="00AE23FC" w:rsidP="002B283E">
      <w:pPr>
        <w:autoSpaceDE w:val="0"/>
        <w:autoSpaceDN w:val="0"/>
        <w:adjustRightInd w:val="0"/>
        <w:rPr>
          <w:rFonts w:cs="Times New Roman"/>
          <w:szCs w:val="24"/>
        </w:rPr>
      </w:pPr>
      <w:r w:rsidRPr="002B283E">
        <w:rPr>
          <w:rFonts w:cs="Times New Roman"/>
          <w:szCs w:val="24"/>
        </w:rPr>
        <w:tab/>
        <w:t>Only if you determine that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is not inherently distinctive should you consider whether it is descriptive but became distinctive through the development of secondary meaning, as I will direct in Instruction [</w:t>
      </w:r>
      <w:r w:rsidRPr="002B283E">
        <w:rPr>
          <w:rFonts w:cs="Times New Roman"/>
          <w:i/>
          <w:iCs/>
          <w:szCs w:val="24"/>
          <w:u w:val="single"/>
        </w:rPr>
        <w:t>insert number of instruction regarding Distinctiveness and Secondary Meaning, e.g., 15.11</w:t>
      </w:r>
      <w:r w:rsidRPr="002B283E">
        <w:rPr>
          <w:rFonts w:cs="Times New Roman"/>
          <w:szCs w:val="24"/>
        </w:rPr>
        <w:t xml:space="preserve">]. </w:t>
      </w:r>
    </w:p>
    <w:p w14:paraId="3B673D12" w14:textId="77777777" w:rsidR="00AE23FC" w:rsidRPr="002B283E" w:rsidRDefault="00AE23FC" w:rsidP="002B283E">
      <w:pPr>
        <w:rPr>
          <w:rFonts w:cs="Times New Roman"/>
          <w:szCs w:val="24"/>
        </w:rPr>
      </w:pPr>
    </w:p>
    <w:p w14:paraId="029EA413" w14:textId="77777777" w:rsidR="00AE23FC" w:rsidRPr="002B283E" w:rsidRDefault="00AE23FC" w:rsidP="002B283E">
      <w:pPr>
        <w:autoSpaceDE w:val="0"/>
        <w:autoSpaceDN w:val="0"/>
        <w:adjustRightInd w:val="0"/>
        <w:jc w:val="center"/>
        <w:rPr>
          <w:rFonts w:cs="Times New Roman"/>
          <w:szCs w:val="24"/>
        </w:rPr>
      </w:pPr>
      <w:r w:rsidRPr="002B283E">
        <w:rPr>
          <w:rFonts w:cs="Times New Roman"/>
          <w:b/>
          <w:bCs/>
          <w:szCs w:val="24"/>
        </w:rPr>
        <w:t xml:space="preserve">Comment </w:t>
      </w:r>
    </w:p>
    <w:p w14:paraId="1B0919C9" w14:textId="77777777" w:rsidR="00AE23FC" w:rsidRPr="002B283E" w:rsidRDefault="00AE23FC" w:rsidP="002B283E">
      <w:pPr>
        <w:autoSpaceDE w:val="0"/>
        <w:autoSpaceDN w:val="0"/>
        <w:adjustRightInd w:val="0"/>
        <w:rPr>
          <w:rFonts w:cs="Times New Roman"/>
          <w:szCs w:val="24"/>
        </w:rPr>
      </w:pPr>
    </w:p>
    <w:p w14:paraId="472F064B" w14:textId="39C1D029" w:rsidR="00AE23FC" w:rsidRPr="002B283E" w:rsidRDefault="00AE23FC" w:rsidP="002B283E">
      <w:pPr>
        <w:autoSpaceDE w:val="0"/>
        <w:autoSpaceDN w:val="0"/>
        <w:adjustRightInd w:val="0"/>
        <w:rPr>
          <w:rFonts w:cs="Times New Roman"/>
          <w:szCs w:val="24"/>
        </w:rPr>
      </w:pPr>
      <w:r w:rsidRPr="002B283E">
        <w:rPr>
          <w:rFonts w:cs="Times New Roman"/>
          <w:szCs w:val="24"/>
        </w:rPr>
        <w:tab/>
        <w:t xml:space="preserve">A trademark is valid only if it is inherently distinctive or if it became distinctive through development of secondary meaning. </w:t>
      </w:r>
      <w:r w:rsidRPr="002B283E">
        <w:rPr>
          <w:rFonts w:cs="Times New Roman"/>
          <w:i/>
          <w:iCs/>
          <w:szCs w:val="24"/>
        </w:rPr>
        <w:t>Two Pesos, Inc. v. Taco Cabana, Int’l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932 F.2d 1113 (5th Cir. 1991), </w:t>
      </w:r>
      <w:r w:rsidRPr="002B283E">
        <w:rPr>
          <w:rFonts w:cs="Times New Roman"/>
          <w:i/>
          <w:iCs/>
          <w:szCs w:val="24"/>
        </w:rPr>
        <w:t>aff’d</w:t>
      </w:r>
      <w:r w:rsidRPr="002B283E">
        <w:rPr>
          <w:rFonts w:cs="Times New Roman"/>
          <w:szCs w:val="24"/>
        </w:rPr>
        <w:t xml:space="preserve">, 505 U.S. 763, 769 (1992). Whether a symbol acquired secondary meaning is a question of fact for the jury. </w:t>
      </w:r>
      <w:r w:rsidRPr="002B283E">
        <w:rPr>
          <w:rFonts w:cs="Times New Roman"/>
          <w:i/>
          <w:iCs/>
          <w:szCs w:val="24"/>
        </w:rPr>
        <w:t>See Transgo, Inc. v. Ajac Transmissions Parts Corp.</w:t>
      </w:r>
      <w:r w:rsidRPr="002B283E">
        <w:rPr>
          <w:rFonts w:cs="Times New Roman"/>
          <w:szCs w:val="24"/>
        </w:rPr>
        <w:t>, 768 F.2d 1001, 1015 (9th Cir. 1985)</w:t>
      </w:r>
      <w:r w:rsidR="00A87F6E">
        <w:rPr>
          <w:rFonts w:cs="Times New Roman"/>
          <w:szCs w:val="24"/>
        </w:rPr>
        <w:t xml:space="preserve">. </w:t>
      </w:r>
    </w:p>
    <w:p w14:paraId="721146A8" w14:textId="77777777" w:rsidR="00AE23FC" w:rsidRPr="002B283E" w:rsidRDefault="00AE23FC" w:rsidP="002B283E">
      <w:pPr>
        <w:autoSpaceDE w:val="0"/>
        <w:autoSpaceDN w:val="0"/>
        <w:adjustRightInd w:val="0"/>
        <w:rPr>
          <w:rFonts w:cs="Times New Roman"/>
          <w:szCs w:val="24"/>
        </w:rPr>
      </w:pPr>
    </w:p>
    <w:p w14:paraId="1BD08BF3" w14:textId="77777777" w:rsidR="00AE23FC" w:rsidRPr="002B283E" w:rsidRDefault="00AE23FC" w:rsidP="002B283E">
      <w:pPr>
        <w:autoSpaceDE w:val="0"/>
        <w:autoSpaceDN w:val="0"/>
        <w:adjustRightInd w:val="0"/>
        <w:ind w:firstLine="720"/>
        <w:rPr>
          <w:rFonts w:cs="Times New Roman"/>
          <w:szCs w:val="24"/>
        </w:rPr>
      </w:pPr>
      <w:bookmarkStart w:id="341" w:name="Instruction_15.9"/>
      <w:bookmarkEnd w:id="341"/>
      <w:r w:rsidRPr="002B283E">
        <w:rPr>
          <w:rFonts w:cs="Times New Roman"/>
          <w:szCs w:val="24"/>
        </w:rPr>
        <w:t>In trademark law, the Supreme Court has noted that using the term “secondary meaning”</w:t>
      </w:r>
    </w:p>
    <w:p w14:paraId="2A95B8E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when referring to descriptive non-word marks that have acquired “source-identifying meaning”</w:t>
      </w:r>
    </w:p>
    <w:p w14:paraId="4CE43928"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“is often a misnomer in that context, since non-word marks ordinarily have no ‘primary’</w:t>
      </w:r>
    </w:p>
    <w:p w14:paraId="6A71A44C"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and “[c]larity might well be served by using the term ‘acquired meaning’ in both the word-mark and the non-word-mark contexts.” </w:t>
      </w:r>
      <w:r w:rsidRPr="002B283E">
        <w:rPr>
          <w:rFonts w:cs="Times New Roman"/>
          <w:i/>
          <w:iCs/>
          <w:szCs w:val="24"/>
        </w:rPr>
        <w:t>Wal-Mart Stores, Inc. v. Samara Bros., Inc.</w:t>
      </w:r>
      <w:r w:rsidRPr="002B283E">
        <w:rPr>
          <w:rFonts w:cs="Times New Roman"/>
          <w:szCs w:val="24"/>
        </w:rPr>
        <w:t>, 529</w:t>
      </w:r>
    </w:p>
    <w:p w14:paraId="24B8DF9D"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U.S. 205, 211 n.* (2000). However, the Ninth Circuit continues to use the term “secondary</w:t>
      </w:r>
    </w:p>
    <w:p w14:paraId="63674201"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w:t>
      </w:r>
      <w:r w:rsidRPr="002B283E">
        <w:rPr>
          <w:rFonts w:cs="Times New Roman"/>
          <w:i/>
          <w:iCs/>
          <w:szCs w:val="24"/>
        </w:rPr>
        <w:t>See Jason Scott Collection, Inc. v. Trendily Furniture, LLC</w:t>
      </w:r>
      <w:r w:rsidRPr="002B283E">
        <w:rPr>
          <w:rFonts w:cs="Times New Roman"/>
          <w:szCs w:val="24"/>
        </w:rPr>
        <w:t>,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w:t>
      </w:r>
    </w:p>
    <w:p w14:paraId="0B5C1481" w14:textId="1DDA3F61" w:rsidR="00AE23FC" w:rsidRPr="002B283E" w:rsidRDefault="00AE23FC" w:rsidP="002B283E">
      <w:pPr>
        <w:autoSpaceDE w:val="0"/>
        <w:autoSpaceDN w:val="0"/>
        <w:adjustRightInd w:val="0"/>
        <w:rPr>
          <w:rFonts w:cs="Times New Roman"/>
          <w:i/>
          <w:iCs/>
          <w:szCs w:val="24"/>
        </w:rPr>
      </w:pPr>
      <w:r w:rsidRPr="002B283E">
        <w:rPr>
          <w:rFonts w:cs="Times New Roman"/>
          <w:szCs w:val="24"/>
        </w:rPr>
        <w:t>defendant’s product or service creates a likelihood of consumer confusion.”</w:t>
      </w:r>
      <w:r w:rsidR="00CE6E72">
        <w:rPr>
          <w:rFonts w:cs="Times New Roman"/>
          <w:szCs w:val="24"/>
        </w:rPr>
        <w:t>)</w:t>
      </w:r>
      <w:r w:rsidRPr="002B283E">
        <w:rPr>
          <w:rFonts w:cs="Times New Roman"/>
          <w:szCs w:val="24"/>
        </w:rPr>
        <w:t xml:space="preserve"> (citation omitted)); </w:t>
      </w:r>
      <w:r w:rsidRPr="002B283E">
        <w:rPr>
          <w:rFonts w:cs="Times New Roman"/>
          <w:i/>
          <w:iCs/>
          <w:szCs w:val="24"/>
        </w:rPr>
        <w:t>P &amp; P Imps. LLC v. Johnson Enters., LLC</w:t>
      </w:r>
      <w:r w:rsidRPr="002B283E">
        <w:rPr>
          <w:rFonts w:cs="Times New Roman"/>
          <w:szCs w:val="24"/>
        </w:rPr>
        <w:t>, 46 F.4th 953, 958 (9th Cir. 2022) (enumerating</w:t>
      </w:r>
    </w:p>
    <w:p w14:paraId="668B612B"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elements for trade dress infringement as “(1) the trade dress is nonfunctional, (2) the trade dress has acquired secondary meaning, and (3) there is a substantial likelihood of confusion between </w:t>
      </w:r>
      <w:r w:rsidRPr="002B283E">
        <w:rPr>
          <w:rFonts w:cs="Times New Roman"/>
          <w:szCs w:val="24"/>
        </w:rPr>
        <w:lastRenderedPageBreak/>
        <w:t>[the parties’] products.” (citation omitted)). If using the term “acquired meaning” would provide clarity for the jury in trademark cases involving non-word marks, the court may opt to use</w:t>
      </w:r>
    </w:p>
    <w:p w14:paraId="0C1B9354"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“acquired meaning” throughout its instructions in place of or in addition to “secondary</w:t>
      </w:r>
    </w:p>
    <w:p w14:paraId="18EFB5CA"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meaning.”</w:t>
      </w:r>
    </w:p>
    <w:p w14:paraId="3F1DC9AB" w14:textId="77777777" w:rsidR="00AE23FC" w:rsidRPr="002B283E" w:rsidRDefault="00AE23FC" w:rsidP="002B283E">
      <w:pPr>
        <w:autoSpaceDE w:val="0"/>
        <w:autoSpaceDN w:val="0"/>
        <w:adjustRightInd w:val="0"/>
        <w:rPr>
          <w:rFonts w:cs="Times New Roman"/>
          <w:szCs w:val="24"/>
        </w:rPr>
      </w:pPr>
    </w:p>
    <w:p w14:paraId="74CE834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 xml:space="preserve">Instruction 15.11 (Infringement—Elements—Validity—Distinctiveness—Secondary Meaning). </w:t>
      </w:r>
    </w:p>
    <w:p w14:paraId="31902D8A" w14:textId="77777777" w:rsidR="00AE23FC" w:rsidRPr="002B283E" w:rsidRDefault="00AE23FC" w:rsidP="002B283E">
      <w:pPr>
        <w:rPr>
          <w:rFonts w:cs="Times New Roman"/>
          <w:szCs w:val="24"/>
        </w:rPr>
      </w:pPr>
    </w:p>
    <w:p w14:paraId="2AF519CF" w14:textId="33AFC3EB" w:rsidR="00CE59AF" w:rsidRPr="002B283E" w:rsidRDefault="00AE23FC" w:rsidP="002B283E">
      <w:pPr>
        <w:jc w:val="right"/>
        <w:rPr>
          <w:rFonts w:cs="Times New Roman"/>
          <w:i/>
          <w:iCs/>
          <w:szCs w:val="24"/>
        </w:rPr>
      </w:pPr>
      <w:r w:rsidRPr="002B283E">
        <w:rPr>
          <w:rFonts w:cs="Times New Roman"/>
          <w:i/>
          <w:iCs/>
          <w:szCs w:val="24"/>
        </w:rPr>
        <w:t>Revised June 2024</w:t>
      </w:r>
    </w:p>
    <w:p w14:paraId="641EC4CA" w14:textId="17EBEF2C"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5FFCD032" w14:textId="50A92F2A" w:rsidR="00E7422E" w:rsidRPr="002B283E" w:rsidRDefault="006A4CD7" w:rsidP="008A04C2">
      <w:pPr>
        <w:pStyle w:val="Heading2"/>
      </w:pPr>
      <w:r w:rsidRPr="002B283E">
        <w:br w:type="page"/>
      </w:r>
      <w:bookmarkStart w:id="342" w:name="_Toc149646537"/>
      <w:bookmarkStart w:id="343" w:name="_Toc221525276"/>
      <w:r w:rsidR="00E7422E" w:rsidRPr="002B283E">
        <w:lastRenderedPageBreak/>
        <w:t>15.10 Infringement—Elements—Validity—Unregistered Marks—Distinctiveness</w:t>
      </w:r>
      <w:bookmarkEnd w:id="342"/>
      <w:bookmarkEnd w:id="343"/>
    </w:p>
    <w:p w14:paraId="00CBF4D2" w14:textId="77777777" w:rsidR="00E7422E" w:rsidRPr="002B283E" w:rsidRDefault="00E7422E" w:rsidP="002B283E">
      <w:pPr>
        <w:autoSpaceDE w:val="0"/>
        <w:autoSpaceDN w:val="0"/>
        <w:adjustRightInd w:val="0"/>
        <w:jc w:val="center"/>
        <w:rPr>
          <w:rFonts w:cs="Times New Roman"/>
          <w:b/>
          <w:bCs/>
          <w:szCs w:val="24"/>
        </w:rPr>
      </w:pPr>
      <w:r w:rsidRPr="002B283E">
        <w:rPr>
          <w:rFonts w:cs="Times New Roman"/>
          <w:b/>
          <w:bCs/>
          <w:szCs w:val="24"/>
        </w:rPr>
        <w:t>Strength as a Likelihood of Confusion Factor</w:t>
      </w:r>
    </w:p>
    <w:p w14:paraId="2B7BC9EC" w14:textId="77777777" w:rsidR="00E7422E" w:rsidRPr="002B283E" w:rsidRDefault="00E7422E" w:rsidP="002B283E">
      <w:pPr>
        <w:autoSpaceDE w:val="0"/>
        <w:autoSpaceDN w:val="0"/>
        <w:adjustRightInd w:val="0"/>
        <w:rPr>
          <w:rFonts w:cs="Times New Roman"/>
          <w:szCs w:val="24"/>
        </w:rPr>
      </w:pPr>
    </w:p>
    <w:p w14:paraId="30DF0989" w14:textId="058335B4" w:rsidR="00A46152" w:rsidRPr="002B283E" w:rsidRDefault="00A46152" w:rsidP="002B283E">
      <w:pPr>
        <w:pStyle w:val="paragraph"/>
        <w:spacing w:before="0" w:beforeAutospacing="0" w:after="0" w:afterAutospacing="0"/>
        <w:ind w:firstLine="720"/>
        <w:textAlignment w:val="baseline"/>
      </w:pPr>
      <w:r w:rsidRPr="002B283E">
        <w:t xml:space="preserve">In deciding whether there is infringement, an important factor is how strong and well-known a trademark is. </w:t>
      </w:r>
      <w:r w:rsidRPr="002B283E">
        <w:rPr>
          <w:rStyle w:val="normaltextrun"/>
          <w:rFonts w:eastAsiaTheme="majorEastAsia"/>
        </w:rPr>
        <w:t>[</w:t>
      </w:r>
      <w:r w:rsidRPr="002B283E">
        <w:rPr>
          <w:rStyle w:val="normaltextrun"/>
          <w:rFonts w:eastAsiaTheme="majorEastAsia"/>
          <w:i/>
          <w:iCs/>
        </w:rPr>
        <w:t xml:space="preserve">See </w:t>
      </w:r>
      <w:r w:rsidRPr="002B283E">
        <w:rPr>
          <w:rStyle w:val="normaltextrun"/>
          <w:rFonts w:eastAsiaTheme="majorEastAsia"/>
        </w:rPr>
        <w:t xml:space="preserve">Instruction </w:t>
      </w:r>
      <w:r w:rsidRPr="002B283E">
        <w:rPr>
          <w:rStyle w:val="normaltextrun"/>
          <w:rFonts w:eastAsiaTheme="majorEastAsia"/>
          <w:i/>
          <w:iCs/>
          <w:u w:val="single"/>
        </w:rPr>
        <w:t>insert number of instruction regarding Sleekcraft Test, e.g., 15.18</w:t>
      </w:r>
      <w:r w:rsidRPr="00412566">
        <w:rPr>
          <w:rStyle w:val="normaltextrun"/>
          <w:rFonts w:eastAsiaTheme="majorEastAsia"/>
          <w:i/>
          <w:iCs/>
        </w:rPr>
        <w:t xml:space="preserve"> </w:t>
      </w:r>
      <w:r w:rsidRPr="002B283E">
        <w:rPr>
          <w:rStyle w:val="normaltextrun"/>
          <w:rFonts w:eastAsiaTheme="majorEastAsia"/>
        </w:rPr>
        <w:t>for determining whether the trademark used by the defendant creates for consumers a likelihood of confusion with the plaintiff’s trademark].] </w:t>
      </w:r>
      <w:r w:rsidRPr="002B283E">
        <w:rPr>
          <w:rStyle w:val="eop"/>
          <w:rFonts w:eastAsiaTheme="majorEastAsia"/>
        </w:rPr>
        <w:t> </w:t>
      </w:r>
    </w:p>
    <w:p w14:paraId="777D91A0" w14:textId="77777777" w:rsidR="00A46152" w:rsidRPr="002B283E" w:rsidRDefault="00A46152" w:rsidP="002B283E">
      <w:pPr>
        <w:autoSpaceDE w:val="0"/>
        <w:autoSpaceDN w:val="0"/>
        <w:adjustRightInd w:val="0"/>
        <w:rPr>
          <w:rFonts w:cs="Times New Roman"/>
          <w:szCs w:val="24"/>
        </w:rPr>
      </w:pPr>
    </w:p>
    <w:p w14:paraId="2748A48F" w14:textId="30E7DCCB"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8A04C2">
        <w:rPr>
          <w:rFonts w:cs="Times New Roman"/>
          <w:i/>
          <w:iCs/>
          <w:szCs w:val="24"/>
          <w:u w:val="single"/>
        </w:rPr>
        <w:t>name</w:t>
      </w:r>
      <w:r w:rsidR="005F50EE">
        <w:rPr>
          <w:rFonts w:cs="Times New Roman"/>
          <w:szCs w:val="24"/>
        </w:rPr>
        <w:t xml:space="preserve">] </w:t>
      </w:r>
      <w:r w:rsidRPr="002B283E">
        <w:rPr>
          <w:rFonts w:cs="Times New Roman"/>
          <w:szCs w:val="24"/>
        </w:rPr>
        <w:t>asserts [</w:t>
      </w:r>
      <w:r w:rsidRPr="002B283E">
        <w:rPr>
          <w:rFonts w:cs="Times New Roman"/>
          <w:i/>
          <w:iCs/>
          <w:szCs w:val="24"/>
          <w:u w:val="single"/>
        </w:rPr>
        <w:t>insert claimed trademark</w:t>
      </w:r>
      <w:r w:rsidRPr="002B283E">
        <w:rPr>
          <w:rFonts w:cs="Times New Roman"/>
          <w:szCs w:val="24"/>
        </w:rPr>
        <w:t>] is a valid and protectable trademark for its [</w:t>
      </w:r>
      <w:r w:rsidRPr="002B283E">
        <w:rPr>
          <w:rFonts w:cs="Times New Roman"/>
          <w:i/>
          <w:iCs/>
          <w:szCs w:val="24"/>
          <w:u w:val="single"/>
        </w:rPr>
        <w:t>insert goods used in connection with the trademark</w:t>
      </w:r>
      <w:r w:rsidRPr="002B283E">
        <w:rPr>
          <w:rFonts w:cs="Times New Roman"/>
          <w:szCs w:val="24"/>
        </w:rPr>
        <w:t xml:space="preserv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contends that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use of [those] [similar] words in connection with the defendant’s [</w:t>
      </w:r>
      <w:r w:rsidRPr="002B283E">
        <w:rPr>
          <w:rFonts w:cs="Times New Roman"/>
          <w:i/>
          <w:iCs/>
          <w:szCs w:val="24"/>
          <w:u w:val="single"/>
        </w:rPr>
        <w:t>insert the defendant’s product or service or business</w:t>
      </w:r>
      <w:r w:rsidRPr="002B283E">
        <w:rPr>
          <w:rFonts w:cs="Times New Roman"/>
          <w:szCs w:val="24"/>
        </w:rPr>
        <w:t>] [[infringes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’s trademark] [and] [is likely to cause confusion about the [origin of goods] [business] associated with that trademark.]] To determine 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met its burden of showing that [</w:t>
      </w:r>
      <w:r w:rsidRPr="002B283E">
        <w:rPr>
          <w:rFonts w:cs="Times New Roman"/>
          <w:i/>
          <w:iCs/>
          <w:szCs w:val="24"/>
          <w:u w:val="single"/>
        </w:rPr>
        <w:t>insert claimed trademark</w:t>
      </w:r>
      <w:r w:rsidRPr="002B283E">
        <w:rPr>
          <w:rFonts w:cs="Times New Roman"/>
          <w:szCs w:val="24"/>
        </w:rPr>
        <w:t xml:space="preserve">] is a valid trademark, you should classify it on the spectrum of trademark distinctiveness that I will explain in this instruction. </w:t>
      </w:r>
    </w:p>
    <w:p w14:paraId="28DDB820" w14:textId="77777777" w:rsidR="00A46152" w:rsidRPr="002B283E" w:rsidRDefault="00A46152" w:rsidP="002B283E">
      <w:pPr>
        <w:autoSpaceDE w:val="0"/>
        <w:autoSpaceDN w:val="0"/>
        <w:adjustRightInd w:val="0"/>
        <w:rPr>
          <w:rFonts w:cs="Times New Roman"/>
          <w:szCs w:val="24"/>
        </w:rPr>
      </w:pPr>
    </w:p>
    <w:p w14:paraId="5CED639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1A135C86" w14:textId="77777777" w:rsidR="00A46152" w:rsidRPr="002B283E" w:rsidRDefault="00A46152" w:rsidP="002B283E">
      <w:pPr>
        <w:autoSpaceDE w:val="0"/>
        <w:autoSpaceDN w:val="0"/>
        <w:adjustRightInd w:val="0"/>
        <w:rPr>
          <w:rFonts w:cs="Times New Roman"/>
          <w:szCs w:val="24"/>
        </w:rPr>
      </w:pPr>
    </w:p>
    <w:p w14:paraId="73D13607"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Spectrum of Marks </w:t>
      </w:r>
    </w:p>
    <w:p w14:paraId="3C1290F8" w14:textId="77777777" w:rsidR="00A46152" w:rsidRPr="002B283E" w:rsidRDefault="00A46152" w:rsidP="002B283E">
      <w:pPr>
        <w:autoSpaceDE w:val="0"/>
        <w:autoSpaceDN w:val="0"/>
        <w:adjustRightInd w:val="0"/>
        <w:rPr>
          <w:rFonts w:cs="Times New Roman"/>
          <w:szCs w:val="24"/>
        </w:rPr>
      </w:pPr>
    </w:p>
    <w:p w14:paraId="2F505F9F" w14:textId="2EA497BF" w:rsidR="00A46152" w:rsidRPr="002B283E" w:rsidRDefault="00A46152" w:rsidP="002B283E">
      <w:pPr>
        <w:autoSpaceDE w:val="0"/>
        <w:autoSpaceDN w:val="0"/>
        <w:adjustRightInd w:val="0"/>
        <w:rPr>
          <w:rFonts w:cs="Times New Roman"/>
          <w:szCs w:val="24"/>
        </w:rPr>
      </w:pPr>
      <w:r w:rsidRPr="002B283E">
        <w:rPr>
          <w:rFonts w:cs="Times New Roman"/>
          <w:szCs w:val="24"/>
        </w:rPr>
        <w:tab/>
        <w:t>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To decide trademark protectability, you must consider whether a trademark is inherently distinctive. Trademarks are grouped into five categories according to their relative [strength] [distinctiveness]. These five categories are, in order of strength or distinctiveness: arbitrary (which is inherently distinctive), fanciful (also inherently distinctive), suggestive (also inherently distinctive), descriptive (which is protected only if it acquires in consumers’ minds a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w:t>
      </w:r>
      <w:r w:rsidR="00412566">
        <w:rPr>
          <w:rFonts w:cs="Times New Roman"/>
          <w:szCs w:val="24"/>
        </w:rPr>
        <w:t>,</w:t>
      </w:r>
      <w:r w:rsidRPr="002B283E">
        <w:rPr>
          <w:rFonts w:cs="Times New Roman"/>
          <w:szCs w:val="24"/>
        </w:rPr>
        <w:t xml:space="preserve"> and generic names (which are entitled to no protection). </w:t>
      </w:r>
    </w:p>
    <w:p w14:paraId="39713552" w14:textId="77777777" w:rsidR="00A46152" w:rsidRPr="002B283E" w:rsidRDefault="00A46152" w:rsidP="002B283E">
      <w:pPr>
        <w:autoSpaceDE w:val="0"/>
        <w:autoSpaceDN w:val="0"/>
        <w:adjustRightInd w:val="0"/>
        <w:rPr>
          <w:rFonts w:cs="Times New Roman"/>
          <w:b/>
          <w:bCs/>
          <w:szCs w:val="24"/>
        </w:rPr>
      </w:pPr>
    </w:p>
    <w:p w14:paraId="47176D78"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Arbitrary Trademarks.</w:t>
      </w:r>
      <w:r w:rsidRPr="002B283E">
        <w:rPr>
          <w:rFonts w:cs="Times New Roman"/>
          <w:szCs w:val="24"/>
        </w:rPr>
        <w:t xml:space="preserve"> The first category of trademarks is arbitrary trademarks. They are considered strong marks and are clearly protectable. They involve the arbitrary use of a word to designate the source of a product. Such a trademark is a word that in no way describes or has any relevance to the particular product it is meant to identify. It may be a common word used in an unfamiliar way. </w:t>
      </w:r>
    </w:p>
    <w:p w14:paraId="68CF76E6" w14:textId="77777777" w:rsidR="00A46152" w:rsidRPr="002B283E" w:rsidRDefault="00A46152" w:rsidP="002B283E">
      <w:pPr>
        <w:autoSpaceDE w:val="0"/>
        <w:autoSpaceDN w:val="0"/>
        <w:adjustRightInd w:val="0"/>
        <w:rPr>
          <w:rFonts w:cs="Times New Roman"/>
          <w:szCs w:val="24"/>
        </w:rPr>
      </w:pPr>
    </w:p>
    <w:p w14:paraId="7A113B61"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common word “apple” became a strong and inherently distinctive trademark when used by a company to identify the personal computers that company sold. The </w:t>
      </w:r>
      <w:r w:rsidRPr="002B283E">
        <w:rPr>
          <w:rFonts w:cs="Times New Roman"/>
          <w:szCs w:val="24"/>
        </w:rPr>
        <w:lastRenderedPageBreak/>
        <w:t>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21FF2AD" w14:textId="77777777" w:rsidR="00A46152" w:rsidRPr="002B283E" w:rsidRDefault="00A46152" w:rsidP="002B283E">
      <w:pPr>
        <w:autoSpaceDE w:val="0"/>
        <w:autoSpaceDN w:val="0"/>
        <w:adjustRightInd w:val="0"/>
        <w:rPr>
          <w:rFonts w:cs="Times New Roman"/>
          <w:szCs w:val="24"/>
        </w:rPr>
      </w:pPr>
    </w:p>
    <w:p w14:paraId="1EAD82D5" w14:textId="77777777" w:rsidR="00A46152" w:rsidRPr="002B283E" w:rsidRDefault="00A46152" w:rsidP="002B283E">
      <w:pPr>
        <w:autoSpaceDE w:val="0"/>
        <w:autoSpaceDN w:val="0"/>
        <w:adjustRightInd w:val="0"/>
        <w:ind w:firstLine="720"/>
        <w:rPr>
          <w:rFonts w:cs="Times New Roman"/>
          <w:b/>
          <w:bCs/>
          <w:szCs w:val="24"/>
        </w:rPr>
      </w:pPr>
      <w:r w:rsidRPr="002B283E">
        <w:rPr>
          <w:rFonts w:cs="Times New Roman"/>
          <w:b/>
          <w:bCs/>
          <w:szCs w:val="24"/>
        </w:rPr>
        <w:t>Fanciful (or Coined) Trademarks</w:t>
      </w:r>
      <w:r w:rsidRPr="002B283E">
        <w:rPr>
          <w:rFonts w:cs="Times New Roman"/>
          <w:szCs w:val="24"/>
        </w:rPr>
        <w:t>. The next category is fanciful (or coined) trademarks.</w:t>
      </w:r>
    </w:p>
    <w:p w14:paraId="4AA128FA" w14:textId="15AFECE5" w:rsidR="00A46152" w:rsidRPr="002B283E" w:rsidRDefault="00A46152" w:rsidP="002B283E">
      <w:pPr>
        <w:autoSpaceDE w:val="0"/>
        <w:autoSpaceDN w:val="0"/>
        <w:adjustRightInd w:val="0"/>
        <w:rPr>
          <w:rFonts w:cs="Times New Roman"/>
          <w:szCs w:val="24"/>
        </w:rPr>
      </w:pPr>
      <w:r w:rsidRPr="002B283E">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Such a trademark is a word that in no way describes or has any relevance to the particular product it is</w:t>
      </w:r>
      <w:r w:rsidR="005F50EE">
        <w:rPr>
          <w:rFonts w:cs="Times New Roman"/>
          <w:szCs w:val="24"/>
        </w:rPr>
        <w:t xml:space="preserve"> </w:t>
      </w:r>
      <w:r w:rsidRPr="002B283E">
        <w:rPr>
          <w:rFonts w:cs="Times New Roman"/>
          <w:szCs w:val="24"/>
        </w:rPr>
        <w:t>meant to identify. 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14:paraId="23ADEB3F"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 xml:space="preserve"> </w:t>
      </w:r>
    </w:p>
    <w:p w14:paraId="62268875"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Suggestive Trademarks.</w:t>
      </w:r>
      <w:r w:rsidRPr="002B283E">
        <w:rPr>
          <w:rFonts w:cs="Times New Roman"/>
          <w:szCs w:val="24"/>
        </w:rPr>
        <w:t xml:space="preserve"> The third category is suggestive trademarks. These trademarks are inherently distinctive but are considered weaker than arbitrary and fanciful trademarks. Unlike arbitrary trademarks, [which are in no way related to what the product is or its components, quality, or characteristics,] suggestive trademarks imply some characteristic or quality of the product to which they are attached. If the consumer must use imagination or any type of multi-stage reasoning to understand the trademark’s significance, then the trademark does not describe the product’s features, but merely suggests them. </w:t>
      </w:r>
    </w:p>
    <w:p w14:paraId="7B4DCFA9" w14:textId="77777777" w:rsidR="00A46152" w:rsidRPr="002B283E" w:rsidRDefault="00A46152" w:rsidP="002B283E">
      <w:pPr>
        <w:autoSpaceDE w:val="0"/>
        <w:autoSpaceDN w:val="0"/>
        <w:adjustRightInd w:val="0"/>
        <w:rPr>
          <w:rFonts w:cs="Times New Roman"/>
          <w:szCs w:val="24"/>
        </w:rPr>
      </w:pPr>
    </w:p>
    <w:p w14:paraId="73247A7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suggestive use of a word involves consumers associating the qualities the word suggests to the product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597AC247" w14:textId="77777777" w:rsidR="00A46152" w:rsidRPr="002B283E" w:rsidRDefault="00A46152" w:rsidP="002B283E">
      <w:pPr>
        <w:autoSpaceDE w:val="0"/>
        <w:autoSpaceDN w:val="0"/>
        <w:adjustRightInd w:val="0"/>
        <w:rPr>
          <w:rFonts w:cs="Times New Roman"/>
          <w:szCs w:val="24"/>
        </w:rPr>
      </w:pPr>
    </w:p>
    <w:p w14:paraId="557C0DA9"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 xml:space="preserve">Descriptive Trademarks. </w:t>
      </w:r>
      <w:r w:rsidRPr="002B283E">
        <w:rPr>
          <w:rFonts w:cs="Times New Roman"/>
          <w:szCs w:val="24"/>
        </w:rPr>
        <w:t xml:space="preserve">The fourth category is descriptive trademarks. These trademarks directly identify or describe some aspect, characteristic, or quality of the product to which they are affixed in a straightforward way that requires no exercise of imagination to be understood. </w:t>
      </w:r>
    </w:p>
    <w:p w14:paraId="1324ED81" w14:textId="77777777" w:rsidR="00A46152" w:rsidRPr="002B283E" w:rsidRDefault="00A46152" w:rsidP="002B283E">
      <w:pPr>
        <w:autoSpaceDE w:val="0"/>
        <w:autoSpaceDN w:val="0"/>
        <w:adjustRightInd w:val="0"/>
        <w:rPr>
          <w:rFonts w:cs="Times New Roman"/>
          <w:szCs w:val="24"/>
        </w:rPr>
      </w:pPr>
    </w:p>
    <w:p w14:paraId="0AB830E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word “apple” is descriptive when used in the trademark “CranApple” to designate a cranberry-apple juice. It directly describes ingredients of the juice. Other common types of descriptive trademarks identify where a product comes from, or the name of the person who makes or sells the product.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“Apple Valley Juice”) she is making a descriptive use of her personal name to indicate and describe who produced the apple cider [and she is using her first name as a descriptive trademark.] </w:t>
      </w:r>
    </w:p>
    <w:p w14:paraId="5739BD60" w14:textId="77777777" w:rsidR="00A46152" w:rsidRPr="002B283E" w:rsidRDefault="00A46152" w:rsidP="002B283E">
      <w:pPr>
        <w:autoSpaceDE w:val="0"/>
        <w:autoSpaceDN w:val="0"/>
        <w:adjustRightInd w:val="0"/>
        <w:rPr>
          <w:rFonts w:cs="Times New Roman"/>
          <w:szCs w:val="24"/>
        </w:rPr>
      </w:pPr>
    </w:p>
    <w:p w14:paraId="5D22FE70" w14:textId="7765AEC0" w:rsidR="00A46152" w:rsidRPr="002B283E" w:rsidRDefault="00A46152" w:rsidP="002B283E">
      <w:pPr>
        <w:pStyle w:val="paragraph"/>
        <w:spacing w:before="0" w:beforeAutospacing="0" w:after="0" w:afterAutospacing="0"/>
        <w:ind w:firstLine="720"/>
        <w:textAlignment w:val="baseline"/>
      </w:pPr>
      <w:r w:rsidRPr="002B283E">
        <w:rPr>
          <w:rStyle w:val="normaltextrun"/>
          <w:rFonts w:eastAsiaTheme="majorEastAsia"/>
          <w:b/>
          <w:bCs/>
        </w:rPr>
        <w:t>Generic Names</w:t>
      </w:r>
      <w:r w:rsidRPr="002B283E">
        <w:rPr>
          <w:rStyle w:val="normaltextrun"/>
          <w:rFonts w:eastAsiaTheme="majorEastAsia"/>
        </w:rPr>
        <w:t>. The fifth and final category is entitled to no protection at all. They are called generic terms and are the names of a product, as opposed to a term that designates the source of a product. Generic names are part of our common language that we need to identify all such similar products. A generic name is a name for the product on which it appears</w:t>
      </w:r>
      <w:r w:rsidR="00E54E76">
        <w:rPr>
          <w:rStyle w:val="normaltextrun"/>
          <w:rFonts w:eastAsiaTheme="majorEastAsia"/>
        </w:rPr>
        <w:t xml:space="preserve">. </w:t>
      </w:r>
    </w:p>
    <w:p w14:paraId="2288047A" w14:textId="77777777" w:rsidR="00A46152" w:rsidRPr="002B283E" w:rsidRDefault="00A46152" w:rsidP="002B283E">
      <w:pPr>
        <w:autoSpaceDE w:val="0"/>
        <w:autoSpaceDN w:val="0"/>
        <w:adjustRightInd w:val="0"/>
        <w:rPr>
          <w:rFonts w:cs="Times New Roman"/>
          <w:szCs w:val="24"/>
        </w:rPr>
      </w:pPr>
    </w:p>
    <w:p w14:paraId="15871317" w14:textId="191FD10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If the primary significance of the alleged mark is to name the type of product rather than the manufacturer, the term is a generic name and cannot be a valid trademark. If the majority of [relevant] consumers would understand the term to name the type of product rather than the manufacturer, the primary significance of the term is generic and not entitled to protection as a trademark. </w:t>
      </w:r>
    </w:p>
    <w:p w14:paraId="79F419DE" w14:textId="77777777" w:rsidR="00A46152" w:rsidRPr="002B283E" w:rsidRDefault="00A46152" w:rsidP="002B283E">
      <w:pPr>
        <w:autoSpaceDE w:val="0"/>
        <w:autoSpaceDN w:val="0"/>
        <w:adjustRightInd w:val="0"/>
        <w:rPr>
          <w:rFonts w:cs="Times New Roman"/>
          <w:szCs w:val="24"/>
        </w:rPr>
      </w:pPr>
    </w:p>
    <w:p w14:paraId="2491428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The word “apple” can be used as a generic name and not be entitled to any trademark protection. This occurs when the word is used to identify the fruit from an apple tree.</w:t>
      </w:r>
    </w:p>
    <w:p w14:paraId="73B2DA16" w14:textId="77777777" w:rsidR="00A46152" w:rsidRPr="002B283E" w:rsidRDefault="00A46152" w:rsidP="002B283E">
      <w:pPr>
        <w:autoSpaceDE w:val="0"/>
        <w:autoSpaceDN w:val="0"/>
        <w:adjustRightInd w:val="0"/>
        <w:rPr>
          <w:rFonts w:cs="Times New Roman"/>
          <w:szCs w:val="24"/>
        </w:rPr>
      </w:pPr>
    </w:p>
    <w:p w14:paraId="2F65670B"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 </w:t>
      </w:r>
    </w:p>
    <w:p w14:paraId="602EDDF2" w14:textId="77777777" w:rsidR="00A46152" w:rsidRPr="002B283E" w:rsidRDefault="00A46152" w:rsidP="002B283E">
      <w:pPr>
        <w:rPr>
          <w:rFonts w:cs="Times New Roman"/>
          <w:szCs w:val="24"/>
        </w:rPr>
      </w:pPr>
    </w:p>
    <w:p w14:paraId="01057BAA"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Mark Distinctiveness and Validity </w:t>
      </w:r>
    </w:p>
    <w:p w14:paraId="4A65C7B4" w14:textId="77777777" w:rsidR="00A46152" w:rsidRPr="002B283E" w:rsidRDefault="00A46152" w:rsidP="002B283E">
      <w:pPr>
        <w:rPr>
          <w:rFonts w:cs="Times New Roman"/>
          <w:szCs w:val="24"/>
        </w:rPr>
      </w:pPr>
    </w:p>
    <w:p w14:paraId="3DAB1EE8"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xml:space="preserve">] is arbitrary or suggestive, it is considered inherently distinctive. An inherently distinctive trademark is valid and protectable. </w:t>
      </w:r>
    </w:p>
    <w:p w14:paraId="68CD7967" w14:textId="77777777" w:rsidR="00A46152" w:rsidRPr="002B283E" w:rsidRDefault="00A46152" w:rsidP="002B283E">
      <w:pPr>
        <w:autoSpaceDE w:val="0"/>
        <w:autoSpaceDN w:val="0"/>
        <w:adjustRightInd w:val="0"/>
        <w:rPr>
          <w:rFonts w:cs="Times New Roman"/>
          <w:szCs w:val="24"/>
        </w:rPr>
      </w:pPr>
    </w:p>
    <w:p w14:paraId="2DB75D6E" w14:textId="082018EA" w:rsidR="00A46152" w:rsidRPr="002B283E" w:rsidRDefault="00A46152" w:rsidP="002B283E">
      <w:pPr>
        <w:autoSpaceDE w:val="0"/>
        <w:autoSpaceDN w:val="0"/>
        <w:adjustRightInd w:val="0"/>
        <w:rPr>
          <w:rFonts w:cs="Times New Roman"/>
          <w:szCs w:val="24"/>
        </w:rPr>
      </w:pPr>
      <w:r w:rsidRPr="002B283E">
        <w:rPr>
          <w:rFonts w:cs="Times New Roman"/>
          <w:szCs w:val="24"/>
        </w:rPr>
        <w:tab/>
        <w:t>On the other hand, if you determine that [</w:t>
      </w:r>
      <w:r w:rsidRPr="002B283E">
        <w:rPr>
          <w:rFonts w:cs="Times New Roman"/>
          <w:i/>
          <w:iCs/>
          <w:szCs w:val="24"/>
          <w:u w:val="single"/>
        </w:rPr>
        <w:t>insert the plaintiff’s claimed trademark</w:t>
      </w:r>
      <w:r w:rsidRPr="002B283E">
        <w:rPr>
          <w:rFonts w:cs="Times New Roman"/>
          <w:szCs w:val="24"/>
        </w:rPr>
        <w:t xml:space="preserve">] is generic, it cannot be distinctive and therefore is not valid nor protectable. You must render a verdict for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on the charge of infringement in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6E8805D9" w14:textId="77777777" w:rsidR="00A46152" w:rsidRPr="002B283E" w:rsidRDefault="00A46152" w:rsidP="002B283E">
      <w:pPr>
        <w:autoSpaceDE w:val="0"/>
        <w:autoSpaceDN w:val="0"/>
        <w:adjustRightInd w:val="0"/>
        <w:rPr>
          <w:rFonts w:cs="Times New Roman"/>
          <w:szCs w:val="24"/>
        </w:rPr>
      </w:pPr>
    </w:p>
    <w:p w14:paraId="73553B3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is descriptive, you will not know if the trademark is valid or invalid until you consider whether it has gained distinctiveness by the acquisition of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w:t>
      </w:r>
    </w:p>
    <w:p w14:paraId="27CD5751" w14:textId="77777777" w:rsidR="00A46152" w:rsidRPr="002B283E" w:rsidRDefault="00A46152" w:rsidP="002B283E">
      <w:pPr>
        <w:autoSpaceDE w:val="0"/>
        <w:autoSpaceDN w:val="0"/>
        <w:adjustRightInd w:val="0"/>
        <w:rPr>
          <w:rFonts w:cs="Times New Roman"/>
          <w:szCs w:val="24"/>
        </w:rPr>
      </w:pPr>
    </w:p>
    <w:p w14:paraId="0B9B8A08"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90B12F2" w14:textId="77777777" w:rsidR="00A46152" w:rsidRPr="002B283E" w:rsidRDefault="00A46152" w:rsidP="002B283E">
      <w:pPr>
        <w:autoSpaceDE w:val="0"/>
        <w:autoSpaceDN w:val="0"/>
        <w:adjustRightInd w:val="0"/>
        <w:rPr>
          <w:rFonts w:cs="Times New Roman"/>
          <w:szCs w:val="24"/>
        </w:rPr>
      </w:pPr>
    </w:p>
    <w:p w14:paraId="68E2B709"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modifications in a case involving service marks, collective trade or service marks, or certification trade or service marks. </w:t>
      </w:r>
      <w:r w:rsidRPr="002B283E">
        <w:rPr>
          <w:rFonts w:cs="Times New Roman"/>
          <w:szCs w:val="24"/>
        </w:rPr>
        <w:lastRenderedPageBreak/>
        <w:t xml:space="preserve">Often this adjustment is possible by inserting the term service, service mark, collective mark, etc., in lieu of the words “product” and “trademark” in this instruction. </w:t>
      </w:r>
    </w:p>
    <w:p w14:paraId="5C94CE67" w14:textId="77777777" w:rsidR="00A46152" w:rsidRPr="002B283E" w:rsidRDefault="00A46152" w:rsidP="002B283E">
      <w:pPr>
        <w:autoSpaceDE w:val="0"/>
        <w:autoSpaceDN w:val="0"/>
        <w:adjustRightInd w:val="0"/>
        <w:rPr>
          <w:rFonts w:cs="Times New Roman"/>
          <w:szCs w:val="24"/>
        </w:rPr>
      </w:pPr>
    </w:p>
    <w:p w14:paraId="53BF221A"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While the elements of mark distinctiveness are the same in determining mark validity or likelihood of confusion, use Instruction 15.19 (Infringement—Likelihood of Confusion—Factor—Strength [Distinctiveness] of Trademark) for assessing distinctiveness in the context of alleged infringement of a valid mark; use</w:t>
      </w:r>
      <w:r w:rsidRPr="002B283E">
        <w:rPr>
          <w:rFonts w:cs="Times New Roman"/>
          <w:b/>
          <w:bCs/>
          <w:szCs w:val="24"/>
        </w:rPr>
        <w:t xml:space="preserve"> </w:t>
      </w:r>
      <w:r w:rsidRPr="002B283E">
        <w:rPr>
          <w:rFonts w:cs="Times New Roman"/>
          <w:szCs w:val="24"/>
        </w:rPr>
        <w:t>this instruction (15.10) if distinctiveness goes to the question of whether a mark can be protected as a valid mark.</w:t>
      </w:r>
    </w:p>
    <w:p w14:paraId="668C33BB" w14:textId="77777777" w:rsidR="00A46152" w:rsidRPr="002B283E" w:rsidRDefault="00A46152" w:rsidP="002B283E">
      <w:pPr>
        <w:autoSpaceDE w:val="0"/>
        <w:autoSpaceDN w:val="0"/>
        <w:adjustRightInd w:val="0"/>
        <w:rPr>
          <w:rFonts w:cs="Times New Roman"/>
          <w:szCs w:val="24"/>
        </w:rPr>
      </w:pPr>
    </w:p>
    <w:p w14:paraId="2BA9898A" w14:textId="69EE36A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is based upon the test in </w:t>
      </w:r>
      <w:r w:rsidRPr="002B283E">
        <w:rPr>
          <w:rFonts w:cs="Times New Roman"/>
          <w:i/>
          <w:iCs/>
          <w:szCs w:val="24"/>
        </w:rPr>
        <w:t>Abercrombie &amp; Fitch Co. v. Hunting World, Inc</w:t>
      </w:r>
      <w:r w:rsidRPr="002B283E">
        <w:rPr>
          <w:rFonts w:cs="Times New Roman"/>
          <w:szCs w:val="24"/>
        </w:rPr>
        <w:t xml:space="preserve">., 537 F.2d 4, 10-11 (2d Cir.1976) (setting forth spectrum of marks from arbitrary to generic). The Supreme Court notes this case sets out a “classic test” of trademark strength. </w:t>
      </w:r>
      <w:r w:rsidRPr="002B283E">
        <w:rPr>
          <w:rFonts w:cs="Times New Roman"/>
          <w:i/>
          <w:iCs/>
          <w:szCs w:val="24"/>
        </w:rPr>
        <w:t>Wal-Mart Stores, Inc., v. Samara Brothers, Inc.</w:t>
      </w:r>
      <w:r w:rsidRPr="002B283E">
        <w:rPr>
          <w:rFonts w:cs="Times New Roman"/>
          <w:szCs w:val="24"/>
        </w:rPr>
        <w:t xml:space="preserve">, 529 U.S. 205, 210 (2000). It sets out the traditional spectrum of marks. </w:t>
      </w:r>
      <w:r w:rsidRPr="002B283E">
        <w:rPr>
          <w:rFonts w:cs="Times New Roman"/>
          <w:i/>
          <w:iCs/>
          <w:szCs w:val="24"/>
        </w:rPr>
        <w:t>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r w:rsidRPr="002B283E">
        <w:rPr>
          <w:rFonts w:cs="Times New Roman"/>
          <w:i/>
          <w:iCs/>
          <w:szCs w:val="24"/>
        </w:rPr>
        <w:t>Surfvivor Media, Inc. v. Survivor 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iCs/>
          <w:szCs w:val="24"/>
        </w:rPr>
        <w:t>See also KP Permanent Make-Up, Inc. v. Lasting Impression I, Inc</w:t>
      </w:r>
      <w:r w:rsidRPr="002B283E">
        <w:rPr>
          <w:rFonts w:cs="Times New Roman"/>
          <w:szCs w:val="24"/>
        </w:rPr>
        <w:t xml:space="preserve">., 328 F.3d 1061, 1067 (9th Cir. 2003) (noting that trademark categories of arbitrary and fanciful “are deemed inherently distinctive and are automatically entitled to protection”), </w:t>
      </w:r>
      <w:r w:rsidRPr="002B283E">
        <w:rPr>
          <w:rFonts w:cs="Times New Roman"/>
          <w:i/>
          <w:iCs/>
          <w:szCs w:val="24"/>
        </w:rPr>
        <w:t>vacated on other grounds</w:t>
      </w:r>
      <w:r w:rsidRPr="002B283E">
        <w:rPr>
          <w:rFonts w:cs="Times New Roman"/>
          <w:szCs w:val="24"/>
        </w:rPr>
        <w:t>, 543 U.S. 111 (2004)</w:t>
      </w:r>
      <w:r w:rsidR="00412566">
        <w:rPr>
          <w:rFonts w:cs="Times New Roman"/>
          <w:szCs w:val="24"/>
        </w:rPr>
        <w:t>;</w:t>
      </w:r>
      <w:r w:rsidRPr="002B283E">
        <w:rPr>
          <w:rFonts w:cs="Times New Roman"/>
          <w:szCs w:val="24"/>
        </w:rPr>
        <w:t xml:space="preserve"> </w:t>
      </w:r>
      <w:r w:rsidRPr="002B283E">
        <w:rPr>
          <w:rFonts w:cs="Times New Roman"/>
          <w:i/>
          <w:iCs/>
          <w:szCs w:val="24"/>
        </w:rPr>
        <w:t>U.S. Pat. &amp; Trademark Off. v. Booking.com B.V</w:t>
      </w:r>
      <w:r w:rsidRPr="006C5F19">
        <w:rPr>
          <w:rFonts w:cs="Times New Roman"/>
          <w:i/>
          <w:iCs/>
          <w:szCs w:val="24"/>
        </w:rPr>
        <w:t>.</w:t>
      </w:r>
      <w:r w:rsidRPr="008A04C2">
        <w:rPr>
          <w:rFonts w:cs="Times New Roman"/>
          <w:szCs w:val="24"/>
        </w:rPr>
        <w:t xml:space="preserve">, </w:t>
      </w:r>
      <w:r w:rsidR="006C5F19" w:rsidRPr="008A04C2">
        <w:rPr>
          <w:rFonts w:cs="Times New Roman"/>
          <w:szCs w:val="24"/>
        </w:rPr>
        <w:t>591 U.S. 549</w:t>
      </w:r>
      <w:r w:rsidRPr="006C5F19">
        <w:rPr>
          <w:rFonts w:cs="Times New Roman"/>
          <w:szCs w:val="24"/>
        </w:rPr>
        <w:t>,</w:t>
      </w:r>
      <w:r w:rsidR="006C5F19">
        <w:rPr>
          <w:rFonts w:cs="Times New Roman"/>
          <w:szCs w:val="24"/>
        </w:rPr>
        <w:t xml:space="preserve"> 564</w:t>
      </w:r>
      <w:r w:rsidRPr="002B283E">
        <w:rPr>
          <w:rFonts w:cs="Times New Roman"/>
          <w:szCs w:val="24"/>
        </w:rPr>
        <w:t xml:space="preserve"> (2020) (rejecting proposition that combining generic term with “.com” yields generic composite)</w:t>
      </w:r>
      <w:r w:rsidR="00A87F6E">
        <w:rPr>
          <w:rFonts w:cs="Times New Roman"/>
          <w:szCs w:val="24"/>
        </w:rPr>
        <w:t xml:space="preserve">. </w:t>
      </w:r>
    </w:p>
    <w:p w14:paraId="220E4F99" w14:textId="77777777" w:rsidR="00A46152" w:rsidRPr="002B283E" w:rsidRDefault="00A46152" w:rsidP="002B283E">
      <w:pPr>
        <w:autoSpaceDE w:val="0"/>
        <w:autoSpaceDN w:val="0"/>
        <w:adjustRightInd w:val="0"/>
        <w:rPr>
          <w:rFonts w:cs="Times New Roman"/>
          <w:szCs w:val="24"/>
        </w:rPr>
      </w:pPr>
    </w:p>
    <w:p w14:paraId="1A10599B" w14:textId="3F07DC9A"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mark’s strength is equivalent to its distinctiveness. </w:t>
      </w:r>
      <w:r w:rsidRPr="002B283E">
        <w:rPr>
          <w:rFonts w:cs="Times New Roman"/>
          <w:i/>
          <w:iCs/>
          <w:szCs w:val="24"/>
        </w:rPr>
        <w:t>E. &amp; J. Gallo Winery v. Gallo Cattle Co.</w:t>
      </w:r>
      <w:r w:rsidRPr="002B283E">
        <w:rPr>
          <w:rFonts w:cs="Times New Roman"/>
          <w:szCs w:val="24"/>
        </w:rPr>
        <w:t xml:space="preserve">, 967 F.2d 1280, 1291 (9th Cir. 1992). Since 1988, the Ninth Circuit has utilized a two-prong test of mark strength. </w:t>
      </w:r>
      <w:r w:rsidRPr="002B283E">
        <w:rPr>
          <w:rFonts w:cs="Times New Roman"/>
          <w:i/>
          <w:iCs/>
          <w:szCs w:val="24"/>
        </w:rPr>
        <w:t>See GoTo.Com, Inc. v. Walt Disney Co.</w:t>
      </w:r>
      <w:r w:rsidRPr="002B283E">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2B283E">
        <w:rPr>
          <w:rFonts w:cs="Times New Roman"/>
          <w:i/>
          <w:iCs/>
          <w:szCs w:val="24"/>
        </w:rPr>
        <w:t xml:space="preserve"> 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Japan Telecom, Inc. v. Japan Telecom Am., Inc</w:t>
      </w:r>
      <w:r w:rsidRPr="002B283E">
        <w:rPr>
          <w:rFonts w:cs="Times New Roman"/>
          <w:szCs w:val="24"/>
        </w:rPr>
        <w:t xml:space="preserve">., 287 F.3d 866, 873-74 (9th Cir. 2002) (noting that descriptive trade name is not protectable unless owner shows it acquired secondary meaning and applying strength of mark analysis to tradename). </w:t>
      </w:r>
    </w:p>
    <w:p w14:paraId="004A4B8E" w14:textId="77777777" w:rsidR="00A46152" w:rsidRPr="002B283E" w:rsidRDefault="00A46152" w:rsidP="002B283E">
      <w:pPr>
        <w:autoSpaceDE w:val="0"/>
        <w:autoSpaceDN w:val="0"/>
        <w:adjustRightInd w:val="0"/>
        <w:rPr>
          <w:rFonts w:cs="Times New Roman"/>
          <w:szCs w:val="24"/>
        </w:rPr>
      </w:pPr>
    </w:p>
    <w:p w14:paraId="3D413B90" w14:textId="46443774"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Traditionally, the Ninth Circuit has </w:t>
      </w:r>
      <w:r w:rsidR="00CE6E72">
        <w:rPr>
          <w:rFonts w:cs="Times New Roman"/>
          <w:szCs w:val="24"/>
        </w:rPr>
        <w:t xml:space="preserve">held </w:t>
      </w:r>
      <w:r w:rsidRPr="002B283E">
        <w:rPr>
          <w:rFonts w:cs="Times New Roman"/>
          <w:szCs w:val="24"/>
        </w:rPr>
        <w:t xml:space="preserve">that even though a mark has become incontestable, this status does not necessarily mean that it is a strong mark. </w:t>
      </w:r>
      <w:r w:rsidRPr="002B283E">
        <w:rPr>
          <w:rFonts w:cs="Times New Roman"/>
          <w:i/>
          <w:iCs/>
          <w:szCs w:val="24"/>
        </w:rPr>
        <w:t>See Miss World (UK) Ltd. v. Mrs. Am. Pageants</w:t>
      </w:r>
      <w:r w:rsidRPr="002B283E">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2B283E">
        <w:rPr>
          <w:rFonts w:cs="Times New Roman"/>
          <w:i/>
          <w:iCs/>
          <w:szCs w:val="24"/>
        </w:rPr>
        <w:t xml:space="preserve">Entrepreneur Media, </w:t>
      </w:r>
      <w:r w:rsidRPr="002B283E">
        <w:rPr>
          <w:rFonts w:cs="Times New Roman"/>
          <w:szCs w:val="24"/>
        </w:rPr>
        <w:t>[</w:t>
      </w:r>
      <w:r w:rsidRPr="002B283E">
        <w:rPr>
          <w:rFonts w:cs="Times New Roman"/>
          <w:i/>
          <w:iCs/>
          <w:szCs w:val="24"/>
        </w:rPr>
        <w:t>Inc. v. Smith</w:t>
      </w:r>
      <w:r w:rsidRPr="002B283E">
        <w:rPr>
          <w:rFonts w:cs="Times New Roman"/>
          <w:szCs w:val="24"/>
        </w:rPr>
        <w:t xml:space="preserve">,] 279 F.3d [1135, 1142 n.3 (9th Cir. 2002)]. This means that a defendant in a trademark infringement action cannot assert that an incontestable mark is invalid because it is descriptive and lacks secondary meaning. </w:t>
      </w:r>
      <w:r w:rsidRPr="002B283E">
        <w:rPr>
          <w:rFonts w:cs="Times New Roman"/>
          <w:i/>
          <w:iCs/>
          <w:szCs w:val="24"/>
        </w:rPr>
        <w:t>Park ’N Fly</w:t>
      </w:r>
      <w:r w:rsidRPr="002B283E">
        <w:rPr>
          <w:rFonts w:cs="Times New Roman"/>
          <w:szCs w:val="24"/>
        </w:rPr>
        <w:t xml:space="preserve">, 469 U.S. at 205.” </w:t>
      </w:r>
      <w:r w:rsidRPr="002B283E">
        <w:rPr>
          <w:rFonts w:cs="Times New Roman"/>
          <w:i/>
          <w:iCs/>
          <w:szCs w:val="24"/>
        </w:rPr>
        <w:t>KP Permanent Make-Up, Inc.</w:t>
      </w:r>
      <w:r w:rsidRPr="002B283E">
        <w:rPr>
          <w:rFonts w:cs="Times New Roman"/>
          <w:szCs w:val="24"/>
        </w:rPr>
        <w:t xml:space="preserve">, 328 F.3d at 1071. </w:t>
      </w:r>
      <w:r w:rsidRPr="002B283E">
        <w:rPr>
          <w:rFonts w:cs="Times New Roman"/>
          <w:i/>
          <w:iCs/>
          <w:szCs w:val="24"/>
        </w:rPr>
        <w:t>See id.</w:t>
      </w:r>
      <w:r w:rsidRPr="002B283E">
        <w:rPr>
          <w:rFonts w:cs="Times New Roman"/>
          <w:szCs w:val="24"/>
        </w:rPr>
        <w:t xml:space="preserve"> (holding that trademark’s “incontestable registration is conclusive evidence that the mark is non-descriptive or has acquired secondary meaning, and there is no need to </w:t>
      </w:r>
      <w:r w:rsidRPr="002B283E">
        <w:rPr>
          <w:rFonts w:cs="Times New Roman"/>
          <w:szCs w:val="24"/>
        </w:rPr>
        <w:lastRenderedPageBreak/>
        <w:t xml:space="preserve">require a showing of secondary meaning” of the mark), </w:t>
      </w:r>
      <w:r w:rsidRPr="002B283E">
        <w:rPr>
          <w:rFonts w:cs="Times New Roman"/>
          <w:i/>
          <w:iCs/>
          <w:szCs w:val="24"/>
        </w:rPr>
        <w:t>vacated on other grounds</w:t>
      </w:r>
      <w:r w:rsidRPr="002B283E">
        <w:rPr>
          <w:rFonts w:cs="Times New Roman"/>
          <w:szCs w:val="24"/>
        </w:rPr>
        <w:t>, 543 U.S. 111 (2004).</w:t>
      </w:r>
    </w:p>
    <w:p w14:paraId="0A96C6E7" w14:textId="77777777" w:rsidR="00A46152" w:rsidRPr="002B283E" w:rsidRDefault="00A46152" w:rsidP="002B283E">
      <w:pPr>
        <w:autoSpaceDE w:val="0"/>
        <w:autoSpaceDN w:val="0"/>
        <w:adjustRightInd w:val="0"/>
        <w:rPr>
          <w:rFonts w:cs="Times New Roman"/>
          <w:szCs w:val="24"/>
        </w:rPr>
      </w:pPr>
    </w:p>
    <w:p w14:paraId="555947A3" w14:textId="77777777" w:rsidR="00A46152" w:rsidRPr="008A04C2" w:rsidRDefault="00A46152" w:rsidP="002B283E">
      <w:pPr>
        <w:autoSpaceDE w:val="0"/>
        <w:autoSpaceDN w:val="0"/>
        <w:adjustRightInd w:val="0"/>
        <w:jc w:val="center"/>
        <w:rPr>
          <w:rFonts w:cs="Times New Roman"/>
          <w:b/>
          <w:bCs/>
          <w:i/>
          <w:iCs/>
          <w:szCs w:val="24"/>
        </w:rPr>
      </w:pPr>
      <w:r w:rsidRPr="008A04C2">
        <w:rPr>
          <w:rFonts w:cs="Times New Roman"/>
          <w:b/>
          <w:bCs/>
          <w:i/>
          <w:iCs/>
          <w:szCs w:val="24"/>
        </w:rPr>
        <w:t>Supplemental Instructions</w:t>
      </w:r>
    </w:p>
    <w:p w14:paraId="5D1E0923" w14:textId="77777777" w:rsidR="00A46152" w:rsidRPr="002B283E" w:rsidRDefault="00A46152" w:rsidP="002B283E">
      <w:pPr>
        <w:autoSpaceDE w:val="0"/>
        <w:autoSpaceDN w:val="0"/>
        <w:adjustRightInd w:val="0"/>
        <w:jc w:val="center"/>
        <w:rPr>
          <w:rFonts w:cs="Times New Roman"/>
          <w:i/>
          <w:iCs/>
          <w:szCs w:val="24"/>
        </w:rPr>
      </w:pPr>
    </w:p>
    <w:p w14:paraId="64516425" w14:textId="77777777" w:rsidR="00A46152" w:rsidRPr="002B283E" w:rsidRDefault="00A46152" w:rsidP="002B283E">
      <w:pPr>
        <w:autoSpaceDE w:val="0"/>
        <w:autoSpaceDN w:val="0"/>
        <w:adjustRightInd w:val="0"/>
        <w:jc w:val="center"/>
        <w:rPr>
          <w:rFonts w:cs="Times New Roman"/>
          <w:szCs w:val="24"/>
          <w:u w:val="single"/>
        </w:rPr>
      </w:pPr>
      <w:r w:rsidRPr="002B283E">
        <w:rPr>
          <w:rFonts w:cs="Times New Roman"/>
          <w:b/>
          <w:bCs/>
          <w:szCs w:val="24"/>
          <w:u w:val="single"/>
        </w:rPr>
        <w:t>Trade Dress Adjustments</w:t>
      </w:r>
    </w:p>
    <w:p w14:paraId="217BD6E1" w14:textId="77777777" w:rsidR="00A46152" w:rsidRPr="002B283E" w:rsidRDefault="00A46152" w:rsidP="002B283E">
      <w:pPr>
        <w:rPr>
          <w:rFonts w:cs="Times New Roman"/>
          <w:szCs w:val="24"/>
        </w:rPr>
      </w:pPr>
    </w:p>
    <w:p w14:paraId="26EF3DBF" w14:textId="77777777" w:rsidR="00A46152" w:rsidRPr="002B283E" w:rsidRDefault="00A46152" w:rsidP="002B283E">
      <w:pPr>
        <w:rPr>
          <w:rFonts w:cs="Times New Roman"/>
          <w:szCs w:val="24"/>
        </w:rPr>
      </w:pPr>
      <w:r w:rsidRPr="002B283E">
        <w:rPr>
          <w:rFonts w:cs="Times New Roman"/>
          <w:szCs w:val="24"/>
        </w:rPr>
        <w:tab/>
        <w:t>In</w:t>
      </w:r>
      <w:r w:rsidRPr="002B283E">
        <w:rPr>
          <w:rFonts w:cs="Times New Roman"/>
          <w:i/>
          <w:iCs/>
          <w:szCs w:val="24"/>
        </w:rPr>
        <w:t xml:space="preserve"> Wal-Mart Stores Inc.</w:t>
      </w:r>
      <w:r w:rsidRPr="002B283E">
        <w:rPr>
          <w:rFonts w:cs="Times New Roman"/>
          <w:szCs w:val="24"/>
        </w:rPr>
        <w:t xml:space="preserve"> </w:t>
      </w:r>
      <w:r w:rsidRPr="002B283E">
        <w:rPr>
          <w:rFonts w:cs="Times New Roman"/>
          <w:i/>
          <w:iCs/>
          <w:szCs w:val="24"/>
        </w:rPr>
        <w:t>v. Samara Brothers, Inc.</w:t>
      </w:r>
      <w:r w:rsidRPr="002B283E">
        <w:rPr>
          <w:rFonts w:cs="Times New Roman"/>
          <w:szCs w:val="24"/>
        </w:rPr>
        <w:t xml:space="preserve">, 529 U.S. 205, 212-13 (2000), the Supreme Court distinguished between two types of trade dress: product packaging and product design. Product packaging can be inherently distinctive, product design trade dress can never be classified as “inherently distinctive.” </w:t>
      </w:r>
      <w:r w:rsidRPr="002B283E">
        <w:rPr>
          <w:rFonts w:cs="Times New Roman"/>
          <w:i/>
          <w:iCs/>
          <w:szCs w:val="24"/>
        </w:rPr>
        <w:t xml:space="preserve">Id. </w:t>
      </w:r>
      <w:r w:rsidRPr="002B283E">
        <w:rPr>
          <w:rFonts w:cs="Times New Roman"/>
          <w:szCs w:val="24"/>
        </w:rPr>
        <w:t xml:space="preserve">at 212-14 (noting that product packaging “is most often to identify the source of the product,” while product design is “almost invariably . . . intended not to identify the source, but to render the product itself more useful or more appealing”). To be protected under § 43(a) of the Lanham Act, a product design must have secondary meaning. </w:t>
      </w:r>
    </w:p>
    <w:p w14:paraId="43209138" w14:textId="77777777" w:rsidR="00A46152" w:rsidRPr="002B283E" w:rsidRDefault="00A46152" w:rsidP="002B283E">
      <w:pPr>
        <w:rPr>
          <w:rFonts w:cs="Times New Roman"/>
          <w:szCs w:val="24"/>
        </w:rPr>
      </w:pPr>
    </w:p>
    <w:p w14:paraId="536FDA19" w14:textId="77777777" w:rsidR="00A46152" w:rsidRPr="002B283E" w:rsidRDefault="00A46152" w:rsidP="002B283E">
      <w:pPr>
        <w:rPr>
          <w:rFonts w:cs="Times New Roman"/>
          <w:szCs w:val="24"/>
        </w:rPr>
      </w:pPr>
      <w:r w:rsidRPr="002B283E">
        <w:rPr>
          <w:rFonts w:cs="Times New Roman"/>
          <w:szCs w:val="24"/>
        </w:rPr>
        <w:tab/>
      </w:r>
      <w:r w:rsidRPr="002B283E">
        <w:rPr>
          <w:rStyle w:val="normaltextrun"/>
          <w:rFonts w:cs="Times New Roman"/>
          <w:i/>
          <w:iCs/>
          <w:szCs w:val="24"/>
          <w:shd w:val="clear" w:color="auto" w:fill="FFFFFF"/>
        </w:rPr>
        <w:t xml:space="preserve">Wal-Mart </w:t>
      </w:r>
      <w:r w:rsidRPr="002B283E">
        <w:rPr>
          <w:rStyle w:val="normaltextrun"/>
          <w:rFonts w:cs="Times New Roman"/>
          <w:szCs w:val="24"/>
          <w:shd w:val="clear" w:color="auto" w:fill="FFFFFF"/>
        </w:rPr>
        <w:t xml:space="preserve">requires courts to distinguish between trade dress that is product packaging and trade dress that is product design. Courts generally “use[] a common sense approach” in making that classification, “asking what is the primary product that the buyer is purchasing.” 5 </w:t>
      </w:r>
      <w:r w:rsidRPr="002B283E">
        <w:rPr>
          <w:rStyle w:val="normaltextrun"/>
          <w:rFonts w:cs="Times New Roman"/>
          <w:smallCaps/>
          <w:szCs w:val="24"/>
          <w:shd w:val="clear" w:color="auto" w:fill="FFFFFF"/>
        </w:rPr>
        <w:t>J. Thomas McCarthy, McCarthy on Trademarks and Unfair Competition</w:t>
      </w:r>
      <w:r w:rsidRPr="002B283E">
        <w:rPr>
          <w:rStyle w:val="normaltextrun"/>
          <w:rFonts w:cs="Times New Roman"/>
          <w:szCs w:val="24"/>
          <w:shd w:val="clear" w:color="auto" w:fill="FFFFFF"/>
        </w:rPr>
        <w:t xml:space="preserve"> § 8:12 (5th ed. 2019) (collecting cases).</w:t>
      </w:r>
      <w:r w:rsidRPr="002B283E">
        <w:rPr>
          <w:rFonts w:cs="Times New Roman"/>
          <w:szCs w:val="24"/>
        </w:rPr>
        <w:t xml:space="preserve"> In close cases, “courts should err on the side of caution and classify ambiguous trade dress as product design, thereby requiring secondary meaning.” </w:t>
      </w:r>
      <w:r w:rsidRPr="002B283E">
        <w:rPr>
          <w:rFonts w:cs="Times New Roman"/>
          <w:i/>
          <w:iCs/>
          <w:szCs w:val="24"/>
        </w:rPr>
        <w:t>Wal-Mart Stores</w:t>
      </w:r>
      <w:r w:rsidRPr="002B283E">
        <w:rPr>
          <w:rFonts w:cs="Times New Roman"/>
          <w:szCs w:val="24"/>
        </w:rPr>
        <w:t xml:space="preserve">, 529 U.S. at 215. </w:t>
      </w:r>
      <w:r w:rsidRPr="002B283E">
        <w:rPr>
          <w:rFonts w:cs="Times New Roman"/>
          <w:i/>
          <w:szCs w:val="24"/>
        </w:rPr>
        <w:t xml:space="preserve">See </w:t>
      </w:r>
      <w:r w:rsidRPr="002B283E">
        <w:rPr>
          <w:rFonts w:cs="Times New Roman"/>
          <w:szCs w:val="24"/>
        </w:rPr>
        <w:t xml:space="preserve">Instruction 15.11 (Infringement—Elements—Validity—Distinctiveness—Secondary Meaning). </w:t>
      </w:r>
    </w:p>
    <w:p w14:paraId="050ED93C" w14:textId="77777777" w:rsidR="00A46152" w:rsidRPr="002B283E" w:rsidRDefault="00A46152" w:rsidP="002B283E">
      <w:pPr>
        <w:rPr>
          <w:rFonts w:cs="Times New Roman"/>
          <w:szCs w:val="24"/>
        </w:rPr>
      </w:pPr>
    </w:p>
    <w:p w14:paraId="25B098B5" w14:textId="77777777" w:rsidR="00A46152" w:rsidRPr="002B283E" w:rsidRDefault="00A46152" w:rsidP="002B283E">
      <w:pPr>
        <w:rPr>
          <w:rFonts w:cs="Times New Roman"/>
          <w:szCs w:val="24"/>
        </w:rPr>
      </w:pPr>
      <w:r w:rsidRPr="002B283E">
        <w:rPr>
          <w:rFonts w:cs="Times New Roman"/>
          <w:szCs w:val="24"/>
        </w:rPr>
        <w:tab/>
        <w:t xml:space="preserve">In cases involving product packaging, neither the Supreme Court nor the Ninth Circuit has adopted a specific test for determining inherent distinctiveness. The Ninth Circuit has generally suggested that inherently distinctive trade dress involves an overall impression that is arbitrary or uncommon. </w:t>
      </w:r>
      <w:r w:rsidRPr="002B283E">
        <w:rPr>
          <w:rFonts w:cs="Times New Roman"/>
          <w:i/>
          <w:iCs/>
          <w:szCs w:val="24"/>
        </w:rPr>
        <w:t>Fuddruckers, Inc. v. Doc’s B.R. Others, Inc</w:t>
      </w:r>
      <w:r w:rsidRPr="002B283E">
        <w:rPr>
          <w:rFonts w:cs="Times New Roman"/>
          <w:szCs w:val="24"/>
        </w:rPr>
        <w:t xml:space="preserve">., 826 F.2d 837, 844 (9th Cir. 1987) (“Fuddruckers claims trade dress protection for the impression created by a collection of common or functional elements of restaurant decor. Such an overall impression may receive protection, but it is simply not the sort of arbitrary or uncommon trade dress that might qualify as inherently distinctive.” (citation omitted)). A combination of individual elements “that are separately unprotectable can be protected together as part of a trade dress.” </w:t>
      </w:r>
      <w:r w:rsidRPr="002B283E">
        <w:rPr>
          <w:rFonts w:cs="Times New Roman"/>
          <w:i/>
          <w:iCs/>
          <w:szCs w:val="24"/>
        </w:rPr>
        <w:t>Clicks Billiards, Inc. v. Sixshooters, Inc.</w:t>
      </w:r>
      <w:r w:rsidRPr="002B283E">
        <w:rPr>
          <w:rFonts w:cs="Times New Roman"/>
          <w:szCs w:val="24"/>
        </w:rPr>
        <w:t xml:space="preserve">, 251 F.3d 1252, 1259 (9th Cir. 2001). </w:t>
      </w:r>
    </w:p>
    <w:p w14:paraId="02DF1D4B" w14:textId="77777777" w:rsidR="00A46152" w:rsidRPr="002B283E" w:rsidRDefault="00A46152" w:rsidP="002B283E">
      <w:pPr>
        <w:rPr>
          <w:rFonts w:cs="Times New Roman"/>
          <w:szCs w:val="24"/>
        </w:rPr>
      </w:pPr>
    </w:p>
    <w:p w14:paraId="447368F0" w14:textId="11B23A60" w:rsidR="00A46152" w:rsidRPr="002B283E" w:rsidRDefault="00A46152" w:rsidP="002B283E">
      <w:pPr>
        <w:rPr>
          <w:rFonts w:cs="Times New Roman"/>
          <w:szCs w:val="24"/>
        </w:rPr>
      </w:pPr>
      <w:r w:rsidRPr="002B283E">
        <w:rPr>
          <w:rStyle w:val="normaltextrun"/>
          <w:rFonts w:cs="Times New Roman"/>
          <w:szCs w:val="24"/>
          <w:shd w:val="clear" w:color="auto" w:fill="FFFFFF"/>
        </w:rPr>
        <w:tab/>
        <w:t xml:space="preserve">Some courts apply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spectrum for word marks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 xml:space="preserve">, </w:t>
      </w:r>
      <w:r w:rsidRPr="002B283E">
        <w:rPr>
          <w:rStyle w:val="normaltextrun"/>
          <w:rFonts w:cs="Times New Roman"/>
          <w:i/>
          <w:iCs/>
          <w:szCs w:val="24"/>
          <w:shd w:val="clear" w:color="auto" w:fill="FFFFFF"/>
        </w:rPr>
        <w:t>Fun-Damental Too, Ltd. v. Gemmy Indus.</w:t>
      </w:r>
      <w:r w:rsidRPr="002B283E">
        <w:rPr>
          <w:rStyle w:val="normaltextrun"/>
          <w:rFonts w:cs="Times New Roman"/>
          <w:szCs w:val="24"/>
          <w:shd w:val="clear" w:color="auto" w:fill="FFFFFF"/>
        </w:rPr>
        <w:t xml:space="preserve">, 111 F.3d 993, 1000-01 (2d Cir. 1997) (“We see no reason to abandon the </w:t>
      </w:r>
      <w:r w:rsidRPr="002B283E">
        <w:rPr>
          <w:rStyle w:val="normaltextrun"/>
          <w:rFonts w:cs="Times New Roman"/>
          <w:i/>
          <w:iCs/>
          <w:szCs w:val="24"/>
          <w:shd w:val="clear" w:color="auto" w:fill="FFFFFF"/>
        </w:rPr>
        <w:t>Abercrombie</w:t>
      </w:r>
      <w:r w:rsidRPr="002B283E">
        <w:rPr>
          <w:rStyle w:val="normaltextrun"/>
          <w:rFonts w:cs="Times New Roman"/>
          <w:szCs w:val="24"/>
          <w:shd w:val="clear" w:color="auto" w:fill="FFFFFF"/>
        </w:rPr>
        <w:t xml:space="preserve"> distinctiveness spectrum in this [product packaging] case.”). But courts and scholars have noted that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are not always useful outside the word mark context.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Amazing Spaces, Inc. v. Metro Mini Storage</w:t>
      </w:r>
      <w:r w:rsidRPr="002B283E">
        <w:rPr>
          <w:rStyle w:val="normaltextrun"/>
          <w:rFonts w:cs="Times New Roman"/>
          <w:szCs w:val="24"/>
          <w:shd w:val="clear" w:color="auto" w:fill="FFFFFF"/>
        </w:rPr>
        <w:t xml:space="preserve">, 608 F.3d 225, 243 (5th Cir. 2010) (holding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unhelpful in assessing whether star symbol was inherently distinctive but declining to hold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never appropriate outside word mark context); </w:t>
      </w:r>
      <w:r w:rsidRPr="002B283E">
        <w:rPr>
          <w:rStyle w:val="normaltextrun"/>
          <w:rFonts w:cs="Times New Roman"/>
          <w:smallCaps/>
          <w:szCs w:val="24"/>
          <w:shd w:val="clear" w:color="auto" w:fill="FFFFFF"/>
        </w:rPr>
        <w:t>McCarthy on Trademarks</w:t>
      </w:r>
      <w:r w:rsidRPr="002B283E">
        <w:rPr>
          <w:rStyle w:val="normaltextrun"/>
          <w:rFonts w:cs="Times New Roman"/>
          <w:szCs w:val="24"/>
          <w:shd w:val="clear" w:color="auto" w:fill="FFFFFF"/>
        </w:rPr>
        <w:t xml:space="preserve"> § 8:13 (“Only in rare cases do the word categories make sense when applied to the shapes, images and colors of product packaging.”)</w:t>
      </w:r>
      <w:r w:rsidR="00A87F6E">
        <w:rPr>
          <w:rStyle w:val="normaltextrun"/>
          <w:rFonts w:cs="Times New Roman"/>
          <w:szCs w:val="24"/>
          <w:shd w:val="clear" w:color="auto" w:fill="FFFFFF"/>
        </w:rPr>
        <w:t xml:space="preserve">. </w:t>
      </w:r>
      <w:r w:rsidRPr="002B283E">
        <w:rPr>
          <w:rFonts w:cs="Times New Roman"/>
          <w:szCs w:val="24"/>
        </w:rPr>
        <w:tab/>
      </w:r>
    </w:p>
    <w:p w14:paraId="1A8D9CDA" w14:textId="77777777" w:rsidR="00A46152" w:rsidRPr="002B283E" w:rsidRDefault="00A46152" w:rsidP="002B283E">
      <w:pPr>
        <w:rPr>
          <w:rFonts w:cs="Times New Roman"/>
          <w:szCs w:val="24"/>
        </w:rPr>
      </w:pPr>
    </w:p>
    <w:p w14:paraId="45C7239F" w14:textId="77777777" w:rsidR="00A46152" w:rsidRPr="002B283E" w:rsidRDefault="00A46152" w:rsidP="002B283E">
      <w:pPr>
        <w:rPr>
          <w:rStyle w:val="tabchar"/>
          <w:rFonts w:cs="Times New Roman"/>
          <w:szCs w:val="24"/>
          <w:shd w:val="clear" w:color="auto" w:fill="FFFFFF"/>
        </w:rPr>
      </w:pPr>
      <w:r w:rsidRPr="002B283E">
        <w:rPr>
          <w:rStyle w:val="normaltextrun"/>
          <w:rFonts w:cs="Times New Roman"/>
          <w:szCs w:val="24"/>
          <w:shd w:val="clear" w:color="auto" w:fill="FFFFFF"/>
        </w:rPr>
        <w:tab/>
        <w:t xml:space="preserve">Other courts have used the test announced in </w:t>
      </w:r>
      <w:r w:rsidRPr="002B283E">
        <w:rPr>
          <w:rStyle w:val="normaltextrun"/>
          <w:rFonts w:cs="Times New Roman"/>
          <w:i/>
          <w:iCs/>
          <w:szCs w:val="24"/>
          <w:shd w:val="clear" w:color="auto" w:fill="FFFFFF"/>
        </w:rPr>
        <w:t>Seabrook Foods, Inc. v. Bar-Well Foods, Ltd.</w:t>
      </w:r>
      <w:r w:rsidRPr="002B283E">
        <w:rPr>
          <w:rStyle w:val="normaltextrun"/>
          <w:rFonts w:cs="Times New Roman"/>
          <w:szCs w:val="24"/>
          <w:shd w:val="clear" w:color="auto" w:fill="FFFFFF"/>
        </w:rPr>
        <w:t xml:space="preserve">, 568 F.2d 1342, 1344-46 (C.C.P.A. 1977), either alone or in combination with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Mattel, Inc. v. MGA Entertainment, Inc.</w:t>
      </w:r>
      <w:r w:rsidRPr="002B283E">
        <w:rPr>
          <w:rStyle w:val="normaltextrun"/>
          <w:rFonts w:cs="Times New Roman"/>
          <w:szCs w:val="24"/>
          <w:shd w:val="clear" w:color="auto" w:fill="FFFFFF"/>
        </w:rPr>
        <w:t xml:space="preserve">, 782 F. Supp. 2d 911, 1004 (C.D. Cal. 2011) (applying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and observing that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is the “predominant test for inherent distinctiveness” of product packaging); </w:t>
      </w:r>
      <w:r w:rsidRPr="002B283E">
        <w:rPr>
          <w:rStyle w:val="normaltextrun"/>
          <w:rFonts w:cs="Times New Roman"/>
          <w:i/>
          <w:iCs/>
          <w:szCs w:val="24"/>
          <w:shd w:val="clear" w:color="auto" w:fill="FFFFFF"/>
        </w:rPr>
        <w:t>Yankee Candle Co. v. Bridgewater Candle Co.</w:t>
      </w:r>
      <w:r w:rsidRPr="002B283E">
        <w:rPr>
          <w:rStyle w:val="normaltextrun"/>
          <w:rFonts w:cs="Times New Roman"/>
          <w:szCs w:val="24"/>
          <w:shd w:val="clear" w:color="auto" w:fill="FFFFFF"/>
        </w:rPr>
        <w:t xml:space="preserve">, 259 F.3d 25, 42 (1st Cir. 2001) (“[W]e have found it appropriate to supplement the somewhat bare-boned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with the questions asked in </w:t>
      </w:r>
      <w:r w:rsidRPr="002B283E">
        <w:rPr>
          <w:rStyle w:val="normaltextrun"/>
          <w:rFonts w:cs="Times New Roman"/>
          <w:i/>
          <w:iCs/>
          <w:szCs w:val="24"/>
          <w:shd w:val="clear" w:color="auto" w:fill="FFFFFF"/>
        </w:rPr>
        <w:t>Seabrook</w:t>
      </w:r>
      <w:r w:rsidRPr="002B283E">
        <w:rPr>
          <w:rStyle w:val="normaltextrun"/>
          <w:rFonts w:cs="Times New Roman"/>
          <w:szCs w:val="24"/>
          <w:shd w:val="clear" w:color="auto" w:fill="FFFFFF"/>
        </w:rPr>
        <w:t xml:space="preserve">.”). The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requires that packaging trade dress meet four elements to be inherently distinctive: (1) the design or shape should not be a common, basic shape or design; (2) it should be unique or unusual in a particular field; (3) it should not be a mere refinement of a commonly-adopted and well-known form of ornamentation for a particular class of goods or services which consumers would view as mere ornamentation; (4) it should create a separate commercial impression apart from any accompanying words. </w:t>
      </w:r>
      <w:r w:rsidRPr="002B283E">
        <w:rPr>
          <w:rStyle w:val="normaltextrun"/>
          <w:rFonts w:cs="Times New Roman"/>
          <w:i/>
          <w:iCs/>
          <w:szCs w:val="24"/>
          <w:shd w:val="clear" w:color="auto" w:fill="FFFFFF"/>
        </w:rPr>
        <w:t>Seabrook Foods</w:t>
      </w:r>
      <w:r w:rsidRPr="002B283E">
        <w:rPr>
          <w:rStyle w:val="normaltextrun"/>
          <w:rFonts w:cs="Times New Roman"/>
          <w:szCs w:val="24"/>
          <w:shd w:val="clear" w:color="auto" w:fill="FFFFFF"/>
        </w:rPr>
        <w:t xml:space="preserve">, 568 F.2d at 1344-46. </w:t>
      </w:r>
      <w:r w:rsidRPr="002B283E">
        <w:rPr>
          <w:rStyle w:val="normaltextrun"/>
          <w:rFonts w:cs="Times New Roman"/>
          <w:i/>
          <w:iCs/>
          <w:szCs w:val="24"/>
          <w:shd w:val="clear" w:color="auto" w:fill="FFFFFF"/>
        </w:rPr>
        <w:t xml:space="preserve">But see </w:t>
      </w:r>
      <w:r w:rsidRPr="002B283E">
        <w:rPr>
          <w:rStyle w:val="normaltextrun"/>
          <w:rFonts w:cs="Times New Roman"/>
          <w:smallCaps/>
          <w:szCs w:val="24"/>
          <w:shd w:val="clear" w:color="auto" w:fill="FFFFFF"/>
        </w:rPr>
        <w:t xml:space="preserve">McCarthy on Trademarks § 8:13 </w:t>
      </w:r>
      <w:r w:rsidRPr="002B283E">
        <w:rPr>
          <w:rStyle w:val="normaltextrun"/>
          <w:rFonts w:cs="Times New Roman"/>
          <w:szCs w:val="24"/>
          <w:shd w:val="clear" w:color="auto" w:fill="FFFFFF"/>
        </w:rPr>
        <w:t>(contending that fourth element does not belong on the list because it does not relate to inherent distinctiveness).</w:t>
      </w:r>
      <w:r w:rsidRPr="002B283E">
        <w:rPr>
          <w:rStyle w:val="tabchar"/>
          <w:rFonts w:cs="Times New Roman"/>
          <w:szCs w:val="24"/>
          <w:shd w:val="clear" w:color="auto" w:fill="FFFFFF"/>
        </w:rPr>
        <w:tab/>
      </w:r>
    </w:p>
    <w:p w14:paraId="03AE6F18" w14:textId="77777777" w:rsidR="00A46152" w:rsidRPr="002B283E" w:rsidRDefault="00A46152" w:rsidP="002B283E">
      <w:pPr>
        <w:rPr>
          <w:rFonts w:cs="Times New Roman"/>
          <w:szCs w:val="24"/>
        </w:rPr>
      </w:pPr>
      <w:r w:rsidRPr="002B283E">
        <w:rPr>
          <w:rStyle w:val="normaltextrun"/>
          <w:rFonts w:cs="Times New Roman"/>
          <w:szCs w:val="24"/>
          <w:shd w:val="clear" w:color="auto" w:fill="FFFFFF"/>
        </w:rPr>
        <w:t> </w:t>
      </w:r>
      <w:r w:rsidRPr="002B283E">
        <w:rPr>
          <w:rStyle w:val="eop"/>
          <w:rFonts w:cs="Times New Roman"/>
          <w:szCs w:val="24"/>
          <w:shd w:val="clear" w:color="auto" w:fill="FFFFFF"/>
        </w:rPr>
        <w:t> </w:t>
      </w:r>
      <w:r w:rsidRPr="002B283E">
        <w:rPr>
          <w:rFonts w:cs="Times New Roman"/>
          <w:szCs w:val="24"/>
        </w:rPr>
        <w:tab/>
      </w:r>
    </w:p>
    <w:p w14:paraId="55E8A783" w14:textId="77777777" w:rsidR="00A46152" w:rsidRPr="002B283E" w:rsidRDefault="00A46152" w:rsidP="002B283E">
      <w:pPr>
        <w:rPr>
          <w:rFonts w:cs="Times New Roman"/>
          <w:szCs w:val="24"/>
        </w:rPr>
      </w:pPr>
      <w:r w:rsidRPr="002B283E">
        <w:rPr>
          <w:rFonts w:cs="Times New Roman"/>
          <w:szCs w:val="24"/>
        </w:rPr>
        <w:tab/>
        <w:t xml:space="preserve">This instruction can be modified for trade dress cases involving packaging by inserting the words “trade dress” in lieu of “trademark” and the words “symbol” or “design” in lieu of the term “word” when they are used in this instruction. Courts might also remove references to the “Spectrum of Marks,” including everything that follows the “Spectrum of Marks” heading. After the first three paragraphs, the following should be added for trade dress cases: </w:t>
      </w:r>
    </w:p>
    <w:p w14:paraId="596F247B" w14:textId="77777777" w:rsidR="00A46152" w:rsidRPr="002B283E" w:rsidRDefault="00A46152" w:rsidP="002B283E">
      <w:pPr>
        <w:rPr>
          <w:rFonts w:cs="Times New Roman"/>
          <w:szCs w:val="24"/>
        </w:rPr>
      </w:pPr>
    </w:p>
    <w:p w14:paraId="17D75EFF" w14:textId="77777777" w:rsidR="00A46152" w:rsidRPr="002B283E" w:rsidRDefault="00A46152" w:rsidP="008A04C2">
      <w:pPr>
        <w:ind w:left="720" w:right="720"/>
        <w:jc w:val="both"/>
        <w:rPr>
          <w:rFonts w:cs="Times New Roman"/>
          <w:szCs w:val="24"/>
        </w:rPr>
      </w:pPr>
      <w:r w:rsidRPr="002B283E">
        <w:rPr>
          <w:rFonts w:cs="Times New Roman"/>
          <w:szCs w:val="24"/>
        </w:rPr>
        <w:t xml:space="preserve">Trade dress is inherently distinctive if the total impression it gives the consumer is one that identifies it as coming from a specific origin or source, whether or not that source is known to the consumer. Inherently distinctive trade dress helps consumers identify the product, distinguishing the plaintiff’s product from that produced by others, such as the defendant. </w:t>
      </w:r>
    </w:p>
    <w:p w14:paraId="3C642E16" w14:textId="77777777" w:rsidR="00A46152" w:rsidRPr="002B283E" w:rsidRDefault="00A46152" w:rsidP="008A04C2">
      <w:pPr>
        <w:ind w:left="720" w:right="720"/>
        <w:jc w:val="both"/>
        <w:rPr>
          <w:rFonts w:cs="Times New Roman"/>
          <w:szCs w:val="24"/>
        </w:rPr>
      </w:pPr>
    </w:p>
    <w:p w14:paraId="6A48C679" w14:textId="77777777" w:rsidR="00A46152" w:rsidRPr="002B283E" w:rsidRDefault="00A46152" w:rsidP="008A04C2">
      <w:pPr>
        <w:ind w:left="720" w:right="720"/>
        <w:jc w:val="both"/>
        <w:rPr>
          <w:rFonts w:cs="Times New Roman"/>
          <w:szCs w:val="24"/>
        </w:rPr>
      </w:pPr>
      <w:r w:rsidRPr="002B283E">
        <w:rPr>
          <w:rFonts w:cs="Times New Roman"/>
          <w:szCs w:val="24"/>
        </w:rPr>
        <w:t>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w:t>
      </w:r>
    </w:p>
    <w:p w14:paraId="04F310EA" w14:textId="77777777" w:rsidR="00A46152" w:rsidRPr="002B283E" w:rsidRDefault="00A46152" w:rsidP="002B283E">
      <w:pPr>
        <w:ind w:left="720" w:right="720"/>
        <w:rPr>
          <w:rFonts w:cs="Times New Roman"/>
          <w:szCs w:val="24"/>
        </w:rPr>
      </w:pPr>
    </w:p>
    <w:p w14:paraId="7BDC8545" w14:textId="77777777" w:rsidR="00A46152" w:rsidRPr="002B283E" w:rsidRDefault="00A46152" w:rsidP="002B283E">
      <w:pPr>
        <w:autoSpaceDE w:val="0"/>
        <w:autoSpaceDN w:val="0"/>
        <w:adjustRightInd w:val="0"/>
        <w:rPr>
          <w:rFonts w:cs="Times New Roman"/>
          <w:szCs w:val="24"/>
        </w:rPr>
      </w:pPr>
    </w:p>
    <w:p w14:paraId="6BBFE2DD" w14:textId="55F1A4F9" w:rsidR="0073585E" w:rsidRPr="002B283E" w:rsidRDefault="00A46152" w:rsidP="002B283E">
      <w:pPr>
        <w:autoSpaceDE w:val="0"/>
        <w:autoSpaceDN w:val="0"/>
        <w:adjustRightInd w:val="0"/>
        <w:jc w:val="right"/>
        <w:rPr>
          <w:rFonts w:cs="Times New Roman"/>
          <w:i/>
          <w:iCs/>
          <w:szCs w:val="24"/>
        </w:rPr>
      </w:pPr>
      <w:r w:rsidRPr="002B283E">
        <w:rPr>
          <w:rFonts w:cs="Times New Roman"/>
          <w:i/>
          <w:iCs/>
          <w:szCs w:val="24"/>
        </w:rPr>
        <w:t>Revised November 2024</w:t>
      </w:r>
    </w:p>
    <w:p w14:paraId="4ED60372" w14:textId="3728598E" w:rsidR="009F70BA" w:rsidRPr="002B283E" w:rsidRDefault="006A4CD7" w:rsidP="002B283E">
      <w:pPr>
        <w:pStyle w:val="Heading2"/>
      </w:pPr>
      <w:r w:rsidRPr="002B283E">
        <w:br w:type="page"/>
      </w:r>
      <w:r w:rsidR="009F70BA" w:rsidRPr="002B283E">
        <w:rPr>
          <w:lang w:val="en-CA"/>
        </w:rPr>
        <w:lastRenderedPageBreak/>
        <w:fldChar w:fldCharType="begin"/>
      </w:r>
      <w:r w:rsidR="009F70BA" w:rsidRPr="002B283E">
        <w:rPr>
          <w:lang w:val="en-CA"/>
        </w:rPr>
        <w:instrText xml:space="preserve"> SEQ CHAPTER \h \r 1</w:instrText>
      </w:r>
      <w:r w:rsidR="009F70BA" w:rsidRPr="002B283E">
        <w:rPr>
          <w:lang w:val="en-CA"/>
        </w:rPr>
        <w:fldChar w:fldCharType="end"/>
      </w:r>
      <w:bookmarkStart w:id="344" w:name="_Toc221525277"/>
      <w:r w:rsidR="009F70BA" w:rsidRPr="002B283E">
        <w:t>15.11 Infringement—Elements—Validity—Distinctiveness—Secondary Meaning</w:t>
      </w:r>
      <w:bookmarkEnd w:id="344"/>
    </w:p>
    <w:p w14:paraId="2082E9F2" w14:textId="45E0CE62" w:rsidR="00B02671" w:rsidRPr="002B283E" w:rsidRDefault="00B02671" w:rsidP="002B283E">
      <w:pPr>
        <w:autoSpaceDE w:val="0"/>
        <w:autoSpaceDN w:val="0"/>
        <w:adjustRightInd w:val="0"/>
        <w:rPr>
          <w:rFonts w:cs="Times New Roman"/>
          <w:szCs w:val="24"/>
        </w:rPr>
      </w:pPr>
    </w:p>
    <w:p w14:paraId="5AD358CB" w14:textId="5C5A5C24" w:rsidR="00780151" w:rsidRPr="002B283E" w:rsidRDefault="00B02671" w:rsidP="002B283E">
      <w:pPr>
        <w:autoSpaceDE w:val="0"/>
        <w:autoSpaceDN w:val="0"/>
        <w:adjustRightInd w:val="0"/>
        <w:rPr>
          <w:rFonts w:cs="Times New Roman"/>
          <w:szCs w:val="24"/>
        </w:rPr>
      </w:pPr>
      <w:r w:rsidRPr="002B283E">
        <w:rPr>
          <w:rFonts w:cs="Times New Roman"/>
          <w:szCs w:val="24"/>
        </w:rPr>
        <w:tab/>
      </w:r>
      <w:r w:rsidR="00780151" w:rsidRPr="002B283E">
        <w:rPr>
          <w:rFonts w:cs="Times New Roman"/>
          <w:szCs w:val="24"/>
        </w:rPr>
        <w:t>If you determined in Instruction [</w:t>
      </w:r>
      <w:r w:rsidR="00780151" w:rsidRPr="002B283E">
        <w:rPr>
          <w:rFonts w:cs="Times New Roman"/>
          <w:i/>
          <w:iCs/>
          <w:szCs w:val="24"/>
          <w:u w:val="single"/>
        </w:rPr>
        <w:t>insert number of instruction e.g. 15.10</w:t>
      </w:r>
      <w:r w:rsidR="00780151" w:rsidRPr="002B283E">
        <w:rPr>
          <w:rFonts w:cs="Times New Roman"/>
          <w:szCs w:val="24"/>
          <w:u w:val="single"/>
        </w:rPr>
        <w:t>]</w:t>
      </w:r>
      <w:r w:rsidR="00780151" w:rsidRPr="002B283E">
        <w:rPr>
          <w:rFonts w:cs="Times New Roman"/>
          <w:szCs w:val="24"/>
        </w:rPr>
        <w:t xml:space="preserve"> that [</w:t>
      </w:r>
      <w:r w:rsidR="00780151" w:rsidRPr="002B283E">
        <w:rPr>
          <w:rFonts w:cs="Times New Roman"/>
          <w:i/>
          <w:iCs/>
          <w:szCs w:val="24"/>
          <w:u w:val="single"/>
        </w:rPr>
        <w:t>identify plaintiff’s claimed trademark</w:t>
      </w:r>
      <w:r w:rsidR="00780151" w:rsidRPr="002B283E">
        <w:rPr>
          <w:rFonts w:cs="Times New Roman"/>
          <w:szCs w:val="24"/>
        </w:rPr>
        <w:t xml:space="preserve">] is descriptive, you must consider the recognition that the mark has among prospective consumers </w:t>
      </w:r>
      <w:r w:rsidR="002F1238">
        <w:rPr>
          <w:rFonts w:cs="Times New Roman"/>
          <w:szCs w:val="24"/>
        </w:rPr>
        <w:t>to</w:t>
      </w:r>
      <w:r w:rsidR="00780151" w:rsidRPr="002B283E">
        <w:rPr>
          <w:rFonts w:cs="Times New Roman"/>
          <w:szCs w:val="24"/>
        </w:rPr>
        <w:t xml:space="preserve"> determine whether it is valid and protectable even though it is descriptive. This market recognition is called the trademark’s “secondary meaning.” </w:t>
      </w:r>
    </w:p>
    <w:p w14:paraId="79025A81" w14:textId="77777777" w:rsidR="00780151" w:rsidRPr="002B283E" w:rsidRDefault="00780151" w:rsidP="002B283E">
      <w:pPr>
        <w:autoSpaceDE w:val="0"/>
        <w:autoSpaceDN w:val="0"/>
        <w:adjustRightInd w:val="0"/>
        <w:rPr>
          <w:rFonts w:cs="Times New Roman"/>
          <w:szCs w:val="24"/>
        </w:rPr>
      </w:pPr>
    </w:p>
    <w:p w14:paraId="6A57033E"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2B283E">
        <w:rPr>
          <w:rFonts w:cs="Times New Roman"/>
          <w:i/>
          <w:iCs/>
          <w:szCs w:val="24"/>
          <w:u w:val="single"/>
        </w:rPr>
        <w:t>identify the alleged trademark</w:t>
      </w:r>
      <w:r w:rsidRPr="002B283E">
        <w:rPr>
          <w:rFonts w:cs="Times New Roman"/>
          <w:szCs w:val="24"/>
        </w:rPr>
        <w:t xml:space="preserve">] with a single source, to find that it has acquired secondary meaning. </w:t>
      </w:r>
    </w:p>
    <w:p w14:paraId="27244F72" w14:textId="77777777" w:rsidR="00780151" w:rsidRPr="002B283E" w:rsidRDefault="00780151" w:rsidP="002B283E">
      <w:pPr>
        <w:autoSpaceDE w:val="0"/>
        <w:autoSpaceDN w:val="0"/>
        <w:adjustRightInd w:val="0"/>
        <w:rPr>
          <w:rFonts w:cs="Times New Roman"/>
          <w:szCs w:val="24"/>
        </w:rPr>
      </w:pPr>
    </w:p>
    <w:p w14:paraId="37088DCC" w14:textId="77777777" w:rsidR="00780151" w:rsidRPr="002B283E" w:rsidRDefault="00780151" w:rsidP="002B283E">
      <w:pPr>
        <w:rPr>
          <w:rFonts w:cs="Times New Roman"/>
          <w:szCs w:val="24"/>
        </w:rPr>
      </w:pPr>
      <w:r w:rsidRPr="002B283E">
        <w:rPr>
          <w:rFonts w:cs="Times New Roman"/>
          <w:szCs w:val="24"/>
        </w:rPr>
        <w:tab/>
        <w:t>When you are determining whether [</w:t>
      </w:r>
      <w:r w:rsidRPr="002B283E">
        <w:rPr>
          <w:rFonts w:cs="Times New Roman"/>
          <w:i/>
          <w:iCs/>
          <w:szCs w:val="24"/>
          <w:u w:val="single"/>
        </w:rPr>
        <w:t>describe symbol or term</w:t>
      </w:r>
      <w:r w:rsidRPr="002B283E">
        <w:rPr>
          <w:rFonts w:cs="Times New Roman"/>
          <w:szCs w:val="24"/>
        </w:rPr>
        <w:t xml:space="preserve">] has acquired a secondary meaning, consider the following factors: </w:t>
      </w:r>
    </w:p>
    <w:p w14:paraId="5E34AC97" w14:textId="77777777" w:rsidR="00780151" w:rsidRPr="002B283E" w:rsidRDefault="00780151" w:rsidP="002B283E">
      <w:pPr>
        <w:rPr>
          <w:rFonts w:cs="Times New Roman"/>
          <w:szCs w:val="24"/>
        </w:rPr>
      </w:pPr>
    </w:p>
    <w:p w14:paraId="25CE02C3" w14:textId="0E4C5AA0" w:rsidR="00780151" w:rsidRPr="002B283E" w:rsidRDefault="00780151" w:rsidP="00021D2C">
      <w:pPr>
        <w:tabs>
          <w:tab w:val="left" w:pos="720"/>
          <w:tab w:val="left" w:pos="1260"/>
        </w:tabs>
        <w:autoSpaceDE w:val="0"/>
        <w:autoSpaceDN w:val="0"/>
        <w:adjustRightInd w:val="0"/>
        <w:ind w:right="720" w:firstLine="81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(1)</w:t>
      </w:r>
      <w:r w:rsidRPr="002B283E">
        <w:rPr>
          <w:rFonts w:cs="Times New Roman"/>
          <w:szCs w:val="24"/>
        </w:rPr>
        <w:tab/>
        <w:t>Consumer Perception. Whether the people who purchase the product that bears the claimed trademark associate the trademark with the [owner] [assignee] [licensee];</w:t>
      </w:r>
    </w:p>
    <w:p w14:paraId="6B4CA783"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76C34107" w14:textId="6D833B82"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(2)</w:t>
      </w:r>
      <w:r w:rsidRPr="002B283E">
        <w:rPr>
          <w:rFonts w:cs="Times New Roman"/>
          <w:szCs w:val="24"/>
        </w:rPr>
        <w:tab/>
        <w:t xml:space="preserve">Advertisement. To what degree and in what manner the [owner] [assignee] [licensee] may have advertised under the claimed trademark; </w:t>
      </w:r>
    </w:p>
    <w:p w14:paraId="3BA28DDF"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6629863E" w14:textId="7878A7F1"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(3)</w:t>
      </w:r>
      <w:r w:rsidRPr="002B283E">
        <w:rPr>
          <w:rFonts w:cs="Times New Roman"/>
          <w:szCs w:val="24"/>
        </w:rPr>
        <w:tab/>
        <w:t>Demonstrated Utility. Whether the [owner] [assignee] [licensee]</w:t>
      </w:r>
      <w:r w:rsidR="00412566">
        <w:rPr>
          <w:rFonts w:cs="Times New Roman"/>
          <w:szCs w:val="24"/>
        </w:rPr>
        <w:t xml:space="preserve"> </w:t>
      </w:r>
      <w:r w:rsidRPr="002B283E">
        <w:rPr>
          <w:rFonts w:cs="Times New Roman"/>
          <w:szCs w:val="24"/>
        </w:rPr>
        <w:t>successfully used this trademark to increase the sales of its product;</w:t>
      </w:r>
    </w:p>
    <w:p w14:paraId="620FD76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14C6A2CC" w14:textId="05CBEE87"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(4)</w:t>
      </w:r>
      <w:r w:rsidRPr="002B283E">
        <w:rPr>
          <w:rFonts w:cs="Times New Roman"/>
          <w:szCs w:val="24"/>
        </w:rPr>
        <w:tab/>
        <w:t>Extent of Use. The length of time and manner in which the [owner] [assignee] [licensee] used the claimed trademark;</w:t>
      </w:r>
    </w:p>
    <w:p w14:paraId="2360179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3874FD01" w14:textId="4CB61282" w:rsidR="00780151" w:rsidRPr="002B283E" w:rsidRDefault="00780151" w:rsidP="00021D2C">
      <w:pPr>
        <w:tabs>
          <w:tab w:val="left" w:pos="720"/>
          <w:tab w:val="left" w:pos="1260"/>
        </w:tabs>
        <w:autoSpaceDE w:val="0"/>
        <w:autoSpaceDN w:val="0"/>
        <w:adjustRightInd w:val="0"/>
        <w:ind w:right="720" w:firstLine="810"/>
        <w:rPr>
          <w:rFonts w:cs="Times New Roman"/>
          <w:szCs w:val="24"/>
        </w:rPr>
      </w:pPr>
      <w:r w:rsidRPr="002B283E">
        <w:rPr>
          <w:rFonts w:cs="Times New Roman"/>
          <w:szCs w:val="24"/>
        </w:rPr>
        <w:t xml:space="preserve">(5) </w:t>
      </w:r>
      <w:r w:rsidRPr="002B283E">
        <w:rPr>
          <w:rFonts w:cs="Times New Roman"/>
          <w:szCs w:val="24"/>
        </w:rPr>
        <w:tab/>
        <w:t xml:space="preserve">Exclusivity. Whether the [owner’s] [assignee’s] [licensee’s] use of the claimed trademark was exclusive; </w:t>
      </w:r>
    </w:p>
    <w:p w14:paraId="7B1AD558"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4F7783D5" w14:textId="4E831806"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(6)</w:t>
      </w:r>
      <w:r w:rsidRPr="002B283E">
        <w:rPr>
          <w:rFonts w:cs="Times New Roman"/>
          <w:szCs w:val="24"/>
        </w:rPr>
        <w:tab/>
        <w:t xml:space="preserve">Copying. Whether the defendant intentionally copied the [owner’s] [assignee’s] [licensee’s] trademark; </w:t>
      </w:r>
    </w:p>
    <w:p w14:paraId="37096DC1"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7FC443C0" w14:textId="77777777"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(7)</w:t>
      </w:r>
      <w:r w:rsidRPr="002B283E">
        <w:rPr>
          <w:rFonts w:cs="Times New Roman"/>
          <w:szCs w:val="24"/>
        </w:rPr>
        <w:tab/>
        <w:t xml:space="preserve">Actual Confusion. Whether the defendant’s use of the plaintiff’s trademark has led to actual confusion among a significant number of consumers; and </w:t>
      </w:r>
    </w:p>
    <w:p w14:paraId="2768174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5F511837" w14:textId="7FF0D3E6" w:rsidR="00780151" w:rsidRPr="002B283E" w:rsidRDefault="00780151" w:rsidP="00021D2C">
      <w:pPr>
        <w:tabs>
          <w:tab w:val="left" w:pos="1260"/>
        </w:tabs>
        <w:ind w:right="720" w:firstLine="810"/>
        <w:rPr>
          <w:rFonts w:cs="Times New Roman"/>
          <w:szCs w:val="24"/>
        </w:rPr>
      </w:pPr>
      <w:r w:rsidRPr="002B283E">
        <w:rPr>
          <w:rFonts w:cs="Times New Roman"/>
          <w:szCs w:val="24"/>
        </w:rPr>
        <w:t>(8)</w:t>
      </w:r>
      <w:r w:rsidRPr="002B283E">
        <w:rPr>
          <w:rFonts w:cs="Times New Roman"/>
          <w:szCs w:val="24"/>
        </w:rPr>
        <w:tab/>
        <w:t>[</w:t>
      </w:r>
      <w:r w:rsidRPr="002B283E">
        <w:rPr>
          <w:rFonts w:cs="Times New Roman"/>
          <w:i/>
          <w:iCs/>
          <w:szCs w:val="24"/>
          <w:u w:val="single"/>
        </w:rPr>
        <w:t>Insert any other factors that bear on secondary meaning</w:t>
      </w:r>
      <w:r w:rsidRPr="002B283E">
        <w:rPr>
          <w:rFonts w:cs="Times New Roman"/>
          <w:szCs w:val="24"/>
        </w:rPr>
        <w:t>]</w:t>
      </w:r>
    </w:p>
    <w:p w14:paraId="451ADCA2" w14:textId="77777777" w:rsidR="00780151" w:rsidRPr="002B283E" w:rsidRDefault="00780151" w:rsidP="00021D2C">
      <w:pPr>
        <w:tabs>
          <w:tab w:val="left" w:pos="1260"/>
        </w:tabs>
        <w:autoSpaceDE w:val="0"/>
        <w:autoSpaceDN w:val="0"/>
        <w:adjustRightInd w:val="0"/>
        <w:ind w:firstLine="810"/>
        <w:rPr>
          <w:rFonts w:cs="Times New Roman"/>
          <w:szCs w:val="24"/>
          <w:lang w:val="en-CA"/>
        </w:rPr>
      </w:pPr>
    </w:p>
    <w:p w14:paraId="328F06D9" w14:textId="2B048087" w:rsidR="00780151" w:rsidRPr="002B283E" w:rsidRDefault="00780151" w:rsidP="008A04C2">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The presence or absence of any factor should not necessarily resolve whether [</w:t>
      </w:r>
      <w:r w:rsidRPr="002B283E">
        <w:rPr>
          <w:rFonts w:cs="Times New Roman"/>
          <w:i/>
          <w:iCs/>
          <w:szCs w:val="24"/>
          <w:u w:val="single"/>
        </w:rPr>
        <w:t>identify the alleged trademark</w:t>
      </w:r>
      <w:r w:rsidRPr="002B283E">
        <w:rPr>
          <w:rFonts w:cs="Times New Roman"/>
          <w:szCs w:val="24"/>
          <w:u w:val="single"/>
        </w:rPr>
        <w:t>]</w:t>
      </w:r>
      <w:r w:rsidRPr="002B283E">
        <w:rPr>
          <w:rFonts w:cs="Times New Roman"/>
          <w:szCs w:val="24"/>
        </w:rPr>
        <w:t xml:space="preserve"> has acquired secondary meaning.</w:t>
      </w:r>
    </w:p>
    <w:p w14:paraId="34067E10" w14:textId="77777777" w:rsidR="00780151" w:rsidRPr="002B283E" w:rsidRDefault="00780151" w:rsidP="002B283E">
      <w:pPr>
        <w:autoSpaceDE w:val="0"/>
        <w:autoSpaceDN w:val="0"/>
        <w:adjustRightInd w:val="0"/>
        <w:rPr>
          <w:rFonts w:cs="Times New Roman"/>
          <w:szCs w:val="24"/>
        </w:rPr>
      </w:pPr>
    </w:p>
    <w:p w14:paraId="781EED5F" w14:textId="118DC96B" w:rsidR="00780151" w:rsidRPr="002B283E" w:rsidRDefault="00780151" w:rsidP="002B283E">
      <w:pPr>
        <w:autoSpaceDE w:val="0"/>
        <w:autoSpaceDN w:val="0"/>
        <w:adjustRightInd w:val="0"/>
        <w:rPr>
          <w:rFonts w:cs="Times New Roman"/>
          <w:szCs w:val="24"/>
        </w:rPr>
      </w:pPr>
      <w:r w:rsidRPr="002B283E">
        <w:rPr>
          <w:rFonts w:cs="Times New Roman"/>
          <w:szCs w:val="24"/>
        </w:rPr>
        <w:lastRenderedPageBreak/>
        <w:tab/>
        <w:t xml:space="preserve">Descriptive marks are protectable only to the extent you find they acquired distinctiveness [[through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5585533E" w14:textId="77777777" w:rsidR="00780151" w:rsidRPr="002B283E" w:rsidRDefault="00780151" w:rsidP="002B283E">
      <w:pPr>
        <w:autoSpaceDE w:val="0"/>
        <w:autoSpaceDN w:val="0"/>
        <w:adjustRightInd w:val="0"/>
        <w:rPr>
          <w:rFonts w:cs="Times New Roman"/>
          <w:szCs w:val="24"/>
        </w:rPr>
      </w:pPr>
    </w:p>
    <w:p w14:paraId="76D74391" w14:textId="53AC27BA"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that the </w:t>
      </w:r>
      <w:r w:rsidRPr="002B283E">
        <w:rPr>
          <w:rFonts w:cs="Times New Roman"/>
          <w:szCs w:val="24"/>
          <w:u w:val="single"/>
        </w:rPr>
        <w:t>[</w:t>
      </w:r>
      <w:r w:rsidRPr="002B283E">
        <w:rPr>
          <w:rFonts w:cs="Times New Roman"/>
          <w:i/>
          <w:iCs/>
          <w:szCs w:val="24"/>
          <w:u w:val="single"/>
        </w:rPr>
        <w:t>identify plaintiff’s trademark</w:t>
      </w:r>
      <w:r w:rsidRPr="002B283E">
        <w:rPr>
          <w:rFonts w:cs="Times New Roman"/>
          <w:szCs w:val="24"/>
        </w:rPr>
        <w:t xml:space="preserve">] has acquired a secondary meaning.]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the burden of proving that the [</w:t>
      </w:r>
      <w:r w:rsidRPr="002B283E">
        <w:rPr>
          <w:rFonts w:cs="Times New Roman"/>
          <w:i/>
          <w:iCs/>
          <w:szCs w:val="24"/>
          <w:u w:val="single"/>
        </w:rPr>
        <w:t>identify plaintiff’s trademark</w:t>
      </w:r>
      <w:r w:rsidRPr="002B283E">
        <w:rPr>
          <w:rFonts w:cs="Times New Roman"/>
          <w:szCs w:val="24"/>
        </w:rPr>
        <w:t xml:space="preserve">] lacks a secondary meaning.] </w:t>
      </w:r>
    </w:p>
    <w:p w14:paraId="3B480DE8" w14:textId="77777777" w:rsidR="00780151" w:rsidRPr="002B283E" w:rsidRDefault="00780151" w:rsidP="002B283E">
      <w:pPr>
        <w:autoSpaceDE w:val="0"/>
        <w:autoSpaceDN w:val="0"/>
        <w:adjustRightInd w:val="0"/>
        <w:rPr>
          <w:rFonts w:cs="Times New Roman"/>
          <w:szCs w:val="24"/>
        </w:rPr>
      </w:pPr>
    </w:p>
    <w:p w14:paraId="564A5D6A" w14:textId="6AEB52BC"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mere fact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using [</w:t>
      </w:r>
      <w:r w:rsidRPr="002B283E">
        <w:rPr>
          <w:rFonts w:cs="Times New Roman"/>
          <w:i/>
          <w:iCs/>
          <w:szCs w:val="24"/>
          <w:u w:val="single"/>
        </w:rPr>
        <w:t>describe symbol or term</w:t>
      </w:r>
      <w:r w:rsidRPr="002B283E">
        <w:rPr>
          <w:rFonts w:cs="Times New Roman"/>
          <w:szCs w:val="24"/>
        </w:rPr>
        <w:t xml:space="preserve">], or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using it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does not mean that the trademark has acquired secondary meaning. There is no particular length of time that a trademark must be used before it acquires a secondary meaning. </w:t>
      </w:r>
    </w:p>
    <w:p w14:paraId="7DEE8711" w14:textId="77777777" w:rsidR="00780151" w:rsidRPr="002B283E" w:rsidRDefault="00780151" w:rsidP="002B283E">
      <w:pPr>
        <w:autoSpaceDE w:val="0"/>
        <w:autoSpaceDN w:val="0"/>
        <w:adjustRightInd w:val="0"/>
        <w:rPr>
          <w:rFonts w:cs="Times New Roman"/>
          <w:szCs w:val="24"/>
        </w:rPr>
      </w:pPr>
    </w:p>
    <w:p w14:paraId="42C09608" w14:textId="77777777" w:rsidR="00780151" w:rsidRPr="002B283E" w:rsidRDefault="0078015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7148784F" w14:textId="77777777" w:rsidR="00780151" w:rsidRPr="002B283E" w:rsidRDefault="00780151" w:rsidP="002B283E">
      <w:pPr>
        <w:autoSpaceDE w:val="0"/>
        <w:autoSpaceDN w:val="0"/>
        <w:adjustRightInd w:val="0"/>
        <w:rPr>
          <w:rFonts w:cs="Times New Roman"/>
          <w:b/>
          <w:bCs/>
          <w:szCs w:val="24"/>
        </w:rPr>
      </w:pPr>
    </w:p>
    <w:p w14:paraId="043C72E0" w14:textId="0774B669"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test for secondary meaning is the same whether for product configuration or trade dress or trademark cases. </w:t>
      </w:r>
      <w:r w:rsidRPr="002B283E">
        <w:rPr>
          <w:rFonts w:cs="Times New Roman"/>
          <w:i/>
          <w:iCs/>
          <w:szCs w:val="24"/>
        </w:rPr>
        <w:t>See Avery Dennison Corp. v. Sumpton</w:t>
      </w:r>
      <w:r w:rsidRPr="002B283E">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2B283E">
        <w:rPr>
          <w:rFonts w:cs="Times New Roman"/>
          <w:i/>
          <w:iCs/>
          <w:szCs w:val="24"/>
        </w:rPr>
        <w:t>See Self–Realization Fellowship Church v. Ananda</w:t>
      </w:r>
      <w:r w:rsidRPr="002B283E">
        <w:rPr>
          <w:rFonts w:cs="Times New Roman"/>
          <w:szCs w:val="24"/>
        </w:rPr>
        <w:t>, 59 F.3d 902, 910-12 (9th Cir. 1995)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that plaintiff’s unregistered mark was descriptive and lacked secondary meaning, and therefore, was invalid). </w:t>
      </w:r>
      <w:r w:rsidRPr="002B283E">
        <w:rPr>
          <w:rFonts w:cs="Times New Roman"/>
          <w:i/>
          <w:iCs/>
          <w:szCs w:val="24"/>
        </w:rPr>
        <w:t>See also Filipino Yellow Pages. v. Asian J. Publ’ns</w:t>
      </w:r>
      <w:r w:rsidRPr="002B283E">
        <w:rPr>
          <w:rFonts w:cs="Times New Roman"/>
          <w:szCs w:val="24"/>
        </w:rPr>
        <w:t xml:space="preserve">, 198 F.3d 1143, 1151-52 (9th Cir. 1999). On the other hand, if the mark is validly registered but has not yet attained incontestable status, the plaintiff’s registration carries a presumption of secondary meaning, because registered marks are presumed distinctive. </w:t>
      </w:r>
      <w:r w:rsidRPr="002B283E">
        <w:rPr>
          <w:rFonts w:cs="Times New Roman"/>
          <w:i/>
          <w:iCs/>
          <w:szCs w:val="24"/>
        </w:rPr>
        <w:t>Americana Trading, Inc., v. Russ Berrie &amp; Co</w:t>
      </w:r>
      <w:r w:rsidRPr="002B283E">
        <w:rPr>
          <w:rFonts w:cs="Times New Roman"/>
          <w:szCs w:val="24"/>
        </w:rPr>
        <w:t>., 966 F.2d 1284, 1287 (9th Cir. 1992). In that case, if the defendant wishes to argue that the plaintiff’s mark was weak (</w:t>
      </w:r>
      <w:r w:rsidRPr="00F87703">
        <w:rPr>
          <w:rFonts w:cs="Times New Roman"/>
          <w:i/>
          <w:iCs/>
          <w:szCs w:val="24"/>
        </w:rPr>
        <w:t>e.g.</w:t>
      </w:r>
      <w:r w:rsidRPr="002B283E">
        <w:rPr>
          <w:rFonts w:cs="Times New Roman"/>
          <w:szCs w:val="24"/>
        </w:rPr>
        <w:t xml:space="preserve">, was descriptive) and not entitled to trademark protection, the burden is on the defendant to prove that secondary meaning has not attached. </w:t>
      </w:r>
      <w:r w:rsidRPr="002B283E">
        <w:rPr>
          <w:rFonts w:cs="Times New Roman"/>
          <w:i/>
          <w:iCs/>
          <w:szCs w:val="24"/>
        </w:rPr>
        <w:t>Id.</w:t>
      </w:r>
    </w:p>
    <w:p w14:paraId="1E0FBEBD" w14:textId="77777777" w:rsidR="00780151" w:rsidRPr="002B283E" w:rsidRDefault="00780151" w:rsidP="002B283E">
      <w:pPr>
        <w:autoSpaceDE w:val="0"/>
        <w:autoSpaceDN w:val="0"/>
        <w:adjustRightInd w:val="0"/>
        <w:rPr>
          <w:rFonts w:cs="Times New Roman"/>
          <w:szCs w:val="24"/>
        </w:rPr>
      </w:pPr>
    </w:p>
    <w:p w14:paraId="5D151773"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Failure to list actual confusion as one of the factors the jury should consider in determining whether the plaintiff had established secondary meaning is not harmless error. </w:t>
      </w:r>
      <w:r w:rsidRPr="002B283E">
        <w:rPr>
          <w:rFonts w:cs="Times New Roman"/>
          <w:i/>
          <w:iCs/>
          <w:szCs w:val="24"/>
        </w:rPr>
        <w:t>See Adray v. Adry-Mart, Inc.</w:t>
      </w:r>
      <w:r w:rsidRPr="002B283E">
        <w:rPr>
          <w:rFonts w:cs="Times New Roman"/>
          <w:szCs w:val="24"/>
        </w:rPr>
        <w:t xml:space="preserve">, 76 F.3d 984, 987 (9th Cir. 1995). </w:t>
      </w:r>
      <w:r w:rsidRPr="002B283E">
        <w:rPr>
          <w:rFonts w:cs="Times New Roman"/>
          <w:i/>
          <w:iCs/>
          <w:szCs w:val="24"/>
        </w:rPr>
        <w:t>See also Comm. for Idaho’s High Desert, Inc. v. Yost</w:t>
      </w:r>
      <w:r w:rsidRPr="002B283E">
        <w:rPr>
          <w:rFonts w:cs="Times New Roman"/>
          <w:szCs w:val="24"/>
        </w:rPr>
        <w:t xml:space="preserve">, 92 F.3d 814, 822-23 (9th Cir. 1996) (“Factors considered in determining whether a secondary meaning has been achieved include: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 (citation omitted)). </w:t>
      </w:r>
    </w:p>
    <w:p w14:paraId="0D3178DD" w14:textId="77777777" w:rsidR="00780151" w:rsidRPr="002B283E" w:rsidRDefault="00780151" w:rsidP="002B283E">
      <w:pPr>
        <w:autoSpaceDE w:val="0"/>
        <w:autoSpaceDN w:val="0"/>
        <w:adjustRightInd w:val="0"/>
        <w:rPr>
          <w:rFonts w:cs="Times New Roman"/>
          <w:szCs w:val="24"/>
        </w:rPr>
      </w:pPr>
    </w:p>
    <w:p w14:paraId="3DF660D8" w14:textId="77777777"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Secondary meaning can be proved in a variety of ways, including “direct consumer testimony; survey evidence; exclusivity, manner, and length of use of mark; amount and manner </w:t>
      </w:r>
      <w:r w:rsidRPr="002B283E">
        <w:rPr>
          <w:rFonts w:cs="Times New Roman"/>
          <w:szCs w:val="24"/>
        </w:rPr>
        <w:lastRenderedPageBreak/>
        <w:t xml:space="preserve">of advertising; amount of sales and number of customers; established place in the market; and proof of intentional copying by the defendant.” </w:t>
      </w:r>
      <w:r w:rsidRPr="002B283E">
        <w:rPr>
          <w:rFonts w:cs="Times New Roman"/>
          <w:i/>
          <w:iCs/>
          <w:szCs w:val="24"/>
        </w:rPr>
        <w:t>P &amp; P Imps. LLC v. Johnson Enters., LLC</w:t>
      </w:r>
      <w:r w:rsidRPr="002B283E">
        <w:rPr>
          <w:rFonts w:cs="Times New Roman"/>
          <w:szCs w:val="24"/>
        </w:rPr>
        <w:t xml:space="preserve">, 46 F.4th 953, 961 (9th Cir. 2022). Because “[t]here is no logical reason for the precise copying save an attempt to realize upon a secondary meaning that is in existence,” </w:t>
      </w:r>
      <w:r w:rsidRPr="002B283E">
        <w:rPr>
          <w:rFonts w:cs="Times New Roman"/>
          <w:i/>
          <w:iCs/>
          <w:szCs w:val="24"/>
        </w:rPr>
        <w:t>Audio Fid., Inc. v. High Fid. Recordings, Inc.</w:t>
      </w:r>
      <w:r w:rsidRPr="002B283E">
        <w:rPr>
          <w:rFonts w:cs="Times New Roman"/>
          <w:szCs w:val="24"/>
        </w:rPr>
        <w:t xml:space="preserve">, 283 F.2d 551, 558 (9th Cir. 1960), “[p]roof of copying strongly supports an inference of secondary meaning,” </w:t>
      </w:r>
      <w:r w:rsidRPr="002B283E">
        <w:rPr>
          <w:rFonts w:cs="Times New Roman"/>
          <w:i/>
          <w:iCs/>
          <w:szCs w:val="24"/>
        </w:rPr>
        <w:t>P &amp; P Imps. LLC</w:t>
      </w:r>
      <w:r w:rsidRPr="002B283E">
        <w:rPr>
          <w:rFonts w:cs="Times New Roman"/>
          <w:szCs w:val="24"/>
        </w:rPr>
        <w:t>, 46 F.4th</w:t>
      </w:r>
      <w:r w:rsidRPr="002B283E" w:rsidDel="00393421">
        <w:rPr>
          <w:rFonts w:cs="Times New Roman"/>
          <w:i/>
          <w:iCs/>
          <w:szCs w:val="24"/>
        </w:rPr>
        <w:t xml:space="preserve"> </w:t>
      </w:r>
      <w:r w:rsidRPr="002B283E">
        <w:rPr>
          <w:rFonts w:cs="Times New Roman"/>
          <w:szCs w:val="24"/>
        </w:rPr>
        <w:t xml:space="preserve">at 961. The plaintiff does not have to prove that the defendant intended to confuse consumers and pass off its products as the plaintiffs to raise such an inference. Secondary meaning can also be established by evidence of a likelihood of confusion. </w:t>
      </w:r>
      <w:r w:rsidRPr="002B283E">
        <w:rPr>
          <w:rFonts w:cs="Times New Roman"/>
          <w:i/>
          <w:iCs/>
          <w:szCs w:val="24"/>
        </w:rPr>
        <w:t xml:space="preserve">Id. </w:t>
      </w:r>
      <w:r w:rsidRPr="002B283E">
        <w:rPr>
          <w:rFonts w:cs="Times New Roman"/>
          <w:szCs w:val="24"/>
        </w:rPr>
        <w:t xml:space="preserve">Evidence of retailer confusion may be appropriate when a market involves specialized distributors that leads to retailers functionally operating as consumers. </w:t>
      </w:r>
      <w:r w:rsidRPr="002B283E">
        <w:rPr>
          <w:rFonts w:cs="Times New Roman"/>
          <w:i/>
          <w:iCs/>
          <w:szCs w:val="24"/>
        </w:rPr>
        <w:t>Jason Scott Collection, Inc. v. Trendily Furniture, LLC</w:t>
      </w:r>
      <w:r w:rsidRPr="002B283E">
        <w:rPr>
          <w:rFonts w:cs="Times New Roman"/>
          <w:szCs w:val="24"/>
        </w:rPr>
        <w:t>, 68 F.4th 1203, 1217 (9th Cir. 2023).</w:t>
      </w:r>
    </w:p>
    <w:p w14:paraId="2FEE1EE7" w14:textId="77777777" w:rsidR="00780151" w:rsidRPr="002B283E" w:rsidRDefault="00780151" w:rsidP="002B283E">
      <w:pPr>
        <w:autoSpaceDE w:val="0"/>
        <w:autoSpaceDN w:val="0"/>
        <w:adjustRightInd w:val="0"/>
        <w:rPr>
          <w:rFonts w:cs="Times New Roman"/>
          <w:szCs w:val="24"/>
        </w:rPr>
      </w:pPr>
    </w:p>
    <w:p w14:paraId="5D2454FD" w14:textId="1C53E856" w:rsidR="00780151" w:rsidRPr="002B283E" w:rsidRDefault="00780151" w:rsidP="002B283E">
      <w:pPr>
        <w:autoSpaceDE w:val="0"/>
        <w:autoSpaceDN w:val="0"/>
        <w:adjustRightInd w:val="0"/>
        <w:rPr>
          <w:rFonts w:cs="Times New Roman"/>
          <w:i/>
          <w:iCs/>
          <w:szCs w:val="24"/>
        </w:rPr>
      </w:pPr>
      <w:r w:rsidRPr="002B283E">
        <w:rPr>
          <w:rFonts w:cs="Times New Roman"/>
          <w:szCs w:val="24"/>
        </w:rPr>
        <w:tab/>
        <w:t>When a mark is not in the public domain, a showing of secondary meaning requires a mark to be associated in common thought, not merely with the thing produced, but with the source or origin of the production, even if anonymous</w:t>
      </w:r>
      <w:r w:rsidRPr="002B283E">
        <w:rPr>
          <w:rFonts w:cs="Times New Roman"/>
          <w:i/>
          <w:iCs/>
          <w:szCs w:val="24"/>
        </w:rPr>
        <w:t>. See Maljack Prods. v. Goodtimes Home Video Corp.</w:t>
      </w:r>
      <w:r w:rsidRPr="002B283E">
        <w:rPr>
          <w:rFonts w:cs="Times New Roman"/>
          <w:szCs w:val="24"/>
        </w:rPr>
        <w:t xml:space="preserve">, 81 F.3d 881, 887 (9th Cir. 1996) (holding that when </w:t>
      </w:r>
      <w:r w:rsidR="00412566">
        <w:rPr>
          <w:rFonts w:cs="Times New Roman"/>
          <w:szCs w:val="24"/>
        </w:rPr>
        <w:t xml:space="preserve">a </w:t>
      </w:r>
      <w:r w:rsidRPr="002B283E">
        <w:rPr>
          <w:rFonts w:cs="Times New Roman"/>
          <w:szCs w:val="24"/>
        </w:rPr>
        <w:t xml:space="preserve">movie title is not in </w:t>
      </w:r>
      <w:r w:rsidR="00412566">
        <w:rPr>
          <w:rFonts w:cs="Times New Roman"/>
          <w:szCs w:val="24"/>
        </w:rPr>
        <w:t xml:space="preserve">the </w:t>
      </w:r>
      <w:r w:rsidRPr="002B283E">
        <w:rPr>
          <w:rFonts w:cs="Times New Roman"/>
          <w:szCs w:val="24"/>
        </w:rPr>
        <w:t xml:space="preserve">public domain, showing of secondary meaning only requires proof that </w:t>
      </w:r>
      <w:r w:rsidR="00412566">
        <w:rPr>
          <w:rFonts w:cs="Times New Roman"/>
          <w:szCs w:val="24"/>
        </w:rPr>
        <w:t xml:space="preserve">the </w:t>
      </w:r>
      <w:r w:rsidRPr="002B283E">
        <w:rPr>
          <w:rFonts w:cs="Times New Roman"/>
          <w:szCs w:val="24"/>
        </w:rPr>
        <w:t xml:space="preserve">public associates </w:t>
      </w:r>
      <w:r w:rsidR="00412566">
        <w:rPr>
          <w:rFonts w:cs="Times New Roman"/>
          <w:szCs w:val="24"/>
        </w:rPr>
        <w:t xml:space="preserve">the </w:t>
      </w:r>
      <w:r w:rsidRPr="002B283E">
        <w:rPr>
          <w:rFonts w:cs="Times New Roman"/>
          <w:szCs w:val="24"/>
        </w:rPr>
        <w:t xml:space="preserve">movie title with </w:t>
      </w:r>
      <w:r w:rsidR="00412566">
        <w:rPr>
          <w:rFonts w:cs="Times New Roman"/>
          <w:szCs w:val="24"/>
        </w:rPr>
        <w:t xml:space="preserve">a </w:t>
      </w:r>
      <w:r w:rsidRPr="002B283E">
        <w:rPr>
          <w:rFonts w:cs="Times New Roman"/>
          <w:szCs w:val="24"/>
        </w:rPr>
        <w:t xml:space="preserve">single source, even if anonymous); </w:t>
      </w:r>
      <w:r w:rsidRPr="002B283E">
        <w:rPr>
          <w:rFonts w:cs="Times New Roman"/>
          <w:i/>
          <w:iCs/>
          <w:szCs w:val="24"/>
        </w:rPr>
        <w:t>Grupo Gigante SA De CV v. Dallo &amp; Co</w:t>
      </w:r>
      <w:r w:rsidRPr="002B283E">
        <w:rPr>
          <w:rFonts w:cs="Times New Roman"/>
          <w:szCs w:val="24"/>
        </w:rPr>
        <w:t xml:space="preserve">., </w:t>
      </w:r>
      <w:r w:rsidRPr="002B283E">
        <w:rPr>
          <w:rFonts w:cs="Times New Roman"/>
          <w:i/>
          <w:iCs/>
          <w:szCs w:val="24"/>
        </w:rPr>
        <w:t>Inc.</w:t>
      </w:r>
      <w:r w:rsidRPr="002B283E">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taking into account at least seven considerations”) (quoting </w:t>
      </w:r>
      <w:r w:rsidRPr="002B283E">
        <w:rPr>
          <w:rFonts w:cs="Times New Roman"/>
          <w:i/>
          <w:iCs/>
          <w:szCs w:val="24"/>
        </w:rPr>
        <w:t>Wal-Mart Stores, Inc. v. Samara Bros., Inc</w:t>
      </w:r>
      <w:r w:rsidRPr="002B283E">
        <w:rPr>
          <w:rFonts w:cs="Times New Roman"/>
          <w:szCs w:val="24"/>
        </w:rPr>
        <w:t>., 529 U.S. 205, 211 (2000)). This rule also applies in trade dress infringement cases</w:t>
      </w:r>
      <w:r w:rsidRPr="002B283E">
        <w:rPr>
          <w:rFonts w:cs="Times New Roman"/>
          <w:i/>
          <w:iCs/>
          <w:szCs w:val="24"/>
        </w:rPr>
        <w:t>. See P &amp; P Imps. LLC</w:t>
      </w:r>
      <w:r w:rsidRPr="002B283E">
        <w:rPr>
          <w:rFonts w:cs="Times New Roman"/>
          <w:szCs w:val="24"/>
        </w:rPr>
        <w:t>, 46 F.4th at 960 (holding with respect to trade dress that “[s]econdary meaning exists when in the minds of the public, the primary significance of [the trade dress] is to identify the source of the product rather than</w:t>
      </w:r>
      <w:r w:rsidRPr="002B283E">
        <w:rPr>
          <w:rFonts w:cs="Times New Roman"/>
          <w:i/>
          <w:iCs/>
          <w:szCs w:val="24"/>
        </w:rPr>
        <w:t xml:space="preserve"> </w:t>
      </w:r>
      <w:r w:rsidRPr="002B283E">
        <w:rPr>
          <w:rFonts w:cs="Times New Roman"/>
          <w:szCs w:val="24"/>
        </w:rPr>
        <w:t>the product itself,” and this requirement is satisfied by evidence establishing “association with only a single—even anonymous—source” (internal quotation</w:t>
      </w:r>
      <w:r w:rsidRPr="002B283E">
        <w:rPr>
          <w:rFonts w:cs="Times New Roman"/>
          <w:i/>
          <w:iCs/>
          <w:szCs w:val="24"/>
        </w:rPr>
        <w:t xml:space="preserve"> </w:t>
      </w:r>
      <w:r w:rsidRPr="002B283E">
        <w:rPr>
          <w:rFonts w:cs="Times New Roman"/>
          <w:szCs w:val="24"/>
        </w:rPr>
        <w:t>marks omitted)).</w:t>
      </w:r>
    </w:p>
    <w:p w14:paraId="55DD5C47" w14:textId="77777777" w:rsidR="00780151" w:rsidRPr="002B283E" w:rsidRDefault="00780151" w:rsidP="002B283E">
      <w:pPr>
        <w:autoSpaceDE w:val="0"/>
        <w:autoSpaceDN w:val="0"/>
        <w:adjustRightInd w:val="0"/>
        <w:rPr>
          <w:rFonts w:cs="Times New Roman"/>
          <w:szCs w:val="24"/>
        </w:rPr>
      </w:pPr>
    </w:p>
    <w:p w14:paraId="2829FEFD" w14:textId="5A04FAE4"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“While evidence of a manufacturer’s sales, advertising and promotional activities may be relevant in determining secondary meaning, the true test of secondary meaning is the effectiveness of this effort to create it.” </w:t>
      </w:r>
      <w:r w:rsidRPr="002B283E">
        <w:rPr>
          <w:rFonts w:cs="Times New Roman"/>
          <w:i/>
          <w:iCs/>
          <w:szCs w:val="24"/>
        </w:rPr>
        <w:t>International Jensen v. Metrosound U.S.A.</w:t>
      </w:r>
      <w:r w:rsidRPr="002B283E">
        <w:rPr>
          <w:rFonts w:cs="Times New Roman"/>
          <w:szCs w:val="24"/>
        </w:rPr>
        <w:t xml:space="preserve">, 4 F.3d 819, 824-25 (9th Cir. 1993) (citation omitted). The Ninth Circuit has said that when a descriptive mark is especially weak, “we require a ‘strong showing of strong secondary meaning.’” </w:t>
      </w:r>
      <w:r w:rsidRPr="002B283E">
        <w:rPr>
          <w:rFonts w:cs="Times New Roman"/>
          <w:i/>
          <w:iCs/>
          <w:szCs w:val="24"/>
        </w:rPr>
        <w:t>Japan Telecom, Inc.</w:t>
      </w:r>
      <w:r w:rsidRPr="002B283E">
        <w:rPr>
          <w:rFonts w:cs="Times New Roman"/>
          <w:szCs w:val="24"/>
        </w:rPr>
        <w:t>, 287 F.3d at 873 (citations omitted).</w:t>
      </w:r>
    </w:p>
    <w:p w14:paraId="6E27F8AA" w14:textId="77777777" w:rsidR="00780151" w:rsidRPr="002B283E" w:rsidRDefault="00780151" w:rsidP="002B283E">
      <w:pPr>
        <w:autoSpaceDE w:val="0"/>
        <w:autoSpaceDN w:val="0"/>
        <w:adjustRightInd w:val="0"/>
        <w:rPr>
          <w:rFonts w:cs="Times New Roman"/>
          <w:szCs w:val="24"/>
        </w:rPr>
      </w:pPr>
    </w:p>
    <w:p w14:paraId="0E7B79E9"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Regarding how a descriptive word acquires a secondary meaning, the following text may be added to the second paragraph of this instruction: </w:t>
      </w:r>
    </w:p>
    <w:p w14:paraId="3200A5B4" w14:textId="77777777" w:rsidR="00780151" w:rsidRPr="002B283E" w:rsidRDefault="00780151" w:rsidP="002B283E">
      <w:pPr>
        <w:autoSpaceDE w:val="0"/>
        <w:autoSpaceDN w:val="0"/>
        <w:adjustRightInd w:val="0"/>
        <w:rPr>
          <w:rFonts w:cs="Times New Roman"/>
          <w:szCs w:val="24"/>
        </w:rPr>
      </w:pPr>
    </w:p>
    <w:p w14:paraId="5DE1BDDC" w14:textId="77777777" w:rsidR="00780151" w:rsidRPr="002B283E" w:rsidRDefault="00780151" w:rsidP="002B283E">
      <w:pPr>
        <w:autoSpaceDE w:val="0"/>
        <w:autoSpaceDN w:val="0"/>
        <w:adjustRightInd w:val="0"/>
        <w:ind w:left="720" w:right="720"/>
        <w:jc w:val="both"/>
        <w:rPr>
          <w:rFonts w:cs="Times New Roman"/>
          <w:szCs w:val="24"/>
        </w:rPr>
      </w:pPr>
      <w:r w:rsidRPr="002B283E">
        <w:rPr>
          <w:rFonts w:cs="Times New Roman"/>
          <w:szCs w:val="24"/>
        </w:rPr>
        <w:t xml:space="preserve">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w:t>
      </w:r>
      <w:r w:rsidRPr="002B283E">
        <w:rPr>
          <w:rFonts w:cs="Times New Roman"/>
          <w:szCs w:val="24"/>
        </w:rPr>
        <w:lastRenderedPageBreak/>
        <w:t xml:space="preserve">those four words with a service offered only by that particular garage. The words would no longer designate their original ordinary, descriptive meaning. Instead the words have taken on a new, “secondary” meaning to identify the particular garage that performs the oil change. </w:t>
      </w:r>
    </w:p>
    <w:p w14:paraId="383D8819" w14:textId="77777777" w:rsidR="00780151" w:rsidRPr="002B283E" w:rsidRDefault="00780151" w:rsidP="002B283E">
      <w:pPr>
        <w:autoSpaceDE w:val="0"/>
        <w:autoSpaceDN w:val="0"/>
        <w:adjustRightInd w:val="0"/>
        <w:rPr>
          <w:rFonts w:cs="Times New Roman"/>
          <w:szCs w:val="24"/>
        </w:rPr>
      </w:pPr>
    </w:p>
    <w:p w14:paraId="2B9B057E" w14:textId="238697E3"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“Secondary meaning” may be referred to as “acquired meaning.” </w:t>
      </w:r>
      <w:r w:rsidRPr="002B283E">
        <w:rPr>
          <w:rFonts w:cs="Times New Roman"/>
          <w:i/>
          <w:iCs/>
          <w:szCs w:val="24"/>
        </w:rPr>
        <w:t>See</w:t>
      </w:r>
      <w:r w:rsidRPr="002B283E">
        <w:rPr>
          <w:rFonts w:cs="Times New Roman"/>
          <w:szCs w:val="24"/>
        </w:rPr>
        <w:t xml:space="preserve"> </w:t>
      </w:r>
      <w:r w:rsidRPr="002B283E">
        <w:rPr>
          <w:rFonts w:cs="Times New Roman"/>
          <w:i/>
          <w:iCs/>
          <w:szCs w:val="24"/>
        </w:rPr>
        <w:t>Wal-Mart Stores, Inc.</w:t>
      </w:r>
      <w:r w:rsidRPr="002B283E">
        <w:rPr>
          <w:rFonts w:cs="Times New Roman"/>
          <w:szCs w:val="24"/>
        </w:rPr>
        <w:t xml:space="preserve">, 529 U.S. at 211, n.*. If it is not inherently distinctive, a mark may acquire distinctiveness if it has developed secondary meaning. </w:t>
      </w:r>
      <w:r w:rsidRPr="002B283E">
        <w:rPr>
          <w:rFonts w:cs="Times New Roman"/>
          <w:i/>
          <w:iCs/>
          <w:szCs w:val="24"/>
        </w:rPr>
        <w:t>Id. at</w:t>
      </w:r>
      <w:r w:rsidRPr="002B283E">
        <w:rPr>
          <w:rFonts w:cs="Times New Roman"/>
          <w:szCs w:val="24"/>
        </w:rPr>
        <w:t xml:space="preserve"> 211. This means the mark’s primary significance in the public mind is to identify the source of the product rather than the product itself. </w:t>
      </w:r>
      <w:r w:rsidRPr="002B283E">
        <w:rPr>
          <w:rFonts w:cs="Times New Roman"/>
          <w:i/>
          <w:iCs/>
          <w:szCs w:val="24"/>
        </w:rPr>
        <w:t xml:space="preserve">Id. </w:t>
      </w:r>
      <w:r w:rsidRPr="002B283E">
        <w:rPr>
          <w:rFonts w:cs="Times New Roman"/>
          <w:szCs w:val="24"/>
        </w:rPr>
        <w:t xml:space="preserve">But the term secondary meaning “is often a misnomer,” particularly when applied to non-word marks. </w:t>
      </w:r>
      <w:r w:rsidRPr="002B283E">
        <w:rPr>
          <w:rFonts w:cs="Times New Roman"/>
          <w:i/>
          <w:iCs/>
          <w:szCs w:val="24"/>
        </w:rPr>
        <w:t xml:space="preserve">Id. </w:t>
      </w:r>
      <w:r w:rsidRPr="002B283E">
        <w:rPr>
          <w:rFonts w:cs="Times New Roman"/>
          <w:szCs w:val="24"/>
        </w:rPr>
        <w:t xml:space="preserve">“Clarity might well be served by using the term ‘acquired meaning’ in both the word-mark and the non-word mark contexts” rather than the term “secondary meaning.” </w:t>
      </w:r>
      <w:r w:rsidRPr="002B283E">
        <w:rPr>
          <w:rFonts w:cs="Times New Roman"/>
          <w:i/>
          <w:iCs/>
          <w:szCs w:val="24"/>
        </w:rPr>
        <w:t>Id.</w:t>
      </w:r>
      <w:r w:rsidRPr="002B283E">
        <w:rPr>
          <w:rFonts w:cs="Times New Roman"/>
          <w:szCs w:val="24"/>
        </w:rPr>
        <w:t xml:space="preserve"> However, the Ninth Circuit continues to use the term “secondary meaning.” </w:t>
      </w:r>
      <w:r w:rsidRPr="002B283E">
        <w:rPr>
          <w:rFonts w:cs="Times New Roman"/>
          <w:i/>
          <w:iCs/>
          <w:szCs w:val="24"/>
        </w:rPr>
        <w:t>See Jason Scott Collection, Inc. v. Trendily Furniture, LLC</w:t>
      </w:r>
      <w:r w:rsidRPr="002B283E">
        <w:rPr>
          <w:rFonts w:cs="Times New Roman"/>
          <w:szCs w:val="24"/>
        </w:rPr>
        <w:t xml:space="preserve">,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 defendant’s product or service creates a likelihood of consumer confusion.” (citation omitted)); </w:t>
      </w:r>
      <w:r w:rsidRPr="002B283E">
        <w:rPr>
          <w:rFonts w:cs="Times New Roman"/>
          <w:i/>
          <w:iCs/>
          <w:szCs w:val="24"/>
        </w:rPr>
        <w:t>P &amp; P Imps. LLC v. Johnson Enters., LLC</w:t>
      </w:r>
      <w:r w:rsidRPr="002B283E">
        <w:rPr>
          <w:rFonts w:cs="Times New Roman"/>
          <w:szCs w:val="24"/>
        </w:rPr>
        <w:t>, 46 F.4th 953, 958 (9th Cir. 2022) (enumerating 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 “acquired meaning” throughout its instructions in place of or in addition to “secondary meaning.”</w:t>
      </w:r>
    </w:p>
    <w:p w14:paraId="752E8784" w14:textId="77777777" w:rsidR="00780151" w:rsidRPr="002B283E" w:rsidRDefault="00780151" w:rsidP="002B283E">
      <w:pPr>
        <w:autoSpaceDE w:val="0"/>
        <w:autoSpaceDN w:val="0"/>
        <w:adjustRightInd w:val="0"/>
        <w:rPr>
          <w:rFonts w:cs="Times New Roman"/>
          <w:szCs w:val="24"/>
        </w:rPr>
      </w:pPr>
    </w:p>
    <w:p w14:paraId="1511BD81" w14:textId="77777777" w:rsidR="00780151" w:rsidRPr="002B283E" w:rsidRDefault="00780151" w:rsidP="002B283E">
      <w:pPr>
        <w:rPr>
          <w:rFonts w:cs="Times New Roman"/>
          <w:i/>
          <w:iCs/>
          <w:szCs w:val="24"/>
        </w:rPr>
      </w:pPr>
      <w:r w:rsidRPr="002B283E">
        <w:rPr>
          <w:rFonts w:cs="Times New Roman"/>
          <w:szCs w:val="24"/>
        </w:rPr>
        <w:tab/>
      </w:r>
    </w:p>
    <w:p w14:paraId="649FBCBA" w14:textId="77777777" w:rsidR="00780151" w:rsidRPr="002B283E" w:rsidRDefault="00780151" w:rsidP="002B283E">
      <w:pPr>
        <w:rPr>
          <w:rFonts w:cs="Times New Roman"/>
          <w:i/>
          <w:iCs/>
          <w:szCs w:val="24"/>
        </w:rPr>
      </w:pPr>
    </w:p>
    <w:p w14:paraId="0F936152" w14:textId="40CAE0F6" w:rsidR="00B02671" w:rsidRPr="002B283E" w:rsidRDefault="00780151" w:rsidP="002B283E">
      <w:pPr>
        <w:jc w:val="right"/>
        <w:rPr>
          <w:rFonts w:cs="Times New Roman"/>
          <w:szCs w:val="24"/>
        </w:rPr>
      </w:pPr>
      <w:r w:rsidRPr="002B283E">
        <w:rPr>
          <w:rFonts w:cs="Times New Roman"/>
          <w:i/>
          <w:iCs/>
          <w:szCs w:val="24"/>
        </w:rPr>
        <w:t>Revised June 2024</w:t>
      </w:r>
    </w:p>
    <w:p w14:paraId="7E14A1D8" w14:textId="7D7DACB6" w:rsidR="00EA4DDD" w:rsidRPr="002B283E" w:rsidRDefault="006A4CD7" w:rsidP="002B283E">
      <w:pPr>
        <w:pStyle w:val="Heading2"/>
      </w:pPr>
      <w:r w:rsidRPr="002B283E">
        <w:br w:type="page"/>
      </w:r>
      <w:bookmarkStart w:id="345" w:name="_Toc221525278"/>
      <w:r w:rsidRPr="002B283E">
        <w:lastRenderedPageBreak/>
        <w:t xml:space="preserve">15.12 </w:t>
      </w:r>
      <w:r w:rsidR="002D3E69" w:rsidRPr="002B283E">
        <w:t>Infringement—Elements—Validity—Trade Dress—Non-Functionality Requirement</w:t>
      </w:r>
      <w:bookmarkEnd w:id="345"/>
    </w:p>
    <w:p w14:paraId="7891D85F" w14:textId="77777777" w:rsidR="006A4CD7" w:rsidRPr="002B283E" w:rsidRDefault="006A4CD7" w:rsidP="002B283E">
      <w:pPr>
        <w:autoSpaceDE w:val="0"/>
        <w:autoSpaceDN w:val="0"/>
        <w:adjustRightInd w:val="0"/>
        <w:rPr>
          <w:rFonts w:cs="Times New Roman"/>
          <w:szCs w:val="24"/>
        </w:rPr>
      </w:pPr>
    </w:p>
    <w:p w14:paraId="42565DE8" w14:textId="77777777" w:rsidR="00B65821" w:rsidRPr="002B283E" w:rsidRDefault="006A4CD7" w:rsidP="002B283E">
      <w:pPr>
        <w:autoSpaceDE w:val="0"/>
        <w:autoSpaceDN w:val="0"/>
        <w:adjustRightInd w:val="0"/>
        <w:rPr>
          <w:rFonts w:cs="Times New Roman"/>
          <w:szCs w:val="24"/>
        </w:rPr>
      </w:pPr>
      <w:r w:rsidRPr="002B283E">
        <w:rPr>
          <w:rFonts w:cs="Times New Roman"/>
          <w:szCs w:val="24"/>
        </w:rPr>
        <w:tab/>
      </w:r>
      <w:r w:rsidR="00B65821" w:rsidRPr="002B283E">
        <w:rPr>
          <w:rFonts w:cs="Times New Roman"/>
          <w:szCs w:val="24"/>
        </w:rPr>
        <w:t xml:space="preserve">For a product’s design to be protected under trademark law, the design must be non-functional. </w:t>
      </w:r>
    </w:p>
    <w:p w14:paraId="065D695F" w14:textId="77777777" w:rsidR="00B65821" w:rsidRPr="002B283E" w:rsidRDefault="00B65821" w:rsidP="002B283E">
      <w:pPr>
        <w:autoSpaceDE w:val="0"/>
        <w:autoSpaceDN w:val="0"/>
        <w:adjustRightInd w:val="0"/>
        <w:rPr>
          <w:rFonts w:cs="Times New Roman"/>
          <w:szCs w:val="24"/>
        </w:rPr>
      </w:pPr>
    </w:p>
    <w:p w14:paraId="48A01E0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product may be functional in either of two ways. They are referred to as “utilitarian functionality” and “aesthetic functionality.”] </w:t>
      </w:r>
    </w:p>
    <w:p w14:paraId="41ADCFEF" w14:textId="77777777" w:rsidR="00B65821" w:rsidRPr="002B283E" w:rsidRDefault="00B65821" w:rsidP="002B283E">
      <w:pPr>
        <w:autoSpaceDE w:val="0"/>
        <w:autoSpaceDN w:val="0"/>
        <w:adjustRightInd w:val="0"/>
        <w:rPr>
          <w:rFonts w:cs="Times New Roman"/>
          <w:szCs w:val="24"/>
        </w:rPr>
      </w:pPr>
    </w:p>
    <w:p w14:paraId="440EDD4A"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094C3514" w14:textId="77777777" w:rsidR="00B65821" w:rsidRPr="002B283E" w:rsidRDefault="00B65821" w:rsidP="002B283E">
      <w:pPr>
        <w:autoSpaceDE w:val="0"/>
        <w:autoSpaceDN w:val="0"/>
        <w:adjustRightInd w:val="0"/>
        <w:rPr>
          <w:rFonts w:cs="Times New Roman"/>
          <w:szCs w:val="24"/>
        </w:rPr>
      </w:pPr>
    </w:p>
    <w:p w14:paraId="4B9D07E6"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(1)</w:t>
      </w:r>
      <w:r w:rsidRPr="002B283E">
        <w:rPr>
          <w:rFonts w:cs="Times New Roman"/>
          <w:szCs w:val="24"/>
        </w:rPr>
        <w:tab/>
        <w:t xml:space="preserve">whether the design yields a utilitarian advantage in how well the product works; </w:t>
      </w:r>
    </w:p>
    <w:p w14:paraId="6244CEE8" w14:textId="77777777" w:rsidR="00B65821" w:rsidRPr="002B283E" w:rsidRDefault="00B65821" w:rsidP="00021D2C">
      <w:pPr>
        <w:autoSpaceDE w:val="0"/>
        <w:autoSpaceDN w:val="0"/>
        <w:adjustRightInd w:val="0"/>
        <w:rPr>
          <w:rFonts w:cs="Times New Roman"/>
          <w:szCs w:val="24"/>
        </w:rPr>
      </w:pPr>
    </w:p>
    <w:p w14:paraId="04C277A5"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(2)</w:t>
      </w:r>
      <w:r w:rsidRPr="002B283E">
        <w:rPr>
          <w:rFonts w:cs="Times New Roman"/>
          <w:szCs w:val="24"/>
        </w:rPr>
        <w:tab/>
        <w:t xml:space="preserve">whether alternative designs are available; </w:t>
      </w:r>
    </w:p>
    <w:p w14:paraId="3374B4DB" w14:textId="77777777" w:rsidR="00B65821" w:rsidRPr="002B283E" w:rsidRDefault="00B65821" w:rsidP="00021D2C">
      <w:pPr>
        <w:autoSpaceDE w:val="0"/>
        <w:autoSpaceDN w:val="0"/>
        <w:adjustRightInd w:val="0"/>
        <w:rPr>
          <w:rFonts w:cs="Times New Roman"/>
          <w:szCs w:val="24"/>
        </w:rPr>
      </w:pPr>
    </w:p>
    <w:p w14:paraId="1F4B0D14"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(3)</w:t>
      </w:r>
      <w:r w:rsidRPr="002B283E">
        <w:rPr>
          <w:rFonts w:cs="Times New Roman"/>
          <w:szCs w:val="24"/>
        </w:rPr>
        <w:tab/>
        <w:t xml:space="preserve">whether advertising touts the utilitarian advantages of the design; and </w:t>
      </w:r>
    </w:p>
    <w:p w14:paraId="1D4171BD" w14:textId="77777777" w:rsidR="00B65821" w:rsidRPr="002B283E" w:rsidRDefault="00B65821" w:rsidP="00021D2C">
      <w:pPr>
        <w:autoSpaceDE w:val="0"/>
        <w:autoSpaceDN w:val="0"/>
        <w:adjustRightInd w:val="0"/>
        <w:rPr>
          <w:rFonts w:cs="Times New Roman"/>
          <w:szCs w:val="24"/>
        </w:rPr>
      </w:pPr>
    </w:p>
    <w:p w14:paraId="72B51F59" w14:textId="3C8EACFC" w:rsidR="00B65821" w:rsidRPr="002B283E" w:rsidRDefault="00B65821" w:rsidP="00021D2C">
      <w:pPr>
        <w:autoSpaceDE w:val="0"/>
        <w:autoSpaceDN w:val="0"/>
        <w:adjustRightInd w:val="0"/>
        <w:rPr>
          <w:rFonts w:cs="Times New Roman"/>
          <w:szCs w:val="24"/>
        </w:rPr>
      </w:pPr>
      <w:r w:rsidRPr="002B283E">
        <w:rPr>
          <w:rFonts w:cs="Times New Roman"/>
          <w:szCs w:val="24"/>
        </w:rPr>
        <w:tab/>
        <w:t>(4)</w:t>
      </w:r>
      <w:r w:rsidRPr="002B283E">
        <w:rPr>
          <w:rFonts w:cs="Times New Roman"/>
          <w:szCs w:val="24"/>
        </w:rPr>
        <w:tab/>
        <w:t>whether the particular design results from a comparatively simple or inexpensive method of manufacture</w:t>
      </w:r>
      <w:r w:rsidR="00A87F6E">
        <w:rPr>
          <w:rFonts w:cs="Times New Roman"/>
          <w:szCs w:val="24"/>
        </w:rPr>
        <w:t xml:space="preserve">. </w:t>
      </w:r>
    </w:p>
    <w:p w14:paraId="2980824F" w14:textId="77777777" w:rsidR="00B65821" w:rsidRPr="002B283E" w:rsidRDefault="00B65821" w:rsidP="002B283E">
      <w:pPr>
        <w:autoSpaceDE w:val="0"/>
        <w:autoSpaceDN w:val="0"/>
        <w:adjustRightInd w:val="0"/>
        <w:rPr>
          <w:rFonts w:cs="Times New Roman"/>
          <w:szCs w:val="24"/>
        </w:rPr>
      </w:pPr>
    </w:p>
    <w:p w14:paraId="4213D69C"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No one factor is dispositive; all should be weighed together. </w:t>
      </w:r>
    </w:p>
    <w:p w14:paraId="0E1CE435" w14:textId="77777777" w:rsidR="00B65821" w:rsidRPr="002B283E" w:rsidRDefault="00B65821" w:rsidP="002B283E">
      <w:pPr>
        <w:autoSpaceDE w:val="0"/>
        <w:autoSpaceDN w:val="0"/>
        <w:adjustRightInd w:val="0"/>
        <w:rPr>
          <w:rFonts w:cs="Times New Roman"/>
          <w:szCs w:val="24"/>
        </w:rPr>
      </w:pPr>
    </w:p>
    <w:p w14:paraId="056B8E50" w14:textId="77777777" w:rsidR="00B65821" w:rsidRPr="002B283E" w:rsidRDefault="00B65821" w:rsidP="002B283E">
      <w:pPr>
        <w:autoSpaceDE w:val="0"/>
        <w:autoSpaceDN w:val="0"/>
        <w:adjustRightInd w:val="0"/>
        <w:rPr>
          <w:rFonts w:cs="Times New Roman"/>
          <w:strike/>
          <w:szCs w:val="24"/>
        </w:rPr>
      </w:pPr>
      <w:r w:rsidRPr="002B283E">
        <w:rPr>
          <w:rFonts w:cs="Times New Roman"/>
          <w:szCs w:val="24"/>
        </w:rPr>
        <w:tab/>
        <w:t>[A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w:t>
      </w:r>
      <w:r w:rsidRPr="00F87703">
        <w:rPr>
          <w:rFonts w:cs="Times New Roman"/>
          <w:i/>
          <w:iCs/>
          <w:szCs w:val="24"/>
        </w:rPr>
        <w:t>e.g.</w:t>
      </w:r>
      <w:r w:rsidRPr="002B283E">
        <w:rPr>
          <w:rFonts w:cs="Times New Roman"/>
          <w:szCs w:val="24"/>
        </w:rPr>
        <w:t xml:space="preserve">, the alternative designs would not have as much intrinsic aesthetic appeal).] </w:t>
      </w:r>
    </w:p>
    <w:p w14:paraId="0A3F4A5D" w14:textId="77777777" w:rsidR="00B65821" w:rsidRPr="002B283E" w:rsidRDefault="00B65821" w:rsidP="002B283E">
      <w:pPr>
        <w:autoSpaceDE w:val="0"/>
        <w:autoSpaceDN w:val="0"/>
        <w:adjustRightInd w:val="0"/>
        <w:rPr>
          <w:rFonts w:cs="Times New Roman"/>
          <w:szCs w:val="24"/>
        </w:rPr>
      </w:pPr>
    </w:p>
    <w:p w14:paraId="39148736" w14:textId="120494CA"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non-functionality by a preponderance of the evidence [to show that the trade dress is valid and protected from infringement].] </w:t>
      </w:r>
    </w:p>
    <w:p w14:paraId="6393E9A6" w14:textId="77777777" w:rsidR="00B65821" w:rsidRPr="002B283E" w:rsidRDefault="00B65821" w:rsidP="002B283E">
      <w:pPr>
        <w:rPr>
          <w:rFonts w:cs="Times New Roman"/>
          <w:szCs w:val="24"/>
        </w:rPr>
      </w:pPr>
    </w:p>
    <w:p w14:paraId="3C7766A3" w14:textId="77777777" w:rsidR="00B65821" w:rsidRPr="002B283E" w:rsidRDefault="00B6582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BA9532E" w14:textId="77777777" w:rsidR="00B65821" w:rsidRPr="002B283E" w:rsidRDefault="00B65821" w:rsidP="002B283E">
      <w:pPr>
        <w:autoSpaceDE w:val="0"/>
        <w:autoSpaceDN w:val="0"/>
        <w:adjustRightInd w:val="0"/>
        <w:rPr>
          <w:rFonts w:cs="Times New Roman"/>
          <w:i/>
          <w:iCs/>
          <w:szCs w:val="24"/>
        </w:rPr>
      </w:pPr>
    </w:p>
    <w:p w14:paraId="39E8EEF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Blumenthal Distributing, Inc. v. Herman Miller, Inc</w:t>
      </w:r>
      <w:r w:rsidRPr="002B283E">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3825539A" w14:textId="77777777" w:rsidR="00B65821" w:rsidRPr="002B283E" w:rsidRDefault="00B65821" w:rsidP="002B283E">
      <w:pPr>
        <w:autoSpaceDE w:val="0"/>
        <w:autoSpaceDN w:val="0"/>
        <w:adjustRightInd w:val="0"/>
        <w:rPr>
          <w:rFonts w:cs="Times New Roman"/>
          <w:szCs w:val="24"/>
        </w:rPr>
      </w:pPr>
    </w:p>
    <w:p w14:paraId="0B04FFCF" w14:textId="48D315A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It is reversible error to fail to give an instruction defining non-functionality in a trade dress case. </w:t>
      </w:r>
      <w:r w:rsidRPr="002B283E">
        <w:rPr>
          <w:rFonts w:cs="Times New Roman"/>
          <w:i/>
          <w:iCs/>
          <w:szCs w:val="24"/>
        </w:rPr>
        <w:t>Fuddruckers, Inc. v. Doc’s B.R. Others, Inc.</w:t>
      </w:r>
      <w:r w:rsidRPr="002B283E">
        <w:rPr>
          <w:rFonts w:cs="Times New Roman"/>
          <w:szCs w:val="24"/>
        </w:rPr>
        <w:t>, 826 F.2d 837, 842-43 (9th Cir. 1987).</w:t>
      </w:r>
      <w:r w:rsidR="005F50EE">
        <w:rPr>
          <w:rFonts w:cs="Times New Roman"/>
          <w:szCs w:val="24"/>
        </w:rPr>
        <w:t xml:space="preserve"> </w:t>
      </w:r>
      <w:r w:rsidRPr="002B283E">
        <w:rPr>
          <w:rFonts w:cs="Times New Roman"/>
          <w:szCs w:val="24"/>
        </w:rPr>
        <w:lastRenderedPageBreak/>
        <w:t xml:space="preserve">Functionality is a question of fact. </w:t>
      </w:r>
      <w:r w:rsidRPr="002B283E">
        <w:rPr>
          <w:rFonts w:cs="Times New Roman"/>
          <w:i/>
          <w:iCs/>
          <w:szCs w:val="24"/>
        </w:rPr>
        <w:t>Vision Sports, Inc. v. Melville Corp.</w:t>
      </w:r>
      <w:r w:rsidRPr="002B283E">
        <w:rPr>
          <w:rFonts w:cs="Times New Roman"/>
          <w:szCs w:val="24"/>
        </w:rPr>
        <w:t>, 888 F.2d 609, 613 (9th Cir. 1989).</w:t>
      </w:r>
    </w:p>
    <w:p w14:paraId="59D658E7" w14:textId="77777777" w:rsidR="00B65821" w:rsidRPr="002B283E" w:rsidRDefault="00B65821" w:rsidP="002B283E">
      <w:pPr>
        <w:rPr>
          <w:rFonts w:cs="Times New Roman"/>
          <w:szCs w:val="24"/>
        </w:rPr>
      </w:pPr>
    </w:p>
    <w:p w14:paraId="0F1D724F"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relationship between trademark protection and functionality is well established: ‘The physical details and design of a product may be protected under the trademark laws only if they are nonfunctional.’” </w:t>
      </w:r>
      <w:r w:rsidRPr="002B283E">
        <w:rPr>
          <w:rFonts w:cs="Times New Roman"/>
          <w:i/>
          <w:iCs/>
          <w:szCs w:val="24"/>
        </w:rPr>
        <w:t>Tie Tech, Inc. v. Kinedyne Corp.</w:t>
      </w:r>
      <w:r w:rsidRPr="002B283E">
        <w:rPr>
          <w:rFonts w:cs="Times New Roman"/>
          <w:szCs w:val="24"/>
        </w:rPr>
        <w:t xml:space="preserve">, 296 F.3d 778, 782 (9th Cir. 2002). For a description of the four-factor test of functionality, </w:t>
      </w:r>
      <w:r w:rsidRPr="002B283E">
        <w:rPr>
          <w:rFonts w:cs="Times New Roman"/>
          <w:i/>
          <w:iCs/>
          <w:szCs w:val="24"/>
        </w:rPr>
        <w:t>see</w:t>
      </w:r>
      <w:r w:rsidRPr="002B283E">
        <w:rPr>
          <w:rFonts w:cs="Times New Roman"/>
          <w:szCs w:val="24"/>
        </w:rPr>
        <w:t xml:space="preserve"> </w:t>
      </w:r>
      <w:r w:rsidRPr="002B283E">
        <w:rPr>
          <w:rFonts w:cs="Times New Roman"/>
          <w:i/>
          <w:iCs/>
          <w:szCs w:val="24"/>
        </w:rPr>
        <w:t>Disc Gold Ass’n v. Champion Discs, Inc.</w:t>
      </w:r>
      <w:r w:rsidRPr="002B283E">
        <w:rPr>
          <w:rFonts w:cs="Times New Roman"/>
          <w:szCs w:val="24"/>
        </w:rPr>
        <w:t xml:space="preserve">, 158 F.3d 1002, 1006-09 (9th Cir. 1998). </w:t>
      </w:r>
      <w:r w:rsidRPr="002B283E">
        <w:rPr>
          <w:rFonts w:cs="Times New Roman"/>
          <w:i/>
          <w:iCs/>
          <w:szCs w:val="24"/>
        </w:rPr>
        <w:t>See also Int’l Jensen v. Metrosound U.S.A.</w:t>
      </w:r>
      <w:r w:rsidRPr="002B283E">
        <w:rPr>
          <w:rFonts w:cs="Times New Roman"/>
          <w:szCs w:val="24"/>
        </w:rPr>
        <w:t xml:space="preserve">, 4 F.3d 819, 822-23 (9th Cir. 1993) (setting forth a three-factor test); </w:t>
      </w:r>
      <w:r w:rsidRPr="002B283E">
        <w:rPr>
          <w:rFonts w:cs="Times New Roman"/>
          <w:i/>
          <w:iCs/>
          <w:szCs w:val="24"/>
        </w:rPr>
        <w:t>Talking Rain Beverage Co. Inc. v. S. Beach Beverage Co.,</w:t>
      </w:r>
      <w:r w:rsidRPr="002B283E">
        <w:rPr>
          <w:rFonts w:cs="Times New Roman"/>
          <w:szCs w:val="24"/>
        </w:rPr>
        <w:t xml:space="preserve"> 349 F.3d 601, 603 (9th Cir. 2003) (applying four factor test from </w:t>
      </w:r>
      <w:r w:rsidRPr="002B283E">
        <w:rPr>
          <w:rFonts w:cs="Times New Roman"/>
          <w:i/>
          <w:iCs/>
          <w:szCs w:val="24"/>
        </w:rPr>
        <w:t>Disc Gold</w:t>
      </w:r>
      <w:r w:rsidRPr="002B283E">
        <w:rPr>
          <w:rFonts w:cs="Times New Roman"/>
          <w:szCs w:val="24"/>
        </w:rPr>
        <w:t xml:space="preserve">). The definition of functionality is reflected in </w:t>
      </w:r>
      <w:r w:rsidRPr="002B283E">
        <w:rPr>
          <w:rFonts w:cs="Times New Roman"/>
          <w:i/>
          <w:iCs/>
          <w:szCs w:val="24"/>
        </w:rPr>
        <w:t>TrafFix Devices, Inc. v. Mktg. Displays, Inc</w:t>
      </w:r>
      <w:r w:rsidRPr="002B283E">
        <w:rPr>
          <w:rFonts w:cs="Times New Roman"/>
          <w:szCs w:val="24"/>
        </w:rPr>
        <w:t xml:space="preserve">., 532 U.S. 23, 33 (2001) (referring to the “traditional rule” set forth in </w:t>
      </w:r>
      <w:r w:rsidRPr="002B283E">
        <w:rPr>
          <w:rFonts w:cs="Times New Roman"/>
          <w:i/>
          <w:iCs/>
          <w:szCs w:val="24"/>
        </w:rPr>
        <w:t>Inwood Lab’ys, Inc. v. Ives Lab’ys, Inc</w:t>
      </w:r>
      <w:r w:rsidRPr="002B283E">
        <w:rPr>
          <w:rFonts w:cs="Times New Roman"/>
          <w:szCs w:val="24"/>
        </w:rPr>
        <w:t xml:space="preserve">., 456 U.S. 844, 850 n. 10 (1982)). </w:t>
      </w:r>
    </w:p>
    <w:p w14:paraId="77B6F2C0" w14:textId="77777777" w:rsidR="00B65821" w:rsidRPr="002B283E" w:rsidRDefault="00B65821" w:rsidP="002B283E">
      <w:pPr>
        <w:autoSpaceDE w:val="0"/>
        <w:autoSpaceDN w:val="0"/>
        <w:adjustRightInd w:val="0"/>
        <w:rPr>
          <w:rFonts w:cs="Times New Roman"/>
          <w:szCs w:val="24"/>
        </w:rPr>
      </w:pPr>
    </w:p>
    <w:p w14:paraId="408B967A" w14:textId="77777777" w:rsidR="00B65821" w:rsidRPr="002B283E" w:rsidRDefault="00B65821" w:rsidP="002B283E">
      <w:pPr>
        <w:autoSpaceDE w:val="0"/>
        <w:autoSpaceDN w:val="0"/>
        <w:adjustRightInd w:val="0"/>
        <w:ind w:firstLine="720"/>
        <w:rPr>
          <w:rFonts w:cs="Times New Roman"/>
          <w:szCs w:val="24"/>
        </w:rPr>
      </w:pPr>
      <w:r w:rsidRPr="002B283E">
        <w:rPr>
          <w:rFonts w:cs="Times New Roman"/>
          <w:szCs w:val="24"/>
        </w:rPr>
        <w:t xml:space="preserve">The plaintiff asserting infringement of unregistered trade dress has the burden of proving nonfunctionality. 15 U.S.C. § 1125(a)(3) (“In a civil action for trade dress infringement … for trade dress not registered on the principal register, the person who asserts trade dress protection has the burden of proving that the matter sought to be protected is not functional.”). Because registration is prima facie evidence of validity, the defendant has the burden of proving functionality when the trade dress in question is registered on the principal register. </w:t>
      </w:r>
      <w:r w:rsidRPr="002B283E">
        <w:rPr>
          <w:rFonts w:cs="Times New Roman"/>
          <w:i/>
          <w:iCs/>
          <w:szCs w:val="24"/>
        </w:rPr>
        <w:t>Vuitton Et Fils S.A. v. J. Young Enterprises, Inc.</w:t>
      </w:r>
      <w:r w:rsidRPr="002B283E">
        <w:rPr>
          <w:rFonts w:cs="Times New Roman"/>
          <w:szCs w:val="24"/>
        </w:rPr>
        <w:t xml:space="preserve">, 644 F.2d 769, 775 (9th Cir. 1981) (with functionality at issue, explaining that, “under the Lanham Act, registration and entry of a trademark on the Principal Register … shifts the burden of proof from the plaintiff, who would have to establish his right to exclusive use in a common law infringement action, to the defendant, who must introduce sufficient evidence to rebut the presumption of plaintiff's right to such protected use”); 15 U.S.C. § 1115(a) (providing that any registration issued under the Act “shall be prima facie evidence of registrant's exclusive right to use the registered mark in commerce”). Functionality is an issue of fact. </w:t>
      </w:r>
      <w:r w:rsidRPr="002B283E">
        <w:rPr>
          <w:rFonts w:cs="Times New Roman"/>
          <w:i/>
          <w:iCs/>
          <w:szCs w:val="24"/>
        </w:rPr>
        <w:t>Vuitton Et Fils S.A.</w:t>
      </w:r>
      <w:r w:rsidRPr="002B283E">
        <w:rPr>
          <w:rFonts w:cs="Times New Roman"/>
          <w:szCs w:val="24"/>
        </w:rPr>
        <w:t xml:space="preserve">, 644 F.2d at 775. </w:t>
      </w:r>
    </w:p>
    <w:p w14:paraId="4618A15C" w14:textId="77777777" w:rsidR="00B65821" w:rsidRPr="002B283E" w:rsidRDefault="00B65821" w:rsidP="002B283E">
      <w:pPr>
        <w:autoSpaceDE w:val="0"/>
        <w:autoSpaceDN w:val="0"/>
        <w:adjustRightInd w:val="0"/>
        <w:rPr>
          <w:rFonts w:cs="Times New Roman"/>
          <w:szCs w:val="24"/>
        </w:rPr>
      </w:pPr>
    </w:p>
    <w:p w14:paraId="39F3147F" w14:textId="64F27D89"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the Ninth Circuit, the plaintiff bears the burden of proving nonfunctionality. </w:t>
      </w:r>
      <w:r w:rsidRPr="002B283E">
        <w:rPr>
          <w:rFonts w:cs="Times New Roman"/>
          <w:i/>
          <w:iCs/>
          <w:szCs w:val="24"/>
        </w:rPr>
        <w:t>See Sega Enters. Ltd., v. Accolade, Inc.,</w:t>
      </w:r>
      <w:r w:rsidRPr="002B283E">
        <w:rPr>
          <w:rFonts w:cs="Times New Roman"/>
          <w:szCs w:val="24"/>
        </w:rPr>
        <w:t xml:space="preserve"> 977 F.2d 1510, 1530-31 (9th Cir. 1992) (holding that nonfunctionality is question of fact, which plaintiff bears burden of proving); 15 U.S.C. § 1125(a)(3) (“In a civil action for trade dress infringement </w:t>
      </w:r>
      <w:r w:rsidR="005F50EE">
        <w:rPr>
          <w:rFonts w:cs="Times New Roman"/>
          <w:szCs w:val="24"/>
        </w:rPr>
        <w:t xml:space="preserve">. . . </w:t>
      </w:r>
      <w:r w:rsidRPr="002B283E">
        <w:rPr>
          <w:rFonts w:cs="Times New Roman"/>
          <w:szCs w:val="24"/>
        </w:rPr>
        <w:t xml:space="preserve">for trade dress not registered on the principal register, the person who asserts trade dress protection has the burden of proving that the matter sought to be protected is not functional.”). However, in some circuits, functionality is treated as an affirmative defense.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Vaughan Mfg. Co. v. Brikam Int’l</w:t>
      </w:r>
      <w:r w:rsidRPr="002B283E">
        <w:rPr>
          <w:rFonts w:cs="Times New Roman"/>
          <w:szCs w:val="24"/>
        </w:rPr>
        <w:t xml:space="preserve">, 814 F.2d 346, 349 (7th Cir. 1987); </w:t>
      </w:r>
      <w:r w:rsidRPr="002B283E">
        <w:rPr>
          <w:rFonts w:cs="Times New Roman"/>
          <w:i/>
          <w:iCs/>
          <w:szCs w:val="24"/>
        </w:rPr>
        <w:t>Stormy Clime Ltd. v. ProGroup, Inc.</w:t>
      </w:r>
      <w:r w:rsidRPr="002B283E">
        <w:rPr>
          <w:rFonts w:cs="Times New Roman"/>
          <w:szCs w:val="24"/>
        </w:rPr>
        <w:t>, 809 F.2d 971, 974 (2d Cir. 1987).</w:t>
      </w:r>
    </w:p>
    <w:p w14:paraId="3D663051" w14:textId="77777777" w:rsidR="00B65821" w:rsidRPr="002B283E" w:rsidRDefault="00B65821" w:rsidP="002B283E">
      <w:pPr>
        <w:autoSpaceDE w:val="0"/>
        <w:autoSpaceDN w:val="0"/>
        <w:adjustRightInd w:val="0"/>
        <w:rPr>
          <w:rFonts w:cs="Times New Roman"/>
          <w:szCs w:val="24"/>
        </w:rPr>
      </w:pPr>
    </w:p>
    <w:p w14:paraId="145867A6" w14:textId="699EA8D8"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exclusive use of a feature would put competitors at a significant non-reputation-related disadvantage, the feature in general terms is functional.” </w:t>
      </w:r>
      <w:r w:rsidRPr="002B283E">
        <w:rPr>
          <w:rFonts w:cs="Times New Roman"/>
          <w:i/>
          <w:iCs/>
          <w:szCs w:val="24"/>
        </w:rPr>
        <w:t>Qualitex Co. v. Jacobson Products Co</w:t>
      </w:r>
      <w:r w:rsidRPr="002B283E">
        <w:rPr>
          <w:rFonts w:cs="Times New Roman"/>
          <w:szCs w:val="24"/>
        </w:rPr>
        <w:t xml:space="preserve">., 514 U.S. 159, 165 (1995). </w:t>
      </w:r>
      <w:r w:rsidRPr="002B283E">
        <w:rPr>
          <w:rFonts w:cs="Times New Roman"/>
          <w:i/>
          <w:iCs/>
          <w:szCs w:val="24"/>
        </w:rPr>
        <w:t>See also Inwood Lab’ys, Inc..</w:t>
      </w:r>
      <w:r w:rsidRPr="002B283E">
        <w:rPr>
          <w:rFonts w:cs="Times New Roman"/>
          <w:szCs w:val="24"/>
        </w:rPr>
        <w:t xml:space="preserve">, 456 U.S. at 850 n.10 (“In general terms, a product feature is functional if it is essential to the use or purpose of the article or if it affects the cost or quality of the article.”); </w:t>
      </w:r>
      <w:r w:rsidRPr="002B283E">
        <w:rPr>
          <w:rFonts w:cs="Times New Roman"/>
          <w:i/>
          <w:iCs/>
          <w:szCs w:val="24"/>
        </w:rPr>
        <w:t>Vuitton et Fils S.A.</w:t>
      </w:r>
      <w:r w:rsidR="005F50EE">
        <w:rPr>
          <w:rFonts w:cs="Times New Roman"/>
          <w:i/>
          <w:iCs/>
          <w:szCs w:val="24"/>
        </w:rPr>
        <w:t xml:space="preserve"> </w:t>
      </w:r>
      <w:r w:rsidRPr="002B283E">
        <w:rPr>
          <w:rFonts w:cs="Times New Roman"/>
          <w:i/>
          <w:iCs/>
          <w:szCs w:val="24"/>
        </w:rPr>
        <w:t>v. J. Young Enters</w:t>
      </w:r>
      <w:r w:rsidRPr="002B283E">
        <w:rPr>
          <w:rFonts w:cs="Times New Roman"/>
          <w:szCs w:val="24"/>
        </w:rPr>
        <w:t xml:space="preserve">., 644 F.2d 769, 774 (9th Cir. 1981) (“Functional features of a product are features ‘which constitute the actual benefit that the consumer wishes to purchase, as distinguished from an assurance that a </w:t>
      </w:r>
      <w:r w:rsidRPr="002B283E">
        <w:rPr>
          <w:rFonts w:cs="Times New Roman"/>
          <w:szCs w:val="24"/>
        </w:rPr>
        <w:lastRenderedPageBreak/>
        <w:t xml:space="preserve">particular entity made, sponsored, or endorsed a product.”’) (quoting </w:t>
      </w:r>
      <w:r w:rsidRPr="002B283E">
        <w:rPr>
          <w:rFonts w:cs="Times New Roman"/>
          <w:i/>
          <w:iCs/>
          <w:szCs w:val="24"/>
        </w:rPr>
        <w:t>Int’l Ord. of Job’s Daughters v. Lindeburg &amp; Co.</w:t>
      </w:r>
      <w:r w:rsidRPr="002B283E">
        <w:rPr>
          <w:rFonts w:cs="Times New Roman"/>
          <w:szCs w:val="24"/>
        </w:rPr>
        <w:t>, 633 F.2d 912, 917 (9th Cir. 1980)).</w:t>
      </w:r>
    </w:p>
    <w:p w14:paraId="1E8D0514" w14:textId="77777777" w:rsidR="00B65821" w:rsidRPr="002B283E" w:rsidRDefault="00B65821" w:rsidP="002B283E">
      <w:pPr>
        <w:autoSpaceDE w:val="0"/>
        <w:autoSpaceDN w:val="0"/>
        <w:adjustRightInd w:val="0"/>
        <w:rPr>
          <w:rFonts w:cs="Times New Roman"/>
          <w:szCs w:val="24"/>
        </w:rPr>
      </w:pPr>
    </w:p>
    <w:p w14:paraId="23088578"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2B283E">
        <w:rPr>
          <w:rFonts w:cs="Times New Roman"/>
          <w:i/>
          <w:iCs/>
          <w:szCs w:val="24"/>
        </w:rPr>
        <w:t xml:space="preserve"> See Fabrica, Inc. v. El Dorado Corp.</w:t>
      </w:r>
      <w:r w:rsidRPr="002B283E">
        <w:rPr>
          <w:rFonts w:cs="Times New Roman"/>
          <w:szCs w:val="24"/>
        </w:rPr>
        <w:t>, 697 F.2d 890 (9th Cir. 1983);</w:t>
      </w:r>
      <w:r w:rsidRPr="002B283E">
        <w:rPr>
          <w:rFonts w:cs="Times New Roman"/>
          <w:i/>
          <w:iCs/>
          <w:szCs w:val="24"/>
        </w:rPr>
        <w:t xml:space="preserve"> TrafFix Devices, Inc., </w:t>
      </w:r>
      <w:r w:rsidRPr="002B283E">
        <w:rPr>
          <w:rFonts w:cs="Times New Roman"/>
          <w:szCs w:val="24"/>
        </w:rPr>
        <w:t xml:space="preserve">532 U.S. at 29-30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18F4FEB9" w14:textId="77777777" w:rsidR="00B65821" w:rsidRPr="002B283E" w:rsidRDefault="00B65821" w:rsidP="002B283E">
      <w:pPr>
        <w:autoSpaceDE w:val="0"/>
        <w:autoSpaceDN w:val="0"/>
        <w:adjustRightInd w:val="0"/>
        <w:rPr>
          <w:rFonts w:cs="Times New Roman"/>
          <w:szCs w:val="24"/>
        </w:rPr>
      </w:pPr>
    </w:p>
    <w:p w14:paraId="09DCC68B" w14:textId="4EEEC20E"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features of claimed trade dress are all functional, plaintiff must show that the features are combined in a nonfunctional way to avoid </w:t>
      </w:r>
      <w:r w:rsidR="00CE6E72">
        <w:rPr>
          <w:rFonts w:cs="Times New Roman"/>
          <w:szCs w:val="24"/>
        </w:rPr>
        <w:t xml:space="preserve">a </w:t>
      </w:r>
      <w:r w:rsidRPr="002B283E">
        <w:rPr>
          <w:rFonts w:cs="Times New Roman"/>
          <w:szCs w:val="24"/>
        </w:rPr>
        <w:t xml:space="preserve">finding of functionality. </w:t>
      </w:r>
      <w:r w:rsidRPr="002B283E">
        <w:rPr>
          <w:rFonts w:cs="Times New Roman"/>
          <w:i/>
          <w:iCs/>
          <w:szCs w:val="24"/>
        </w:rPr>
        <w:t>HWE, Inc. v. JB Rsch., Inc.</w:t>
      </w:r>
      <w:r w:rsidRPr="002B283E">
        <w:rPr>
          <w:rFonts w:cs="Times New Roman"/>
          <w:szCs w:val="24"/>
        </w:rPr>
        <w:t xml:space="preserve">, 993 F.2d 694, 696 (9th Cir. 1993). </w:t>
      </w:r>
    </w:p>
    <w:p w14:paraId="75B972F9" w14:textId="77777777" w:rsidR="00B65821" w:rsidRPr="002B283E" w:rsidRDefault="00B65821" w:rsidP="002B283E">
      <w:pPr>
        <w:autoSpaceDE w:val="0"/>
        <w:autoSpaceDN w:val="0"/>
        <w:adjustRightInd w:val="0"/>
        <w:rPr>
          <w:rFonts w:cs="Times New Roman"/>
          <w:szCs w:val="24"/>
        </w:rPr>
      </w:pPr>
    </w:p>
    <w:p w14:paraId="667CA84D"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On the trademark registration of trade dress and its implications for infringement litigation, </w:t>
      </w:r>
      <w:r w:rsidRPr="00412566">
        <w:rPr>
          <w:rFonts w:cs="Times New Roman"/>
          <w:szCs w:val="24"/>
        </w:rPr>
        <w:t>see</w:t>
      </w:r>
      <w:r w:rsidRPr="002B283E">
        <w:rPr>
          <w:rFonts w:cs="Times New Roman"/>
          <w:szCs w:val="24"/>
        </w:rPr>
        <w:t xml:space="preserve"> </w:t>
      </w:r>
      <w:r w:rsidRPr="002B283E">
        <w:rPr>
          <w:rFonts w:cs="Times New Roman"/>
          <w:i/>
          <w:iCs/>
          <w:szCs w:val="24"/>
        </w:rPr>
        <w:t>Tie Tech, Inc.</w:t>
      </w:r>
      <w:r w:rsidRPr="002B283E">
        <w:rPr>
          <w:rFonts w:cs="Times New Roman"/>
          <w:szCs w:val="24"/>
        </w:rPr>
        <w:t xml:space="preserve">, 296 F.3d at 782-83. </w:t>
      </w:r>
    </w:p>
    <w:p w14:paraId="575176E6" w14:textId="77777777" w:rsidR="00B65821" w:rsidRPr="002B283E" w:rsidRDefault="00B65821" w:rsidP="002B283E">
      <w:pPr>
        <w:autoSpaceDE w:val="0"/>
        <w:autoSpaceDN w:val="0"/>
        <w:adjustRightInd w:val="0"/>
        <w:rPr>
          <w:rFonts w:cs="Times New Roman"/>
          <w:szCs w:val="24"/>
        </w:rPr>
      </w:pPr>
    </w:p>
    <w:p w14:paraId="6B4B4917" w14:textId="77777777" w:rsidR="00B65821" w:rsidRPr="002B283E" w:rsidRDefault="00B65821" w:rsidP="002B283E">
      <w:pPr>
        <w:autoSpaceDE w:val="0"/>
        <w:autoSpaceDN w:val="0"/>
        <w:adjustRightInd w:val="0"/>
        <w:rPr>
          <w:rFonts w:cs="Times New Roman"/>
          <w:szCs w:val="24"/>
        </w:rPr>
      </w:pPr>
    </w:p>
    <w:p w14:paraId="29BA087E" w14:textId="7378576E" w:rsidR="00EA4DDD" w:rsidRPr="002B283E" w:rsidRDefault="00B65821" w:rsidP="002B283E">
      <w:pPr>
        <w:autoSpaceDE w:val="0"/>
        <w:autoSpaceDN w:val="0"/>
        <w:adjustRightInd w:val="0"/>
        <w:jc w:val="right"/>
        <w:rPr>
          <w:rFonts w:cs="Times New Roman"/>
          <w:szCs w:val="24"/>
        </w:rPr>
      </w:pPr>
      <w:r w:rsidRPr="002B283E">
        <w:rPr>
          <w:rFonts w:cs="Times New Roman"/>
          <w:i/>
          <w:iCs/>
          <w:szCs w:val="24"/>
        </w:rPr>
        <w:t>Revised November 2024</w:t>
      </w:r>
    </w:p>
    <w:p w14:paraId="60E481BE" w14:textId="6C7F55C8" w:rsidR="006A4CD7" w:rsidRPr="002B283E" w:rsidRDefault="006A4CD7" w:rsidP="002B283E">
      <w:pPr>
        <w:pStyle w:val="Heading2"/>
      </w:pPr>
      <w:r w:rsidRPr="002B283E">
        <w:br w:type="page"/>
      </w:r>
      <w:bookmarkStart w:id="346" w:name="_Toc221525279"/>
      <w:r w:rsidRPr="002B283E">
        <w:lastRenderedPageBreak/>
        <w:t xml:space="preserve">15.13 </w:t>
      </w:r>
      <w:r w:rsidR="002D3E69" w:rsidRPr="002B283E">
        <w:t>Infringement—Elements—Ownership—Generally</w:t>
      </w:r>
      <w:bookmarkEnd w:id="346"/>
    </w:p>
    <w:p w14:paraId="39524A2A" w14:textId="77777777" w:rsidR="006A4CD7" w:rsidRPr="002B283E" w:rsidRDefault="006A4CD7" w:rsidP="002B283E">
      <w:pPr>
        <w:autoSpaceDE w:val="0"/>
        <w:autoSpaceDN w:val="0"/>
        <w:adjustRightInd w:val="0"/>
        <w:jc w:val="right"/>
        <w:rPr>
          <w:rFonts w:cs="Times New Roman"/>
          <w:szCs w:val="24"/>
        </w:rPr>
      </w:pPr>
    </w:p>
    <w:p w14:paraId="5E6804BB" w14:textId="77777777" w:rsidR="00BD63F1" w:rsidRPr="002B283E" w:rsidRDefault="006A4CD7" w:rsidP="002B283E">
      <w:pPr>
        <w:autoSpaceDE w:val="0"/>
        <w:autoSpaceDN w:val="0"/>
        <w:adjustRightInd w:val="0"/>
        <w:rPr>
          <w:rFonts w:cs="Times New Roman"/>
          <w:szCs w:val="24"/>
        </w:rPr>
      </w:pPr>
      <w:r w:rsidRPr="002B283E">
        <w:rPr>
          <w:rFonts w:cs="Times New Roman"/>
          <w:szCs w:val="24"/>
        </w:rPr>
        <w:tab/>
      </w:r>
      <w:r w:rsidR="00BD63F1" w:rsidRPr="002B283E">
        <w:rPr>
          <w:rFonts w:cs="Times New Roman"/>
          <w:szCs w:val="24"/>
        </w:rPr>
        <w:t>The law entitles the trademark owner to exclude others from using that trademark. A person acquires the right to exclude others from using a trademark by lawfully using it first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578A6F0C" w14:textId="77777777" w:rsidR="00BD63F1" w:rsidRPr="002B283E" w:rsidRDefault="00BD63F1" w:rsidP="002B283E">
      <w:pPr>
        <w:autoSpaceDE w:val="0"/>
        <w:autoSpaceDN w:val="0"/>
        <w:adjustRightInd w:val="0"/>
        <w:rPr>
          <w:rFonts w:cs="Times New Roman"/>
          <w:szCs w:val="24"/>
        </w:rPr>
      </w:pPr>
    </w:p>
    <w:p w14:paraId="74D2F586" w14:textId="775A44E1" w:rsidR="00BD63F1" w:rsidRPr="002B283E" w:rsidRDefault="00BD63F1" w:rsidP="002B283E">
      <w:pPr>
        <w:autoSpaceDE w:val="0"/>
        <w:autoSpaceDN w:val="0"/>
        <w:adjustRightInd w:val="0"/>
        <w:rPr>
          <w:rFonts w:cs="Times New Roman"/>
          <w:szCs w:val="24"/>
        </w:rPr>
      </w:pPr>
      <w:r w:rsidRPr="002B283E">
        <w:rPr>
          <w:rFonts w:cs="Times New Roman"/>
          <w:szCs w:val="24"/>
        </w:rPr>
        <w:tab/>
        <w:t>[If you find the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to be valid [that is, inherently distinctive] you must consider whether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the [</w:t>
      </w:r>
      <w:r w:rsidRPr="002B283E">
        <w:rPr>
          <w:rFonts w:cs="Times New Roman"/>
          <w:i/>
          <w:iCs/>
          <w:szCs w:val="24"/>
          <w:u w:val="single"/>
        </w:rPr>
        <w:t>describe trademark</w:t>
      </w:r>
      <w:r w:rsidRPr="002B283E">
        <w:rPr>
          <w:rFonts w:cs="Times New Roman"/>
          <w:szCs w:val="24"/>
        </w:rPr>
        <w:t>] as a trademark for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identify the plaintiff’s product</w:t>
      </w:r>
      <w:r w:rsidRPr="002B283E">
        <w:rPr>
          <w:rFonts w:cs="Times New Roman"/>
          <w:szCs w:val="24"/>
        </w:rPr>
        <w:t xml:space="preserve">] before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to use the [</w:t>
      </w:r>
      <w:r w:rsidRPr="002B283E">
        <w:rPr>
          <w:rFonts w:cs="Times New Roman"/>
          <w:i/>
          <w:iCs/>
          <w:szCs w:val="24"/>
          <w:u w:val="single"/>
        </w:rPr>
        <w:t>describe trademark</w:t>
      </w:r>
      <w:r w:rsidRPr="002B283E">
        <w:rPr>
          <w:rFonts w:cs="Times New Roman"/>
          <w:szCs w:val="24"/>
        </w:rPr>
        <w:t>] to market its [</w:t>
      </w:r>
      <w:r w:rsidRPr="002B283E">
        <w:rPr>
          <w:rFonts w:cs="Times New Roman"/>
          <w:i/>
          <w:iCs/>
          <w:szCs w:val="24"/>
          <w:u w:val="single"/>
        </w:rPr>
        <w:t>identify the defendant’s product</w:t>
      </w:r>
      <w:r w:rsidRPr="002B283E">
        <w:rPr>
          <w:rFonts w:cs="Times New Roman"/>
          <w:szCs w:val="24"/>
        </w:rPr>
        <w:t xml:space="preserve">] in the area where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sells its [</w:t>
      </w:r>
      <w:r w:rsidRPr="002B283E">
        <w:rPr>
          <w:rFonts w:cs="Times New Roman"/>
          <w:i/>
          <w:iCs/>
          <w:szCs w:val="24"/>
          <w:u w:val="single"/>
        </w:rPr>
        <w:t>identify the plaintiff’s product</w:t>
      </w:r>
      <w:r w:rsidRPr="002B283E">
        <w:rPr>
          <w:rFonts w:cs="Times New Roman"/>
          <w:szCs w:val="24"/>
        </w:rPr>
        <w:t xml:space="preserve">].] </w:t>
      </w:r>
    </w:p>
    <w:p w14:paraId="5C221189" w14:textId="77777777" w:rsidR="00BD63F1" w:rsidRPr="002B283E" w:rsidRDefault="00BD63F1" w:rsidP="002B283E">
      <w:pPr>
        <w:autoSpaceDE w:val="0"/>
        <w:autoSpaceDN w:val="0"/>
        <w:adjustRightInd w:val="0"/>
        <w:rPr>
          <w:rFonts w:cs="Times New Roman"/>
          <w:szCs w:val="24"/>
        </w:rPr>
      </w:pPr>
    </w:p>
    <w:p w14:paraId="2207985A"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[A trademark is “used” for purposes of this instruction when it is transported or sold in commerce and the trademark is attached to the product, or placed on its label or container [or if that is not practical, placed on documents associated with the goods or their sale].] </w:t>
      </w:r>
    </w:p>
    <w:p w14:paraId="186C7789" w14:textId="77777777" w:rsidR="00BD63F1" w:rsidRPr="002B283E" w:rsidRDefault="00BD63F1" w:rsidP="002B283E">
      <w:pPr>
        <w:autoSpaceDE w:val="0"/>
        <w:autoSpaceDN w:val="0"/>
        <w:adjustRightInd w:val="0"/>
        <w:rPr>
          <w:rFonts w:cs="Times New Roman"/>
          <w:szCs w:val="24"/>
        </w:rPr>
      </w:pPr>
    </w:p>
    <w:p w14:paraId="14327726" w14:textId="317ECEF5"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not shown by a preponderance of the evidence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w:t>
      </w:r>
      <w:r w:rsidRPr="002B283E">
        <w:rPr>
          <w:rFonts w:cs="Times New Roman"/>
          <w:i/>
          <w:iCs/>
          <w:szCs w:val="24"/>
          <w:u w:val="single"/>
        </w:rPr>
        <w:t>describe trademark</w:t>
      </w:r>
      <w:r w:rsidRPr="002B283E">
        <w:rPr>
          <w:rFonts w:cs="Times New Roman"/>
          <w:szCs w:val="24"/>
        </w:rPr>
        <w: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then you cannot conclude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the owner of the trademark [for purposes of Instruction [</w:t>
      </w:r>
      <w:r w:rsidRPr="002B283E">
        <w:rPr>
          <w:rFonts w:cs="Times New Roman"/>
          <w:i/>
          <w:iCs/>
          <w:szCs w:val="24"/>
          <w:u w:val="single"/>
        </w:rPr>
        <w:t>insert number of instruction regarding Infringement—Elements—Presumed Validity and Ownership—Registered Marks, e.g., 15.8</w:t>
      </w:r>
      <w:r w:rsidRPr="002B283E">
        <w:rPr>
          <w:rFonts w:cs="Times New Roman"/>
          <w:szCs w:val="24"/>
        </w:rPr>
        <w:t xml:space="preserve">].] </w:t>
      </w:r>
    </w:p>
    <w:p w14:paraId="6F119F01" w14:textId="77777777" w:rsidR="00BD63F1" w:rsidRPr="002B283E" w:rsidRDefault="00BD63F1" w:rsidP="002B283E">
      <w:pPr>
        <w:autoSpaceDE w:val="0"/>
        <w:autoSpaceDN w:val="0"/>
        <w:adjustRightInd w:val="0"/>
        <w:jc w:val="center"/>
        <w:rPr>
          <w:rFonts w:cs="Times New Roman"/>
          <w:b/>
          <w:bCs/>
          <w:szCs w:val="24"/>
        </w:rPr>
      </w:pPr>
    </w:p>
    <w:p w14:paraId="120DDE08" w14:textId="77777777" w:rsidR="00BD63F1" w:rsidRPr="002B283E" w:rsidRDefault="00BD63F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390B8557"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r>
    </w:p>
    <w:p w14:paraId="0A07296F"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2B283E">
        <w:rPr>
          <w:rFonts w:cs="Times New Roman"/>
          <w:i/>
          <w:iCs/>
          <w:szCs w:val="24"/>
        </w:rPr>
        <w:t>See Rolley v. Younghusband</w:t>
      </w:r>
      <w:r w:rsidRPr="002B283E">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2B283E">
        <w:rPr>
          <w:rFonts w:cs="Times New Roman"/>
          <w:i/>
          <w:iCs/>
          <w:szCs w:val="24"/>
        </w:rPr>
        <w:t>Carter-Wallace, Inc. v. Procter &amp; Gamble Co</w:t>
      </w:r>
      <w:r w:rsidRPr="002B283E">
        <w:rPr>
          <w:rFonts w:cs="Times New Roman"/>
          <w:szCs w:val="24"/>
        </w:rPr>
        <w:t xml:space="preserve">., 434 F.2d 794 (9th Cir. 1970). </w:t>
      </w:r>
    </w:p>
    <w:p w14:paraId="4FCD3E19" w14:textId="77777777" w:rsidR="00BD63F1" w:rsidRPr="002B283E" w:rsidRDefault="00BD63F1" w:rsidP="002B283E">
      <w:pPr>
        <w:autoSpaceDE w:val="0"/>
        <w:autoSpaceDN w:val="0"/>
        <w:adjustRightInd w:val="0"/>
        <w:rPr>
          <w:rFonts w:cs="Times New Roman"/>
          <w:szCs w:val="24"/>
        </w:rPr>
      </w:pPr>
    </w:p>
    <w:p w14:paraId="0FD41675"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In trademark law, the standard test of ownership is priority of use. </w:t>
      </w:r>
      <w:r w:rsidRPr="002B283E">
        <w:rPr>
          <w:rFonts w:cs="Times New Roman"/>
          <w:i/>
          <w:iCs/>
          <w:szCs w:val="24"/>
        </w:rPr>
        <w:t>See</w:t>
      </w:r>
      <w:r w:rsidRPr="002B283E">
        <w:rPr>
          <w:rFonts w:cs="Times New Roman"/>
          <w:szCs w:val="24"/>
        </w:rPr>
        <w:t xml:space="preserve"> </w:t>
      </w:r>
      <w:r w:rsidRPr="002B283E">
        <w:rPr>
          <w:rFonts w:cs="Times New Roman"/>
          <w:i/>
          <w:iCs/>
          <w:szCs w:val="24"/>
        </w:rPr>
        <w:t>Sengoku Works Ltd. v. RMC Int’l, Ltd.</w:t>
      </w:r>
      <w:r w:rsidRPr="002B283E">
        <w:rPr>
          <w:rFonts w:cs="Times New Roman"/>
          <w:szCs w:val="24"/>
        </w:rPr>
        <w:t xml:space="preserve">, 96 F.3d 1217, 1219 (9th Cir. 1996). “To acquire ownership of a trademark it is not enough to have invented the mark first or even to have registered it first; the party claiming ownership must have been the first to actually use the mark in the sale of goods or services.” </w:t>
      </w:r>
      <w:r w:rsidRPr="002B283E">
        <w:rPr>
          <w:rFonts w:cs="Times New Roman"/>
          <w:i/>
          <w:iCs/>
          <w:szCs w:val="24"/>
        </w:rPr>
        <w:t>Id.</w:t>
      </w:r>
      <w:r w:rsidRPr="002B283E">
        <w:rPr>
          <w:rFonts w:cs="Times New Roman"/>
          <w:szCs w:val="24"/>
        </w:rPr>
        <w:t xml:space="preserve"> A person also acquires the right to exclude others from using a trademark if a person acquires a “constructive use date” under 15 U.S.C. § 1051, or an “extension of protection” under 15 U.S.C. § 1141. </w:t>
      </w:r>
      <w:r w:rsidRPr="002B283E">
        <w:rPr>
          <w:rFonts w:cs="Times New Roman"/>
          <w:i/>
          <w:iCs/>
          <w:szCs w:val="24"/>
        </w:rPr>
        <w:t>Lodestar</w:t>
      </w:r>
      <w:r w:rsidRPr="002B283E">
        <w:rPr>
          <w:rFonts w:cs="Times New Roman"/>
          <w:szCs w:val="24"/>
        </w:rPr>
        <w:t xml:space="preserve"> </w:t>
      </w:r>
      <w:r w:rsidRPr="002B283E">
        <w:rPr>
          <w:rFonts w:cs="Times New Roman"/>
          <w:i/>
          <w:iCs/>
          <w:szCs w:val="24"/>
        </w:rPr>
        <w:t>Anstalt v. Bacardi &amp; Co.</w:t>
      </w:r>
      <w:r w:rsidRPr="002B283E">
        <w:rPr>
          <w:rFonts w:cs="Times New Roman"/>
          <w:szCs w:val="24"/>
        </w:rPr>
        <w:t xml:space="preserve">, 31 F.4th 1228, 1237-38 </w:t>
      </w:r>
      <w:r w:rsidRPr="002B283E">
        <w:rPr>
          <w:rFonts w:cs="Times New Roman"/>
          <w:szCs w:val="24"/>
        </w:rPr>
        <w:lastRenderedPageBreak/>
        <w:t xml:space="preserve">(9th Cir. 2022). The test of ownership is different if a person acquires a right to exclude under either of those statutes. </w:t>
      </w:r>
      <w:r w:rsidRPr="002B283E">
        <w:rPr>
          <w:rFonts w:cs="Times New Roman"/>
          <w:i/>
          <w:iCs/>
          <w:szCs w:val="24"/>
        </w:rPr>
        <w:t>See id</w:t>
      </w:r>
      <w:r w:rsidRPr="002B283E">
        <w:rPr>
          <w:rFonts w:cs="Times New Roman"/>
          <w:szCs w:val="24"/>
        </w:rPr>
        <w:t>.</w:t>
      </w:r>
    </w:p>
    <w:p w14:paraId="566E4405" w14:textId="77777777" w:rsidR="00BD63F1" w:rsidRPr="002B283E" w:rsidRDefault="00BD63F1" w:rsidP="002B283E">
      <w:pPr>
        <w:autoSpaceDE w:val="0"/>
        <w:autoSpaceDN w:val="0"/>
        <w:adjustRightInd w:val="0"/>
        <w:ind w:firstLine="720"/>
        <w:rPr>
          <w:rFonts w:cs="Times New Roman"/>
          <w:szCs w:val="24"/>
        </w:rPr>
      </w:pPr>
    </w:p>
    <w:p w14:paraId="5F345286" w14:textId="661ABBC6"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Sometimes, mark ownership is a jury question. When the jury is to determine the ownership of a mark between manufacturer and distributor, </w:t>
      </w:r>
      <w:r w:rsidRPr="00412566">
        <w:rPr>
          <w:rFonts w:cs="Times New Roman"/>
          <w:szCs w:val="24"/>
        </w:rPr>
        <w:t xml:space="preserve">see </w:t>
      </w:r>
      <w:r w:rsidRPr="002B283E">
        <w:rPr>
          <w:rFonts w:cs="Times New Roman"/>
          <w:i/>
          <w:iCs/>
          <w:szCs w:val="24"/>
        </w:rPr>
        <w:t>Sengoku Works Ltd.</w:t>
      </w:r>
      <w:r w:rsidRPr="002B283E">
        <w:rPr>
          <w:rFonts w:cs="Times New Roman"/>
          <w:szCs w:val="24"/>
        </w:rPr>
        <w:t xml:space="preserve">, 96 F.3d at 1219 (reviewing jury instructions and factors for determining such mark ownership). </w:t>
      </w:r>
      <w:r w:rsidRPr="002B283E">
        <w:rPr>
          <w:rFonts w:cs="Times New Roman"/>
          <w:i/>
          <w:iCs/>
          <w:szCs w:val="24"/>
        </w:rPr>
        <w:t xml:space="preserve">See </w:t>
      </w:r>
      <w:r w:rsidRPr="002B283E">
        <w:rPr>
          <w:rFonts w:cs="Times New Roman"/>
          <w:szCs w:val="24"/>
        </w:rPr>
        <w:t xml:space="preserve">Comment </w:t>
      </w:r>
      <w:r w:rsidR="00570179">
        <w:rPr>
          <w:rFonts w:cs="Times New Roman"/>
          <w:szCs w:val="24"/>
        </w:rPr>
        <w:t>to</w:t>
      </w:r>
      <w:r w:rsidRPr="002B283E">
        <w:rPr>
          <w:rFonts w:cs="Times New Roman"/>
          <w:szCs w:val="24"/>
        </w:rPr>
        <w:t xml:space="preserve"> Instruction 15.17 (Trademark Ownership—Merchant or Distributor). </w:t>
      </w:r>
      <w:r w:rsidRPr="002B283E">
        <w:rPr>
          <w:rFonts w:cs="Times New Roman"/>
          <w:i/>
          <w:iCs/>
          <w:szCs w:val="24"/>
        </w:rPr>
        <w:t>See also</w:t>
      </w:r>
      <w:r w:rsidRPr="002B283E">
        <w:rPr>
          <w:rFonts w:cs="Times New Roman"/>
          <w:szCs w:val="24"/>
        </w:rPr>
        <w:t xml:space="preserve"> Instruction 15.16 (Trademark Ownership—Licensee). In such a case, this instruction should be revised accordingly. The determination of priority of ownership is a question for the jury when it is a genuine issue of material fact. </w:t>
      </w:r>
      <w:r w:rsidRPr="002B283E">
        <w:rPr>
          <w:rFonts w:cs="Times New Roman"/>
          <w:i/>
          <w:iCs/>
          <w:szCs w:val="24"/>
        </w:rPr>
        <w:t>See Grupo Gigante SA De CV v. Dallo &amp; Co.,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754ECF4B" w14:textId="77777777" w:rsidR="00BD63F1" w:rsidRPr="002B283E" w:rsidRDefault="00BD63F1" w:rsidP="002B283E">
      <w:pPr>
        <w:autoSpaceDE w:val="0"/>
        <w:autoSpaceDN w:val="0"/>
        <w:adjustRightInd w:val="0"/>
        <w:rPr>
          <w:rFonts w:cs="Times New Roman"/>
          <w:szCs w:val="24"/>
        </w:rPr>
      </w:pPr>
    </w:p>
    <w:p w14:paraId="6B7370AC"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In cases when the validity of the trademark is a result of its acquiring secondary meaning (</w:t>
      </w:r>
      <w:r w:rsidRPr="00F87703">
        <w:rPr>
          <w:rFonts w:cs="Times New Roman"/>
          <w:i/>
          <w:iCs/>
          <w:szCs w:val="24"/>
        </w:rPr>
        <w:t>e.g.</w:t>
      </w:r>
      <w:r w:rsidRPr="002B283E">
        <w:rPr>
          <w:rFonts w:cs="Times New Roman"/>
          <w:szCs w:val="24"/>
        </w:rPr>
        <w:t xml:space="preserve">, a descriptive mark with secondary meaning), add the following in lieu of the third and fourth paragraphs: </w:t>
      </w:r>
    </w:p>
    <w:p w14:paraId="46B65D36" w14:textId="77777777" w:rsidR="00BD63F1" w:rsidRPr="002B283E" w:rsidRDefault="00BD63F1" w:rsidP="002B283E">
      <w:pPr>
        <w:autoSpaceDE w:val="0"/>
        <w:autoSpaceDN w:val="0"/>
        <w:adjustRightInd w:val="0"/>
        <w:rPr>
          <w:rFonts w:cs="Times New Roman"/>
          <w:szCs w:val="24"/>
        </w:rPr>
      </w:pPr>
    </w:p>
    <w:p w14:paraId="5D22BBA7" w14:textId="0AE0F76A" w:rsidR="00BD63F1" w:rsidRPr="002B283E" w:rsidRDefault="00BD63F1" w:rsidP="008A04C2">
      <w:pPr>
        <w:ind w:left="720" w:right="720"/>
        <w:jc w:val="both"/>
        <w:rPr>
          <w:rFonts w:cs="Times New Roman"/>
          <w:szCs w:val="24"/>
        </w:rPr>
      </w:pPr>
      <w:r w:rsidRPr="002B283E">
        <w:rPr>
          <w:rFonts w:cs="Times New Roman"/>
          <w:szCs w:val="24"/>
        </w:rPr>
        <w:t>If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is not inherently distinctive, but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 xml:space="preserve">has shown that the trademark is descriptive and that the trademark has acquired secondary meaning,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has the burden of showing by a preponderance of the evidence that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had gained secondary meaning before the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first began to use the [</w:t>
      </w:r>
      <w:r w:rsidRPr="002B283E">
        <w:rPr>
          <w:rFonts w:cs="Times New Roman"/>
          <w:i/>
          <w:iCs/>
          <w:szCs w:val="24"/>
          <w:u w:val="single"/>
        </w:rPr>
        <w:t>describe trademark</w:t>
      </w:r>
      <w:r w:rsidRPr="002B283E">
        <w:rPr>
          <w:rFonts w:cs="Times New Roman"/>
          <w:szCs w:val="24"/>
        </w:rPr>
        <w:t>].</w:t>
      </w:r>
    </w:p>
    <w:p w14:paraId="1885EA1C" w14:textId="77777777" w:rsidR="00BD63F1" w:rsidRPr="002B283E" w:rsidRDefault="00BD63F1" w:rsidP="002B283E">
      <w:pPr>
        <w:ind w:left="1440" w:right="1440"/>
        <w:jc w:val="both"/>
        <w:rPr>
          <w:rFonts w:cs="Times New Roman"/>
          <w:szCs w:val="24"/>
        </w:rPr>
      </w:pPr>
    </w:p>
    <w:p w14:paraId="6472F1FC"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Trademark priority and the right to exclude others from using a trademark depend not</w:t>
      </w:r>
    </w:p>
    <w:p w14:paraId="28BA4B22" w14:textId="229124E9" w:rsidR="00BD63F1" w:rsidRPr="002B283E" w:rsidRDefault="00BD63F1" w:rsidP="002B283E">
      <w:pPr>
        <w:autoSpaceDE w:val="0"/>
        <w:autoSpaceDN w:val="0"/>
        <w:adjustRightInd w:val="0"/>
        <w:rPr>
          <w:rFonts w:cs="Times New Roman"/>
          <w:szCs w:val="24"/>
        </w:rPr>
      </w:pPr>
      <w:r w:rsidRPr="002B283E">
        <w:rPr>
          <w:rFonts w:cs="Times New Roman"/>
          <w:szCs w:val="24"/>
        </w:rPr>
        <w:t xml:space="preserve">merely on first use but on </w:t>
      </w:r>
      <w:r w:rsidRPr="002B283E">
        <w:rPr>
          <w:rFonts w:cs="Times New Roman"/>
          <w:i/>
          <w:iCs/>
          <w:szCs w:val="24"/>
        </w:rPr>
        <w:t xml:space="preserve">lawful </w:t>
      </w:r>
      <w:r w:rsidRPr="002B283E">
        <w:rPr>
          <w:rFonts w:cs="Times New Roman"/>
          <w:szCs w:val="24"/>
        </w:rPr>
        <w:t xml:space="preserve">first use. </w:t>
      </w:r>
      <w:r w:rsidRPr="002B283E">
        <w:rPr>
          <w:rFonts w:cs="Times New Roman"/>
          <w:i/>
          <w:iCs/>
          <w:szCs w:val="24"/>
        </w:rPr>
        <w:t>See AK Futures LLC v. Boyd St</w:t>
      </w:r>
      <w:r w:rsidR="00CE6E72">
        <w:rPr>
          <w:rFonts w:cs="Times New Roman"/>
          <w:i/>
          <w:iCs/>
          <w:szCs w:val="24"/>
        </w:rPr>
        <w:t>.</w:t>
      </w:r>
      <w:r w:rsidRPr="002B283E">
        <w:rPr>
          <w:rFonts w:cs="Times New Roman"/>
          <w:i/>
          <w:iCs/>
          <w:szCs w:val="24"/>
        </w:rPr>
        <w:t xml:space="preserve"> Distro, LLC</w:t>
      </w:r>
      <w:r w:rsidRPr="002B283E">
        <w:rPr>
          <w:rFonts w:cs="Times New Roman"/>
          <w:szCs w:val="24"/>
        </w:rPr>
        <w:t>, 35</w:t>
      </w:r>
    </w:p>
    <w:p w14:paraId="0DE11120" w14:textId="77777777" w:rsidR="00BD63F1" w:rsidRPr="002B283E" w:rsidRDefault="00BD63F1" w:rsidP="002B283E">
      <w:pPr>
        <w:autoSpaceDE w:val="0"/>
        <w:autoSpaceDN w:val="0"/>
        <w:adjustRightInd w:val="0"/>
        <w:rPr>
          <w:rFonts w:cs="Times New Roman"/>
          <w:i/>
          <w:iCs/>
          <w:szCs w:val="24"/>
        </w:rPr>
      </w:pPr>
      <w:r w:rsidRPr="002B283E">
        <w:rPr>
          <w:rFonts w:cs="Times New Roman"/>
          <w:szCs w:val="24"/>
        </w:rPr>
        <w:t xml:space="preserve">F.4th 682, 689 (9th Cir. 2022) (citing </w:t>
      </w:r>
      <w:r w:rsidRPr="002B283E">
        <w:rPr>
          <w:rFonts w:cs="Times New Roman"/>
          <w:i/>
          <w:iCs/>
          <w:szCs w:val="24"/>
        </w:rPr>
        <w:t>CreAgri, Inc. v. USANA Health Scis., Inc.</w:t>
      </w:r>
      <w:r w:rsidRPr="002B283E">
        <w:rPr>
          <w:rFonts w:cs="Times New Roman"/>
          <w:szCs w:val="24"/>
        </w:rPr>
        <w:t>, 474 F.3d 626, 630 (9th Cir. 2007)). However, “illegal activity of insufficient gravity or</w:t>
      </w:r>
      <w:r w:rsidRPr="002B283E">
        <w:rPr>
          <w:rFonts w:cs="Times New Roman"/>
          <w:i/>
          <w:iCs/>
          <w:szCs w:val="24"/>
        </w:rPr>
        <w:t xml:space="preserve"> </w:t>
      </w:r>
      <w:r w:rsidRPr="002B283E">
        <w:rPr>
          <w:rFonts w:cs="Times New Roman"/>
          <w:szCs w:val="24"/>
        </w:rPr>
        <w:t xml:space="preserve">connection to a mark’s use in commerce might not defeat an otherwise valid trademark.” </w:t>
      </w:r>
      <w:r w:rsidRPr="002B283E">
        <w:rPr>
          <w:rFonts w:cs="Times New Roman"/>
          <w:i/>
          <w:iCs/>
          <w:szCs w:val="24"/>
        </w:rPr>
        <w:t>Id.</w:t>
      </w:r>
    </w:p>
    <w:p w14:paraId="0E5AADD4" w14:textId="77777777" w:rsidR="00BD63F1" w:rsidRPr="002B283E" w:rsidRDefault="00BD63F1" w:rsidP="002B283E">
      <w:pPr>
        <w:ind w:left="1440" w:right="1440"/>
        <w:jc w:val="both"/>
        <w:rPr>
          <w:rFonts w:cs="Times New Roman"/>
          <w:szCs w:val="24"/>
        </w:rPr>
      </w:pPr>
    </w:p>
    <w:p w14:paraId="47CB5024" w14:textId="5E5EC159" w:rsidR="00BD63F1" w:rsidRPr="002B283E" w:rsidRDefault="00BD63F1" w:rsidP="002B283E">
      <w:pPr>
        <w:kinsoku w:val="0"/>
        <w:overflowPunct w:val="0"/>
        <w:autoSpaceDE w:val="0"/>
        <w:autoSpaceDN w:val="0"/>
        <w:adjustRightInd w:val="0"/>
        <w:ind w:left="40" w:right="102" w:firstLine="720"/>
        <w:rPr>
          <w:rFonts w:cs="Times New Roman"/>
          <w:szCs w:val="24"/>
        </w:rPr>
      </w:pPr>
      <w:r w:rsidRPr="002B283E">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2B283E">
        <w:rPr>
          <w:rFonts w:cs="Times New Roman"/>
          <w:i/>
          <w:iCs/>
          <w:szCs w:val="24"/>
        </w:rPr>
        <w:t>Lodestar Anstalt</w:t>
      </w:r>
      <w:r w:rsidRPr="002B283E">
        <w:rPr>
          <w:rFonts w:cs="Times New Roman"/>
          <w:szCs w:val="24"/>
        </w:rPr>
        <w:t>, 31 F.4th at 1237</w:t>
      </w:r>
      <w:r w:rsidR="005F50EE">
        <w:rPr>
          <w:rFonts w:cs="Times New Roman"/>
          <w:szCs w:val="24"/>
        </w:rPr>
        <w:t>-</w:t>
      </w:r>
      <w:r w:rsidRPr="002B283E">
        <w:rPr>
          <w:rFonts w:cs="Times New Roman"/>
          <w:szCs w:val="24"/>
        </w:rPr>
        <w:t xml:space="preserve">38. Any such applicant will receive protection, even if the applicant is unable to show that it has used the relevant mark in U.S. commerce, so long as the applicant declares a bona fide intent to use the mark in U.S. commerce. </w:t>
      </w:r>
      <w:r w:rsidRPr="002B283E">
        <w:rPr>
          <w:rFonts w:cs="Times New Roman"/>
          <w:i/>
          <w:iCs/>
          <w:szCs w:val="24"/>
        </w:rPr>
        <w:t xml:space="preserve">Id. </w:t>
      </w:r>
      <w:r w:rsidRPr="002B283E">
        <w:rPr>
          <w:rFonts w:cs="Times New Roman"/>
          <w:szCs w:val="24"/>
        </w:rPr>
        <w:t xml:space="preserve">at 1238. However, a failure to file a statement of use in commerce within the applicable time period will result in the cancellation of the extension of protection under 15 U.S.C. § 1141. </w:t>
      </w:r>
      <w:r w:rsidRPr="002B283E">
        <w:rPr>
          <w:rFonts w:cs="Times New Roman"/>
          <w:i/>
          <w:iCs/>
          <w:szCs w:val="24"/>
        </w:rPr>
        <w:t xml:space="preserve">Id. </w:t>
      </w:r>
      <w:r w:rsidRPr="002B283E">
        <w:rPr>
          <w:rFonts w:cs="Times New Roman"/>
          <w:szCs w:val="24"/>
        </w:rPr>
        <w:t xml:space="preserve">at 1238. </w:t>
      </w:r>
      <w:r w:rsidRPr="002B283E">
        <w:rPr>
          <w:rFonts w:cs="Times New Roman"/>
          <w:i/>
          <w:iCs/>
          <w:szCs w:val="24"/>
        </w:rPr>
        <w:t>See</w:t>
      </w:r>
      <w:r w:rsidRPr="002B283E">
        <w:rPr>
          <w:rFonts w:cs="Times New Roman"/>
          <w:szCs w:val="24"/>
        </w:rPr>
        <w:t xml:space="preserve"> 15 U.S.C. § 1127 (defining “commerce” to include “all commerce which may lawfully be regulated by Congress.”).</w:t>
      </w:r>
    </w:p>
    <w:p w14:paraId="5DCE62C6" w14:textId="77777777" w:rsidR="00BD63F1" w:rsidRPr="002B283E" w:rsidRDefault="00BD63F1" w:rsidP="002B283E">
      <w:pPr>
        <w:kinsoku w:val="0"/>
        <w:overflowPunct w:val="0"/>
        <w:autoSpaceDE w:val="0"/>
        <w:autoSpaceDN w:val="0"/>
        <w:adjustRightInd w:val="0"/>
        <w:ind w:left="40" w:right="102" w:firstLine="720"/>
        <w:rPr>
          <w:rFonts w:cs="Times New Roman"/>
          <w:i/>
          <w:iCs/>
          <w:szCs w:val="24"/>
        </w:rPr>
      </w:pPr>
    </w:p>
    <w:p w14:paraId="51B01CC5" w14:textId="1C004D1C" w:rsidR="00BD63F1" w:rsidRPr="002B283E" w:rsidRDefault="00BD63F1" w:rsidP="002B283E">
      <w:pPr>
        <w:kinsoku w:val="0"/>
        <w:overflowPunct w:val="0"/>
        <w:autoSpaceDE w:val="0"/>
        <w:autoSpaceDN w:val="0"/>
        <w:adjustRightInd w:val="0"/>
        <w:ind w:left="40" w:right="82" w:firstLine="720"/>
        <w:rPr>
          <w:rFonts w:cs="Times New Roman"/>
          <w:szCs w:val="24"/>
        </w:rPr>
      </w:pPr>
      <w:r w:rsidRPr="002B283E">
        <w:rPr>
          <w:rFonts w:cs="Times New Roman"/>
          <w:szCs w:val="24"/>
        </w:rPr>
        <w:t xml:space="preserve">However, under the Madrid Protocol, an entity or individual with a right of priority will only be entitled to bring an infringement action after it begins actual use (as opposed to mere </w:t>
      </w:r>
      <w:r w:rsidRPr="002B283E">
        <w:rPr>
          <w:rFonts w:cs="Times New Roman"/>
          <w:szCs w:val="24"/>
        </w:rPr>
        <w:lastRenderedPageBreak/>
        <w:t xml:space="preserve">constructive use) of the mark in question. </w:t>
      </w:r>
      <w:r w:rsidRPr="002B283E">
        <w:rPr>
          <w:rFonts w:cs="Times New Roman"/>
          <w:i/>
          <w:iCs/>
          <w:szCs w:val="24"/>
        </w:rPr>
        <w:t xml:space="preserve">Id. </w:t>
      </w:r>
      <w:r w:rsidRPr="002B283E">
        <w:rPr>
          <w:rFonts w:cs="Times New Roman"/>
          <w:szCs w:val="24"/>
        </w:rPr>
        <w:t xml:space="preserve">at 1250. Moreover, that entity or individual will be entitled to bring an infringement action, even if it only began to use the mark after the competing user had already begun to do so. </w:t>
      </w:r>
      <w:r w:rsidRPr="002B283E">
        <w:rPr>
          <w:rFonts w:cs="Times New Roman"/>
          <w:i/>
          <w:iCs/>
          <w:szCs w:val="24"/>
        </w:rPr>
        <w:t xml:space="preserve">Id. </w:t>
      </w:r>
      <w:r w:rsidRPr="002B283E">
        <w:rPr>
          <w:rFonts w:cs="Times New Roman"/>
          <w:szCs w:val="24"/>
        </w:rPr>
        <w:t xml:space="preserve">That said, to retain a right of priority, the mark’s use must be a bona fide use and a genuine commercial endeavor, rather than a mere effort to retain rights in the mark. </w:t>
      </w:r>
      <w:r w:rsidRPr="002B283E">
        <w:rPr>
          <w:rFonts w:cs="Times New Roman"/>
          <w:i/>
          <w:iCs/>
          <w:szCs w:val="24"/>
        </w:rPr>
        <w:t xml:space="preserve">Id. </w:t>
      </w:r>
      <w:r w:rsidRPr="002B283E">
        <w:rPr>
          <w:rFonts w:cs="Times New Roman"/>
          <w:szCs w:val="24"/>
        </w:rPr>
        <w:t xml:space="preserve">at 1255. And, </w:t>
      </w:r>
      <w:r w:rsidR="002F1238">
        <w:rPr>
          <w:rFonts w:cs="Times New Roman"/>
          <w:szCs w:val="24"/>
        </w:rPr>
        <w:t>to</w:t>
      </w:r>
      <w:r w:rsidRPr="002B283E">
        <w:rPr>
          <w:rFonts w:cs="Times New Roman"/>
          <w:szCs w:val="24"/>
        </w:rPr>
        <w:t xml:space="preserve"> assert a claim for infringement, the individual with a right of priority would still have to demonstrate the requisite likelihood </w:t>
      </w:r>
      <w:r w:rsidRPr="00412566">
        <w:rPr>
          <w:rFonts w:cs="Times New Roman"/>
          <w:szCs w:val="24"/>
        </w:rPr>
        <w:t>of</w:t>
      </w:r>
      <w:r w:rsidR="00412566" w:rsidRPr="00412566">
        <w:rPr>
          <w:rFonts w:cs="Times New Roman"/>
          <w:szCs w:val="24"/>
        </w:rPr>
        <w:t xml:space="preserve"> </w:t>
      </w:r>
      <w:r w:rsidRPr="00412566">
        <w:rPr>
          <w:rFonts w:cs="Times New Roman"/>
          <w:szCs w:val="24"/>
        </w:rPr>
        <w:t>confusion</w:t>
      </w:r>
      <w:r w:rsidRPr="002B283E">
        <w:rPr>
          <w:rFonts w:cs="Times New Roman"/>
          <w:szCs w:val="24"/>
        </w:rPr>
        <w:t xml:space="preserve"> and prevail against the defendant’s applicable defenses. </w:t>
      </w:r>
      <w:r w:rsidRPr="002B283E">
        <w:rPr>
          <w:rFonts w:cs="Times New Roman"/>
          <w:i/>
          <w:iCs/>
          <w:szCs w:val="24"/>
        </w:rPr>
        <w:t>Id.</w:t>
      </w:r>
      <w:r w:rsidRPr="002B283E">
        <w:rPr>
          <w:rFonts w:cs="Times New Roman"/>
          <w:szCs w:val="24"/>
        </w:rPr>
        <w:t xml:space="preserve"> at 1251. When considering likelihood of confusion, the</w:t>
      </w:r>
      <w:r w:rsidRPr="00412566">
        <w:rPr>
          <w:rFonts w:cs="Times New Roman"/>
          <w:szCs w:val="24"/>
        </w:rPr>
        <w:t xml:space="preserve"> </w:t>
      </w:r>
      <w:r w:rsidRPr="002B283E">
        <w:rPr>
          <w:rFonts w:cs="Times New Roman"/>
          <w:szCs w:val="24"/>
        </w:rPr>
        <w:t>Ninth Circuit has held it is erroneous to adopt a categorical temporal rule that excludes consideration of uses of the trademark made by the senior</w:t>
      </w:r>
      <w:r w:rsidRPr="00412566">
        <w:rPr>
          <w:rFonts w:cs="Times New Roman"/>
          <w:szCs w:val="24"/>
        </w:rPr>
        <w:t xml:space="preserve"> trademark</w:t>
      </w:r>
      <w:r w:rsidRPr="002B283E">
        <w:rPr>
          <w:rFonts w:cs="Times New Roman"/>
          <w:szCs w:val="24"/>
        </w:rPr>
        <w:t xml:space="preserve"> holder </w:t>
      </w:r>
      <w:r w:rsidRPr="002B283E">
        <w:rPr>
          <w:rFonts w:cs="Times New Roman"/>
          <w:i/>
          <w:iCs/>
          <w:szCs w:val="24"/>
        </w:rPr>
        <w:t xml:space="preserve">after </w:t>
      </w:r>
      <w:r w:rsidRPr="002B283E">
        <w:rPr>
          <w:rFonts w:cs="Times New Roman"/>
          <w:szCs w:val="24"/>
        </w:rPr>
        <w:t xml:space="preserve">the infringer uses the mark. </w:t>
      </w:r>
      <w:r w:rsidRPr="002B283E">
        <w:rPr>
          <w:rFonts w:cs="Times New Roman"/>
          <w:i/>
          <w:iCs/>
          <w:szCs w:val="24"/>
        </w:rPr>
        <w:t xml:space="preserve">Id. </w:t>
      </w:r>
      <w:r w:rsidRPr="002B283E">
        <w:rPr>
          <w:rFonts w:cs="Times New Roman"/>
          <w:szCs w:val="24"/>
        </w:rPr>
        <w:t>at 1253.</w:t>
      </w:r>
    </w:p>
    <w:p w14:paraId="6C4C9F69" w14:textId="77777777" w:rsidR="00BD63F1" w:rsidRPr="002B283E" w:rsidRDefault="00BD63F1" w:rsidP="002B283E">
      <w:pPr>
        <w:kinsoku w:val="0"/>
        <w:overflowPunct w:val="0"/>
        <w:autoSpaceDE w:val="0"/>
        <w:autoSpaceDN w:val="0"/>
        <w:adjustRightInd w:val="0"/>
        <w:ind w:left="40" w:right="82" w:firstLine="720"/>
        <w:rPr>
          <w:rFonts w:cs="Times New Roman"/>
          <w:szCs w:val="24"/>
        </w:rPr>
      </w:pPr>
    </w:p>
    <w:p w14:paraId="44FDCF8B" w14:textId="528C63EC" w:rsidR="001279D1" w:rsidRPr="002B283E" w:rsidRDefault="00BD63F1" w:rsidP="002B283E">
      <w:pPr>
        <w:autoSpaceDE w:val="0"/>
        <w:autoSpaceDN w:val="0"/>
        <w:adjustRightInd w:val="0"/>
        <w:jc w:val="right"/>
        <w:rPr>
          <w:rFonts w:cs="Times New Roman"/>
          <w:szCs w:val="24"/>
        </w:rPr>
      </w:pPr>
      <w:r w:rsidRPr="002B283E">
        <w:rPr>
          <w:rFonts w:cs="Times New Roman"/>
          <w:i/>
          <w:iCs/>
          <w:szCs w:val="24"/>
        </w:rPr>
        <w:t>Revised March 2024</w:t>
      </w:r>
    </w:p>
    <w:p w14:paraId="24F3F591" w14:textId="4E5E7810" w:rsidR="001279D1" w:rsidRPr="002B283E" w:rsidRDefault="001279D1" w:rsidP="002B283E">
      <w:pPr>
        <w:autoSpaceDE w:val="0"/>
        <w:autoSpaceDN w:val="0"/>
        <w:adjustRightInd w:val="0"/>
        <w:rPr>
          <w:rFonts w:cs="Times New Roman"/>
          <w:szCs w:val="24"/>
        </w:rPr>
      </w:pPr>
    </w:p>
    <w:p w14:paraId="1930DB07" w14:textId="23AB02FE" w:rsidR="001279D1" w:rsidRPr="002B283E" w:rsidRDefault="001279D1" w:rsidP="002B283E">
      <w:pPr>
        <w:autoSpaceDE w:val="0"/>
        <w:autoSpaceDN w:val="0"/>
        <w:adjustRightInd w:val="0"/>
        <w:rPr>
          <w:rFonts w:cs="Times New Roman"/>
          <w:szCs w:val="24"/>
        </w:rPr>
      </w:pPr>
    </w:p>
    <w:p w14:paraId="729E81A5" w14:textId="45E079B2" w:rsidR="001279D1" w:rsidRPr="002B283E" w:rsidRDefault="001279D1" w:rsidP="002B283E">
      <w:pPr>
        <w:autoSpaceDE w:val="0"/>
        <w:autoSpaceDN w:val="0"/>
        <w:adjustRightInd w:val="0"/>
        <w:rPr>
          <w:rFonts w:cs="Times New Roman"/>
          <w:szCs w:val="24"/>
        </w:rPr>
      </w:pPr>
    </w:p>
    <w:p w14:paraId="4FA98B16" w14:textId="3649BAA3" w:rsidR="001279D1" w:rsidRPr="002B283E" w:rsidRDefault="001279D1" w:rsidP="002B283E">
      <w:pPr>
        <w:autoSpaceDE w:val="0"/>
        <w:autoSpaceDN w:val="0"/>
        <w:adjustRightInd w:val="0"/>
        <w:rPr>
          <w:rFonts w:cs="Times New Roman"/>
          <w:szCs w:val="24"/>
        </w:rPr>
      </w:pPr>
    </w:p>
    <w:p w14:paraId="4589CB6B" w14:textId="524D974B" w:rsidR="001279D1" w:rsidRPr="002B283E" w:rsidRDefault="001279D1" w:rsidP="002B283E">
      <w:pPr>
        <w:autoSpaceDE w:val="0"/>
        <w:autoSpaceDN w:val="0"/>
        <w:adjustRightInd w:val="0"/>
        <w:rPr>
          <w:rFonts w:cs="Times New Roman"/>
          <w:szCs w:val="24"/>
        </w:rPr>
      </w:pPr>
    </w:p>
    <w:p w14:paraId="05B206C5" w14:textId="19BA63F9" w:rsidR="001279D1" w:rsidRPr="002B283E" w:rsidRDefault="001279D1" w:rsidP="002B283E">
      <w:pPr>
        <w:autoSpaceDE w:val="0"/>
        <w:autoSpaceDN w:val="0"/>
        <w:adjustRightInd w:val="0"/>
        <w:rPr>
          <w:rFonts w:cs="Times New Roman"/>
          <w:szCs w:val="24"/>
        </w:rPr>
      </w:pPr>
    </w:p>
    <w:p w14:paraId="1E9A07F9" w14:textId="16309DFF" w:rsidR="001279D1" w:rsidRPr="002B283E" w:rsidRDefault="001279D1" w:rsidP="002B283E">
      <w:pPr>
        <w:autoSpaceDE w:val="0"/>
        <w:autoSpaceDN w:val="0"/>
        <w:adjustRightInd w:val="0"/>
        <w:rPr>
          <w:rFonts w:cs="Times New Roman"/>
          <w:szCs w:val="24"/>
        </w:rPr>
      </w:pPr>
    </w:p>
    <w:p w14:paraId="6229FE80" w14:textId="00155D8E" w:rsidR="001279D1" w:rsidRPr="002B283E" w:rsidRDefault="001279D1" w:rsidP="002B283E">
      <w:pPr>
        <w:autoSpaceDE w:val="0"/>
        <w:autoSpaceDN w:val="0"/>
        <w:adjustRightInd w:val="0"/>
        <w:rPr>
          <w:rFonts w:cs="Times New Roman"/>
          <w:szCs w:val="24"/>
        </w:rPr>
      </w:pPr>
    </w:p>
    <w:p w14:paraId="4EB2B706" w14:textId="392441FD" w:rsidR="001279D1" w:rsidRPr="002B283E" w:rsidRDefault="001279D1" w:rsidP="002B283E">
      <w:pPr>
        <w:autoSpaceDE w:val="0"/>
        <w:autoSpaceDN w:val="0"/>
        <w:adjustRightInd w:val="0"/>
        <w:rPr>
          <w:rFonts w:cs="Times New Roman"/>
          <w:szCs w:val="24"/>
        </w:rPr>
      </w:pPr>
    </w:p>
    <w:p w14:paraId="3F046219" w14:textId="26343519" w:rsidR="001279D1" w:rsidRPr="002B283E" w:rsidRDefault="001279D1" w:rsidP="002B283E">
      <w:pPr>
        <w:autoSpaceDE w:val="0"/>
        <w:autoSpaceDN w:val="0"/>
        <w:adjustRightInd w:val="0"/>
        <w:rPr>
          <w:rFonts w:cs="Times New Roman"/>
          <w:szCs w:val="24"/>
        </w:rPr>
      </w:pPr>
    </w:p>
    <w:p w14:paraId="3BE5B5A8" w14:textId="7676C2FF" w:rsidR="001279D1" w:rsidRPr="002B283E" w:rsidRDefault="001279D1" w:rsidP="002B283E">
      <w:pPr>
        <w:autoSpaceDE w:val="0"/>
        <w:autoSpaceDN w:val="0"/>
        <w:adjustRightInd w:val="0"/>
        <w:rPr>
          <w:rFonts w:cs="Times New Roman"/>
          <w:szCs w:val="24"/>
        </w:rPr>
      </w:pPr>
    </w:p>
    <w:p w14:paraId="4523B017" w14:textId="05273B26" w:rsidR="001279D1" w:rsidRPr="002B283E" w:rsidRDefault="001279D1" w:rsidP="002B283E">
      <w:pPr>
        <w:autoSpaceDE w:val="0"/>
        <w:autoSpaceDN w:val="0"/>
        <w:adjustRightInd w:val="0"/>
        <w:rPr>
          <w:rFonts w:cs="Times New Roman"/>
          <w:szCs w:val="24"/>
        </w:rPr>
      </w:pPr>
    </w:p>
    <w:p w14:paraId="4D14DDA5" w14:textId="3487EFAA" w:rsidR="001279D1" w:rsidRPr="002B283E" w:rsidRDefault="001279D1" w:rsidP="002B283E">
      <w:pPr>
        <w:autoSpaceDE w:val="0"/>
        <w:autoSpaceDN w:val="0"/>
        <w:adjustRightInd w:val="0"/>
        <w:rPr>
          <w:rFonts w:cs="Times New Roman"/>
          <w:szCs w:val="24"/>
        </w:rPr>
      </w:pPr>
    </w:p>
    <w:p w14:paraId="5E0215BD" w14:textId="1108CA5B" w:rsidR="001279D1" w:rsidRPr="002B283E" w:rsidRDefault="001279D1" w:rsidP="002B283E">
      <w:pPr>
        <w:autoSpaceDE w:val="0"/>
        <w:autoSpaceDN w:val="0"/>
        <w:adjustRightInd w:val="0"/>
        <w:rPr>
          <w:rFonts w:cs="Times New Roman"/>
          <w:szCs w:val="24"/>
        </w:rPr>
      </w:pPr>
    </w:p>
    <w:p w14:paraId="1947BE9B" w14:textId="706806F7" w:rsidR="001279D1" w:rsidRPr="002B283E" w:rsidRDefault="001279D1" w:rsidP="002B283E">
      <w:pPr>
        <w:autoSpaceDE w:val="0"/>
        <w:autoSpaceDN w:val="0"/>
        <w:adjustRightInd w:val="0"/>
        <w:rPr>
          <w:rFonts w:cs="Times New Roman"/>
          <w:szCs w:val="24"/>
        </w:rPr>
      </w:pPr>
    </w:p>
    <w:p w14:paraId="61E01695" w14:textId="6CCF3ED9" w:rsidR="001279D1" w:rsidRPr="002B283E" w:rsidRDefault="001279D1" w:rsidP="002B283E">
      <w:pPr>
        <w:autoSpaceDE w:val="0"/>
        <w:autoSpaceDN w:val="0"/>
        <w:adjustRightInd w:val="0"/>
        <w:rPr>
          <w:rFonts w:cs="Times New Roman"/>
          <w:szCs w:val="24"/>
        </w:rPr>
      </w:pPr>
    </w:p>
    <w:p w14:paraId="65AAFA2C" w14:textId="6B4C6730" w:rsidR="001279D1" w:rsidRPr="002B283E" w:rsidRDefault="001279D1" w:rsidP="002B283E">
      <w:pPr>
        <w:autoSpaceDE w:val="0"/>
        <w:autoSpaceDN w:val="0"/>
        <w:adjustRightInd w:val="0"/>
        <w:rPr>
          <w:rFonts w:cs="Times New Roman"/>
          <w:szCs w:val="24"/>
        </w:rPr>
      </w:pPr>
    </w:p>
    <w:p w14:paraId="6D1F8A48" w14:textId="6E08D115" w:rsidR="001279D1" w:rsidRPr="002B283E" w:rsidRDefault="001279D1" w:rsidP="002B283E">
      <w:pPr>
        <w:autoSpaceDE w:val="0"/>
        <w:autoSpaceDN w:val="0"/>
        <w:adjustRightInd w:val="0"/>
        <w:rPr>
          <w:rFonts w:cs="Times New Roman"/>
          <w:szCs w:val="24"/>
        </w:rPr>
      </w:pPr>
    </w:p>
    <w:p w14:paraId="634A063E" w14:textId="29DE5CDB" w:rsidR="001279D1" w:rsidRPr="002B283E" w:rsidRDefault="001279D1" w:rsidP="002B283E">
      <w:pPr>
        <w:autoSpaceDE w:val="0"/>
        <w:autoSpaceDN w:val="0"/>
        <w:adjustRightInd w:val="0"/>
        <w:rPr>
          <w:rFonts w:cs="Times New Roman"/>
          <w:szCs w:val="24"/>
        </w:rPr>
      </w:pPr>
    </w:p>
    <w:p w14:paraId="529CF95A" w14:textId="6B16C995" w:rsidR="001279D1" w:rsidRPr="002B283E" w:rsidRDefault="001279D1" w:rsidP="002B283E">
      <w:pPr>
        <w:autoSpaceDE w:val="0"/>
        <w:autoSpaceDN w:val="0"/>
        <w:adjustRightInd w:val="0"/>
        <w:rPr>
          <w:rFonts w:cs="Times New Roman"/>
          <w:szCs w:val="24"/>
        </w:rPr>
      </w:pPr>
    </w:p>
    <w:p w14:paraId="64405BCD" w14:textId="140EBF49" w:rsidR="001279D1" w:rsidRPr="002B283E" w:rsidRDefault="001279D1" w:rsidP="002B283E">
      <w:pPr>
        <w:autoSpaceDE w:val="0"/>
        <w:autoSpaceDN w:val="0"/>
        <w:adjustRightInd w:val="0"/>
        <w:rPr>
          <w:rFonts w:cs="Times New Roman"/>
          <w:szCs w:val="24"/>
        </w:rPr>
      </w:pPr>
    </w:p>
    <w:p w14:paraId="14CD1802" w14:textId="1B1EB8F4" w:rsidR="001279D1" w:rsidRPr="002B283E" w:rsidRDefault="001279D1" w:rsidP="002B283E">
      <w:pPr>
        <w:autoSpaceDE w:val="0"/>
        <w:autoSpaceDN w:val="0"/>
        <w:adjustRightInd w:val="0"/>
        <w:rPr>
          <w:rFonts w:cs="Times New Roman"/>
          <w:szCs w:val="24"/>
        </w:rPr>
      </w:pPr>
    </w:p>
    <w:p w14:paraId="04AA3346" w14:textId="107DB49D" w:rsidR="001279D1" w:rsidRPr="002B283E" w:rsidRDefault="001279D1" w:rsidP="002B283E">
      <w:pPr>
        <w:autoSpaceDE w:val="0"/>
        <w:autoSpaceDN w:val="0"/>
        <w:adjustRightInd w:val="0"/>
        <w:rPr>
          <w:rFonts w:cs="Times New Roman"/>
          <w:szCs w:val="24"/>
        </w:rPr>
      </w:pPr>
    </w:p>
    <w:p w14:paraId="418696A5" w14:textId="634E06D7" w:rsidR="001279D1" w:rsidRPr="002B283E" w:rsidRDefault="001279D1" w:rsidP="002B283E">
      <w:pPr>
        <w:autoSpaceDE w:val="0"/>
        <w:autoSpaceDN w:val="0"/>
        <w:adjustRightInd w:val="0"/>
        <w:rPr>
          <w:rFonts w:cs="Times New Roman"/>
          <w:szCs w:val="24"/>
        </w:rPr>
      </w:pPr>
    </w:p>
    <w:p w14:paraId="43694A36" w14:textId="3950C6DE" w:rsidR="001279D1" w:rsidRPr="002B283E" w:rsidRDefault="001279D1" w:rsidP="002B283E">
      <w:pPr>
        <w:autoSpaceDE w:val="0"/>
        <w:autoSpaceDN w:val="0"/>
        <w:adjustRightInd w:val="0"/>
        <w:rPr>
          <w:rFonts w:cs="Times New Roman"/>
          <w:szCs w:val="24"/>
        </w:rPr>
      </w:pPr>
    </w:p>
    <w:p w14:paraId="6AEA16E6" w14:textId="317D771B" w:rsidR="001279D1" w:rsidRPr="002B283E" w:rsidRDefault="001279D1" w:rsidP="002B283E">
      <w:pPr>
        <w:autoSpaceDE w:val="0"/>
        <w:autoSpaceDN w:val="0"/>
        <w:adjustRightInd w:val="0"/>
        <w:rPr>
          <w:rFonts w:cs="Times New Roman"/>
          <w:szCs w:val="24"/>
        </w:rPr>
      </w:pPr>
    </w:p>
    <w:p w14:paraId="354F22E5" w14:textId="37FA8E19" w:rsidR="001279D1" w:rsidRPr="002B283E" w:rsidRDefault="001279D1" w:rsidP="002B283E">
      <w:pPr>
        <w:autoSpaceDE w:val="0"/>
        <w:autoSpaceDN w:val="0"/>
        <w:adjustRightInd w:val="0"/>
        <w:rPr>
          <w:rFonts w:cs="Times New Roman"/>
          <w:szCs w:val="24"/>
        </w:rPr>
      </w:pPr>
    </w:p>
    <w:p w14:paraId="222A25EF" w14:textId="45FDF4ED" w:rsidR="001279D1" w:rsidRPr="002B283E" w:rsidRDefault="001279D1" w:rsidP="002B283E">
      <w:pPr>
        <w:autoSpaceDE w:val="0"/>
        <w:autoSpaceDN w:val="0"/>
        <w:adjustRightInd w:val="0"/>
        <w:rPr>
          <w:rFonts w:cs="Times New Roman"/>
          <w:szCs w:val="24"/>
        </w:rPr>
      </w:pPr>
    </w:p>
    <w:p w14:paraId="3AA9FD4B" w14:textId="2666EDE1" w:rsidR="001279D1" w:rsidRPr="002B283E" w:rsidRDefault="001279D1" w:rsidP="002B283E">
      <w:pPr>
        <w:autoSpaceDE w:val="0"/>
        <w:autoSpaceDN w:val="0"/>
        <w:adjustRightInd w:val="0"/>
        <w:rPr>
          <w:rFonts w:cs="Times New Roman"/>
          <w:szCs w:val="24"/>
        </w:rPr>
      </w:pPr>
    </w:p>
    <w:p w14:paraId="55C09D17" w14:textId="595758B7" w:rsidR="001279D1" w:rsidRPr="002B283E" w:rsidRDefault="001279D1" w:rsidP="002B283E">
      <w:pPr>
        <w:autoSpaceDE w:val="0"/>
        <w:autoSpaceDN w:val="0"/>
        <w:adjustRightInd w:val="0"/>
        <w:rPr>
          <w:rFonts w:cs="Times New Roman"/>
          <w:szCs w:val="24"/>
        </w:rPr>
      </w:pPr>
    </w:p>
    <w:p w14:paraId="2D8726E3" w14:textId="77777777" w:rsidR="007F2776" w:rsidRPr="002B283E" w:rsidRDefault="007F2776" w:rsidP="002B283E">
      <w:pPr>
        <w:autoSpaceDE w:val="0"/>
        <w:autoSpaceDN w:val="0"/>
        <w:adjustRightInd w:val="0"/>
        <w:rPr>
          <w:rFonts w:cs="Times New Roman"/>
          <w:szCs w:val="24"/>
        </w:rPr>
      </w:pPr>
    </w:p>
    <w:p w14:paraId="4E1BD694" w14:textId="77777777" w:rsidR="007F2776" w:rsidRPr="002B283E" w:rsidRDefault="007F2776" w:rsidP="002B283E">
      <w:pPr>
        <w:autoSpaceDE w:val="0"/>
        <w:autoSpaceDN w:val="0"/>
        <w:adjustRightInd w:val="0"/>
        <w:rPr>
          <w:rFonts w:cs="Times New Roman"/>
          <w:szCs w:val="24"/>
        </w:rPr>
      </w:pPr>
    </w:p>
    <w:p w14:paraId="370B0299" w14:textId="77777777" w:rsidR="007F2776" w:rsidRPr="002B283E" w:rsidRDefault="007F2776" w:rsidP="002B283E">
      <w:pPr>
        <w:autoSpaceDE w:val="0"/>
        <w:autoSpaceDN w:val="0"/>
        <w:adjustRightInd w:val="0"/>
        <w:rPr>
          <w:rFonts w:cs="Times New Roman"/>
          <w:szCs w:val="24"/>
        </w:rPr>
      </w:pPr>
    </w:p>
    <w:p w14:paraId="1D3218FF" w14:textId="77777777" w:rsidR="007F2776" w:rsidRPr="002B283E" w:rsidRDefault="007F2776" w:rsidP="002B283E">
      <w:pPr>
        <w:autoSpaceDE w:val="0"/>
        <w:autoSpaceDN w:val="0"/>
        <w:adjustRightInd w:val="0"/>
        <w:rPr>
          <w:rFonts w:cs="Times New Roman"/>
          <w:szCs w:val="24"/>
        </w:rPr>
      </w:pPr>
    </w:p>
    <w:p w14:paraId="06F34AC3" w14:textId="3E87CBFE" w:rsidR="001279D1" w:rsidRPr="002B283E" w:rsidRDefault="001279D1" w:rsidP="002B283E">
      <w:pPr>
        <w:autoSpaceDE w:val="0"/>
        <w:autoSpaceDN w:val="0"/>
        <w:adjustRightInd w:val="0"/>
        <w:rPr>
          <w:rFonts w:cs="Times New Roman"/>
          <w:szCs w:val="24"/>
        </w:rPr>
      </w:pPr>
    </w:p>
    <w:p w14:paraId="4C49574E" w14:textId="586E7950" w:rsidR="006A4CD7" w:rsidRPr="002B283E" w:rsidRDefault="006A4CD7" w:rsidP="002B283E">
      <w:pPr>
        <w:pStyle w:val="Heading2"/>
      </w:pPr>
      <w:bookmarkStart w:id="347" w:name="_Toc221525280"/>
      <w:r w:rsidRPr="000D448B">
        <w:t xml:space="preserve">15.14 </w:t>
      </w:r>
      <w:r w:rsidR="002D3E69" w:rsidRPr="000D448B">
        <w:t>Infringement—Elements—Ownership—Priority Through Tacking</w:t>
      </w:r>
      <w:bookmarkEnd w:id="347"/>
    </w:p>
    <w:p w14:paraId="34A73583" w14:textId="77777777" w:rsidR="006A4CD7" w:rsidRPr="002B283E" w:rsidRDefault="006A4CD7" w:rsidP="002B283E">
      <w:pPr>
        <w:autoSpaceDE w:val="0"/>
        <w:autoSpaceDN w:val="0"/>
        <w:adjustRightInd w:val="0"/>
        <w:rPr>
          <w:rFonts w:cs="Times New Roman"/>
          <w:szCs w:val="24"/>
        </w:rPr>
      </w:pPr>
    </w:p>
    <w:p w14:paraId="766CB144" w14:textId="50D65D36" w:rsidR="009F5B72" w:rsidRPr="002B283E" w:rsidRDefault="009F5B72" w:rsidP="002B283E">
      <w:pPr>
        <w:ind w:firstLine="720"/>
        <w:rPr>
          <w:rFonts w:eastAsia="Times New Roman" w:cs="Times New Roman"/>
          <w:szCs w:val="24"/>
        </w:rPr>
      </w:pPr>
      <w:bookmarkStart w:id="348" w:name="_Hlk159833544"/>
      <w:r w:rsidRPr="002B283E">
        <w:rPr>
          <w:rFonts w:eastAsia="Times New Roman" w:cs="Times New Roman"/>
          <w:szCs w:val="24"/>
        </w:rPr>
        <w:t xml:space="preserve">Rights in a trademark are determined by the date of the mark’s first use in commerce. </w:t>
      </w:r>
      <w:r w:rsidRPr="002B283E">
        <w:rPr>
          <w:rFonts w:cs="Times New Roman"/>
          <w:szCs w:val="24"/>
        </w:rPr>
        <w:t xml:space="preserve">The </w:t>
      </w:r>
      <w:r w:rsidRPr="002B283E">
        <w:rPr>
          <w:rFonts w:eastAsia="Times New Roman" w:cs="Times New Roman"/>
          <w:szCs w:val="24"/>
        </w:rPr>
        <w:t xml:space="preserve">party who first uses a mark in commerce is said to have priority over other users, and the </w:t>
      </w:r>
      <w:r w:rsidRPr="002B283E">
        <w:rPr>
          <w:rFonts w:cs="Times New Roman"/>
          <w:szCs w:val="24"/>
        </w:rPr>
        <w:t>[plaintiff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asserts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mark has priority through the doctrine of “tacking.” Tacking </w:t>
      </w:r>
      <w:r w:rsidRPr="002B283E">
        <w:rPr>
          <w:rFonts w:eastAsia="Times New Roman" w:cs="Times New Roman"/>
          <w:szCs w:val="24"/>
        </w:rPr>
        <w:t xml:space="preserve">recognizes that trademark users ought to be permitted to make certain modifications to their marks over time without losing priority. </w:t>
      </w:r>
    </w:p>
    <w:p w14:paraId="42D98360" w14:textId="77777777" w:rsidR="009F5B72" w:rsidRPr="002B283E" w:rsidRDefault="009F5B72" w:rsidP="002B283E">
      <w:pPr>
        <w:ind w:firstLine="720"/>
        <w:rPr>
          <w:rFonts w:eastAsia="Times New Roman" w:cs="Times New Roman"/>
          <w:szCs w:val="24"/>
        </w:rPr>
      </w:pPr>
    </w:p>
    <w:p w14:paraId="2D91D584" w14:textId="77777777" w:rsidR="009F5B72" w:rsidRPr="002B283E" w:rsidRDefault="009F5B72" w:rsidP="002B283E">
      <w:pPr>
        <w:ind w:firstLine="720"/>
        <w:rPr>
          <w:rFonts w:cs="Times New Roman"/>
          <w:i/>
          <w:szCs w:val="24"/>
        </w:rPr>
      </w:pPr>
      <w:r w:rsidRPr="002B283E">
        <w:rPr>
          <w:rFonts w:eastAsia="Times New Roman" w:cs="Times New Roman"/>
          <w:szCs w:val="24"/>
        </w:rPr>
        <w:t>Tacking is available</w:t>
      </w:r>
      <w:r w:rsidRPr="002B283E">
        <w:rPr>
          <w:rFonts w:cs="Times New Roman"/>
          <w:szCs w:val="24"/>
        </w:rPr>
        <w:t xml:space="preserve"> when the </w:t>
      </w:r>
      <w:r w:rsidRPr="002B283E">
        <w:rPr>
          <w:rFonts w:eastAsia="Times New Roman" w:cs="Times New Roman"/>
          <w:szCs w:val="24"/>
        </w:rPr>
        <w:t>original and revised marks are “</w:t>
      </w:r>
      <w:r w:rsidRPr="002B283E">
        <w:rPr>
          <w:rFonts w:cs="Times New Roman"/>
          <w:szCs w:val="24"/>
        </w:rPr>
        <w:t xml:space="preserve">legal </w:t>
      </w:r>
      <w:r w:rsidRPr="002B283E">
        <w:rPr>
          <w:rFonts w:eastAsia="Times New Roman" w:cs="Times New Roman"/>
          <w:szCs w:val="24"/>
        </w:rPr>
        <w:t>equivalents” in that they</w:t>
      </w:r>
      <w:r w:rsidRPr="002B283E">
        <w:rPr>
          <w:rFonts w:cs="Times New Roman"/>
          <w:szCs w:val="24"/>
        </w:rPr>
        <w:t xml:space="preserve"> create the same, continuing commercial impression</w:t>
      </w:r>
      <w:r w:rsidRPr="002B283E">
        <w:rPr>
          <w:rFonts w:eastAsia="Times New Roman" w:cs="Times New Roman"/>
          <w:szCs w:val="24"/>
        </w:rPr>
        <w:t xml:space="preserve"> without material differences between them so that consumers would consider them the same mark. In other words, viewing the marks in context and in their entirety, an ordinary purchaser could perceive them as conveying the same idea or meaning</w:t>
      </w:r>
      <w:r w:rsidRPr="002B283E">
        <w:rPr>
          <w:rFonts w:cs="Times New Roman"/>
          <w:szCs w:val="24"/>
        </w:rPr>
        <w:t>.</w:t>
      </w:r>
    </w:p>
    <w:bookmarkEnd w:id="348"/>
    <w:p w14:paraId="4EB8E20C" w14:textId="77777777" w:rsidR="009F5B72" w:rsidRPr="002B283E" w:rsidRDefault="009F5B72" w:rsidP="002B283E">
      <w:pPr>
        <w:ind w:firstLine="720"/>
        <w:rPr>
          <w:rFonts w:cs="Times New Roman"/>
          <w:szCs w:val="24"/>
        </w:rPr>
      </w:pPr>
    </w:p>
    <w:p w14:paraId="25C4CFEF" w14:textId="77777777" w:rsidR="009F5B72" w:rsidRPr="002B283E" w:rsidRDefault="009F5B72" w:rsidP="002B283E">
      <w:pPr>
        <w:jc w:val="center"/>
        <w:rPr>
          <w:rFonts w:cs="Times New Roman"/>
          <w:b/>
          <w:szCs w:val="24"/>
        </w:rPr>
      </w:pPr>
      <w:r w:rsidRPr="002B283E">
        <w:rPr>
          <w:rFonts w:cs="Times New Roman"/>
          <w:b/>
          <w:szCs w:val="24"/>
        </w:rPr>
        <w:t>Comment</w:t>
      </w:r>
    </w:p>
    <w:p w14:paraId="0A69DB0B" w14:textId="77777777" w:rsidR="009F5B72" w:rsidRPr="002B283E" w:rsidRDefault="009F5B72" w:rsidP="002B283E">
      <w:pPr>
        <w:rPr>
          <w:rFonts w:cs="Times New Roman"/>
          <w:szCs w:val="24"/>
        </w:rPr>
      </w:pPr>
    </w:p>
    <w:p w14:paraId="1A04F8F5" w14:textId="77777777" w:rsidR="009F5B72" w:rsidRPr="002B283E" w:rsidRDefault="009F5B72" w:rsidP="002B283E">
      <w:pPr>
        <w:rPr>
          <w:rFonts w:cs="Times New Roman"/>
          <w:b/>
          <w:bCs/>
          <w:szCs w:val="24"/>
        </w:rPr>
      </w:pPr>
      <w:r w:rsidRPr="002B283E">
        <w:rPr>
          <w:rFonts w:cs="Times New Roman"/>
          <w:b/>
          <w:bCs/>
          <w:i/>
          <w:iCs/>
          <w:szCs w:val="24"/>
        </w:rPr>
        <w:tab/>
      </w:r>
      <w:r w:rsidRPr="002B283E">
        <w:rPr>
          <w:rFonts w:cs="Times New Roman"/>
          <w:szCs w:val="24"/>
        </w:rPr>
        <w:t xml:space="preserve"> The standard for tacking is exceedingly strict and applies only in “exceptionally narrow” circumstances. </w:t>
      </w:r>
      <w:r w:rsidRPr="002B283E">
        <w:rPr>
          <w:rFonts w:cs="Times New Roman"/>
          <w:i/>
          <w:iCs/>
          <w:szCs w:val="24"/>
        </w:rPr>
        <w:t>Hana Fin.,</w:t>
      </w:r>
      <w:r w:rsidRPr="002B283E">
        <w:rPr>
          <w:rFonts w:cs="Times New Roman"/>
          <w:i/>
          <w:szCs w:val="24"/>
        </w:rPr>
        <w:t xml:space="preserve"> Inc. v. Hana Bank</w:t>
      </w:r>
      <w:r w:rsidRPr="002B283E">
        <w:rPr>
          <w:rFonts w:cs="Times New Roman"/>
          <w:szCs w:val="24"/>
        </w:rPr>
        <w:t xml:space="preserve">, 735 F.3d 1158, 1164 (9th Cir. 2013), </w:t>
      </w:r>
      <w:r w:rsidRPr="002B283E">
        <w:rPr>
          <w:rFonts w:cs="Times New Roman"/>
          <w:i/>
          <w:iCs/>
          <w:szCs w:val="24"/>
        </w:rPr>
        <w:t>aff’d</w:t>
      </w:r>
      <w:r w:rsidRPr="002B283E">
        <w:rPr>
          <w:rFonts w:cs="Times New Roman"/>
          <w:szCs w:val="24"/>
        </w:rPr>
        <w:t xml:space="preserve">, 574 U.S. 418 (2015). A trademark user may tack the date of the user’s first use of an earlier mark onto a subsequent mark only when “two marks are so similar that consumers generally would regard them as essentially the same.” </w:t>
      </w:r>
      <w:r w:rsidRPr="002B283E">
        <w:rPr>
          <w:rFonts w:cs="Times New Roman"/>
          <w:i/>
          <w:szCs w:val="24"/>
        </w:rPr>
        <w:t xml:space="preserve">Id. </w:t>
      </w:r>
      <w:r w:rsidRPr="002B283E">
        <w:rPr>
          <w:rFonts w:cs="Times New Roman"/>
          <w:szCs w:val="24"/>
        </w:rPr>
        <w:t xml:space="preserve">(quoting </w:t>
      </w:r>
      <w:r w:rsidRPr="002B283E">
        <w:rPr>
          <w:rFonts w:cs="Times New Roman"/>
          <w:i/>
          <w:szCs w:val="24"/>
        </w:rPr>
        <w:t xml:space="preserve">Brookfield Commc’ns, Inc. v. W.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1048 (9th Cir. 1999)). The standard for tacking is considerably higher than the standard for likelihood of confusion. </w:t>
      </w:r>
      <w:r w:rsidRPr="002B283E">
        <w:rPr>
          <w:rFonts w:cs="Times New Roman"/>
          <w:i/>
          <w:szCs w:val="24"/>
        </w:rPr>
        <w:t>Id. </w:t>
      </w:r>
      <w:r w:rsidRPr="002B283E">
        <w:rPr>
          <w:rFonts w:cs="Times New Roman"/>
          <w:szCs w:val="24"/>
        </w:rPr>
        <w:t xml:space="preserve">at 1164-65. For examples of types of marks that have been properly and improperly tacked, </w:t>
      </w:r>
      <w:r w:rsidRPr="002B283E">
        <w:rPr>
          <w:rFonts w:cs="Times New Roman"/>
          <w:i/>
          <w:szCs w:val="24"/>
        </w:rPr>
        <w:t xml:space="preserve">see </w:t>
      </w:r>
      <w:r w:rsidRPr="002B283E">
        <w:rPr>
          <w:rFonts w:cs="Times New Roman"/>
          <w:szCs w:val="24"/>
        </w:rPr>
        <w:t xml:space="preserve">3 </w:t>
      </w:r>
      <w:r w:rsidRPr="002B283E">
        <w:rPr>
          <w:rFonts w:cs="Times New Roman"/>
          <w:smallCaps/>
          <w:szCs w:val="24"/>
        </w:rPr>
        <w:t xml:space="preserve">J. Thomas McCarthy, McCarthy on Trademarks and Unfair Competition </w:t>
      </w:r>
      <w:r w:rsidRPr="002B283E">
        <w:rPr>
          <w:rFonts w:cs="Times New Roman"/>
          <w:szCs w:val="24"/>
        </w:rPr>
        <w:t>§§ 17:26-28 (5th ed. 2019).</w:t>
      </w:r>
    </w:p>
    <w:p w14:paraId="4BCF9F2D" w14:textId="77777777" w:rsidR="009F5B72" w:rsidRPr="002B283E" w:rsidRDefault="009F5B72" w:rsidP="002B283E">
      <w:pPr>
        <w:rPr>
          <w:rFonts w:cs="Times New Roman"/>
          <w:szCs w:val="24"/>
        </w:rPr>
      </w:pPr>
    </w:p>
    <w:p w14:paraId="771A68D2" w14:textId="77777777" w:rsidR="009F5B72" w:rsidRPr="002B283E" w:rsidRDefault="009F5B72" w:rsidP="002B283E">
      <w:pPr>
        <w:jc w:val="right"/>
        <w:rPr>
          <w:rFonts w:cs="Times New Roman"/>
          <w:i/>
          <w:iCs/>
          <w:szCs w:val="24"/>
        </w:rPr>
      </w:pPr>
      <w:r w:rsidRPr="002B283E">
        <w:rPr>
          <w:rFonts w:cs="Times New Roman"/>
          <w:i/>
          <w:iCs/>
          <w:szCs w:val="24"/>
        </w:rPr>
        <w:t>Revised March 2024</w:t>
      </w:r>
    </w:p>
    <w:p w14:paraId="1A66E6DA" w14:textId="4B343A92" w:rsidR="00EA4DDD" w:rsidRPr="002B283E" w:rsidRDefault="00EA4DDD" w:rsidP="002B283E">
      <w:pPr>
        <w:autoSpaceDE w:val="0"/>
        <w:autoSpaceDN w:val="0"/>
        <w:adjustRightInd w:val="0"/>
        <w:rPr>
          <w:rFonts w:cs="Times New Roman"/>
          <w:b/>
          <w:bCs/>
          <w:szCs w:val="24"/>
        </w:rPr>
      </w:pPr>
    </w:p>
    <w:p w14:paraId="78B30A6A" w14:textId="6F9C3530" w:rsidR="006A4CD7" w:rsidRPr="002B283E" w:rsidRDefault="006A4CD7" w:rsidP="002B283E">
      <w:pPr>
        <w:pStyle w:val="Heading2"/>
      </w:pPr>
      <w:r w:rsidRPr="002B283E">
        <w:br w:type="page"/>
      </w:r>
      <w:bookmarkStart w:id="349" w:name="_Toc221525281"/>
      <w:r w:rsidRPr="002B283E">
        <w:lastRenderedPageBreak/>
        <w:t xml:space="preserve">15.15 </w:t>
      </w:r>
      <w:r w:rsidR="002D3E69" w:rsidRPr="002B283E">
        <w:t xml:space="preserve">Trademark Ownership—Assignee </w:t>
      </w:r>
      <w:r w:rsidR="009F70BA" w:rsidRPr="002B283E">
        <w:br/>
      </w:r>
      <w:r w:rsidRPr="002B283E">
        <w:t>(15 U.S.C. § 1060)</w:t>
      </w:r>
      <w:bookmarkEnd w:id="349"/>
      <w:r w:rsidRPr="002B283E">
        <w:t xml:space="preserve"> </w:t>
      </w:r>
    </w:p>
    <w:p w14:paraId="07A380D1" w14:textId="77777777" w:rsidR="006A4CD7" w:rsidRPr="002B283E" w:rsidRDefault="006A4CD7" w:rsidP="002B283E">
      <w:pPr>
        <w:rPr>
          <w:rFonts w:cs="Times New Roman"/>
          <w:szCs w:val="24"/>
        </w:rPr>
      </w:pPr>
    </w:p>
    <w:p w14:paraId="0628CD73" w14:textId="2BD834EE" w:rsidR="00094957" w:rsidRPr="002B283E" w:rsidRDefault="00094957" w:rsidP="002B283E">
      <w:pPr>
        <w:ind w:firstLine="720"/>
        <w:rPr>
          <w:rFonts w:cs="Times New Roman"/>
          <w:szCs w:val="24"/>
        </w:rPr>
      </w:pPr>
      <w:bookmarkStart w:id="350" w:name="_Hlk159836592"/>
      <w:r w:rsidRPr="002B283E">
        <w:rPr>
          <w:rFonts w:cs="Times New Roman"/>
          <w:szCs w:val="24"/>
        </w:rPr>
        <w:t>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w:t>
      </w:r>
    </w:p>
    <w:p w14:paraId="665E78F6" w14:textId="77777777" w:rsidR="00094957" w:rsidRPr="002B283E" w:rsidRDefault="00094957" w:rsidP="002B283E">
      <w:pPr>
        <w:ind w:firstLine="720"/>
        <w:rPr>
          <w:rFonts w:cs="Times New Roman"/>
          <w:szCs w:val="24"/>
        </w:rPr>
      </w:pPr>
    </w:p>
    <w:p w14:paraId="51535A72" w14:textId="77777777" w:rsidR="00094957" w:rsidRPr="002B283E" w:rsidRDefault="00094957" w:rsidP="002B283E">
      <w:pPr>
        <w:rPr>
          <w:rFonts w:cs="Times New Roman"/>
          <w:szCs w:val="24"/>
        </w:rPr>
      </w:pPr>
      <w:r w:rsidRPr="002B283E">
        <w:rPr>
          <w:rFonts w:cs="Times New Roman"/>
          <w:szCs w:val="24"/>
        </w:rPr>
        <w:tab/>
        <w:t xml:space="preserve">[The assignment must be in writing and signed.] To be enforceable, the assignment must include the goodwill of the business connected with the mark. </w:t>
      </w:r>
    </w:p>
    <w:p w14:paraId="05C1A288" w14:textId="77777777" w:rsidR="00094957" w:rsidRPr="002B283E" w:rsidRDefault="00094957" w:rsidP="002B283E">
      <w:pPr>
        <w:rPr>
          <w:rFonts w:cs="Times New Roman"/>
          <w:szCs w:val="24"/>
        </w:rPr>
      </w:pPr>
    </w:p>
    <w:p w14:paraId="7084EA15" w14:textId="77777777" w:rsidR="00094957" w:rsidRPr="002B283E" w:rsidRDefault="00094957" w:rsidP="002B283E">
      <w:pPr>
        <w:rPr>
          <w:rFonts w:cs="Times New Roman"/>
          <w:szCs w:val="24"/>
        </w:rPr>
      </w:pPr>
      <w:r w:rsidRPr="002B283E">
        <w:rPr>
          <w:rFonts w:cs="Times New Roman"/>
          <w:szCs w:val="24"/>
        </w:rPr>
        <w:tab/>
        <w:t>An assignee may enforce this right to exclude others from using the trademark in an action for [infringement] [or] [</w:t>
      </w:r>
      <w:r w:rsidRPr="002B283E">
        <w:rPr>
          <w:rFonts w:cs="Times New Roman"/>
          <w:i/>
          <w:szCs w:val="24"/>
          <w:u w:val="single"/>
        </w:rPr>
        <w:t>insert applicable form of unfair competition from 15 U.S.C. § 1125(a)</w:t>
      </w:r>
      <w:r w:rsidRPr="002B283E">
        <w:rPr>
          <w:rFonts w:cs="Times New Roman"/>
          <w:szCs w:val="24"/>
        </w:rPr>
        <w:t xml:space="preserve">]. </w:t>
      </w:r>
    </w:p>
    <w:p w14:paraId="36152E0D" w14:textId="77777777" w:rsidR="00094957" w:rsidRPr="002B283E" w:rsidRDefault="00094957" w:rsidP="002B283E">
      <w:pPr>
        <w:rPr>
          <w:rFonts w:cs="Times New Roman"/>
          <w:szCs w:val="24"/>
        </w:rPr>
      </w:pPr>
    </w:p>
    <w:p w14:paraId="65947D77" w14:textId="77777777" w:rsidR="00094957" w:rsidRPr="002B283E" w:rsidRDefault="00094957" w:rsidP="002B283E">
      <w:pPr>
        <w:rPr>
          <w:rFonts w:cs="Times New Roman"/>
          <w:szCs w:val="24"/>
        </w:rPr>
      </w:pPr>
      <w:r w:rsidRPr="002B283E">
        <w:rPr>
          <w:rFonts w:cs="Times New Roman"/>
          <w:szCs w:val="24"/>
        </w:rPr>
        <w:tab/>
        <w:t xml:space="preserve">[The plaintiff is an assignee, who has received an enforceable ownership interest.] </w:t>
      </w:r>
    </w:p>
    <w:bookmarkEnd w:id="350"/>
    <w:p w14:paraId="0C9E28C8" w14:textId="77777777" w:rsidR="00094957" w:rsidRPr="002B283E" w:rsidRDefault="00094957" w:rsidP="002B283E">
      <w:pPr>
        <w:rPr>
          <w:rFonts w:cs="Times New Roman"/>
          <w:szCs w:val="24"/>
        </w:rPr>
      </w:pPr>
    </w:p>
    <w:p w14:paraId="2A8F3F5F" w14:textId="77777777" w:rsidR="00094957" w:rsidRPr="002B283E" w:rsidRDefault="00094957" w:rsidP="002B283E">
      <w:pPr>
        <w:jc w:val="center"/>
        <w:rPr>
          <w:rFonts w:cs="Times New Roman"/>
          <w:b/>
          <w:szCs w:val="24"/>
        </w:rPr>
      </w:pPr>
      <w:r w:rsidRPr="002B283E">
        <w:rPr>
          <w:rFonts w:cs="Times New Roman"/>
          <w:b/>
          <w:szCs w:val="24"/>
        </w:rPr>
        <w:t>Comment</w:t>
      </w:r>
    </w:p>
    <w:p w14:paraId="547EFAA0" w14:textId="77777777" w:rsidR="00094957" w:rsidRPr="002B283E" w:rsidRDefault="00094957" w:rsidP="002B283E">
      <w:pPr>
        <w:rPr>
          <w:rFonts w:cs="Times New Roman"/>
          <w:szCs w:val="24"/>
        </w:rPr>
      </w:pPr>
    </w:p>
    <w:p w14:paraId="2661A12C" w14:textId="77777777" w:rsidR="00094957" w:rsidRPr="002B283E" w:rsidRDefault="00094957" w:rsidP="002B283E">
      <w:pPr>
        <w:rPr>
          <w:rFonts w:cs="Times New Roman"/>
          <w:szCs w:val="24"/>
        </w:rPr>
      </w:pPr>
      <w:r w:rsidRPr="002B283E">
        <w:rPr>
          <w:rFonts w:cs="Times New Roman"/>
          <w:szCs w:val="24"/>
        </w:rPr>
        <w:tab/>
        <w:t xml:space="preserve">“The purpose behind requiring that goodwill accompany the assigned mark is to maintain the continuity of the product or service symbolized by the mark and thereby avoid deceiving or confusing customers.” </w:t>
      </w:r>
      <w:r w:rsidRPr="002B283E">
        <w:rPr>
          <w:rFonts w:cs="Times New Roman"/>
          <w:i/>
          <w:szCs w:val="24"/>
        </w:rPr>
        <w:t>E. &amp; J. Gallo Winery v. Gallo Cattle Co.</w:t>
      </w:r>
      <w:r w:rsidRPr="002B283E">
        <w:rPr>
          <w:rFonts w:cs="Times New Roman"/>
          <w:szCs w:val="24"/>
        </w:rPr>
        <w:t xml:space="preserve">, 967 F.2d 1280, 1289 (9th Cir. 1992). Whether goodwill is transferred is a factual issue. </w:t>
      </w:r>
      <w:r w:rsidRPr="002B283E">
        <w:rPr>
          <w:rFonts w:cs="Times New Roman"/>
          <w:i/>
          <w:szCs w:val="24"/>
        </w:rPr>
        <w:t xml:space="preserve">Id. </w:t>
      </w:r>
    </w:p>
    <w:p w14:paraId="0A70CEAF" w14:textId="77777777" w:rsidR="00094957" w:rsidRPr="002B283E" w:rsidRDefault="00094957" w:rsidP="002B283E">
      <w:pPr>
        <w:rPr>
          <w:rFonts w:cs="Times New Roman"/>
          <w:szCs w:val="24"/>
        </w:rPr>
      </w:pPr>
    </w:p>
    <w:p w14:paraId="24B5BDCF" w14:textId="77777777" w:rsidR="00094957" w:rsidRPr="002B283E" w:rsidRDefault="00094957" w:rsidP="002B283E">
      <w:pPr>
        <w:rPr>
          <w:rFonts w:cs="Times New Roman"/>
          <w:szCs w:val="24"/>
        </w:rPr>
      </w:pPr>
      <w:r w:rsidRPr="002B283E">
        <w:rPr>
          <w:rFonts w:cs="Times New Roman"/>
          <w:szCs w:val="24"/>
        </w:rPr>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2B283E">
        <w:rPr>
          <w:rFonts w:cs="Times New Roman"/>
          <w:i/>
          <w:szCs w:val="24"/>
        </w:rPr>
        <w:t xml:space="preserve">Mister Donut of </w:t>
      </w:r>
      <w:r w:rsidRPr="002B283E">
        <w:rPr>
          <w:rFonts w:cs="Times New Roman"/>
          <w:i/>
          <w:iCs/>
          <w:szCs w:val="24"/>
        </w:rPr>
        <w:t>Am.,</w:t>
      </w:r>
      <w:r w:rsidRPr="002B283E">
        <w:rPr>
          <w:rFonts w:cs="Times New Roman"/>
          <w:i/>
          <w:szCs w:val="24"/>
        </w:rPr>
        <w:t xml:space="preserve"> Inc. v. Mr. Donut, Inc.</w:t>
      </w:r>
      <w:r w:rsidRPr="002B283E">
        <w:rPr>
          <w:rFonts w:cs="Times New Roman"/>
          <w:szCs w:val="24"/>
        </w:rPr>
        <w:t xml:space="preserve">, 418 F.2d 838, 842 (9th Cir. 1969). For a discussion of the goodwill requirement, </w:t>
      </w:r>
      <w:r w:rsidRPr="008A04C2">
        <w:rPr>
          <w:rFonts w:cs="Times New Roman"/>
          <w:iCs/>
          <w:szCs w:val="24"/>
        </w:rPr>
        <w:t>see</w:t>
      </w:r>
      <w:r w:rsidRPr="000D448B">
        <w:rPr>
          <w:rFonts w:cs="Times New Roman"/>
          <w:iCs/>
          <w:szCs w:val="24"/>
        </w:rPr>
        <w:t xml:space="preserve">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18:2 (5th ed. 2019). </w:t>
      </w:r>
    </w:p>
    <w:p w14:paraId="6B3F6472" w14:textId="77777777" w:rsidR="00094957" w:rsidRPr="002B283E" w:rsidRDefault="00094957" w:rsidP="002B283E">
      <w:pPr>
        <w:rPr>
          <w:rFonts w:cs="Times New Roman"/>
          <w:szCs w:val="24"/>
        </w:rPr>
      </w:pPr>
    </w:p>
    <w:p w14:paraId="79FD56BB" w14:textId="77777777" w:rsidR="00094957" w:rsidRPr="002B283E" w:rsidRDefault="00094957" w:rsidP="002B283E">
      <w:pPr>
        <w:rPr>
          <w:rFonts w:cs="Times New Roman"/>
          <w:szCs w:val="24"/>
        </w:rPr>
      </w:pPr>
      <w:r w:rsidRPr="002B283E">
        <w:rPr>
          <w:rFonts w:cs="Times New Roman"/>
          <w:szCs w:val="24"/>
        </w:rPr>
        <w:tab/>
        <w:t xml:space="preserve">In a case brought under the Lanham Act, a signed writing is necessary for an assignment to be valid. 15 U.S.C. § 1060. A signed writing is not required to prove an assignment in a common law trademark infringement claim. </w:t>
      </w:r>
      <w:r w:rsidRPr="002B283E">
        <w:rPr>
          <w:rFonts w:cs="Times New Roman"/>
          <w:smallCaps/>
          <w:szCs w:val="24"/>
        </w:rPr>
        <w:t>McCarthy</w:t>
      </w:r>
      <w:r w:rsidRPr="002B283E">
        <w:rPr>
          <w:rFonts w:cs="Times New Roman"/>
          <w:szCs w:val="24"/>
        </w:rPr>
        <w:t xml:space="preserve">, </w:t>
      </w:r>
      <w:r w:rsidRPr="002B283E">
        <w:rPr>
          <w:rFonts w:cs="Times New Roman"/>
          <w:i/>
          <w:szCs w:val="24"/>
        </w:rPr>
        <w:t>supra</w:t>
      </w:r>
      <w:r w:rsidRPr="002B283E">
        <w:rPr>
          <w:rFonts w:cs="Times New Roman"/>
          <w:szCs w:val="24"/>
        </w:rPr>
        <w:t xml:space="preserve">, § 18:11. </w:t>
      </w:r>
    </w:p>
    <w:p w14:paraId="06F544BD" w14:textId="77777777" w:rsidR="00094957" w:rsidRPr="002B283E" w:rsidRDefault="00094957" w:rsidP="002B283E">
      <w:pPr>
        <w:rPr>
          <w:rFonts w:cs="Times New Roman"/>
          <w:szCs w:val="24"/>
        </w:rPr>
      </w:pPr>
    </w:p>
    <w:p w14:paraId="2FA7D760" w14:textId="6E4ECBAE" w:rsidR="006A4CD7" w:rsidRPr="002B283E" w:rsidRDefault="0009495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4FE4B6D" w14:textId="11C0A569" w:rsidR="006A4CD7" w:rsidRPr="002B283E" w:rsidRDefault="006A4CD7" w:rsidP="002B283E">
      <w:pPr>
        <w:pStyle w:val="Heading2"/>
      </w:pPr>
      <w:r w:rsidRPr="002B283E">
        <w:br w:type="page"/>
      </w:r>
      <w:bookmarkStart w:id="351" w:name="_Toc221525282"/>
      <w:r w:rsidRPr="002B283E">
        <w:lastRenderedPageBreak/>
        <w:t xml:space="preserve">15.16 </w:t>
      </w:r>
      <w:r w:rsidR="002D3E69" w:rsidRPr="002B283E">
        <w:t>Trademark Ownership—Licensee</w:t>
      </w:r>
      <w:bookmarkEnd w:id="351"/>
    </w:p>
    <w:p w14:paraId="3AA06E5D" w14:textId="77777777" w:rsidR="006A4CD7" w:rsidRPr="002B283E" w:rsidRDefault="006A4CD7" w:rsidP="002B283E">
      <w:pPr>
        <w:autoSpaceDE w:val="0"/>
        <w:autoSpaceDN w:val="0"/>
        <w:adjustRightInd w:val="0"/>
        <w:rPr>
          <w:rFonts w:cs="Times New Roman"/>
          <w:szCs w:val="24"/>
        </w:rPr>
      </w:pPr>
    </w:p>
    <w:p w14:paraId="39EF6664" w14:textId="75BD4EB0" w:rsidR="00522A6E" w:rsidRPr="002B283E" w:rsidRDefault="00522A6E" w:rsidP="000D448B">
      <w:pPr>
        <w:jc w:val="center"/>
        <w:rPr>
          <w:rFonts w:cs="Times New Roman"/>
          <w:szCs w:val="24"/>
        </w:rPr>
      </w:pPr>
      <w:r w:rsidRPr="002B283E">
        <w:rPr>
          <w:rFonts w:cs="Times New Roman"/>
          <w:b/>
          <w:szCs w:val="24"/>
        </w:rPr>
        <w:t>Comment</w:t>
      </w:r>
    </w:p>
    <w:p w14:paraId="3037EE65" w14:textId="77777777" w:rsidR="00522A6E" w:rsidRPr="002B283E" w:rsidRDefault="00522A6E" w:rsidP="002B283E">
      <w:pPr>
        <w:rPr>
          <w:rFonts w:cs="Times New Roman"/>
          <w:szCs w:val="24"/>
        </w:rPr>
      </w:pPr>
    </w:p>
    <w:p w14:paraId="6CC1759A" w14:textId="77777777" w:rsidR="00522A6E" w:rsidRPr="002B283E" w:rsidRDefault="00522A6E" w:rsidP="002B283E">
      <w:pPr>
        <w:rPr>
          <w:rFonts w:cs="Times New Roman"/>
          <w:szCs w:val="24"/>
        </w:rPr>
      </w:pPr>
      <w:r w:rsidRPr="002B283E">
        <w:rPr>
          <w:rFonts w:cs="Times New Roman"/>
          <w:szCs w:val="24"/>
        </w:rPr>
        <w:tab/>
        <w:t xml:space="preserve">Although 15 U.S.C. § 1060 requires that assignments of registrations be written, a license can be oral. </w:t>
      </w:r>
    </w:p>
    <w:p w14:paraId="54C977C6" w14:textId="77777777" w:rsidR="00522A6E" w:rsidRPr="002B283E" w:rsidRDefault="00522A6E" w:rsidP="002B283E">
      <w:pPr>
        <w:rPr>
          <w:rFonts w:cs="Times New Roman"/>
          <w:szCs w:val="24"/>
        </w:rPr>
      </w:pPr>
    </w:p>
    <w:p w14:paraId="5004D73F" w14:textId="3541D424" w:rsidR="00522A6E" w:rsidRPr="002B283E" w:rsidRDefault="00522A6E" w:rsidP="002B283E">
      <w:pPr>
        <w:rPr>
          <w:rFonts w:cs="Times New Roman"/>
          <w:szCs w:val="24"/>
        </w:rPr>
      </w:pPr>
      <w:r w:rsidRPr="002B283E">
        <w:rPr>
          <w:rFonts w:cs="Times New Roman"/>
          <w:szCs w:val="24"/>
        </w:rPr>
        <w:tab/>
        <w:t xml:space="preserve">The Ninth Circuit Court of Appeals has not addressed whether a licensee of a registered mark can bring a trademark infringement lawsuit under § 32 of the Lanham Act. But the plain text of that section and the majority view strongly suggest that a licensee cannot. </w:t>
      </w:r>
      <w:r w:rsidRPr="002B283E">
        <w:rPr>
          <w:rFonts w:cs="Times New Roman"/>
          <w:i/>
          <w:iCs/>
          <w:szCs w:val="24"/>
        </w:rPr>
        <w:t>See</w:t>
      </w:r>
      <w:r w:rsidRPr="002B283E" w:rsidDel="003D7681">
        <w:rPr>
          <w:rFonts w:cs="Times New Roman"/>
          <w:i/>
          <w:szCs w:val="24"/>
        </w:rPr>
        <w:t xml:space="preserve"> </w:t>
      </w:r>
      <w:r w:rsidRPr="002B283E">
        <w:rPr>
          <w:rFonts w:cs="Times New Roman"/>
          <w:szCs w:val="24"/>
        </w:rPr>
        <w:t xml:space="preserve">15 U.S.C. § 1114(1) (An infringer “shall be liable in a civil action by the registrant”); 6 J. Thomas McCarthy, McCarthy on Trademarks and Unfair Competition § 32:3 (5th ed. 2019) (collecting cases). </w:t>
      </w:r>
      <w:r w:rsidRPr="002B283E">
        <w:rPr>
          <w:rFonts w:cs="Times New Roman"/>
          <w:i/>
          <w:iCs/>
          <w:szCs w:val="24"/>
        </w:rPr>
        <w:t>But see Quabaug Rubber Co. v. Fabiano Shoe Co.</w:t>
      </w:r>
      <w:r w:rsidRPr="002B283E">
        <w:rPr>
          <w:rFonts w:cs="Times New Roman"/>
          <w:szCs w:val="24"/>
        </w:rPr>
        <w:t>, 567 F.2d 154, 158-59 (1st Cir. 1977) (indicating, in dictum, that licensee would be able to bring trademark infringement claim under § 32 of the Lanham Act if it was an “exclusive licensee”)</w:t>
      </w:r>
      <w:r w:rsidR="00A87F6E">
        <w:rPr>
          <w:rFonts w:cs="Times New Roman"/>
          <w:szCs w:val="24"/>
        </w:rPr>
        <w:t xml:space="preserve">. </w:t>
      </w:r>
    </w:p>
    <w:p w14:paraId="64C27070" w14:textId="77777777" w:rsidR="00522A6E" w:rsidRPr="002B283E" w:rsidRDefault="00522A6E" w:rsidP="002B283E">
      <w:pPr>
        <w:rPr>
          <w:rFonts w:cs="Times New Roman"/>
          <w:szCs w:val="24"/>
        </w:rPr>
      </w:pPr>
    </w:p>
    <w:p w14:paraId="12606FC0" w14:textId="16F9AACB" w:rsidR="00522A6E" w:rsidRPr="002B283E" w:rsidRDefault="00522A6E" w:rsidP="002B283E">
      <w:pPr>
        <w:ind w:firstLine="720"/>
        <w:rPr>
          <w:rFonts w:cs="Times New Roman"/>
          <w:szCs w:val="24"/>
        </w:rPr>
      </w:pPr>
      <w:r w:rsidRPr="002B283E">
        <w:rPr>
          <w:rFonts w:cs="Times New Roman"/>
          <w:szCs w:val="24"/>
        </w:rPr>
        <w:t xml:space="preserve">For trademark infringement actions of unregistered marks, a licensee has a right to sue under Section 43(a) of the Lanham Act. </w:t>
      </w:r>
      <w:r w:rsidRPr="002B283E">
        <w:rPr>
          <w:rFonts w:cs="Times New Roman"/>
          <w:i/>
          <w:iCs/>
          <w:szCs w:val="24"/>
        </w:rPr>
        <w:t>See</w:t>
      </w:r>
      <w:r w:rsidRPr="002B283E">
        <w:rPr>
          <w:rFonts w:cs="Times New Roman"/>
          <w:szCs w:val="24"/>
        </w:rPr>
        <w:t xml:space="preserve"> 15 U.S.C. § 1125(a)(1) (allowing for a trademark action “by any person who believes that he or she is likely to be damaged by” trademark infringement)</w:t>
      </w:r>
      <w:r w:rsidR="00A87F6E">
        <w:rPr>
          <w:rFonts w:cs="Times New Roman"/>
          <w:szCs w:val="24"/>
        </w:rPr>
        <w:t xml:space="preserve">. </w:t>
      </w:r>
    </w:p>
    <w:p w14:paraId="18ABE448" w14:textId="77777777" w:rsidR="00522A6E" w:rsidRPr="002B283E" w:rsidRDefault="00522A6E" w:rsidP="002B283E">
      <w:pPr>
        <w:ind w:firstLine="720"/>
        <w:rPr>
          <w:rFonts w:cs="Times New Roman"/>
          <w:szCs w:val="24"/>
        </w:rPr>
      </w:pPr>
    </w:p>
    <w:p w14:paraId="1561553B" w14:textId="77777777" w:rsidR="00522A6E" w:rsidRPr="002B283E" w:rsidRDefault="00522A6E" w:rsidP="002B283E">
      <w:pPr>
        <w:ind w:firstLine="720"/>
        <w:rPr>
          <w:rFonts w:cs="Times New Roman"/>
          <w:szCs w:val="24"/>
        </w:rPr>
      </w:pPr>
      <w:r w:rsidRPr="002B283E">
        <w:rPr>
          <w:rFonts w:cs="Times New Roman"/>
          <w:szCs w:val="24"/>
        </w:rPr>
        <w:t xml:space="preserve">For a definition of licensee, </w:t>
      </w:r>
      <w:r w:rsidRPr="008A04C2">
        <w:rPr>
          <w:rFonts w:cs="Times New Roman"/>
          <w:szCs w:val="24"/>
        </w:rPr>
        <w:t>see</w:t>
      </w:r>
      <w:r w:rsidRPr="002B283E">
        <w:rPr>
          <w:rFonts w:cs="Times New Roman"/>
          <w:szCs w:val="24"/>
        </w:rPr>
        <w:t xml:space="preserve"> Instruction 15.1 (Preliminary Instruction—Trademark). </w:t>
      </w:r>
    </w:p>
    <w:p w14:paraId="520F7F51" w14:textId="77777777" w:rsidR="00522A6E" w:rsidRPr="002B283E" w:rsidRDefault="00522A6E" w:rsidP="002B283E">
      <w:pPr>
        <w:rPr>
          <w:rFonts w:cs="Times New Roman"/>
          <w:szCs w:val="24"/>
        </w:rPr>
      </w:pPr>
    </w:p>
    <w:p w14:paraId="27A64DED" w14:textId="4934B3AC" w:rsidR="006A4CD7" w:rsidRPr="002B283E" w:rsidRDefault="00522A6E" w:rsidP="002B283E">
      <w:pPr>
        <w:jc w:val="right"/>
        <w:rPr>
          <w:rFonts w:cs="Times New Roman"/>
          <w:i/>
          <w:iCs/>
          <w:szCs w:val="24"/>
        </w:rPr>
      </w:pPr>
      <w:r w:rsidRPr="002B283E">
        <w:rPr>
          <w:rFonts w:cs="Times New Roman"/>
          <w:i/>
          <w:iCs/>
          <w:szCs w:val="24"/>
        </w:rPr>
        <w:t>Revised March 2025</w:t>
      </w:r>
    </w:p>
    <w:p w14:paraId="32083525" w14:textId="77777777" w:rsidR="00AB3963" w:rsidRPr="002B283E" w:rsidRDefault="00AB3963" w:rsidP="002B283E">
      <w:pPr>
        <w:autoSpaceDE w:val="0"/>
        <w:autoSpaceDN w:val="0"/>
        <w:adjustRightInd w:val="0"/>
        <w:rPr>
          <w:rFonts w:cs="Times New Roman"/>
          <w:szCs w:val="24"/>
        </w:rPr>
      </w:pPr>
    </w:p>
    <w:p w14:paraId="7FEBA12F" w14:textId="5DCB2231" w:rsidR="006A4CD7" w:rsidRPr="002B283E" w:rsidRDefault="006A4CD7" w:rsidP="002B283E">
      <w:pPr>
        <w:pStyle w:val="Heading2"/>
      </w:pPr>
      <w:r w:rsidRPr="002B283E">
        <w:br w:type="page"/>
      </w:r>
      <w:bookmarkStart w:id="352" w:name="_Toc221525283"/>
      <w:r w:rsidRPr="002B283E">
        <w:lastRenderedPageBreak/>
        <w:t xml:space="preserve">15.17 </w:t>
      </w:r>
      <w:r w:rsidR="002D3E69" w:rsidRPr="002B283E">
        <w:t>Trademark Ownership—Merchant or Distributor</w:t>
      </w:r>
      <w:bookmarkEnd w:id="352"/>
    </w:p>
    <w:p w14:paraId="0D9372A0" w14:textId="77777777" w:rsidR="006A4CD7" w:rsidRPr="002B283E" w:rsidRDefault="006A4CD7" w:rsidP="002B283E">
      <w:pPr>
        <w:rPr>
          <w:rFonts w:cs="Times New Roman"/>
          <w:szCs w:val="24"/>
        </w:rPr>
      </w:pPr>
    </w:p>
    <w:p w14:paraId="5F1B4BEB" w14:textId="77777777" w:rsidR="00A40046" w:rsidRPr="002B283E" w:rsidRDefault="006A4CD7" w:rsidP="002B283E">
      <w:pPr>
        <w:rPr>
          <w:rFonts w:cs="Times New Roman"/>
          <w:szCs w:val="24"/>
        </w:rPr>
      </w:pPr>
      <w:r w:rsidRPr="002B283E">
        <w:rPr>
          <w:rFonts w:cs="Times New Roman"/>
          <w:szCs w:val="24"/>
        </w:rPr>
        <w:tab/>
      </w:r>
      <w:r w:rsidR="00A40046" w:rsidRPr="002B283E">
        <w:rPr>
          <w:rFonts w:cs="Times New Roman"/>
          <w:szCs w:val="24"/>
        </w:rPr>
        <w:t xml:space="preserve">A [merchant] [distributor] may own a trademark that identifies products the [merchant] [distributor] sells even though the products are manufactured by someone else. </w:t>
      </w:r>
    </w:p>
    <w:p w14:paraId="353C61E5" w14:textId="77777777" w:rsidR="00A40046" w:rsidRPr="002B283E" w:rsidRDefault="00A40046" w:rsidP="002B283E">
      <w:pPr>
        <w:rPr>
          <w:rFonts w:cs="Times New Roman"/>
          <w:szCs w:val="24"/>
        </w:rPr>
      </w:pPr>
    </w:p>
    <w:p w14:paraId="68845AC4" w14:textId="77777777" w:rsidR="00A40046" w:rsidRPr="002B283E" w:rsidRDefault="00A40046" w:rsidP="002B283E">
      <w:pPr>
        <w:jc w:val="center"/>
        <w:rPr>
          <w:rFonts w:cs="Times New Roman"/>
          <w:szCs w:val="24"/>
        </w:rPr>
      </w:pPr>
      <w:r w:rsidRPr="002B283E">
        <w:rPr>
          <w:rFonts w:cs="Times New Roman"/>
          <w:b/>
          <w:szCs w:val="24"/>
        </w:rPr>
        <w:t>Comment</w:t>
      </w:r>
    </w:p>
    <w:p w14:paraId="389B0378" w14:textId="77777777" w:rsidR="00A40046" w:rsidRPr="002B283E" w:rsidRDefault="00A40046" w:rsidP="002B283E">
      <w:pPr>
        <w:rPr>
          <w:rFonts w:cs="Times New Roman"/>
          <w:szCs w:val="24"/>
        </w:rPr>
      </w:pPr>
    </w:p>
    <w:p w14:paraId="2DE0EC82" w14:textId="77777777" w:rsidR="00A40046" w:rsidRPr="002B283E" w:rsidRDefault="00A40046" w:rsidP="002B283E">
      <w:pPr>
        <w:rPr>
          <w:rFonts w:cs="Times New Roman"/>
          <w:szCs w:val="24"/>
        </w:rPr>
      </w:pPr>
      <w:r w:rsidRPr="002B283E">
        <w:rPr>
          <w:rFonts w:cs="Times New Roman"/>
          <w:szCs w:val="24"/>
        </w:rPr>
        <w:tab/>
        <w:t xml:space="preserve">When a dispute arises between a manufacturer and distributor, the courts first look to any agreement between the parties regarding trademark rights. </w:t>
      </w:r>
      <w:r w:rsidRPr="002B283E">
        <w:rPr>
          <w:rFonts w:cs="Times New Roman"/>
          <w:i/>
          <w:szCs w:val="24"/>
        </w:rPr>
        <w:t>Sengoku Works Ltd. v. RMC Int’l</w:t>
      </w:r>
      <w:r w:rsidRPr="002B283E">
        <w:rPr>
          <w:rFonts w:cs="Times New Roman"/>
          <w:i/>
          <w:iCs/>
          <w:szCs w:val="24"/>
        </w:rPr>
        <w:t>,</w:t>
      </w:r>
      <w:r w:rsidRPr="002B283E">
        <w:rPr>
          <w:rFonts w:cs="Times New Roman"/>
          <w:i/>
          <w:szCs w:val="24"/>
        </w:rPr>
        <w:t xml:space="preserve"> Ltd</w:t>
      </w:r>
      <w:r w:rsidRPr="002B283E">
        <w:rPr>
          <w:rFonts w:cs="Times New Roman"/>
          <w:szCs w:val="24"/>
        </w:rPr>
        <w:t>., 96 F.3d 1217, 1220-21 (9th Cir. 1996). In the absence of an agreement, the manufacturer is presumed to own the trademark.</w:t>
      </w:r>
      <w:r w:rsidRPr="002B283E">
        <w:rPr>
          <w:rFonts w:cs="Times New Roman"/>
          <w:i/>
          <w:szCs w:val="24"/>
        </w:rPr>
        <w:t xml:space="preserve"> Id. See also Watec Co., Ltd. v. Liu</w:t>
      </w:r>
      <w:r w:rsidRPr="002B283E">
        <w:rPr>
          <w:rFonts w:cs="Times New Roman"/>
          <w:szCs w:val="24"/>
        </w:rPr>
        <w:t>, 403 F.3d 645, 652 (9th Cir. 2005) (noting that, in a case between a foreign manufacturer and a former exclusive American distributor who had an incontestably registered mark in U.S., one issue to consider as to ownership of the mark was whether the parties had entered into a contract that disposed of rights in the mark, and that issue was properly determined by the jury).</w:t>
      </w:r>
    </w:p>
    <w:p w14:paraId="28DE0FDE" w14:textId="77777777" w:rsidR="00A40046" w:rsidRPr="002B283E" w:rsidRDefault="00A40046" w:rsidP="002B283E">
      <w:pPr>
        <w:rPr>
          <w:rFonts w:cs="Times New Roman"/>
          <w:szCs w:val="24"/>
        </w:rPr>
      </w:pPr>
    </w:p>
    <w:p w14:paraId="6A138CEA" w14:textId="77777777" w:rsidR="00A40046" w:rsidRPr="002B283E" w:rsidRDefault="00A40046" w:rsidP="002B283E">
      <w:pPr>
        <w:rPr>
          <w:rFonts w:cs="Times New Roman"/>
          <w:szCs w:val="24"/>
        </w:rPr>
      </w:pPr>
      <w:r w:rsidRPr="002B283E">
        <w:rPr>
          <w:rFonts w:cs="Times New Roman"/>
          <w:szCs w:val="24"/>
        </w:rPr>
        <w:tab/>
        <w:t xml:space="preserve">That presumption—in the absence of an agreement the manufacturer is presumed to own the trademark—can be rebutted. To rebut the presumption, the following factors may be considered: </w:t>
      </w:r>
    </w:p>
    <w:p w14:paraId="0B11E1F9" w14:textId="77777777" w:rsidR="00A40046" w:rsidRPr="002B283E" w:rsidRDefault="00A40046" w:rsidP="002B283E">
      <w:pPr>
        <w:rPr>
          <w:rFonts w:cs="Times New Roman"/>
          <w:szCs w:val="24"/>
        </w:rPr>
      </w:pPr>
    </w:p>
    <w:p w14:paraId="4816D5B0" w14:textId="77777777" w:rsidR="00A40046" w:rsidRPr="002B283E" w:rsidRDefault="00A40046" w:rsidP="00C251B9">
      <w:pPr>
        <w:ind w:left="1440" w:right="720" w:hanging="720"/>
        <w:rPr>
          <w:rFonts w:cs="Times New Roman"/>
          <w:szCs w:val="24"/>
        </w:rPr>
      </w:pPr>
      <w:r w:rsidRPr="002B283E">
        <w:rPr>
          <w:rFonts w:cs="Times New Roman"/>
          <w:szCs w:val="24"/>
        </w:rPr>
        <w:t>(1)</w:t>
      </w:r>
      <w:r w:rsidRPr="002B283E">
        <w:rPr>
          <w:rFonts w:cs="Times New Roman"/>
          <w:szCs w:val="24"/>
        </w:rPr>
        <w:tab/>
        <w:t>which party invented and first affixed the mark to the product;</w:t>
      </w:r>
    </w:p>
    <w:p w14:paraId="2F109EAD" w14:textId="77777777" w:rsidR="00A40046" w:rsidRPr="002B283E" w:rsidRDefault="00A40046" w:rsidP="00C251B9">
      <w:pPr>
        <w:ind w:left="1440" w:right="720" w:hanging="720"/>
        <w:rPr>
          <w:rFonts w:cs="Times New Roman"/>
          <w:szCs w:val="24"/>
        </w:rPr>
      </w:pPr>
    </w:p>
    <w:p w14:paraId="2BA40F3E" w14:textId="77777777" w:rsidR="00A40046" w:rsidRPr="002B283E" w:rsidRDefault="00A40046" w:rsidP="00C251B9">
      <w:pPr>
        <w:ind w:left="1440" w:right="720" w:hanging="720"/>
        <w:rPr>
          <w:rFonts w:cs="Times New Roman"/>
          <w:szCs w:val="24"/>
        </w:rPr>
      </w:pPr>
      <w:r w:rsidRPr="002B283E">
        <w:rPr>
          <w:rFonts w:cs="Times New Roman"/>
          <w:szCs w:val="24"/>
        </w:rPr>
        <w:t>(2)</w:t>
      </w:r>
      <w:r w:rsidRPr="002B283E">
        <w:rPr>
          <w:rFonts w:cs="Times New Roman"/>
          <w:szCs w:val="24"/>
        </w:rPr>
        <w:tab/>
        <w:t xml:space="preserve">which party’s name appeared with the trademark; </w:t>
      </w:r>
    </w:p>
    <w:p w14:paraId="4FE9806F" w14:textId="77777777" w:rsidR="00A40046" w:rsidRPr="002B283E" w:rsidRDefault="00A40046" w:rsidP="00C251B9">
      <w:pPr>
        <w:ind w:left="1440" w:right="720" w:hanging="720"/>
        <w:rPr>
          <w:rFonts w:cs="Times New Roman"/>
          <w:szCs w:val="24"/>
        </w:rPr>
      </w:pPr>
    </w:p>
    <w:p w14:paraId="4BF10408" w14:textId="77777777" w:rsidR="00A40046" w:rsidRPr="002B283E" w:rsidRDefault="00A40046" w:rsidP="00C251B9">
      <w:pPr>
        <w:ind w:left="1440" w:right="720" w:hanging="720"/>
        <w:rPr>
          <w:rFonts w:cs="Times New Roman"/>
          <w:szCs w:val="24"/>
        </w:rPr>
      </w:pPr>
      <w:r w:rsidRPr="002B283E">
        <w:rPr>
          <w:rFonts w:cs="Times New Roman"/>
          <w:szCs w:val="24"/>
        </w:rPr>
        <w:t>(3)</w:t>
      </w:r>
      <w:r w:rsidRPr="002B283E">
        <w:rPr>
          <w:rFonts w:cs="Times New Roman"/>
          <w:szCs w:val="24"/>
        </w:rPr>
        <w:tab/>
        <w:t xml:space="preserve">which party maintained the product’s quality and uniformity; </w:t>
      </w:r>
    </w:p>
    <w:p w14:paraId="78347B59" w14:textId="77777777" w:rsidR="00A40046" w:rsidRPr="002B283E" w:rsidRDefault="00A40046" w:rsidP="00C251B9">
      <w:pPr>
        <w:ind w:left="1440" w:right="720" w:hanging="720"/>
        <w:rPr>
          <w:rFonts w:cs="Times New Roman"/>
          <w:szCs w:val="24"/>
        </w:rPr>
      </w:pPr>
    </w:p>
    <w:p w14:paraId="106CFA60" w14:textId="77777777" w:rsidR="00A40046" w:rsidRPr="002B283E" w:rsidRDefault="00A40046" w:rsidP="00C251B9">
      <w:pPr>
        <w:ind w:left="1440" w:right="720" w:hanging="720"/>
        <w:rPr>
          <w:rFonts w:cs="Times New Roman"/>
          <w:szCs w:val="24"/>
        </w:rPr>
      </w:pPr>
      <w:r w:rsidRPr="002B283E">
        <w:rPr>
          <w:rFonts w:cs="Times New Roman"/>
          <w:szCs w:val="24"/>
        </w:rPr>
        <w:t>(4)</w:t>
      </w:r>
      <w:r w:rsidRPr="002B283E">
        <w:rPr>
          <w:rFonts w:cs="Times New Roman"/>
          <w:szCs w:val="24"/>
        </w:rPr>
        <w:tab/>
        <w:t xml:space="preserve">which party does the public identify with the product and make complaints to; and </w:t>
      </w:r>
    </w:p>
    <w:p w14:paraId="3FCDDDDC" w14:textId="77777777" w:rsidR="00A40046" w:rsidRPr="002B283E" w:rsidRDefault="00A40046" w:rsidP="00C251B9">
      <w:pPr>
        <w:ind w:left="1440" w:right="720" w:hanging="720"/>
        <w:rPr>
          <w:rFonts w:cs="Times New Roman"/>
          <w:szCs w:val="24"/>
        </w:rPr>
      </w:pPr>
    </w:p>
    <w:p w14:paraId="57C52879" w14:textId="77777777" w:rsidR="00A40046" w:rsidRPr="002B283E" w:rsidRDefault="00A40046" w:rsidP="00C251B9">
      <w:pPr>
        <w:ind w:left="1440" w:right="720" w:hanging="720"/>
        <w:rPr>
          <w:rFonts w:cs="Times New Roman"/>
          <w:szCs w:val="24"/>
        </w:rPr>
      </w:pPr>
      <w:r w:rsidRPr="002B283E">
        <w:rPr>
          <w:rFonts w:cs="Times New Roman"/>
          <w:szCs w:val="24"/>
        </w:rPr>
        <w:t>(5)</w:t>
      </w:r>
      <w:r w:rsidRPr="002B283E">
        <w:rPr>
          <w:rFonts w:cs="Times New Roman"/>
          <w:szCs w:val="24"/>
        </w:rPr>
        <w:tab/>
        <w:t>which party possesses the goodwill associated with the product.</w:t>
      </w:r>
    </w:p>
    <w:p w14:paraId="41AE84D8" w14:textId="77777777" w:rsidR="00A40046" w:rsidRPr="002B283E" w:rsidRDefault="00A40046" w:rsidP="002B283E">
      <w:pPr>
        <w:rPr>
          <w:rFonts w:cs="Times New Roman"/>
          <w:szCs w:val="24"/>
        </w:rPr>
      </w:pPr>
    </w:p>
    <w:p w14:paraId="5F2B38F8" w14:textId="77777777" w:rsidR="00A40046" w:rsidRPr="002B283E" w:rsidRDefault="00A40046" w:rsidP="002B283E">
      <w:pPr>
        <w:rPr>
          <w:rFonts w:cs="Times New Roman"/>
          <w:szCs w:val="24"/>
        </w:rPr>
      </w:pPr>
      <w:r w:rsidRPr="002B283E">
        <w:rPr>
          <w:rFonts w:cs="Times New Roman"/>
          <w:szCs w:val="24"/>
        </w:rPr>
        <w:tab/>
      </w:r>
      <w:r w:rsidRPr="002B283E">
        <w:rPr>
          <w:rFonts w:cs="Times New Roman"/>
          <w:i/>
          <w:szCs w:val="24"/>
        </w:rPr>
        <w:t>See Sengoku Works Ltd</w:t>
      </w:r>
      <w:r w:rsidRPr="002B283E">
        <w:rPr>
          <w:rFonts w:cs="Times New Roman"/>
          <w:i/>
          <w:iCs/>
          <w:szCs w:val="24"/>
        </w:rPr>
        <w:t>.</w:t>
      </w:r>
      <w:r w:rsidRPr="002B283E">
        <w:rPr>
          <w:rFonts w:cs="Times New Roman"/>
          <w:szCs w:val="24"/>
        </w:rPr>
        <w:t xml:space="preserve">, 96 F.3d at 1220-21, and </w:t>
      </w:r>
      <w:r w:rsidRPr="002B283E">
        <w:rPr>
          <w:rFonts w:cs="Times New Roman"/>
          <w:i/>
          <w:szCs w:val="24"/>
        </w:rPr>
        <w:t xml:space="preserve">Premier Dental </w:t>
      </w:r>
      <w:r w:rsidRPr="002B283E">
        <w:rPr>
          <w:rFonts w:cs="Times New Roman"/>
          <w:i/>
          <w:iCs/>
          <w:szCs w:val="24"/>
        </w:rPr>
        <w:t>Prods. Co.</w:t>
      </w:r>
      <w:r w:rsidRPr="002B283E">
        <w:rPr>
          <w:rFonts w:cs="Times New Roman"/>
          <w:i/>
          <w:szCs w:val="24"/>
        </w:rPr>
        <w:t xml:space="preserve"> v. Darby Dental Supply Co</w:t>
      </w:r>
      <w:r w:rsidRPr="002B283E">
        <w:rPr>
          <w:rFonts w:cs="Times New Roman"/>
          <w:szCs w:val="24"/>
        </w:rPr>
        <w:t>., 794 F.2d 850, 853-54 (3d Cir. 1986).</w:t>
      </w:r>
    </w:p>
    <w:p w14:paraId="18356E85" w14:textId="77777777" w:rsidR="00A40046" w:rsidRPr="002B283E" w:rsidRDefault="00A40046" w:rsidP="002B283E">
      <w:pPr>
        <w:rPr>
          <w:rFonts w:cs="Times New Roman"/>
          <w:szCs w:val="24"/>
        </w:rPr>
      </w:pPr>
    </w:p>
    <w:p w14:paraId="1537DC35" w14:textId="237660A8" w:rsidR="00AB3963" w:rsidRPr="002B283E" w:rsidRDefault="00A40046" w:rsidP="002B283E">
      <w:pPr>
        <w:jc w:val="right"/>
        <w:rPr>
          <w:rFonts w:cs="Times New Roman"/>
          <w:i/>
          <w:iCs/>
          <w:szCs w:val="24"/>
        </w:rPr>
      </w:pPr>
      <w:r w:rsidRPr="002B283E">
        <w:rPr>
          <w:rFonts w:cs="Times New Roman"/>
          <w:i/>
          <w:iCs/>
          <w:szCs w:val="24"/>
        </w:rPr>
        <w:t>Revised March 2024</w:t>
      </w:r>
    </w:p>
    <w:p w14:paraId="1B07912F" w14:textId="3391E440" w:rsidR="006A4CD7" w:rsidRPr="002B283E" w:rsidRDefault="006A4CD7" w:rsidP="002B283E">
      <w:pPr>
        <w:pStyle w:val="Heading2"/>
      </w:pPr>
      <w:r w:rsidRPr="002B283E">
        <w:br w:type="page"/>
      </w:r>
      <w:bookmarkStart w:id="353" w:name="_Toc221525284"/>
      <w:r w:rsidRPr="002B283E">
        <w:lastRenderedPageBreak/>
        <w:t xml:space="preserve">15.18 </w:t>
      </w:r>
      <w:r w:rsidR="002D3E69" w:rsidRPr="002B283E">
        <w:t>Infringement—Likelihood of Confusion—Factors—</w:t>
      </w:r>
      <w:r w:rsidR="002D3E69" w:rsidRPr="002B283E">
        <w:rPr>
          <w:i/>
          <w:iCs/>
        </w:rPr>
        <w:t>Sleekcraft</w:t>
      </w:r>
      <w:r w:rsidR="002D3E69" w:rsidRPr="002B283E">
        <w:t xml:space="preserve"> Test </w:t>
      </w:r>
      <w:r w:rsidR="009F70BA" w:rsidRPr="002B283E">
        <w:br/>
      </w:r>
      <w:r w:rsidRPr="002B283E">
        <w:t>(15 U.S.C. §§ 1114(1) and 1125(a))</w:t>
      </w:r>
      <w:bookmarkEnd w:id="353"/>
    </w:p>
    <w:p w14:paraId="0C5966D5" w14:textId="77777777" w:rsidR="006A4CD7" w:rsidRPr="002B283E" w:rsidRDefault="006A4CD7" w:rsidP="002B283E">
      <w:pPr>
        <w:rPr>
          <w:rFonts w:cs="Times New Roman"/>
          <w:szCs w:val="24"/>
        </w:rPr>
      </w:pPr>
    </w:p>
    <w:p w14:paraId="327F9869" w14:textId="08916FB3" w:rsidR="00276ADA" w:rsidRPr="002B283E" w:rsidRDefault="006A4CD7" w:rsidP="002B283E">
      <w:pPr>
        <w:rPr>
          <w:rFonts w:cs="Times New Roman"/>
          <w:szCs w:val="24"/>
        </w:rPr>
      </w:pPr>
      <w:r w:rsidRPr="002B283E">
        <w:rPr>
          <w:rFonts w:cs="Times New Roman"/>
          <w:szCs w:val="24"/>
        </w:rPr>
        <w:tab/>
      </w:r>
      <w:bookmarkStart w:id="354" w:name="_Hlk159245502"/>
      <w:bookmarkStart w:id="355" w:name="_Hlk159245469"/>
      <w:r w:rsidR="00276ADA" w:rsidRPr="002B283E">
        <w:rPr>
          <w:rFonts w:cs="Times New Roman"/>
          <w:szCs w:val="24"/>
        </w:rPr>
        <w:t xml:space="preserve">The plaintiff </w:t>
      </w:r>
      <w:r w:rsidR="000D448B">
        <w:rPr>
          <w:rFonts w:cs="Times New Roman"/>
          <w:szCs w:val="24"/>
        </w:rPr>
        <w:t>[</w:t>
      </w:r>
      <w:r w:rsidR="000D448B" w:rsidRPr="008A04C2">
        <w:rPr>
          <w:rFonts w:cs="Times New Roman"/>
          <w:i/>
          <w:iCs/>
          <w:szCs w:val="24"/>
          <w:u w:val="single"/>
        </w:rPr>
        <w:t>name</w:t>
      </w:r>
      <w:r w:rsidR="000D448B">
        <w:rPr>
          <w:rFonts w:cs="Times New Roman"/>
          <w:szCs w:val="24"/>
        </w:rPr>
        <w:t xml:space="preserve">] </w:t>
      </w:r>
      <w:r w:rsidR="00276ADA" w:rsidRPr="002B283E">
        <w:rPr>
          <w:rFonts w:cs="Times New Roman"/>
          <w:szCs w:val="24"/>
        </w:rPr>
        <w:t>asserts that [</w:t>
      </w:r>
      <w:r w:rsidR="00276ADA" w:rsidRPr="002B283E">
        <w:rPr>
          <w:rFonts w:cs="Times New Roman"/>
          <w:i/>
          <w:iCs/>
          <w:szCs w:val="24"/>
          <w:u w:val="single"/>
        </w:rPr>
        <w:t>insert trademark</w:t>
      </w:r>
      <w:r w:rsidR="00276ADA" w:rsidRPr="002B283E">
        <w:rPr>
          <w:rFonts w:cs="Times New Roman"/>
          <w:szCs w:val="24"/>
        </w:rPr>
        <w:t xml:space="preserve">] is a trademark for its goods. The plaintiff </w:t>
      </w:r>
      <w:r w:rsidR="000D448B">
        <w:rPr>
          <w:rFonts w:cs="Times New Roman"/>
          <w:szCs w:val="24"/>
        </w:rPr>
        <w:t>[</w:t>
      </w:r>
      <w:r w:rsidR="000D448B" w:rsidRPr="00382C45">
        <w:rPr>
          <w:rFonts w:cs="Times New Roman"/>
          <w:i/>
          <w:iCs/>
          <w:szCs w:val="24"/>
          <w:u w:val="single"/>
        </w:rPr>
        <w:t>name</w:t>
      </w:r>
      <w:r w:rsidR="000D448B">
        <w:rPr>
          <w:rFonts w:cs="Times New Roman"/>
          <w:szCs w:val="24"/>
        </w:rPr>
        <w:t xml:space="preserve">] </w:t>
      </w:r>
      <w:r w:rsidR="00276ADA" w:rsidRPr="002B283E">
        <w:rPr>
          <w:rFonts w:cs="Times New Roman"/>
          <w:szCs w:val="24"/>
        </w:rPr>
        <w:t>contends that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use of [</w:t>
      </w:r>
      <w:r w:rsidR="00276ADA" w:rsidRPr="002B283E">
        <w:rPr>
          <w:rFonts w:cs="Times New Roman"/>
          <w:i/>
          <w:iCs/>
          <w:szCs w:val="24"/>
          <w:u w:val="single"/>
        </w:rPr>
        <w:t>insert the defendant’s mark</w:t>
      </w:r>
      <w:r w:rsidR="00276ADA" w:rsidRPr="002B283E">
        <w:rPr>
          <w:rFonts w:cs="Times New Roman"/>
          <w:szCs w:val="24"/>
        </w:rPr>
        <w:t>] in connection with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w:t>
      </w:r>
      <w:r w:rsidR="00276ADA" w:rsidRPr="002B283E">
        <w:rPr>
          <w:rFonts w:cs="Times New Roman"/>
          <w:i/>
          <w:iCs/>
          <w:szCs w:val="24"/>
          <w:u w:val="single"/>
        </w:rPr>
        <w:t>insert the defendant’s product</w:t>
      </w:r>
      <w:r w:rsidR="00276ADA" w:rsidRPr="002B283E">
        <w:rPr>
          <w:rFonts w:cs="Times New Roman"/>
          <w:szCs w:val="24"/>
        </w:rPr>
        <w:t>] infringes the plaintiff</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trademark because it is likely to cause confusion.</w:t>
      </w:r>
    </w:p>
    <w:p w14:paraId="6406CA9C" w14:textId="77777777" w:rsidR="00276ADA" w:rsidRPr="002B283E" w:rsidRDefault="00276ADA" w:rsidP="002B283E">
      <w:pPr>
        <w:rPr>
          <w:rFonts w:cs="Times New Roman"/>
          <w:szCs w:val="24"/>
        </w:rPr>
      </w:pPr>
    </w:p>
    <w:p w14:paraId="7397B409" w14:textId="77777777" w:rsidR="00276ADA" w:rsidRPr="002B283E" w:rsidRDefault="00276ADA" w:rsidP="002B283E">
      <w:pPr>
        <w:ind w:firstLine="720"/>
        <w:rPr>
          <w:rFonts w:cs="Times New Roman"/>
          <w:szCs w:val="24"/>
        </w:rPr>
      </w:pPr>
      <w:r w:rsidRPr="002B283E">
        <w:rPr>
          <w:rFonts w:cs="Times New Roman"/>
          <w:szCs w:val="24"/>
        </w:rPr>
        <w:t>You must consider whether a reasonably prudent consumer in the marketplace is likely to be confused as to the origin of the goods bearing one of the marks.</w:t>
      </w:r>
      <w:bookmarkEnd w:id="354"/>
      <w:r w:rsidRPr="002B283E">
        <w:rPr>
          <w:rFonts w:cs="Times New Roman"/>
          <w:szCs w:val="24"/>
        </w:rPr>
        <w:t xml:space="preserve"> </w:t>
      </w:r>
      <w:bookmarkEnd w:id="355"/>
    </w:p>
    <w:p w14:paraId="1DE2B6A8" w14:textId="77777777" w:rsidR="00276ADA" w:rsidRPr="002B283E" w:rsidRDefault="00276ADA" w:rsidP="002B283E">
      <w:pPr>
        <w:rPr>
          <w:rFonts w:cs="Times New Roman"/>
          <w:szCs w:val="24"/>
        </w:rPr>
      </w:pPr>
    </w:p>
    <w:p w14:paraId="1D860866" w14:textId="77777777" w:rsidR="00276ADA" w:rsidRPr="002B283E" w:rsidRDefault="00276ADA" w:rsidP="002B283E">
      <w:pPr>
        <w:rPr>
          <w:rFonts w:cs="Times New Roman"/>
          <w:szCs w:val="24"/>
        </w:rPr>
      </w:pPr>
      <w:r w:rsidRPr="002B283E">
        <w:rPr>
          <w:rFonts w:cs="Times New Roman"/>
          <w:szCs w:val="24"/>
        </w:rPr>
        <w:tab/>
        <w:t xml:space="preserve">I will suggest some factors you should consider. You should not focus on any one factor to resolve whether there was a likelihood of confusion, because you must consider all relevant evidence. As you consider the likelihood of confusion you should examine the following: </w:t>
      </w:r>
    </w:p>
    <w:p w14:paraId="39FD01D4" w14:textId="77777777" w:rsidR="00276ADA" w:rsidRPr="002B283E" w:rsidRDefault="00276ADA" w:rsidP="002B283E">
      <w:pPr>
        <w:rPr>
          <w:rFonts w:cs="Times New Roman"/>
          <w:szCs w:val="24"/>
        </w:rPr>
      </w:pPr>
    </w:p>
    <w:p w14:paraId="3A3BF483" w14:textId="77777777" w:rsidR="00276ADA" w:rsidRPr="002B283E" w:rsidRDefault="00276ADA" w:rsidP="00021D2C">
      <w:pPr>
        <w:ind w:right="720" w:firstLine="720"/>
        <w:rPr>
          <w:rFonts w:cs="Times New Roman"/>
          <w:szCs w:val="24"/>
        </w:rPr>
      </w:pPr>
      <w:r w:rsidRPr="002B283E">
        <w:rPr>
          <w:rFonts w:cs="Times New Roman"/>
          <w:szCs w:val="24"/>
        </w:rPr>
        <w:t>(1)</w:t>
      </w:r>
      <w:r w:rsidRPr="002B283E">
        <w:rPr>
          <w:rFonts w:cs="Times New Roman"/>
          <w:szCs w:val="24"/>
        </w:rPr>
        <w:tab/>
      </w:r>
      <w:bookmarkStart w:id="356" w:name="_Hlk165708718"/>
      <w:r w:rsidRPr="002B283E">
        <w:rPr>
          <w:rFonts w:cs="Times New Roman"/>
          <w:szCs w:val="24"/>
        </w:rPr>
        <w:t>Strength or Weakness of the Plaintiff’s Mark</w:t>
      </w:r>
      <w:bookmarkEnd w:id="356"/>
      <w:r w:rsidRPr="002B283E">
        <w:rPr>
          <w:rFonts w:cs="Times New Roman"/>
          <w:szCs w:val="24"/>
        </w:rPr>
        <w:t>. The more distinctive the plaintiff’s mark is and the more the consuming public recognizes the plaintiff’s trademark, the more likely it is that consumers would be confused about the source of the defendant’s goods if the defendant uses a similar mark.</w:t>
      </w:r>
    </w:p>
    <w:p w14:paraId="29201EE8" w14:textId="77777777" w:rsidR="00276ADA" w:rsidRPr="002B283E" w:rsidRDefault="00276ADA" w:rsidP="00021D2C">
      <w:pPr>
        <w:ind w:right="720" w:firstLine="720"/>
        <w:rPr>
          <w:rFonts w:cs="Times New Roman"/>
          <w:szCs w:val="24"/>
        </w:rPr>
      </w:pPr>
    </w:p>
    <w:p w14:paraId="504E718A" w14:textId="77777777" w:rsidR="00276ADA" w:rsidRPr="002B283E" w:rsidRDefault="00276ADA" w:rsidP="00021D2C">
      <w:pPr>
        <w:ind w:right="720" w:firstLine="720"/>
        <w:rPr>
          <w:rFonts w:cs="Times New Roman"/>
          <w:szCs w:val="24"/>
        </w:rPr>
      </w:pPr>
      <w:r w:rsidRPr="002B283E">
        <w:rPr>
          <w:rFonts w:cs="Times New Roman"/>
          <w:szCs w:val="24"/>
        </w:rPr>
        <w:t>(2)</w:t>
      </w:r>
      <w:r w:rsidRPr="002B283E">
        <w:rPr>
          <w:rFonts w:cs="Times New Roman"/>
          <w:szCs w:val="24"/>
        </w:rPr>
        <w:tab/>
        <w:t>The Defendant’s Use of the Mark. If the defendant and the plaintiff use their trademarks on the same, related, or complementary kinds of goods, there may be a greater likelihood of confusion about the source of the goods than otherwise.</w:t>
      </w:r>
    </w:p>
    <w:p w14:paraId="6C668B01" w14:textId="77777777" w:rsidR="00276ADA" w:rsidRPr="002B283E" w:rsidRDefault="00276ADA" w:rsidP="00021D2C">
      <w:pPr>
        <w:ind w:right="720" w:firstLine="720"/>
        <w:rPr>
          <w:rFonts w:cs="Times New Roman"/>
          <w:szCs w:val="24"/>
        </w:rPr>
      </w:pPr>
    </w:p>
    <w:p w14:paraId="34EF9755" w14:textId="77777777" w:rsidR="00276ADA" w:rsidRPr="002B283E" w:rsidRDefault="00276ADA" w:rsidP="00021D2C">
      <w:pPr>
        <w:ind w:right="720" w:firstLine="720"/>
        <w:rPr>
          <w:rFonts w:cs="Times New Roman"/>
          <w:szCs w:val="24"/>
        </w:rPr>
      </w:pPr>
      <w:r w:rsidRPr="002B283E">
        <w:rPr>
          <w:rFonts w:cs="Times New Roman"/>
          <w:szCs w:val="24"/>
        </w:rPr>
        <w:t>(3)</w:t>
      </w:r>
      <w:r w:rsidRPr="002B283E">
        <w:rPr>
          <w:rFonts w:cs="Times New Roman"/>
          <w:szCs w:val="24"/>
        </w:rPr>
        <w:tab/>
        <w:t xml:space="preserve">Similarity of the Plaintiff’s and the Defendant’s Marks. If the overall impression created by the plaintiff’s trademark in the marketplace is similar to that created by the defendant’s trademark in [appearance] [sound] [or] [meaning], there is a greater chance [that consumers are likely to be confused by the defendant’s use of a mark] [of likelihood of confusion]. [Similarities in appearance, sound or meaning weigh more heavily than differences in finding the marks are similar.] </w:t>
      </w:r>
    </w:p>
    <w:p w14:paraId="668D55FE" w14:textId="77777777" w:rsidR="00276ADA" w:rsidRPr="002B283E" w:rsidRDefault="00276ADA" w:rsidP="00021D2C">
      <w:pPr>
        <w:ind w:right="720" w:firstLine="720"/>
        <w:rPr>
          <w:rFonts w:cs="Times New Roman"/>
          <w:szCs w:val="24"/>
        </w:rPr>
      </w:pPr>
    </w:p>
    <w:p w14:paraId="5728E15D" w14:textId="77777777" w:rsidR="00276ADA" w:rsidRPr="002B283E" w:rsidRDefault="00276ADA" w:rsidP="00021D2C">
      <w:pPr>
        <w:ind w:right="720" w:firstLine="720"/>
        <w:rPr>
          <w:rFonts w:cs="Times New Roman"/>
          <w:szCs w:val="24"/>
        </w:rPr>
      </w:pPr>
      <w:r w:rsidRPr="002B283E">
        <w:rPr>
          <w:rFonts w:cs="Times New Roman"/>
          <w:szCs w:val="24"/>
        </w:rPr>
        <w:t>(4)</w:t>
      </w:r>
      <w:r w:rsidRPr="002B283E">
        <w:rPr>
          <w:rFonts w:cs="Times New Roman"/>
          <w:szCs w:val="24"/>
        </w:rPr>
        <w:tab/>
        <w:t>Actual Confusion. If the defendant’s use of the plaintiff’s trademark has led to instances of actual confusion, this strongly suggests a likelihood of confusion. However,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few isolated instances of actual confusion, you may find that there has not been substantial actual confusion.</w:t>
      </w:r>
    </w:p>
    <w:p w14:paraId="565AA2CC" w14:textId="77777777" w:rsidR="00276ADA" w:rsidRPr="002B283E" w:rsidRDefault="00276ADA" w:rsidP="00021D2C">
      <w:pPr>
        <w:ind w:right="720" w:firstLine="720"/>
        <w:rPr>
          <w:rFonts w:cs="Times New Roman"/>
          <w:szCs w:val="24"/>
        </w:rPr>
      </w:pPr>
    </w:p>
    <w:p w14:paraId="6E24492B" w14:textId="77777777" w:rsidR="00276ADA" w:rsidRPr="002B283E" w:rsidRDefault="00276ADA" w:rsidP="00021D2C">
      <w:pPr>
        <w:ind w:right="720" w:firstLine="720"/>
        <w:rPr>
          <w:rFonts w:cs="Times New Roman"/>
          <w:szCs w:val="24"/>
        </w:rPr>
      </w:pPr>
      <w:r w:rsidRPr="002B283E">
        <w:rPr>
          <w:rFonts w:cs="Times New Roman"/>
          <w:szCs w:val="24"/>
        </w:rPr>
        <w:t>(5)</w:t>
      </w:r>
      <w:r w:rsidRPr="002B283E">
        <w:rPr>
          <w:rFonts w:cs="Times New Roman"/>
          <w:szCs w:val="24"/>
        </w:rPr>
        <w:tab/>
        <w:t xml:space="preserve">The Defendant’s Intent. Knowing use by the defendant of the plaintiff’s trademark to identify similar goods may strongly show an intent to derive </w:t>
      </w:r>
    </w:p>
    <w:p w14:paraId="0117E764" w14:textId="77777777" w:rsidR="00276ADA" w:rsidRPr="002B283E" w:rsidRDefault="00276ADA" w:rsidP="00021D2C">
      <w:pPr>
        <w:ind w:right="720" w:firstLine="720"/>
        <w:rPr>
          <w:rFonts w:cs="Times New Roman"/>
          <w:szCs w:val="24"/>
        </w:rPr>
      </w:pPr>
      <w:r w:rsidRPr="002B283E">
        <w:rPr>
          <w:rFonts w:cs="Times New Roman"/>
          <w:szCs w:val="24"/>
        </w:rPr>
        <w:lastRenderedPageBreak/>
        <w:t>benefit from the reputation of the plaintiff’s mark, suggesting an intent to cause a likelihood of confusion. On the other hand, even in the absence of proof that the defendant acted knowingly, the use of the plaintiff’s trademark to identify similar goods may indicate a likelihood of confusion.</w:t>
      </w:r>
    </w:p>
    <w:p w14:paraId="0D14A90B" w14:textId="77777777" w:rsidR="00276ADA" w:rsidRPr="002B283E" w:rsidRDefault="00276ADA" w:rsidP="00021D2C">
      <w:pPr>
        <w:ind w:right="720" w:firstLine="720"/>
        <w:rPr>
          <w:rFonts w:cs="Times New Roman"/>
          <w:szCs w:val="24"/>
        </w:rPr>
      </w:pPr>
    </w:p>
    <w:p w14:paraId="6CA5C9EF" w14:textId="77777777" w:rsidR="00276ADA" w:rsidRPr="002B283E" w:rsidRDefault="00276ADA" w:rsidP="00021D2C">
      <w:pPr>
        <w:ind w:right="720" w:firstLine="720"/>
        <w:rPr>
          <w:rFonts w:cs="Times New Roman"/>
          <w:szCs w:val="24"/>
        </w:rPr>
      </w:pPr>
      <w:r w:rsidRPr="002B283E">
        <w:rPr>
          <w:rFonts w:cs="Times New Roman"/>
          <w:szCs w:val="24"/>
        </w:rPr>
        <w:t>(6)</w:t>
      </w:r>
      <w:r w:rsidRPr="002B283E">
        <w:rPr>
          <w:rFonts w:cs="Times New Roman"/>
          <w:szCs w:val="24"/>
        </w:rPr>
        <w:tab/>
        <w:t xml:space="preserve">Marketing/Advertising Channels. If the plaintiff’s and the defendant’s goods are likely to be sold in the same or similar stores or outlets, or advertised in similar media, this may increase the likelihood of confusion. </w:t>
      </w:r>
    </w:p>
    <w:p w14:paraId="2F40D158" w14:textId="77777777" w:rsidR="00276ADA" w:rsidRPr="002B283E" w:rsidRDefault="00276ADA" w:rsidP="00021D2C">
      <w:pPr>
        <w:ind w:right="720" w:firstLine="720"/>
        <w:rPr>
          <w:rFonts w:cs="Times New Roman"/>
          <w:szCs w:val="24"/>
        </w:rPr>
      </w:pPr>
    </w:p>
    <w:p w14:paraId="64ABF468" w14:textId="77777777" w:rsidR="00276ADA" w:rsidRPr="002B283E" w:rsidRDefault="00276ADA" w:rsidP="00021D2C">
      <w:pPr>
        <w:ind w:right="720" w:firstLine="720"/>
        <w:rPr>
          <w:rFonts w:cs="Times New Roman"/>
          <w:szCs w:val="24"/>
        </w:rPr>
      </w:pPr>
      <w:r w:rsidRPr="002B283E">
        <w:rPr>
          <w:rFonts w:cs="Times New Roman"/>
          <w:szCs w:val="24"/>
        </w:rPr>
        <w:t>(7)</w:t>
      </w:r>
      <w:r w:rsidRPr="002B283E">
        <w:rPr>
          <w:rFonts w:cs="Times New Roman"/>
          <w:szCs w:val="24"/>
        </w:rPr>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 the defendant’s trademarks.</w:t>
      </w:r>
    </w:p>
    <w:p w14:paraId="33CC3903" w14:textId="77777777" w:rsidR="00276ADA" w:rsidRPr="002B283E" w:rsidRDefault="00276ADA" w:rsidP="00021D2C">
      <w:pPr>
        <w:ind w:right="720" w:firstLine="720"/>
        <w:rPr>
          <w:rFonts w:cs="Times New Roman"/>
          <w:szCs w:val="24"/>
        </w:rPr>
      </w:pPr>
    </w:p>
    <w:p w14:paraId="3CB3EBE7" w14:textId="77777777" w:rsidR="00276ADA" w:rsidRPr="002B283E" w:rsidRDefault="00276ADA" w:rsidP="00021D2C">
      <w:pPr>
        <w:ind w:right="720" w:firstLine="720"/>
        <w:rPr>
          <w:rFonts w:cs="Times New Roman"/>
          <w:szCs w:val="24"/>
        </w:rPr>
      </w:pPr>
      <w:r w:rsidRPr="002B283E">
        <w:rPr>
          <w:rFonts w:cs="Times New Roman"/>
          <w:szCs w:val="24"/>
        </w:rPr>
        <w:t>(8)</w:t>
      </w:r>
      <w:r w:rsidRPr="002B283E">
        <w:rPr>
          <w:rFonts w:cs="Times New Roman"/>
          <w:szCs w:val="24"/>
        </w:rPr>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5D6DBF27" w14:textId="77777777" w:rsidR="00276ADA" w:rsidRPr="002B283E" w:rsidRDefault="00276ADA" w:rsidP="00021D2C">
      <w:pPr>
        <w:ind w:right="720" w:firstLine="720"/>
        <w:rPr>
          <w:rFonts w:cs="Times New Roman"/>
          <w:szCs w:val="24"/>
        </w:rPr>
      </w:pPr>
    </w:p>
    <w:p w14:paraId="564B2AE3" w14:textId="4AC2BECD" w:rsidR="00276ADA" w:rsidRPr="002B283E" w:rsidRDefault="00276ADA" w:rsidP="00021D2C">
      <w:pPr>
        <w:tabs>
          <w:tab w:val="left" w:pos="720"/>
          <w:tab w:val="left" w:pos="1440"/>
        </w:tabs>
        <w:ind w:right="720" w:firstLine="720"/>
        <w:rPr>
          <w:rFonts w:cs="Times New Roman"/>
          <w:szCs w:val="24"/>
        </w:rPr>
      </w:pPr>
      <w:r w:rsidRPr="002B283E">
        <w:rPr>
          <w:rFonts w:cs="Times New Roman"/>
          <w:szCs w:val="24"/>
        </w:rPr>
        <w:tab/>
        <w:t>[(9)</w:t>
      </w:r>
      <w:r w:rsidRPr="002B283E">
        <w:rPr>
          <w:rFonts w:cs="Times New Roman"/>
          <w:szCs w:val="24"/>
        </w:rPr>
        <w:tab/>
        <w:t xml:space="preserve">Other Factors. </w:t>
      </w:r>
      <w:r w:rsidR="000D448B">
        <w:rPr>
          <w:rFonts w:cs="Times New Roman"/>
          <w:szCs w:val="24"/>
        </w:rPr>
        <w:t>[</w:t>
      </w:r>
      <w:r w:rsidRPr="002B283E">
        <w:rPr>
          <w:rFonts w:cs="Times New Roman"/>
          <w:i/>
          <w:szCs w:val="24"/>
          <w:u w:val="single"/>
        </w:rPr>
        <w:t>Insert any other factors that bear on likelihood of confusion</w:t>
      </w:r>
      <w:r w:rsidRPr="002B283E">
        <w:rPr>
          <w:rFonts w:cs="Times New Roman"/>
          <w:szCs w:val="24"/>
        </w:rPr>
        <w:t>.]</w:t>
      </w:r>
      <w:r w:rsidR="00412566">
        <w:rPr>
          <w:rFonts w:cs="Times New Roman"/>
          <w:szCs w:val="24"/>
        </w:rPr>
        <w:t>]</w:t>
      </w:r>
      <w:r w:rsidRPr="002B283E">
        <w:rPr>
          <w:rFonts w:cs="Times New Roman"/>
          <w:szCs w:val="24"/>
        </w:rPr>
        <w:t xml:space="preserve"> </w:t>
      </w:r>
    </w:p>
    <w:p w14:paraId="1CB919A3" w14:textId="77777777" w:rsidR="00276ADA" w:rsidRPr="002B283E" w:rsidRDefault="00276ADA" w:rsidP="002B283E">
      <w:pPr>
        <w:rPr>
          <w:rFonts w:cs="Times New Roman"/>
          <w:b/>
          <w:szCs w:val="24"/>
        </w:rPr>
      </w:pPr>
    </w:p>
    <w:p w14:paraId="04194D86" w14:textId="77777777" w:rsidR="00276ADA" w:rsidRPr="002B283E" w:rsidRDefault="00276ADA" w:rsidP="002B283E">
      <w:pPr>
        <w:jc w:val="center"/>
        <w:rPr>
          <w:rFonts w:cs="Times New Roman"/>
          <w:b/>
          <w:szCs w:val="24"/>
        </w:rPr>
      </w:pPr>
      <w:r w:rsidRPr="002B283E">
        <w:rPr>
          <w:rFonts w:cs="Times New Roman"/>
          <w:b/>
          <w:szCs w:val="24"/>
        </w:rPr>
        <w:t>Comment</w:t>
      </w:r>
    </w:p>
    <w:p w14:paraId="59BFAFD9" w14:textId="77777777" w:rsidR="00276ADA" w:rsidRPr="002B283E" w:rsidRDefault="00276ADA" w:rsidP="002B283E">
      <w:pPr>
        <w:rPr>
          <w:rFonts w:cs="Times New Roman"/>
          <w:szCs w:val="24"/>
        </w:rPr>
      </w:pPr>
    </w:p>
    <w:p w14:paraId="29C9EB14" w14:textId="39C753A9" w:rsidR="00276ADA" w:rsidRPr="002B283E" w:rsidRDefault="00276ADA" w:rsidP="002B283E">
      <w:pPr>
        <w:rPr>
          <w:rFonts w:cs="Times New Roman"/>
          <w:szCs w:val="24"/>
        </w:rPr>
      </w:pPr>
      <w:r w:rsidRPr="002B283E">
        <w:rPr>
          <w:rFonts w:cs="Times New Roman"/>
          <w:szCs w:val="24"/>
        </w:rPr>
        <w:tab/>
        <w:t>The Ninth Circuit has often reaffirmed the validity of the eight-factor test from</w:t>
      </w:r>
      <w:r w:rsidRPr="002B283E">
        <w:rPr>
          <w:rFonts w:cs="Times New Roman"/>
          <w:i/>
          <w:szCs w:val="24"/>
        </w:rPr>
        <w:t xml:space="preserve"> AMF Inc. v. Sleekcraft Boats</w:t>
      </w:r>
      <w:r w:rsidRPr="002B283E">
        <w:rPr>
          <w:rFonts w:cs="Times New Roman"/>
          <w:szCs w:val="24"/>
        </w:rPr>
        <w:t xml:space="preserve">, 599 F.2d 341, 348-49 (9th Cir. 1979), </w:t>
      </w:r>
      <w:r w:rsidRPr="002B283E">
        <w:rPr>
          <w:rFonts w:cs="Times New Roman"/>
          <w:i/>
          <w:iCs/>
          <w:szCs w:val="24"/>
        </w:rPr>
        <w:t>abrogated in part on other grounds by Mattel, Inc.,</w:t>
      </w:r>
      <w:r w:rsidRPr="002B283E">
        <w:rPr>
          <w:rFonts w:cs="Times New Roman"/>
          <w:i/>
          <w:szCs w:val="24"/>
        </w:rPr>
        <w:t xml:space="preserve"> v. </w:t>
      </w:r>
      <w:r w:rsidRPr="002B283E">
        <w:rPr>
          <w:rFonts w:cs="Times New Roman"/>
          <w:i/>
          <w:iCs/>
          <w:szCs w:val="24"/>
        </w:rPr>
        <w:t>Walking Mountain Prods.</w:t>
      </w:r>
      <w:r w:rsidRPr="002B283E">
        <w:rPr>
          <w:rFonts w:cs="Times New Roman"/>
          <w:szCs w:val="24"/>
        </w:rPr>
        <w:t>, 353 F.3d 792 (9th Cir. 2003), that is covered in this instruction</w:t>
      </w:r>
      <w:r w:rsidRPr="002B283E">
        <w:rPr>
          <w:rFonts w:cs="Times New Roman"/>
          <w:i/>
          <w:szCs w:val="24"/>
        </w:rPr>
        <w:t>. 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 xml:space="preserve">Multi Time </w:t>
      </w:r>
      <w:r w:rsidRPr="002B283E">
        <w:rPr>
          <w:rFonts w:cs="Times New Roman"/>
          <w:i/>
          <w:iCs/>
          <w:szCs w:val="24"/>
        </w:rPr>
        <w:t>Mach.,</w:t>
      </w:r>
      <w:r w:rsidRPr="002B283E">
        <w:rPr>
          <w:rFonts w:cs="Times New Roman"/>
          <w:i/>
          <w:szCs w:val="24"/>
        </w:rPr>
        <w:t xml:space="preserve"> Inc. v. Amazon.com, Inc.</w:t>
      </w:r>
      <w:r w:rsidRPr="002B283E">
        <w:rPr>
          <w:rFonts w:cs="Times New Roman"/>
          <w:szCs w:val="24"/>
        </w:rPr>
        <w:t xml:space="preserve">, 804 F.3d 930, 935 &amp; n.1 (9th Cir. 2015) (“To analyze likelihood of confusion, we utilize the eight-factor test set forth in </w:t>
      </w:r>
      <w:r w:rsidRPr="002B283E">
        <w:rPr>
          <w:rFonts w:cs="Times New Roman"/>
          <w:i/>
          <w:szCs w:val="24"/>
        </w:rPr>
        <w:t>Sleekcraft</w:t>
      </w:r>
      <w:r w:rsidRPr="002B283E">
        <w:rPr>
          <w:rFonts w:cs="Times New Roman"/>
          <w:szCs w:val="24"/>
        </w:rPr>
        <w:t xml:space="preserve">. However, ‘[w]e have long cautioned that applying the </w:t>
      </w:r>
      <w:r w:rsidRPr="002B283E">
        <w:rPr>
          <w:rFonts w:cs="Times New Roman"/>
          <w:i/>
          <w:szCs w:val="24"/>
        </w:rPr>
        <w:t>Sleekcraft</w:t>
      </w:r>
      <w:r w:rsidRPr="002B283E">
        <w:rPr>
          <w:rFonts w:cs="Times New Roman"/>
          <w:szCs w:val="24"/>
        </w:rPr>
        <w:t xml:space="preserve"> test is not like counting beans.’”</w:t>
      </w:r>
      <w:r w:rsidR="00CE6E72">
        <w:rPr>
          <w:rFonts w:cs="Times New Roman"/>
          <w:szCs w:val="24"/>
        </w:rPr>
        <w:t>) (</w:t>
      </w:r>
      <w:r w:rsidRPr="002B283E">
        <w:rPr>
          <w:rFonts w:cs="Times New Roman"/>
          <w:szCs w:val="24"/>
        </w:rPr>
        <w:t xml:space="preserve">quoting </w:t>
      </w:r>
      <w:r w:rsidRPr="002B283E">
        <w:rPr>
          <w:rFonts w:cs="Times New Roman"/>
          <w:i/>
          <w:iCs/>
          <w:szCs w:val="24"/>
        </w:rPr>
        <w:t>One Indus. LLC</w:t>
      </w:r>
      <w:bookmarkStart w:id="357" w:name="_Hlk165710994"/>
      <w:r w:rsidRPr="002B283E">
        <w:rPr>
          <w:rFonts w:cs="Times New Roman"/>
          <w:i/>
          <w:szCs w:val="24"/>
        </w:rPr>
        <w:t xml:space="preserve"> v. </w:t>
      </w:r>
      <w:bookmarkEnd w:id="357"/>
      <w:r w:rsidRPr="002B283E">
        <w:rPr>
          <w:rFonts w:cs="Times New Roman"/>
          <w:i/>
          <w:iCs/>
          <w:szCs w:val="24"/>
        </w:rPr>
        <w:t>Jim O’Neal Distrib.,</w:t>
      </w:r>
      <w:r w:rsidRPr="002B283E">
        <w:rPr>
          <w:rFonts w:cs="Times New Roman"/>
          <w:i/>
          <w:szCs w:val="24"/>
        </w:rPr>
        <w:t xml:space="preserve"> Inc.</w:t>
      </w:r>
      <w:r w:rsidRPr="002B283E">
        <w:rPr>
          <w:rFonts w:cs="Times New Roman"/>
          <w:szCs w:val="24"/>
        </w:rPr>
        <w:t xml:space="preserve">, 578 F.3d 1154, 1162 (9th Cir. 2009))). </w:t>
      </w:r>
    </w:p>
    <w:p w14:paraId="424C3089" w14:textId="77777777" w:rsidR="00276ADA" w:rsidRPr="002B283E" w:rsidRDefault="00276ADA" w:rsidP="002B283E">
      <w:pPr>
        <w:rPr>
          <w:rFonts w:cs="Times New Roman"/>
          <w:szCs w:val="24"/>
        </w:rPr>
      </w:pPr>
    </w:p>
    <w:p w14:paraId="7FEEE28A" w14:textId="1679EFFF" w:rsidR="00276ADA" w:rsidRPr="002B283E" w:rsidRDefault="00276ADA" w:rsidP="002B283E">
      <w:pPr>
        <w:rPr>
          <w:rFonts w:cs="Times New Roman"/>
          <w:szCs w:val="24"/>
        </w:rPr>
      </w:pPr>
      <w:r w:rsidRPr="002B283E">
        <w:rPr>
          <w:rFonts w:cs="Times New Roman"/>
          <w:szCs w:val="24"/>
        </w:rPr>
        <w:tab/>
        <w:t xml:space="preserve">Because the eight likelihood-of-confusion factors identified in </w:t>
      </w:r>
      <w:r w:rsidRPr="002B283E">
        <w:rPr>
          <w:rFonts w:cs="Times New Roman"/>
          <w:i/>
          <w:iCs/>
          <w:szCs w:val="24"/>
        </w:rPr>
        <w:t>Sleekcraft</w:t>
      </w:r>
      <w:r w:rsidRPr="002B283E">
        <w:rPr>
          <w:rFonts w:cs="Times New Roman"/>
          <w:szCs w:val="24"/>
        </w:rPr>
        <w:t xml:space="preserve"> are neither exclusive nor exhaustive, the Committee recommends that the judge instruct only on the factors that are relevant in the case presented to the jury.</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174 F.3d 1036, 1054 (9th Cir. 1999) (“[I]t is often possible to reach a conclusion with respect to likelihood of confusion after considering only a subset of the [</w:t>
      </w:r>
      <w:r w:rsidRPr="002B283E">
        <w:rPr>
          <w:rFonts w:cs="Times New Roman"/>
          <w:i/>
          <w:szCs w:val="24"/>
        </w:rPr>
        <w:t>Sleekcraft</w:t>
      </w:r>
      <w:r w:rsidRPr="002B283E">
        <w:rPr>
          <w:rFonts w:cs="Times New Roman"/>
          <w:szCs w:val="24"/>
        </w:rPr>
        <w:t xml:space="preserve">] factors[,] . . </w:t>
      </w:r>
      <w:r w:rsidR="00A87F6E">
        <w:rPr>
          <w:rFonts w:cs="Times New Roman"/>
          <w:szCs w:val="24"/>
        </w:rPr>
        <w:t xml:space="preserve">. </w:t>
      </w:r>
      <w:r w:rsidRPr="002B283E">
        <w:rPr>
          <w:rFonts w:cs="Times New Roman"/>
          <w:szCs w:val="24"/>
        </w:rPr>
        <w:t>[which do] not purport to be exhaustive, and non-listed variables may often be quite important.”);</w:t>
      </w:r>
      <w:r w:rsidRPr="002B283E">
        <w:rPr>
          <w:rFonts w:cs="Times New Roman"/>
          <w:i/>
          <w:szCs w:val="24"/>
        </w:rPr>
        <w:t xml:space="preserve"> Metro Pub., Ltd. v. San Jose Mercury News</w:t>
      </w:r>
      <w:r w:rsidRPr="002B283E">
        <w:rPr>
          <w:rFonts w:cs="Times New Roman"/>
          <w:szCs w:val="24"/>
        </w:rPr>
        <w:t>, 987 F.2d 637, 640 (9th Cir. 1993) (“Because each [</w:t>
      </w:r>
      <w:r w:rsidRPr="002B283E">
        <w:rPr>
          <w:rFonts w:cs="Times New Roman"/>
          <w:i/>
          <w:iCs/>
          <w:szCs w:val="24"/>
        </w:rPr>
        <w:t>Sleekcraft</w:t>
      </w:r>
      <w:r w:rsidRPr="002B283E">
        <w:rPr>
          <w:rFonts w:cs="Times New Roman"/>
          <w:szCs w:val="24"/>
        </w:rPr>
        <w:t xml:space="preserve">] factor is not necessarily relevant to every case, this list functions as a guide and is neither exhaustive nor exclusive.” (citation and internal quotation omitted)), </w:t>
      </w:r>
      <w:r w:rsidRPr="002B283E">
        <w:rPr>
          <w:rFonts w:cs="Times New Roman"/>
          <w:i/>
          <w:iCs/>
          <w:szCs w:val="24"/>
        </w:rPr>
        <w:t>abrogated in part on other grounds by Cooter &amp; Gell</w:t>
      </w:r>
      <w:r w:rsidRPr="002B283E">
        <w:rPr>
          <w:rFonts w:cs="Times New Roman"/>
          <w:i/>
          <w:szCs w:val="24"/>
        </w:rPr>
        <w:t xml:space="preserve"> v. </w:t>
      </w:r>
      <w:r w:rsidRPr="002B283E">
        <w:rPr>
          <w:rFonts w:cs="Times New Roman"/>
          <w:i/>
          <w:iCs/>
          <w:szCs w:val="24"/>
        </w:rPr>
        <w:t>Hartmarx</w:t>
      </w:r>
      <w:r w:rsidRPr="002B283E">
        <w:rPr>
          <w:rFonts w:cs="Times New Roman"/>
          <w:i/>
          <w:szCs w:val="24"/>
        </w:rPr>
        <w:t xml:space="preserve"> Corp.</w:t>
      </w:r>
      <w:r w:rsidRPr="002B283E">
        <w:rPr>
          <w:rFonts w:cs="Times New Roman"/>
          <w:szCs w:val="24"/>
        </w:rPr>
        <w:t>, 496 U.S. 384, 405 (1990).</w:t>
      </w:r>
    </w:p>
    <w:p w14:paraId="0A75C21F" w14:textId="77777777" w:rsidR="00276ADA" w:rsidRPr="002B283E" w:rsidRDefault="00276ADA" w:rsidP="002B283E">
      <w:pPr>
        <w:rPr>
          <w:rFonts w:cs="Times New Roman"/>
          <w:szCs w:val="24"/>
        </w:rPr>
      </w:pPr>
    </w:p>
    <w:p w14:paraId="62A4C7A5" w14:textId="77777777" w:rsidR="00276ADA" w:rsidRPr="002B283E" w:rsidRDefault="00276ADA" w:rsidP="002B283E">
      <w:pPr>
        <w:rPr>
          <w:rFonts w:cs="Times New Roman"/>
          <w:szCs w:val="24"/>
        </w:rPr>
      </w:pPr>
      <w:r w:rsidRPr="002B283E">
        <w:rPr>
          <w:rFonts w:cs="Times New Roman"/>
          <w:szCs w:val="24"/>
        </w:rPr>
        <w:lastRenderedPageBreak/>
        <w:tab/>
        <w:t xml:space="preserve">Moreover, the third paragraph in this instruction warns that a jury should not focus on any one factor and to consider all relevant evidence in assessing likelihood of confusion. </w:t>
      </w:r>
      <w:r w:rsidRPr="002B283E">
        <w:rPr>
          <w:rFonts w:cs="Times New Roman"/>
          <w:i/>
          <w:szCs w:val="24"/>
        </w:rPr>
        <w:t>See Kendall-Jackson Winery Ltd. v. E</w:t>
      </w:r>
      <w:r w:rsidRPr="002B283E">
        <w:rPr>
          <w:rFonts w:cs="Times New Roman"/>
          <w:i/>
          <w:iCs/>
          <w:szCs w:val="24"/>
        </w:rPr>
        <w:t>. &amp;</w:t>
      </w:r>
      <w:r w:rsidRPr="002B283E">
        <w:rPr>
          <w:rFonts w:cs="Times New Roman"/>
          <w:i/>
          <w:szCs w:val="24"/>
        </w:rPr>
        <w:t xml:space="preserve"> J. Gallo Winery</w:t>
      </w:r>
      <w:r w:rsidRPr="002B283E">
        <w:rPr>
          <w:rFonts w:cs="Times New Roman"/>
          <w:szCs w:val="24"/>
        </w:rPr>
        <w:t xml:space="preserve">, 150 F.3d 1042, 1052 n.13 (9th Cir. 1998) (elaborating further on instructions on </w:t>
      </w:r>
      <w:r w:rsidRPr="002B283E">
        <w:rPr>
          <w:rFonts w:cs="Times New Roman"/>
          <w:i/>
          <w:szCs w:val="24"/>
        </w:rPr>
        <w:t>Sleekcraft</w:t>
      </w:r>
      <w:r w:rsidRPr="002B283E">
        <w:rPr>
          <w:rFonts w:cs="Times New Roman"/>
          <w:szCs w:val="24"/>
        </w:rPr>
        <w:t xml:space="preserve"> factors dealing with defendant’s intent to cause confusion and causing actual confusion); </w:t>
      </w:r>
      <w:r w:rsidRPr="002B283E">
        <w:rPr>
          <w:rFonts w:cs="Times New Roman"/>
          <w:i/>
          <w:iCs/>
          <w:szCs w:val="24"/>
        </w:rPr>
        <w:t>Brookfield Commc’ns</w:t>
      </w:r>
      <w:r w:rsidRPr="002B283E">
        <w:rPr>
          <w:rFonts w:cs="Times New Roman"/>
          <w:szCs w:val="24"/>
        </w:rPr>
        <w:t>,</w:t>
      </w:r>
      <w:r w:rsidRPr="002B283E">
        <w:rPr>
          <w:rFonts w:cs="Times New Roman"/>
          <w:i/>
          <w:iCs/>
          <w:szCs w:val="24"/>
        </w:rPr>
        <w:t xml:space="preserve"> </w:t>
      </w:r>
      <w:r w:rsidRPr="002B283E">
        <w:rPr>
          <w:rFonts w:cs="Times New Roman"/>
          <w:szCs w:val="24"/>
        </w:rPr>
        <w:t>174 F.3d at 1054 (“A word of caution: This eight-factor [</w:t>
      </w:r>
      <w:r w:rsidRPr="002B283E">
        <w:rPr>
          <w:rFonts w:cs="Times New Roman"/>
          <w:i/>
          <w:iCs/>
          <w:szCs w:val="24"/>
        </w:rPr>
        <w:t>Sleekcraft</w:t>
      </w:r>
      <w:r w:rsidRPr="002B283E">
        <w:rPr>
          <w:rFonts w:cs="Times New Roman"/>
          <w:szCs w:val="24"/>
        </w:rPr>
        <w:t xml:space="preserve">] test for likelihood of confusion is pliant. Some factors are much more important than others, and the relative importance of each individual factor will be case-specific.”). </w:t>
      </w:r>
    </w:p>
    <w:p w14:paraId="668C0178" w14:textId="77777777" w:rsidR="00276ADA" w:rsidRPr="002B283E" w:rsidRDefault="00276ADA" w:rsidP="002B283E">
      <w:pPr>
        <w:rPr>
          <w:rFonts w:cs="Times New Roman"/>
          <w:szCs w:val="24"/>
        </w:rPr>
      </w:pPr>
    </w:p>
    <w:p w14:paraId="24215474" w14:textId="77777777" w:rsidR="00276ADA" w:rsidRPr="002B283E" w:rsidRDefault="00276ADA" w:rsidP="008A04C2">
      <w:pPr>
        <w:keepNext/>
        <w:ind w:firstLine="720"/>
        <w:rPr>
          <w:rFonts w:cs="Times New Roman"/>
          <w:bCs/>
          <w:szCs w:val="24"/>
        </w:rPr>
      </w:pPr>
      <w:r w:rsidRPr="002B283E">
        <w:rPr>
          <w:rFonts w:cs="Times New Roman"/>
          <w:bCs/>
          <w:szCs w:val="24"/>
        </w:rPr>
        <w:t>Although a plaintiff “should not be automatically penalized for failing to present evidence that is not required,” a jury is</w:t>
      </w:r>
      <w:r w:rsidRPr="002B283E">
        <w:rPr>
          <w:rFonts w:cs="Times New Roman"/>
          <w:szCs w:val="24"/>
        </w:rPr>
        <w:t xml:space="preserve"> “</w:t>
      </w:r>
      <w:r w:rsidRPr="002B283E">
        <w:rPr>
          <w:rFonts w:cs="Times New Roman"/>
          <w:bCs/>
          <w:szCs w:val="24"/>
        </w:rPr>
        <w:t xml:space="preserve">free [to] use its common sense and experience when weighing the evidence offered by the parties, including the absence of a survey supporting [the plaintiff’s] position.” </w:t>
      </w:r>
      <w:r w:rsidRPr="002B283E">
        <w:rPr>
          <w:rFonts w:cs="Times New Roman"/>
          <w:bCs/>
          <w:i/>
          <w:iCs/>
          <w:szCs w:val="24"/>
        </w:rPr>
        <w:t>BillFloat Inc. v. Collins Cash Inc</w:t>
      </w:r>
      <w:r w:rsidRPr="002B283E">
        <w:rPr>
          <w:rFonts w:cs="Times New Roman"/>
          <w:bCs/>
          <w:szCs w:val="24"/>
        </w:rPr>
        <w:t>., 105 F.4th 1269, 1276-77 (9th Cir. 2024) (holding that a district court does not abuse its discretion by declining to instruct the jury, after the defendant offered survey evidence showing the absence of consumer confusion, that the jury “should not draw any inference about the existence or absence of consumer confusion from the fact that Plaintiff did not also offer market survey evidence”).</w:t>
      </w:r>
    </w:p>
    <w:p w14:paraId="2DB1A349" w14:textId="77777777" w:rsidR="00276ADA" w:rsidRPr="002B283E" w:rsidRDefault="00276ADA" w:rsidP="002B283E">
      <w:pPr>
        <w:rPr>
          <w:rFonts w:cs="Times New Roman"/>
          <w:szCs w:val="24"/>
        </w:rPr>
      </w:pPr>
    </w:p>
    <w:p w14:paraId="12D1E364" w14:textId="242AC954"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Domain Names</w:t>
      </w:r>
      <w:r w:rsidRPr="002B283E">
        <w:rPr>
          <w:rFonts w:cs="Times New Roman"/>
          <w:szCs w:val="24"/>
        </w:rPr>
        <w:t xml:space="preserve">. In trademark infringement cases involving domain names, the Ninth Circuit has affirmed the use of an additional instruction indicating that three of the </w:t>
      </w:r>
      <w:r w:rsidRPr="002B283E">
        <w:rPr>
          <w:rFonts w:cs="Times New Roman"/>
          <w:i/>
          <w:szCs w:val="24"/>
        </w:rPr>
        <w:t xml:space="preserve">Sleekcraft </w:t>
      </w:r>
      <w:r w:rsidRPr="002B283E">
        <w:rPr>
          <w:rFonts w:cs="Times New Roman"/>
          <w:szCs w:val="24"/>
        </w:rPr>
        <w:t xml:space="preserve">factors: (i) similarity of plaintiff’s and defendant’s mark; (ii) relatedness of services; and (iii) simultaneous use of the </w:t>
      </w:r>
      <w:r w:rsidR="00412566">
        <w:rPr>
          <w:rFonts w:cs="Times New Roman"/>
          <w:szCs w:val="24"/>
        </w:rPr>
        <w:t xml:space="preserve">Internet </w:t>
      </w:r>
      <w:r w:rsidRPr="002B283E">
        <w:rPr>
          <w:rFonts w:cs="Times New Roman"/>
          <w:szCs w:val="24"/>
        </w:rPr>
        <w:t xml:space="preserve">as a marketing channel, otherwise known as the “Internet Troika,” are of greater importance. </w:t>
      </w:r>
      <w:r w:rsidRPr="002B283E">
        <w:rPr>
          <w:rFonts w:cs="Times New Roman"/>
          <w:i/>
          <w:szCs w:val="24"/>
        </w:rPr>
        <w:t xml:space="preserve">Internet Specialties </w:t>
      </w:r>
      <w:r w:rsidRPr="002B283E">
        <w:rPr>
          <w:rFonts w:cs="Times New Roman"/>
          <w:i/>
          <w:iCs/>
          <w:szCs w:val="24"/>
        </w:rPr>
        <w:t>W.,</w:t>
      </w:r>
      <w:r w:rsidRPr="002B283E">
        <w:rPr>
          <w:rFonts w:cs="Times New Roman"/>
          <w:i/>
          <w:szCs w:val="24"/>
        </w:rPr>
        <w:t xml:space="preserve"> Inc. v. Milon-Digiorgio Enters., Inc.</w:t>
      </w:r>
      <w:r w:rsidRPr="002B283E">
        <w:rPr>
          <w:rFonts w:cs="Times New Roman"/>
          <w:szCs w:val="24"/>
        </w:rPr>
        <w:t xml:space="preserve">, 559 F.3d 985, 989 (9th Cir. 2009) (holding that </w:t>
      </w:r>
      <w:r w:rsidR="00412566">
        <w:rPr>
          <w:rFonts w:cs="Times New Roman"/>
          <w:szCs w:val="24"/>
        </w:rPr>
        <w:t xml:space="preserve">the </w:t>
      </w:r>
      <w:r w:rsidRPr="002B283E">
        <w:rPr>
          <w:rFonts w:cs="Times New Roman"/>
          <w:szCs w:val="24"/>
        </w:rPr>
        <w:t>law of</w:t>
      </w:r>
      <w:r w:rsidR="00412566">
        <w:rPr>
          <w:rFonts w:cs="Times New Roman"/>
          <w:szCs w:val="24"/>
        </w:rPr>
        <w:t xml:space="preserve"> the</w:t>
      </w:r>
      <w:r w:rsidRPr="002B283E">
        <w:rPr>
          <w:rFonts w:cs="Times New Roman"/>
          <w:szCs w:val="24"/>
        </w:rPr>
        <w:t xml:space="preserve"> Ninth Circuit “places greater import on the ‘Internet Troika’ in Internet cases”).</w:t>
      </w:r>
    </w:p>
    <w:p w14:paraId="190D2BD4" w14:textId="77777777" w:rsidR="00276ADA" w:rsidRPr="002B283E" w:rsidRDefault="00276ADA" w:rsidP="002B283E">
      <w:pPr>
        <w:rPr>
          <w:rFonts w:cs="Times New Roman"/>
          <w:szCs w:val="24"/>
        </w:rPr>
      </w:pPr>
    </w:p>
    <w:p w14:paraId="295715D8" w14:textId="21B35E11" w:rsidR="00276ADA" w:rsidRDefault="00276ADA" w:rsidP="002B283E">
      <w:pPr>
        <w:ind w:firstLine="720"/>
        <w:rPr>
          <w:rFonts w:cs="Times New Roman"/>
          <w:szCs w:val="24"/>
        </w:rPr>
      </w:pPr>
      <w:r w:rsidRPr="002B283E">
        <w:rPr>
          <w:rFonts w:cs="Times New Roman"/>
          <w:i/>
          <w:iCs/>
          <w:szCs w:val="24"/>
        </w:rPr>
        <w:t>Relevant Consumer Market.</w:t>
      </w:r>
      <w:r w:rsidRPr="002B283E">
        <w:rPr>
          <w:rFonts w:cs="Times New Roman"/>
          <w:szCs w:val="24"/>
        </w:rPr>
        <w:t xml:space="preserve"> In </w:t>
      </w:r>
      <w:r w:rsidRPr="002B283E">
        <w:rPr>
          <w:rFonts w:cs="Times New Roman"/>
          <w:i/>
          <w:iCs/>
          <w:szCs w:val="24"/>
        </w:rPr>
        <w:t>Rearden</w:t>
      </w:r>
      <w:r w:rsidRPr="002B283E">
        <w:rPr>
          <w:rFonts w:cs="Times New Roman"/>
          <w:szCs w:val="24"/>
        </w:rPr>
        <w:t xml:space="preserve"> </w:t>
      </w:r>
      <w:r w:rsidRPr="002B283E">
        <w:rPr>
          <w:rFonts w:cs="Times New Roman"/>
          <w:i/>
          <w:iCs/>
          <w:szCs w:val="24"/>
        </w:rPr>
        <w:t>LLC v. Rearden Commerce, Inc.</w:t>
      </w:r>
      <w:r w:rsidRPr="002B283E">
        <w:rPr>
          <w:rFonts w:cs="Times New Roman"/>
          <w:szCs w:val="24"/>
        </w:rPr>
        <w:t xml:space="preserve">, 683 F.3d 1190 (9th Cir. 2012), the Ninth Circuit assessed the relevant market as it examined one of the </w:t>
      </w:r>
      <w:r w:rsidRPr="002B283E">
        <w:rPr>
          <w:rFonts w:cs="Times New Roman"/>
          <w:i/>
          <w:iCs/>
          <w:szCs w:val="24"/>
        </w:rPr>
        <w:t>Sleekcraft</w:t>
      </w:r>
      <w:r w:rsidRPr="002B283E">
        <w:rPr>
          <w:rFonts w:cs="Times New Roman"/>
          <w:szCs w:val="24"/>
        </w:rPr>
        <w:t xml:space="preserve"> factors—evidence of actual confusion. 683 F.3d at 1214. This instruction does not ask the jury or the court to first define the relevant consumer market before proceeding to the </w:t>
      </w:r>
      <w:r w:rsidRPr="002B283E">
        <w:rPr>
          <w:rFonts w:cs="Times New Roman"/>
          <w:i/>
          <w:iCs/>
          <w:szCs w:val="24"/>
        </w:rPr>
        <w:t>Sleekcraft</w:t>
      </w:r>
      <w:r w:rsidRPr="002B283E">
        <w:rPr>
          <w:rFonts w:cs="Times New Roman"/>
          <w:szCs w:val="24"/>
        </w:rPr>
        <w:t xml:space="preserve"> factors; </w:t>
      </w:r>
      <w:r w:rsidRPr="002B283E">
        <w:rPr>
          <w:rFonts w:cs="Times New Roman"/>
          <w:i/>
          <w:iCs/>
          <w:szCs w:val="24"/>
        </w:rPr>
        <w:t>but see Ironhawk Techs., Inc. v. Dropbox</w:t>
      </w:r>
      <w:r w:rsidR="00412566">
        <w:rPr>
          <w:rFonts w:cs="Times New Roman"/>
          <w:szCs w:val="24"/>
        </w:rPr>
        <w:t>,</w:t>
      </w:r>
      <w:r w:rsidRPr="002B283E">
        <w:rPr>
          <w:rFonts w:cs="Times New Roman"/>
          <w:szCs w:val="24"/>
        </w:rPr>
        <w:t xml:space="preserve"> 2 F.4th 1150 (9th Cir. 2021).</w:t>
      </w:r>
    </w:p>
    <w:p w14:paraId="169E4248" w14:textId="77777777" w:rsidR="000344D8" w:rsidRPr="002B283E" w:rsidRDefault="000344D8" w:rsidP="002B283E">
      <w:pPr>
        <w:ind w:firstLine="720"/>
        <w:rPr>
          <w:rFonts w:cs="Times New Roman"/>
          <w:i/>
          <w:iCs/>
          <w:szCs w:val="24"/>
        </w:rPr>
      </w:pPr>
    </w:p>
    <w:p w14:paraId="7436BE41" w14:textId="77777777" w:rsidR="000344D8" w:rsidRPr="000344D8" w:rsidRDefault="000344D8" w:rsidP="000344D8">
      <w:pPr>
        <w:ind w:firstLine="720"/>
        <w:rPr>
          <w:rFonts w:eastAsia="Calibri" w:cs="Times New Roman"/>
          <w:szCs w:val="24"/>
        </w:rPr>
      </w:pPr>
      <w:r w:rsidRPr="000344D8">
        <w:rPr>
          <w:rFonts w:eastAsia="Calibri" w:cs="Times New Roman"/>
          <w:szCs w:val="24"/>
        </w:rPr>
        <w:t xml:space="preserve">In </w:t>
      </w:r>
      <w:r w:rsidRPr="000344D8">
        <w:rPr>
          <w:rFonts w:eastAsia="Calibri" w:cs="Times New Roman"/>
          <w:i/>
          <w:iCs/>
          <w:szCs w:val="24"/>
        </w:rPr>
        <w:t>Doctor’s Best, Inc. v. Nature’s Way Products, LLC</w:t>
      </w:r>
      <w:r w:rsidRPr="000344D8">
        <w:rPr>
          <w:rFonts w:eastAsia="Calibri" w:cs="Times New Roman"/>
          <w:szCs w:val="24"/>
        </w:rPr>
        <w:t xml:space="preserve">, Doctor’s Best owned an international trademark for Nature’s Day, a line of nutritional supplements. Doctor’s Best manufactured Nature’s Day products in California but sold and marketed them to consumers in Asia. The “sole domestic ‘use in commerce’” of Nature’s Day products was “the transport of products bearing the mark from a California manufacturing facility to overseas markets.” </w:t>
      </w:r>
      <w:r w:rsidRPr="000344D8">
        <w:rPr>
          <w:rFonts w:eastAsia="Calibri" w:cs="Times New Roman"/>
          <w:i/>
          <w:iCs/>
          <w:szCs w:val="24"/>
        </w:rPr>
        <w:t>Doctor’s Best,</w:t>
      </w:r>
      <w:r w:rsidRPr="000344D8">
        <w:rPr>
          <w:rFonts w:eastAsia="Calibri" w:cs="Times New Roman"/>
          <w:szCs w:val="24"/>
        </w:rPr>
        <w:t xml:space="preserve"> </w:t>
      </w:r>
      <w:r w:rsidRPr="000344D8">
        <w:rPr>
          <w:rFonts w:eastAsia="Calibri" w:cs="Times New Roman"/>
          <w:i/>
          <w:iCs/>
          <w:szCs w:val="24"/>
        </w:rPr>
        <w:t>Inc. v. Nature’s Way Products, LLC</w:t>
      </w:r>
      <w:r w:rsidRPr="000344D8">
        <w:rPr>
          <w:rFonts w:eastAsia="Calibri" w:cs="Times New Roman"/>
          <w:szCs w:val="24"/>
        </w:rPr>
        <w:t>, 143 F.4th 1101, 1105 (9th Cir. 2025)</w:t>
      </w:r>
      <w:r w:rsidRPr="000344D8">
        <w:rPr>
          <w:rFonts w:eastAsia="Calibri" w:cs="Times New Roman"/>
          <w:i/>
          <w:iCs/>
          <w:szCs w:val="24"/>
        </w:rPr>
        <w:t xml:space="preserve">. </w:t>
      </w:r>
      <w:r w:rsidRPr="000344D8">
        <w:rPr>
          <w:rFonts w:eastAsia="Calibri" w:cs="Times New Roman"/>
          <w:szCs w:val="24"/>
        </w:rPr>
        <w:t xml:space="preserve">After Nature’s Way sent Doctor’s Best a cease-and-desist letter, Doctor’s Best sought a declaratory judgment of non-infringement. On review of the district court’s grant of summary judgment to Doctor’s Best, the Ninth Circuit assessed whether Nature’s Day domestic activities created a likelihood of consumer confusion, holding that “a reasonable jury could not conclude that consumer confusion is likely, in large part because there is no material overlap in the marketing channels used to promote Nature’s Way and Nature’s Day products.” </w:t>
      </w:r>
      <w:r w:rsidRPr="000344D8">
        <w:rPr>
          <w:rFonts w:eastAsia="Calibri" w:cs="Times New Roman"/>
          <w:i/>
          <w:iCs/>
          <w:szCs w:val="24"/>
        </w:rPr>
        <w:t>Id.</w:t>
      </w:r>
      <w:r w:rsidRPr="000344D8">
        <w:rPr>
          <w:rFonts w:eastAsia="Calibri" w:cs="Times New Roman"/>
          <w:szCs w:val="24"/>
        </w:rPr>
        <w:t xml:space="preserve"> at 1111. Further, the Ninth Circuit held that “a rational jury could not find a strong possibility of expansion into the </w:t>
      </w:r>
      <w:r w:rsidRPr="000344D8">
        <w:rPr>
          <w:rFonts w:eastAsia="Calibri" w:cs="Times New Roman"/>
          <w:szCs w:val="24"/>
        </w:rPr>
        <w:lastRenderedPageBreak/>
        <w:t xml:space="preserve">U.S. market given DB’S [Doctor’s Best] undisputed evidence of its foreign marketing and business intentions.” </w:t>
      </w:r>
      <w:r w:rsidRPr="000344D8">
        <w:rPr>
          <w:rFonts w:eastAsia="Calibri" w:cs="Times New Roman"/>
          <w:i/>
          <w:iCs/>
          <w:szCs w:val="24"/>
        </w:rPr>
        <w:t>Id.</w:t>
      </w:r>
      <w:r w:rsidRPr="000344D8">
        <w:rPr>
          <w:rFonts w:eastAsia="Calibri" w:cs="Times New Roman"/>
          <w:szCs w:val="24"/>
        </w:rPr>
        <w:t xml:space="preserve"> As such, “the absence of evidence of (1) overlapping marketing channels or (2) a strong possibility of expansion [was] sufficient to support the district court's ruling on the likelihood of consumer confusion.” </w:t>
      </w:r>
      <w:r w:rsidRPr="000344D8">
        <w:rPr>
          <w:rFonts w:eastAsia="Calibri" w:cs="Times New Roman"/>
          <w:i/>
          <w:iCs/>
          <w:szCs w:val="24"/>
        </w:rPr>
        <w:t>Id.</w:t>
      </w:r>
      <w:r w:rsidRPr="000344D8">
        <w:rPr>
          <w:rFonts w:eastAsia="Calibri" w:cs="Times New Roman"/>
          <w:szCs w:val="24"/>
        </w:rPr>
        <w:t xml:space="preserve"> at 1111 n.4. </w:t>
      </w:r>
    </w:p>
    <w:p w14:paraId="0CEDD14B" w14:textId="77777777" w:rsidR="00276ADA" w:rsidRPr="002B283E" w:rsidRDefault="00276ADA" w:rsidP="002B283E">
      <w:pPr>
        <w:ind w:firstLine="720"/>
        <w:rPr>
          <w:rFonts w:cs="Times New Roman"/>
          <w:szCs w:val="24"/>
        </w:rPr>
      </w:pPr>
    </w:p>
    <w:p w14:paraId="1A82EB36"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Counterfeit Marks</w:t>
      </w:r>
      <w:r w:rsidRPr="002B283E">
        <w:rPr>
          <w:rFonts w:cs="Times New Roman"/>
          <w:szCs w:val="24"/>
        </w:rPr>
        <w:t xml:space="preserve">. There is a presumption of a likelihood of confusion “when the offending mark is a counterfeit mark, or a mark virtually identical to a previously registered mark coupled with the intent to pass off or borrow from established good will.”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945 (9th Cir. 2011) (approving instruction). A counterfeit mark is “a counterfeit of a mark that is registered . . . , whether or not the person against whom relief is sought knew such mark was so registered.” </w:t>
      </w:r>
      <w:r w:rsidRPr="002B283E">
        <w:rPr>
          <w:rFonts w:cs="Times New Roman"/>
          <w:i/>
          <w:szCs w:val="24"/>
        </w:rPr>
        <w:t xml:space="preserve">Id. </w:t>
      </w:r>
      <w:r w:rsidRPr="002B283E">
        <w:rPr>
          <w:rFonts w:cs="Times New Roman"/>
          <w:szCs w:val="24"/>
        </w:rPr>
        <w:t>(quoting 15 U.S.C. § 1116(d)(1)(B)(i)).</w:t>
      </w:r>
    </w:p>
    <w:p w14:paraId="2B863C9A" w14:textId="77777777" w:rsidR="00276ADA" w:rsidRPr="002B283E" w:rsidRDefault="00276ADA" w:rsidP="002B283E">
      <w:pPr>
        <w:rPr>
          <w:rFonts w:cs="Times New Roman"/>
          <w:szCs w:val="24"/>
        </w:rPr>
      </w:pPr>
    </w:p>
    <w:p w14:paraId="57CFAC72"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Reverse Confusion</w:t>
      </w:r>
      <w:r w:rsidRPr="002B283E">
        <w:rPr>
          <w:rFonts w:cs="Times New Roman"/>
          <w:szCs w:val="24"/>
        </w:rPr>
        <w:t xml:space="preserve">. 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r w:rsidRPr="002B283E">
        <w:rPr>
          <w:rFonts w:cs="Times New Roman"/>
          <w:i/>
          <w:szCs w:val="24"/>
        </w:rPr>
        <w:t xml:space="preserve">Marketquest </w:t>
      </w:r>
      <w:r w:rsidRPr="002B283E">
        <w:rPr>
          <w:rFonts w:cs="Times New Roman"/>
          <w:i/>
          <w:iCs/>
          <w:szCs w:val="24"/>
        </w:rPr>
        <w:t>Grp.,</w:t>
      </w:r>
      <w:r w:rsidRPr="002B283E">
        <w:rPr>
          <w:rFonts w:cs="Times New Roman"/>
          <w:i/>
          <w:szCs w:val="24"/>
        </w:rPr>
        <w:t xml:space="preserve"> Inc. v. BIC Corp</w:t>
      </w:r>
      <w:r w:rsidRPr="002B283E">
        <w:rPr>
          <w:rFonts w:cs="Times New Roman"/>
          <w:szCs w:val="24"/>
        </w:rPr>
        <w:t>., 862 F.3d 927, 932, 937 (9th Cir. 2017);</w:t>
      </w:r>
      <w:r w:rsidRPr="002B283E">
        <w:rPr>
          <w:rFonts w:cs="Times New Roman"/>
          <w:i/>
          <w:szCs w:val="24"/>
        </w:rPr>
        <w:t xml:space="preserve"> see also Ironhawk Techs.</w:t>
      </w:r>
      <w:r w:rsidRPr="002B283E">
        <w:rPr>
          <w:rFonts w:cs="Times New Roman"/>
          <w:szCs w:val="24"/>
        </w:rPr>
        <w:t>,</w:t>
      </w:r>
      <w:r w:rsidRPr="002B283E">
        <w:rPr>
          <w:rFonts w:cs="Times New Roman"/>
          <w:i/>
          <w:szCs w:val="24"/>
        </w:rPr>
        <w:t xml:space="preserve"> </w:t>
      </w:r>
      <w:r w:rsidRPr="002B283E">
        <w:rPr>
          <w:rFonts w:cs="Times New Roman"/>
          <w:szCs w:val="24"/>
        </w:rPr>
        <w:t xml:space="preserve">2 F.4th at 1165 (“Evidence of actual confusion by consumers is strong evidence of likelihood of confusion.” Nevertheless, “failure to prove instances of actual confusion is not dispositive.” (citations omitted)). </w:t>
      </w:r>
    </w:p>
    <w:p w14:paraId="55177CB6" w14:textId="77777777" w:rsidR="00276ADA" w:rsidRPr="002B283E" w:rsidRDefault="00276ADA" w:rsidP="002B283E">
      <w:pPr>
        <w:rPr>
          <w:rFonts w:cs="Times New Roman"/>
          <w:szCs w:val="24"/>
        </w:rPr>
      </w:pPr>
    </w:p>
    <w:p w14:paraId="49008012" w14:textId="6603B955" w:rsidR="006A4CD7" w:rsidRPr="002B283E" w:rsidRDefault="00276ADA" w:rsidP="002B283E">
      <w:pPr>
        <w:jc w:val="right"/>
        <w:rPr>
          <w:rFonts w:cs="Times New Roman"/>
          <w:szCs w:val="24"/>
        </w:rPr>
      </w:pPr>
      <w:r w:rsidRPr="002B283E">
        <w:rPr>
          <w:rFonts w:cs="Times New Roman"/>
          <w:i/>
          <w:iCs/>
          <w:szCs w:val="24"/>
        </w:rPr>
        <w:t>Revised September 2024</w:t>
      </w:r>
    </w:p>
    <w:p w14:paraId="680C48E4" w14:textId="2B2BD7FD" w:rsidR="00540EBB" w:rsidRPr="002B283E" w:rsidRDefault="006A4CD7" w:rsidP="002B283E">
      <w:pPr>
        <w:pStyle w:val="Heading2"/>
      </w:pPr>
      <w:r w:rsidRPr="002B283E">
        <w:br w:type="page"/>
      </w:r>
      <w:bookmarkStart w:id="358" w:name="_Toc221525285"/>
      <w:r w:rsidR="00540EBB" w:rsidRPr="002B283E">
        <w:rPr>
          <w:highlight w:val="white"/>
        </w:rPr>
        <w:lastRenderedPageBreak/>
        <w:t xml:space="preserve">15.19 </w:t>
      </w:r>
      <w:r w:rsidR="00540EBB" w:rsidRPr="002B283E">
        <w:t>Infringement—Likelihood of Confusion—</w:t>
      </w:r>
      <w:r w:rsidR="00540EBB" w:rsidRPr="002B283E">
        <w:rPr>
          <w:i/>
          <w:iCs/>
        </w:rPr>
        <w:t xml:space="preserve">Sleekcraft </w:t>
      </w:r>
      <w:r w:rsidR="00540EBB" w:rsidRPr="002B283E">
        <w:t>Factor 1—Strength or Weakness of the Plaintiff’s Mark</w:t>
      </w:r>
      <w:bookmarkEnd w:id="358"/>
    </w:p>
    <w:p w14:paraId="3A554133" w14:textId="77777777" w:rsidR="00540EBB" w:rsidRPr="002B283E" w:rsidRDefault="00540EBB" w:rsidP="002B283E">
      <w:pPr>
        <w:jc w:val="center"/>
        <w:rPr>
          <w:rFonts w:cs="Times New Roman"/>
          <w:szCs w:val="24"/>
        </w:rPr>
      </w:pPr>
    </w:p>
    <w:p w14:paraId="73B30A5B" w14:textId="2AD61AB2" w:rsidR="00540EBB" w:rsidRPr="002B283E" w:rsidRDefault="00540EBB" w:rsidP="002B283E">
      <w:pPr>
        <w:rPr>
          <w:rFonts w:cs="Times New Roman"/>
          <w:szCs w:val="24"/>
        </w:rPr>
      </w:pPr>
      <w:r w:rsidRPr="002B283E">
        <w:rPr>
          <w:rFonts w:cs="Times New Roman"/>
          <w:szCs w:val="24"/>
        </w:rPr>
        <w:tab/>
      </w:r>
      <w:bookmarkStart w:id="359" w:name="_Hlk165711365"/>
      <w:r w:rsidRPr="002B283E">
        <w:rPr>
          <w:rFonts w:cs="Times New Roman"/>
          <w:szCs w:val="24"/>
        </w:rPr>
        <w:t xml:space="preserve">As I have instructed you, one factor to consider in determining whether the trademark used by the defendant </w:t>
      </w:r>
      <w:r w:rsidR="00351D0C">
        <w:rPr>
          <w:rFonts w:cs="Times New Roman"/>
          <w:szCs w:val="24"/>
        </w:rPr>
        <w:t>[</w:t>
      </w:r>
      <w:r w:rsidR="00351D0C" w:rsidRPr="008A04C2">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is the strength of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The strength of the trademark is determined by its distinctiveness and recognition in the marketplace.</w:t>
      </w:r>
      <w:bookmarkEnd w:id="359"/>
      <w:r w:rsidRPr="002B283E">
        <w:rPr>
          <w:rFonts w:cs="Times New Roman"/>
          <w:szCs w:val="24"/>
        </w:rPr>
        <w:t xml:space="preserve"> How strongly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 xml:space="preserve">’s trademark indicates that the goods or services come from a particular source is an important factor to consider in determining whether the trademark used by the defendant </w:t>
      </w:r>
      <w:r w:rsidR="00351D0C">
        <w:rPr>
          <w:rFonts w:cs="Times New Roman"/>
          <w:szCs w:val="24"/>
        </w:rPr>
        <w:t>[</w:t>
      </w:r>
      <w:r w:rsidR="00351D0C" w:rsidRPr="00382C45">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w:t>
      </w:r>
    </w:p>
    <w:p w14:paraId="36A1342E" w14:textId="77777777" w:rsidR="00540EBB" w:rsidRPr="002B283E" w:rsidRDefault="00540EBB" w:rsidP="002B283E">
      <w:pPr>
        <w:rPr>
          <w:rFonts w:cs="Times New Roman"/>
          <w:szCs w:val="24"/>
        </w:rPr>
      </w:pPr>
    </w:p>
    <w:p w14:paraId="615B8A92" w14:textId="77777777" w:rsidR="00540EBB" w:rsidRPr="002B283E" w:rsidRDefault="00540EBB" w:rsidP="002B283E">
      <w:pPr>
        <w:jc w:val="center"/>
        <w:rPr>
          <w:rFonts w:cs="Times New Roman"/>
          <w:szCs w:val="24"/>
        </w:rPr>
      </w:pPr>
      <w:r w:rsidRPr="002B283E">
        <w:rPr>
          <w:rFonts w:cs="Times New Roman"/>
          <w:b/>
          <w:szCs w:val="24"/>
        </w:rPr>
        <w:t>The Strength of Marks</w:t>
      </w:r>
    </w:p>
    <w:p w14:paraId="0FDFF648" w14:textId="77777777" w:rsidR="00540EBB" w:rsidRPr="002B283E" w:rsidRDefault="00540EBB" w:rsidP="002B283E">
      <w:pPr>
        <w:rPr>
          <w:rFonts w:cs="Times New Roman"/>
          <w:szCs w:val="24"/>
        </w:rPr>
      </w:pPr>
    </w:p>
    <w:p w14:paraId="1DF7E992" w14:textId="77777777" w:rsidR="00540EBB" w:rsidRPr="002B283E" w:rsidRDefault="00540EBB" w:rsidP="002B283E">
      <w:pPr>
        <w:rPr>
          <w:rFonts w:cs="Times New Roman"/>
          <w:szCs w:val="24"/>
        </w:rPr>
      </w:pPr>
      <w:r w:rsidRPr="002B283E">
        <w:rPr>
          <w:rFonts w:cs="Times New Roman"/>
          <w:szCs w:val="24"/>
        </w:rPr>
        <w:tab/>
        <w:t xml:space="preserve">The strength of a trademark is determined by its distinctiveness and recognition in the marketplace. The stronger a mark is, the greater the scope of protection the law provides. Measuring the strength of a trademark requires two steps. </w:t>
      </w:r>
    </w:p>
    <w:p w14:paraId="4AC84F78" w14:textId="77777777" w:rsidR="00540EBB" w:rsidRPr="002B283E" w:rsidRDefault="00540EBB" w:rsidP="002B283E">
      <w:pPr>
        <w:rPr>
          <w:rFonts w:cs="Times New Roman"/>
          <w:szCs w:val="24"/>
        </w:rPr>
      </w:pPr>
    </w:p>
    <w:p w14:paraId="019D88BD" w14:textId="77777777" w:rsidR="00540EBB" w:rsidRPr="002B283E" w:rsidRDefault="00540EBB" w:rsidP="008A04C2">
      <w:pPr>
        <w:ind w:firstLine="720"/>
        <w:rPr>
          <w:rFonts w:cs="Times New Roman"/>
          <w:szCs w:val="24"/>
        </w:rPr>
      </w:pPr>
      <w:r w:rsidRPr="002B283E">
        <w:rPr>
          <w:rFonts w:cs="Times New Roman"/>
          <w:szCs w:val="24"/>
        </w:rPr>
        <w:t xml:space="preserve">First, consider its </w:t>
      </w:r>
      <w:r w:rsidRPr="002B283E">
        <w:rPr>
          <w:rFonts w:cs="Times New Roman"/>
          <w:b/>
          <w:bCs/>
          <w:szCs w:val="24"/>
        </w:rPr>
        <w:t>conceptual strength</w:t>
      </w:r>
      <w:r w:rsidRPr="002B283E">
        <w:rPr>
          <w:rFonts w:cs="Times New Roman"/>
          <w:szCs w:val="24"/>
        </w:rPr>
        <w:t xml:space="preserve">. This is where the mark is placed on the spectrum of distinctiveness of marks. </w:t>
      </w:r>
    </w:p>
    <w:p w14:paraId="13935B7B" w14:textId="77777777" w:rsidR="00540EBB" w:rsidRPr="002B283E" w:rsidRDefault="00540EBB" w:rsidP="008A04C2">
      <w:pPr>
        <w:ind w:firstLine="720"/>
        <w:rPr>
          <w:rFonts w:cs="Times New Roman"/>
          <w:szCs w:val="24"/>
        </w:rPr>
      </w:pPr>
    </w:p>
    <w:p w14:paraId="17294698" w14:textId="77777777" w:rsidR="00540EBB" w:rsidRPr="002B283E" w:rsidRDefault="00540EBB" w:rsidP="008A04C2">
      <w:pPr>
        <w:ind w:firstLine="720"/>
        <w:rPr>
          <w:rFonts w:cs="Times New Roman"/>
          <w:szCs w:val="24"/>
        </w:rPr>
      </w:pPr>
      <w:r w:rsidRPr="002B283E">
        <w:rPr>
          <w:rFonts w:cs="Times New Roman"/>
          <w:szCs w:val="24"/>
        </w:rPr>
        <w:t xml:space="preserve">Second, consider the trademark’s </w:t>
      </w:r>
      <w:r w:rsidRPr="002B283E">
        <w:rPr>
          <w:rFonts w:cs="Times New Roman"/>
          <w:b/>
          <w:bCs/>
          <w:szCs w:val="24"/>
        </w:rPr>
        <w:t>commercial strength</w:t>
      </w:r>
      <w:r w:rsidRPr="002B283E">
        <w:rPr>
          <w:rFonts w:cs="Times New Roman"/>
          <w:szCs w:val="24"/>
        </w:rPr>
        <w:t>. This is how much marketplace recognition the mark has.</w:t>
      </w:r>
      <w:r w:rsidRPr="002B283E">
        <w:rPr>
          <w:rFonts w:cs="Times New Roman"/>
          <w:b/>
          <w:bCs/>
          <w:szCs w:val="24"/>
        </w:rPr>
        <w:tab/>
      </w:r>
    </w:p>
    <w:p w14:paraId="2585EA15" w14:textId="77777777" w:rsidR="00540EBB" w:rsidRPr="002B283E" w:rsidRDefault="00540EBB" w:rsidP="002B283E">
      <w:pPr>
        <w:rPr>
          <w:rFonts w:cs="Times New Roman"/>
          <w:szCs w:val="24"/>
        </w:rPr>
      </w:pPr>
    </w:p>
    <w:p w14:paraId="1D71F3F2" w14:textId="15DD4C5E"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Conceptual Strength</w:t>
      </w:r>
      <w:r w:rsidRPr="002B283E">
        <w:rPr>
          <w:rFonts w:cs="Times New Roman"/>
          <w:szCs w:val="24"/>
        </w:rPr>
        <w:t>: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consumers’ minds by becoming known as an indication of source of goods or services. The law calls this “secondary meaning.” [</w:t>
      </w:r>
      <w:r w:rsidRPr="002B283E">
        <w:rPr>
          <w:rFonts w:cs="Times New Roman"/>
          <w:i/>
          <w:szCs w:val="24"/>
        </w:rPr>
        <w:t>See</w:t>
      </w:r>
      <w:r w:rsidRPr="002B283E">
        <w:rPr>
          <w:rFonts w:cs="Times New Roman"/>
          <w:szCs w:val="24"/>
        </w:rPr>
        <w:t xml:space="preserve"> Instruction 15.11 (Infringement—Elements—Validity—Distinctiveness—Secondary Meaning). If the plaintiff’s mark is determined to be inherently distinctive, there will be no need to instruct the jury on acquiring a secondary meaning for the mark.]</w:t>
      </w:r>
    </w:p>
    <w:p w14:paraId="37A8519C" w14:textId="77777777" w:rsidR="00540EBB" w:rsidRPr="002B283E" w:rsidRDefault="00540EBB" w:rsidP="002B283E">
      <w:pPr>
        <w:rPr>
          <w:rFonts w:cs="Times New Roman"/>
          <w:szCs w:val="24"/>
        </w:rPr>
      </w:pPr>
    </w:p>
    <w:p w14:paraId="4F4FA2D4" w14:textId="77777777" w:rsidR="00540EBB" w:rsidRPr="002B283E" w:rsidRDefault="00540EBB" w:rsidP="002B283E">
      <w:pPr>
        <w:rPr>
          <w:rFonts w:cs="Times New Roman"/>
          <w:szCs w:val="24"/>
        </w:rPr>
      </w:pPr>
      <w:r w:rsidRPr="002B283E">
        <w:rPr>
          <w:rFonts w:cs="Times New Roman"/>
          <w:szCs w:val="24"/>
        </w:rPr>
        <w:tab/>
        <w:t xml:space="preserve">For determining the conceptual strength of a mark, trademarks are grouped on a spectrum according to the nature of the mark. In the spectrum, there are three categories of word marks </w:t>
      </w:r>
    </w:p>
    <w:p w14:paraId="3D267662" w14:textId="77777777" w:rsidR="00540EBB" w:rsidRPr="002B283E" w:rsidRDefault="00540EBB" w:rsidP="002B283E">
      <w:pPr>
        <w:rPr>
          <w:rFonts w:cs="Times New Roman"/>
          <w:szCs w:val="24"/>
        </w:rPr>
      </w:pPr>
      <w:r w:rsidRPr="002B283E">
        <w:rPr>
          <w:rFonts w:cs="Times New Roman"/>
          <w:szCs w:val="24"/>
        </w:rPr>
        <w:t>that the law regards as being inherently distinctive: arbitrary, fanciful (or coined), and suggestive. Descriptive word marks are regarded as not being inherently distinctive and require a secondary meaning to become a valid trademark. Finally, generic names have no conceptual strength.</w:t>
      </w:r>
    </w:p>
    <w:p w14:paraId="07985F81" w14:textId="77777777" w:rsidR="00540EBB" w:rsidRPr="002B283E" w:rsidRDefault="00540EBB" w:rsidP="002B283E">
      <w:pPr>
        <w:rPr>
          <w:rFonts w:cs="Times New Roman"/>
          <w:szCs w:val="24"/>
        </w:rPr>
      </w:pPr>
    </w:p>
    <w:p w14:paraId="7B94796E"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Arbitrary </w:t>
      </w:r>
      <w:r w:rsidRPr="002B283E">
        <w:rPr>
          <w:rFonts w:cs="Times New Roman"/>
          <w:szCs w:val="24"/>
        </w:rPr>
        <w:t>marks are words that in no way describe or suggest the nature of the goods or services with which they are used. For example, “apple” is a common word, but it does not describe or suggest anything about the nature of “Apple” brand computers or smart phones. It is an arbitrary word when used as a mark on those products. Arbitrary trademarks are regarded as conceptually strong marks.</w:t>
      </w:r>
    </w:p>
    <w:p w14:paraId="0A035931" w14:textId="77777777" w:rsidR="00540EBB" w:rsidRPr="002B283E" w:rsidRDefault="00540EBB" w:rsidP="002B283E">
      <w:pPr>
        <w:rPr>
          <w:rFonts w:cs="Times New Roman"/>
          <w:szCs w:val="24"/>
        </w:rPr>
      </w:pPr>
    </w:p>
    <w:p w14:paraId="3D815364"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Fanciful (or Coined)</w:t>
      </w:r>
      <w:r w:rsidRPr="002B283E">
        <w:rPr>
          <w:rFonts w:cs="Times New Roman"/>
          <w:szCs w:val="24"/>
        </w:rPr>
        <w:t xml:space="preserve"> marks are words that are created solely to serve as trademarks. For example, “Clorox” and “Exxon” are coined marks for cleaning products and gasoline, respectively. Fanciful trademarks are regarded as conceptually strong marks and are equal to arbitrary marks in conceptual strength. </w:t>
      </w:r>
    </w:p>
    <w:p w14:paraId="2568EBB6" w14:textId="77777777" w:rsidR="00540EBB" w:rsidRPr="002B283E" w:rsidRDefault="00540EBB" w:rsidP="002B283E">
      <w:pPr>
        <w:rPr>
          <w:rFonts w:cs="Times New Roman"/>
          <w:szCs w:val="24"/>
        </w:rPr>
      </w:pPr>
    </w:p>
    <w:p w14:paraId="45276A6D" w14:textId="65C77C53"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Suggestive </w:t>
      </w:r>
      <w:r w:rsidRPr="002B283E">
        <w:rPr>
          <w:rFonts w:cs="Times New Roman"/>
          <w:szCs w:val="24"/>
        </w:rPr>
        <w:t xml:space="preserve">word marks are not as conceptually strong as arbitrary or fanciful marks. Suggestive trademarks suggest some characteristic or quality of the goods or services with which they are used. If the consumer must use her imagination or think through a series of steps to understand what the trademark is telling about the product, then the trademark does not directly describe the product’s features but merely suggests them. For example, the trademark “Tail Wagger”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142AB21D" w14:textId="77777777" w:rsidR="00540EBB" w:rsidRPr="002B283E" w:rsidRDefault="00540EBB" w:rsidP="002B283E">
      <w:pPr>
        <w:rPr>
          <w:rFonts w:cs="Times New Roman"/>
          <w:szCs w:val="24"/>
        </w:rPr>
      </w:pPr>
    </w:p>
    <w:p w14:paraId="44FFC632"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Descriptive</w:t>
      </w:r>
      <w:r w:rsidRPr="002B283E">
        <w:rPr>
          <w:rFonts w:cs="Times New Roman"/>
          <w:szCs w:val="24"/>
        </w:rPr>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“Tomapple” to designate a tomato-apple juice. It directly describes one of the ingredients of the juice.</w:t>
      </w:r>
    </w:p>
    <w:p w14:paraId="236346D4" w14:textId="77777777" w:rsidR="00540EBB" w:rsidRPr="002B283E" w:rsidRDefault="00540EBB" w:rsidP="002B283E">
      <w:pPr>
        <w:rPr>
          <w:rFonts w:cs="Times New Roman"/>
          <w:szCs w:val="24"/>
        </w:rPr>
      </w:pPr>
    </w:p>
    <w:p w14:paraId="32A1049D" w14:textId="77777777" w:rsidR="00540EBB" w:rsidRPr="002B283E" w:rsidRDefault="00540EBB" w:rsidP="002B283E">
      <w:pPr>
        <w:ind w:firstLine="720"/>
        <w:rPr>
          <w:rFonts w:cs="Times New Roman"/>
          <w:szCs w:val="24"/>
        </w:rPr>
      </w:pPr>
      <w:r w:rsidRPr="002B283E">
        <w:rPr>
          <w:rFonts w:cs="Times New Roman"/>
          <w:b/>
          <w:szCs w:val="24"/>
        </w:rPr>
        <w:t>Generic Names</w:t>
      </w:r>
      <w:r w:rsidRPr="002B283E">
        <w:rPr>
          <w:rFonts w:cs="Times New Roman"/>
          <w:szCs w:val="24"/>
        </w:rPr>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663ACD74" w14:textId="77777777" w:rsidR="00540EBB" w:rsidRPr="002B283E" w:rsidRDefault="00540EBB" w:rsidP="002B283E">
      <w:pPr>
        <w:rPr>
          <w:rFonts w:cs="Times New Roman"/>
          <w:szCs w:val="24"/>
        </w:rPr>
      </w:pPr>
    </w:p>
    <w:p w14:paraId="78E8D3D9" w14:textId="77777777" w:rsidR="00540EBB" w:rsidRPr="002B283E" w:rsidRDefault="00540EBB" w:rsidP="002B283E">
      <w:pPr>
        <w:ind w:firstLine="720"/>
        <w:rPr>
          <w:rFonts w:cs="Times New Roman"/>
          <w:szCs w:val="24"/>
        </w:rPr>
      </w:pPr>
      <w:r w:rsidRPr="002B283E">
        <w:rPr>
          <w:rFonts w:cs="Times New Roman"/>
          <w:szCs w:val="24"/>
        </w:rPr>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17141D93" w14:textId="77777777" w:rsidR="00540EBB" w:rsidRPr="002B283E" w:rsidRDefault="00540EBB" w:rsidP="002B283E">
      <w:pPr>
        <w:ind w:firstLine="720"/>
        <w:rPr>
          <w:rFonts w:cs="Times New Roman"/>
          <w:szCs w:val="24"/>
        </w:rPr>
      </w:pPr>
    </w:p>
    <w:p w14:paraId="79BF600C" w14:textId="77777777" w:rsidR="00540EBB" w:rsidRPr="002B283E" w:rsidRDefault="00540EBB" w:rsidP="002B283E">
      <w:pPr>
        <w:ind w:firstLine="720"/>
        <w:rPr>
          <w:rFonts w:cs="Times New Roman"/>
          <w:szCs w:val="24"/>
        </w:rPr>
      </w:pPr>
      <w:r w:rsidRPr="002B283E">
        <w:rPr>
          <w:rFonts w:cs="Times New Roman"/>
          <w:b/>
          <w:bCs/>
          <w:szCs w:val="24"/>
        </w:rPr>
        <w:t>Commercial Strength</w:t>
      </w:r>
      <w:r w:rsidRPr="002B283E">
        <w:rPr>
          <w:rFonts w:cs="Times New Roman"/>
          <w:szCs w:val="24"/>
        </w:rPr>
        <w:t xml:space="preserve">: What is “commercial strength?” Not all marks are equally well known. Trademark strength is somewhat like the renown of people. </w:t>
      </w:r>
      <w:bookmarkStart w:id="360" w:name="_Hlk159761017"/>
      <w:r w:rsidRPr="002B283E">
        <w:rPr>
          <w:rFonts w:cs="Times New Roman"/>
          <w:szCs w:val="24"/>
        </w:rPr>
        <w:t xml:space="preserve">Only a very few people are famous enough to be widely known and recognized around the world. </w:t>
      </w:r>
      <w:bookmarkEnd w:id="360"/>
      <w:r w:rsidRPr="002B283E">
        <w:rPr>
          <w:rFonts w:cs="Times New Roman"/>
          <w:szCs w:val="24"/>
        </w:rPr>
        <w:t xml:space="preserve">Most people are known and recognized only by a small circle of family and friends. </w:t>
      </w:r>
    </w:p>
    <w:p w14:paraId="3DD4AFC9" w14:textId="77777777" w:rsidR="00540EBB" w:rsidRPr="002B283E" w:rsidRDefault="00540EBB" w:rsidP="002B283E">
      <w:pPr>
        <w:rPr>
          <w:rFonts w:cs="Times New Roman"/>
          <w:szCs w:val="24"/>
        </w:rPr>
      </w:pPr>
    </w:p>
    <w:p w14:paraId="23687C93" w14:textId="6055945D" w:rsidR="00540EBB" w:rsidRPr="002B283E" w:rsidRDefault="00540EBB" w:rsidP="002B283E">
      <w:pPr>
        <w:rPr>
          <w:rFonts w:cs="Times New Roman"/>
          <w:szCs w:val="24"/>
        </w:rPr>
      </w:pPr>
      <w:r w:rsidRPr="002B283E">
        <w:rPr>
          <w:rFonts w:cs="Times New Roman"/>
          <w:szCs w:val="24"/>
        </w:rPr>
        <w:tab/>
        <w:t xml:space="preserve">Some trademarks have commercial strength” in the sense they are widely known and recognized. A few trademarks are in the clearly “famous” category. Examples of “famous” marks include “Apple” for computers and smart phones, “Google” for a search engine, “Coca-Cola” for beverages, and “Toyota” for vehicles. Some trademarks have commercial strength only </w:t>
      </w:r>
      <w:r w:rsidRPr="002B283E">
        <w:rPr>
          <w:rFonts w:cs="Times New Roman"/>
          <w:szCs w:val="24"/>
        </w:rPr>
        <w:lastRenderedPageBreak/>
        <w:t xml:space="preserve">in a certain market niche such as mountain climbing gear, plumbing supplies, or commercial airplane electronics equipment, but relatively weak outside that field. </w:t>
      </w:r>
      <w:r w:rsidR="00412566">
        <w:rPr>
          <w:rFonts w:cs="Times New Roman"/>
          <w:szCs w:val="24"/>
        </w:rPr>
        <w:t>A</w:t>
      </w:r>
      <w:r w:rsidRPr="002B283E">
        <w:rPr>
          <w:rFonts w:cs="Times New Roman"/>
          <w:szCs w:val="24"/>
        </w:rPr>
        <w:t>ctual marketplace recognition, which includes advertising expenditures and number of sales</w:t>
      </w:r>
      <w:r w:rsidR="00412566">
        <w:rPr>
          <w:rFonts w:cs="Times New Roman"/>
          <w:szCs w:val="24"/>
        </w:rPr>
        <w:t>, determines how well known a trademark is.</w:t>
      </w:r>
      <w:r w:rsidRPr="002B283E">
        <w:rPr>
          <w:rFonts w:cs="Times New Roman"/>
          <w:szCs w:val="24"/>
        </w:rPr>
        <w:t xml:space="preserve"> </w:t>
      </w:r>
    </w:p>
    <w:p w14:paraId="7A7FE2F9" w14:textId="77777777" w:rsidR="00540EBB" w:rsidRPr="002B283E" w:rsidRDefault="00540EBB" w:rsidP="002B283E">
      <w:pPr>
        <w:rPr>
          <w:rFonts w:cs="Times New Roman"/>
          <w:szCs w:val="24"/>
        </w:rPr>
      </w:pPr>
    </w:p>
    <w:p w14:paraId="173366EA" w14:textId="77777777" w:rsidR="00540EBB" w:rsidRPr="002B283E" w:rsidRDefault="00540EBB" w:rsidP="002B283E">
      <w:pPr>
        <w:ind w:firstLine="720"/>
        <w:rPr>
          <w:rFonts w:cs="Times New Roman"/>
          <w:szCs w:val="24"/>
        </w:rPr>
      </w:pPr>
      <w:r w:rsidRPr="002B283E">
        <w:rPr>
          <w:rFonts w:cs="Times New Roman"/>
          <w:szCs w:val="24"/>
        </w:rPr>
        <w:t xml:space="preserve">Commercial strength can transform a mark that is not conceptually strong into a strong mark. </w:t>
      </w:r>
    </w:p>
    <w:p w14:paraId="29FFED9C" w14:textId="77777777" w:rsidR="00540EBB" w:rsidRPr="002B283E" w:rsidRDefault="00540EBB" w:rsidP="002B283E">
      <w:pPr>
        <w:rPr>
          <w:rFonts w:cs="Times New Roman"/>
          <w:szCs w:val="24"/>
        </w:rPr>
      </w:pPr>
    </w:p>
    <w:p w14:paraId="5A4B41E7" w14:textId="77777777" w:rsidR="00540EBB" w:rsidRPr="002B283E" w:rsidRDefault="00540EBB" w:rsidP="002B283E">
      <w:pPr>
        <w:jc w:val="center"/>
        <w:rPr>
          <w:rFonts w:cs="Times New Roman"/>
          <w:szCs w:val="24"/>
        </w:rPr>
      </w:pPr>
      <w:r w:rsidRPr="002B283E">
        <w:rPr>
          <w:rFonts w:cs="Times New Roman"/>
          <w:b/>
          <w:szCs w:val="24"/>
        </w:rPr>
        <w:t>Comment</w:t>
      </w:r>
    </w:p>
    <w:p w14:paraId="142C18A8" w14:textId="77777777" w:rsidR="00540EBB" w:rsidRPr="002B283E" w:rsidRDefault="00540EBB" w:rsidP="002B283E">
      <w:pPr>
        <w:rPr>
          <w:rFonts w:cs="Times New Roman"/>
          <w:szCs w:val="24"/>
        </w:rPr>
      </w:pPr>
    </w:p>
    <w:p w14:paraId="7ABAA16C" w14:textId="77777777" w:rsidR="00540EBB" w:rsidRPr="002B283E" w:rsidRDefault="00540EBB" w:rsidP="002B283E">
      <w:pPr>
        <w:rPr>
          <w:rFonts w:cs="Times New Roman"/>
          <w:szCs w:val="24"/>
        </w:rPr>
      </w:pPr>
      <w:r w:rsidRPr="002B283E">
        <w:rPr>
          <w:rFonts w:cs="Times New Roman"/>
          <w:szCs w:val="24"/>
        </w:rPr>
        <w:tab/>
        <w:t xml:space="preserve">These instructions relate to the strength of a trademark in the likelihood of confusion context. For strength of trademark analysis in the context of a mark validity determination, </w:t>
      </w:r>
      <w:r w:rsidRPr="008A04C2">
        <w:rPr>
          <w:rFonts w:cs="Times New Roman"/>
          <w:iCs/>
          <w:szCs w:val="24"/>
        </w:rPr>
        <w:t>see</w:t>
      </w:r>
      <w:r w:rsidRPr="002B283E">
        <w:rPr>
          <w:rFonts w:cs="Times New Roman"/>
          <w:szCs w:val="24"/>
        </w:rPr>
        <w:t xml:space="preserve"> Instruction 15.10 (Infringement—Elements—Validity—Unregistered Mark—Distinctiveness). </w:t>
      </w:r>
      <w:bookmarkStart w:id="361" w:name="_Hlk159512266"/>
      <w:r w:rsidRPr="002B283E">
        <w:rPr>
          <w:rFonts w:cs="Times New Roman"/>
          <w:szCs w:val="24"/>
        </w:rPr>
        <w:t>Modify this instruction as necessary in any case involving service marks, collective trade or service marks, or certification trade or service marks, by inserting such terms in lieu of the word “trademark.”</w:t>
      </w:r>
      <w:bookmarkEnd w:id="361"/>
      <w:r w:rsidRPr="002B283E">
        <w:rPr>
          <w:rFonts w:cs="Times New Roman"/>
          <w:szCs w:val="24"/>
        </w:rPr>
        <w:t xml:space="preserve"> An adjustment will also be necessary when the mark consists of a designation other than a word, such as an image, package appearance, or the shape of a product.</w:t>
      </w:r>
    </w:p>
    <w:p w14:paraId="64CF9582" w14:textId="77777777" w:rsidR="00540EBB" w:rsidRPr="002B283E" w:rsidRDefault="00540EBB" w:rsidP="002B283E">
      <w:pPr>
        <w:rPr>
          <w:rFonts w:cs="Times New Roman"/>
          <w:szCs w:val="24"/>
        </w:rPr>
      </w:pPr>
    </w:p>
    <w:p w14:paraId="0AA77E03" w14:textId="3D2C7A23" w:rsidR="00540EBB" w:rsidRPr="002B283E" w:rsidRDefault="00540EBB" w:rsidP="002B283E">
      <w:pPr>
        <w:rPr>
          <w:rFonts w:cs="Times New Roman"/>
          <w:szCs w:val="24"/>
        </w:rPr>
      </w:pPr>
      <w:r w:rsidRPr="002B283E">
        <w:rPr>
          <w:rFonts w:cs="Times New Roman"/>
          <w:szCs w:val="24"/>
        </w:rPr>
        <w:tab/>
        <w:t xml:space="preserve">This instruction uses a two-prong test of mark strength. </w:t>
      </w:r>
      <w:r w:rsidRPr="002B283E">
        <w:rPr>
          <w:rFonts w:cs="Times New Roman"/>
          <w:i/>
          <w:iCs/>
          <w:szCs w:val="24"/>
        </w:rPr>
        <w:t>See</w:t>
      </w:r>
      <w:r w:rsidRPr="002B283E">
        <w:rPr>
          <w:rFonts w:cs="Times New Roman"/>
          <w:i/>
          <w:szCs w:val="24"/>
        </w:rPr>
        <w:t xml:space="preserve"> One Indu</w:t>
      </w:r>
      <w:r w:rsidR="00CE6E72">
        <w:rPr>
          <w:rFonts w:cs="Times New Roman"/>
          <w:i/>
          <w:szCs w:val="24"/>
        </w:rPr>
        <w:t>s.</w:t>
      </w:r>
      <w:r w:rsidRPr="002B283E">
        <w:rPr>
          <w:rFonts w:cs="Times New Roman"/>
          <w:i/>
          <w:szCs w:val="24"/>
        </w:rPr>
        <w:t>, LLC v. Jim O’Neal Distrib., Inc.</w:t>
      </w:r>
      <w:r w:rsidRPr="002B283E">
        <w:rPr>
          <w:rFonts w:cs="Times New Roman"/>
          <w:szCs w:val="24"/>
        </w:rPr>
        <w:t>, 578 F.3d 1154, 1164 (9th Cir. 2009) (noting that after placing mark on spectrum of distinctiveness, “[t]he second step is to determine the strength of this mark in the marketplace”);</w:t>
      </w:r>
      <w:r w:rsidRPr="002B283E">
        <w:rPr>
          <w:rFonts w:cs="Times New Roman"/>
          <w:i/>
          <w:szCs w:val="24"/>
        </w:rPr>
        <w:t xml:space="preserve"> </w:t>
      </w:r>
      <w:r w:rsidRPr="002B283E">
        <w:rPr>
          <w:rFonts w:cs="Times New Roman"/>
          <w:i/>
          <w:iCs/>
          <w:szCs w:val="24"/>
        </w:rPr>
        <w:t xml:space="preserve">Pom Wonderful LLC v. </w:t>
      </w:r>
      <w:r w:rsidRPr="002B283E">
        <w:rPr>
          <w:rFonts w:cs="Times New Roman"/>
          <w:i/>
          <w:szCs w:val="24"/>
        </w:rPr>
        <w:t>Hubbard</w:t>
      </w:r>
      <w:r w:rsidRPr="002B283E">
        <w:rPr>
          <w:rFonts w:cs="Times New Roman"/>
          <w:szCs w:val="24"/>
        </w:rPr>
        <w:t xml:space="preserve">, 775 F.3d 1118, 1126-27 (9th Cir. 2014) (“To determine the strength of Pom Wonderful’s ‘POM’ mark, we begin by placing it on the conceptual distinctiveness spectrum </w:t>
      </w:r>
      <w:r w:rsidR="00E1369F">
        <w:rPr>
          <w:rFonts w:cs="Times New Roman"/>
          <w:szCs w:val="24"/>
        </w:rPr>
        <w:t>. . .</w:t>
      </w:r>
      <w:r w:rsidR="00E1369F" w:rsidRPr="002B283E">
        <w:rPr>
          <w:rFonts w:cs="Times New Roman"/>
          <w:szCs w:val="24"/>
        </w:rPr>
        <w:t xml:space="preserve"> </w:t>
      </w:r>
      <w:r w:rsidRPr="002B283E">
        <w:rPr>
          <w:rFonts w:cs="Times New Roman"/>
          <w:szCs w:val="24"/>
        </w:rPr>
        <w:t xml:space="preserve">[W]e next consider whether the ‘POM’ mark has achieved sufficient marketplace recognition to transform it into a strong mark.” (citations omitted)); 2 </w:t>
      </w:r>
      <w:r w:rsidRPr="002B283E">
        <w:rPr>
          <w:rFonts w:cs="Times New Roman"/>
          <w:smallCaps/>
          <w:szCs w:val="24"/>
        </w:rPr>
        <w:t>J. Thomas McCarthy, McCarthy on Trademarks and Unfair Competition</w:t>
      </w:r>
      <w:r w:rsidRPr="002B283E">
        <w:rPr>
          <w:rFonts w:cs="Times New Roman"/>
          <w:szCs w:val="24"/>
        </w:rPr>
        <w:t xml:space="preserve"> § 11:83 (5th ed. 2019).</w:t>
      </w:r>
    </w:p>
    <w:p w14:paraId="5699EE23" w14:textId="77777777" w:rsidR="00540EBB" w:rsidRPr="002B283E" w:rsidRDefault="00540EBB" w:rsidP="002B283E">
      <w:pPr>
        <w:rPr>
          <w:rFonts w:cs="Times New Roman"/>
          <w:szCs w:val="24"/>
        </w:rPr>
      </w:pPr>
    </w:p>
    <w:p w14:paraId="6A51A5A1" w14:textId="347EE104" w:rsidR="00540EBB" w:rsidRPr="002B283E" w:rsidRDefault="00540EBB" w:rsidP="002B283E">
      <w:pPr>
        <w:rPr>
          <w:rFonts w:cs="Times New Roman"/>
          <w:szCs w:val="24"/>
        </w:rPr>
      </w:pPr>
      <w:r w:rsidRPr="002B283E">
        <w:rPr>
          <w:rFonts w:cs="Times New Roman"/>
          <w:szCs w:val="24"/>
        </w:rPr>
        <w:t xml:space="preserve"> </w:t>
      </w:r>
      <w:r w:rsidRPr="002B283E">
        <w:rPr>
          <w:rFonts w:cs="Times New Roman"/>
          <w:szCs w:val="24"/>
        </w:rPr>
        <w:tab/>
        <w:t>This instruction supplements Instruction 15.18 (Infringement—Elements—Likelihood of Confusion—Factors—</w:t>
      </w:r>
      <w:r w:rsidRPr="002B283E">
        <w:rPr>
          <w:rFonts w:cs="Times New Roman"/>
          <w:i/>
          <w:szCs w:val="24"/>
        </w:rPr>
        <w:t>Sleekcraft</w:t>
      </w:r>
      <w:r w:rsidRPr="002B283E">
        <w:rPr>
          <w:rFonts w:cs="Times New Roman"/>
          <w:szCs w:val="24"/>
        </w:rPr>
        <w:t xml:space="preserve"> Test) by explaining how one </w:t>
      </w:r>
      <w:r w:rsidRPr="002B283E">
        <w:rPr>
          <w:rFonts w:cs="Times New Roman"/>
          <w:i/>
          <w:szCs w:val="24"/>
        </w:rPr>
        <w:t xml:space="preserve">Sleekcraft </w:t>
      </w:r>
      <w:r w:rsidRPr="002B283E">
        <w:rPr>
          <w:rFonts w:cs="Times New Roman"/>
          <w:szCs w:val="24"/>
        </w:rPr>
        <w:t>factor</w:t>
      </w:r>
      <w:r w:rsidR="00412566">
        <w:rPr>
          <w:rFonts w:cs="Times New Roman"/>
          <w:szCs w:val="24"/>
        </w:rPr>
        <w:t>—</w:t>
      </w:r>
      <w:r w:rsidRPr="002B283E">
        <w:rPr>
          <w:rFonts w:cs="Times New Roman"/>
          <w:szCs w:val="24"/>
        </w:rPr>
        <w:t>strength of mark</w:t>
      </w:r>
      <w:r w:rsidR="00412566">
        <w:rPr>
          <w:rFonts w:cs="Times New Roman"/>
          <w:szCs w:val="24"/>
        </w:rPr>
        <w:t>—</w:t>
      </w:r>
      <w:r w:rsidRPr="002B283E">
        <w:rPr>
          <w:rFonts w:cs="Times New Roman"/>
          <w:szCs w:val="24"/>
        </w:rPr>
        <w:t xml:space="preserve">is determined and describing the traditional spectrum of marks.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 . they may be (1) generic; (2) descriptive; (3) suggestive; (4) arbitrary; or (5) fanciful.”); </w:t>
      </w:r>
      <w:r w:rsidRPr="002B283E">
        <w:rPr>
          <w:rFonts w:cs="Times New Roman"/>
          <w:i/>
          <w:szCs w:val="24"/>
        </w:rPr>
        <w:t>Surfvivor</w:t>
      </w:r>
      <w:r w:rsidRPr="002B283E">
        <w:rPr>
          <w:rFonts w:cs="Times New Roman"/>
          <w:i/>
          <w:iCs/>
          <w:szCs w:val="24"/>
        </w:rPr>
        <w:t xml:space="preserve"> </w:t>
      </w:r>
      <w:r w:rsidRPr="002B283E">
        <w:rPr>
          <w:rFonts w:cs="Times New Roman"/>
          <w:i/>
          <w:szCs w:val="24"/>
        </w:rPr>
        <w:t xml:space="preserve">Media, Inc. v. Survivor </w:t>
      </w:r>
      <w:r w:rsidRPr="002B283E">
        <w:rPr>
          <w:rFonts w:cs="Times New Roman"/>
          <w:i/>
          <w:iCs/>
          <w:szCs w:val="24"/>
        </w:rPr>
        <w:t>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szCs w:val="24"/>
        </w:rPr>
        <w:t>E. &amp; J. Gallo Winery v. Gallo Cattle Co.</w:t>
      </w:r>
      <w:r w:rsidRPr="002B283E">
        <w:rPr>
          <w:rFonts w:cs="Times New Roman"/>
          <w:szCs w:val="24"/>
        </w:rPr>
        <w:t xml:space="preserve">, 967 F.2d 1280, 1291 (9th Cir. 1992) (holding that strength of mark is determined by its placement on continuum of marks from “generic,” afforded no protection; through “descriptive” or “suggestive,” given moderate protection; to “arbitrary” or “fanciful,” awarded maximum protection). </w:t>
      </w:r>
      <w:r w:rsidRPr="002B283E">
        <w:rPr>
          <w:rFonts w:cs="Times New Roman"/>
          <w:i/>
          <w:szCs w:val="24"/>
        </w:rPr>
        <w:t xml:space="preserve">See also U.S. Patent </w:t>
      </w:r>
      <w:r w:rsidRPr="002B283E">
        <w:rPr>
          <w:rFonts w:cs="Times New Roman"/>
          <w:i/>
          <w:iCs/>
          <w:szCs w:val="24"/>
        </w:rPr>
        <w:t>&amp;</w:t>
      </w:r>
      <w:r w:rsidRPr="002B283E">
        <w:rPr>
          <w:rFonts w:cs="Times New Roman"/>
          <w:i/>
          <w:szCs w:val="24"/>
        </w:rPr>
        <w:t xml:space="preserve"> Trademark Office v. Booking.com B.V.</w:t>
      </w:r>
      <w:r w:rsidRPr="002B283E">
        <w:rPr>
          <w:rFonts w:cs="Times New Roman"/>
          <w:szCs w:val="24"/>
        </w:rPr>
        <w:t xml:space="preserve">, </w:t>
      </w:r>
      <w:r w:rsidR="006C5F19" w:rsidRPr="006C5F19">
        <w:rPr>
          <w:rFonts w:cs="Times New Roman"/>
          <w:szCs w:val="24"/>
        </w:rPr>
        <w:t>591 U.S. 549, 5</w:t>
      </w:r>
      <w:r w:rsidR="006C5F19">
        <w:rPr>
          <w:rFonts w:cs="Times New Roman"/>
          <w:szCs w:val="24"/>
        </w:rPr>
        <w:t>60-</w:t>
      </w:r>
      <w:r w:rsidR="006C5F19" w:rsidRPr="006C5F19">
        <w:rPr>
          <w:rFonts w:cs="Times New Roman"/>
          <w:szCs w:val="24"/>
        </w:rPr>
        <w:t xml:space="preserve">64 </w:t>
      </w:r>
      <w:r w:rsidRPr="002B283E">
        <w:rPr>
          <w:rFonts w:cs="Times New Roman"/>
          <w:szCs w:val="24"/>
        </w:rPr>
        <w:t>(2020) (rejecting proposition that combining generic term with “.com” yields generic composite).</w:t>
      </w:r>
    </w:p>
    <w:p w14:paraId="594C076D" w14:textId="77777777" w:rsidR="00540EBB" w:rsidRPr="002B283E" w:rsidRDefault="00540EBB" w:rsidP="002B283E">
      <w:pPr>
        <w:rPr>
          <w:rFonts w:cs="Times New Roman"/>
          <w:szCs w:val="24"/>
        </w:rPr>
      </w:pPr>
      <w:r w:rsidRPr="002B283E">
        <w:rPr>
          <w:rFonts w:cs="Times New Roman"/>
          <w:szCs w:val="24"/>
        </w:rPr>
        <w:t xml:space="preserve"> </w:t>
      </w:r>
    </w:p>
    <w:p w14:paraId="54C5B6B0" w14:textId="77777777" w:rsidR="00540EBB" w:rsidRPr="002B283E" w:rsidRDefault="00540EBB" w:rsidP="002B283E">
      <w:pPr>
        <w:rPr>
          <w:rFonts w:cs="Times New Roman"/>
          <w:szCs w:val="24"/>
        </w:rPr>
      </w:pPr>
      <w:r w:rsidRPr="002B283E">
        <w:rPr>
          <w:rFonts w:cs="Times New Roman"/>
          <w:szCs w:val="24"/>
        </w:rPr>
        <w:lastRenderedPageBreak/>
        <w:tab/>
        <w:t xml:space="preserve">The examples of the multiple uses of the word “apple” given in this instruction when used on a variety of different products are from 2 </w:t>
      </w:r>
      <w:r w:rsidRPr="002B283E">
        <w:rPr>
          <w:rFonts w:cs="Times New Roman"/>
          <w:smallCaps/>
          <w:szCs w:val="24"/>
        </w:rPr>
        <w:t>J. Thomas McCarthy, McCarthy on Trademarks and Unfair Competition</w:t>
      </w:r>
      <w:r w:rsidRPr="002B283E">
        <w:rPr>
          <w:rFonts w:cs="Times New Roman"/>
          <w:szCs w:val="24"/>
        </w:rPr>
        <w:t xml:space="preserve"> § 11:71 (5th ed. 2019). </w:t>
      </w:r>
    </w:p>
    <w:p w14:paraId="3FFE72D3" w14:textId="77777777" w:rsidR="00540EBB" w:rsidRPr="002B283E" w:rsidRDefault="00540EBB" w:rsidP="002B283E">
      <w:pPr>
        <w:rPr>
          <w:rFonts w:cs="Times New Roman"/>
          <w:szCs w:val="24"/>
        </w:rPr>
      </w:pPr>
    </w:p>
    <w:p w14:paraId="1F87F048" w14:textId="77777777" w:rsidR="00540EBB" w:rsidRPr="002B283E" w:rsidRDefault="00540EBB" w:rsidP="002B283E">
      <w:pPr>
        <w:ind w:firstLine="720"/>
        <w:rPr>
          <w:rFonts w:cs="Times New Roman"/>
          <w:szCs w:val="24"/>
        </w:rPr>
      </w:pPr>
      <w:r w:rsidRPr="002B283E">
        <w:rPr>
          <w:rFonts w:cs="Times New Roman"/>
          <w:szCs w:val="24"/>
        </w:rPr>
        <w:t xml:space="preserve">Commercial strength takes into account a mark’s “actual marketplace recognition.” </w:t>
      </w:r>
      <w:r w:rsidRPr="002B283E">
        <w:rPr>
          <w:rFonts w:cs="Times New Roman"/>
          <w:i/>
          <w:iCs/>
          <w:szCs w:val="24"/>
        </w:rPr>
        <w:t xml:space="preserve">See </w:t>
      </w:r>
      <w:bookmarkStart w:id="362" w:name="_Hlk159761348"/>
      <w:r w:rsidRPr="002B283E">
        <w:rPr>
          <w:rFonts w:cs="Times New Roman"/>
          <w:i/>
          <w:iCs/>
          <w:szCs w:val="24"/>
        </w:rPr>
        <w:t>Fortune Dynamic, Inc.</w:t>
      </w:r>
      <w:r w:rsidRPr="002B283E">
        <w:rPr>
          <w:rFonts w:cs="Times New Roman"/>
          <w:i/>
          <w:szCs w:val="24"/>
        </w:rPr>
        <w:t xml:space="preserve"> v. </w:t>
      </w:r>
      <w:r w:rsidRPr="002B283E">
        <w:rPr>
          <w:rFonts w:cs="Times New Roman"/>
          <w:i/>
          <w:iCs/>
          <w:szCs w:val="24"/>
        </w:rPr>
        <w:t>Victoria’s Secret Stores Brand Mgmt., Inc.</w:t>
      </w:r>
      <w:r w:rsidRPr="002B283E">
        <w:rPr>
          <w:rFonts w:cs="Times New Roman"/>
          <w:szCs w:val="24"/>
        </w:rPr>
        <w:t>, 618 F.3d 1025, 1034-35 (9th Cir. 2010) (observing that advertising expenditures, number of sales of shoes, and placement in a variety of popular magazines supported a finding of commercial strength).</w:t>
      </w:r>
    </w:p>
    <w:bookmarkEnd w:id="362"/>
    <w:p w14:paraId="3D19B5A6" w14:textId="77777777" w:rsidR="00540EBB" w:rsidRPr="002B283E" w:rsidRDefault="00540EBB" w:rsidP="002B283E">
      <w:pPr>
        <w:rPr>
          <w:rFonts w:cs="Times New Roman"/>
          <w:szCs w:val="24"/>
        </w:rPr>
      </w:pPr>
    </w:p>
    <w:p w14:paraId="1E5A83B0" w14:textId="77777777" w:rsidR="00540EBB" w:rsidRPr="002B283E" w:rsidRDefault="00540EBB" w:rsidP="002B283E">
      <w:pPr>
        <w:ind w:firstLine="720"/>
        <w:rPr>
          <w:rFonts w:cs="Times New Roman"/>
          <w:szCs w:val="24"/>
        </w:rPr>
      </w:pPr>
      <w:r w:rsidRPr="002B283E">
        <w:rPr>
          <w:rFonts w:cs="Times New Roman"/>
          <w:szCs w:val="24"/>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2B283E">
        <w:rPr>
          <w:rFonts w:cs="Times New Roman"/>
          <w:i/>
          <w:szCs w:val="24"/>
        </w:rPr>
        <w:t>. Ironhawk Techs., Inc. v. Dropbox, Inc.</w:t>
      </w:r>
      <w:r w:rsidRPr="002B283E">
        <w:rPr>
          <w:rFonts w:cs="Times New Roman"/>
          <w:szCs w:val="24"/>
        </w:rPr>
        <w:t>,</w:t>
      </w:r>
      <w:r w:rsidRPr="002B283E">
        <w:rPr>
          <w:rFonts w:cs="Times New Roman"/>
          <w:i/>
          <w:szCs w:val="24"/>
        </w:rPr>
        <w:t xml:space="preserve"> </w:t>
      </w:r>
      <w:r w:rsidRPr="002B283E">
        <w:rPr>
          <w:rFonts w:cs="Times New Roman"/>
          <w:szCs w:val="24"/>
        </w:rPr>
        <w:t>2 F.4th 1150, 1162 (9th Cir. 2021) (quoting</w:t>
      </w:r>
      <w:r w:rsidRPr="002B283E">
        <w:rPr>
          <w:rFonts w:cs="Times New Roman"/>
          <w:i/>
          <w:szCs w:val="24"/>
        </w:rPr>
        <w:t xml:space="preserve"> JL Beverage Co., LLC v. Jim Beam Brands Co</w:t>
      </w:r>
      <w:r w:rsidRPr="002B283E">
        <w:rPr>
          <w:rFonts w:cs="Times New Roman"/>
          <w:szCs w:val="24"/>
        </w:rPr>
        <w:t>., 828 F.3d 1098, 1107 (9th Cir. 2016)).</w:t>
      </w:r>
    </w:p>
    <w:p w14:paraId="117ABD60" w14:textId="77777777" w:rsidR="00540EBB" w:rsidRPr="002B283E" w:rsidRDefault="00540EBB" w:rsidP="002B283E">
      <w:pPr>
        <w:rPr>
          <w:rFonts w:cs="Times New Roman"/>
          <w:szCs w:val="24"/>
        </w:rPr>
      </w:pPr>
    </w:p>
    <w:p w14:paraId="65C61780" w14:textId="790A9D3B" w:rsidR="0099407D" w:rsidRPr="002B283E" w:rsidRDefault="00540EBB" w:rsidP="002B283E">
      <w:pPr>
        <w:jc w:val="right"/>
        <w:rPr>
          <w:rFonts w:cs="Times New Roman"/>
          <w:i/>
          <w:iCs/>
          <w:szCs w:val="24"/>
        </w:rPr>
      </w:pPr>
      <w:r w:rsidRPr="002B283E">
        <w:rPr>
          <w:rFonts w:cs="Times New Roman"/>
          <w:i/>
          <w:iCs/>
          <w:szCs w:val="24"/>
        </w:rPr>
        <w:t>Revised March 2024</w:t>
      </w:r>
    </w:p>
    <w:p w14:paraId="16C99A11" w14:textId="77777777" w:rsidR="006A4CD7" w:rsidRPr="002B283E" w:rsidRDefault="006A4CD7" w:rsidP="002B283E">
      <w:pPr>
        <w:autoSpaceDE w:val="0"/>
        <w:autoSpaceDN w:val="0"/>
        <w:adjustRightInd w:val="0"/>
        <w:rPr>
          <w:rFonts w:cs="Times New Roman"/>
          <w:szCs w:val="24"/>
        </w:rPr>
      </w:pPr>
    </w:p>
    <w:p w14:paraId="2F13ED95" w14:textId="536751F7" w:rsidR="009F70BA" w:rsidRPr="002B283E" w:rsidRDefault="006A4CD7" w:rsidP="002B283E">
      <w:pPr>
        <w:pStyle w:val="Heading2"/>
      </w:pPr>
      <w:r w:rsidRPr="002B283E">
        <w:br w:type="page"/>
      </w:r>
      <w:bookmarkStart w:id="363" w:name="_Toc221525286"/>
      <w:r w:rsidR="009F70BA" w:rsidRPr="002B283E">
        <w:lastRenderedPageBreak/>
        <w:t>15.</w:t>
      </w:r>
      <w:r w:rsidR="0008651C">
        <w:t>20</w:t>
      </w:r>
      <w:r w:rsidR="009F70BA" w:rsidRPr="002B283E">
        <w:t xml:space="preserve"> Expressive</w:t>
      </w:r>
      <w:r w:rsidR="009F70BA" w:rsidRPr="002B283E">
        <w:rPr>
          <w:spacing w:val="-1"/>
        </w:rPr>
        <w:t xml:space="preserve"> </w:t>
      </w:r>
      <w:r w:rsidR="009F70BA" w:rsidRPr="002B283E">
        <w:t>Works</w:t>
      </w:r>
      <w:bookmarkEnd w:id="363"/>
    </w:p>
    <w:p w14:paraId="2A8E42C7" w14:textId="77777777" w:rsidR="009F70BA" w:rsidRPr="002B283E" w:rsidRDefault="009F70BA" w:rsidP="002B283E">
      <w:pPr>
        <w:pStyle w:val="BodyText"/>
        <w:rPr>
          <w:b/>
        </w:rPr>
      </w:pPr>
    </w:p>
    <w:p w14:paraId="76E7D1C4" w14:textId="2292F68B" w:rsidR="00393A02" w:rsidRDefault="00393A02" w:rsidP="002B283E">
      <w:pPr>
        <w:ind w:left="101" w:right="288" w:firstLine="720"/>
        <w:rPr>
          <w:rFonts w:cs="Times New Roman"/>
          <w:szCs w:val="24"/>
        </w:rPr>
      </w:pPr>
      <w:r w:rsidRPr="002B283E">
        <w:rPr>
          <w:rFonts w:cs="Times New Roman"/>
          <w:szCs w:val="24"/>
        </w:rPr>
        <w:t>The defendant</w:t>
      </w:r>
      <w:r w:rsidR="00E1369F">
        <w:rPr>
          <w:rFonts w:cs="Times New Roman"/>
          <w:szCs w:val="24"/>
        </w:rPr>
        <w:t xml:space="preserve"> [</w:t>
      </w:r>
      <w:r w:rsidR="00E1369F" w:rsidRPr="00382C45">
        <w:rPr>
          <w:rFonts w:cs="Times New Roman"/>
          <w:i/>
          <w:iCs/>
          <w:szCs w:val="24"/>
          <w:u w:val="single"/>
        </w:rPr>
        <w:t>name</w:t>
      </w:r>
      <w:r w:rsidR="00E1369F">
        <w:rPr>
          <w:rFonts w:cs="Times New Roman"/>
          <w:szCs w:val="24"/>
        </w:rPr>
        <w:t>]</w:t>
      </w:r>
      <w:r w:rsidRPr="002B283E">
        <w:rPr>
          <w:rFonts w:cs="Times New Roman"/>
          <w:szCs w:val="24"/>
        </w:rPr>
        <w:t>’s work, [</w:t>
      </w:r>
      <w:r w:rsidRPr="002B283E">
        <w:rPr>
          <w:rFonts w:cs="Times New Roman"/>
          <w:i/>
          <w:szCs w:val="24"/>
          <w:u w:val="single"/>
        </w:rPr>
        <w:t>insert name of allegedly infringing work</w:t>
      </w:r>
      <w:r w:rsidRPr="002B283E">
        <w:rPr>
          <w:rFonts w:cs="Times New Roman"/>
          <w:szCs w:val="24"/>
        </w:rPr>
        <w:t>], is an expressive work that is protected by the First Amendment.</w:t>
      </w:r>
    </w:p>
    <w:p w14:paraId="60390DDB" w14:textId="77777777" w:rsidR="00E1369F" w:rsidRPr="002B283E" w:rsidRDefault="00E1369F" w:rsidP="002B283E">
      <w:pPr>
        <w:ind w:left="101" w:right="288" w:firstLine="720"/>
        <w:rPr>
          <w:rFonts w:cs="Times New Roman"/>
          <w:szCs w:val="24"/>
        </w:rPr>
      </w:pPr>
    </w:p>
    <w:p w14:paraId="36673E52" w14:textId="18A97CFC" w:rsidR="00393A02" w:rsidRPr="002B283E" w:rsidRDefault="00393A02" w:rsidP="002B283E">
      <w:pPr>
        <w:pStyle w:val="BodyText"/>
        <w:ind w:left="100" w:right="129" w:firstLine="720"/>
      </w:pPr>
      <w:r w:rsidRPr="002B283E">
        <w:t xml:space="preserve">Therefore, you may proceed to the likelihood-of-confusion test for trademark infringement only if the plaintiff </w:t>
      </w:r>
      <w:r w:rsidR="00E1369F">
        <w:t>[</w:t>
      </w:r>
      <w:r w:rsidR="00E1369F" w:rsidRPr="00382C45">
        <w:rPr>
          <w:i/>
          <w:iCs/>
          <w:u w:val="single"/>
        </w:rPr>
        <w:t>name</w:t>
      </w:r>
      <w:r w:rsidR="00E1369F">
        <w:t xml:space="preserve">] </w:t>
      </w:r>
      <w:r w:rsidRPr="002B283E">
        <w:t>proves by a preponderance of the evidence that the defendant</w:t>
      </w:r>
      <w:r w:rsidR="00E1369F">
        <w:t xml:space="preserve"> [</w:t>
      </w:r>
      <w:r w:rsidR="00E1369F" w:rsidRPr="00382C45">
        <w:rPr>
          <w:i/>
          <w:iCs/>
          <w:u w:val="single"/>
        </w:rPr>
        <w:t>name</w:t>
      </w:r>
      <w:r w:rsidR="00E1369F">
        <w:t>]</w:t>
      </w:r>
      <w:r w:rsidRPr="002B283E">
        <w:t xml:space="preserve">’s use of the plaintiff’s mark is explicitly misleading as to the </w:t>
      </w:r>
      <w:r w:rsidRPr="002B283E">
        <w:rPr>
          <w:spacing w:val="-3"/>
        </w:rPr>
        <w:t xml:space="preserve">source </w:t>
      </w:r>
      <w:r w:rsidRPr="002B283E">
        <w:t>or content of [</w:t>
      </w:r>
      <w:r w:rsidRPr="002B283E">
        <w:rPr>
          <w:i/>
          <w:u w:val="single"/>
        </w:rPr>
        <w:t>insert name of allegedly infringing work</w:t>
      </w:r>
      <w:r w:rsidRPr="002B283E">
        <w:t>]. The defendant</w:t>
      </w:r>
      <w:r w:rsidR="00E1369F">
        <w:t xml:space="preserve"> [</w:t>
      </w:r>
      <w:r w:rsidR="00E1369F" w:rsidRPr="00382C45">
        <w:rPr>
          <w:i/>
          <w:iCs/>
          <w:u w:val="single"/>
        </w:rPr>
        <w:t>name</w:t>
      </w:r>
      <w:r w:rsidR="00E1369F">
        <w:t>]</w:t>
      </w:r>
      <w:r w:rsidRPr="002B283E">
        <w:t>’s use of the mark is explicitly misleading if it is an explicit indication, overt claim, or explicit misstatement that the [</w:t>
      </w:r>
      <w:r w:rsidRPr="002B283E">
        <w:rPr>
          <w:i/>
          <w:u w:val="single"/>
        </w:rPr>
        <w:t>insert name</w:t>
      </w:r>
      <w:r w:rsidRPr="002B283E">
        <w:rPr>
          <w:i/>
        </w:rPr>
        <w:t xml:space="preserve"> </w:t>
      </w:r>
      <w:r w:rsidRPr="002B283E">
        <w:rPr>
          <w:i/>
          <w:u w:val="single"/>
        </w:rPr>
        <w:t>of allegedly infringing work</w:t>
      </w:r>
      <w:r w:rsidRPr="002B283E">
        <w:t>] is sponsored by or somehow associated with the plaintiff.</w:t>
      </w:r>
    </w:p>
    <w:p w14:paraId="31CE9BD8" w14:textId="77777777" w:rsidR="00393A02" w:rsidRPr="002B283E" w:rsidRDefault="00393A02" w:rsidP="002B283E">
      <w:pPr>
        <w:widowControl w:val="0"/>
        <w:rPr>
          <w:rFonts w:cs="Times New Roman"/>
          <w:szCs w:val="24"/>
        </w:rPr>
      </w:pPr>
    </w:p>
    <w:p w14:paraId="5E3D6EF4" w14:textId="77777777" w:rsidR="00393A02" w:rsidRPr="002B283E" w:rsidRDefault="00393A02" w:rsidP="002B283E">
      <w:pPr>
        <w:jc w:val="center"/>
        <w:rPr>
          <w:rFonts w:cs="Times New Roman"/>
          <w:b/>
          <w:szCs w:val="24"/>
        </w:rPr>
      </w:pPr>
      <w:r w:rsidRPr="002B283E">
        <w:rPr>
          <w:rFonts w:cs="Times New Roman"/>
          <w:b/>
          <w:szCs w:val="24"/>
        </w:rPr>
        <w:t>Comment</w:t>
      </w:r>
    </w:p>
    <w:p w14:paraId="75D67D66" w14:textId="77777777" w:rsidR="00393A02" w:rsidRPr="002B283E" w:rsidRDefault="00393A02" w:rsidP="002B283E">
      <w:pPr>
        <w:widowControl w:val="0"/>
        <w:rPr>
          <w:rFonts w:cs="Times New Roman"/>
          <w:szCs w:val="24"/>
          <w:lang w:val="en-CA"/>
        </w:rPr>
      </w:pPr>
    </w:p>
    <w:p w14:paraId="4095AE70" w14:textId="76678876" w:rsidR="00393A02" w:rsidRDefault="00393A02" w:rsidP="002B283E">
      <w:pPr>
        <w:widowControl w:val="0"/>
        <w:ind w:firstLine="720"/>
        <w:rPr>
          <w:rFonts w:eastAsia="Times New Roman"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This instruction concerns the Ninth Circuit’s adoption of the Second Circuit’s </w:t>
      </w:r>
      <w:r w:rsidRPr="002B283E">
        <w:rPr>
          <w:rFonts w:cs="Times New Roman"/>
          <w:i/>
          <w:szCs w:val="24"/>
        </w:rPr>
        <w:t>Rogers</w:t>
      </w:r>
      <w:r w:rsidRPr="002B283E">
        <w:rPr>
          <w:rFonts w:cs="Times New Roman"/>
          <w:szCs w:val="24"/>
        </w:rPr>
        <w:t xml:space="preserve"> test, </w:t>
      </w:r>
      <w:r w:rsidRPr="002B283E">
        <w:rPr>
          <w:rFonts w:cs="Times New Roman"/>
          <w:i/>
          <w:szCs w:val="24"/>
        </w:rPr>
        <w:t>see Rogers v. Grimaldi</w:t>
      </w:r>
      <w:r w:rsidRPr="002B283E">
        <w:rPr>
          <w:rFonts w:cs="Times New Roman"/>
          <w:szCs w:val="24"/>
        </w:rPr>
        <w:t xml:space="preserve">, 875 F.2d 994 (2d Cir. 1989), which applies to cases involving “expressive works,” </w:t>
      </w:r>
      <w:r w:rsidRPr="002B283E">
        <w:rPr>
          <w:rFonts w:cs="Times New Roman"/>
          <w:i/>
          <w:szCs w:val="24"/>
        </w:rPr>
        <w:t>Gordon</w:t>
      </w:r>
      <w:r w:rsidRPr="002B283E">
        <w:rPr>
          <w:rFonts w:eastAsia="Times New Roman" w:cs="Times New Roman"/>
          <w:i/>
          <w:szCs w:val="24"/>
        </w:rPr>
        <w:t xml:space="preserve"> v. Drape Creative, Inc.</w:t>
      </w:r>
      <w:r w:rsidRPr="002B283E">
        <w:rPr>
          <w:rFonts w:eastAsia="Times New Roman" w:cs="Times New Roman"/>
          <w:szCs w:val="24"/>
        </w:rPr>
        <w:t>,</w:t>
      </w:r>
      <w:r w:rsidRPr="002B283E">
        <w:rPr>
          <w:rFonts w:cs="Times New Roman"/>
          <w:szCs w:val="24"/>
        </w:rPr>
        <w:t xml:space="preserve"> 909 F.3d </w:t>
      </w:r>
      <w:r w:rsidRPr="002B283E">
        <w:rPr>
          <w:rFonts w:eastAsia="Times New Roman" w:cs="Times New Roman"/>
          <w:szCs w:val="24"/>
        </w:rPr>
        <w:t>257, 264 (9th Cir. 2018),</w:t>
      </w:r>
      <w:r w:rsidRPr="002B283E">
        <w:rPr>
          <w:rFonts w:cs="Times New Roman"/>
          <w:szCs w:val="24"/>
        </w:rPr>
        <w:t xml:space="preserve"> and “in which a trademark is used not to designate a work’s source, but solely to perform some other expressive function,” </w:t>
      </w:r>
      <w:r w:rsidRPr="002B283E">
        <w:rPr>
          <w:rFonts w:cs="Times New Roman"/>
          <w:i/>
          <w:szCs w:val="24"/>
        </w:rPr>
        <w:t xml:space="preserve">Jack </w:t>
      </w:r>
      <w:r w:rsidRPr="002B283E">
        <w:rPr>
          <w:rFonts w:eastAsia="Times New Roman" w:cs="Times New Roman"/>
          <w:i/>
          <w:iCs/>
          <w:szCs w:val="24"/>
        </w:rPr>
        <w:t>Daniel’s Props.</w:t>
      </w:r>
      <w:r w:rsidRPr="002B283E">
        <w:rPr>
          <w:rFonts w:cs="Times New Roman"/>
          <w:i/>
          <w:szCs w:val="24"/>
        </w:rPr>
        <w:t xml:space="preserve"> v. VIP Prods. </w:t>
      </w:r>
      <w:r w:rsidRPr="002B283E">
        <w:rPr>
          <w:rFonts w:eastAsia="Times New Roman" w:cs="Times New Roman"/>
          <w:i/>
          <w:iCs/>
          <w:szCs w:val="24"/>
        </w:rPr>
        <w:t>LLC</w:t>
      </w:r>
      <w:r w:rsidRPr="002B283E">
        <w:rPr>
          <w:rFonts w:eastAsia="Times New Roman" w:cs="Times New Roman"/>
          <w:szCs w:val="24"/>
        </w:rPr>
        <w:t xml:space="preserve">, 599 U.S. 140, 154 (2023). “[P]recedents applying </w:t>
      </w:r>
      <w:r w:rsidRPr="002B283E">
        <w:rPr>
          <w:rFonts w:eastAsia="Times New Roman" w:cs="Times New Roman"/>
          <w:i/>
          <w:iCs/>
          <w:szCs w:val="24"/>
        </w:rPr>
        <w:t>Rogers</w:t>
      </w:r>
      <w:r w:rsidRPr="002B283E">
        <w:rPr>
          <w:rFonts w:eastAsia="Times New Roman" w:cs="Times New Roman"/>
          <w:szCs w:val="24"/>
        </w:rPr>
        <w:t xml:space="preserve"> were borne of the idea that some trademarks have expressive value and that in those situations, trademark law’s traditional likelihood-of-confusion test ‘fails to account for the full weight of the public’s interest in free expression.’” </w:t>
      </w:r>
      <w:r w:rsidRPr="002B283E">
        <w:rPr>
          <w:rFonts w:eastAsia="Times New Roman" w:cs="Times New Roman"/>
          <w:i/>
          <w:iCs/>
          <w:szCs w:val="24"/>
        </w:rPr>
        <w:t>Punchbowl, Inc.</w:t>
      </w:r>
      <w:r w:rsidRPr="002B283E">
        <w:rPr>
          <w:rFonts w:cs="Times New Roman"/>
          <w:i/>
          <w:szCs w:val="24"/>
        </w:rPr>
        <w:t xml:space="preserve"> v. </w:t>
      </w:r>
      <w:r w:rsidRPr="002B283E">
        <w:rPr>
          <w:rFonts w:eastAsia="Times New Roman" w:cs="Times New Roman"/>
          <w:i/>
          <w:iCs/>
          <w:szCs w:val="24"/>
        </w:rPr>
        <w:t>AJ Press, LLC</w:t>
      </w:r>
      <w:r w:rsidRPr="002B283E">
        <w:rPr>
          <w:rFonts w:eastAsia="Times New Roman" w:cs="Times New Roman"/>
          <w:szCs w:val="24"/>
        </w:rPr>
        <w:t xml:space="preserve">, 90 F.4th 1022, 1027-28 (9th Cir. 2024) (quoting </w:t>
      </w:r>
      <w:r w:rsidRPr="002B283E">
        <w:rPr>
          <w:rFonts w:eastAsia="Times New Roman" w:cs="Times New Roman"/>
          <w:i/>
          <w:iCs/>
          <w:szCs w:val="24"/>
        </w:rPr>
        <w:t>Mattel, Inc</w:t>
      </w:r>
      <w:r w:rsidRPr="002B283E">
        <w:rPr>
          <w:rFonts w:cs="Times New Roman"/>
          <w:i/>
          <w:szCs w:val="24"/>
        </w:rPr>
        <w:t xml:space="preserve">. v. </w:t>
      </w:r>
      <w:r w:rsidRPr="002B283E">
        <w:rPr>
          <w:rFonts w:eastAsia="Times New Roman" w:cs="Times New Roman"/>
          <w:i/>
          <w:iCs/>
          <w:szCs w:val="24"/>
        </w:rPr>
        <w:t>MCA Records, Inc.</w:t>
      </w:r>
      <w:r w:rsidRPr="002B283E">
        <w:rPr>
          <w:rFonts w:eastAsia="Times New Roman" w:cs="Times New Roman"/>
          <w:szCs w:val="24"/>
        </w:rPr>
        <w:t xml:space="preserve">, 296 F.3d 894, 900 (9th Cir. 2002)). If </w:t>
      </w:r>
      <w:r w:rsidRPr="002B283E">
        <w:rPr>
          <w:rFonts w:eastAsia="Times New Roman" w:cs="Times New Roman"/>
          <w:i/>
          <w:iCs/>
          <w:szCs w:val="24"/>
        </w:rPr>
        <w:t>Rogers</w:t>
      </w:r>
      <w:r w:rsidRPr="002B283E">
        <w:rPr>
          <w:rFonts w:eastAsia="Times New Roman" w:cs="Times New Roman"/>
          <w:szCs w:val="24"/>
        </w:rPr>
        <w:t xml:space="preserve"> applies to an allegedly infringing mark, “it often precludes claims of trademark infringement.”</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at 1028.</w:t>
      </w:r>
    </w:p>
    <w:p w14:paraId="2CFD2579" w14:textId="77777777" w:rsidR="00C854BC" w:rsidRPr="002B283E" w:rsidRDefault="00C854BC" w:rsidP="002B283E">
      <w:pPr>
        <w:widowControl w:val="0"/>
        <w:ind w:firstLine="720"/>
        <w:rPr>
          <w:rFonts w:eastAsia="Times New Roman" w:cs="Times New Roman"/>
          <w:szCs w:val="24"/>
        </w:rPr>
      </w:pPr>
    </w:p>
    <w:p w14:paraId="4951C63E" w14:textId="6CF43FE4" w:rsidR="00393A02" w:rsidRDefault="00393A02" w:rsidP="002B283E">
      <w:pPr>
        <w:ind w:firstLine="720"/>
        <w:rPr>
          <w:rFonts w:eastAsia="Times New Roman" w:cs="Times New Roman"/>
          <w:szCs w:val="24"/>
        </w:rPr>
      </w:pPr>
      <w:r w:rsidRPr="002B283E">
        <w:rPr>
          <w:rFonts w:eastAsia="Times New Roman" w:cs="Times New Roman"/>
          <w:szCs w:val="24"/>
        </w:rPr>
        <w:t xml:space="preserve">When faced with a </w:t>
      </w:r>
      <w:r w:rsidRPr="002B283E">
        <w:rPr>
          <w:rFonts w:eastAsia="Times New Roman" w:cs="Times New Roman"/>
          <w:i/>
          <w:iCs/>
          <w:szCs w:val="24"/>
        </w:rPr>
        <w:t>Rogers</w:t>
      </w:r>
      <w:r w:rsidRPr="002B283E">
        <w:rPr>
          <w:rFonts w:eastAsia="Times New Roman" w:cs="Times New Roman"/>
          <w:szCs w:val="24"/>
        </w:rPr>
        <w:t xml:space="preserve">-test challenge by a defendant, the court must make two threshold determinations. First, the court must determine if the alleged infringing trademark is used “at least in part” as a trademark. </w:t>
      </w:r>
      <w:r w:rsidRPr="002B283E">
        <w:rPr>
          <w:rFonts w:eastAsia="Times New Roman" w:cs="Times New Roman"/>
          <w:i/>
          <w:iCs/>
          <w:szCs w:val="24"/>
        </w:rPr>
        <w:t>Jack Daniel’s</w:t>
      </w:r>
      <w:r w:rsidRPr="002B283E">
        <w:rPr>
          <w:rFonts w:eastAsia="Times New Roman" w:cs="Times New Roman"/>
          <w:szCs w:val="24"/>
        </w:rPr>
        <w:t>, 599 U.S. at 155-56 (holding</w:t>
      </w:r>
      <w:r w:rsidRPr="002B283E">
        <w:rPr>
          <w:rFonts w:cs="Times New Roman"/>
          <w:szCs w:val="24"/>
        </w:rPr>
        <w:t xml:space="preserve"> that where the alleged infringing mark is used as a trademark, meaning “to identify or brand [a defendant’s] goods or services,” the </w:t>
      </w:r>
      <w:r w:rsidRPr="002B283E">
        <w:rPr>
          <w:rFonts w:cs="Times New Roman"/>
          <w:i/>
          <w:szCs w:val="24"/>
        </w:rPr>
        <w:t xml:space="preserve">Rogers </w:t>
      </w:r>
      <w:r w:rsidRPr="002B283E">
        <w:rPr>
          <w:rFonts w:cs="Times New Roman"/>
          <w:szCs w:val="24"/>
        </w:rPr>
        <w:t>test is not to be applied, even if the use is also expressive</w:t>
      </w:r>
      <w:r w:rsidRPr="005508B8">
        <w:rPr>
          <w:rFonts w:eastAsia="Times New Roman" w:cs="Times New Roman"/>
          <w:szCs w:val="24"/>
        </w:rPr>
        <w:t>)</w:t>
      </w:r>
      <w:r w:rsidR="005508B8" w:rsidRPr="005508B8">
        <w:rPr>
          <w:rFonts w:eastAsia="Times New Roman" w:cs="Times New Roman"/>
        </w:rPr>
        <w:t xml:space="preserve">; </w:t>
      </w:r>
      <w:r w:rsidR="005508B8" w:rsidRPr="005508B8">
        <w:rPr>
          <w:rFonts w:ascii="TimesNewRomanPS-ItalicMT" w:eastAsia="Calibri" w:hAnsi="TimesNewRomanPS-ItalicMT" w:cs="TimesNewRomanPS-ItalicMT"/>
          <w:i/>
          <w:iCs/>
        </w:rPr>
        <w:t>but see Hara v. Netflix, Inc.</w:t>
      </w:r>
      <w:r w:rsidR="005508B8" w:rsidRPr="005508B8">
        <w:rPr>
          <w:rFonts w:ascii="TimesNewRomanPSMT" w:eastAsia="Calibri" w:hAnsi="TimesNewRomanPSMT" w:cs="TimesNewRomanPSMT"/>
        </w:rPr>
        <w:t xml:space="preserve">, 146 F.4th 872, 878 (9th Cir. 2025) (in observing that the </w:t>
      </w:r>
      <w:r w:rsidR="005508B8" w:rsidRPr="005508B8">
        <w:rPr>
          <w:rFonts w:ascii="TimesNewRomanPS-ItalicMT" w:eastAsia="Calibri" w:hAnsi="TimesNewRomanPS-ItalicMT" w:cs="TimesNewRomanPS-ItalicMT"/>
          <w:i/>
          <w:iCs/>
        </w:rPr>
        <w:t>Jack Daniel’s</w:t>
      </w:r>
      <w:r w:rsidR="005508B8" w:rsidRPr="005508B8">
        <w:rPr>
          <w:rFonts w:ascii="TimesNewRomanPSMT" w:eastAsia="Calibri" w:hAnsi="TimesNewRomanPSMT" w:cs="TimesNewRomanPSMT"/>
        </w:rPr>
        <w:t xml:space="preserve"> court decision was “narrow” and did not reach the validity of the </w:t>
      </w:r>
      <w:r w:rsidR="005508B8" w:rsidRPr="005508B8">
        <w:rPr>
          <w:rFonts w:ascii="TimesNewRomanPS-ItalicMT" w:eastAsia="Calibri" w:hAnsi="TimesNewRomanPS-ItalicMT" w:cs="TimesNewRomanPS-ItalicMT"/>
          <w:i/>
          <w:iCs/>
        </w:rPr>
        <w:t xml:space="preserve">Rogers </w:t>
      </w:r>
      <w:r w:rsidR="005508B8" w:rsidRPr="005508B8">
        <w:rPr>
          <w:rFonts w:ascii="TimesNewRomanPSMT" w:eastAsia="Calibri" w:hAnsi="TimesNewRomanPSMT" w:cs="TimesNewRomanPSMT"/>
        </w:rPr>
        <w:t>test, holding that the test applies because the ten-second use of the plaintiff’s “image and likeness in one episode of [an animated television series] and the related teaser and still image in no way suggests or identifies [the plaintiff] as a source or origin of the show”)</w:t>
      </w:r>
      <w:r w:rsidRPr="005508B8">
        <w:rPr>
          <w:rFonts w:eastAsia="Times New Roman" w:cs="Times New Roman"/>
          <w:szCs w:val="24"/>
        </w:rPr>
        <w:t xml:space="preserve">. </w:t>
      </w:r>
      <w:r w:rsidRPr="002B283E">
        <w:rPr>
          <w:rFonts w:eastAsia="Times New Roman" w:cs="Times New Roman"/>
          <w:szCs w:val="24"/>
        </w:rPr>
        <w:t xml:space="preserve">That determination is informed by looking at the context in which the alleged infringing mark is being used, including “the way the product is marketed.” </w:t>
      </w:r>
      <w:r w:rsidRPr="002B283E">
        <w:rPr>
          <w:rFonts w:eastAsia="Times New Roman" w:cs="Times New Roman"/>
          <w:i/>
          <w:iCs/>
          <w:szCs w:val="24"/>
        </w:rPr>
        <w:t>Id</w:t>
      </w:r>
      <w:r w:rsidRPr="002B283E">
        <w:rPr>
          <w:rFonts w:eastAsia="Times New Roman" w:cs="Times New Roman"/>
          <w:szCs w:val="24"/>
        </w:rPr>
        <w:t xml:space="preserve">. at 160; </w:t>
      </w:r>
      <w:r w:rsidRPr="002B283E">
        <w:rPr>
          <w:rFonts w:eastAsia="Times New Roman" w:cs="Times New Roman"/>
          <w:i/>
          <w:iCs/>
          <w:szCs w:val="24"/>
        </w:rPr>
        <w:t>see also Punchbowl</w:t>
      </w:r>
      <w:r w:rsidRPr="002B283E">
        <w:rPr>
          <w:rFonts w:eastAsia="Times New Roman" w:cs="Times New Roman"/>
          <w:szCs w:val="24"/>
        </w:rPr>
        <w:t xml:space="preserve">, 90 F.4th at 1031 (stating that, because the alleged infringer had filed trademark applications to register its mark and used its mark to identify and distinguish its new products, it was using its mark to “designate the source of its own goods—in other words, has used a trademark as a trademark.” (quoting </w:t>
      </w:r>
      <w:r w:rsidRPr="002B283E">
        <w:rPr>
          <w:rFonts w:eastAsia="Times New Roman" w:cs="Times New Roman"/>
          <w:i/>
          <w:iCs/>
          <w:szCs w:val="24"/>
        </w:rPr>
        <w:t>Jack Daniel’s</w:t>
      </w:r>
      <w:r w:rsidRPr="002B283E">
        <w:rPr>
          <w:rFonts w:eastAsia="Times New Roman" w:cs="Times New Roman"/>
          <w:szCs w:val="24"/>
        </w:rPr>
        <w:t>, 599 U.S. at 145)).</w:t>
      </w:r>
      <w:r w:rsidRPr="002B283E">
        <w:rPr>
          <w:rFonts w:cs="Times New Roman"/>
          <w:szCs w:val="24"/>
          <w14:ligatures w14:val="standardContextual"/>
        </w:rPr>
        <w:t xml:space="preserve"> </w:t>
      </w:r>
      <w:r w:rsidRPr="002B283E">
        <w:rPr>
          <w:rFonts w:eastAsia="Times New Roman" w:cs="Times New Roman"/>
          <w:szCs w:val="24"/>
        </w:rPr>
        <w:t>Trademark use may require factual findings made by jury.</w:t>
      </w:r>
      <w:r w:rsidRPr="002B283E">
        <w:rPr>
          <w:rFonts w:eastAsia="Times New Roman" w:cs="Times New Roman"/>
          <w:i/>
          <w:iCs/>
          <w:szCs w:val="24"/>
        </w:rPr>
        <w:t xml:space="preserve"> See</w:t>
      </w:r>
      <w:r w:rsidRPr="002B283E">
        <w:rPr>
          <w:rFonts w:eastAsia="Times New Roman" w:cs="Times New Roman"/>
          <w:szCs w:val="24"/>
        </w:rPr>
        <w:t xml:space="preserve"> 1 </w:t>
      </w:r>
      <w:r w:rsidRPr="002B283E">
        <w:rPr>
          <w:rFonts w:eastAsia="Times New Roman" w:cs="Times New Roman"/>
          <w:smallCaps/>
          <w:szCs w:val="24"/>
        </w:rPr>
        <w:t>J. Thomas McCarthy, McCarthy on Trademarks and Unfair Competition</w:t>
      </w:r>
      <w:r w:rsidRPr="002B283E">
        <w:rPr>
          <w:rFonts w:eastAsia="Times New Roman" w:cs="Times New Roman"/>
          <w:szCs w:val="24"/>
        </w:rPr>
        <w:t xml:space="preserve"> § 3:4 (5th ed. 2019) </w:t>
      </w:r>
      <w:bookmarkStart w:id="364" w:name="Instruction_15.19A"/>
      <w:bookmarkEnd w:id="364"/>
      <w:r w:rsidRPr="002B283E">
        <w:rPr>
          <w:rFonts w:cs="Times New Roman"/>
          <w:szCs w:val="24"/>
        </w:rPr>
        <w:t xml:space="preserve">(“The </w:t>
      </w:r>
      <w:r w:rsidRPr="002B283E">
        <w:rPr>
          <w:rFonts w:eastAsia="Times New Roman" w:cs="Times New Roman"/>
          <w:szCs w:val="24"/>
        </w:rPr>
        <w:lastRenderedPageBreak/>
        <w:t xml:space="preserve">key question is whether, as actually used, the designation is likely to be recognized </w:t>
      </w:r>
      <w:r w:rsidR="009C16EF">
        <w:rPr>
          <w:rFonts w:eastAsia="Times New Roman" w:cs="Times New Roman"/>
          <w:szCs w:val="24"/>
        </w:rPr>
        <w:t xml:space="preserve">. . . </w:t>
      </w:r>
      <w:r w:rsidRPr="002B283E">
        <w:rPr>
          <w:rFonts w:eastAsia="Times New Roman" w:cs="Times New Roman"/>
          <w:szCs w:val="24"/>
        </w:rPr>
        <w:t>as an indication of origin for this particular product or service.”).</w:t>
      </w:r>
    </w:p>
    <w:p w14:paraId="3A55C0AA" w14:textId="77777777" w:rsidR="009C16EF" w:rsidRPr="002B283E" w:rsidRDefault="009C16EF" w:rsidP="002B283E">
      <w:pPr>
        <w:ind w:firstLine="720"/>
        <w:rPr>
          <w:rFonts w:cs="Times New Roman"/>
          <w:szCs w:val="24"/>
        </w:rPr>
      </w:pPr>
    </w:p>
    <w:p w14:paraId="612F2445" w14:textId="77777777" w:rsidR="00393A02" w:rsidRPr="002B283E" w:rsidRDefault="00393A02" w:rsidP="002B283E">
      <w:pPr>
        <w:widowControl w:val="0"/>
        <w:ind w:firstLine="720"/>
        <w:rPr>
          <w:rFonts w:eastAsia="Times New Roman" w:cs="Times New Roman"/>
          <w:szCs w:val="24"/>
        </w:rPr>
      </w:pPr>
      <w:r w:rsidRPr="002B283E">
        <w:rPr>
          <w:rFonts w:eastAsia="Times New Roman" w:cs="Times New Roman"/>
          <w:szCs w:val="24"/>
        </w:rPr>
        <w:t xml:space="preserve">Second, if the alleged infringing mark is not used as a trademark, the court must determine if the defendant met its burden by showing that “its allegedly infringing use is part of an expressive work protected by the First Amendment.” </w:t>
      </w:r>
      <w:r w:rsidRPr="002B283E">
        <w:rPr>
          <w:rFonts w:eastAsia="Times New Roman" w:cs="Times New Roman"/>
          <w:i/>
          <w:iCs/>
          <w:szCs w:val="24"/>
        </w:rPr>
        <w:t>Punchbowl</w:t>
      </w:r>
      <w:r w:rsidRPr="002B283E">
        <w:rPr>
          <w:rFonts w:eastAsia="Times New Roman" w:cs="Times New Roman"/>
          <w:szCs w:val="24"/>
        </w:rPr>
        <w:t xml:space="preserve">, 90 F.4th 1022, 1028; </w:t>
      </w:r>
      <w:r w:rsidRPr="002B283E">
        <w:rPr>
          <w:rFonts w:eastAsia="Times New Roman" w:cs="Times New Roman"/>
          <w:i/>
          <w:iCs/>
          <w:szCs w:val="24"/>
        </w:rPr>
        <w:t>Twentieth Century Fox Television v. Empire Distrib.</w:t>
      </w:r>
      <w:r w:rsidRPr="002B283E">
        <w:rPr>
          <w:rFonts w:eastAsia="Times New Roman" w:cs="Times New Roman"/>
          <w:szCs w:val="24"/>
        </w:rPr>
        <w:t xml:space="preserve">, 875 F.3d 1192, 1196 (9th Cir. 2017) (noting that whether a mark is an expressive work is a legal question); </w:t>
      </w:r>
      <w:r w:rsidRPr="002B283E">
        <w:rPr>
          <w:rFonts w:eastAsia="Times New Roman" w:cs="Times New Roman"/>
          <w:i/>
          <w:iCs/>
          <w:szCs w:val="24"/>
        </w:rPr>
        <w:t>Punchbowl</w:t>
      </w:r>
      <w:r w:rsidRPr="002B283E">
        <w:rPr>
          <w:rFonts w:eastAsia="Times New Roman" w:cs="Times New Roman"/>
          <w:szCs w:val="24"/>
        </w:rPr>
        <w:t xml:space="preserve">, 90 F.4th at 1031 (observing that, because </w:t>
      </w:r>
      <w:r w:rsidRPr="002B283E">
        <w:rPr>
          <w:rFonts w:cs="Times New Roman"/>
          <w:i/>
          <w:szCs w:val="24"/>
        </w:rPr>
        <w:t>Jack Daniel’s</w:t>
      </w:r>
      <w:r w:rsidRPr="002B283E">
        <w:rPr>
          <w:rFonts w:cs="Times New Roman"/>
          <w:szCs w:val="24"/>
        </w:rPr>
        <w:t xml:space="preserve"> </w:t>
      </w:r>
      <w:r w:rsidRPr="002B283E">
        <w:rPr>
          <w:rFonts w:eastAsia="Times New Roman" w:cs="Times New Roman"/>
          <w:szCs w:val="24"/>
        </w:rPr>
        <w:t xml:space="preserve">was confined to a “narrow” point of law (that is, </w:t>
      </w:r>
      <w:r w:rsidRPr="002B283E">
        <w:rPr>
          <w:rFonts w:cs="Times New Roman"/>
          <w:i/>
          <w:szCs w:val="24"/>
        </w:rPr>
        <w:t>Rogers</w:t>
      </w:r>
      <w:r w:rsidRPr="002B283E">
        <w:rPr>
          <w:rFonts w:eastAsia="Times New Roman" w:cs="Times New Roman"/>
          <w:szCs w:val="24"/>
        </w:rPr>
        <w:t xml:space="preserve"> does not apply when a mark is used as a mark), “preexisting Ninth Circuit precedent adopting and applying </w:t>
      </w:r>
      <w:r w:rsidRPr="002B283E">
        <w:rPr>
          <w:rFonts w:eastAsia="Times New Roman" w:cs="Times New Roman"/>
          <w:i/>
          <w:iCs/>
          <w:szCs w:val="24"/>
        </w:rPr>
        <w:t>Rogers</w:t>
      </w:r>
      <w:r w:rsidRPr="002B283E">
        <w:rPr>
          <w:rFonts w:eastAsia="Times New Roman" w:cs="Times New Roman"/>
          <w:szCs w:val="24"/>
        </w:rPr>
        <w:t xml:space="preserve"> otherwise remains intact”). A work is expressive if it “is communicating ideas or expressing points of view.” </w:t>
      </w:r>
      <w:r w:rsidRPr="002B283E">
        <w:rPr>
          <w:rFonts w:eastAsia="Times New Roman" w:cs="Times New Roman"/>
          <w:i/>
          <w:iCs/>
          <w:szCs w:val="24"/>
        </w:rPr>
        <w:t>Mattel</w:t>
      </w:r>
      <w:r w:rsidRPr="002B283E">
        <w:rPr>
          <w:rFonts w:eastAsia="Times New Roman" w:cs="Times New Roman"/>
          <w:szCs w:val="24"/>
        </w:rPr>
        <w:t xml:space="preserve">, 296 F.3d at 900 (quoting </w:t>
      </w:r>
      <w:r w:rsidRPr="002B283E">
        <w:rPr>
          <w:rFonts w:eastAsia="Times New Roman" w:cs="Times New Roman"/>
          <w:i/>
          <w:iCs/>
          <w:szCs w:val="24"/>
        </w:rPr>
        <w:t>L.L. Bean, Inc.</w:t>
      </w:r>
      <w:r w:rsidRPr="002B283E">
        <w:rPr>
          <w:rFonts w:cs="Times New Roman"/>
          <w:i/>
          <w:szCs w:val="24"/>
        </w:rPr>
        <w:t xml:space="preserve"> v. </w:t>
      </w:r>
      <w:r w:rsidRPr="002B283E">
        <w:rPr>
          <w:rFonts w:eastAsia="Times New Roman" w:cs="Times New Roman"/>
          <w:i/>
          <w:iCs/>
          <w:szCs w:val="24"/>
        </w:rPr>
        <w:t>Drake Publishers</w:t>
      </w:r>
      <w:r w:rsidRPr="002B283E">
        <w:rPr>
          <w:rFonts w:eastAsia="Times New Roman" w:cs="Times New Roman"/>
          <w:szCs w:val="24"/>
        </w:rPr>
        <w:t xml:space="preserve">, </w:t>
      </w:r>
      <w:r w:rsidRPr="002B283E">
        <w:rPr>
          <w:rFonts w:eastAsia="Times New Roman" w:cs="Times New Roman"/>
          <w:i/>
          <w:iCs/>
          <w:szCs w:val="24"/>
        </w:rPr>
        <w:t>Inc.</w:t>
      </w:r>
      <w:r w:rsidRPr="002B283E">
        <w:rPr>
          <w:rFonts w:eastAsia="Times New Roman" w:cs="Times New Roman"/>
          <w:szCs w:val="24"/>
        </w:rPr>
        <w:t xml:space="preserve">, 811 F.2d 26, 29 (1st Cir. 1987)). </w:t>
      </w:r>
      <w:r w:rsidRPr="002B283E">
        <w:rPr>
          <w:rFonts w:eastAsia="Times New Roman" w:cs="Times New Roman"/>
          <w:i/>
          <w:iCs/>
          <w:szCs w:val="24"/>
        </w:rPr>
        <w:t>See also Brown v. Electronic Arts, Inc.</w:t>
      </w:r>
      <w:r w:rsidRPr="002B283E">
        <w:rPr>
          <w:rFonts w:eastAsia="Times New Roman" w:cs="Times New Roman"/>
          <w:szCs w:val="24"/>
        </w:rPr>
        <w:t xml:space="preserve">, 724 F.3d 1235, 1241 (9th Cir. 2013) (observing that the </w:t>
      </w:r>
      <w:r w:rsidRPr="002B283E">
        <w:rPr>
          <w:rFonts w:eastAsia="Times New Roman" w:cs="Times New Roman"/>
          <w:i/>
          <w:iCs/>
          <w:szCs w:val="24"/>
        </w:rPr>
        <w:t>Rogers</w:t>
      </w:r>
      <w:r w:rsidRPr="002B283E">
        <w:rPr>
          <w:rFonts w:eastAsia="Times New Roman" w:cs="Times New Roman"/>
          <w:szCs w:val="24"/>
        </w:rPr>
        <w:t xml:space="preserve"> test protects an expressive work even if it is “not the expressive equal of Anna Karenina or Citizen Kane”).</w:t>
      </w:r>
    </w:p>
    <w:p w14:paraId="72035D0E" w14:textId="77777777" w:rsidR="00702E5F" w:rsidRDefault="00702E5F" w:rsidP="002B283E">
      <w:pPr>
        <w:widowControl w:val="0"/>
        <w:ind w:left="100" w:right="129" w:firstLine="720"/>
        <w:rPr>
          <w:rFonts w:cs="Times New Roman"/>
          <w:szCs w:val="24"/>
        </w:rPr>
      </w:pPr>
    </w:p>
    <w:p w14:paraId="688F4C8C" w14:textId="2B6237CC" w:rsidR="00393A02" w:rsidRPr="002B283E" w:rsidRDefault="00393A02" w:rsidP="002B283E">
      <w:pPr>
        <w:widowControl w:val="0"/>
        <w:ind w:left="100" w:right="129" w:firstLine="720"/>
        <w:rPr>
          <w:rFonts w:cs="Times New Roman"/>
          <w:szCs w:val="24"/>
        </w:rPr>
      </w:pPr>
      <w:r w:rsidRPr="002B283E">
        <w:rPr>
          <w:rFonts w:cs="Times New Roman"/>
          <w:szCs w:val="24"/>
        </w:rPr>
        <w:t xml:space="preserve">If the alleged infringing mark is not used as a trademark and is an expressive work, the </w:t>
      </w:r>
      <w:r w:rsidRPr="002B283E">
        <w:rPr>
          <w:rFonts w:cs="Times New Roman"/>
          <w:i/>
          <w:iCs/>
          <w:szCs w:val="24"/>
        </w:rPr>
        <w:t>Rogers</w:t>
      </w:r>
      <w:r w:rsidRPr="002B283E">
        <w:rPr>
          <w:rFonts w:cs="Times New Roman"/>
          <w:szCs w:val="24"/>
        </w:rPr>
        <w:t xml:space="preserve"> test tasks the plaintiff with proving that the defendant’s use of the plaintiff’s mark is not artistically relevant to the work or explicitly misleads consumers as to the source or the content of the work. </w:t>
      </w:r>
      <w:r w:rsidRPr="002B283E">
        <w:rPr>
          <w:rFonts w:cs="Times New Roman"/>
          <w:i/>
          <w:iCs/>
          <w:szCs w:val="24"/>
        </w:rPr>
        <w:t>Punchbowl</w:t>
      </w:r>
      <w:r w:rsidRPr="002B283E">
        <w:rPr>
          <w:rFonts w:cs="Times New Roman"/>
          <w:szCs w:val="24"/>
        </w:rPr>
        <w:t xml:space="preserve">, 90 F.4th at 1028 (citing </w:t>
      </w:r>
      <w:r w:rsidRPr="002B283E">
        <w:rPr>
          <w:rFonts w:cs="Times New Roman"/>
          <w:i/>
          <w:szCs w:val="24"/>
        </w:rPr>
        <w:t>Gordon</w:t>
      </w:r>
      <w:r w:rsidRPr="002B283E">
        <w:rPr>
          <w:rFonts w:cs="Times New Roman"/>
          <w:szCs w:val="24"/>
        </w:rPr>
        <w:t xml:space="preserve">, 909 F.3d at 264). Because “the level of artistic relevance of the trademark or other identifying material to the work merely must </w:t>
      </w:r>
      <w:r w:rsidRPr="002B283E">
        <w:rPr>
          <w:rFonts w:eastAsia="Times New Roman" w:cs="Times New Roman"/>
          <w:szCs w:val="24"/>
        </w:rPr>
        <w:t>be above zero,” this</w:t>
      </w:r>
      <w:r w:rsidRPr="002B283E">
        <w:rPr>
          <w:rFonts w:cs="Times New Roman"/>
          <w:szCs w:val="24"/>
        </w:rPr>
        <w:t xml:space="preserve"> instruction assumes that the </w:t>
      </w:r>
      <w:r w:rsidRPr="002B283E">
        <w:rPr>
          <w:rFonts w:eastAsia="Times New Roman" w:cs="Times New Roman"/>
          <w:szCs w:val="24"/>
        </w:rPr>
        <w:t>artistic relevance</w:t>
      </w:r>
      <w:r w:rsidRPr="002B283E">
        <w:rPr>
          <w:rFonts w:cs="Times New Roman"/>
          <w:szCs w:val="24"/>
        </w:rPr>
        <w:t xml:space="preserve"> prong will have been decided by the trial court. </w:t>
      </w:r>
      <w:r w:rsidRPr="002B283E">
        <w:rPr>
          <w:rFonts w:cs="Times New Roman"/>
          <w:i/>
          <w:szCs w:val="24"/>
        </w:rPr>
        <w:t>See Gordon</w:t>
      </w:r>
      <w:r w:rsidRPr="002B283E">
        <w:rPr>
          <w:rFonts w:cs="Times New Roman"/>
          <w:szCs w:val="24"/>
        </w:rPr>
        <w:t xml:space="preserve">, 909 F.3d at 269 (noting that “the slightest artistic relevance” will suffice to prove first prong of </w:t>
      </w:r>
      <w:r w:rsidRPr="002B283E">
        <w:rPr>
          <w:rFonts w:cs="Times New Roman"/>
          <w:i/>
          <w:szCs w:val="24"/>
        </w:rPr>
        <w:t xml:space="preserve">Rogers </w:t>
      </w:r>
      <w:r w:rsidRPr="002B283E">
        <w:rPr>
          <w:rFonts w:cs="Times New Roman"/>
          <w:szCs w:val="24"/>
        </w:rPr>
        <w:t>test).</w:t>
      </w:r>
      <w:r w:rsidRPr="002B283E">
        <w:rPr>
          <w:rFonts w:eastAsia="Times New Roman" w:cs="Times New Roman"/>
          <w:szCs w:val="24"/>
        </w:rPr>
        <w:t xml:space="preserve"> </w:t>
      </w:r>
    </w:p>
    <w:p w14:paraId="5C787CC3" w14:textId="77777777" w:rsidR="00393A02" w:rsidRPr="002B283E" w:rsidRDefault="00393A02" w:rsidP="002B283E">
      <w:pPr>
        <w:widowControl w:val="0"/>
        <w:ind w:left="100" w:right="129" w:firstLine="720"/>
        <w:rPr>
          <w:rFonts w:eastAsia="Times New Roman" w:cs="Times New Roman"/>
          <w:szCs w:val="24"/>
        </w:rPr>
      </w:pPr>
    </w:p>
    <w:p w14:paraId="15571FE1" w14:textId="68FFE348"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has not met its burden of proving no artistic relevance, then the jury must decide if the alleged infringing mark is explicitly misleading. The defendant’s use of the mark is explicitly misleading only if it explicitly misleads consumers into believing that the plaintiff sponsored or is somehow associated with the allegedly infringing mark. </w:t>
      </w:r>
      <w:r w:rsidRPr="002B283E">
        <w:rPr>
          <w:rFonts w:eastAsia="Times New Roman" w:cs="Times New Roman"/>
          <w:i/>
          <w:iCs/>
          <w:szCs w:val="24"/>
        </w:rPr>
        <w:t>Gordon</w:t>
      </w:r>
      <w:r w:rsidRPr="002B283E">
        <w:rPr>
          <w:rFonts w:eastAsia="Times New Roman" w:cs="Times New Roman"/>
          <w:szCs w:val="24"/>
        </w:rPr>
        <w:t xml:space="preserve">, 909 F.3d at 270; </w:t>
      </w:r>
      <w:r w:rsidRPr="002B283E">
        <w:rPr>
          <w:rFonts w:eastAsia="Times New Roman" w:cs="Times New Roman"/>
          <w:i/>
          <w:iCs/>
          <w:szCs w:val="24"/>
        </w:rPr>
        <w:t>see also Punchbowl</w:t>
      </w:r>
      <w:r w:rsidRPr="002B283E">
        <w:rPr>
          <w:rFonts w:eastAsia="Times New Roman" w:cs="Times New Roman"/>
          <w:szCs w:val="24"/>
        </w:rPr>
        <w:t>, 90 F.4th at 1028 (observing that to be explicitly misleading, “there must be an explicit indication, overt claim, or explicit misstatement about the source of the work” (citation and internal quotation marks omitted)</w:t>
      </w:r>
      <w:r w:rsidR="00490580">
        <w:rPr>
          <w:rFonts w:eastAsia="Times New Roman" w:cs="Times New Roman"/>
          <w:szCs w:val="24"/>
        </w:rPr>
        <w:t>)</w:t>
      </w:r>
      <w:r w:rsidRPr="002B283E">
        <w:rPr>
          <w:rFonts w:eastAsia="Times New Roman" w:cs="Times New Roman"/>
          <w:szCs w:val="24"/>
        </w:rPr>
        <w:t>.</w:t>
      </w:r>
    </w:p>
    <w:p w14:paraId="4A6EC8D0" w14:textId="77777777" w:rsidR="00393A02" w:rsidRPr="002B283E" w:rsidRDefault="00393A02" w:rsidP="002B283E">
      <w:pPr>
        <w:widowControl w:val="0"/>
        <w:ind w:left="100" w:right="129" w:firstLine="720"/>
        <w:rPr>
          <w:rFonts w:eastAsia="Times New Roman" w:cs="Times New Roman"/>
          <w:szCs w:val="24"/>
        </w:rPr>
      </w:pPr>
    </w:p>
    <w:p w14:paraId="171AB7BF" w14:textId="0C82A68A"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meets this burden, the plaintiff must proceed to prove trademark infringement under the Lanham Act. </w:t>
      </w:r>
      <w:r w:rsidRPr="002B283E">
        <w:rPr>
          <w:rFonts w:eastAsia="Times New Roman" w:cs="Times New Roman"/>
          <w:i/>
          <w:iCs/>
          <w:szCs w:val="24"/>
        </w:rPr>
        <w:t>See</w:t>
      </w:r>
      <w:r w:rsidRPr="002B283E">
        <w:rPr>
          <w:rFonts w:eastAsia="Times New Roman" w:cs="Times New Roman"/>
          <w:szCs w:val="24"/>
        </w:rPr>
        <w:t xml:space="preserve"> Instruction</w:t>
      </w:r>
      <w:r w:rsidR="0081679E">
        <w:rPr>
          <w:rFonts w:eastAsia="Times New Roman" w:cs="Times New Roman"/>
          <w:szCs w:val="24"/>
        </w:rPr>
        <w:t xml:space="preserve"> </w:t>
      </w:r>
      <w:r w:rsidRPr="002B283E">
        <w:rPr>
          <w:rFonts w:eastAsia="Times New Roman" w:cs="Times New Roman"/>
          <w:szCs w:val="24"/>
        </w:rPr>
        <w:t>15.6</w:t>
      </w:r>
      <w:r w:rsidR="0081679E">
        <w:rPr>
          <w:rFonts w:eastAsia="Times New Roman" w:cs="Times New Roman"/>
          <w:szCs w:val="24"/>
        </w:rPr>
        <w:t xml:space="preserve"> (</w:t>
      </w:r>
      <w:r w:rsidR="0081679E" w:rsidRPr="0081679E">
        <w:rPr>
          <w:rFonts w:eastAsia="Times New Roman" w:cs="Times New Roman"/>
          <w:szCs w:val="24"/>
        </w:rPr>
        <w:t>Infringement—Elements and Burden of Proof—Trademark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15.9</w:t>
      </w:r>
      <w:r w:rsidR="0081679E">
        <w:rPr>
          <w:rFonts w:eastAsia="Times New Roman" w:cs="Times New Roman"/>
          <w:szCs w:val="24"/>
        </w:rPr>
        <w:t xml:space="preserve"> (</w:t>
      </w:r>
      <w:r w:rsidR="0081679E" w:rsidRPr="0081679E">
        <w:rPr>
          <w:rFonts w:eastAsia="Times New Roman" w:cs="Times New Roman"/>
          <w:szCs w:val="24"/>
        </w:rPr>
        <w:t>Infringement—Elements—Validity—Unregistered Marks</w:t>
      </w:r>
      <w:r w:rsidR="0081679E">
        <w:rPr>
          <w:rFonts w:eastAsia="Times New Roman" w:cs="Times New Roman"/>
          <w:szCs w:val="24"/>
        </w:rPr>
        <w:t xml:space="preserve">); </w:t>
      </w:r>
      <w:r w:rsidR="0081679E" w:rsidRPr="002B283E">
        <w:rPr>
          <w:rFonts w:cs="Times New Roman"/>
          <w:szCs w:val="24"/>
        </w:rPr>
        <w:t>Instruction</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w:t>
      </w:r>
      <w:r w:rsidRPr="002B283E">
        <w:rPr>
          <w:rFonts w:eastAsia="Times New Roman" w:cs="Times New Roman"/>
          <w:szCs w:val="24"/>
        </w:rPr>
        <w:t>. If the jury finds that the allegedly infringing mark was not explicitly misleading, the trademark infringement claim falls outside the Lanham Act.</w:t>
      </w:r>
    </w:p>
    <w:p w14:paraId="7707C83D" w14:textId="77777777" w:rsidR="00393A02" w:rsidRPr="002B283E" w:rsidRDefault="00393A02" w:rsidP="002B283E">
      <w:pPr>
        <w:rPr>
          <w:rFonts w:cs="Times New Roman"/>
          <w:szCs w:val="24"/>
        </w:rPr>
      </w:pPr>
    </w:p>
    <w:p w14:paraId="4CCFC61C" w14:textId="52067F5A" w:rsidR="004D6870" w:rsidRPr="002B283E" w:rsidRDefault="00393A02" w:rsidP="002B283E">
      <w:pPr>
        <w:jc w:val="right"/>
        <w:rPr>
          <w:rFonts w:cs="Times New Roman"/>
          <w:i/>
          <w:iCs/>
          <w:szCs w:val="24"/>
        </w:rPr>
      </w:pPr>
      <w:r w:rsidRPr="002B283E">
        <w:rPr>
          <w:rFonts w:cs="Times New Roman"/>
          <w:i/>
          <w:iCs/>
          <w:szCs w:val="24"/>
        </w:rPr>
        <w:t xml:space="preserve">Revised </w:t>
      </w:r>
      <w:r w:rsidR="005508B8">
        <w:rPr>
          <w:rFonts w:cs="Times New Roman"/>
          <w:i/>
          <w:iCs/>
          <w:szCs w:val="24"/>
        </w:rPr>
        <w:t xml:space="preserve">December </w:t>
      </w:r>
      <w:r w:rsidRPr="002B283E">
        <w:rPr>
          <w:rFonts w:cs="Times New Roman"/>
          <w:i/>
          <w:iCs/>
          <w:szCs w:val="24"/>
        </w:rPr>
        <w:t>202</w:t>
      </w:r>
      <w:r w:rsidR="005508B8">
        <w:rPr>
          <w:rFonts w:cs="Times New Roman"/>
          <w:i/>
          <w:iCs/>
          <w:szCs w:val="24"/>
        </w:rPr>
        <w:t>5</w:t>
      </w:r>
    </w:p>
    <w:p w14:paraId="1A4C66A2" w14:textId="7143F24E" w:rsidR="006A4CD7" w:rsidRPr="002B283E" w:rsidRDefault="006A4CD7" w:rsidP="002B283E">
      <w:pPr>
        <w:pStyle w:val="Heading2"/>
      </w:pPr>
      <w:r w:rsidRPr="002B283E">
        <w:br w:type="page"/>
      </w:r>
      <w:bookmarkStart w:id="365" w:name="_Toc221525287"/>
      <w:r w:rsidRPr="002B283E">
        <w:lastRenderedPageBreak/>
        <w:t>15.2</w:t>
      </w:r>
      <w:r w:rsidR="0008651C">
        <w:t>1</w:t>
      </w:r>
      <w:r w:rsidRPr="002B283E">
        <w:t xml:space="preserve"> </w:t>
      </w:r>
      <w:r w:rsidR="002D3E69" w:rsidRPr="002B283E">
        <w:t>Derivative Liability—Inducing Infringement</w:t>
      </w:r>
      <w:bookmarkEnd w:id="365"/>
    </w:p>
    <w:p w14:paraId="000A18D1" w14:textId="77777777" w:rsidR="006A4CD7" w:rsidRPr="002B283E" w:rsidRDefault="006A4CD7" w:rsidP="002B283E">
      <w:pPr>
        <w:rPr>
          <w:rFonts w:cs="Times New Roman"/>
          <w:szCs w:val="24"/>
        </w:rPr>
      </w:pPr>
    </w:p>
    <w:p w14:paraId="4F242DAB" w14:textId="77777777" w:rsidR="00974780" w:rsidRPr="002B283E" w:rsidRDefault="006A4CD7" w:rsidP="002B283E">
      <w:pPr>
        <w:jc w:val="both"/>
        <w:rPr>
          <w:rFonts w:cs="Times New Roman"/>
          <w:szCs w:val="24"/>
        </w:rPr>
      </w:pPr>
      <w:r w:rsidRPr="002B283E">
        <w:rPr>
          <w:rFonts w:cs="Times New Roman"/>
          <w:szCs w:val="24"/>
        </w:rPr>
        <w:tab/>
      </w:r>
      <w:r w:rsidR="00974780" w:rsidRPr="002B283E">
        <w:rPr>
          <w:rFonts w:cs="Times New Roman"/>
          <w:szCs w:val="24"/>
        </w:rPr>
        <w:t xml:space="preserve">A person is liable for trademark infringement by another if the person intentionally induced another to infringe the trademark. </w:t>
      </w:r>
    </w:p>
    <w:p w14:paraId="39F8D642" w14:textId="77777777" w:rsidR="00974780" w:rsidRPr="002B283E" w:rsidRDefault="00974780" w:rsidP="002B283E">
      <w:pPr>
        <w:rPr>
          <w:rFonts w:cs="Times New Roman"/>
          <w:szCs w:val="24"/>
        </w:rPr>
      </w:pPr>
    </w:p>
    <w:p w14:paraId="1A40735A" w14:textId="1EC98E3F" w:rsidR="00974780" w:rsidRPr="002B283E" w:rsidRDefault="00974780"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5960136" w14:textId="77777777" w:rsidR="00974780" w:rsidRPr="002B283E" w:rsidRDefault="00974780" w:rsidP="002B283E">
      <w:pPr>
        <w:rPr>
          <w:rFonts w:cs="Times New Roman"/>
          <w:szCs w:val="24"/>
        </w:rPr>
      </w:pPr>
    </w:p>
    <w:p w14:paraId="56B95353" w14:textId="2A492B4B" w:rsidR="00974780" w:rsidRPr="002B283E" w:rsidRDefault="00974780" w:rsidP="008A04C2">
      <w:pPr>
        <w:ind w:firstLine="720"/>
        <w:rPr>
          <w:rFonts w:cs="Times New Roman"/>
          <w:szCs w:val="24"/>
        </w:rPr>
      </w:pPr>
      <w:r w:rsidRPr="002B283E">
        <w:rPr>
          <w:rFonts w:cs="Times New Roman"/>
          <w:szCs w:val="24"/>
        </w:rPr>
        <w:t>First, [</w:t>
      </w:r>
      <w:r w:rsidRPr="002B283E">
        <w:rPr>
          <w:rFonts w:cs="Times New Roman"/>
          <w:i/>
          <w:iCs/>
          <w:szCs w:val="24"/>
          <w:u w:val="single"/>
        </w:rPr>
        <w:t>name</w:t>
      </w:r>
      <w:r w:rsidRPr="002B283E">
        <w:rPr>
          <w:rFonts w:cs="Times New Roman"/>
          <w:i/>
          <w:szCs w:val="24"/>
          <w:u w:val="single"/>
        </w:rPr>
        <w:t xml:space="preserve"> of direct infringer</w:t>
      </w:r>
      <w:r w:rsidRPr="002B283E">
        <w:rPr>
          <w:rFonts w:cs="Times New Roman"/>
          <w:szCs w:val="24"/>
        </w:rPr>
        <w:t>] infringed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EBE87C6" w14:textId="77777777" w:rsidR="00974780" w:rsidRPr="002B283E" w:rsidRDefault="00974780" w:rsidP="008A04C2">
      <w:pPr>
        <w:ind w:firstLine="720"/>
        <w:rPr>
          <w:rFonts w:cs="Times New Roman"/>
          <w:szCs w:val="24"/>
        </w:rPr>
      </w:pPr>
    </w:p>
    <w:p w14:paraId="0E6B6AA2" w14:textId="52F8CDCD" w:rsidR="00974780" w:rsidRPr="002B283E" w:rsidRDefault="00974780" w:rsidP="008A04C2">
      <w:pPr>
        <w:ind w:firstLine="720"/>
        <w:rPr>
          <w:rFonts w:cs="Times New Roman"/>
          <w:szCs w:val="24"/>
        </w:rPr>
      </w:pPr>
      <w:r w:rsidRPr="002B283E">
        <w:rPr>
          <w:rFonts w:cs="Times New Roman"/>
          <w:szCs w:val="24"/>
        </w:rPr>
        <w:t xml:space="preserve">Second,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intentionally induced [</w:t>
      </w:r>
      <w:r w:rsidRPr="002B283E">
        <w:rPr>
          <w:rFonts w:cs="Times New Roman"/>
          <w:i/>
          <w:szCs w:val="24"/>
          <w:u w:val="single"/>
        </w:rPr>
        <w:t>name of direct infringer</w:t>
      </w:r>
      <w:r w:rsidRPr="002B283E">
        <w:rPr>
          <w:rFonts w:cs="Times New Roman"/>
          <w:szCs w:val="24"/>
        </w:rPr>
        <w:t>] to infringe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w:t>
      </w:r>
    </w:p>
    <w:p w14:paraId="49E68911" w14:textId="77777777" w:rsidR="00974780" w:rsidRPr="002B283E" w:rsidRDefault="00974780" w:rsidP="008A04C2">
      <w:pPr>
        <w:ind w:firstLine="720"/>
        <w:rPr>
          <w:rFonts w:cs="Times New Roman"/>
          <w:szCs w:val="24"/>
        </w:rPr>
      </w:pPr>
    </w:p>
    <w:p w14:paraId="2C251E34" w14:textId="2DFC0BD6" w:rsidR="00974780" w:rsidRPr="002B283E" w:rsidRDefault="00974780" w:rsidP="008A04C2">
      <w:pPr>
        <w:ind w:firstLine="720"/>
        <w:rPr>
          <w:rFonts w:cs="Times New Roman"/>
          <w:szCs w:val="24"/>
        </w:rPr>
      </w:pPr>
      <w:r w:rsidRPr="002B283E">
        <w:rPr>
          <w:rFonts w:cs="Times New Roman"/>
          <w:szCs w:val="24"/>
        </w:rPr>
        <w:t xml:space="preserve">Third,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2704803E" w14:textId="77777777" w:rsidR="00974780" w:rsidRPr="002B283E" w:rsidRDefault="00974780" w:rsidP="002B283E">
      <w:pPr>
        <w:rPr>
          <w:rFonts w:cs="Times New Roman"/>
          <w:szCs w:val="24"/>
        </w:rPr>
      </w:pPr>
    </w:p>
    <w:p w14:paraId="72B88BB5" w14:textId="70C26423" w:rsidR="00974780" w:rsidRPr="002B283E" w:rsidRDefault="00974780"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2CD4A002" w14:textId="77777777" w:rsidR="00974780" w:rsidRPr="002B283E" w:rsidRDefault="00974780" w:rsidP="002B283E">
      <w:pPr>
        <w:rPr>
          <w:rFonts w:cs="Times New Roman"/>
          <w:szCs w:val="24"/>
        </w:rPr>
      </w:pPr>
    </w:p>
    <w:p w14:paraId="740B2CF0" w14:textId="77777777" w:rsidR="00974780" w:rsidRPr="002B283E" w:rsidRDefault="00974780" w:rsidP="002B283E">
      <w:pPr>
        <w:jc w:val="center"/>
        <w:rPr>
          <w:rFonts w:cs="Times New Roman"/>
          <w:b/>
          <w:szCs w:val="24"/>
        </w:rPr>
      </w:pPr>
      <w:r w:rsidRPr="002B283E">
        <w:rPr>
          <w:rFonts w:cs="Times New Roman"/>
          <w:b/>
          <w:szCs w:val="24"/>
        </w:rPr>
        <w:t>Comment</w:t>
      </w:r>
    </w:p>
    <w:p w14:paraId="6BC7E693" w14:textId="77777777" w:rsidR="00974780" w:rsidRPr="002B283E" w:rsidRDefault="00974780" w:rsidP="002B283E">
      <w:pPr>
        <w:rPr>
          <w:rFonts w:cs="Times New Roman"/>
          <w:szCs w:val="24"/>
        </w:rPr>
      </w:pPr>
    </w:p>
    <w:p w14:paraId="6EE58B1D" w14:textId="77777777" w:rsidR="00974780" w:rsidRPr="002B283E" w:rsidRDefault="00974780" w:rsidP="002B283E">
      <w:pPr>
        <w:rPr>
          <w:rFonts w:cs="Times New Roman"/>
          <w:szCs w:val="24"/>
        </w:rPr>
      </w:pPr>
      <w:r w:rsidRPr="002B283E">
        <w:rPr>
          <w:rFonts w:cs="Times New Roman"/>
          <w:szCs w:val="24"/>
        </w:rPr>
        <w:tab/>
        <w:t xml:space="preserve">Regarding liability for inducing another to infringe a trademark, </w:t>
      </w:r>
      <w:r w:rsidRPr="00490580">
        <w:rPr>
          <w:rFonts w:cs="Times New Roman"/>
          <w:iCs/>
          <w:szCs w:val="24"/>
        </w:rPr>
        <w:t>see</w:t>
      </w:r>
      <w:r w:rsidRPr="002B283E">
        <w:rPr>
          <w:rFonts w:cs="Times New Roman"/>
          <w:i/>
          <w:szCs w:val="24"/>
        </w:rPr>
        <w:t xml:space="preserve"> Inwood Labs</w:t>
      </w:r>
      <w:r w:rsidRPr="002B283E">
        <w:rPr>
          <w:rFonts w:cs="Times New Roman"/>
          <w:i/>
          <w:iCs/>
          <w:szCs w:val="24"/>
        </w:rPr>
        <w:t>.,</w:t>
      </w:r>
      <w:r w:rsidRPr="002B283E">
        <w:rPr>
          <w:rFonts w:cs="Times New Roman"/>
          <w:i/>
          <w:szCs w:val="24"/>
        </w:rPr>
        <w:t xml:space="preserve"> Inc. v. Ives Labs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2B283E">
        <w:rPr>
          <w:rFonts w:cs="Times New Roman"/>
          <w:i/>
          <w:szCs w:val="24"/>
        </w:rPr>
        <w:t>See also Lockheed Martin Corp. v. Network Sols., Inc.</w:t>
      </w:r>
      <w:r w:rsidRPr="002B283E">
        <w:rPr>
          <w:rFonts w:cs="Times New Roman"/>
          <w:szCs w:val="24"/>
        </w:rPr>
        <w:t xml:space="preserve">, 194 F.3d 980, 983-84 (9th Cir. 1999) (noting that one branch of contributory infringement occurs when defendant “intentionally induces a third party to infringe the plaintiff’s mark”). </w:t>
      </w:r>
    </w:p>
    <w:p w14:paraId="7716BF28" w14:textId="77777777" w:rsidR="00974780" w:rsidRPr="002B283E" w:rsidRDefault="00974780" w:rsidP="002B283E">
      <w:pPr>
        <w:rPr>
          <w:rFonts w:cs="Times New Roman"/>
          <w:szCs w:val="24"/>
        </w:rPr>
      </w:pPr>
    </w:p>
    <w:p w14:paraId="31F8FD7A" w14:textId="2DC857C3" w:rsidR="006A4CD7" w:rsidRPr="002B283E" w:rsidRDefault="00974780"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820ECB4" w14:textId="77777777" w:rsidR="00AB3963" w:rsidRPr="002B283E" w:rsidRDefault="00AB3963" w:rsidP="002B283E">
      <w:pPr>
        <w:autoSpaceDE w:val="0"/>
        <w:autoSpaceDN w:val="0"/>
        <w:adjustRightInd w:val="0"/>
        <w:rPr>
          <w:rFonts w:cs="Times New Roman"/>
          <w:szCs w:val="24"/>
        </w:rPr>
      </w:pPr>
    </w:p>
    <w:p w14:paraId="295ACD66" w14:textId="62E393A5" w:rsidR="00675C35" w:rsidRPr="002B283E" w:rsidRDefault="006A4CD7" w:rsidP="002B283E">
      <w:pPr>
        <w:pStyle w:val="Heading2"/>
      </w:pPr>
      <w:r w:rsidRPr="002B283E">
        <w:br w:type="page"/>
      </w:r>
      <w:r w:rsidR="00675C35" w:rsidRPr="002B283E">
        <w:rPr>
          <w:lang w:val="en-CA"/>
        </w:rPr>
        <w:lastRenderedPageBreak/>
        <w:fldChar w:fldCharType="begin"/>
      </w:r>
      <w:r w:rsidR="00675C35" w:rsidRPr="002B283E">
        <w:rPr>
          <w:lang w:val="en-CA"/>
        </w:rPr>
        <w:instrText xml:space="preserve"> SEQ CHAPTER \h \r 1</w:instrText>
      </w:r>
      <w:r w:rsidR="00675C35" w:rsidRPr="002B283E">
        <w:rPr>
          <w:lang w:val="en-CA"/>
        </w:rPr>
        <w:fldChar w:fldCharType="end"/>
      </w:r>
      <w:bookmarkStart w:id="366" w:name="_Toc221525288"/>
      <w:r w:rsidR="002057C7" w:rsidRPr="002B283E">
        <w:t>15.2</w:t>
      </w:r>
      <w:r w:rsidR="0008651C">
        <w:t>2</w:t>
      </w:r>
      <w:r w:rsidR="002057C7" w:rsidRPr="002B283E">
        <w:t xml:space="preserve"> Derivative</w:t>
      </w:r>
      <w:r w:rsidR="00675C35" w:rsidRPr="002B283E">
        <w:t xml:space="preserve"> Liability—Contributory Infringement</w:t>
      </w:r>
      <w:bookmarkEnd w:id="366"/>
    </w:p>
    <w:p w14:paraId="1B8686D7" w14:textId="77777777" w:rsidR="00675C35" w:rsidRPr="002B283E" w:rsidRDefault="00675C35" w:rsidP="002B283E">
      <w:pPr>
        <w:autoSpaceDE w:val="0"/>
        <w:autoSpaceDN w:val="0"/>
        <w:adjustRightInd w:val="0"/>
        <w:rPr>
          <w:rFonts w:cs="Times New Roman"/>
          <w:szCs w:val="24"/>
        </w:rPr>
      </w:pPr>
    </w:p>
    <w:p w14:paraId="463C29C6" w14:textId="426124D5" w:rsidR="002057C7" w:rsidRPr="002B283E" w:rsidRDefault="00675C35" w:rsidP="002B283E">
      <w:pPr>
        <w:rPr>
          <w:rFonts w:cs="Times New Roman"/>
          <w:szCs w:val="24"/>
        </w:rPr>
      </w:pPr>
      <w:r w:rsidRPr="002B283E">
        <w:rPr>
          <w:rFonts w:cs="Times New Roman"/>
          <w:szCs w:val="24"/>
        </w:rPr>
        <w:tab/>
      </w:r>
      <w:r w:rsidR="002057C7" w:rsidRPr="002B283E">
        <w:rPr>
          <w:rFonts w:cs="Times New Roman"/>
          <w:szCs w:val="24"/>
        </w:rPr>
        <w:t xml:space="preserve">A person is liable for trademark infringement by another if the person </w:t>
      </w:r>
      <w:r w:rsidR="00490580">
        <w:rPr>
          <w:rFonts w:cs="Times New Roman"/>
          <w:szCs w:val="24"/>
        </w:rPr>
        <w:t>[</w:t>
      </w:r>
      <w:r w:rsidR="002057C7" w:rsidRPr="002B283E">
        <w:rPr>
          <w:rFonts w:cs="Times New Roman"/>
          <w:szCs w:val="24"/>
        </w:rPr>
        <w:t>[sells] [supplies</w:t>
      </w:r>
      <w:r w:rsidR="00490580">
        <w:rPr>
          <w:rFonts w:cs="Times New Roman"/>
          <w:szCs w:val="24"/>
        </w:rPr>
        <w:t>]</w:t>
      </w:r>
      <w:r w:rsidR="002057C7" w:rsidRPr="002B283E">
        <w:rPr>
          <w:rFonts w:cs="Times New Roman"/>
          <w:szCs w:val="24"/>
        </w:rPr>
        <w:t xml:space="preserve">] </w:t>
      </w:r>
      <w:r w:rsidR="00490580">
        <w:rPr>
          <w:rFonts w:cs="Times New Roman"/>
          <w:szCs w:val="24"/>
        </w:rPr>
        <w:t>[</w:t>
      </w:r>
      <w:r w:rsidR="002057C7" w:rsidRPr="002B283E">
        <w:rPr>
          <w:rFonts w:cs="Times New Roman"/>
          <w:szCs w:val="24"/>
        </w:rPr>
        <w:t>[goods] [services]</w:t>
      </w:r>
      <w:r w:rsidR="00490580">
        <w:rPr>
          <w:rFonts w:cs="Times New Roman"/>
          <w:szCs w:val="24"/>
        </w:rPr>
        <w:t>]</w:t>
      </w:r>
      <w:r w:rsidR="002057C7" w:rsidRPr="002B283E">
        <w:rPr>
          <w:rFonts w:cs="Times New Roman"/>
          <w:szCs w:val="24"/>
        </w:rPr>
        <w:t xml:space="preserve"> to another knowing or having reason to know that the other person will use the [goods] [services]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002057C7" w:rsidRPr="002B283E">
        <w:rPr>
          <w:rFonts w:cs="Times New Roman"/>
          <w:szCs w:val="24"/>
        </w:rPr>
        <w:t xml:space="preserve">’s trademark. </w:t>
      </w:r>
    </w:p>
    <w:p w14:paraId="0D1B635B" w14:textId="77777777" w:rsidR="002057C7" w:rsidRPr="002B283E" w:rsidRDefault="002057C7" w:rsidP="002B283E">
      <w:pPr>
        <w:rPr>
          <w:rFonts w:cs="Times New Roman"/>
          <w:szCs w:val="24"/>
        </w:rPr>
      </w:pPr>
    </w:p>
    <w:p w14:paraId="6EBF460A" w14:textId="54D01E45" w:rsidR="002057C7" w:rsidRPr="002B283E" w:rsidRDefault="002057C7"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AEEDF60" w14:textId="77777777" w:rsidR="002057C7" w:rsidRPr="002B283E" w:rsidRDefault="002057C7" w:rsidP="002B283E">
      <w:pPr>
        <w:rPr>
          <w:rFonts w:cs="Times New Roman"/>
          <w:szCs w:val="24"/>
        </w:rPr>
      </w:pPr>
    </w:p>
    <w:p w14:paraId="78FC3585" w14:textId="34880908" w:rsidR="002057C7" w:rsidRPr="002B283E" w:rsidRDefault="002057C7" w:rsidP="002B283E">
      <w:pPr>
        <w:rPr>
          <w:rFonts w:cs="Times New Roman"/>
          <w:szCs w:val="24"/>
        </w:rPr>
      </w:pPr>
      <w:r w:rsidRPr="002B283E">
        <w:rPr>
          <w:rFonts w:cs="Times New Roman"/>
          <w:szCs w:val="24"/>
        </w:rPr>
        <w:tab/>
        <w:t xml:space="preserve">First,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00490580">
        <w:rPr>
          <w:rFonts w:cs="Times New Roman"/>
          <w:szCs w:val="24"/>
        </w:rPr>
        <w:t>[</w:t>
      </w:r>
      <w:r w:rsidRPr="002B283E">
        <w:rPr>
          <w:rFonts w:cs="Times New Roman"/>
          <w:szCs w:val="24"/>
        </w:rPr>
        <w:t>[sold] [supplied</w:t>
      </w:r>
      <w:r w:rsidR="00490580">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[goods] [services</w:t>
      </w:r>
      <w:r w:rsidR="00490580">
        <w:rPr>
          <w:rFonts w:cs="Times New Roman"/>
          <w:szCs w:val="24"/>
        </w:rPr>
        <w:t>]</w:t>
      </w:r>
      <w:r w:rsidRPr="002B283E">
        <w:rPr>
          <w:rFonts w:cs="Times New Roman"/>
          <w:szCs w:val="24"/>
        </w:rPr>
        <w:t>] to [</w:t>
      </w:r>
      <w:r w:rsidRPr="002B283E">
        <w:rPr>
          <w:rFonts w:cs="Times New Roman"/>
          <w:i/>
          <w:szCs w:val="24"/>
          <w:u w:val="single"/>
        </w:rPr>
        <w:t>name of direct infringer</w:t>
      </w:r>
      <w:r w:rsidRPr="002B283E">
        <w:rPr>
          <w:rFonts w:cs="Times New Roman"/>
          <w:szCs w:val="24"/>
        </w:rPr>
        <w:t xml:space="preserve">]; </w:t>
      </w:r>
    </w:p>
    <w:p w14:paraId="7E9E32BD" w14:textId="77777777" w:rsidR="002057C7" w:rsidRPr="002B283E" w:rsidRDefault="002057C7" w:rsidP="002B283E">
      <w:pPr>
        <w:rPr>
          <w:rFonts w:cs="Times New Roman"/>
          <w:szCs w:val="24"/>
        </w:rPr>
      </w:pPr>
    </w:p>
    <w:p w14:paraId="160D6D94" w14:textId="7D601D5A" w:rsidR="002057C7" w:rsidRPr="002B283E" w:rsidRDefault="002057C7" w:rsidP="002B283E">
      <w:pPr>
        <w:ind w:firstLine="720"/>
        <w:rPr>
          <w:rFonts w:cs="Times New Roman"/>
          <w:szCs w:val="24"/>
        </w:rPr>
      </w:pPr>
      <w:r w:rsidRPr="002B283E">
        <w:rPr>
          <w:rFonts w:cs="Times New Roman"/>
          <w:szCs w:val="24"/>
        </w:rPr>
        <w:t>Second, [</w:t>
      </w:r>
      <w:r w:rsidRPr="002B283E">
        <w:rPr>
          <w:rFonts w:cs="Times New Roman"/>
          <w:i/>
          <w:szCs w:val="24"/>
          <w:u w:val="single"/>
        </w:rPr>
        <w:t>name of direct infringer</w:t>
      </w:r>
      <w:r w:rsidRPr="002B283E">
        <w:rPr>
          <w:rFonts w:cs="Times New Roman"/>
          <w:szCs w:val="24"/>
        </w:rPr>
        <w:t>] used the [goods] [services]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 [sold] [supplied]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C31966B" w14:textId="77777777" w:rsidR="002057C7" w:rsidRPr="002B283E" w:rsidRDefault="002057C7" w:rsidP="002B283E">
      <w:pPr>
        <w:ind w:firstLine="720"/>
        <w:rPr>
          <w:rFonts w:cs="Times New Roman"/>
          <w:szCs w:val="24"/>
        </w:rPr>
      </w:pPr>
    </w:p>
    <w:p w14:paraId="35643D92" w14:textId="194E2C51" w:rsidR="002057C7" w:rsidRPr="002B283E" w:rsidRDefault="002057C7" w:rsidP="002B283E">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knew or had reason to know [</w:t>
      </w:r>
      <w:r w:rsidRPr="002B283E">
        <w:rPr>
          <w:rFonts w:cs="Times New Roman"/>
          <w:i/>
          <w:szCs w:val="24"/>
          <w:u w:val="single"/>
        </w:rPr>
        <w:t>name of direct infringer</w:t>
      </w:r>
      <w:r w:rsidRPr="002B283E">
        <w:rPr>
          <w:rFonts w:cs="Times New Roman"/>
          <w:szCs w:val="24"/>
        </w:rPr>
        <w:t>] [would use the goods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[was infringing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 continued to supply its services]; [and]</w:t>
      </w:r>
    </w:p>
    <w:p w14:paraId="619AD471" w14:textId="77777777" w:rsidR="002057C7" w:rsidRPr="002B283E" w:rsidRDefault="002057C7" w:rsidP="002B283E">
      <w:pPr>
        <w:ind w:firstLine="720"/>
        <w:rPr>
          <w:rFonts w:cs="Times New Roman"/>
          <w:szCs w:val="24"/>
        </w:rPr>
      </w:pPr>
    </w:p>
    <w:p w14:paraId="0BD4DB0E" w14:textId="6706DB71" w:rsidR="002057C7" w:rsidRPr="002B283E" w:rsidRDefault="002057C7" w:rsidP="002B283E">
      <w:pPr>
        <w:tabs>
          <w:tab w:val="left" w:pos="720"/>
          <w:tab w:val="left" w:pos="1440"/>
        </w:tabs>
        <w:ind w:firstLine="720"/>
        <w:rPr>
          <w:rFonts w:cs="Times New Roman"/>
          <w:szCs w:val="24"/>
        </w:rPr>
      </w:pPr>
      <w:r w:rsidRPr="002B283E">
        <w:rPr>
          <w:rFonts w:cs="Times New Roman"/>
          <w:szCs w:val="24"/>
        </w:rPr>
        <w:t>[Fourth,</w:t>
      </w:r>
      <w:r w:rsidRPr="002B283E" w:rsidDel="00B8276A">
        <w:rPr>
          <w:rFonts w:cs="Times New Roman"/>
          <w:szCs w:val="24"/>
        </w:rPr>
        <w:t xml:space="preserve"> </w:t>
      </w: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providing the services to [</w:t>
      </w:r>
      <w:r w:rsidRPr="002B283E">
        <w:rPr>
          <w:rFonts w:cs="Times New Roman"/>
          <w:i/>
          <w:szCs w:val="24"/>
          <w:u w:val="single"/>
        </w:rPr>
        <w:t>name of direct infringer</w:t>
      </w:r>
      <w:r w:rsidRPr="002B283E">
        <w:rPr>
          <w:rFonts w:cs="Times New Roman"/>
          <w:szCs w:val="24"/>
        </w:rPr>
        <w:t>] had direct control and monitoring of the instrumentality used by [</w:t>
      </w:r>
      <w:r w:rsidRPr="002B283E">
        <w:rPr>
          <w:rFonts w:cs="Times New Roman"/>
          <w:i/>
          <w:szCs w:val="24"/>
          <w:u w:val="single"/>
        </w:rPr>
        <w:t>name of direct infringer</w:t>
      </w:r>
      <w:r w:rsidRPr="002B283E">
        <w:rPr>
          <w:rFonts w:cs="Times New Roman"/>
          <w:szCs w:val="24"/>
        </w:rPr>
        <w:t xml:space="preserve">] to infringe; and] </w:t>
      </w:r>
    </w:p>
    <w:p w14:paraId="7FE4600E" w14:textId="77777777" w:rsidR="002057C7" w:rsidRPr="002B283E" w:rsidRDefault="002057C7" w:rsidP="002B283E">
      <w:pPr>
        <w:ind w:firstLine="720"/>
        <w:rPr>
          <w:rFonts w:cs="Times New Roman"/>
          <w:szCs w:val="24"/>
        </w:rPr>
      </w:pPr>
    </w:p>
    <w:p w14:paraId="7745ED39" w14:textId="0D1D6ADA" w:rsidR="002057C7" w:rsidRPr="002B283E" w:rsidRDefault="002057C7" w:rsidP="002B283E">
      <w:pPr>
        <w:ind w:firstLine="720"/>
        <w:rPr>
          <w:rFonts w:cs="Times New Roman"/>
          <w:szCs w:val="24"/>
        </w:rPr>
      </w:pPr>
      <w:r w:rsidRPr="002B283E">
        <w:rPr>
          <w:rFonts w:cs="Times New Roman"/>
          <w:szCs w:val="24"/>
        </w:rPr>
        <w:t xml:space="preserve">[Fourth] [Fifth],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50AA9286" w14:textId="77777777" w:rsidR="002057C7" w:rsidRPr="002B283E" w:rsidRDefault="002057C7" w:rsidP="002B283E">
      <w:pPr>
        <w:rPr>
          <w:rFonts w:cs="Times New Roman"/>
          <w:szCs w:val="24"/>
        </w:rPr>
      </w:pPr>
    </w:p>
    <w:p w14:paraId="3AC41165" w14:textId="480FC4AA" w:rsidR="002057C7" w:rsidRPr="002B283E" w:rsidRDefault="002057C7"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0EDC2D0E" w14:textId="77777777" w:rsidR="002057C7" w:rsidRPr="002B283E" w:rsidRDefault="002057C7" w:rsidP="002B283E">
      <w:pPr>
        <w:rPr>
          <w:rFonts w:cs="Times New Roman"/>
          <w:szCs w:val="24"/>
        </w:rPr>
      </w:pPr>
    </w:p>
    <w:p w14:paraId="2FB93200" w14:textId="77777777" w:rsidR="002057C7" w:rsidRPr="002B283E" w:rsidRDefault="002057C7" w:rsidP="002B283E">
      <w:pPr>
        <w:jc w:val="center"/>
        <w:rPr>
          <w:rFonts w:cs="Times New Roman"/>
          <w:szCs w:val="24"/>
        </w:rPr>
      </w:pPr>
      <w:r w:rsidRPr="002B283E">
        <w:rPr>
          <w:rFonts w:cs="Times New Roman"/>
          <w:b/>
          <w:szCs w:val="24"/>
        </w:rPr>
        <w:t>Comment</w:t>
      </w:r>
    </w:p>
    <w:p w14:paraId="6EC00184" w14:textId="77777777" w:rsidR="002057C7" w:rsidRPr="002B283E" w:rsidRDefault="002057C7" w:rsidP="002B283E">
      <w:pPr>
        <w:rPr>
          <w:rFonts w:cs="Times New Roman"/>
          <w:szCs w:val="24"/>
        </w:rPr>
      </w:pPr>
      <w:r w:rsidRPr="002B283E">
        <w:rPr>
          <w:rFonts w:cs="Times New Roman"/>
          <w:szCs w:val="24"/>
        </w:rPr>
        <w:t xml:space="preserve"> </w:t>
      </w:r>
    </w:p>
    <w:p w14:paraId="570704C9" w14:textId="2EC6D7C7" w:rsidR="002057C7" w:rsidRPr="002B283E" w:rsidRDefault="002057C7" w:rsidP="002B283E">
      <w:pPr>
        <w:rPr>
          <w:rFonts w:cs="Times New Roman"/>
          <w:szCs w:val="24"/>
        </w:rPr>
      </w:pPr>
      <w:r w:rsidRPr="002B283E">
        <w:rPr>
          <w:rFonts w:cs="Times New Roman"/>
          <w:i/>
          <w:szCs w:val="24"/>
        </w:rPr>
        <w:tab/>
        <w:t>See</w:t>
      </w:r>
      <w:r w:rsidRPr="002B283E">
        <w:rPr>
          <w:rFonts w:cs="Times New Roman"/>
          <w:szCs w:val="24"/>
        </w:rPr>
        <w:t xml:space="preserve"> Comment </w:t>
      </w:r>
      <w:r w:rsidR="00570179">
        <w:rPr>
          <w:rFonts w:cs="Times New Roman"/>
          <w:szCs w:val="24"/>
        </w:rPr>
        <w:t>to</w:t>
      </w:r>
      <w:r w:rsidRPr="002B283E">
        <w:rPr>
          <w:rFonts w:cs="Times New Roman"/>
          <w:szCs w:val="24"/>
        </w:rPr>
        <w:t xml:space="preserve"> Instruction 15.2</w:t>
      </w:r>
      <w:r w:rsidR="009818E2">
        <w:rPr>
          <w:rFonts w:cs="Times New Roman"/>
          <w:szCs w:val="24"/>
        </w:rPr>
        <w:t>1</w:t>
      </w:r>
      <w:r w:rsidRPr="002B283E">
        <w:rPr>
          <w:rFonts w:cs="Times New Roman"/>
          <w:szCs w:val="24"/>
        </w:rPr>
        <w:t xml:space="preserve"> (Derivative Liability—Inducing Infringement)</w:t>
      </w:r>
      <w:r w:rsidRPr="002B283E">
        <w:rPr>
          <w:rFonts w:cs="Times New Roman"/>
          <w:iCs/>
          <w:szCs w:val="24"/>
        </w:rPr>
        <w:t xml:space="preserve"> and</w:t>
      </w:r>
      <w:r w:rsidRPr="002B283E">
        <w:rPr>
          <w:rFonts w:cs="Times New Roman"/>
          <w:i/>
          <w:szCs w:val="24"/>
        </w:rPr>
        <w:t xml:space="preserve"> </w:t>
      </w:r>
      <w:r w:rsidRPr="002B283E">
        <w:rPr>
          <w:rFonts w:cs="Times New Roman"/>
          <w:szCs w:val="24"/>
        </w:rPr>
        <w:t xml:space="preserve">4 </w:t>
      </w:r>
      <w:r w:rsidRPr="002B283E">
        <w:rPr>
          <w:rFonts w:cs="Times New Roman"/>
          <w:smallCaps/>
          <w:szCs w:val="24"/>
        </w:rPr>
        <w:t>J. Thomas McCarthy, McCarthy on Trademarks and Unfair Competition</w:t>
      </w:r>
      <w:r w:rsidRPr="002B283E">
        <w:rPr>
          <w:rFonts w:cs="Times New Roman"/>
          <w:szCs w:val="24"/>
        </w:rPr>
        <w:t xml:space="preserve"> § 25.17 (5th ed. 2019) (discussing contributory infringement).</w:t>
      </w:r>
    </w:p>
    <w:p w14:paraId="434F7926" w14:textId="77777777" w:rsidR="002057C7" w:rsidRPr="002B283E" w:rsidRDefault="002057C7" w:rsidP="002B283E">
      <w:pPr>
        <w:rPr>
          <w:rFonts w:cs="Times New Roman"/>
          <w:szCs w:val="24"/>
        </w:rPr>
      </w:pPr>
    </w:p>
    <w:p w14:paraId="5AE77062" w14:textId="77777777" w:rsidR="002057C7" w:rsidRPr="002B283E" w:rsidRDefault="002057C7" w:rsidP="002B283E">
      <w:pPr>
        <w:rPr>
          <w:rFonts w:cs="Times New Roman"/>
          <w:szCs w:val="24"/>
        </w:rPr>
      </w:pPr>
      <w:r w:rsidRPr="002B283E">
        <w:rPr>
          <w:rFonts w:cs="Times New Roman"/>
          <w:szCs w:val="24"/>
        </w:rPr>
        <w:tab/>
        <w:t xml:space="preserve">Regarding the elements of contributory infringement, </w:t>
      </w:r>
      <w:r w:rsidRPr="002B283E">
        <w:rPr>
          <w:rFonts w:cs="Times New Roman"/>
          <w:i/>
          <w:szCs w:val="24"/>
        </w:rPr>
        <w:t>see</w:t>
      </w:r>
      <w:r w:rsidRPr="002B283E">
        <w:rPr>
          <w:rFonts w:cs="Times New Roman"/>
          <w:szCs w:val="24"/>
        </w:rPr>
        <w:t xml:space="preserve"> </w:t>
      </w:r>
      <w:r w:rsidRPr="002B283E">
        <w:rPr>
          <w:rFonts w:cs="Times New Roman"/>
          <w:i/>
          <w:szCs w:val="24"/>
        </w:rPr>
        <w:t xml:space="preserve">Lockheed Martin Corp. v. Network </w:t>
      </w:r>
      <w:r w:rsidRPr="002B283E">
        <w:rPr>
          <w:rFonts w:cs="Times New Roman"/>
          <w:i/>
          <w:iCs/>
          <w:szCs w:val="24"/>
        </w:rPr>
        <w:t>Sols.,</w:t>
      </w:r>
      <w:r w:rsidRPr="002B283E">
        <w:rPr>
          <w:rFonts w:cs="Times New Roman"/>
          <w:i/>
          <w:szCs w:val="24"/>
        </w:rPr>
        <w:t xml:space="preserve"> Inc.</w:t>
      </w:r>
      <w:r w:rsidRPr="002B283E">
        <w:rPr>
          <w:rFonts w:cs="Times New Roman"/>
          <w:szCs w:val="24"/>
        </w:rPr>
        <w:t>, 194 F.3d 980, 984-85 (9th Cir. 1999) (discussing elements of contributory infringement);</w:t>
      </w:r>
      <w:r w:rsidRPr="002B283E">
        <w:rPr>
          <w:rFonts w:cs="Times New Roman"/>
          <w:i/>
          <w:szCs w:val="24"/>
        </w:rPr>
        <w:t xml:space="preserve"> Rolex Watch, U.S.A., Inc. v. Michel Co.</w:t>
      </w:r>
      <w:r w:rsidRPr="002B283E">
        <w:rPr>
          <w:rFonts w:cs="Times New Roman"/>
          <w:szCs w:val="24"/>
        </w:rPr>
        <w:t xml:space="preserve">, 179 F.3d 704, 712-13 (9th Cir. 1999) (discussing intent element of contributory infringement). </w:t>
      </w:r>
      <w:r w:rsidRPr="002B283E">
        <w:rPr>
          <w:rFonts w:cs="Times New Roman"/>
          <w:i/>
          <w:szCs w:val="24"/>
        </w:rPr>
        <w:t>See also Mini Maid Servs. Co. v. Maid Brigade Sys</w:t>
      </w:r>
      <w:r w:rsidRPr="002B283E">
        <w:rPr>
          <w:rFonts w:cs="Times New Roman"/>
          <w:szCs w:val="24"/>
        </w:rPr>
        <w:t xml:space="preserve">., 967 F.2d 1516, 1521 (11th Cir.1992) (noting that although </w:t>
      </w:r>
      <w:r w:rsidRPr="002B283E">
        <w:rPr>
          <w:rFonts w:cs="Times New Roman"/>
          <w:i/>
          <w:szCs w:val="24"/>
        </w:rPr>
        <w:t xml:space="preserve">Inwood </w:t>
      </w:r>
      <w:r w:rsidRPr="002B283E">
        <w:rPr>
          <w:rFonts w:cs="Times New Roman"/>
          <w:i/>
          <w:iCs/>
          <w:szCs w:val="24"/>
        </w:rPr>
        <w:t>Labs. Inc.</w:t>
      </w:r>
      <w:r w:rsidRPr="002B283E">
        <w:rPr>
          <w:rFonts w:cs="Times New Roman"/>
          <w:i/>
          <w:szCs w:val="24"/>
        </w:rPr>
        <w:t xml:space="preserve"> v. Ives </w:t>
      </w:r>
      <w:r w:rsidRPr="002B283E">
        <w:rPr>
          <w:rFonts w:cs="Times New Roman"/>
          <w:i/>
          <w:iCs/>
          <w:szCs w:val="24"/>
        </w:rPr>
        <w:t>Labs.,</w:t>
      </w:r>
      <w:r w:rsidRPr="002B283E">
        <w:rPr>
          <w:rFonts w:cs="Times New Roman"/>
          <w:i/>
          <w:szCs w:val="24"/>
        </w:rPr>
        <w:t xml:space="preserve"> Inc.</w:t>
      </w:r>
      <w:r w:rsidRPr="002B283E">
        <w:rPr>
          <w:rFonts w:cs="Times New Roman"/>
          <w:iCs/>
          <w:szCs w:val="24"/>
        </w:rPr>
        <w:t>,</w:t>
      </w:r>
      <w:r w:rsidRPr="002B283E">
        <w:rPr>
          <w:rFonts w:cs="Times New Roman"/>
          <w:i/>
          <w:szCs w:val="24"/>
        </w:rPr>
        <w:t xml:space="preserve"> </w:t>
      </w:r>
      <w:r w:rsidRPr="002B283E">
        <w:rPr>
          <w:rFonts w:cs="Times New Roman"/>
          <w:szCs w:val="24"/>
        </w:rPr>
        <w:t>456 U.S. 844 (1982), involved relationship between manufacturers and retailers, its analysis is equally applicable to relationship between franchisor and franchisees).</w:t>
      </w:r>
    </w:p>
    <w:p w14:paraId="7BCF47AC" w14:textId="77777777" w:rsidR="002057C7" w:rsidRPr="002B283E" w:rsidRDefault="002057C7" w:rsidP="002B283E">
      <w:pPr>
        <w:rPr>
          <w:rFonts w:cs="Times New Roman"/>
          <w:szCs w:val="24"/>
        </w:rPr>
      </w:pPr>
    </w:p>
    <w:p w14:paraId="59FD9D26" w14:textId="4E608F34" w:rsidR="002057C7" w:rsidRPr="002B283E" w:rsidRDefault="002057C7" w:rsidP="002B283E">
      <w:pPr>
        <w:ind w:firstLine="720"/>
        <w:rPr>
          <w:rFonts w:cs="Times New Roman"/>
          <w:szCs w:val="24"/>
        </w:rPr>
      </w:pPr>
      <w:r w:rsidRPr="002B283E">
        <w:rPr>
          <w:rFonts w:cs="Times New Roman"/>
          <w:i/>
          <w:iCs/>
          <w:szCs w:val="24"/>
        </w:rPr>
        <w:t>Willful Blindness</w:t>
      </w:r>
      <w:r w:rsidRPr="002B283E">
        <w:rPr>
          <w:rFonts w:cs="Times New Roman"/>
          <w:szCs w:val="24"/>
        </w:rPr>
        <w:t>. A party meets the “knows or has reason to know” standard for contributory infringement if it is willfully blind to the infringement by a direct</w:t>
      </w:r>
      <w:r w:rsidR="009A0233">
        <w:rPr>
          <w:rFonts w:cs="Times New Roman"/>
          <w:szCs w:val="24"/>
        </w:rPr>
        <w:t xml:space="preserve"> </w:t>
      </w:r>
      <w:r w:rsidRPr="002B283E">
        <w:rPr>
          <w:rFonts w:cs="Times New Roman"/>
          <w:szCs w:val="24"/>
        </w:rPr>
        <w:lastRenderedPageBreak/>
        <w:t>infringer. </w:t>
      </w:r>
      <w:r w:rsidRPr="002B283E">
        <w:rPr>
          <w:rFonts w:cs="Times New Roman"/>
          <w:i/>
          <w:szCs w:val="24"/>
        </w:rPr>
        <w:t>Y.Y.G.M. SA v. Redbubble, Inc.</w:t>
      </w:r>
      <w:r w:rsidRPr="002B283E">
        <w:rPr>
          <w:rFonts w:cs="Times New Roman"/>
          <w:szCs w:val="24"/>
        </w:rPr>
        <w:t xml:space="preserve">, 75 F.4th 995, 1001 (9th Cir. 2023) (citing </w:t>
      </w:r>
      <w:r w:rsidRPr="002B283E">
        <w:rPr>
          <w:rFonts w:cs="Times New Roman"/>
          <w:i/>
          <w:szCs w:val="24"/>
        </w:rPr>
        <w:t>Fonovisa, Inc. v. Cherry Auction, Inc.</w:t>
      </w:r>
      <w:r w:rsidRPr="002B283E">
        <w:rPr>
          <w:rFonts w:cs="Times New Roman"/>
          <w:szCs w:val="24"/>
        </w:rPr>
        <w:t xml:space="preserve">, 76 F.3d 259, 265 (9th Cir. 1996)), </w:t>
      </w:r>
      <w:r w:rsidRPr="002B283E">
        <w:rPr>
          <w:rFonts w:cs="Times New Roman"/>
          <w:i/>
          <w:iCs/>
          <w:szCs w:val="24"/>
        </w:rPr>
        <w:t>cert. denied</w:t>
      </w:r>
      <w:r w:rsidRPr="002B283E">
        <w:rPr>
          <w:rFonts w:cs="Times New Roman"/>
          <w:szCs w:val="24"/>
        </w:rPr>
        <w:t xml:space="preserve">, (U.S. Feb. 20, 2024). Willful blindness requires both subjective belief that trademark infringement was likely occurring and deliberate actions to avoid learning about the infringement. </w:t>
      </w:r>
      <w:r w:rsidRPr="002B283E">
        <w:rPr>
          <w:rFonts w:cs="Times New Roman"/>
          <w:i/>
          <w:szCs w:val="24"/>
        </w:rPr>
        <w:t>Id</w:t>
      </w:r>
      <w:r w:rsidRPr="002B283E">
        <w:rPr>
          <w:rFonts w:cs="Times New Roman"/>
          <w:szCs w:val="24"/>
        </w:rPr>
        <w:t xml:space="preserve">. (citing </w:t>
      </w:r>
      <w:r w:rsidRPr="002B283E">
        <w:rPr>
          <w:rFonts w:cs="Times New Roman"/>
          <w:i/>
          <w:szCs w:val="24"/>
        </w:rPr>
        <w:t>Luvdarts, LLC v. AT&amp;T Mobility, LLC</w:t>
      </w:r>
      <w:r w:rsidRPr="002B283E">
        <w:rPr>
          <w:rFonts w:cs="Times New Roman"/>
          <w:szCs w:val="24"/>
        </w:rPr>
        <w:t xml:space="preserve">, 710 F.3d 1068, 1073 (9th Cir. 2013)). Willful blindness also requires more than general awareness of trademark infringement—the defendant must have specific knowledge of infringers or instances of infringement. </w:t>
      </w:r>
      <w:r w:rsidRPr="002B283E">
        <w:rPr>
          <w:rFonts w:cs="Times New Roman"/>
          <w:i/>
          <w:szCs w:val="24"/>
        </w:rPr>
        <w:t xml:space="preserve">Id. </w:t>
      </w:r>
      <w:r w:rsidRPr="002B283E">
        <w:rPr>
          <w:rFonts w:cs="Times New Roman"/>
          <w:szCs w:val="24"/>
        </w:rPr>
        <w:t>at 1002 (holding that an online marketplace need not search for trademark infringement on its website because contributory infringement based on a willful blindness theory requires the defendant to be aware of specific instances of infringement or specific infringers).</w:t>
      </w:r>
    </w:p>
    <w:p w14:paraId="7182AAD2" w14:textId="77777777" w:rsidR="002057C7" w:rsidRPr="002B283E" w:rsidRDefault="002057C7" w:rsidP="002B283E">
      <w:pPr>
        <w:rPr>
          <w:rFonts w:cs="Times New Roman"/>
          <w:szCs w:val="24"/>
        </w:rPr>
      </w:pPr>
    </w:p>
    <w:p w14:paraId="3CE02955" w14:textId="77777777" w:rsidR="002057C7" w:rsidRPr="002B283E" w:rsidRDefault="002057C7" w:rsidP="002B283E">
      <w:pPr>
        <w:rPr>
          <w:rFonts w:cs="Times New Roman"/>
          <w:szCs w:val="24"/>
        </w:rPr>
      </w:pPr>
      <w:r w:rsidRPr="002B283E">
        <w:rPr>
          <w:rFonts w:cs="Times New Roman"/>
          <w:szCs w:val="24"/>
        </w:rPr>
        <w:tab/>
      </w:r>
      <w:r w:rsidRPr="002B283E">
        <w:rPr>
          <w:rFonts w:cs="Times New Roman"/>
          <w:i/>
          <w:iCs/>
          <w:szCs w:val="24"/>
        </w:rPr>
        <w:t>Services</w:t>
      </w:r>
      <w:r w:rsidRPr="002B283E">
        <w:rPr>
          <w:rFonts w:cs="Times New Roman"/>
          <w:szCs w:val="24"/>
        </w:rPr>
        <w:t xml:space="preserve">. When a defendant provides services to a direct infringer, a plaintiff may prevail on a claim of contributory trademark infringement if the defendant “continued to supply its services to one who it knew or had reason to know was engaging in trademark infringement” and the defendant had “[d]irect control and monitoring of the instrumentality used by a third party to infringe.”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942 (9th Cir. 2011) (citation omitted). This applies to defendants providing servers or other Internet services. </w:t>
      </w:r>
      <w:r w:rsidRPr="002B283E">
        <w:rPr>
          <w:rFonts w:cs="Times New Roman"/>
          <w:i/>
          <w:iCs/>
          <w:szCs w:val="24"/>
        </w:rPr>
        <w:t>Id</w:t>
      </w:r>
      <w:r w:rsidRPr="002B283E">
        <w:rPr>
          <w:rFonts w:cs="Times New Roman"/>
          <w:szCs w:val="24"/>
        </w:rPr>
        <w:t xml:space="preserve">. 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2B283E">
        <w:rPr>
          <w:rFonts w:cs="Times New Roman"/>
          <w:i/>
          <w:szCs w:val="24"/>
        </w:rPr>
        <w:t>Id</w:t>
      </w:r>
      <w:r w:rsidRPr="002B283E">
        <w:rPr>
          <w:rFonts w:cs="Times New Roman"/>
          <w:szCs w:val="24"/>
        </w:rPr>
        <w:t xml:space="preserve">. at 943 (“An express finding of intent is not required.”). </w:t>
      </w:r>
    </w:p>
    <w:p w14:paraId="7E9E8335" w14:textId="77777777" w:rsidR="002057C7" w:rsidRPr="002B283E" w:rsidRDefault="002057C7" w:rsidP="002B283E">
      <w:pPr>
        <w:rPr>
          <w:rFonts w:cs="Times New Roman"/>
          <w:szCs w:val="24"/>
        </w:rPr>
      </w:pPr>
    </w:p>
    <w:p w14:paraId="221C8696" w14:textId="77777777" w:rsidR="002057C7" w:rsidRPr="002B283E" w:rsidRDefault="002057C7" w:rsidP="002B283E">
      <w:pPr>
        <w:ind w:firstLine="720"/>
        <w:rPr>
          <w:rFonts w:cs="Times New Roman"/>
          <w:szCs w:val="24"/>
        </w:rPr>
      </w:pPr>
      <w:r w:rsidRPr="002B283E">
        <w:rPr>
          <w:rFonts w:cs="Times New Roman"/>
          <w:i/>
          <w:iCs/>
          <w:szCs w:val="24"/>
        </w:rPr>
        <w:t>Statutory Damages</w:t>
      </w:r>
      <w:r w:rsidRPr="002B283E">
        <w:rPr>
          <w:rFonts w:cs="Times New Roman"/>
          <w:szCs w:val="24"/>
        </w:rPr>
        <w:t xml:space="preserve">. Statutory damages may be awarded against contributory infringers. </w:t>
      </w:r>
      <w:r w:rsidRPr="002B283E">
        <w:rPr>
          <w:rFonts w:cs="Times New Roman"/>
          <w:i/>
          <w:szCs w:val="24"/>
        </w:rPr>
        <w:t xml:space="preserve">Id. </w:t>
      </w:r>
      <w:r w:rsidRPr="002B283E">
        <w:rPr>
          <w:rFonts w:cs="Times New Roman"/>
          <w:szCs w:val="24"/>
        </w:rPr>
        <w:t>at 944-45.</w:t>
      </w:r>
    </w:p>
    <w:p w14:paraId="3B63E58F" w14:textId="77777777" w:rsidR="002057C7" w:rsidRPr="002B283E" w:rsidRDefault="002057C7" w:rsidP="002B283E">
      <w:pPr>
        <w:ind w:firstLine="720"/>
        <w:rPr>
          <w:rFonts w:cs="Times New Roman"/>
          <w:szCs w:val="24"/>
        </w:rPr>
      </w:pPr>
    </w:p>
    <w:p w14:paraId="6CE6E3E4" w14:textId="6E6A1EEA" w:rsidR="00675C35" w:rsidRPr="002B283E" w:rsidRDefault="002057C7" w:rsidP="002B283E">
      <w:pPr>
        <w:ind w:firstLine="720"/>
        <w:jc w:val="right"/>
        <w:rPr>
          <w:rFonts w:cs="Times New Roman"/>
          <w:szCs w:val="24"/>
        </w:rPr>
      </w:pPr>
      <w:r w:rsidRPr="002B283E">
        <w:rPr>
          <w:rFonts w:cs="Times New Roman"/>
          <w:i/>
          <w:iCs/>
          <w:szCs w:val="24"/>
        </w:rPr>
        <w:t>Revised March 2024</w:t>
      </w:r>
    </w:p>
    <w:p w14:paraId="70C1A0E7" w14:textId="77777777" w:rsidR="00675C35" w:rsidRPr="002B283E" w:rsidRDefault="00675C35" w:rsidP="002B283E">
      <w:pPr>
        <w:autoSpaceDE w:val="0"/>
        <w:autoSpaceDN w:val="0"/>
        <w:adjustRightInd w:val="0"/>
        <w:rPr>
          <w:rFonts w:cs="Times New Roman"/>
          <w:szCs w:val="24"/>
        </w:rPr>
      </w:pPr>
    </w:p>
    <w:p w14:paraId="4F46C084" w14:textId="77777777" w:rsidR="00675C35" w:rsidRPr="002B283E" w:rsidRDefault="00675C35" w:rsidP="002B283E">
      <w:pPr>
        <w:rPr>
          <w:rFonts w:cs="Times New Roman"/>
          <w:szCs w:val="24"/>
        </w:rPr>
      </w:pPr>
    </w:p>
    <w:p w14:paraId="2713FED1" w14:textId="77777777" w:rsidR="006A4CD7" w:rsidRPr="002B283E" w:rsidRDefault="006A4CD7" w:rsidP="002B283E">
      <w:pPr>
        <w:autoSpaceDE w:val="0"/>
        <w:autoSpaceDN w:val="0"/>
        <w:adjustRightInd w:val="0"/>
        <w:rPr>
          <w:rFonts w:cs="Times New Roman"/>
          <w:szCs w:val="24"/>
        </w:rPr>
      </w:pPr>
    </w:p>
    <w:p w14:paraId="45235A50" w14:textId="77777777" w:rsidR="006A4CD7" w:rsidRPr="002B283E" w:rsidRDefault="006A4CD7" w:rsidP="002B283E">
      <w:pPr>
        <w:autoSpaceDE w:val="0"/>
        <w:autoSpaceDN w:val="0"/>
        <w:adjustRightInd w:val="0"/>
        <w:rPr>
          <w:rFonts w:cs="Times New Roman"/>
          <w:szCs w:val="24"/>
        </w:rPr>
      </w:pPr>
    </w:p>
    <w:p w14:paraId="784C865A" w14:textId="77777777" w:rsidR="003E3B69" w:rsidRPr="002B283E" w:rsidRDefault="003E3B69" w:rsidP="002B283E">
      <w:pPr>
        <w:rPr>
          <w:rFonts w:cs="Times New Roman"/>
          <w:b/>
          <w:bCs/>
          <w:szCs w:val="24"/>
        </w:rPr>
      </w:pPr>
      <w:r w:rsidRPr="002B283E">
        <w:rPr>
          <w:rFonts w:cs="Times New Roman"/>
          <w:b/>
          <w:bCs/>
          <w:szCs w:val="24"/>
        </w:rPr>
        <w:br w:type="page"/>
      </w:r>
    </w:p>
    <w:p w14:paraId="2ACB1BFD" w14:textId="1EB0FB93" w:rsidR="006A4CD7" w:rsidRPr="002B283E" w:rsidRDefault="006A4CD7" w:rsidP="002B283E">
      <w:pPr>
        <w:pStyle w:val="Heading2"/>
      </w:pPr>
      <w:bookmarkStart w:id="367" w:name="_Toc221525289"/>
      <w:r w:rsidRPr="002B283E">
        <w:lastRenderedPageBreak/>
        <w:t>15.2</w:t>
      </w:r>
      <w:r w:rsidR="0008651C">
        <w:t>3</w:t>
      </w:r>
      <w:r w:rsidRPr="002B283E">
        <w:t xml:space="preserve"> </w:t>
      </w:r>
      <w:r w:rsidR="002D3E69" w:rsidRPr="002B283E">
        <w:t xml:space="preserve">Defenses—Abandonment—Affirmative Defense—Defendant’s Burden of Proof </w:t>
      </w:r>
      <w:r w:rsidR="009F70BA" w:rsidRPr="002B283E">
        <w:br/>
      </w:r>
      <w:r w:rsidRPr="002B283E">
        <w:t>(15 U.S.C. § 1127)</w:t>
      </w:r>
      <w:bookmarkEnd w:id="367"/>
    </w:p>
    <w:p w14:paraId="4CFD84F6" w14:textId="77777777" w:rsidR="006A4CD7" w:rsidRPr="002B283E" w:rsidRDefault="006A4CD7" w:rsidP="002B283E">
      <w:pPr>
        <w:rPr>
          <w:rFonts w:cs="Times New Roman"/>
          <w:szCs w:val="24"/>
        </w:rPr>
      </w:pPr>
    </w:p>
    <w:p w14:paraId="2D3AD36A" w14:textId="77777777" w:rsidR="0026567A" w:rsidRPr="002B283E" w:rsidRDefault="006A4CD7" w:rsidP="002B283E">
      <w:pPr>
        <w:rPr>
          <w:rFonts w:cs="Times New Roman"/>
          <w:szCs w:val="24"/>
        </w:rPr>
      </w:pPr>
      <w:r w:rsidRPr="002B283E">
        <w:rPr>
          <w:rFonts w:cs="Times New Roman"/>
          <w:szCs w:val="24"/>
        </w:rPr>
        <w:tab/>
      </w:r>
      <w:r w:rsidR="0026567A" w:rsidRPr="002B283E">
        <w:rPr>
          <w:rFonts w:cs="Times New Roman"/>
          <w:szCs w:val="24"/>
        </w:rPr>
        <w:t>The [owner] [assignee] [licensee] of a trademark cannot exclude others from using the trademark if it has been abandoned.</w:t>
      </w:r>
    </w:p>
    <w:p w14:paraId="44CD575C" w14:textId="77777777" w:rsidR="0026567A" w:rsidRPr="002B283E" w:rsidRDefault="0026567A" w:rsidP="002B283E">
      <w:pPr>
        <w:rPr>
          <w:rFonts w:cs="Times New Roman"/>
          <w:szCs w:val="24"/>
        </w:rPr>
      </w:pPr>
    </w:p>
    <w:p w14:paraId="149D33B3" w14:textId="6AF3037C" w:rsidR="0026567A" w:rsidRPr="002B283E" w:rsidRDefault="0026567A"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the trademark has become unenforceable because the [owner] [assignee] [licensee] abandoned it.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abandonment by [clear and convincing] [a preponderance of the] evidence. </w:t>
      </w:r>
    </w:p>
    <w:p w14:paraId="6DD5143F" w14:textId="77777777" w:rsidR="0026567A" w:rsidRPr="002B283E" w:rsidRDefault="0026567A" w:rsidP="002B283E">
      <w:pPr>
        <w:rPr>
          <w:rFonts w:cs="Times New Roman"/>
          <w:szCs w:val="24"/>
        </w:rPr>
      </w:pPr>
    </w:p>
    <w:p w14:paraId="227693E6" w14:textId="77777777" w:rsidR="0026567A" w:rsidRPr="002B283E" w:rsidRDefault="0026567A" w:rsidP="002B283E">
      <w:pPr>
        <w:rPr>
          <w:rFonts w:cs="Times New Roman"/>
          <w:szCs w:val="24"/>
        </w:rPr>
      </w:pPr>
      <w:r w:rsidRPr="002B283E">
        <w:rPr>
          <w:rFonts w:cs="Times New Roman"/>
          <w:szCs w:val="24"/>
        </w:rPr>
        <w:tab/>
        <w:t xml:space="preserve">The [owner] [assignor] [licensor] of a trademark abandons the right to exclusive use of the trademark when the [owner] [assignor] [licensor] does any one of the following: </w:t>
      </w:r>
    </w:p>
    <w:p w14:paraId="3A149E52" w14:textId="77777777" w:rsidR="0026567A" w:rsidRPr="002B283E" w:rsidRDefault="0026567A" w:rsidP="002B283E">
      <w:pPr>
        <w:rPr>
          <w:rFonts w:cs="Times New Roman"/>
          <w:szCs w:val="24"/>
        </w:rPr>
      </w:pPr>
    </w:p>
    <w:p w14:paraId="440A795E" w14:textId="77777777" w:rsidR="0026567A" w:rsidRPr="002B283E" w:rsidRDefault="0026567A" w:rsidP="002B283E">
      <w:pPr>
        <w:ind w:firstLine="720"/>
        <w:rPr>
          <w:rFonts w:cs="Times New Roman"/>
          <w:szCs w:val="24"/>
        </w:rPr>
      </w:pPr>
      <w:r w:rsidRPr="002B283E">
        <w:rPr>
          <w:rFonts w:cs="Times New Roman"/>
          <w:szCs w:val="24"/>
        </w:rPr>
        <w:t>First, discontinues its [good faith] use in the ordinary course of trade, intending not to resume using it;</w:t>
      </w:r>
    </w:p>
    <w:p w14:paraId="60DEF339" w14:textId="77777777" w:rsidR="0026567A" w:rsidRPr="002B283E" w:rsidRDefault="0026567A" w:rsidP="002B283E">
      <w:pPr>
        <w:ind w:firstLine="720"/>
        <w:rPr>
          <w:rFonts w:cs="Times New Roman"/>
          <w:szCs w:val="24"/>
        </w:rPr>
      </w:pPr>
    </w:p>
    <w:p w14:paraId="6425B702" w14:textId="77777777" w:rsidR="0026567A" w:rsidRPr="002B283E" w:rsidRDefault="0026567A" w:rsidP="002B283E">
      <w:pPr>
        <w:ind w:firstLine="720"/>
        <w:rPr>
          <w:rFonts w:cs="Times New Roman"/>
          <w:szCs w:val="24"/>
        </w:rPr>
      </w:pPr>
      <w:r w:rsidRPr="002B283E">
        <w:rPr>
          <w:rFonts w:cs="Times New Roman"/>
          <w:szCs w:val="24"/>
        </w:rPr>
        <w:t xml:space="preserve">Second, [acts] [or] [fails to act] so that the trademark’s [primary significance] [primary meaning] [principal significance] [principal meaning] to prospective consumers has become the [good] itself and not the [producer of the good]; or </w:t>
      </w:r>
    </w:p>
    <w:p w14:paraId="15EAB7BF" w14:textId="77777777" w:rsidR="0026567A" w:rsidRPr="002B283E" w:rsidRDefault="0026567A" w:rsidP="002B283E">
      <w:pPr>
        <w:ind w:firstLine="720"/>
        <w:rPr>
          <w:rFonts w:cs="Times New Roman"/>
          <w:szCs w:val="24"/>
        </w:rPr>
      </w:pPr>
    </w:p>
    <w:p w14:paraId="6897E311" w14:textId="77777777" w:rsidR="0026567A" w:rsidRPr="002B283E" w:rsidRDefault="0026567A" w:rsidP="002B283E">
      <w:pPr>
        <w:ind w:firstLine="720"/>
        <w:rPr>
          <w:rFonts w:cs="Times New Roman"/>
          <w:szCs w:val="24"/>
        </w:rPr>
      </w:pPr>
      <w:r w:rsidRPr="002B283E">
        <w:rPr>
          <w:rFonts w:cs="Times New Roman"/>
          <w:szCs w:val="24"/>
        </w:rPr>
        <w:t>Third,</w:t>
      </w:r>
      <w:r w:rsidRPr="002B283E" w:rsidDel="00D95527">
        <w:rPr>
          <w:rFonts w:cs="Times New Roman"/>
          <w:szCs w:val="24"/>
        </w:rPr>
        <w:t xml:space="preserve"> </w:t>
      </w:r>
      <w:r w:rsidRPr="002B283E">
        <w:rPr>
          <w:rFonts w:cs="Times New Roman"/>
          <w:szCs w:val="24"/>
        </w:rPr>
        <w:t>fails to exercise adequate quality control over the [goods] sold under the trademark by a licensee.</w:t>
      </w:r>
    </w:p>
    <w:p w14:paraId="25EEE45C" w14:textId="77777777" w:rsidR="0026567A" w:rsidRPr="002B283E" w:rsidRDefault="0026567A" w:rsidP="002B283E">
      <w:pPr>
        <w:rPr>
          <w:rFonts w:cs="Times New Roman"/>
          <w:szCs w:val="24"/>
        </w:rPr>
      </w:pPr>
    </w:p>
    <w:p w14:paraId="58BB6773" w14:textId="77777777" w:rsidR="0026567A" w:rsidRPr="002B283E" w:rsidRDefault="0026567A" w:rsidP="002B283E">
      <w:pPr>
        <w:jc w:val="center"/>
        <w:rPr>
          <w:rFonts w:cs="Times New Roman"/>
          <w:b/>
          <w:szCs w:val="24"/>
        </w:rPr>
      </w:pPr>
      <w:r w:rsidRPr="002B283E">
        <w:rPr>
          <w:rFonts w:cs="Times New Roman"/>
          <w:b/>
          <w:szCs w:val="24"/>
        </w:rPr>
        <w:t>Comment</w:t>
      </w:r>
    </w:p>
    <w:p w14:paraId="287C924D" w14:textId="77777777" w:rsidR="0026567A" w:rsidRPr="002B283E" w:rsidRDefault="0026567A" w:rsidP="002B283E">
      <w:pPr>
        <w:rPr>
          <w:rFonts w:cs="Times New Roman"/>
          <w:szCs w:val="24"/>
        </w:rPr>
      </w:pPr>
    </w:p>
    <w:p w14:paraId="4E05608D" w14:textId="77777777" w:rsidR="0026567A" w:rsidRPr="002B283E" w:rsidRDefault="0026567A" w:rsidP="002B283E">
      <w:pPr>
        <w:rPr>
          <w:rFonts w:cs="Times New Roman"/>
          <w:szCs w:val="24"/>
        </w:rPr>
      </w:pPr>
      <w:r w:rsidRPr="002B283E">
        <w:rPr>
          <w:rFonts w:cs="Times New Roman"/>
          <w:szCs w:val="24"/>
        </w:rPr>
        <w:tab/>
        <w:t xml:space="preserve">Abandonment is defined in 15 U.S.C. § 1127, paragraph 16. </w:t>
      </w:r>
      <w:r w:rsidRPr="002B283E">
        <w:rPr>
          <w:rFonts w:cs="Times New Roman"/>
          <w:i/>
          <w:szCs w:val="24"/>
        </w:rPr>
        <w:t xml:space="preserve">See also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17:18 (5th ed. 2019); </w:t>
      </w:r>
      <w:r w:rsidRPr="002B283E">
        <w:rPr>
          <w:rFonts w:cs="Times New Roman"/>
          <w:i/>
          <w:szCs w:val="24"/>
        </w:rPr>
        <w:t>Electro Source, LLC v. Brandess-Kalt-Aetna Grp., Inc.</w:t>
      </w:r>
      <w:r w:rsidRPr="002B283E">
        <w:rPr>
          <w:rFonts w:cs="Times New Roman"/>
          <w:szCs w:val="24"/>
        </w:rPr>
        <w:t xml:space="preserve">, 458 F.3d 931, 938 (9th Cir. 2006) (“[A]bandonment requires </w:t>
      </w:r>
      <w:r w:rsidRPr="002B283E">
        <w:rPr>
          <w:rFonts w:cs="Times New Roman"/>
          <w:i/>
          <w:szCs w:val="24"/>
        </w:rPr>
        <w:t>complete</w:t>
      </w:r>
      <w:r w:rsidRPr="002B283E">
        <w:rPr>
          <w:rFonts w:cs="Times New Roman"/>
          <w:szCs w:val="24"/>
        </w:rPr>
        <w:t xml:space="preserve"> cessation or discontinuance of trademark use.”). Abandonment “is generally a factual issue.” </w:t>
      </w:r>
      <w:r w:rsidRPr="002B283E">
        <w:rPr>
          <w:rFonts w:cs="Times New Roman"/>
          <w:i/>
          <w:szCs w:val="24"/>
        </w:rPr>
        <w:t>Id.</w:t>
      </w:r>
      <w:r w:rsidRPr="002B283E">
        <w:rPr>
          <w:rFonts w:cs="Times New Roman"/>
          <w:szCs w:val="24"/>
        </w:rPr>
        <w:t xml:space="preserve"> at 937. As to abandonment by uncontrolled or “naked” licensing, </w:t>
      </w:r>
      <w:r w:rsidRPr="002B283E">
        <w:rPr>
          <w:rFonts w:cs="Times New Roman"/>
          <w:i/>
          <w:szCs w:val="24"/>
        </w:rPr>
        <w:t>see Barcamerica Int’l USA Trust v. Tyfield Imps., Inc.</w:t>
      </w:r>
      <w:r w:rsidRPr="002B283E">
        <w:rPr>
          <w:rFonts w:cs="Times New Roman"/>
          <w:szCs w:val="24"/>
        </w:rPr>
        <w:t>, 289 F.3d 589, 595-96 (9th Cir. 2002).</w:t>
      </w:r>
      <w:r w:rsidRPr="002B283E">
        <w:rPr>
          <w:rFonts w:cs="Times New Roman"/>
          <w:szCs w:val="24"/>
        </w:rPr>
        <w:tab/>
      </w:r>
    </w:p>
    <w:p w14:paraId="3F55CD20" w14:textId="77777777" w:rsidR="0026567A" w:rsidRPr="002B283E" w:rsidRDefault="0026567A" w:rsidP="002B283E">
      <w:pPr>
        <w:rPr>
          <w:rFonts w:cs="Times New Roman"/>
          <w:szCs w:val="24"/>
        </w:rPr>
      </w:pPr>
    </w:p>
    <w:p w14:paraId="59AB1E8A" w14:textId="77777777" w:rsidR="0026567A" w:rsidRPr="002B283E" w:rsidRDefault="0026567A" w:rsidP="002B283E">
      <w:pPr>
        <w:rPr>
          <w:rFonts w:cs="Times New Roman"/>
          <w:szCs w:val="24"/>
        </w:rPr>
      </w:pPr>
      <w:r w:rsidRPr="002B283E">
        <w:rPr>
          <w:rFonts w:cs="Times New Roman"/>
          <w:szCs w:val="24"/>
        </w:rPr>
        <w:tab/>
        <w:t>The defendant has the burden of proving abandonment. Evidence of non-use of the mark for three consecutive years is prima facie evidence of abandonment.</w:t>
      </w:r>
      <w:r w:rsidRPr="002B283E">
        <w:rPr>
          <w:rFonts w:cs="Times New Roman"/>
          <w:i/>
          <w:szCs w:val="24"/>
        </w:rPr>
        <w:t xml:space="preserve"> See</w:t>
      </w:r>
      <w:r w:rsidRPr="002B283E">
        <w:rPr>
          <w:rFonts w:cs="Times New Roman"/>
          <w:szCs w:val="24"/>
        </w:rPr>
        <w:t xml:space="preserve"> 15 U.S.C. § 1127; </w:t>
      </w:r>
      <w:r w:rsidRPr="002B283E">
        <w:rPr>
          <w:rFonts w:cs="Times New Roman"/>
          <w:i/>
          <w:szCs w:val="24"/>
        </w:rPr>
        <w:t xml:space="preserve">Abdul-Jabbar v. </w:t>
      </w:r>
      <w:r w:rsidRPr="002B283E">
        <w:rPr>
          <w:rFonts w:cs="Times New Roman"/>
          <w:i/>
          <w:iCs/>
          <w:szCs w:val="24"/>
        </w:rPr>
        <w:t>Gen.</w:t>
      </w:r>
      <w:r w:rsidRPr="002B283E">
        <w:rPr>
          <w:rFonts w:cs="Times New Roman"/>
          <w:i/>
          <w:szCs w:val="24"/>
        </w:rPr>
        <w:t xml:space="preserve"> Motors Corp</w:t>
      </w:r>
      <w:r w:rsidRPr="002B283E">
        <w:rPr>
          <w:rFonts w:cs="Times New Roman"/>
          <w:szCs w:val="24"/>
        </w:rPr>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2B283E">
        <w:rPr>
          <w:rFonts w:cs="Times New Roman"/>
          <w:i/>
          <w:szCs w:val="24"/>
        </w:rPr>
        <w:t xml:space="preserve">Exxon Corp. v. Humble </w:t>
      </w:r>
      <w:r w:rsidRPr="002B283E">
        <w:rPr>
          <w:rFonts w:cs="Times New Roman"/>
          <w:i/>
          <w:iCs/>
          <w:szCs w:val="24"/>
        </w:rPr>
        <w:t>Expl.</w:t>
      </w:r>
      <w:r w:rsidRPr="002B283E">
        <w:rPr>
          <w:rFonts w:cs="Times New Roman"/>
          <w:i/>
          <w:szCs w:val="24"/>
        </w:rPr>
        <w:t xml:space="preserve"> Co.</w:t>
      </w:r>
      <w:r w:rsidRPr="002B283E">
        <w:rPr>
          <w:rFonts w:cs="Times New Roman"/>
          <w:szCs w:val="24"/>
        </w:rPr>
        <w:t xml:space="preserve">, 695 F.2d 96, 99 (5th Cir. 1983). </w:t>
      </w:r>
      <w:r w:rsidRPr="002B283E">
        <w:rPr>
          <w:rFonts w:cs="Times New Roman"/>
          <w:szCs w:val="24"/>
        </w:rPr>
        <w:tab/>
      </w:r>
    </w:p>
    <w:p w14:paraId="14BF6CC7" w14:textId="77777777" w:rsidR="0026567A" w:rsidRPr="002B283E" w:rsidRDefault="0026567A" w:rsidP="002B283E">
      <w:pPr>
        <w:rPr>
          <w:rFonts w:cs="Times New Roman"/>
          <w:szCs w:val="24"/>
        </w:rPr>
      </w:pPr>
    </w:p>
    <w:p w14:paraId="0EBCBD34" w14:textId="6E5655A5" w:rsidR="0026567A" w:rsidRPr="002B283E" w:rsidRDefault="0026567A" w:rsidP="002B283E">
      <w:pPr>
        <w:rPr>
          <w:rFonts w:cs="Times New Roman"/>
          <w:szCs w:val="24"/>
        </w:rPr>
      </w:pPr>
      <w:r w:rsidRPr="002B283E">
        <w:rPr>
          <w:rFonts w:cs="Times New Roman"/>
          <w:szCs w:val="24"/>
        </w:rPr>
        <w:tab/>
        <w:t xml:space="preserve">No Ninth Circuit case establishes the standard of proof required to prove abandonment as between “clear and convincing” and “preponderance.” </w:t>
      </w:r>
      <w:r w:rsidRPr="002B283E">
        <w:rPr>
          <w:rFonts w:cs="Times New Roman"/>
          <w:i/>
          <w:szCs w:val="24"/>
        </w:rPr>
        <w:t>See Electro Source, LLC</w:t>
      </w:r>
      <w:r w:rsidRPr="002B283E">
        <w:rPr>
          <w:rFonts w:cs="Times New Roman"/>
          <w:szCs w:val="24"/>
        </w:rPr>
        <w:t xml:space="preserve">, 458 F.3d at 935 n.2 (noting that defendant, “as the party asserting abandonment, is required to ‘strictly prove’ its claim. . . . We do not need to flesh out the contours of the ‘strict proof’ standard because our </w:t>
      </w:r>
      <w:r w:rsidRPr="002B283E">
        <w:rPr>
          <w:rFonts w:cs="Times New Roman"/>
          <w:szCs w:val="24"/>
        </w:rPr>
        <w:lastRenderedPageBreak/>
        <w:t xml:space="preserve">resolution of this summary judgment appeal rests on the proper legal construction of § 1127”) (collecting other “strict proof” cases); </w:t>
      </w:r>
      <w:r w:rsidRPr="002B283E">
        <w:rPr>
          <w:rFonts w:cs="Times New Roman"/>
          <w:i/>
          <w:szCs w:val="24"/>
        </w:rPr>
        <w:t>Grocery Outlet, Inc. v. Albertson’s Inc.</w:t>
      </w:r>
      <w:r w:rsidRPr="002B283E">
        <w:rPr>
          <w:rFonts w:cs="Times New Roman"/>
          <w:szCs w:val="24"/>
        </w:rPr>
        <w:t xml:space="preserve">, 497 F.3d 949, 951 (9th Cir. 2007) (stating that because appellant waived its challenge to clear and convincing standard, the Ninth Circuit “need not resolve the burden of proof issue”). Except for the Federal Circuit’s view that in inter-partes proceedings before the Trademark Trial and Appeal Board preponderance of the evidence is the standard of proof, “all” courts follow a clear and convincing standard of proof of abandonment. </w:t>
      </w:r>
      <w:r w:rsidRPr="002B283E">
        <w:rPr>
          <w:rFonts w:cs="Times New Roman"/>
          <w:i/>
          <w:szCs w:val="24"/>
        </w:rPr>
        <w:t>See</w:t>
      </w:r>
      <w:r w:rsidRPr="002B283E">
        <w:rPr>
          <w:rFonts w:cs="Times New Roman"/>
          <w:szCs w:val="24"/>
        </w:rPr>
        <w:t xml:space="preserve"> </w:t>
      </w:r>
      <w:r w:rsidRPr="002B283E">
        <w:rPr>
          <w:rFonts w:cs="Times New Roman"/>
          <w:smallCaps/>
          <w:szCs w:val="24"/>
        </w:rPr>
        <w:t xml:space="preserve">McCarthy, </w:t>
      </w:r>
      <w:r w:rsidRPr="002B283E">
        <w:rPr>
          <w:rFonts w:cs="Times New Roman"/>
          <w:i/>
          <w:iCs/>
          <w:szCs w:val="24"/>
        </w:rPr>
        <w:t>supra</w:t>
      </w:r>
      <w:r w:rsidRPr="002B283E">
        <w:rPr>
          <w:rFonts w:cs="Times New Roman"/>
          <w:smallCaps/>
          <w:szCs w:val="24"/>
        </w:rPr>
        <w:t>,</w:t>
      </w:r>
      <w:r w:rsidRPr="002B283E">
        <w:rPr>
          <w:rFonts w:cs="Times New Roman"/>
          <w:szCs w:val="24"/>
        </w:rPr>
        <w:t xml:space="preserve"> § 17:12.</w:t>
      </w:r>
    </w:p>
    <w:p w14:paraId="79B31C20" w14:textId="77777777" w:rsidR="0026567A" w:rsidRPr="002B283E" w:rsidRDefault="0026567A" w:rsidP="002B283E">
      <w:pPr>
        <w:rPr>
          <w:rFonts w:cs="Times New Roman"/>
          <w:szCs w:val="24"/>
        </w:rPr>
      </w:pPr>
    </w:p>
    <w:p w14:paraId="32F4026C" w14:textId="7F6D6517" w:rsidR="006A4CD7" w:rsidRPr="002B283E" w:rsidRDefault="0026567A"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60DADA5" w14:textId="77777777" w:rsidR="003E3B69" w:rsidRPr="002B283E" w:rsidRDefault="003E3B69" w:rsidP="002B283E">
      <w:pPr>
        <w:autoSpaceDE w:val="0"/>
        <w:autoSpaceDN w:val="0"/>
        <w:adjustRightInd w:val="0"/>
        <w:rPr>
          <w:rFonts w:cs="Times New Roman"/>
          <w:szCs w:val="24"/>
        </w:rPr>
      </w:pPr>
    </w:p>
    <w:p w14:paraId="65CB668F" w14:textId="2A46B963" w:rsidR="003E3B69" w:rsidRPr="002B283E" w:rsidRDefault="006A4CD7" w:rsidP="002B283E">
      <w:pPr>
        <w:pStyle w:val="Heading2"/>
      </w:pPr>
      <w:r w:rsidRPr="002B283E">
        <w:br w:type="page"/>
      </w:r>
      <w:bookmarkStart w:id="368" w:name="_Toc221525290"/>
      <w:r w:rsidRPr="002B283E">
        <w:lastRenderedPageBreak/>
        <w:t>15.2</w:t>
      </w:r>
      <w:r w:rsidR="0008651C">
        <w:t>4</w:t>
      </w:r>
      <w:r w:rsidRPr="002B283E">
        <w:t xml:space="preserve"> </w:t>
      </w:r>
      <w:r w:rsidR="002D3E69" w:rsidRPr="002B283E">
        <w:t xml:space="preserve">Defenses—Continuous Prior Use Within Remote Geographic </w:t>
      </w:r>
      <w:r w:rsidR="009F70BA" w:rsidRPr="002B283E">
        <w:br/>
      </w:r>
      <w:r w:rsidR="002D3E69" w:rsidRPr="002B283E">
        <w:t xml:space="preserve">Area—Affirmative Defense </w:t>
      </w:r>
      <w:r w:rsidRPr="002B283E">
        <w:t>(15 U.S.C. § 1115(b)(5))</w:t>
      </w:r>
      <w:bookmarkEnd w:id="368"/>
    </w:p>
    <w:p w14:paraId="472A7110" w14:textId="77777777" w:rsidR="006A4CD7" w:rsidRPr="002B283E" w:rsidRDefault="006A4CD7" w:rsidP="002B283E">
      <w:pPr>
        <w:rPr>
          <w:rFonts w:cs="Times New Roman"/>
          <w:szCs w:val="24"/>
        </w:rPr>
      </w:pPr>
    </w:p>
    <w:p w14:paraId="6127ACF4" w14:textId="77777777" w:rsidR="00601247" w:rsidRPr="002B283E" w:rsidRDefault="006A4CD7" w:rsidP="002B283E">
      <w:pPr>
        <w:rPr>
          <w:rFonts w:cs="Times New Roman"/>
          <w:szCs w:val="24"/>
        </w:rPr>
      </w:pPr>
      <w:r w:rsidRPr="002B283E">
        <w:rPr>
          <w:rFonts w:cs="Times New Roman"/>
          <w:szCs w:val="24"/>
        </w:rPr>
        <w:tab/>
      </w:r>
      <w:r w:rsidR="00601247" w:rsidRPr="002B283E">
        <w:rPr>
          <w:rFonts w:cs="Times New Roman"/>
          <w:szCs w:val="24"/>
        </w:rPr>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4A22EEDF" w14:textId="77777777" w:rsidR="00601247" w:rsidRPr="002B283E" w:rsidRDefault="00601247" w:rsidP="002B283E">
      <w:pPr>
        <w:rPr>
          <w:rFonts w:cs="Times New Roman"/>
          <w:szCs w:val="24"/>
        </w:rPr>
      </w:pPr>
    </w:p>
    <w:p w14:paraId="3932BFDF" w14:textId="40A7138E"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right to use the trademark within the [</w:t>
      </w:r>
      <w:r w:rsidRPr="002B283E">
        <w:rPr>
          <w:rFonts w:cs="Times New Roman"/>
          <w:i/>
          <w:szCs w:val="24"/>
          <w:u w:val="single"/>
        </w:rPr>
        <w:t>specify geographic region</w:t>
      </w:r>
      <w:r w:rsidRPr="002B283E">
        <w:rPr>
          <w:rFonts w:cs="Times New Roman"/>
          <w:szCs w:val="24"/>
        </w:rPr>
        <w:t xml:space="preserve">] area. </w:t>
      </w:r>
    </w:p>
    <w:p w14:paraId="6AF7A633" w14:textId="77777777" w:rsidR="00601247" w:rsidRPr="002B283E" w:rsidRDefault="00601247" w:rsidP="002B283E">
      <w:pPr>
        <w:rPr>
          <w:rFonts w:cs="Times New Roman"/>
          <w:szCs w:val="24"/>
        </w:rPr>
      </w:pPr>
    </w:p>
    <w:p w14:paraId="39AFEAB7" w14:textId="64A6025B"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each of the following by a preponderance of the evidence: </w:t>
      </w:r>
    </w:p>
    <w:p w14:paraId="2CCC2F72" w14:textId="77777777" w:rsidR="00601247" w:rsidRPr="002B283E" w:rsidRDefault="00601247" w:rsidP="002B283E">
      <w:pPr>
        <w:rPr>
          <w:rFonts w:cs="Times New Roman"/>
          <w:szCs w:val="24"/>
        </w:rPr>
      </w:pPr>
    </w:p>
    <w:p w14:paraId="3044EE66" w14:textId="7675224F" w:rsidR="00601247" w:rsidRPr="002B283E" w:rsidRDefault="00601247" w:rsidP="008A04C2">
      <w:pPr>
        <w:ind w:firstLine="720"/>
        <w:rPr>
          <w:rFonts w:cs="Times New Roman"/>
          <w:szCs w:val="24"/>
        </w:rPr>
      </w:pPr>
      <w:r w:rsidRPr="002B283E">
        <w:rPr>
          <w:rFonts w:cs="Times New Roman"/>
          <w:szCs w:val="24"/>
        </w:rPr>
        <w:t>First,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continuously used the trademark, without interruption, in [</w:t>
      </w:r>
      <w:r w:rsidRPr="002B283E">
        <w:rPr>
          <w:rFonts w:cs="Times New Roman"/>
          <w:i/>
          <w:szCs w:val="24"/>
          <w:u w:val="single"/>
        </w:rPr>
        <w:t>geographic region where defendant claims prior use</w:t>
      </w:r>
      <w:r w:rsidRPr="002B283E">
        <w:rPr>
          <w:rFonts w:cs="Times New Roman"/>
          <w:szCs w:val="24"/>
        </w:rPr>
        <w:t xml:space="preserve">]; </w:t>
      </w:r>
    </w:p>
    <w:p w14:paraId="5F7A8B8E" w14:textId="77777777" w:rsidR="00601247" w:rsidRPr="002B283E" w:rsidRDefault="00601247" w:rsidP="008A04C2">
      <w:pPr>
        <w:ind w:firstLine="720"/>
        <w:rPr>
          <w:rFonts w:cs="Times New Roman"/>
          <w:szCs w:val="24"/>
        </w:rPr>
      </w:pPr>
    </w:p>
    <w:p w14:paraId="7B48B1E1" w14:textId="2039086C" w:rsidR="00601247" w:rsidRPr="002B283E" w:rsidRDefault="00601247" w:rsidP="008A04C2">
      <w:pPr>
        <w:ind w:firstLine="720"/>
        <w:rPr>
          <w:rFonts w:cs="Times New Roman"/>
          <w:szCs w:val="24"/>
        </w:rPr>
      </w:pPr>
      <w:r w:rsidRPr="002B283E">
        <w:rPr>
          <w:rFonts w:cs="Times New Roman"/>
          <w:szCs w:val="24"/>
        </w:rPr>
        <w:t>Second,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began using the trademark without knowledge of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prior use elsewhere; and </w:t>
      </w:r>
    </w:p>
    <w:p w14:paraId="2EDD0923" w14:textId="77777777" w:rsidR="00601247" w:rsidRPr="002B283E" w:rsidRDefault="00601247" w:rsidP="008A04C2">
      <w:pPr>
        <w:ind w:firstLine="720"/>
        <w:rPr>
          <w:rFonts w:cs="Times New Roman"/>
          <w:szCs w:val="24"/>
        </w:rPr>
      </w:pPr>
    </w:p>
    <w:p w14:paraId="70B45C0D" w14:textId="6791744D" w:rsidR="00601247" w:rsidRPr="002B283E" w:rsidRDefault="00601247" w:rsidP="008A04C2">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used the trademark before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[applied for registration of the] [registered the]</w:t>
      </w:r>
      <w:r w:rsidR="00490580">
        <w:rPr>
          <w:rFonts w:cs="Times New Roman"/>
          <w:szCs w:val="24"/>
        </w:rPr>
        <w:t>]</w:t>
      </w:r>
      <w:r w:rsidRPr="002B283E">
        <w:rPr>
          <w:rFonts w:cs="Times New Roman"/>
          <w:szCs w:val="24"/>
        </w:rPr>
        <w:t xml:space="preserve"> [published the registered] trademark. </w:t>
      </w:r>
    </w:p>
    <w:p w14:paraId="523C64D8" w14:textId="77777777" w:rsidR="00601247" w:rsidRPr="002B283E" w:rsidRDefault="00601247" w:rsidP="002B283E">
      <w:pPr>
        <w:rPr>
          <w:rFonts w:cs="Times New Roman"/>
          <w:szCs w:val="24"/>
        </w:rPr>
      </w:pPr>
    </w:p>
    <w:p w14:paraId="71F591B3" w14:textId="77777777" w:rsidR="00601247" w:rsidRPr="002B283E" w:rsidRDefault="00601247" w:rsidP="002B283E">
      <w:pPr>
        <w:jc w:val="center"/>
        <w:rPr>
          <w:rFonts w:cs="Times New Roman"/>
          <w:b/>
          <w:szCs w:val="24"/>
        </w:rPr>
      </w:pPr>
      <w:r w:rsidRPr="002B283E">
        <w:rPr>
          <w:rFonts w:cs="Times New Roman"/>
          <w:b/>
          <w:szCs w:val="24"/>
        </w:rPr>
        <w:t>Comment</w:t>
      </w:r>
    </w:p>
    <w:p w14:paraId="74E37B0F" w14:textId="77777777" w:rsidR="00601247" w:rsidRPr="002B283E" w:rsidRDefault="00601247" w:rsidP="002B283E">
      <w:pPr>
        <w:rPr>
          <w:rFonts w:cs="Times New Roman"/>
          <w:szCs w:val="24"/>
        </w:rPr>
      </w:pPr>
    </w:p>
    <w:p w14:paraId="55F4D22E" w14:textId="77777777" w:rsidR="00601247" w:rsidRPr="002B283E" w:rsidRDefault="00601247" w:rsidP="002B283E">
      <w:pPr>
        <w:rPr>
          <w:rFonts w:cs="Times New Roman"/>
          <w:szCs w:val="24"/>
        </w:rPr>
      </w:pPr>
      <w:r w:rsidRPr="002B283E">
        <w:rPr>
          <w:rFonts w:cs="Times New Roman"/>
          <w:szCs w:val="24"/>
        </w:rPr>
        <w:tab/>
        <w:t xml:space="preserve">The defendant has the burden of pleading and proving the elements of this defense. </w:t>
      </w:r>
      <w:r w:rsidRPr="002B283E">
        <w:rPr>
          <w:rFonts w:cs="Times New Roman"/>
          <w:i/>
          <w:szCs w:val="24"/>
        </w:rPr>
        <w:t>See Philip Morris, Inc. v. Imperial Tobacco Co</w:t>
      </w:r>
      <w:r w:rsidRPr="002B283E">
        <w:rPr>
          <w:rFonts w:cs="Times New Roman"/>
          <w:szCs w:val="24"/>
        </w:rPr>
        <w:t xml:space="preserve">., 251 F. Supp. 362, 379 (E.D. Va. 1965), </w:t>
      </w:r>
      <w:r w:rsidRPr="002B283E">
        <w:rPr>
          <w:rFonts w:cs="Times New Roman"/>
          <w:i/>
          <w:szCs w:val="24"/>
        </w:rPr>
        <w:t>aff’d</w:t>
      </w:r>
      <w:r w:rsidRPr="002B283E">
        <w:rPr>
          <w:rFonts w:cs="Times New Roman"/>
          <w:szCs w:val="24"/>
        </w:rPr>
        <w:t xml:space="preserve">, 401 F.2d 179 (4th Cir. 1968); 5 </w:t>
      </w:r>
      <w:r w:rsidRPr="002B283E">
        <w:rPr>
          <w:rFonts w:cs="Times New Roman"/>
          <w:smallCaps/>
          <w:szCs w:val="24"/>
        </w:rPr>
        <w:t>J. Thomas McCarthy, McCarthy on Trademarks and Unfair Competition</w:t>
      </w:r>
      <w:r w:rsidRPr="002B283E">
        <w:rPr>
          <w:rFonts w:cs="Times New Roman"/>
          <w:szCs w:val="24"/>
        </w:rPr>
        <w:t xml:space="preserve"> § 26:44 (5th ed. 2019). </w:t>
      </w:r>
    </w:p>
    <w:p w14:paraId="2C2FFF8F" w14:textId="77777777" w:rsidR="00601247" w:rsidRPr="002B283E" w:rsidRDefault="00601247" w:rsidP="002B283E">
      <w:pPr>
        <w:rPr>
          <w:rFonts w:cs="Times New Roman"/>
          <w:szCs w:val="24"/>
        </w:rPr>
      </w:pPr>
    </w:p>
    <w:p w14:paraId="486BEA6A" w14:textId="77777777" w:rsidR="00601247" w:rsidRPr="002B283E" w:rsidRDefault="00601247" w:rsidP="002B283E">
      <w:pPr>
        <w:rPr>
          <w:rFonts w:cs="Times New Roman"/>
          <w:szCs w:val="24"/>
        </w:rPr>
      </w:pPr>
      <w:r w:rsidRPr="002B283E">
        <w:rPr>
          <w:rFonts w:cs="Times New Roman"/>
          <w:szCs w:val="24"/>
        </w:rPr>
        <w:tab/>
        <w:t xml:space="preserve">“Continuous” means lack of interruption. </w:t>
      </w:r>
      <w:r w:rsidRPr="002B283E">
        <w:rPr>
          <w:rFonts w:cs="Times New Roman"/>
          <w:i/>
          <w:szCs w:val="24"/>
        </w:rPr>
        <w:t xml:space="preserve">See Casual Corner Assocs., Inc. v. Casual Stores of </w:t>
      </w:r>
      <w:r w:rsidRPr="002B283E">
        <w:rPr>
          <w:rFonts w:cs="Times New Roman"/>
          <w:i/>
          <w:iCs/>
          <w:szCs w:val="24"/>
        </w:rPr>
        <w:t>Nev.,</w:t>
      </w:r>
      <w:r w:rsidRPr="002B283E">
        <w:rPr>
          <w:rFonts w:cs="Times New Roman"/>
          <w:i/>
          <w:szCs w:val="24"/>
        </w:rPr>
        <w:t xml:space="preserve"> Inc.</w:t>
      </w:r>
      <w:r w:rsidRPr="002B283E">
        <w:rPr>
          <w:rFonts w:cs="Times New Roman"/>
          <w:szCs w:val="24"/>
        </w:rPr>
        <w:t xml:space="preserve">, 493 F.2d 709, 712 (9th Cir. 1974). The dimensions of the geographic area are a question of fact, determined in terms of the relevant zones of sales, advertising, and reputation as of the date of the plaintiff’s registration. </w:t>
      </w:r>
      <w:r w:rsidRPr="002B283E">
        <w:rPr>
          <w:rFonts w:cs="Times New Roman"/>
          <w:i/>
          <w:szCs w:val="24"/>
        </w:rPr>
        <w:t>Consol. Freightways Corp. v. Consol. Forwarding, Inc.</w:t>
      </w:r>
      <w:r w:rsidRPr="002B283E">
        <w:rPr>
          <w:rFonts w:cs="Times New Roman"/>
          <w:szCs w:val="24"/>
        </w:rPr>
        <w:t xml:space="preserve">, 156 U.S.P.Q. (BL) 99 (N.D. Ill. 1967); </w:t>
      </w:r>
      <w:r w:rsidRPr="002B283E">
        <w:rPr>
          <w:rFonts w:cs="Times New Roman"/>
          <w:i/>
          <w:szCs w:val="24"/>
        </w:rPr>
        <w:t>see also Watec Co., Ltd. v. Liu</w:t>
      </w:r>
      <w:r w:rsidRPr="002B283E">
        <w:rPr>
          <w:rFonts w:cs="Times New Roman"/>
          <w:szCs w:val="24"/>
        </w:rPr>
        <w:t>,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 [trademark] claimants’ sales of trademarked products in relation to the marketplace in the locality in question. The actual doing of business rather than the mere use of a flyer or advertisement is required [f]or the establishment of common-law rights in any locality.”).</w:t>
      </w:r>
    </w:p>
    <w:p w14:paraId="6F0CB9B3" w14:textId="77777777" w:rsidR="00601247" w:rsidRPr="002B283E" w:rsidRDefault="00601247" w:rsidP="002B283E">
      <w:pPr>
        <w:rPr>
          <w:rFonts w:cs="Times New Roman"/>
          <w:szCs w:val="24"/>
        </w:rPr>
      </w:pPr>
    </w:p>
    <w:p w14:paraId="563CF605" w14:textId="77777777" w:rsidR="00601247" w:rsidRPr="002B283E" w:rsidRDefault="00601247" w:rsidP="002B283E">
      <w:pPr>
        <w:rPr>
          <w:rFonts w:cs="Times New Roman"/>
          <w:szCs w:val="24"/>
        </w:rPr>
      </w:pPr>
      <w:r w:rsidRPr="002B283E">
        <w:rPr>
          <w:rFonts w:cs="Times New Roman"/>
          <w:szCs w:val="24"/>
        </w:rPr>
        <w:tab/>
        <w:t xml:space="preserve">Even if marks are precisely identical, there may be no infringement if the marks are in </w:t>
      </w:r>
    </w:p>
    <w:p w14:paraId="7BB71087" w14:textId="77777777" w:rsidR="00601247" w:rsidRPr="002B283E" w:rsidRDefault="00601247" w:rsidP="002B283E">
      <w:pPr>
        <w:rPr>
          <w:rFonts w:cs="Times New Roman"/>
          <w:szCs w:val="24"/>
        </w:rPr>
      </w:pPr>
      <w:r w:rsidRPr="002B283E">
        <w:rPr>
          <w:rFonts w:cs="Times New Roman"/>
          <w:szCs w:val="24"/>
        </w:rPr>
        <w:lastRenderedPageBreak/>
        <w:t>different geographic areas.</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1054 (9th Cir. 1999) (acknowledging that some courts permit the use of identical marks if in distinct geographic area). </w:t>
      </w:r>
    </w:p>
    <w:p w14:paraId="39020EC5" w14:textId="77777777" w:rsidR="00601247" w:rsidRPr="002B283E" w:rsidRDefault="00601247" w:rsidP="002B283E">
      <w:pPr>
        <w:rPr>
          <w:rFonts w:cs="Times New Roman"/>
          <w:szCs w:val="24"/>
        </w:rPr>
      </w:pPr>
    </w:p>
    <w:p w14:paraId="4F4C6BED" w14:textId="76D32C73" w:rsidR="006A4CD7" w:rsidRPr="002B283E" w:rsidRDefault="0060124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41D53572" w14:textId="77777777" w:rsidR="003E3B69" w:rsidRPr="002B283E" w:rsidRDefault="003E3B69" w:rsidP="002B283E">
      <w:pPr>
        <w:autoSpaceDE w:val="0"/>
        <w:autoSpaceDN w:val="0"/>
        <w:adjustRightInd w:val="0"/>
        <w:rPr>
          <w:rFonts w:cs="Times New Roman"/>
          <w:szCs w:val="24"/>
        </w:rPr>
      </w:pPr>
    </w:p>
    <w:p w14:paraId="2B7021CB" w14:textId="78BEF7A3" w:rsidR="006A4CD7" w:rsidRPr="002B283E" w:rsidRDefault="006A4CD7" w:rsidP="002B283E">
      <w:pPr>
        <w:pStyle w:val="Heading2"/>
      </w:pPr>
      <w:r w:rsidRPr="002B283E">
        <w:br w:type="page"/>
      </w:r>
      <w:bookmarkStart w:id="369" w:name="_Toc221525291"/>
      <w:r w:rsidRPr="002B283E">
        <w:lastRenderedPageBreak/>
        <w:t>15.2</w:t>
      </w:r>
      <w:r w:rsidR="0008651C">
        <w:t>5</w:t>
      </w:r>
      <w:r w:rsidRPr="002B283E">
        <w:t xml:space="preserve"> </w:t>
      </w:r>
      <w:r w:rsidR="00BF24DD" w:rsidRPr="002B283E">
        <w:t>Defenses</w:t>
      </w:r>
      <w:r w:rsidR="00644AB3" w:rsidRPr="002B283E">
        <w:t>—“</w:t>
      </w:r>
      <w:r w:rsidR="00BF24DD" w:rsidRPr="002B283E">
        <w:t xml:space="preserve">Classic” Fair Use </w:t>
      </w:r>
      <w:r w:rsidR="009F70BA" w:rsidRPr="002B283E">
        <w:br/>
      </w:r>
      <w:r w:rsidRPr="002B283E">
        <w:t>(15 U.S.C. § 1115(b)(4))</w:t>
      </w:r>
      <w:bookmarkEnd w:id="369"/>
    </w:p>
    <w:p w14:paraId="07CD3840" w14:textId="77777777" w:rsidR="006A4CD7" w:rsidRPr="002B283E" w:rsidRDefault="006A4CD7" w:rsidP="002B283E">
      <w:pPr>
        <w:rPr>
          <w:rFonts w:cs="Times New Roman"/>
          <w:szCs w:val="24"/>
        </w:rPr>
      </w:pPr>
    </w:p>
    <w:p w14:paraId="21C35323" w14:textId="77777777" w:rsidR="000E122C" w:rsidRPr="002B283E" w:rsidRDefault="006A4CD7" w:rsidP="002B283E">
      <w:pPr>
        <w:rPr>
          <w:rFonts w:cs="Times New Roman"/>
          <w:szCs w:val="24"/>
        </w:rPr>
      </w:pPr>
      <w:r w:rsidRPr="002B283E">
        <w:rPr>
          <w:rFonts w:cs="Times New Roman"/>
          <w:szCs w:val="24"/>
        </w:rPr>
        <w:tab/>
      </w:r>
      <w:r w:rsidR="000E122C" w:rsidRPr="002B283E">
        <w:rPr>
          <w:rFonts w:cs="Times New Roman"/>
          <w:szCs w:val="24"/>
        </w:rPr>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5D592AF2" w14:textId="77777777" w:rsidR="000E122C" w:rsidRPr="002B283E" w:rsidRDefault="000E122C" w:rsidP="002B283E">
      <w:pPr>
        <w:rPr>
          <w:rFonts w:cs="Times New Roman"/>
          <w:szCs w:val="24"/>
        </w:rPr>
      </w:pPr>
    </w:p>
    <w:p w14:paraId="40D17FD3" w14:textId="543E2974" w:rsidR="000E122C" w:rsidRPr="002B283E" w:rsidRDefault="000E122C"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contends that it fairly used the trademark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w:t>
      </w:r>
      <w:r w:rsidR="00490580">
        <w:rPr>
          <w:rFonts w:cs="Times New Roman"/>
          <w:szCs w:val="24"/>
        </w:rPr>
        <w:t>[</w:t>
      </w:r>
      <w:r w:rsidRPr="002B283E">
        <w:rPr>
          <w:rFonts w:cs="Times New Roman"/>
          <w:szCs w:val="24"/>
        </w:rPr>
        <w:t>[product] [service]</w:t>
      </w:r>
      <w:r w:rsidR="00490580">
        <w:rPr>
          <w:rFonts w:cs="Times New Roman"/>
          <w:szCs w:val="24"/>
        </w:rPr>
        <w:t>]</w:t>
      </w:r>
      <w:r w:rsidRPr="002B283E">
        <w:rPr>
          <w:rFonts w:cs="Times New Roman"/>
          <w:szCs w:val="24"/>
        </w:rPr>
        <w:t xml:space="preserve">.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its fair use of the mark by a preponderance of the evidence. </w:t>
      </w:r>
    </w:p>
    <w:p w14:paraId="4021896F" w14:textId="77777777" w:rsidR="000E122C" w:rsidRPr="002B283E" w:rsidRDefault="000E122C" w:rsidP="002B283E">
      <w:pPr>
        <w:rPr>
          <w:rFonts w:cs="Times New Roman"/>
          <w:szCs w:val="24"/>
        </w:rPr>
      </w:pPr>
    </w:p>
    <w:p w14:paraId="61A2419C" w14:textId="6FC93129" w:rsidR="000E122C" w:rsidRPr="002B283E" w:rsidRDefault="000E122C" w:rsidP="008A04C2">
      <w:pPr>
        <w:ind w:firstLine="720"/>
        <w:rPr>
          <w:rFonts w:cs="Times New Roman"/>
          <w:szCs w:val="24"/>
        </w:rPr>
      </w:pP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makes fair use of a trademark when the defendant: </w:t>
      </w:r>
    </w:p>
    <w:p w14:paraId="28BBF928" w14:textId="77777777" w:rsidR="000E122C" w:rsidRPr="002B283E" w:rsidRDefault="000E122C" w:rsidP="008A04C2">
      <w:pPr>
        <w:ind w:firstLine="720"/>
        <w:rPr>
          <w:rFonts w:cs="Times New Roman"/>
          <w:szCs w:val="24"/>
        </w:rPr>
      </w:pPr>
    </w:p>
    <w:p w14:paraId="4E523432" w14:textId="0476A7DE" w:rsidR="000E122C" w:rsidRPr="002B283E" w:rsidRDefault="000E122C" w:rsidP="008A04C2">
      <w:pPr>
        <w:ind w:firstLine="720"/>
        <w:rPr>
          <w:rFonts w:cs="Times New Roman"/>
          <w:szCs w:val="24"/>
        </w:rPr>
      </w:pPr>
      <w:r w:rsidRPr="002B283E">
        <w:rPr>
          <w:rFonts w:cs="Times New Roman"/>
          <w:szCs w:val="24"/>
        </w:rPr>
        <w:t>First, used the mark [other than as a trademark] [other than to distinguish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from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and to indicate the source of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w:t>
      </w:r>
    </w:p>
    <w:p w14:paraId="42A932A3" w14:textId="77777777" w:rsidR="000E122C" w:rsidRPr="002B283E" w:rsidRDefault="000E122C" w:rsidP="008A04C2">
      <w:pPr>
        <w:ind w:firstLine="720"/>
        <w:rPr>
          <w:rFonts w:cs="Times New Roman"/>
          <w:szCs w:val="24"/>
        </w:rPr>
      </w:pPr>
    </w:p>
    <w:p w14:paraId="70087433" w14:textId="77777777" w:rsidR="000E122C" w:rsidRPr="002B283E" w:rsidRDefault="000E122C" w:rsidP="008A04C2">
      <w:pPr>
        <w:ind w:firstLine="720"/>
        <w:rPr>
          <w:rFonts w:cs="Times New Roman"/>
          <w:szCs w:val="24"/>
        </w:rPr>
      </w:pPr>
      <w:r w:rsidRPr="002B283E">
        <w:rPr>
          <w:rFonts w:cs="Times New Roman"/>
          <w:szCs w:val="24"/>
        </w:rPr>
        <w:t>Second, used the mark fairly and in good faith; and</w:t>
      </w:r>
    </w:p>
    <w:p w14:paraId="0F5EB254" w14:textId="77777777" w:rsidR="000E122C" w:rsidRPr="002B283E" w:rsidRDefault="000E122C" w:rsidP="008A04C2">
      <w:pPr>
        <w:ind w:firstLine="720"/>
        <w:rPr>
          <w:rFonts w:cs="Times New Roman"/>
          <w:szCs w:val="24"/>
        </w:rPr>
      </w:pPr>
    </w:p>
    <w:p w14:paraId="3EEC0646" w14:textId="4E26769E" w:rsidR="000E122C" w:rsidRPr="002B283E" w:rsidRDefault="000E122C" w:rsidP="008A04C2">
      <w:pPr>
        <w:ind w:firstLine="720"/>
        <w:rPr>
          <w:rFonts w:cs="Times New Roman"/>
          <w:szCs w:val="24"/>
        </w:rPr>
      </w:pPr>
      <w:r w:rsidRPr="002B283E">
        <w:rPr>
          <w:rFonts w:cs="Times New Roman"/>
          <w:szCs w:val="24"/>
        </w:rPr>
        <w:t>Third, used the mark only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or services [or their geographic location] as those of the defendant’s [and not at all to describe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product]. </w:t>
      </w:r>
    </w:p>
    <w:p w14:paraId="7FB98963" w14:textId="77777777" w:rsidR="000E122C" w:rsidRPr="002B283E" w:rsidRDefault="000E122C" w:rsidP="002B283E">
      <w:pPr>
        <w:rPr>
          <w:rFonts w:cs="Times New Roman"/>
          <w:szCs w:val="24"/>
        </w:rPr>
      </w:pPr>
    </w:p>
    <w:p w14:paraId="0BD892A1" w14:textId="77777777" w:rsidR="000E122C" w:rsidRPr="002B283E" w:rsidRDefault="000E122C" w:rsidP="002B283E">
      <w:pPr>
        <w:jc w:val="center"/>
        <w:rPr>
          <w:rFonts w:cs="Times New Roman"/>
          <w:b/>
          <w:szCs w:val="24"/>
        </w:rPr>
      </w:pPr>
      <w:bookmarkStart w:id="370" w:name="_Hlk160363309"/>
      <w:r w:rsidRPr="002B283E">
        <w:rPr>
          <w:rFonts w:cs="Times New Roman"/>
          <w:b/>
          <w:szCs w:val="24"/>
        </w:rPr>
        <w:t>Comment</w:t>
      </w:r>
    </w:p>
    <w:p w14:paraId="0E7DE11D" w14:textId="77777777" w:rsidR="000E122C" w:rsidRPr="002B283E" w:rsidRDefault="000E122C" w:rsidP="002B283E">
      <w:pPr>
        <w:rPr>
          <w:rFonts w:cs="Times New Roman"/>
          <w:szCs w:val="24"/>
        </w:rPr>
      </w:pPr>
    </w:p>
    <w:p w14:paraId="0E31D8F9" w14:textId="3B791D1D" w:rsidR="000E122C" w:rsidRPr="002B283E" w:rsidRDefault="000E122C" w:rsidP="002B283E">
      <w:pPr>
        <w:rPr>
          <w:rFonts w:cs="Times New Roman"/>
          <w:szCs w:val="24"/>
        </w:rPr>
      </w:pPr>
      <w:r w:rsidRPr="002B283E">
        <w:rPr>
          <w:rFonts w:cs="Times New Roman"/>
          <w:szCs w:val="24"/>
        </w:rPr>
        <w:tab/>
        <w:t>The Ninth Circuit identifies two types of fair use</w:t>
      </w:r>
      <w:r w:rsidR="00FA7E88">
        <w:rPr>
          <w:rFonts w:cs="Times New Roman"/>
          <w:szCs w:val="24"/>
        </w:rPr>
        <w:t>—</w:t>
      </w:r>
      <w:r w:rsidRPr="002B283E">
        <w:rPr>
          <w:rFonts w:cs="Times New Roman"/>
          <w:szCs w:val="24"/>
        </w:rPr>
        <w:t xml:space="preserve">classic and nominative. </w:t>
      </w:r>
      <w:r w:rsidRPr="002B283E">
        <w:rPr>
          <w:rFonts w:cs="Times New Roman"/>
          <w:i/>
          <w:szCs w:val="24"/>
        </w:rPr>
        <w:t>Cairns v. Franklin Mint Co.</w:t>
      </w:r>
      <w:r w:rsidRPr="002B283E">
        <w:rPr>
          <w:rFonts w:cs="Times New Roman"/>
          <w:szCs w:val="24"/>
        </w:rPr>
        <w:t xml:space="preserve">, 292 F.3d 1139, 1150 (9th Cir. 2002) (“We distinguish two types of fair use: ‘classic fair use,’ in which ‘the defendant has used the plaintiff’s mark to describe the defendant’s </w:t>
      </w:r>
      <w:r w:rsidRPr="002B283E">
        <w:rPr>
          <w:rFonts w:cs="Times New Roman"/>
          <w:i/>
          <w:szCs w:val="24"/>
        </w:rPr>
        <w:t>own</w:t>
      </w:r>
      <w:r w:rsidRPr="002B283E">
        <w:rPr>
          <w:rFonts w:cs="Times New Roman"/>
          <w:szCs w:val="24"/>
        </w:rPr>
        <w:t xml:space="preserve"> product,’ and ‘nominative fair use,’ in which the defendant has used the plaintiff’s</w:t>
      </w:r>
      <w:r w:rsidRPr="002B283E">
        <w:rPr>
          <w:rFonts w:cs="Times New Roman"/>
          <w:i/>
          <w:szCs w:val="24"/>
        </w:rPr>
        <w:t xml:space="preserve"> </w:t>
      </w:r>
      <w:r w:rsidRPr="002B283E">
        <w:rPr>
          <w:rFonts w:cs="Times New Roman"/>
          <w:szCs w:val="24"/>
        </w:rPr>
        <w:t xml:space="preserve">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cs="Times New Roman"/>
          <w:i/>
          <w:szCs w:val="24"/>
        </w:rPr>
        <w:t xml:space="preserve"> See</w:t>
      </w:r>
      <w:r w:rsidRPr="002B283E">
        <w:rPr>
          <w:rFonts w:cs="Times New Roman"/>
          <w:szCs w:val="24"/>
        </w:rPr>
        <w:t xml:space="preserve"> Instruction 15.2</w:t>
      </w:r>
      <w:r w:rsidR="009818E2">
        <w:rPr>
          <w:rFonts w:cs="Times New Roman"/>
          <w:szCs w:val="24"/>
        </w:rPr>
        <w:t>6</w:t>
      </w:r>
      <w:r w:rsidRPr="002B283E">
        <w:rPr>
          <w:rFonts w:cs="Times New Roman"/>
          <w:szCs w:val="24"/>
        </w:rPr>
        <w:t xml:space="preserve"> (Defenses—Nominative Fair Use). </w:t>
      </w:r>
    </w:p>
    <w:p w14:paraId="295D8E38" w14:textId="77777777" w:rsidR="000E122C" w:rsidRPr="002B283E" w:rsidRDefault="000E122C" w:rsidP="002B283E">
      <w:pPr>
        <w:rPr>
          <w:rFonts w:cs="Times New Roman"/>
          <w:szCs w:val="24"/>
        </w:rPr>
      </w:pPr>
    </w:p>
    <w:p w14:paraId="0525B1F2" w14:textId="003BFB26" w:rsidR="000E122C" w:rsidRPr="002B283E" w:rsidRDefault="000E122C" w:rsidP="002B283E">
      <w:pPr>
        <w:rPr>
          <w:rFonts w:cs="Times New Roman"/>
          <w:szCs w:val="24"/>
        </w:rPr>
      </w:pPr>
      <w:r w:rsidRPr="002B283E">
        <w:rPr>
          <w:rFonts w:cs="Times New Roman"/>
          <w:szCs w:val="24"/>
        </w:rPr>
        <w:tab/>
        <w:t xml:space="preserve">The elements of the classic fair use defense set out in this instruction are drawn from: </w:t>
      </w:r>
      <w:r w:rsidRPr="002B283E">
        <w:rPr>
          <w:rFonts w:cs="Times New Roman"/>
          <w:i/>
          <w:szCs w:val="24"/>
        </w:rPr>
        <w:t>Cairns</w:t>
      </w:r>
      <w:r w:rsidRPr="002B283E">
        <w:rPr>
          <w:rFonts w:cs="Times New Roman"/>
          <w:szCs w:val="24"/>
        </w:rPr>
        <w:t xml:space="preserve">, 292 F.3d at 1150-51 (noting that to establish a classic fair use defense under 15 U.S.C. § 1115, a defendant must prove: “1. Defendant’s use of the term is not as a trademark or service mark; 2. Defendant uses the term ‘fairly and in good faith’; and 3. [Defendant uses the term] </w:t>
      </w:r>
      <w:r w:rsidR="00E14BE2">
        <w:rPr>
          <w:rFonts w:cs="Times New Roman"/>
          <w:szCs w:val="24"/>
        </w:rPr>
        <w:t>‘</w:t>
      </w:r>
      <w:r w:rsidRPr="002B283E">
        <w:rPr>
          <w:rFonts w:cs="Times New Roman"/>
          <w:szCs w:val="24"/>
        </w:rPr>
        <w:t>[o]nly to describe</w:t>
      </w:r>
      <w:r w:rsidR="00E14BE2">
        <w:rPr>
          <w:rFonts w:cs="Times New Roman"/>
          <w:szCs w:val="24"/>
        </w:rPr>
        <w:t>’</w:t>
      </w:r>
      <w:r w:rsidRPr="002B283E">
        <w:rPr>
          <w:rFonts w:cs="Times New Roman"/>
          <w:szCs w:val="24"/>
        </w:rPr>
        <w:t xml:space="preserve"> its goods or services.”); </w:t>
      </w:r>
      <w:r w:rsidRPr="002B283E">
        <w:rPr>
          <w:rFonts w:cs="Times New Roman"/>
          <w:i/>
          <w:szCs w:val="24"/>
        </w:rPr>
        <w:t xml:space="preserve">see also Horphag </w:t>
      </w:r>
      <w:r w:rsidRPr="002B283E">
        <w:rPr>
          <w:rFonts w:cs="Times New Roman"/>
          <w:i/>
          <w:iCs/>
          <w:szCs w:val="24"/>
        </w:rPr>
        <w:t>Rsch.</w:t>
      </w:r>
      <w:r w:rsidRPr="002B283E">
        <w:rPr>
          <w:rFonts w:cs="Times New Roman"/>
          <w:i/>
          <w:szCs w:val="24"/>
        </w:rPr>
        <w:t xml:space="preserve"> Ltd. v. Pellegrini</w:t>
      </w:r>
      <w:r w:rsidRPr="002B283E">
        <w:rPr>
          <w:rFonts w:cs="Times New Roman"/>
          <w:szCs w:val="24"/>
        </w:rPr>
        <w:t xml:space="preserve">, 337 F.3d 1036, 1041 (9th Cir. 2003). </w:t>
      </w:r>
    </w:p>
    <w:p w14:paraId="12283BDA" w14:textId="77777777" w:rsidR="000E122C" w:rsidRPr="002B283E" w:rsidRDefault="000E122C" w:rsidP="002B283E">
      <w:pPr>
        <w:rPr>
          <w:rFonts w:cs="Times New Roman"/>
          <w:szCs w:val="24"/>
        </w:rPr>
      </w:pPr>
    </w:p>
    <w:p w14:paraId="2C8CD0BF" w14:textId="181E9987" w:rsidR="000E122C" w:rsidRDefault="000E122C" w:rsidP="002B283E">
      <w:pPr>
        <w:rPr>
          <w:rFonts w:cs="Times New Roman"/>
          <w:szCs w:val="24"/>
        </w:rPr>
      </w:pPr>
      <w:r w:rsidRPr="002B283E">
        <w:rPr>
          <w:rFonts w:cs="Times New Roman"/>
          <w:szCs w:val="24"/>
        </w:rPr>
        <w:tab/>
        <w:t xml:space="preserve">The first element of the instruction reflects the limitation of the statute, requiring that the mark at issue be descriptive. The classic fair use defense applies only when the trademark at issue has both a primary meaning and a secondary meaning. </w:t>
      </w:r>
      <w:r w:rsidRPr="002B283E">
        <w:rPr>
          <w:rFonts w:cs="Times New Roman"/>
          <w:i/>
          <w:szCs w:val="24"/>
        </w:rPr>
        <w:t>Horphag</w:t>
      </w:r>
      <w:r w:rsidRPr="002B283E">
        <w:rPr>
          <w:rFonts w:cs="Times New Roman"/>
          <w:szCs w:val="24"/>
        </w:rPr>
        <w:t>, 337 F.3d at 1041 (“The classic fair use defense ‘applies only to marks that possess both a primary meaning and a secondary meaning</w:t>
      </w:r>
      <w:r w:rsidR="00E14BE2">
        <w:rPr>
          <w:rFonts w:cs="Times New Roman"/>
          <w:szCs w:val="24"/>
        </w:rPr>
        <w:t>—</w:t>
      </w:r>
      <w:r w:rsidRPr="002B283E">
        <w:rPr>
          <w:rFonts w:cs="Times New Roman"/>
          <w:szCs w:val="24"/>
        </w:rPr>
        <w:t xml:space="preserve">and only when the mark is used in its primary descriptive sense rather than </w:t>
      </w:r>
      <w:r w:rsidRPr="002B283E">
        <w:rPr>
          <w:rFonts w:cs="Times New Roman"/>
          <w:szCs w:val="24"/>
        </w:rPr>
        <w:lastRenderedPageBreak/>
        <w:t xml:space="preserve">its secondary trademark sense.’” (quoting </w:t>
      </w:r>
      <w:r w:rsidRPr="002B283E">
        <w:rPr>
          <w:rFonts w:cs="Times New Roman"/>
          <w:i/>
          <w:szCs w:val="24"/>
        </w:rPr>
        <w:t>Brother Records, Inc. v. Jardine</w:t>
      </w:r>
      <w:r w:rsidRPr="002B283E">
        <w:rPr>
          <w:rFonts w:cs="Times New Roman"/>
          <w:szCs w:val="24"/>
        </w:rPr>
        <w:t xml:space="preserve">, 318 F.3d 900, 905-06 (9th Cir. 2003))). </w:t>
      </w:r>
    </w:p>
    <w:p w14:paraId="013337E9" w14:textId="77777777" w:rsidR="00E14BE2" w:rsidRPr="002B283E" w:rsidRDefault="00E14BE2" w:rsidP="002B283E">
      <w:pPr>
        <w:rPr>
          <w:rFonts w:cs="Times New Roman"/>
          <w:szCs w:val="24"/>
        </w:rPr>
      </w:pPr>
    </w:p>
    <w:p w14:paraId="3130EBDB" w14:textId="77777777" w:rsidR="000E122C" w:rsidRPr="002B283E" w:rsidRDefault="000E122C" w:rsidP="002B283E">
      <w:pPr>
        <w:rPr>
          <w:rFonts w:cs="Times New Roman"/>
          <w:szCs w:val="24"/>
        </w:rPr>
      </w:pPr>
      <w:r w:rsidRPr="002B283E">
        <w:rPr>
          <w:rFonts w:cs="Times New Roman"/>
          <w:szCs w:val="24"/>
        </w:rPr>
        <w:tab/>
        <w:t>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w:t>
      </w:r>
      <w:r w:rsidRPr="002B283E">
        <w:rPr>
          <w:rFonts w:cs="Times New Roman"/>
          <w:i/>
          <w:szCs w:val="24"/>
        </w:rPr>
        <w:t xml:space="preserve"> KP Permanent Make-Up, Inc. v. Lasting Impression I, Inc.</w:t>
      </w:r>
      <w:r w:rsidRPr="002B283E">
        <w:rPr>
          <w:rFonts w:cs="Times New Roman"/>
          <w:szCs w:val="24"/>
        </w:rPr>
        <w:t xml:space="preserve">, 408 F.3d 596, 608-09 (9th Cir. 2005). </w:t>
      </w:r>
    </w:p>
    <w:p w14:paraId="3CD4FA70" w14:textId="77777777" w:rsidR="000E122C" w:rsidRPr="002B283E" w:rsidRDefault="000E122C" w:rsidP="002B283E">
      <w:pPr>
        <w:rPr>
          <w:rFonts w:cs="Times New Roman"/>
          <w:szCs w:val="24"/>
        </w:rPr>
      </w:pPr>
    </w:p>
    <w:p w14:paraId="51987846" w14:textId="77777777" w:rsidR="000E122C" w:rsidRPr="002B283E" w:rsidRDefault="000E122C" w:rsidP="002B283E">
      <w:pPr>
        <w:rPr>
          <w:rFonts w:cs="Times New Roman"/>
          <w:szCs w:val="24"/>
        </w:rPr>
      </w:pPr>
      <w:r w:rsidRPr="002B283E">
        <w:rPr>
          <w:rFonts w:cs="Times New Roman"/>
          <w:szCs w:val="24"/>
        </w:rPr>
        <w:tab/>
        <w:t xml:space="preserve">The third element of the instruction is drawn from the definition of “classic” fair use involving a defendant’s use of “the plaintiff’s mark </w:t>
      </w:r>
      <w:r w:rsidRPr="002B283E">
        <w:rPr>
          <w:rFonts w:cs="Times New Roman"/>
          <w:i/>
          <w:szCs w:val="24"/>
        </w:rPr>
        <w:t>only</w:t>
      </w:r>
      <w:r w:rsidRPr="002B283E">
        <w:rPr>
          <w:rFonts w:cs="Times New Roman"/>
          <w:szCs w:val="24"/>
        </w:rPr>
        <w:t xml:space="preserve"> to describe his [defendant’s] own product, </w:t>
      </w:r>
      <w:r w:rsidRPr="002B283E">
        <w:rPr>
          <w:rFonts w:cs="Times New Roman"/>
          <w:i/>
          <w:szCs w:val="24"/>
        </w:rPr>
        <w:t>and not at all to describe the plaintiff’s product</w:t>
      </w:r>
      <w:r w:rsidRPr="002B283E">
        <w:rPr>
          <w:rFonts w:cs="Times New Roman"/>
          <w:szCs w:val="24"/>
        </w:rPr>
        <w:t xml:space="preserve">.” </w:t>
      </w:r>
      <w:r w:rsidRPr="002B283E">
        <w:rPr>
          <w:rFonts w:cs="Times New Roman"/>
          <w:i/>
          <w:szCs w:val="24"/>
        </w:rPr>
        <w:t>Cairns</w:t>
      </w:r>
      <w:r w:rsidRPr="002B283E">
        <w:rPr>
          <w:rFonts w:cs="Times New Roman"/>
          <w:szCs w:val="24"/>
        </w:rPr>
        <w:t xml:space="preserve">, 292 F.3d at 1151. </w:t>
      </w:r>
    </w:p>
    <w:p w14:paraId="614AEA3F" w14:textId="77777777" w:rsidR="000E122C" w:rsidRPr="002B283E" w:rsidRDefault="000E122C" w:rsidP="002B283E">
      <w:pPr>
        <w:rPr>
          <w:rFonts w:cs="Times New Roman"/>
          <w:szCs w:val="24"/>
        </w:rPr>
      </w:pPr>
    </w:p>
    <w:p w14:paraId="12096468" w14:textId="2D71B624" w:rsidR="000E122C" w:rsidRPr="002B283E" w:rsidRDefault="000E122C" w:rsidP="002B283E">
      <w:pPr>
        <w:rPr>
          <w:rFonts w:cs="Times New Roman"/>
          <w:szCs w:val="24"/>
        </w:rPr>
      </w:pPr>
      <w:r w:rsidRPr="002B283E">
        <w:rPr>
          <w:rFonts w:cs="Times New Roman"/>
          <w:szCs w:val="24"/>
        </w:rPr>
        <w:tab/>
        <w:t xml:space="preserve">Prior to 2004, the Ninth Circuit applied fair use analysis only when it had been shown that there was no likelihood of confusion. </w:t>
      </w:r>
      <w:r w:rsidRPr="002B283E">
        <w:rPr>
          <w:rFonts w:cs="Times New Roman"/>
          <w:i/>
          <w:szCs w:val="24"/>
        </w:rPr>
        <w:t>Cairns</w:t>
      </w:r>
      <w:r w:rsidRPr="002B283E">
        <w:rPr>
          <w:rFonts w:cs="Times New Roman"/>
          <w:szCs w:val="24"/>
        </w:rPr>
        <w:t>, 292 F.3d at 1150-1151 (“In our Circuit, the classic fair use defense is not available if there is a likelihood of customer confusion</w:t>
      </w:r>
      <w:r w:rsidR="00705A4B">
        <w:rPr>
          <w:rFonts w:cs="Times New Roman"/>
          <w:szCs w:val="24"/>
        </w:rPr>
        <w:t xml:space="preserve"> . . . </w:t>
      </w:r>
      <w:r w:rsidRPr="002B283E">
        <w:rPr>
          <w:rFonts w:cs="Times New Roman"/>
          <w:szCs w:val="24"/>
        </w:rPr>
        <w:t xml:space="preserve">The classic fair use analysis, therefore, only </w:t>
      </w:r>
      <w:r w:rsidRPr="002B283E">
        <w:rPr>
          <w:rFonts w:cs="Times New Roman"/>
          <w:i/>
          <w:szCs w:val="24"/>
        </w:rPr>
        <w:t>complements</w:t>
      </w:r>
      <w:r w:rsidRPr="002B283E">
        <w:rPr>
          <w:rFonts w:cs="Times New Roman"/>
          <w:szCs w:val="24"/>
        </w:rPr>
        <w:t xml:space="preserve"> the likelihood of customer confusion analysis . . . .”). The circuit subsequently revisited this application to find that “[t]he fair use defense only comes into play once the party alleging infringement has shown by a preponderance of the evidence that confusion is likely.” </w:t>
      </w:r>
      <w:r w:rsidRPr="002B283E">
        <w:rPr>
          <w:rFonts w:cs="Times New Roman"/>
          <w:i/>
          <w:szCs w:val="24"/>
        </w:rPr>
        <w:t>KP Permanent Make-Up, Inc.</w:t>
      </w:r>
      <w:r w:rsidRPr="002B283E">
        <w:rPr>
          <w:rFonts w:cs="Times New Roman"/>
          <w:szCs w:val="24"/>
        </w:rPr>
        <w:t xml:space="preserve">, 408 F.3d at 608-09 (citing </w:t>
      </w:r>
      <w:r w:rsidRPr="002B283E">
        <w:rPr>
          <w:rFonts w:cs="Times New Roman"/>
          <w:i/>
          <w:szCs w:val="24"/>
        </w:rPr>
        <w:t>KP Permanent Make-Up v. Lasting Impression I, Inc.</w:t>
      </w:r>
      <w:r w:rsidRPr="002B283E">
        <w:rPr>
          <w:rFonts w:cs="Times New Roman"/>
          <w:szCs w:val="24"/>
        </w:rPr>
        <w:t>, 543 U.S. 111, 118, 121-22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free-standing need to show confusion unlikely”; determining that it follows (contrary to Court of Appeals’</w:t>
      </w:r>
      <w:r w:rsidR="001D66B5">
        <w:rPr>
          <w:rFonts w:cs="Times New Roman"/>
          <w:szCs w:val="24"/>
        </w:rPr>
        <w:t>s</w:t>
      </w:r>
      <w:r w:rsidRPr="002B283E">
        <w:rPr>
          <w:rFonts w:cs="Times New Roman"/>
          <w:szCs w:val="24"/>
        </w:rPr>
        <w:t xml:space="preserve"> view) that “some possibility of consumer confusion must be compatible with fair use, and so it is”)). </w:t>
      </w:r>
    </w:p>
    <w:p w14:paraId="0D5DA461" w14:textId="77777777" w:rsidR="000E122C" w:rsidRPr="002B283E" w:rsidRDefault="000E122C" w:rsidP="002B283E">
      <w:pPr>
        <w:rPr>
          <w:rFonts w:cs="Times New Roman"/>
          <w:szCs w:val="24"/>
        </w:rPr>
      </w:pPr>
    </w:p>
    <w:p w14:paraId="5C77D25C" w14:textId="26064C52" w:rsidR="000E122C" w:rsidRPr="002B283E" w:rsidRDefault="000E122C" w:rsidP="002B283E">
      <w:pPr>
        <w:rPr>
          <w:rFonts w:cs="Times New Roman"/>
          <w:szCs w:val="24"/>
        </w:rPr>
      </w:pPr>
      <w:r w:rsidRPr="002B283E">
        <w:rPr>
          <w:rFonts w:cs="Times New Roman"/>
          <w:szCs w:val="24"/>
        </w:rPr>
        <w:tab/>
        <w:t xml:space="preserve">The fair use defense also applies in the trade dress infringement context. </w:t>
      </w:r>
      <w:r w:rsidRPr="002B283E">
        <w:rPr>
          <w:rFonts w:cs="Times New Roman"/>
          <w:i/>
          <w:szCs w:val="24"/>
        </w:rPr>
        <w:t xml:space="preserve">Mattel, Inc. v. Walking Mountain </w:t>
      </w:r>
      <w:r w:rsidRPr="002B283E">
        <w:rPr>
          <w:rFonts w:cs="Times New Roman"/>
          <w:i/>
          <w:iCs/>
          <w:szCs w:val="24"/>
        </w:rPr>
        <w:t>Prods.</w:t>
      </w:r>
      <w:r w:rsidRPr="002B283E">
        <w:rPr>
          <w:rFonts w:cs="Times New Roman"/>
          <w:szCs w:val="24"/>
        </w:rPr>
        <w:t>, 353 F.3d 792, 809-10 (9th Cir. 2003) (“Applyi</w:t>
      </w:r>
      <w:r w:rsidR="00490580">
        <w:rPr>
          <w:rFonts w:cs="Times New Roman"/>
          <w:szCs w:val="24"/>
        </w:rPr>
        <w:t xml:space="preserve">ng . . . </w:t>
      </w:r>
      <w:r w:rsidRPr="002B283E">
        <w:rPr>
          <w:rFonts w:cs="Times New Roman"/>
          <w:szCs w:val="24"/>
        </w:rPr>
        <w:t xml:space="preserve">fair use standards to the trade dress context, we hold that a defendant’s use is classic fair use where the defendant has used the plaintiff’s dress to describe or identify the defendant’s own product and not at all to describe or identify the plaintiff’s product.” (emphasis omitted)). </w:t>
      </w:r>
    </w:p>
    <w:p w14:paraId="7BCE0B4E" w14:textId="77777777" w:rsidR="000E122C" w:rsidRPr="002B283E" w:rsidRDefault="000E122C" w:rsidP="002B283E">
      <w:pPr>
        <w:rPr>
          <w:rFonts w:cs="Times New Roman"/>
          <w:szCs w:val="24"/>
        </w:rPr>
      </w:pPr>
    </w:p>
    <w:p w14:paraId="2A94A127" w14:textId="5F499857" w:rsidR="000E122C" w:rsidRPr="002B283E" w:rsidRDefault="000E122C" w:rsidP="002B283E">
      <w:pPr>
        <w:rPr>
          <w:rFonts w:cs="Times New Roman"/>
          <w:szCs w:val="24"/>
        </w:rPr>
      </w:pPr>
      <w:r w:rsidRPr="002B283E">
        <w:rPr>
          <w:rFonts w:cs="Times New Roman"/>
          <w:szCs w:val="24"/>
        </w:rPr>
        <w:tab/>
        <w:t xml:space="preserve">The circuit occasionally refers to other types of “fair use” besides the classic or nominative fair use tests. For example, the doctrine of trade dress functionality (rendering a feature of trade dress non-infringing) was described as “one form of fair use.” </w:t>
      </w:r>
      <w:r w:rsidRPr="002B283E">
        <w:rPr>
          <w:rFonts w:cs="Times New Roman"/>
          <w:i/>
          <w:szCs w:val="24"/>
        </w:rPr>
        <w:t xml:space="preserve">See </w:t>
      </w:r>
      <w:r w:rsidRPr="002B283E">
        <w:rPr>
          <w:rFonts w:cs="Times New Roman"/>
          <w:i/>
          <w:iCs/>
          <w:szCs w:val="24"/>
        </w:rPr>
        <w:t>id.</w:t>
      </w:r>
      <w:r w:rsidRPr="002B283E">
        <w:rPr>
          <w:rFonts w:cs="Times New Roman"/>
          <w:szCs w:val="24"/>
        </w:rPr>
        <w:t xml:space="preserve"> at 809 n.18 (“It is well-established that use of a product feature or trade dress that has become functional will qualify as one form of fair use.”). An instruction governing functionality is provided at Civil Instruction 15.12 (Infringement—Elements—Validity—Trade Dress—Non-Functionality Requirement). Similarly, First Amendment considerations may also be referred to under the rubric of “fair use” and defeat a claim of infringement.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Mattel</w:t>
      </w:r>
      <w:r w:rsidRPr="002B283E">
        <w:rPr>
          <w:rFonts w:cs="Times New Roman"/>
          <w:i/>
          <w:iCs/>
          <w:szCs w:val="24"/>
        </w:rPr>
        <w:t>, Inc.</w:t>
      </w:r>
      <w:r w:rsidRPr="002B283E">
        <w:rPr>
          <w:rFonts w:cs="Times New Roman"/>
          <w:i/>
          <w:szCs w:val="24"/>
        </w:rPr>
        <w:t xml:space="preserve"> v. MCA Records, Inc.</w:t>
      </w:r>
      <w:r w:rsidRPr="002B283E">
        <w:rPr>
          <w:rFonts w:cs="Times New Roman"/>
          <w:szCs w:val="24"/>
        </w:rPr>
        <w:t xml:space="preserve">, 296 F.3d 894, 901 (9th Cir. 2002) (noting that the Lanham Act applies “to artistic works </w:t>
      </w:r>
      <w:r w:rsidRPr="002B283E">
        <w:rPr>
          <w:rFonts w:cs="Times New Roman"/>
          <w:szCs w:val="24"/>
        </w:rPr>
        <w:lastRenderedPageBreak/>
        <w:t xml:space="preserve">only where the public interest in avoiding consumer confusion outweighs the public interest in free expression”; adopting the Second Circuit’s First Amendment balancing test for whether title of artistic work infringes). Parody may also be characterized as a form of fair use because such use is non-commercial. </w:t>
      </w:r>
      <w:r w:rsidRPr="002B283E">
        <w:rPr>
          <w:rFonts w:cs="Times New Roman"/>
          <w:i/>
          <w:szCs w:val="24"/>
        </w:rPr>
        <w:t xml:space="preserve">See Walking Mountain </w:t>
      </w:r>
      <w:r w:rsidRPr="002B283E">
        <w:rPr>
          <w:rFonts w:cs="Times New Roman"/>
          <w:i/>
          <w:iCs/>
          <w:szCs w:val="24"/>
        </w:rPr>
        <w:t>Prods.</w:t>
      </w:r>
      <w:r w:rsidRPr="002B283E">
        <w:rPr>
          <w:rFonts w:cs="Times New Roman"/>
          <w:szCs w:val="24"/>
        </w:rPr>
        <w:t>, 353 F.3d at 812 (holding that trademark owner “cannot use ‘trademark laws to</w:t>
      </w:r>
      <w:r w:rsidR="00490580">
        <w:rPr>
          <w:rFonts w:cs="Times New Roman"/>
          <w:szCs w:val="24"/>
        </w:rPr>
        <w:t xml:space="preserve"> . . . </w:t>
      </w:r>
      <w:r w:rsidRPr="002B283E">
        <w:rPr>
          <w:rFonts w:cs="Times New Roman"/>
          <w:szCs w:val="24"/>
        </w:rPr>
        <w:t xml:space="preserve">censor all parodies or satires which use [its] name’ or dress” (quoting </w:t>
      </w:r>
      <w:r w:rsidRPr="002B283E">
        <w:rPr>
          <w:rFonts w:cs="Times New Roman"/>
          <w:i/>
          <w:szCs w:val="24"/>
        </w:rPr>
        <w:t xml:space="preserve">New Kids on the Block v. News </w:t>
      </w:r>
      <w:r w:rsidRPr="002B283E">
        <w:rPr>
          <w:rFonts w:cs="Times New Roman"/>
          <w:i/>
          <w:iCs/>
          <w:szCs w:val="24"/>
        </w:rPr>
        <w:t>Am.</w:t>
      </w:r>
      <w:r w:rsidRPr="002B283E">
        <w:rPr>
          <w:rFonts w:cs="Times New Roman"/>
          <w:i/>
          <w:szCs w:val="24"/>
        </w:rPr>
        <w:t xml:space="preserve"> Pub., Inc.</w:t>
      </w:r>
      <w:r w:rsidRPr="002B283E">
        <w:rPr>
          <w:rFonts w:cs="Times New Roman"/>
          <w:szCs w:val="24"/>
        </w:rPr>
        <w:t xml:space="preserve">, 971 F.2d 302, 309 (9th Cir. 1992)). </w:t>
      </w:r>
    </w:p>
    <w:p w14:paraId="22F72BB6" w14:textId="77777777" w:rsidR="000E122C" w:rsidRPr="002B283E" w:rsidRDefault="000E122C" w:rsidP="002B283E">
      <w:pPr>
        <w:rPr>
          <w:rFonts w:cs="Times New Roman"/>
          <w:szCs w:val="24"/>
        </w:rPr>
      </w:pPr>
    </w:p>
    <w:p w14:paraId="7F54B716" w14:textId="77777777" w:rsidR="000E122C" w:rsidRPr="002B283E" w:rsidRDefault="000E122C" w:rsidP="002B283E">
      <w:pPr>
        <w:rPr>
          <w:rFonts w:cs="Times New Roman"/>
          <w:szCs w:val="24"/>
        </w:rPr>
      </w:pPr>
      <w:r w:rsidRPr="002B283E">
        <w:rPr>
          <w:rFonts w:cs="Times New Roman"/>
          <w:szCs w:val="24"/>
        </w:rPr>
        <w:tab/>
        <w:t>In cases involving a fair use defense to a theory claiming reverse confusion,</w:t>
      </w:r>
      <w:r w:rsidRPr="002B283E">
        <w:rPr>
          <w:rFonts w:cs="Times New Roman"/>
          <w:i/>
          <w:szCs w:val="24"/>
        </w:rPr>
        <w:t xml:space="preserve"> </w:t>
      </w:r>
      <w:r w:rsidRPr="00490580">
        <w:rPr>
          <w:rFonts w:cs="Times New Roman"/>
          <w:iCs/>
          <w:szCs w:val="24"/>
        </w:rPr>
        <w:t>see</w:t>
      </w:r>
      <w:r w:rsidRPr="002B283E">
        <w:rPr>
          <w:rFonts w:cs="Times New Roman"/>
          <w:i/>
          <w:szCs w:val="24"/>
        </w:rPr>
        <w:t xml:space="preserve"> Marketquest Group, Inc. v. BIC Corp</w:t>
      </w:r>
      <w:r w:rsidRPr="002B283E">
        <w:rPr>
          <w:rFonts w:cs="Times New Roman"/>
          <w:szCs w:val="24"/>
        </w:rPr>
        <w:t>., 862 F.3d 927, 932, 937 (9th Cir. 2017).</w:t>
      </w:r>
    </w:p>
    <w:p w14:paraId="7000BC41" w14:textId="77777777" w:rsidR="000E122C" w:rsidRPr="002B283E" w:rsidRDefault="000E122C" w:rsidP="002B283E">
      <w:pPr>
        <w:rPr>
          <w:rFonts w:cs="Times New Roman"/>
          <w:szCs w:val="24"/>
        </w:rPr>
      </w:pPr>
    </w:p>
    <w:p w14:paraId="6742EDCA" w14:textId="77777777" w:rsidR="000E122C" w:rsidRPr="002B283E" w:rsidRDefault="000E122C" w:rsidP="002B283E">
      <w:pPr>
        <w:rPr>
          <w:rFonts w:cs="Times New Roman"/>
          <w:szCs w:val="24"/>
        </w:rPr>
      </w:pPr>
      <w:r w:rsidRPr="002B283E">
        <w:rPr>
          <w:rFonts w:cs="Times New Roman"/>
          <w:szCs w:val="24"/>
        </w:rPr>
        <w:tab/>
        <w:t xml:space="preserve">Although federal registration presumptively entitles the senior user to nationwide protection, 15 U.S.C. § 1057(b), the Lanham Act preserves legal and equitable defenses that could have been asserted prior to registration, </w:t>
      </w:r>
      <w:r w:rsidRPr="002B283E">
        <w:rPr>
          <w:rFonts w:cs="Times New Roman"/>
          <w:i/>
          <w:szCs w:val="24"/>
        </w:rPr>
        <w:t>id</w:t>
      </w:r>
      <w:r w:rsidRPr="002B283E">
        <w:rPr>
          <w:rFonts w:cs="Times New Roman"/>
          <w:szCs w:val="24"/>
        </w:rPr>
        <w:t>. § 1115(a). Under this rule, already-established common law rights are carved out of the registrant’s scope of protection.</w:t>
      </w:r>
      <w:r w:rsidRPr="002B283E">
        <w:rPr>
          <w:rFonts w:cs="Times New Roman"/>
          <w:i/>
          <w:szCs w:val="24"/>
        </w:rPr>
        <w:t xml:space="preserve"> Stone Creek, Inc. Omnia Italian Design, Inc</w:t>
      </w:r>
      <w:r w:rsidRPr="002B283E">
        <w:rPr>
          <w:rFonts w:cs="Times New Roman"/>
          <w:szCs w:val="24"/>
        </w:rPr>
        <w:t xml:space="preserve">., 875 F.3d 426, 436 (9th Cir. 2017). The </w:t>
      </w:r>
      <w:r w:rsidRPr="002B283E">
        <w:rPr>
          <w:rFonts w:cs="Times New Roman"/>
          <w:i/>
          <w:szCs w:val="24"/>
        </w:rPr>
        <w:t xml:space="preserve">Tea Rose-Rectanus </w:t>
      </w:r>
      <w:r w:rsidRPr="002B283E">
        <w:rPr>
          <w:rFonts w:cs="Times New Roman"/>
          <w:szCs w:val="24"/>
        </w:rPr>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2B283E">
        <w:rPr>
          <w:rFonts w:cs="Times New Roman"/>
          <w:i/>
          <w:szCs w:val="24"/>
        </w:rPr>
        <w:t>Id</w:t>
      </w:r>
      <w:r w:rsidRPr="002B283E">
        <w:rPr>
          <w:rFonts w:cs="Times New Roman"/>
          <w:szCs w:val="24"/>
        </w:rPr>
        <w:t xml:space="preserve">. Addressing a split in the circuits, the Ninth Circuit concluded “that there is no good faith if the junior user had knowledge of the senior user’s prior use.” </w:t>
      </w:r>
      <w:r w:rsidRPr="002B283E">
        <w:rPr>
          <w:rFonts w:cs="Times New Roman"/>
          <w:i/>
          <w:szCs w:val="24"/>
        </w:rPr>
        <w:t>Id</w:t>
      </w:r>
      <w:r w:rsidRPr="002B283E">
        <w:rPr>
          <w:rFonts w:cs="Times New Roman"/>
          <w:szCs w:val="24"/>
        </w:rPr>
        <w:t>. at 437.</w:t>
      </w:r>
      <w:bookmarkEnd w:id="370"/>
    </w:p>
    <w:p w14:paraId="0DA9590B" w14:textId="77777777" w:rsidR="000E122C" w:rsidRPr="002B283E" w:rsidRDefault="000E122C" w:rsidP="002B283E">
      <w:pPr>
        <w:rPr>
          <w:rFonts w:cs="Times New Roman"/>
          <w:szCs w:val="24"/>
        </w:rPr>
      </w:pPr>
    </w:p>
    <w:p w14:paraId="04A40D98" w14:textId="4349FEE5" w:rsidR="006A4CD7" w:rsidRPr="002B283E" w:rsidRDefault="000E122C" w:rsidP="002B283E">
      <w:pPr>
        <w:jc w:val="right"/>
        <w:rPr>
          <w:rFonts w:cs="Times New Roman"/>
          <w:i/>
          <w:iCs/>
          <w:szCs w:val="24"/>
        </w:rPr>
      </w:pPr>
      <w:r w:rsidRPr="002B283E">
        <w:rPr>
          <w:rFonts w:cs="Times New Roman"/>
          <w:i/>
          <w:iCs/>
          <w:szCs w:val="24"/>
        </w:rPr>
        <w:t>Revised March 2024</w:t>
      </w:r>
    </w:p>
    <w:p w14:paraId="24AA2875" w14:textId="17261A1B" w:rsidR="006A4CD7" w:rsidRPr="002B283E" w:rsidRDefault="006A4CD7" w:rsidP="002B283E">
      <w:pPr>
        <w:pStyle w:val="Heading2"/>
      </w:pPr>
      <w:r w:rsidRPr="002B283E">
        <w:br w:type="page"/>
      </w:r>
      <w:bookmarkStart w:id="371" w:name="_Toc221525292"/>
      <w:r w:rsidRPr="002B283E">
        <w:lastRenderedPageBreak/>
        <w:t>15.2</w:t>
      </w:r>
      <w:r w:rsidR="0008651C">
        <w:t>6</w:t>
      </w:r>
      <w:r w:rsidRPr="002B283E">
        <w:t xml:space="preserve"> </w:t>
      </w:r>
      <w:r w:rsidR="00BF24DD" w:rsidRPr="002B283E">
        <w:t>Defenses—Nominative Fair Use</w:t>
      </w:r>
      <w:bookmarkEnd w:id="371"/>
    </w:p>
    <w:p w14:paraId="2EDED8BC" w14:textId="77777777" w:rsidR="006A4CD7" w:rsidRPr="002B283E" w:rsidRDefault="006A4CD7" w:rsidP="002B283E">
      <w:pPr>
        <w:rPr>
          <w:rFonts w:cs="Times New Roman"/>
          <w:szCs w:val="24"/>
        </w:rPr>
      </w:pPr>
    </w:p>
    <w:p w14:paraId="6A03A057" w14:textId="77777777" w:rsidR="00E11BA5" w:rsidRPr="002B283E" w:rsidRDefault="006A4CD7" w:rsidP="002B283E">
      <w:pPr>
        <w:rPr>
          <w:rFonts w:cs="Times New Roman"/>
          <w:szCs w:val="24"/>
        </w:rPr>
      </w:pPr>
      <w:r w:rsidRPr="002B283E">
        <w:rPr>
          <w:rFonts w:cs="Times New Roman"/>
          <w:szCs w:val="24"/>
        </w:rPr>
        <w:tab/>
      </w:r>
      <w:r w:rsidR="00E11BA5" w:rsidRPr="002B283E">
        <w:rPr>
          <w:rFonts w:cs="Times New Roman"/>
          <w:szCs w:val="24"/>
        </w:rPr>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w:t>
      </w:r>
      <w:r w:rsidR="00E11BA5" w:rsidRPr="002B283E">
        <w:rPr>
          <w:rFonts w:eastAsia="Times New Roman" w:cs="Times New Roman"/>
          <w:szCs w:val="24"/>
        </w:rPr>
        <w:t>product, even if the defendant’s ultimate goal was to describe its own product</w:t>
      </w:r>
      <w:r w:rsidR="00E11BA5" w:rsidRPr="002B283E">
        <w:rPr>
          <w:rFonts w:cs="Times New Roman"/>
          <w:szCs w:val="24"/>
        </w:rPr>
        <w:t xml:space="preserve">. </w:t>
      </w:r>
    </w:p>
    <w:p w14:paraId="282B0EE9" w14:textId="77777777" w:rsidR="00E11BA5" w:rsidRPr="002B283E" w:rsidRDefault="00E11BA5" w:rsidP="002B283E">
      <w:pPr>
        <w:rPr>
          <w:rFonts w:cs="Times New Roman"/>
          <w:szCs w:val="24"/>
        </w:rPr>
      </w:pPr>
    </w:p>
    <w:p w14:paraId="16E7CA4D" w14:textId="6445A06A" w:rsidR="00E11BA5" w:rsidRPr="002B283E" w:rsidRDefault="00E11BA5" w:rsidP="002B283E">
      <w:pPr>
        <w:rPr>
          <w:rFonts w:cs="Times New Roman"/>
          <w:szCs w:val="24"/>
        </w:rPr>
      </w:pPr>
      <w:r w:rsidRPr="002B283E">
        <w:rPr>
          <w:rFonts w:cs="Times New Roman"/>
          <w:szCs w:val="24"/>
        </w:rPr>
        <w:tab/>
        <w:t xml:space="preserve">The defendant </w:t>
      </w:r>
      <w:r w:rsidR="00705A4B">
        <w:rPr>
          <w:rFonts w:cs="Times New Roman"/>
          <w:szCs w:val="24"/>
        </w:rPr>
        <w:t>[</w:t>
      </w:r>
      <w:r w:rsidR="00705A4B" w:rsidRPr="008A04C2">
        <w:rPr>
          <w:rFonts w:cs="Times New Roman"/>
          <w:i/>
          <w:iCs/>
          <w:szCs w:val="24"/>
          <w:u w:val="single"/>
        </w:rPr>
        <w:t>name</w:t>
      </w:r>
      <w:r w:rsidR="00705A4B">
        <w:rPr>
          <w:rFonts w:cs="Times New Roman"/>
          <w:szCs w:val="24"/>
        </w:rPr>
        <w:t xml:space="preserve">] </w:t>
      </w:r>
      <w:r w:rsidRPr="002B283E">
        <w:rPr>
          <w:rFonts w:cs="Times New Roman"/>
          <w:szCs w:val="24"/>
        </w:rPr>
        <w:t>contends that it did not infringe the trademark because the alleged infringement was a nominative fair use of the trademark to [describe] [name] [identify]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w:t>
      </w:r>
      <w:r w:rsidRPr="002B283E">
        <w:rPr>
          <w:rFonts w:eastAsia="Times New Roman" w:cs="Times New Roman"/>
          <w:szCs w:val="24"/>
        </w:rPr>
        <w:t>.</w:t>
      </w:r>
      <w:r w:rsidRPr="002B283E">
        <w:rPr>
          <w:rFonts w:cs="Times New Roman"/>
          <w:szCs w:val="24"/>
        </w:rPr>
        <w:t xml:space="preserve"> The </w:t>
      </w:r>
      <w:r w:rsidRPr="002B283E">
        <w:rPr>
          <w:rFonts w:eastAsia="Times New Roman" w:cs="Times New Roman"/>
          <w:szCs w:val="24"/>
        </w:rPr>
        <w:t>plaintiff</w:t>
      </w:r>
      <w:r w:rsidRPr="002B283E">
        <w:rPr>
          <w:rFonts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has the burden of proving</w:t>
      </w:r>
      <w:r w:rsidRPr="002B283E">
        <w:rPr>
          <w:rFonts w:eastAsia="Times New Roman" w:cs="Times New Roman"/>
          <w:szCs w:val="24"/>
        </w:rPr>
        <w:t xml:space="preserve">, </w:t>
      </w:r>
      <w:r w:rsidRPr="002B283E">
        <w:rPr>
          <w:rFonts w:cs="Times New Roman"/>
          <w:szCs w:val="24"/>
        </w:rPr>
        <w:t>by a preponderance of the evidence</w:t>
      </w:r>
      <w:r w:rsidRPr="002B283E">
        <w:rPr>
          <w:rFonts w:eastAsia="Times New Roman" w:cs="Times New Roman"/>
          <w:szCs w:val="24"/>
        </w:rPr>
        <w:t>, that the defendant</w:t>
      </w:r>
      <w:r w:rsidR="00705A4B">
        <w:rPr>
          <w:rFonts w:eastAsia="Times New Roman"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w:t>
      </w:r>
      <w:r w:rsidRPr="002B283E">
        <w:rPr>
          <w:rFonts w:eastAsia="Times New Roman" w:cs="Times New Roman"/>
          <w:szCs w:val="24"/>
        </w:rPr>
        <w:t>’s use of the mark does not meet the requirements of nominative fair use</w:t>
      </w:r>
      <w:r w:rsidRPr="002B283E">
        <w:rPr>
          <w:rFonts w:cs="Times New Roman"/>
          <w:szCs w:val="24"/>
        </w:rPr>
        <w:t xml:space="preserve">. </w:t>
      </w:r>
    </w:p>
    <w:p w14:paraId="5548B4A7" w14:textId="77777777" w:rsidR="00E11BA5" w:rsidRPr="002B283E" w:rsidRDefault="00E11BA5" w:rsidP="002B283E">
      <w:pPr>
        <w:rPr>
          <w:rFonts w:cs="Times New Roman"/>
          <w:szCs w:val="24"/>
        </w:rPr>
      </w:pPr>
    </w:p>
    <w:p w14:paraId="61474BD9" w14:textId="77777777" w:rsidR="00E11BA5" w:rsidRPr="002B283E" w:rsidRDefault="00E11BA5" w:rsidP="002B283E">
      <w:pPr>
        <w:rPr>
          <w:rFonts w:cs="Times New Roman"/>
          <w:szCs w:val="24"/>
        </w:rPr>
      </w:pPr>
      <w:r w:rsidRPr="002B283E">
        <w:rPr>
          <w:rFonts w:cs="Times New Roman"/>
          <w:szCs w:val="24"/>
        </w:rPr>
        <w:tab/>
        <w:t>A defendant makes nominative fair use of a trademark when</w:t>
      </w:r>
      <w:r w:rsidRPr="002B283E">
        <w:rPr>
          <w:rFonts w:eastAsia="Times New Roman" w:cs="Times New Roman"/>
          <w:szCs w:val="24"/>
        </w:rPr>
        <w:t>:</w:t>
      </w:r>
      <w:r w:rsidRPr="002B283E">
        <w:rPr>
          <w:rFonts w:cs="Times New Roman"/>
          <w:szCs w:val="24"/>
        </w:rPr>
        <w:t xml:space="preserve"> </w:t>
      </w:r>
    </w:p>
    <w:p w14:paraId="0735B43A" w14:textId="77777777" w:rsidR="00E11BA5" w:rsidRPr="002B283E" w:rsidRDefault="00E11BA5" w:rsidP="002B283E">
      <w:pPr>
        <w:rPr>
          <w:rFonts w:cs="Times New Roman"/>
          <w:szCs w:val="24"/>
        </w:rPr>
      </w:pPr>
    </w:p>
    <w:p w14:paraId="324FDA3B" w14:textId="482AF338" w:rsidR="00E11BA5" w:rsidRPr="002B283E" w:rsidRDefault="00E11BA5" w:rsidP="008A04C2">
      <w:pPr>
        <w:ind w:firstLine="720"/>
        <w:rPr>
          <w:rFonts w:cs="Times New Roman"/>
          <w:szCs w:val="24"/>
        </w:rPr>
      </w:pPr>
      <w:r w:rsidRPr="002B283E">
        <w:rPr>
          <w:rFonts w:eastAsia="Times New Roman" w:cs="Times New Roman"/>
          <w:szCs w:val="24"/>
        </w:rPr>
        <w:t xml:space="preserve">First, the </w:t>
      </w:r>
      <w:r w:rsidRPr="002B283E">
        <w:rPr>
          <w:rFonts w:cs="Times New Roman"/>
          <w:szCs w:val="24"/>
        </w:rPr>
        <w:t>product</w:t>
      </w:r>
      <w:r w:rsidRPr="002B283E">
        <w:rPr>
          <w:rFonts w:eastAsia="Times New Roman" w:cs="Times New Roman"/>
          <w:szCs w:val="24"/>
        </w:rPr>
        <w:t xml:space="preserve"> in question</w:t>
      </w:r>
      <w:r w:rsidRPr="002B283E">
        <w:rPr>
          <w:rFonts w:cs="Times New Roman"/>
          <w:szCs w:val="24"/>
        </w:rPr>
        <w:t xml:space="preserve"> was not readily identifiable without use of </w:t>
      </w:r>
      <w:r w:rsidRPr="002B283E">
        <w:rPr>
          <w:rFonts w:eastAsia="Times New Roman" w:cs="Times New Roman"/>
          <w:szCs w:val="24"/>
        </w:rPr>
        <w:t xml:space="preserve">the </w:t>
      </w:r>
      <w:r w:rsidRPr="002B283E">
        <w:rPr>
          <w:rFonts w:cs="Times New Roman"/>
          <w:szCs w:val="24"/>
        </w:rPr>
        <w:t>trademark</w:t>
      </w:r>
      <w:r w:rsidRPr="002B283E">
        <w:rPr>
          <w:rFonts w:eastAsia="Times New Roman" w:cs="Times New Roman"/>
          <w:szCs w:val="24"/>
        </w:rPr>
        <w:t>;</w:t>
      </w:r>
    </w:p>
    <w:p w14:paraId="3C73D603" w14:textId="77777777" w:rsidR="00E11BA5" w:rsidRPr="002B283E" w:rsidRDefault="00E11BA5" w:rsidP="008A04C2">
      <w:pPr>
        <w:ind w:firstLine="720"/>
        <w:rPr>
          <w:rFonts w:cs="Times New Roman"/>
          <w:szCs w:val="24"/>
        </w:rPr>
      </w:pPr>
    </w:p>
    <w:p w14:paraId="42E5FCFE" w14:textId="50617190" w:rsidR="00E11BA5" w:rsidRPr="002B283E" w:rsidRDefault="00E11BA5" w:rsidP="008A04C2">
      <w:pPr>
        <w:ind w:firstLine="720"/>
        <w:rPr>
          <w:rFonts w:cs="Times New Roman"/>
          <w:szCs w:val="24"/>
        </w:rPr>
      </w:pPr>
      <w:r w:rsidRPr="002B283E">
        <w:rPr>
          <w:rFonts w:eastAsia="Times New Roman" w:cs="Times New Roman"/>
          <w:szCs w:val="24"/>
        </w:rPr>
        <w:t>Second, the defendant used only</w:t>
      </w:r>
      <w:r w:rsidRPr="002B283E">
        <w:rPr>
          <w:rFonts w:cs="Times New Roman"/>
          <w:szCs w:val="24"/>
        </w:rPr>
        <w:t xml:space="preserve"> so much of the trademark as was reasonably necessary to identify the product in question; and </w:t>
      </w:r>
    </w:p>
    <w:p w14:paraId="0C277631" w14:textId="77777777" w:rsidR="00E11BA5" w:rsidRPr="002B283E" w:rsidRDefault="00E11BA5" w:rsidP="008A04C2">
      <w:pPr>
        <w:ind w:firstLine="720"/>
        <w:rPr>
          <w:rFonts w:cs="Times New Roman"/>
          <w:szCs w:val="24"/>
        </w:rPr>
      </w:pPr>
    </w:p>
    <w:p w14:paraId="60EDE813" w14:textId="32C18B07" w:rsidR="00E11BA5" w:rsidRPr="002B283E" w:rsidRDefault="00E11BA5" w:rsidP="008A04C2">
      <w:pPr>
        <w:ind w:firstLine="720"/>
        <w:rPr>
          <w:rFonts w:eastAsia="Times New Roman" w:cs="Times New Roman"/>
          <w:szCs w:val="24"/>
        </w:rPr>
      </w:pPr>
      <w:r w:rsidRPr="002B283E">
        <w:rPr>
          <w:rFonts w:eastAsia="Times New Roman" w:cs="Times New Roman"/>
          <w:szCs w:val="24"/>
        </w:rPr>
        <w:t>Third, the defendant did</w:t>
      </w:r>
      <w:r w:rsidRPr="002B283E">
        <w:rPr>
          <w:rFonts w:cs="Times New Roman"/>
          <w:szCs w:val="24"/>
        </w:rPr>
        <w:t xml:space="preserve"> not do anything in connection with the trademark that would suggest sponsorship or endorsement by the plaintiff. </w:t>
      </w:r>
    </w:p>
    <w:p w14:paraId="21ED1C89" w14:textId="77777777" w:rsidR="00E11BA5" w:rsidRPr="002B283E" w:rsidRDefault="00E11BA5" w:rsidP="002B283E">
      <w:pPr>
        <w:rPr>
          <w:rFonts w:eastAsia="Times New Roman" w:cs="Times New Roman"/>
          <w:szCs w:val="24"/>
        </w:rPr>
      </w:pPr>
    </w:p>
    <w:p w14:paraId="206C825F" w14:textId="77777777" w:rsidR="00E11BA5" w:rsidRPr="002B283E" w:rsidRDefault="00E11BA5" w:rsidP="002B283E">
      <w:pPr>
        <w:rPr>
          <w:rFonts w:cs="Times New Roman"/>
          <w:szCs w:val="24"/>
        </w:rPr>
      </w:pPr>
      <w:r w:rsidRPr="002B283E">
        <w:rPr>
          <w:rFonts w:eastAsia="Times New Roman" w:cs="Times New Roman"/>
          <w:szCs w:val="24"/>
        </w:rPr>
        <w:tab/>
      </w:r>
      <w:r w:rsidRPr="002B283E">
        <w:rPr>
          <w:rFonts w:cs="Times New Roman"/>
          <w:szCs w:val="24"/>
        </w:rPr>
        <w:t>[A product is not readily identified without use of its trademark when there would be no other effective way to compare, criticize, refer to</w:t>
      </w:r>
      <w:r w:rsidRPr="002B283E">
        <w:rPr>
          <w:rFonts w:eastAsia="Times New Roman" w:cs="Times New Roman"/>
          <w:szCs w:val="24"/>
        </w:rPr>
        <w:t>,</w:t>
      </w:r>
      <w:r w:rsidRPr="002B283E">
        <w:rPr>
          <w:rFonts w:cs="Times New Roman"/>
          <w:szCs w:val="24"/>
        </w:rPr>
        <w:t xml:space="preserve"> or identify it without using the trademark.] </w:t>
      </w:r>
    </w:p>
    <w:p w14:paraId="7DD23EBD" w14:textId="77777777" w:rsidR="00E11BA5" w:rsidRPr="002B283E" w:rsidRDefault="00E11BA5" w:rsidP="002B283E">
      <w:pPr>
        <w:rPr>
          <w:rFonts w:cs="Times New Roman"/>
          <w:szCs w:val="24"/>
        </w:rPr>
      </w:pPr>
    </w:p>
    <w:p w14:paraId="05BDDCC3" w14:textId="77777777" w:rsidR="00E11BA5" w:rsidRPr="002B283E" w:rsidRDefault="00E11BA5" w:rsidP="002B283E">
      <w:pPr>
        <w:rPr>
          <w:rFonts w:cs="Times New Roman"/>
          <w:szCs w:val="24"/>
        </w:rPr>
      </w:pPr>
      <w:r w:rsidRPr="002B283E">
        <w:rPr>
          <w:rFonts w:cs="Times New Roman"/>
          <w:szCs w:val="24"/>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w:t>
      </w:r>
    </w:p>
    <w:p w14:paraId="5FCAE14E" w14:textId="77777777" w:rsidR="00E11BA5" w:rsidRPr="002B283E" w:rsidRDefault="00E11BA5" w:rsidP="002B283E">
      <w:pPr>
        <w:rPr>
          <w:rFonts w:cs="Times New Roman"/>
          <w:szCs w:val="24"/>
        </w:rPr>
      </w:pPr>
    </w:p>
    <w:p w14:paraId="05325D95" w14:textId="77777777" w:rsidR="00E11BA5" w:rsidRPr="002B283E" w:rsidRDefault="00E11BA5" w:rsidP="002B283E">
      <w:pPr>
        <w:rPr>
          <w:rFonts w:cs="Times New Roman"/>
          <w:szCs w:val="24"/>
        </w:rPr>
      </w:pPr>
      <w:r w:rsidRPr="002B283E">
        <w:rPr>
          <w:rFonts w:eastAsia="Times New Roman" w:cs="Times New Roman"/>
          <w:szCs w:val="24"/>
        </w:rPr>
        <w:tab/>
        <w:t>[</w:t>
      </w:r>
      <w:r w:rsidRPr="002B283E">
        <w:rPr>
          <w:rFonts w:cs="Times New Roman"/>
          <w:szCs w:val="24"/>
        </w:rPr>
        <w:t xml:space="preserve">A use of the plaintiff’s trademark does not suggest sponsorship or endorsement of the defendant’s product when the defendant does not attempt to deceive, mislead, or capitalize on consumer confusion, or when the defendant </w:t>
      </w:r>
      <w:r w:rsidRPr="002B283E">
        <w:rPr>
          <w:rFonts w:eastAsia="Times New Roman" w:cs="Times New Roman"/>
          <w:szCs w:val="24"/>
        </w:rPr>
        <w:t>does not appropriate</w:t>
      </w:r>
      <w:r w:rsidRPr="002B283E">
        <w:rPr>
          <w:rFonts w:cs="Times New Roman"/>
          <w:szCs w:val="24"/>
        </w:rPr>
        <w:t xml:space="preserve"> the cachet of the plaintiff’s product for the defendant’s.] </w:t>
      </w:r>
    </w:p>
    <w:p w14:paraId="783CD459" w14:textId="77777777" w:rsidR="00E11BA5" w:rsidRPr="002B283E" w:rsidRDefault="00E11BA5" w:rsidP="002B283E">
      <w:pPr>
        <w:rPr>
          <w:rFonts w:cs="Times New Roman"/>
          <w:szCs w:val="24"/>
        </w:rPr>
      </w:pPr>
    </w:p>
    <w:p w14:paraId="50AB5583" w14:textId="77777777" w:rsidR="00E11BA5" w:rsidRPr="002B283E" w:rsidRDefault="00E11BA5" w:rsidP="002B283E">
      <w:pPr>
        <w:rPr>
          <w:rFonts w:cs="Times New Roman"/>
          <w:szCs w:val="24"/>
        </w:rPr>
      </w:pPr>
      <w:r w:rsidRPr="002B283E">
        <w:rPr>
          <w:rFonts w:cs="Times New Roman"/>
          <w:szCs w:val="24"/>
        </w:rPr>
        <w:tab/>
        <w:t>[The fact that the defendant’s use of the trademark may bring the defendant a profit or</w:t>
      </w:r>
    </w:p>
    <w:p w14:paraId="57FC741B" w14:textId="77777777" w:rsidR="00E11BA5" w:rsidRPr="002B283E" w:rsidRDefault="00E11BA5" w:rsidP="002B283E">
      <w:pPr>
        <w:rPr>
          <w:rFonts w:cs="Times New Roman"/>
          <w:szCs w:val="24"/>
        </w:rPr>
      </w:pPr>
      <w:r w:rsidRPr="002B283E">
        <w:rPr>
          <w:rFonts w:cs="Times New Roman"/>
          <w:szCs w:val="24"/>
        </w:rPr>
        <w:t xml:space="preserve">help in competing with the mark owner does not mean the use was not a fair use.] </w:t>
      </w:r>
    </w:p>
    <w:p w14:paraId="0AFF10C5" w14:textId="77777777" w:rsidR="00E11BA5" w:rsidRPr="002B283E" w:rsidRDefault="00E11BA5" w:rsidP="002B283E">
      <w:pPr>
        <w:rPr>
          <w:rFonts w:cs="Times New Roman"/>
          <w:szCs w:val="24"/>
        </w:rPr>
      </w:pPr>
    </w:p>
    <w:p w14:paraId="76330AB0" w14:textId="77777777" w:rsidR="00E11BA5" w:rsidRPr="002B283E" w:rsidRDefault="00E11BA5" w:rsidP="002B283E">
      <w:pPr>
        <w:jc w:val="center"/>
        <w:rPr>
          <w:rFonts w:cs="Times New Roman"/>
          <w:b/>
          <w:szCs w:val="24"/>
        </w:rPr>
      </w:pPr>
      <w:r w:rsidRPr="002B283E">
        <w:rPr>
          <w:rFonts w:cs="Times New Roman"/>
          <w:b/>
          <w:szCs w:val="24"/>
        </w:rPr>
        <w:t>Comment</w:t>
      </w:r>
    </w:p>
    <w:p w14:paraId="1F2DF9D3" w14:textId="77777777" w:rsidR="00E11BA5" w:rsidRPr="002B283E" w:rsidRDefault="00E11BA5" w:rsidP="002B283E">
      <w:pPr>
        <w:rPr>
          <w:rFonts w:cs="Times New Roman"/>
          <w:szCs w:val="24"/>
        </w:rPr>
      </w:pPr>
    </w:p>
    <w:p w14:paraId="41D5DF1B" w14:textId="3EF09068" w:rsidR="00E11BA5" w:rsidRPr="002B283E" w:rsidRDefault="00E11BA5" w:rsidP="002B283E">
      <w:pPr>
        <w:rPr>
          <w:rFonts w:cs="Times New Roman"/>
          <w:szCs w:val="24"/>
        </w:rPr>
      </w:pPr>
      <w:r w:rsidRPr="002B283E">
        <w:rPr>
          <w:rFonts w:cs="Times New Roman"/>
          <w:szCs w:val="24"/>
        </w:rPr>
        <w:tab/>
        <w:t>The Ninth Circuit identifies two types of fair use: classic and nominative.</w:t>
      </w:r>
      <w:r w:rsidRPr="002B283E">
        <w:rPr>
          <w:rFonts w:cs="Times New Roman"/>
          <w:i/>
          <w:szCs w:val="24"/>
        </w:rPr>
        <w:t xml:space="preserve"> Cairns v. Franklin Mint Co</w:t>
      </w:r>
      <w:r w:rsidRPr="002B283E">
        <w:rPr>
          <w:rFonts w:cs="Times New Roman"/>
          <w:szCs w:val="24"/>
        </w:rPr>
        <w:t xml:space="preserve">., 292 F.3d 1139, 1150 (9th Cir. 2002) (“We distinguish two types of fair use: ‘classic fair use,’ in which ‘the defendant has used the plaintiff’s mark to describe the </w:t>
      </w:r>
      <w:r w:rsidRPr="002B283E">
        <w:rPr>
          <w:rFonts w:cs="Times New Roman"/>
          <w:szCs w:val="24"/>
        </w:rPr>
        <w:lastRenderedPageBreak/>
        <w:t xml:space="preserve">defendant’s </w:t>
      </w:r>
      <w:r w:rsidRPr="002B283E">
        <w:rPr>
          <w:rFonts w:cs="Times New Roman"/>
          <w:i/>
          <w:szCs w:val="24"/>
        </w:rPr>
        <w:t>own</w:t>
      </w:r>
      <w:r w:rsidRPr="002B283E">
        <w:rPr>
          <w:rFonts w:cs="Times New Roman"/>
          <w:szCs w:val="24"/>
        </w:rPr>
        <w:t xml:space="preserve"> product,’ and ‘nominative fair use,’ in which the defendant has used the plaintiff’s 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eastAsia="Times New Roman" w:cs="Times New Roman"/>
          <w:szCs w:val="24"/>
        </w:rPr>
        <w:t>.”).</w:t>
      </w:r>
      <w:r w:rsidRPr="002B283E">
        <w:rPr>
          <w:rFonts w:cs="Times New Roman"/>
          <w:szCs w:val="24"/>
        </w:rPr>
        <w:t xml:space="preserve"> </w:t>
      </w:r>
      <w:r w:rsidRPr="002B283E">
        <w:rPr>
          <w:rFonts w:cs="Times New Roman"/>
          <w:i/>
          <w:szCs w:val="24"/>
        </w:rPr>
        <w:t>See</w:t>
      </w:r>
      <w:r w:rsidRPr="002B283E">
        <w:rPr>
          <w:rFonts w:cs="Times New Roman"/>
          <w:szCs w:val="24"/>
        </w:rPr>
        <w:t xml:space="preserve"> Instruction 15.2</w:t>
      </w:r>
      <w:r w:rsidR="009818E2">
        <w:rPr>
          <w:rFonts w:cs="Times New Roman"/>
          <w:szCs w:val="24"/>
        </w:rPr>
        <w:t>5</w:t>
      </w:r>
      <w:r w:rsidRPr="002B283E">
        <w:rPr>
          <w:rFonts w:cs="Times New Roman"/>
          <w:szCs w:val="24"/>
        </w:rPr>
        <w:t xml:space="preserve"> (Defenses—“Classic” Fair Use). </w:t>
      </w:r>
    </w:p>
    <w:p w14:paraId="44DCE547" w14:textId="77777777" w:rsidR="00E11BA5" w:rsidRPr="002B283E" w:rsidRDefault="00E11BA5" w:rsidP="002B283E">
      <w:pPr>
        <w:rPr>
          <w:rFonts w:cs="Times New Roman"/>
          <w:szCs w:val="24"/>
        </w:rPr>
      </w:pPr>
    </w:p>
    <w:p w14:paraId="69549FCB" w14:textId="5B8DA4F2" w:rsidR="00E11BA5" w:rsidRPr="002B283E" w:rsidRDefault="00E11BA5" w:rsidP="002B283E">
      <w:pPr>
        <w:ind w:firstLine="720"/>
        <w:rPr>
          <w:rFonts w:eastAsia="Times New Roman" w:cs="Times New Roman"/>
          <w:szCs w:val="24"/>
        </w:rPr>
      </w:pPr>
      <w:r w:rsidRPr="002B283E">
        <w:rPr>
          <w:rFonts w:eastAsia="Times New Roman" w:cs="Times New Roman"/>
          <w:szCs w:val="24"/>
        </w:rPr>
        <w:t xml:space="preserve">The nominative fair use test is “designed to address the risk that nominative use of the mark will inspire a mistaken belief on the part of consumers that the speaker is sponsored or endorsed by the trademark holder.” </w:t>
      </w:r>
      <w:r w:rsidRPr="002B283E">
        <w:rPr>
          <w:rFonts w:eastAsia="Times New Roman" w:cs="Times New Roman"/>
          <w:i/>
          <w:iCs/>
          <w:szCs w:val="24"/>
        </w:rPr>
        <w:t>Toyota Motor Sales, U.S.A.,</w:t>
      </w:r>
      <w:r w:rsidRPr="002B283E">
        <w:rPr>
          <w:rFonts w:cs="Times New Roman"/>
          <w:i/>
          <w:szCs w:val="24"/>
        </w:rPr>
        <w:t xml:space="preserve"> Inc. </w:t>
      </w:r>
      <w:r w:rsidRPr="002B283E">
        <w:rPr>
          <w:rFonts w:eastAsia="Times New Roman" w:cs="Times New Roman"/>
          <w:i/>
          <w:iCs/>
          <w:szCs w:val="24"/>
        </w:rPr>
        <w:t>v. Tabari</w:t>
      </w:r>
      <w:r w:rsidRPr="002B283E">
        <w:rPr>
          <w:rFonts w:eastAsia="Times New Roman" w:cs="Times New Roman"/>
          <w:szCs w:val="24"/>
        </w:rPr>
        <w:t xml:space="preserve">, 610 F.3d 1171, 1176 (9th Cir. </w:t>
      </w:r>
      <w:r w:rsidRPr="002B283E">
        <w:rPr>
          <w:rFonts w:cs="Times New Roman"/>
          <w:szCs w:val="24"/>
        </w:rPr>
        <w:t xml:space="preserve">2010). </w:t>
      </w:r>
      <w:r w:rsidRPr="002B283E">
        <w:rPr>
          <w:rFonts w:eastAsia="Times New Roman" w:cs="Times New Roman"/>
          <w:szCs w:val="24"/>
        </w:rPr>
        <w:t xml:space="preserve">The elements of the nominative fair use defense set out in this instruction are described in </w:t>
      </w:r>
      <w:r w:rsidRPr="002B283E">
        <w:rPr>
          <w:rFonts w:eastAsia="Times New Roman" w:cs="Times New Roman"/>
          <w:i/>
          <w:iCs/>
          <w:szCs w:val="24"/>
        </w:rPr>
        <w:t>Adobe Sys.</w:t>
      </w:r>
      <w:r w:rsidRPr="002B283E">
        <w:rPr>
          <w:rFonts w:cs="Times New Roman"/>
          <w:i/>
          <w:szCs w:val="24"/>
        </w:rPr>
        <w:t xml:space="preserve"> Inc. v. Christenson</w:t>
      </w:r>
      <w:r w:rsidRPr="002B283E">
        <w:rPr>
          <w:rFonts w:cs="Times New Roman"/>
          <w:szCs w:val="24"/>
        </w:rPr>
        <w:t>, 809 F.3d 1071, 1081 (9th Cir. 2015).</w:t>
      </w:r>
      <w:r w:rsidRPr="002B283E">
        <w:rPr>
          <w:rFonts w:eastAsia="Times New Roman" w:cs="Times New Roman"/>
          <w:szCs w:val="24"/>
        </w:rPr>
        <w:t xml:space="preserve"> If the nominative use elements are met, the nominative use does not infringe. </w:t>
      </w:r>
      <w:r w:rsidRPr="002B283E">
        <w:rPr>
          <w:rFonts w:eastAsia="Times New Roman" w:cs="Times New Roman"/>
          <w:i/>
          <w:iCs/>
          <w:szCs w:val="24"/>
        </w:rPr>
        <w:t>Toyota Motor Sales</w:t>
      </w:r>
      <w:r w:rsidRPr="002B283E">
        <w:rPr>
          <w:rFonts w:eastAsia="Times New Roman" w:cs="Times New Roman"/>
          <w:szCs w:val="24"/>
        </w:rPr>
        <w:t>, 610 F.3d 1176. If the nominative use does not satisfy all the elements, “the district court may order defendants to modify their use of the mark so that all three factors are satisfied; it may not enjoin nominative use of the mark altogether.”</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 xml:space="preserve">“A defendant seeking to assert nominative fair use as a defense need only show that it used the mark to refer to the trademarked good </w:t>
      </w:r>
      <w:r w:rsidR="00705A4B">
        <w:rPr>
          <w:rFonts w:eastAsia="Times New Roman" w:cs="Times New Roman"/>
          <w:szCs w:val="24"/>
        </w:rPr>
        <w:t xml:space="preserve">. . . </w:t>
      </w:r>
      <w:r w:rsidRPr="002B283E">
        <w:rPr>
          <w:rFonts w:eastAsia="Times New Roman" w:cs="Times New Roman"/>
          <w:szCs w:val="24"/>
        </w:rPr>
        <w:t xml:space="preserve">The burden then reverts to the plaintiff” to show that the nominative fair use elements are not met. </w:t>
      </w:r>
      <w:r w:rsidRPr="002B283E">
        <w:rPr>
          <w:rFonts w:eastAsia="Times New Roman" w:cs="Times New Roman"/>
          <w:i/>
          <w:iCs/>
          <w:szCs w:val="24"/>
        </w:rPr>
        <w:t>Id</w:t>
      </w:r>
      <w:r w:rsidRPr="002B283E">
        <w:rPr>
          <w:rFonts w:eastAsia="Times New Roman" w:cs="Times New Roman"/>
          <w:szCs w:val="24"/>
        </w:rPr>
        <w:t>. at 1183.</w:t>
      </w:r>
      <w:r w:rsidRPr="002B283E">
        <w:rPr>
          <w:rFonts w:cs="Times New Roman"/>
          <w:szCs w:val="24"/>
        </w:rPr>
        <w:t xml:space="preserve"> The nominative fair use defense is unavailable if the marks are not identical. </w:t>
      </w:r>
      <w:r w:rsidRPr="002B283E">
        <w:rPr>
          <w:rFonts w:eastAsia="Times New Roman" w:cs="Times New Roman"/>
          <w:i/>
          <w:iCs/>
          <w:szCs w:val="24"/>
        </w:rPr>
        <w:t>Playboy Enters</w:t>
      </w:r>
      <w:r w:rsidR="00CE6E72">
        <w:rPr>
          <w:rFonts w:eastAsia="Times New Roman" w:cs="Times New Roman"/>
          <w:i/>
          <w:iCs/>
          <w:szCs w:val="24"/>
        </w:rPr>
        <w:t>.</w:t>
      </w:r>
      <w:r w:rsidRPr="002B283E">
        <w:rPr>
          <w:rFonts w:eastAsia="Times New Roman" w:cs="Times New Roman"/>
          <w:i/>
          <w:iCs/>
          <w:szCs w:val="24"/>
        </w:rPr>
        <w:t>, Inc.</w:t>
      </w:r>
      <w:r w:rsidRPr="002B283E">
        <w:rPr>
          <w:rFonts w:cs="Times New Roman"/>
          <w:i/>
          <w:szCs w:val="24"/>
        </w:rPr>
        <w:t xml:space="preserve"> v. </w:t>
      </w:r>
      <w:r w:rsidRPr="002B283E">
        <w:rPr>
          <w:rFonts w:eastAsia="Times New Roman" w:cs="Times New Roman"/>
          <w:i/>
          <w:iCs/>
          <w:szCs w:val="24"/>
        </w:rPr>
        <w:t>Welles</w:t>
      </w:r>
      <w:r w:rsidRPr="002B283E">
        <w:rPr>
          <w:rFonts w:eastAsia="Times New Roman" w:cs="Times New Roman"/>
          <w:szCs w:val="24"/>
        </w:rPr>
        <w:t>, 279 F.3d 796, 801 (9th Cir. 2002) (“When a defendant uses a trademark nominally, the trademark will be identical to the plaintiff's mark, at least in terms of the words in question.”).</w:t>
      </w:r>
    </w:p>
    <w:p w14:paraId="6E832821" w14:textId="77777777" w:rsidR="00E11BA5" w:rsidRPr="002B283E" w:rsidRDefault="00E11BA5" w:rsidP="002B283E">
      <w:pPr>
        <w:rPr>
          <w:rFonts w:eastAsia="Times New Roman" w:cs="Times New Roman"/>
          <w:szCs w:val="24"/>
        </w:rPr>
      </w:pPr>
    </w:p>
    <w:p w14:paraId="38A75DB8" w14:textId="77777777" w:rsidR="00E11BA5" w:rsidRPr="002B283E" w:rsidRDefault="00E11BA5" w:rsidP="002B283E">
      <w:pPr>
        <w:rPr>
          <w:rFonts w:eastAsia="Times New Roman" w:cs="Times New Roman"/>
          <w:szCs w:val="24"/>
        </w:rPr>
      </w:pPr>
      <w:r w:rsidRPr="002B283E">
        <w:rPr>
          <w:rFonts w:eastAsia="Times New Roman" w:cs="Times New Roman"/>
          <w:szCs w:val="24"/>
        </w:rPr>
        <w:tab/>
        <w:t xml:space="preserve">Earlier versions of this instruction placed the burden on the defendant to show that it made nominative fair use of the plaintiff’s trademark. Despite being frequently referred to as a “defense,” nominative fair use is an alternative test “to evaluate the likelihood of confusion” (an element of an infringement claim). </w:t>
      </w:r>
      <w:r w:rsidRPr="002B283E">
        <w:rPr>
          <w:rFonts w:eastAsia="Times New Roman" w:cs="Times New Roman"/>
          <w:i/>
          <w:iCs/>
          <w:szCs w:val="24"/>
        </w:rPr>
        <w:t>Adobe</w:t>
      </w:r>
      <w:r w:rsidRPr="002B283E">
        <w:rPr>
          <w:rFonts w:eastAsia="Times New Roman" w:cs="Times New Roman"/>
          <w:szCs w:val="24"/>
        </w:rPr>
        <w:t xml:space="preserve">, 809 F.3d at 1081. The nominative fair use analysis replaces the usual test for likelihood of confusion (the </w:t>
      </w:r>
      <w:r w:rsidRPr="002B283E">
        <w:rPr>
          <w:rFonts w:eastAsia="Times New Roman" w:cs="Times New Roman"/>
          <w:i/>
          <w:iCs/>
          <w:szCs w:val="24"/>
        </w:rPr>
        <w:t>Sleekcraft</w:t>
      </w:r>
      <w:r w:rsidRPr="002B283E">
        <w:rPr>
          <w:rFonts w:eastAsia="Times New Roman" w:cs="Times New Roman"/>
          <w:szCs w:val="24"/>
        </w:rPr>
        <w:t xml:space="preserve"> factors) in cases where the defendant used the plaintiff’s trademark to “refer[] to the trademarked good itself.” </w:t>
      </w:r>
      <w:r w:rsidRPr="002B283E">
        <w:rPr>
          <w:rFonts w:eastAsia="Times New Roman" w:cs="Times New Roman"/>
          <w:i/>
          <w:iCs/>
          <w:szCs w:val="24"/>
        </w:rPr>
        <w:t>Toyota</w:t>
      </w:r>
      <w:r w:rsidRPr="002B283E">
        <w:rPr>
          <w:rFonts w:eastAsia="Times New Roman" w:cs="Times New Roman"/>
          <w:szCs w:val="24"/>
        </w:rPr>
        <w:t xml:space="preserve">, 610 F.3d at 1182; </w:t>
      </w:r>
      <w:r w:rsidRPr="002B283E">
        <w:rPr>
          <w:rFonts w:eastAsia="Times New Roman" w:cs="Times New Roman"/>
          <w:i/>
          <w:iCs/>
          <w:szCs w:val="24"/>
        </w:rPr>
        <w:t>Adobe</w:t>
      </w:r>
      <w:r w:rsidRPr="002B283E">
        <w:rPr>
          <w:rFonts w:eastAsia="Times New Roman" w:cs="Times New Roman"/>
          <w:szCs w:val="24"/>
        </w:rPr>
        <w:t>, 809 F.3d at 1081.</w:t>
      </w:r>
      <w:r w:rsidRPr="002B283E">
        <w:rPr>
          <w:rFonts w:eastAsia="Times New Roman" w:cs="Times New Roman"/>
          <w:i/>
          <w:iCs/>
          <w:szCs w:val="24"/>
        </w:rPr>
        <w:t xml:space="preserve"> </w:t>
      </w:r>
      <w:r w:rsidRPr="002B283E">
        <w:rPr>
          <w:rFonts w:eastAsia="Times New Roman" w:cs="Times New Roman"/>
          <w:szCs w:val="24"/>
        </w:rPr>
        <w:t xml:space="preserve">Because it is the plaintiff’s burden to show likelihood of confusion, “[the plaintiff] must bear the burden of establishing that the [defendant’s] use of [the plaintiff’s] mark was </w:t>
      </w:r>
      <w:r w:rsidRPr="002B283E">
        <w:rPr>
          <w:rFonts w:eastAsia="Times New Roman" w:cs="Times New Roman"/>
          <w:i/>
          <w:iCs/>
          <w:szCs w:val="24"/>
        </w:rPr>
        <w:t>not</w:t>
      </w:r>
      <w:r w:rsidRPr="002B283E">
        <w:rPr>
          <w:rFonts w:eastAsia="Times New Roman" w:cs="Times New Roman"/>
          <w:szCs w:val="24"/>
        </w:rPr>
        <w:t xml:space="preserve"> nominative fair use.” </w:t>
      </w:r>
      <w:r w:rsidRPr="002B283E">
        <w:rPr>
          <w:rFonts w:eastAsia="Times New Roman" w:cs="Times New Roman"/>
          <w:i/>
          <w:iCs/>
          <w:szCs w:val="24"/>
        </w:rPr>
        <w:t>Toyota</w:t>
      </w:r>
      <w:r w:rsidRPr="002B283E">
        <w:rPr>
          <w:rFonts w:eastAsia="Times New Roman" w:cs="Times New Roman"/>
          <w:szCs w:val="24"/>
        </w:rPr>
        <w:t xml:space="preserve">, 610 F.3d at 1182-83. </w:t>
      </w:r>
      <w:r w:rsidRPr="002B283E">
        <w:rPr>
          <w:rFonts w:eastAsia="Times New Roman" w:cs="Times New Roman"/>
          <w:i/>
          <w:iCs/>
          <w:szCs w:val="24"/>
        </w:rPr>
        <w:t xml:space="preserve">See also </w:t>
      </w:r>
      <w:r w:rsidRPr="002B283E">
        <w:rPr>
          <w:rFonts w:eastAsia="Times New Roman" w:cs="Times New Roman"/>
          <w:szCs w:val="24"/>
        </w:rPr>
        <w:t xml:space="preserve">4 </w:t>
      </w:r>
      <w:r w:rsidRPr="002B283E">
        <w:rPr>
          <w:rFonts w:eastAsia="Times New Roman" w:cs="Times New Roman"/>
          <w:smallCaps/>
          <w:szCs w:val="24"/>
        </w:rPr>
        <w:t>J. Thomas McCarthy, McCarthy on Trademarks and Unfair Competition</w:t>
      </w:r>
      <w:r w:rsidRPr="002B283E">
        <w:rPr>
          <w:rFonts w:eastAsia="Times New Roman" w:cs="Times New Roman"/>
          <w:i/>
          <w:iCs/>
          <w:smallCaps/>
          <w:szCs w:val="24"/>
        </w:rPr>
        <w:t xml:space="preserve"> </w:t>
      </w:r>
      <w:r w:rsidRPr="002B283E">
        <w:rPr>
          <w:rFonts w:eastAsia="Times New Roman" w:cs="Times New Roman"/>
          <w:szCs w:val="24"/>
        </w:rPr>
        <w:t xml:space="preserve">§ 23:11 (5th ed. 2019). </w:t>
      </w:r>
    </w:p>
    <w:p w14:paraId="07C32CB2" w14:textId="77777777" w:rsidR="00E11BA5" w:rsidRPr="002B283E" w:rsidRDefault="00E11BA5" w:rsidP="002B283E">
      <w:pPr>
        <w:rPr>
          <w:rFonts w:eastAsia="Times New Roman" w:cs="Times New Roman"/>
          <w:i/>
          <w:iCs/>
          <w:szCs w:val="24"/>
        </w:rPr>
      </w:pPr>
    </w:p>
    <w:p w14:paraId="544B4365" w14:textId="25663346" w:rsidR="00E11BA5" w:rsidRPr="002B283E" w:rsidRDefault="00E11BA5" w:rsidP="00490580">
      <w:pPr>
        <w:ind w:firstLine="720"/>
        <w:rPr>
          <w:rFonts w:cs="Times New Roman"/>
          <w:szCs w:val="24"/>
        </w:rPr>
      </w:pPr>
      <w:r w:rsidRPr="002B283E">
        <w:rPr>
          <w:rFonts w:cs="Times New Roman"/>
          <w:szCs w:val="24"/>
        </w:rPr>
        <w:t xml:space="preserve">The nominative fair use defense applies only if the defendant “does not attempt to capitalize on consumer confusion or to appropriate the cachet of one product for a different one.”  </w:t>
      </w:r>
      <w:r w:rsidRPr="002B283E">
        <w:rPr>
          <w:rFonts w:cs="Times New Roman"/>
          <w:i/>
          <w:szCs w:val="24"/>
        </w:rPr>
        <w:t xml:space="preserve">Horphag </w:t>
      </w:r>
      <w:r w:rsidRPr="002B283E">
        <w:rPr>
          <w:rFonts w:eastAsia="Times New Roman" w:cs="Times New Roman"/>
          <w:i/>
          <w:iCs/>
          <w:szCs w:val="24"/>
        </w:rPr>
        <w:t>Rsch.</w:t>
      </w:r>
      <w:r w:rsidRPr="002B283E">
        <w:rPr>
          <w:rFonts w:cs="Times New Roman"/>
          <w:i/>
          <w:szCs w:val="24"/>
        </w:rPr>
        <w:t xml:space="preserve"> Ltd. v. Pellegrini</w:t>
      </w:r>
      <w:r w:rsidRPr="002B283E">
        <w:rPr>
          <w:rFonts w:cs="Times New Roman"/>
          <w:szCs w:val="24"/>
        </w:rPr>
        <w:t>, 337 F.3d 1036, 1041 (9th Cir. 2003)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nominative fair use defense unavailable </w:t>
      </w:r>
      <w:r w:rsidRPr="002B283E">
        <w:rPr>
          <w:rFonts w:eastAsia="Times New Roman" w:cs="Times New Roman"/>
          <w:szCs w:val="24"/>
        </w:rPr>
        <w:t>where record showed</w:t>
      </w:r>
      <w:r w:rsidRPr="002B283E">
        <w:rPr>
          <w:rFonts w:cs="Times New Roman"/>
          <w:szCs w:val="24"/>
        </w:rPr>
        <w:t xml:space="preserve"> that defendant’s use of plaintiff’s trademark </w:t>
      </w:r>
      <w:r w:rsidRPr="002B283E">
        <w:rPr>
          <w:rFonts w:eastAsia="Times New Roman" w:cs="Times New Roman"/>
          <w:szCs w:val="24"/>
        </w:rPr>
        <w:t>suggested</w:t>
      </w:r>
      <w:r w:rsidRPr="002B283E">
        <w:rPr>
          <w:rFonts w:cs="Times New Roman"/>
          <w:szCs w:val="24"/>
        </w:rPr>
        <w:t xml:space="preserve"> sponsorship or endorsement by trademark holder of defendant’s product) (citing </w:t>
      </w:r>
      <w:r w:rsidRPr="002B283E">
        <w:rPr>
          <w:rFonts w:cs="Times New Roman"/>
          <w:i/>
          <w:szCs w:val="24"/>
        </w:rPr>
        <w:t xml:space="preserve">New Kids on the Block v. News </w:t>
      </w:r>
      <w:r w:rsidRPr="002B283E">
        <w:rPr>
          <w:rFonts w:eastAsia="Times New Roman" w:cs="Times New Roman"/>
          <w:i/>
          <w:iCs/>
          <w:szCs w:val="24"/>
        </w:rPr>
        <w:t>Am. Pub.,</w:t>
      </w:r>
      <w:r w:rsidRPr="002B283E">
        <w:rPr>
          <w:rFonts w:cs="Times New Roman"/>
          <w:i/>
          <w:szCs w:val="24"/>
        </w:rPr>
        <w:t xml:space="preserve"> Inc.</w:t>
      </w:r>
      <w:r w:rsidRPr="002B283E">
        <w:rPr>
          <w:rFonts w:cs="Times New Roman"/>
          <w:szCs w:val="24"/>
        </w:rPr>
        <w:t xml:space="preserve">, 971 F.2d 302, 306 (9th Cir. 1992)); </w:t>
      </w:r>
      <w:r w:rsidRPr="002B283E">
        <w:rPr>
          <w:rFonts w:cs="Times New Roman"/>
          <w:i/>
          <w:szCs w:val="24"/>
        </w:rPr>
        <w:t>see also Brother Records, Inc. v. Jardine</w:t>
      </w:r>
      <w:r w:rsidRPr="002B283E">
        <w:rPr>
          <w:rFonts w:cs="Times New Roman"/>
          <w:szCs w:val="24"/>
        </w:rPr>
        <w:t xml:space="preserve">, 318 F.3d 900, 905-08 (9th Cir. 2003) (discussing cases and application of nominative and classic fair use defenses, and </w:t>
      </w:r>
      <w:r w:rsidR="00CE6E72">
        <w:rPr>
          <w:rFonts w:cs="Times New Roman"/>
          <w:szCs w:val="24"/>
        </w:rPr>
        <w:t xml:space="preserve">holding </w:t>
      </w:r>
      <w:r w:rsidRPr="002B283E">
        <w:rPr>
          <w:rFonts w:cs="Times New Roman"/>
          <w:szCs w:val="24"/>
        </w:rPr>
        <w:t>neither</w:t>
      </w:r>
      <w:r w:rsidR="00CE6E72">
        <w:rPr>
          <w:rFonts w:cs="Times New Roman"/>
          <w:szCs w:val="24"/>
        </w:rPr>
        <w:t xml:space="preserve"> were</w:t>
      </w:r>
      <w:r w:rsidRPr="002B283E">
        <w:rPr>
          <w:rFonts w:cs="Times New Roman"/>
          <w:szCs w:val="24"/>
        </w:rPr>
        <w:t xml:space="preserve"> available because defendant’s use of trademark was not in primary descriptive sense, but instead suggested sponsorship or endorsement by trademark holder);</w:t>
      </w:r>
      <w:r w:rsidRPr="002B283E">
        <w:rPr>
          <w:rFonts w:cs="Times New Roman"/>
          <w:i/>
          <w:szCs w:val="24"/>
        </w:rPr>
        <w:t xml:space="preserve"> Cairns</w:t>
      </w:r>
      <w:r w:rsidRPr="002B283E">
        <w:rPr>
          <w:rFonts w:cs="Times New Roman"/>
          <w:szCs w:val="24"/>
        </w:rPr>
        <w:t xml:space="preserve">, 292 F.3d at 1151 (“The nominative fair use analysis is appropriate where a defendant has used the plaintiff’s mark to describe the plaintiff’s product, even if the defendant’s ultimate goal is to describe his own product.” </w:t>
      </w:r>
      <w:r w:rsidRPr="002B283E">
        <w:rPr>
          <w:rFonts w:eastAsia="Times New Roman" w:cs="Times New Roman"/>
          <w:szCs w:val="24"/>
        </w:rPr>
        <w:t>(emphasis omitted))</w:t>
      </w:r>
      <w:r w:rsidR="000344D8" w:rsidRPr="000344D8">
        <w:rPr>
          <w:rFonts w:eastAsia="Times New Roman" w:cs="Times New Roman"/>
          <w:szCs w:val="24"/>
        </w:rPr>
        <w:t xml:space="preserve">; </w:t>
      </w:r>
      <w:r w:rsidR="000344D8" w:rsidRPr="000344D8">
        <w:rPr>
          <w:rFonts w:eastAsia="Times New Roman" w:cs="Times New Roman"/>
          <w:i/>
          <w:iCs/>
          <w:szCs w:val="24"/>
        </w:rPr>
        <w:t>Yuga Labs, Inc. v. Ripps</w:t>
      </w:r>
      <w:r w:rsidR="000344D8" w:rsidRPr="000344D8">
        <w:rPr>
          <w:rFonts w:eastAsia="Times New Roman" w:cs="Times New Roman"/>
          <w:szCs w:val="24"/>
        </w:rPr>
        <w:t xml:space="preserve">, 144 F.4th 1137, 1164 (9th Cir. 2025) (holding that </w:t>
      </w:r>
      <w:r w:rsidR="000344D8" w:rsidRPr="000344D8">
        <w:rPr>
          <w:rFonts w:eastAsia="Times New Roman" w:cs="Times New Roman"/>
          <w:szCs w:val="24"/>
        </w:rPr>
        <w:lastRenderedPageBreak/>
        <w:t>nominative fair use did not apply when the defendants “used the [trademarks] to create, promote, and sell their own [nonfungible tokens] associated with the same artwork as plaintiff’s NFT collection”).</w:t>
      </w:r>
    </w:p>
    <w:p w14:paraId="6863CFA9" w14:textId="77777777" w:rsidR="00E11BA5" w:rsidRPr="002B283E" w:rsidRDefault="00E11BA5" w:rsidP="002B283E">
      <w:pPr>
        <w:rPr>
          <w:rFonts w:cs="Times New Roman"/>
          <w:szCs w:val="24"/>
        </w:rPr>
      </w:pPr>
      <w:r w:rsidRPr="002B283E">
        <w:rPr>
          <w:rFonts w:cs="Times New Roman"/>
          <w:szCs w:val="24"/>
        </w:rPr>
        <w:tab/>
      </w:r>
    </w:p>
    <w:p w14:paraId="666567AF" w14:textId="22A8427D" w:rsidR="00E11BA5" w:rsidRPr="002B283E" w:rsidRDefault="00E11BA5" w:rsidP="008A04C2">
      <w:pPr>
        <w:ind w:firstLine="720"/>
        <w:rPr>
          <w:rFonts w:cs="Times New Roman"/>
          <w:b/>
          <w:bCs/>
          <w:szCs w:val="24"/>
        </w:rPr>
      </w:pPr>
      <w:r w:rsidRPr="002B283E">
        <w:rPr>
          <w:rFonts w:cs="Times New Roman"/>
          <w:szCs w:val="24"/>
        </w:rPr>
        <w:t>For application of fair use defense in trade dress cases or for application of First Amendment doctrines as a “fair use,”</w:t>
      </w:r>
      <w:r w:rsidRPr="002B283E">
        <w:rPr>
          <w:rFonts w:cs="Times New Roman"/>
          <w:i/>
          <w:szCs w:val="24"/>
        </w:rPr>
        <w:t xml:space="preserve"> </w:t>
      </w:r>
      <w:r w:rsidRPr="008A04C2">
        <w:rPr>
          <w:rFonts w:cs="Times New Roman"/>
          <w:iCs/>
          <w:szCs w:val="24"/>
        </w:rPr>
        <w:t>see</w:t>
      </w:r>
      <w:r w:rsidRPr="002B283E">
        <w:rPr>
          <w:rFonts w:cs="Times New Roman"/>
          <w:szCs w:val="24"/>
        </w:rPr>
        <w:t xml:space="preserve"> Comment to Instruction 15.2</w:t>
      </w:r>
      <w:r w:rsidR="009818E2">
        <w:rPr>
          <w:rFonts w:cs="Times New Roman"/>
          <w:szCs w:val="24"/>
        </w:rPr>
        <w:t>5</w:t>
      </w:r>
      <w:r w:rsidRPr="002B283E">
        <w:rPr>
          <w:rFonts w:cs="Times New Roman"/>
          <w:szCs w:val="24"/>
        </w:rPr>
        <w:t xml:space="preserve"> (Defenses—“Classic” Fair Use</w:t>
      </w:r>
      <w:r w:rsidRPr="002B283E">
        <w:rPr>
          <w:rFonts w:eastAsia="Times New Roman" w:cs="Times New Roman"/>
          <w:szCs w:val="24"/>
        </w:rPr>
        <w:t xml:space="preserve"> (15 U.S.C. § 1115(b)(4))).</w:t>
      </w:r>
      <w:r w:rsidRPr="002B283E">
        <w:rPr>
          <w:rFonts w:cs="Times New Roman"/>
          <w:szCs w:val="24"/>
        </w:rPr>
        <w:t xml:space="preserve"> </w:t>
      </w:r>
    </w:p>
    <w:p w14:paraId="5B47974A" w14:textId="77777777" w:rsidR="00E11BA5" w:rsidRPr="002B283E" w:rsidRDefault="00E11BA5" w:rsidP="002B283E">
      <w:pPr>
        <w:rPr>
          <w:rFonts w:cs="Times New Roman"/>
          <w:szCs w:val="24"/>
        </w:rPr>
      </w:pPr>
    </w:p>
    <w:p w14:paraId="3213BCCE" w14:textId="6483CF3E" w:rsidR="003E3B69" w:rsidRPr="002B283E" w:rsidRDefault="00E11BA5" w:rsidP="002B283E">
      <w:pPr>
        <w:autoSpaceDE w:val="0"/>
        <w:autoSpaceDN w:val="0"/>
        <w:adjustRightInd w:val="0"/>
        <w:jc w:val="right"/>
        <w:rPr>
          <w:rFonts w:cs="Times New Roman"/>
          <w:szCs w:val="24"/>
        </w:rPr>
      </w:pPr>
      <w:r w:rsidRPr="002B283E">
        <w:rPr>
          <w:rFonts w:cs="Times New Roman"/>
          <w:i/>
          <w:iCs/>
          <w:szCs w:val="24"/>
        </w:rPr>
        <w:t>Revised March 2024</w:t>
      </w:r>
    </w:p>
    <w:p w14:paraId="1383CD9E" w14:textId="5A7F8B45" w:rsidR="0008651C" w:rsidRDefault="006A4CD7" w:rsidP="0008651C">
      <w:pPr>
        <w:pStyle w:val="Heading2"/>
      </w:pPr>
      <w:r w:rsidRPr="002B283E">
        <w:br w:type="page"/>
      </w:r>
    </w:p>
    <w:p w14:paraId="403CDEAE" w14:textId="38E064B2" w:rsidR="009519FE" w:rsidRPr="002B283E" w:rsidRDefault="006A4CD7" w:rsidP="002B283E">
      <w:pPr>
        <w:pStyle w:val="Heading2"/>
      </w:pPr>
      <w:bookmarkStart w:id="372" w:name="_Toc221525293"/>
      <w:r w:rsidRPr="002B283E">
        <w:lastRenderedPageBreak/>
        <w:t>15.2</w:t>
      </w:r>
      <w:r w:rsidR="0008651C">
        <w:t>7</w:t>
      </w:r>
      <w:r w:rsidRPr="002B283E">
        <w:t xml:space="preserve"> </w:t>
      </w:r>
      <w:r w:rsidR="009519FE" w:rsidRPr="002B283E">
        <w:t>Defenses—First Sale</w:t>
      </w:r>
      <w:bookmarkEnd w:id="372"/>
    </w:p>
    <w:p w14:paraId="1DA91DC6" w14:textId="77777777" w:rsidR="006A4CD7" w:rsidRPr="002B283E" w:rsidRDefault="006A4CD7" w:rsidP="002B283E">
      <w:pPr>
        <w:autoSpaceDE w:val="0"/>
        <w:autoSpaceDN w:val="0"/>
        <w:adjustRightInd w:val="0"/>
        <w:rPr>
          <w:rFonts w:cs="Times New Roman"/>
          <w:szCs w:val="24"/>
        </w:rPr>
      </w:pPr>
    </w:p>
    <w:p w14:paraId="0BFAB086" w14:textId="5F3C7989" w:rsidR="00DC6363" w:rsidRPr="002B283E" w:rsidRDefault="00DC6363" w:rsidP="008A04C2">
      <w:pPr>
        <w:kinsoku w:val="0"/>
        <w:overflowPunct w:val="0"/>
        <w:ind w:firstLine="720"/>
        <w:rPr>
          <w:rFonts w:cs="Times New Roman"/>
          <w:szCs w:val="24"/>
        </w:rPr>
      </w:pPr>
      <w:r w:rsidRPr="002B283E">
        <w:rPr>
          <w:rFonts w:cs="Times New Roman"/>
          <w:szCs w:val="24"/>
        </w:rPr>
        <w:t xml:space="preserve">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not liable for trademark infringement for [distributing] [selling] [stocking] [displaying]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 under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because there was previously an authorized sale of the item. After the first authorized sale of an item, the holder of the item’s trademark may not claim trademark infringement for subsequent [sales] [distributions] [displays] of the item under that mark.</w:t>
      </w:r>
    </w:p>
    <w:p w14:paraId="2B52BE4D" w14:textId="77777777" w:rsidR="00DC6363" w:rsidRPr="002B283E" w:rsidRDefault="00DC6363" w:rsidP="00E6463C">
      <w:pPr>
        <w:kinsoku w:val="0"/>
        <w:overflowPunct w:val="0"/>
        <w:rPr>
          <w:rFonts w:cs="Times New Roman"/>
          <w:szCs w:val="24"/>
        </w:rPr>
      </w:pPr>
    </w:p>
    <w:p w14:paraId="6C229750" w14:textId="5E5A2AF0" w:rsidR="00DC6363" w:rsidRDefault="00DC6363" w:rsidP="008A04C2">
      <w:pPr>
        <w:kinsoku w:val="0"/>
        <w:overflowPunct w:val="0"/>
        <w:ind w:firstLine="720"/>
        <w:rPr>
          <w:rFonts w:cs="Times New Roman"/>
          <w:szCs w:val="24"/>
        </w:rPr>
      </w:pPr>
      <w:r w:rsidRPr="002B283E">
        <w:rPr>
          <w:rFonts w:cs="Times New Roman"/>
          <w:szCs w:val="24"/>
        </w:rPr>
        <w:t xml:space="preserve">If you find that the item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[distributed] [sold] [stocked] [displayed] was previously subject to an authorized sale, your verdict should be for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on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infringement claim.</w:t>
      </w:r>
    </w:p>
    <w:p w14:paraId="3ACA151B" w14:textId="77777777" w:rsidR="00705A4B" w:rsidRPr="002B283E" w:rsidRDefault="00705A4B" w:rsidP="002B283E">
      <w:pPr>
        <w:kinsoku w:val="0"/>
        <w:overflowPunct w:val="0"/>
        <w:ind w:left="40" w:right="209" w:firstLine="720"/>
        <w:rPr>
          <w:rFonts w:cs="Times New Roman"/>
          <w:szCs w:val="24"/>
        </w:rPr>
      </w:pPr>
    </w:p>
    <w:p w14:paraId="0613C503" w14:textId="77777777" w:rsidR="00DC6363" w:rsidRDefault="00DC6363" w:rsidP="002B283E">
      <w:pPr>
        <w:jc w:val="center"/>
        <w:rPr>
          <w:rFonts w:cs="Times New Roman"/>
          <w:b/>
          <w:szCs w:val="24"/>
        </w:rPr>
      </w:pPr>
      <w:r w:rsidRPr="002B283E">
        <w:rPr>
          <w:rFonts w:cs="Times New Roman"/>
          <w:b/>
          <w:szCs w:val="24"/>
        </w:rPr>
        <w:t>Comment</w:t>
      </w:r>
    </w:p>
    <w:p w14:paraId="779A9E2A" w14:textId="77777777" w:rsidR="00705A4B" w:rsidRPr="002B283E" w:rsidRDefault="00705A4B" w:rsidP="002B283E">
      <w:pPr>
        <w:jc w:val="center"/>
        <w:rPr>
          <w:rFonts w:cs="Times New Roman"/>
          <w:b/>
          <w:szCs w:val="24"/>
        </w:rPr>
      </w:pPr>
    </w:p>
    <w:p w14:paraId="3F79BBC3" w14:textId="5CC9CCF5" w:rsidR="00DC6363" w:rsidRPr="002B283E" w:rsidRDefault="00DC6363" w:rsidP="008A04C2">
      <w:pPr>
        <w:kinsoku w:val="0"/>
        <w:overflowPunct w:val="0"/>
        <w:ind w:firstLine="720"/>
        <w:rPr>
          <w:rFonts w:cs="Times New Roman"/>
          <w:szCs w:val="24"/>
        </w:rPr>
      </w:pPr>
      <w:r w:rsidRPr="002B283E">
        <w:rPr>
          <w:rFonts w:cs="Times New Roman"/>
          <w:szCs w:val="24"/>
        </w:rPr>
        <w:t xml:space="preserve">The first sale doctrine is an affirmative defense to trademark infringement. </w:t>
      </w:r>
      <w:r w:rsidRPr="002B283E">
        <w:rPr>
          <w:rFonts w:cs="Times New Roman"/>
          <w:i/>
          <w:szCs w:val="24"/>
        </w:rPr>
        <w:t>See Bluetooth SIG Inc. v. FCA US LLC</w:t>
      </w:r>
      <w:r w:rsidRPr="002B283E">
        <w:rPr>
          <w:rFonts w:cs="Times New Roman"/>
          <w:szCs w:val="24"/>
        </w:rPr>
        <w:t xml:space="preserve">, 30 F.4th 870, 871 (9th Cir. 2022). “Under the first sale doctrine, ‘with certain well-defined exceptions, the right of a producer to control the distribution of its trademarked product does not extend beyond the first sale of the product.’” </w:t>
      </w:r>
      <w:r w:rsidRPr="002B283E">
        <w:rPr>
          <w:rFonts w:cs="Times New Roman"/>
          <w:i/>
          <w:szCs w:val="24"/>
        </w:rPr>
        <w:t xml:space="preserve">Id. </w:t>
      </w:r>
      <w:r w:rsidRPr="002B283E">
        <w:rPr>
          <w:rFonts w:cs="Times New Roman"/>
          <w:szCs w:val="24"/>
        </w:rPr>
        <w:t xml:space="preserve">at 872 (quoting </w:t>
      </w:r>
      <w:r w:rsidRPr="002B283E">
        <w:rPr>
          <w:rFonts w:cs="Times New Roman"/>
          <w:i/>
          <w:szCs w:val="24"/>
        </w:rPr>
        <w:t>Sebastian Int’l, Inc. v. Longs Drug Stores Corp.</w:t>
      </w:r>
      <w:r w:rsidRPr="002B283E">
        <w:rPr>
          <w:rFonts w:cs="Times New Roman"/>
          <w:szCs w:val="24"/>
        </w:rPr>
        <w:t xml:space="preserve">, 53 F.3d 1073, 1074 (9th Cir. 1995) (per curiam)). “Trademark rights are ‘exhausted’ as to a given item upon the first authorized sale of that item.” </w:t>
      </w:r>
      <w:r w:rsidRPr="002B283E">
        <w:rPr>
          <w:rFonts w:cs="Times New Roman"/>
          <w:i/>
          <w:szCs w:val="24"/>
        </w:rPr>
        <w:t>Bluetooth</w:t>
      </w:r>
      <w:r w:rsidRPr="002B283E">
        <w:rPr>
          <w:rFonts w:cs="Times New Roman"/>
          <w:szCs w:val="24"/>
        </w:rPr>
        <w:t xml:space="preserve">, 30 F.4th at 872 (quoting 4 </w:t>
      </w:r>
      <w:r w:rsidRPr="002B283E">
        <w:rPr>
          <w:rFonts w:cs="Times New Roman"/>
          <w:smallCaps/>
          <w:szCs w:val="24"/>
        </w:rPr>
        <w:t>J. Thomas McCarthy, McCarthy on Trademarks and Unfair Competition</w:t>
      </w:r>
      <w:r w:rsidRPr="002B283E">
        <w:rPr>
          <w:rFonts w:cs="Times New Roman"/>
          <w:i/>
          <w:smallCaps/>
          <w:szCs w:val="24"/>
        </w:rPr>
        <w:t xml:space="preserve"> </w:t>
      </w:r>
      <w:r w:rsidRPr="002B283E">
        <w:rPr>
          <w:rFonts w:cs="Times New Roman"/>
          <w:szCs w:val="24"/>
        </w:rPr>
        <w:t>§ 25:41 (5th ed. 2019)).</w:t>
      </w:r>
    </w:p>
    <w:p w14:paraId="3C25001B" w14:textId="77777777" w:rsidR="00DC6363" w:rsidRPr="002B283E" w:rsidRDefault="00DC6363" w:rsidP="00E6463C">
      <w:pPr>
        <w:kinsoku w:val="0"/>
        <w:overflowPunct w:val="0"/>
        <w:rPr>
          <w:rFonts w:cs="Times New Roman"/>
          <w:szCs w:val="24"/>
        </w:rPr>
      </w:pPr>
    </w:p>
    <w:p w14:paraId="582750AE" w14:textId="32A516F6" w:rsidR="00D03366" w:rsidRPr="002B283E" w:rsidRDefault="00DC6363" w:rsidP="00CE6E72">
      <w:pPr>
        <w:kinsoku w:val="0"/>
        <w:overflowPunct w:val="0"/>
        <w:ind w:firstLine="720"/>
        <w:rPr>
          <w:rFonts w:cs="Times New Roman"/>
          <w:szCs w:val="24"/>
        </w:rPr>
      </w:pPr>
      <w:r w:rsidRPr="002B283E">
        <w:rPr>
          <w:rFonts w:cs="Times New Roman"/>
          <w:szCs w:val="24"/>
        </w:rPr>
        <w:t xml:space="preserve">Application of the first sale doctrine “has generally focused on the likelihood of confusion among consumers.” </w:t>
      </w:r>
      <w:r w:rsidRPr="002B283E">
        <w:rPr>
          <w:rFonts w:cs="Times New Roman"/>
          <w:i/>
          <w:szCs w:val="24"/>
        </w:rPr>
        <w:t xml:space="preserve">Au-Tomotive Gold Inc. v. Volkswagen of </w:t>
      </w:r>
      <w:r w:rsidRPr="002B283E">
        <w:rPr>
          <w:rFonts w:cs="Times New Roman"/>
          <w:i/>
          <w:iCs/>
          <w:szCs w:val="24"/>
        </w:rPr>
        <w:t>Am.,</w:t>
      </w:r>
      <w:r w:rsidRPr="002B283E">
        <w:rPr>
          <w:rFonts w:cs="Times New Roman"/>
          <w:i/>
          <w:szCs w:val="24"/>
        </w:rPr>
        <w:t xml:space="preserve"> Inc.</w:t>
      </w:r>
      <w:r w:rsidRPr="002B283E">
        <w:rPr>
          <w:rFonts w:cs="Times New Roman"/>
          <w:szCs w:val="24"/>
        </w:rPr>
        <w:t xml:space="preserve">, 603 F.3d 1133, 1136 (9th Cir. 2010). Its “essence” is that “a purchaser who does no more than stock, display, and resell a producer’s product under the producer’s trademark violates no right conferred upon the producer by the Lanham Act.” </w:t>
      </w:r>
      <w:r w:rsidRPr="002B283E">
        <w:rPr>
          <w:rFonts w:cs="Times New Roman"/>
          <w:i/>
          <w:szCs w:val="24"/>
        </w:rPr>
        <w:t>Sebastian</w:t>
      </w:r>
      <w:r w:rsidRPr="002B283E">
        <w:rPr>
          <w:rFonts w:cs="Times New Roman"/>
          <w:szCs w:val="24"/>
        </w:rPr>
        <w:t xml:space="preserve">, 53 F.3d at 1076. However, “[b]inding precedent extends the first sale doctrine beyond what </w:t>
      </w:r>
      <w:r w:rsidRPr="002B283E">
        <w:rPr>
          <w:rFonts w:cs="Times New Roman"/>
          <w:i/>
          <w:szCs w:val="24"/>
        </w:rPr>
        <w:t xml:space="preserve">Sebastian </w:t>
      </w:r>
      <w:r w:rsidRPr="002B283E">
        <w:rPr>
          <w:rFonts w:cs="Times New Roman"/>
          <w:szCs w:val="24"/>
        </w:rPr>
        <w:t xml:space="preserve">described as the doctrine’s ‘essence.’” </w:t>
      </w:r>
      <w:r w:rsidRPr="002B283E">
        <w:rPr>
          <w:rFonts w:cs="Times New Roman"/>
          <w:i/>
          <w:szCs w:val="24"/>
        </w:rPr>
        <w:t>Bluetooth</w:t>
      </w:r>
      <w:r w:rsidRPr="002B283E">
        <w:rPr>
          <w:rFonts w:cs="Times New Roman"/>
          <w:szCs w:val="24"/>
        </w:rPr>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2B283E">
        <w:rPr>
          <w:rFonts w:cs="Times New Roman"/>
          <w:i/>
          <w:szCs w:val="24"/>
        </w:rPr>
        <w:t>Id</w:t>
      </w:r>
      <w:r w:rsidRPr="002B283E">
        <w:rPr>
          <w:rFonts w:cs="Times New Roman"/>
          <w:i/>
          <w:iCs/>
          <w:szCs w:val="24"/>
        </w:rPr>
        <w:t xml:space="preserve">. </w:t>
      </w:r>
      <w:r w:rsidRPr="002B283E">
        <w:rPr>
          <w:rFonts w:cs="Times New Roman"/>
          <w:szCs w:val="24"/>
        </w:rPr>
        <w:t>at 874.</w:t>
      </w:r>
    </w:p>
    <w:p w14:paraId="30483F9D" w14:textId="77777777" w:rsidR="00D03366" w:rsidRPr="002B283E" w:rsidRDefault="00D03366" w:rsidP="002B283E">
      <w:pPr>
        <w:kinsoku w:val="0"/>
        <w:overflowPunct w:val="0"/>
        <w:ind w:firstLine="720"/>
        <w:rPr>
          <w:rFonts w:cs="Times New Roman"/>
          <w:szCs w:val="24"/>
        </w:rPr>
      </w:pPr>
    </w:p>
    <w:p w14:paraId="315D9FBE" w14:textId="774F1792" w:rsidR="00DC6363" w:rsidRPr="002B283E" w:rsidRDefault="00DC6363" w:rsidP="002B283E">
      <w:pPr>
        <w:kinsoku w:val="0"/>
        <w:overflowPunct w:val="0"/>
        <w:ind w:firstLine="720"/>
        <w:rPr>
          <w:rFonts w:cs="Times New Roman"/>
          <w:i/>
          <w:szCs w:val="24"/>
        </w:rPr>
      </w:pPr>
      <w:r w:rsidRPr="002B283E">
        <w:rPr>
          <w:rFonts w:cs="Times New Roman"/>
          <w:szCs w:val="24"/>
        </w:rPr>
        <w:t xml:space="preserve">For instance, a retailer may repackage a producer’s trademarked goods, so long as it discloses the fact of repackaging to the public. </w:t>
      </w:r>
      <w:r w:rsidRPr="002B283E">
        <w:rPr>
          <w:rFonts w:cs="Times New Roman"/>
          <w:i/>
          <w:szCs w:val="24"/>
        </w:rPr>
        <w:t>Enesco Corp. v. Price/Costco Inc.</w:t>
      </w:r>
      <w:r w:rsidRPr="002B283E">
        <w:rPr>
          <w:rFonts w:cs="Times New Roman"/>
          <w:szCs w:val="24"/>
        </w:rPr>
        <w:t xml:space="preserve">, 146 F.3d 1083, 1086-87 (9th Cir. 1998). Similarly, a manufacturer may modify a producer’s trademarked product and use the mark to indicate that the “[trademarked] product is a constituent in the article now offered as new and changed.” </w:t>
      </w:r>
      <w:r w:rsidRPr="002B283E">
        <w:rPr>
          <w:rFonts w:cs="Times New Roman"/>
          <w:i/>
          <w:szCs w:val="24"/>
        </w:rPr>
        <w:t>Prestonettes, Inc</w:t>
      </w:r>
      <w:r w:rsidRPr="002B283E">
        <w:rPr>
          <w:rFonts w:cs="Times New Roman"/>
          <w:i/>
          <w:iCs/>
          <w:szCs w:val="24"/>
        </w:rPr>
        <w:t>.,</w:t>
      </w:r>
      <w:r w:rsidRPr="002B283E">
        <w:rPr>
          <w:rFonts w:cs="Times New Roman"/>
          <w:i/>
          <w:szCs w:val="24"/>
        </w:rPr>
        <w:t xml:space="preserve"> v. Coty</w:t>
      </w:r>
      <w:r w:rsidRPr="002B283E">
        <w:rPr>
          <w:rFonts w:cs="Times New Roman"/>
          <w:szCs w:val="24"/>
        </w:rPr>
        <w:t xml:space="preserve">, 264 U.S. 359, 369 (1924). The first sale doctrine permits use of a mark “to refer to a component incorporated into a new end product,” such as an auto manufacturer’s display of the word “Bluetooth” in a vehicle containing a Bluetooth-equipped head unit. </w:t>
      </w:r>
      <w:r w:rsidRPr="002B283E">
        <w:rPr>
          <w:rFonts w:cs="Times New Roman"/>
          <w:i/>
          <w:szCs w:val="24"/>
        </w:rPr>
        <w:t>Bluetooth</w:t>
      </w:r>
      <w:r w:rsidRPr="002B283E">
        <w:rPr>
          <w:rFonts w:cs="Times New Roman"/>
          <w:szCs w:val="24"/>
        </w:rPr>
        <w:t xml:space="preserve">, 30 F.4th at 872-73. However, the seller’s disclosure </w:t>
      </w:r>
      <w:r w:rsidRPr="002B283E">
        <w:rPr>
          <w:rFonts w:cs="Times New Roman"/>
          <w:szCs w:val="24"/>
        </w:rPr>
        <w:lastRenderedPageBreak/>
        <w:t xml:space="preserve">of how a trademarked product was incorporated must be adequate, and a seller’s liability is limited by the first sale doctrine only “to the extent that adequate disclosures are made.” </w:t>
      </w:r>
      <w:r w:rsidRPr="002B283E">
        <w:rPr>
          <w:rFonts w:cs="Times New Roman"/>
          <w:i/>
          <w:szCs w:val="24"/>
        </w:rPr>
        <w:t>Id.</w:t>
      </w:r>
    </w:p>
    <w:p w14:paraId="1DA83CA3" w14:textId="77777777" w:rsidR="00D03366" w:rsidRPr="002B283E" w:rsidRDefault="00D03366" w:rsidP="002B283E">
      <w:pPr>
        <w:kinsoku w:val="0"/>
        <w:overflowPunct w:val="0"/>
        <w:ind w:firstLine="720"/>
        <w:rPr>
          <w:rFonts w:cs="Times New Roman"/>
          <w:i/>
          <w:szCs w:val="24"/>
        </w:rPr>
      </w:pPr>
    </w:p>
    <w:p w14:paraId="2345BF58" w14:textId="7A2F5C51" w:rsidR="00D03366" w:rsidRPr="002B283E" w:rsidRDefault="00DC6363" w:rsidP="002B283E">
      <w:pPr>
        <w:kinsoku w:val="0"/>
        <w:overflowPunct w:val="0"/>
        <w:ind w:firstLine="720"/>
        <w:jc w:val="right"/>
        <w:rPr>
          <w:rFonts w:cs="Times New Roman"/>
          <w:i/>
          <w:iCs/>
          <w:szCs w:val="24"/>
        </w:rPr>
      </w:pPr>
      <w:r w:rsidRPr="002B283E">
        <w:rPr>
          <w:rFonts w:cs="Times New Roman"/>
          <w:i/>
          <w:iCs/>
          <w:szCs w:val="24"/>
        </w:rPr>
        <w:t>Revised March 2024</w:t>
      </w:r>
    </w:p>
    <w:p w14:paraId="05F58059" w14:textId="77777777" w:rsidR="00D03366" w:rsidRPr="002B283E" w:rsidRDefault="00D03366" w:rsidP="002B283E">
      <w:pPr>
        <w:rPr>
          <w:rFonts w:cs="Times New Roman"/>
          <w:i/>
          <w:iCs/>
          <w:szCs w:val="24"/>
        </w:rPr>
      </w:pPr>
      <w:r w:rsidRPr="002B283E">
        <w:rPr>
          <w:rFonts w:cs="Times New Roman"/>
          <w:i/>
          <w:iCs/>
          <w:szCs w:val="24"/>
        </w:rPr>
        <w:br w:type="page"/>
      </w:r>
    </w:p>
    <w:p w14:paraId="31211A9A" w14:textId="60A09A8E" w:rsidR="005B0AB0" w:rsidRPr="002B283E" w:rsidRDefault="005B0AB0" w:rsidP="00313A05">
      <w:pPr>
        <w:pStyle w:val="Heading2"/>
      </w:pPr>
      <w:bookmarkStart w:id="373" w:name="_Toc221525294"/>
      <w:r w:rsidRPr="002B283E">
        <w:lastRenderedPageBreak/>
        <w:t>15.2</w:t>
      </w:r>
      <w:r w:rsidR="0008651C">
        <w:t>8</w:t>
      </w:r>
      <w:r w:rsidRPr="002B283E">
        <w:t xml:space="preserve"> Trademark Damages—Actual or Statutory Notice</w:t>
      </w:r>
      <w:r w:rsidRPr="002B283E">
        <w:br/>
        <w:t>(15 U.S.C. § 1111)</w:t>
      </w:r>
      <w:bookmarkStart w:id="374" w:name="Trademak"/>
      <w:bookmarkEnd w:id="373"/>
    </w:p>
    <w:bookmarkEnd w:id="374"/>
    <w:p w14:paraId="5440DD3B" w14:textId="026EA926" w:rsidR="00E96A6B" w:rsidRPr="002B283E" w:rsidRDefault="00E96A6B" w:rsidP="002B283E">
      <w:pPr>
        <w:rPr>
          <w:rFonts w:cs="Times New Roman"/>
          <w:szCs w:val="24"/>
        </w:rPr>
      </w:pPr>
    </w:p>
    <w:p w14:paraId="5773F3FA" w14:textId="651F5B2E" w:rsidR="00E96A6B" w:rsidRPr="002B283E" w:rsidRDefault="00E96A6B" w:rsidP="002B283E">
      <w:pPr>
        <w:rPr>
          <w:rFonts w:cs="Times New Roman"/>
          <w:szCs w:val="24"/>
        </w:rPr>
      </w:pPr>
      <w:r w:rsidRPr="002B283E">
        <w:rPr>
          <w:rFonts w:cs="Times New Roman"/>
          <w:szCs w:val="24"/>
        </w:rPr>
        <w:tab/>
        <w:t xml:space="preserve">To recover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 xml:space="preserve">has the burden of proving by a preponderance of the evidence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had [either statutory or] actual notice that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trademark was registered. </w:t>
      </w:r>
    </w:p>
    <w:p w14:paraId="1663ABF8" w14:textId="77777777" w:rsidR="00E96A6B" w:rsidRPr="002B283E" w:rsidRDefault="00E96A6B" w:rsidP="002B283E">
      <w:pPr>
        <w:rPr>
          <w:rFonts w:cs="Times New Roman"/>
          <w:szCs w:val="24"/>
        </w:rPr>
      </w:pPr>
    </w:p>
    <w:p w14:paraId="08C8FD06" w14:textId="50C71C1C" w:rsidR="00E96A6B" w:rsidRPr="002B283E" w:rsidRDefault="00E96A6B" w:rsidP="002B283E">
      <w:pPr>
        <w:rPr>
          <w:rFonts w:cs="Times New Roman"/>
          <w:szCs w:val="24"/>
        </w:rPr>
      </w:pPr>
      <w:r w:rsidRPr="002B283E">
        <w:rPr>
          <w:rFonts w:cs="Times New Roman"/>
          <w:szCs w:val="24"/>
        </w:rPr>
        <w:tab/>
        <w:t xml:space="preserve">[Defendant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had statutory notice if:] </w:t>
      </w:r>
    </w:p>
    <w:p w14:paraId="219F7DF0" w14:textId="77777777" w:rsidR="00E96A6B" w:rsidRPr="002B283E" w:rsidRDefault="00E96A6B" w:rsidP="002B283E">
      <w:pPr>
        <w:rPr>
          <w:rFonts w:cs="Times New Roman"/>
          <w:szCs w:val="24"/>
        </w:rPr>
      </w:pPr>
    </w:p>
    <w:p w14:paraId="7EAF20D9" w14:textId="018E31CC" w:rsidR="00E96A6B" w:rsidRPr="002B283E" w:rsidRDefault="00E96A6B" w:rsidP="002B283E">
      <w:pPr>
        <w:ind w:left="1440" w:right="720" w:hanging="720"/>
        <w:rPr>
          <w:rFonts w:cs="Times New Roman"/>
          <w:szCs w:val="24"/>
        </w:rPr>
      </w:pPr>
      <w:r w:rsidRPr="002B283E">
        <w:rPr>
          <w:rFonts w:cs="Times New Roman"/>
          <w:szCs w:val="24"/>
        </w:rPr>
        <w:t>[(1)</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“Registered in U.S. Patent and Trademark Office”] [or] </w:t>
      </w:r>
    </w:p>
    <w:p w14:paraId="1F8C1BAC" w14:textId="77777777" w:rsidR="00E96A6B" w:rsidRPr="002B283E" w:rsidRDefault="00E96A6B" w:rsidP="002B283E">
      <w:pPr>
        <w:ind w:left="1440" w:right="720"/>
        <w:rPr>
          <w:rFonts w:cs="Times New Roman"/>
          <w:szCs w:val="24"/>
        </w:rPr>
      </w:pPr>
    </w:p>
    <w:p w14:paraId="5D0E4C41" w14:textId="4719077F" w:rsidR="00E96A6B" w:rsidRPr="002B283E" w:rsidRDefault="00E96A6B" w:rsidP="002B283E">
      <w:pPr>
        <w:ind w:left="1440" w:right="720" w:hanging="720"/>
        <w:rPr>
          <w:rFonts w:cs="Times New Roman"/>
          <w:szCs w:val="24"/>
        </w:rPr>
      </w:pPr>
      <w:r w:rsidRPr="002B283E">
        <w:rPr>
          <w:rFonts w:cs="Times New Roman"/>
          <w:szCs w:val="24"/>
        </w:rPr>
        <w:t>[(2)</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 U.S. Pat. &amp; Tm. Off.”] [or] </w:t>
      </w:r>
    </w:p>
    <w:p w14:paraId="0890515A" w14:textId="77777777" w:rsidR="00E96A6B" w:rsidRPr="002B283E" w:rsidRDefault="00E96A6B" w:rsidP="002B283E">
      <w:pPr>
        <w:ind w:left="1440" w:right="720"/>
        <w:rPr>
          <w:rFonts w:cs="Times New Roman"/>
          <w:szCs w:val="24"/>
        </w:rPr>
      </w:pPr>
    </w:p>
    <w:p w14:paraId="238DA737" w14:textId="2641694F" w:rsidR="00E96A6B" w:rsidRPr="002B283E" w:rsidRDefault="00E96A6B" w:rsidP="002B283E">
      <w:pPr>
        <w:ind w:left="1440" w:right="720" w:hanging="720"/>
        <w:rPr>
          <w:rFonts w:cs="Times New Roman"/>
          <w:szCs w:val="24"/>
        </w:rPr>
      </w:pPr>
      <w:r w:rsidRPr="002B283E">
        <w:rPr>
          <w:rFonts w:cs="Times New Roman"/>
          <w:szCs w:val="24"/>
        </w:rPr>
        <w:t>[(3)</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displayed the trademark with the letter R enclosed within a circle, thus ®.]</w:t>
      </w:r>
    </w:p>
    <w:p w14:paraId="0C54A154" w14:textId="77777777" w:rsidR="00E96A6B" w:rsidRPr="002B283E" w:rsidRDefault="00E96A6B" w:rsidP="002B283E">
      <w:pPr>
        <w:rPr>
          <w:rFonts w:cs="Times New Roman"/>
          <w:szCs w:val="24"/>
        </w:rPr>
      </w:pPr>
    </w:p>
    <w:p w14:paraId="25BDDDC6" w14:textId="77777777" w:rsidR="00E96A6B" w:rsidRPr="002B283E" w:rsidRDefault="00E96A6B" w:rsidP="002B283E">
      <w:pPr>
        <w:jc w:val="center"/>
        <w:rPr>
          <w:rFonts w:cs="Times New Roman"/>
          <w:b/>
          <w:szCs w:val="24"/>
        </w:rPr>
      </w:pPr>
      <w:r w:rsidRPr="002B283E">
        <w:rPr>
          <w:rFonts w:cs="Times New Roman"/>
          <w:b/>
          <w:szCs w:val="24"/>
        </w:rPr>
        <w:t>Comment</w:t>
      </w:r>
    </w:p>
    <w:p w14:paraId="7FF1A8A0" w14:textId="77777777" w:rsidR="00E96A6B" w:rsidRPr="002B283E" w:rsidRDefault="00E96A6B" w:rsidP="002B283E">
      <w:pPr>
        <w:rPr>
          <w:rFonts w:cs="Times New Roman"/>
          <w:szCs w:val="24"/>
        </w:rPr>
      </w:pPr>
    </w:p>
    <w:p w14:paraId="74DF0F10" w14:textId="77777777" w:rsidR="00E96A6B" w:rsidRPr="002B283E" w:rsidRDefault="00E96A6B" w:rsidP="002B283E">
      <w:pPr>
        <w:rPr>
          <w:rFonts w:cs="Times New Roman"/>
          <w:szCs w:val="24"/>
        </w:rPr>
      </w:pPr>
      <w:r w:rsidRPr="002B283E">
        <w:rPr>
          <w:rFonts w:cs="Times New Roman"/>
          <w:szCs w:val="24"/>
        </w:rPr>
        <w:tab/>
        <w:t xml:space="preserve">For a discussion of the notice requirement, </w:t>
      </w:r>
      <w:r w:rsidRPr="002B283E">
        <w:rPr>
          <w:rFonts w:cs="Times New Roman"/>
          <w:i/>
          <w:iCs/>
          <w:szCs w:val="24"/>
        </w:rPr>
        <w:t>see</w:t>
      </w:r>
      <w:r w:rsidRPr="002B283E">
        <w:rPr>
          <w:rFonts w:cs="Times New Roman"/>
          <w:szCs w:val="24"/>
        </w:rPr>
        <w:t xml:space="preserve"> 3 </w:t>
      </w:r>
      <w:r w:rsidRPr="002B283E">
        <w:rPr>
          <w:rFonts w:cs="Times New Roman"/>
          <w:smallCaps/>
          <w:szCs w:val="24"/>
        </w:rPr>
        <w:t>J. Thomas McCarthy, McCarthy on Trademarks and Unfair Competition</w:t>
      </w:r>
      <w:r w:rsidRPr="002B283E">
        <w:rPr>
          <w:rFonts w:cs="Times New Roman"/>
          <w:szCs w:val="24"/>
        </w:rPr>
        <w:t xml:space="preserve"> § 19:144 (5th ed. 2019). </w:t>
      </w:r>
    </w:p>
    <w:p w14:paraId="2C51CC47" w14:textId="77777777" w:rsidR="00E96A6B" w:rsidRPr="002B283E" w:rsidRDefault="00E96A6B" w:rsidP="002B283E">
      <w:pPr>
        <w:rPr>
          <w:rFonts w:cs="Times New Roman"/>
          <w:szCs w:val="24"/>
        </w:rPr>
      </w:pPr>
    </w:p>
    <w:p w14:paraId="20562BDE" w14:textId="0A6D68E9" w:rsidR="003E3B69" w:rsidRPr="002B283E" w:rsidRDefault="00E96A6B" w:rsidP="002B283E">
      <w:pPr>
        <w:jc w:val="right"/>
        <w:rPr>
          <w:rFonts w:cs="Times New Roman"/>
          <w:i/>
          <w:iCs/>
          <w:szCs w:val="24"/>
        </w:rPr>
      </w:pPr>
      <w:r w:rsidRPr="002B283E">
        <w:rPr>
          <w:rFonts w:cs="Times New Roman"/>
          <w:i/>
          <w:iCs/>
          <w:szCs w:val="24"/>
        </w:rPr>
        <w:t>Revised March 2024</w:t>
      </w:r>
    </w:p>
    <w:p w14:paraId="176C9901" w14:textId="0C170DB1" w:rsidR="00675C35" w:rsidRPr="002B283E" w:rsidRDefault="006A4CD7" w:rsidP="002B283E">
      <w:pPr>
        <w:pStyle w:val="Heading2"/>
      </w:pPr>
      <w:r w:rsidRPr="002B283E">
        <w:br w:type="page"/>
      </w:r>
      <w:bookmarkStart w:id="375" w:name="_Toc115268269"/>
      <w:bookmarkStart w:id="376" w:name="_Toc221525295"/>
      <w:r w:rsidR="00675C35" w:rsidRPr="002B283E">
        <w:lastRenderedPageBreak/>
        <w:t>15.2</w:t>
      </w:r>
      <w:r w:rsidR="0008651C">
        <w:t>9</w:t>
      </w:r>
      <w:r w:rsidR="00675C35" w:rsidRPr="002B283E">
        <w:t xml:space="preserve"> Trademark Damages—Plaintiff’s Actual Damages</w:t>
      </w:r>
      <w:r w:rsidR="00675C35" w:rsidRPr="002B283E">
        <w:br/>
        <w:t>(15 U.S.C. § 1117(a))</w:t>
      </w:r>
      <w:bookmarkEnd w:id="375"/>
      <w:bookmarkEnd w:id="376"/>
    </w:p>
    <w:p w14:paraId="3C366972" w14:textId="77777777" w:rsidR="00675C35" w:rsidRPr="002B283E" w:rsidRDefault="00675C35" w:rsidP="002B283E">
      <w:pPr>
        <w:autoSpaceDE w:val="0"/>
        <w:autoSpaceDN w:val="0"/>
        <w:adjustRightInd w:val="0"/>
        <w:rPr>
          <w:rFonts w:cs="Times New Roman"/>
          <w:szCs w:val="24"/>
        </w:rPr>
      </w:pPr>
    </w:p>
    <w:p w14:paraId="0925C1FD" w14:textId="58D8A53E" w:rsidR="00935958" w:rsidRPr="002B283E" w:rsidRDefault="00675C35" w:rsidP="002B283E">
      <w:pPr>
        <w:rPr>
          <w:rFonts w:cs="Times New Roman"/>
          <w:szCs w:val="24"/>
        </w:rPr>
      </w:pPr>
      <w:r w:rsidRPr="002B283E">
        <w:rPr>
          <w:rFonts w:cs="Times New Roman"/>
          <w:szCs w:val="24"/>
        </w:rPr>
        <w:tab/>
      </w:r>
      <w:r w:rsidR="00935958" w:rsidRPr="002B283E">
        <w:rPr>
          <w:rFonts w:cs="Times New Roman"/>
          <w:szCs w:val="24"/>
        </w:rPr>
        <w:t xml:space="preserve">If you find for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on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[infringement] [unfair competition] claim [and find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had statutory notice or actual notice of the plaintiff’s registered trademark], you must determine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actual damages. </w:t>
      </w:r>
    </w:p>
    <w:p w14:paraId="088FCFBF" w14:textId="77777777" w:rsidR="00935958" w:rsidRPr="002B283E" w:rsidRDefault="00935958" w:rsidP="002B283E">
      <w:pPr>
        <w:rPr>
          <w:rFonts w:cs="Times New Roman"/>
          <w:szCs w:val="24"/>
        </w:rPr>
      </w:pPr>
    </w:p>
    <w:p w14:paraId="3A278153" w14:textId="2398D3FF" w:rsidR="00935958" w:rsidRPr="002B283E" w:rsidRDefault="00935958" w:rsidP="002B283E">
      <w:pPr>
        <w:rPr>
          <w:rFonts w:cs="Times New Roman"/>
          <w:szCs w:val="24"/>
        </w:rPr>
      </w:pPr>
      <w:r w:rsidRPr="002B283E">
        <w:rPr>
          <w:rFonts w:cs="Times New Roman"/>
          <w:szCs w:val="24"/>
        </w:rPr>
        <w:tab/>
        <w:t xml:space="preserve">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that [he]</w:t>
      </w:r>
      <w:r w:rsidR="007A0652">
        <w:rPr>
          <w:rFonts w:cs="Times New Roman"/>
          <w:szCs w:val="24"/>
        </w:rPr>
        <w:t xml:space="preserve"> </w:t>
      </w:r>
      <w:r w:rsidRPr="002B283E">
        <w:rPr>
          <w:rFonts w:cs="Times New Roman"/>
          <w:szCs w:val="24"/>
        </w:rPr>
        <w:t>[she</w:t>
      </w:r>
      <w:r w:rsid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sustained actual damages by a preponderance of the evidence. If you find that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proved actual</w:t>
      </w:r>
      <w:r w:rsidR="00FC57D7">
        <w:rPr>
          <w:rFonts w:cs="Times New Roman"/>
          <w:szCs w:val="24"/>
        </w:rPr>
        <w:t xml:space="preserve"> </w:t>
      </w:r>
      <w:r w:rsidRPr="002B283E">
        <w:rPr>
          <w:rFonts w:cs="Times New Roman"/>
          <w:szCs w:val="24"/>
        </w:rPr>
        <w:t>damages, you may make reasonable inferences from the evidence to calculate the amount of</w:t>
      </w:r>
      <w:r w:rsidR="00FC57D7">
        <w:rPr>
          <w:rFonts w:cs="Times New Roman"/>
          <w:szCs w:val="24"/>
        </w:rPr>
        <w:t xml:space="preserve"> </w:t>
      </w:r>
      <w:r w:rsidRPr="002B283E">
        <w:rPr>
          <w:rFonts w:cs="Times New Roman"/>
          <w:szCs w:val="24"/>
        </w:rPr>
        <w:t xml:space="preserve">damages. Damages means the amount of money which will reasonably and fairly compensate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for any [injury] [and] [or] [property damage] you find was caused by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’s infringement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registered trademark. </w:t>
      </w:r>
    </w:p>
    <w:p w14:paraId="189912C3" w14:textId="77777777" w:rsidR="00935958" w:rsidRPr="002B283E" w:rsidRDefault="00935958" w:rsidP="002B283E">
      <w:pPr>
        <w:rPr>
          <w:rFonts w:cs="Times New Roman"/>
          <w:szCs w:val="24"/>
        </w:rPr>
      </w:pPr>
    </w:p>
    <w:p w14:paraId="437192DD" w14:textId="77777777" w:rsidR="00935958" w:rsidRPr="002B283E" w:rsidRDefault="00935958" w:rsidP="002B283E">
      <w:pPr>
        <w:rPr>
          <w:rFonts w:cs="Times New Roman"/>
          <w:szCs w:val="24"/>
        </w:rPr>
      </w:pPr>
      <w:r w:rsidRPr="002B283E">
        <w:rPr>
          <w:rFonts w:cs="Times New Roman"/>
          <w:szCs w:val="24"/>
        </w:rPr>
        <w:tab/>
        <w:t xml:space="preserve">You should consider the following: </w:t>
      </w:r>
    </w:p>
    <w:p w14:paraId="771C01D2" w14:textId="77777777" w:rsidR="00935958" w:rsidRPr="002B283E" w:rsidRDefault="00935958" w:rsidP="002B283E">
      <w:pPr>
        <w:rPr>
          <w:rFonts w:cs="Times New Roman"/>
          <w:szCs w:val="24"/>
        </w:rPr>
      </w:pPr>
    </w:p>
    <w:p w14:paraId="087ED7D1" w14:textId="6EA992B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(1)</w:t>
      </w:r>
      <w:r w:rsidR="00935958" w:rsidRPr="002B283E">
        <w:rPr>
          <w:rFonts w:cs="Times New Roman"/>
          <w:szCs w:val="24"/>
        </w:rPr>
        <w:tab/>
        <w:t xml:space="preserve">The [injury to] [loss of] the plaintiff’s reputation][;] </w:t>
      </w:r>
    </w:p>
    <w:p w14:paraId="052A3097" w14:textId="77777777" w:rsidR="00935958" w:rsidRPr="002B283E" w:rsidRDefault="00935958" w:rsidP="00021D2C">
      <w:pPr>
        <w:ind w:right="720" w:firstLine="720"/>
        <w:rPr>
          <w:rFonts w:cs="Times New Roman"/>
          <w:szCs w:val="24"/>
        </w:rPr>
      </w:pPr>
    </w:p>
    <w:p w14:paraId="3E96C528" w14:textId="1CC918DB"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(2)</w:t>
      </w:r>
      <w:r w:rsidR="00935958" w:rsidRPr="002B283E">
        <w:rPr>
          <w:rFonts w:cs="Times New Roman"/>
          <w:szCs w:val="24"/>
        </w:rPr>
        <w:tab/>
        <w:t xml:space="preserve">The [injury to] [loss of] the plaintiff’s goodwill, including injury to the plaintiff’s general business reputation][;] </w:t>
      </w:r>
    </w:p>
    <w:p w14:paraId="39166121" w14:textId="77777777" w:rsidR="00935958" w:rsidRPr="002B283E" w:rsidRDefault="00935958" w:rsidP="00021D2C">
      <w:pPr>
        <w:ind w:right="720" w:firstLine="720"/>
        <w:rPr>
          <w:rFonts w:cs="Times New Roman"/>
          <w:szCs w:val="24"/>
        </w:rPr>
      </w:pPr>
    </w:p>
    <w:p w14:paraId="2A990169" w14:textId="395DE0F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(3)</w:t>
      </w:r>
      <w:r w:rsidR="00935958" w:rsidRPr="002B283E">
        <w:rPr>
          <w:rFonts w:cs="Times New Roman"/>
          <w:szCs w:val="24"/>
        </w:rPr>
        <w:tab/>
        <w:t xml:space="preserve">The lost profits that the plaintiff would have earned but for the defendant’s infringement. Profit is determined by deducting all expenses from gross revenue][;] </w:t>
      </w:r>
    </w:p>
    <w:p w14:paraId="4AD7EB7E" w14:textId="77777777" w:rsidR="00935958" w:rsidRPr="002B283E" w:rsidRDefault="00935958" w:rsidP="00021D2C">
      <w:pPr>
        <w:ind w:right="720" w:firstLine="720"/>
        <w:rPr>
          <w:rFonts w:cs="Times New Roman"/>
          <w:szCs w:val="24"/>
        </w:rPr>
      </w:pPr>
    </w:p>
    <w:p w14:paraId="58720C26" w14:textId="7CB2E4AA"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(4)</w:t>
      </w:r>
      <w:r w:rsidR="00935958" w:rsidRPr="002B283E">
        <w:rPr>
          <w:rFonts w:cs="Times New Roman"/>
          <w:szCs w:val="24"/>
        </w:rPr>
        <w:tab/>
        <w:t xml:space="preserve">The expense of preventing customers from being deceived][;] </w:t>
      </w:r>
    </w:p>
    <w:p w14:paraId="2A4903AB" w14:textId="77777777" w:rsidR="00935958" w:rsidRPr="002B283E" w:rsidRDefault="00935958" w:rsidP="00021D2C">
      <w:pPr>
        <w:ind w:right="720" w:firstLine="720"/>
        <w:rPr>
          <w:rFonts w:cs="Times New Roman"/>
          <w:szCs w:val="24"/>
        </w:rPr>
      </w:pPr>
    </w:p>
    <w:p w14:paraId="4E1E863F" w14:textId="41D70B8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(5)</w:t>
      </w:r>
      <w:r w:rsidR="00935958" w:rsidRPr="002B283E">
        <w:rPr>
          <w:rFonts w:cs="Times New Roman"/>
          <w:szCs w:val="24"/>
        </w:rPr>
        <w:tab/>
        <w:t xml:space="preserve">The cost of future corrective advertising reasonably required to correct any public confusion caused by the infringement][;] [and] </w:t>
      </w:r>
    </w:p>
    <w:p w14:paraId="0410F189" w14:textId="77777777" w:rsidR="00935958" w:rsidRPr="002B283E" w:rsidRDefault="00935958" w:rsidP="00021D2C">
      <w:pPr>
        <w:ind w:right="720" w:firstLine="720"/>
        <w:rPr>
          <w:rFonts w:cs="Times New Roman"/>
          <w:szCs w:val="24"/>
        </w:rPr>
      </w:pPr>
    </w:p>
    <w:p w14:paraId="190ED5A9" w14:textId="295B639C"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(6)</w:t>
      </w:r>
      <w:r w:rsidR="00935958" w:rsidRPr="002B283E">
        <w:rPr>
          <w:rFonts w:cs="Times New Roman"/>
          <w:szCs w:val="24"/>
        </w:rPr>
        <w:tab/>
      </w:r>
      <w:r w:rsidR="00935958" w:rsidRPr="002B283E">
        <w:rPr>
          <w:rFonts w:cs="Times New Roman"/>
          <w:i/>
          <w:szCs w:val="24"/>
          <w:u w:val="single"/>
        </w:rPr>
        <w:t xml:space="preserve">Insert any other factors that bear on </w:t>
      </w:r>
      <w:r w:rsidR="00935958" w:rsidRPr="002B283E">
        <w:rPr>
          <w:rFonts w:cs="Times New Roman"/>
          <w:i/>
          <w:iCs/>
          <w:szCs w:val="24"/>
          <w:u w:val="single"/>
        </w:rPr>
        <w:t xml:space="preserve">the </w:t>
      </w:r>
      <w:r w:rsidR="00935958" w:rsidRPr="002B283E">
        <w:rPr>
          <w:rFonts w:cs="Times New Roman"/>
          <w:i/>
          <w:szCs w:val="24"/>
          <w:u w:val="single"/>
        </w:rPr>
        <w:t>plaintiff’s actual damages</w:t>
      </w:r>
      <w:r w:rsidR="00935958" w:rsidRPr="002B283E">
        <w:rPr>
          <w:rFonts w:cs="Times New Roman"/>
          <w:szCs w:val="24"/>
        </w:rPr>
        <w:t xml:space="preserve">]. </w:t>
      </w:r>
    </w:p>
    <w:p w14:paraId="69277368" w14:textId="77777777" w:rsidR="00935958" w:rsidRPr="002B283E" w:rsidRDefault="00935958" w:rsidP="00021D2C">
      <w:pPr>
        <w:ind w:firstLine="720"/>
        <w:rPr>
          <w:rFonts w:cs="Times New Roman"/>
          <w:szCs w:val="24"/>
        </w:rPr>
      </w:pPr>
    </w:p>
    <w:p w14:paraId="298353C5" w14:textId="20E5EFF1" w:rsidR="00935958" w:rsidRPr="002B283E" w:rsidRDefault="00935958" w:rsidP="002B283E">
      <w:pPr>
        <w:rPr>
          <w:rFonts w:cs="Times New Roman"/>
          <w:szCs w:val="24"/>
        </w:rPr>
      </w:pPr>
      <w:r w:rsidRPr="002B283E">
        <w:rPr>
          <w:rFonts w:cs="Times New Roman"/>
          <w:szCs w:val="24"/>
        </w:rPr>
        <w:tab/>
        <w:t>When considering prospective costs (</w:t>
      </w:r>
      <w:r w:rsidRPr="00F87703">
        <w:rPr>
          <w:rFonts w:cs="Times New Roman"/>
          <w:i/>
          <w:iCs/>
          <w:szCs w:val="24"/>
        </w:rPr>
        <w:t>e.g.</w:t>
      </w:r>
      <w:r w:rsidRPr="002B283E">
        <w:rPr>
          <w:rFonts w:cs="Times New Roman"/>
          <w:szCs w:val="24"/>
        </w:rPr>
        <w:t>, cost of future advertising, expense of preventing customers from being deceived), you must not overcompensate. Accordingly, your award of such future costs should not exceed the actual damage to the value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mark at the time of the infringement by the defendant. </w:t>
      </w:r>
    </w:p>
    <w:p w14:paraId="2E317121" w14:textId="77777777" w:rsidR="00935958" w:rsidRPr="002B283E" w:rsidRDefault="00935958" w:rsidP="002B283E">
      <w:pPr>
        <w:rPr>
          <w:rFonts w:cs="Times New Roman"/>
          <w:szCs w:val="24"/>
        </w:rPr>
      </w:pPr>
    </w:p>
    <w:p w14:paraId="39CDBA2F" w14:textId="77777777" w:rsidR="00935958" w:rsidRPr="002B283E" w:rsidRDefault="00935958" w:rsidP="002B283E">
      <w:pPr>
        <w:jc w:val="center"/>
        <w:rPr>
          <w:rFonts w:cs="Times New Roman"/>
          <w:b/>
          <w:szCs w:val="24"/>
        </w:rPr>
      </w:pPr>
      <w:r w:rsidRPr="002B283E">
        <w:rPr>
          <w:rFonts w:cs="Times New Roman"/>
          <w:b/>
          <w:szCs w:val="24"/>
        </w:rPr>
        <w:t>Comment</w:t>
      </w:r>
    </w:p>
    <w:p w14:paraId="246C6395" w14:textId="77777777" w:rsidR="00935958" w:rsidRPr="002B283E" w:rsidRDefault="00935958" w:rsidP="002B283E">
      <w:pPr>
        <w:rPr>
          <w:rFonts w:cs="Times New Roman"/>
          <w:szCs w:val="24"/>
        </w:rPr>
      </w:pPr>
    </w:p>
    <w:p w14:paraId="6D35220B" w14:textId="77777777" w:rsidR="00935958" w:rsidRPr="002B283E" w:rsidRDefault="00935958" w:rsidP="002B283E">
      <w:pPr>
        <w:rPr>
          <w:rFonts w:cs="Times New Roman"/>
          <w:szCs w:val="24"/>
        </w:rPr>
      </w:pPr>
      <w:r w:rsidRPr="002B283E">
        <w:rPr>
          <w:rFonts w:cs="Times New Roman"/>
          <w:szCs w:val="24"/>
        </w:rPr>
        <w:tab/>
        <w:t xml:space="preserve">The plaintiff must prove both the fact and the amount of damages. </w:t>
      </w:r>
      <w:r w:rsidRPr="002B283E">
        <w:rPr>
          <w:rFonts w:cs="Times New Roman"/>
          <w:i/>
          <w:szCs w:val="24"/>
        </w:rPr>
        <w:t>Intel Corp. v. Terabyte Int’l, Inc</w:t>
      </w:r>
      <w:r w:rsidRPr="002B283E">
        <w:rPr>
          <w:rFonts w:cs="Times New Roman"/>
          <w:szCs w:val="24"/>
        </w:rPr>
        <w:t>., 6 F.3d 614, 620 (9th Cir. 1993);</w:t>
      </w:r>
      <w:r w:rsidRPr="002B283E">
        <w:rPr>
          <w:rFonts w:cs="Times New Roman"/>
          <w:i/>
          <w:szCs w:val="24"/>
        </w:rPr>
        <w:t xml:space="preserve"> Lindy Pen Co. v. Bic Pen Corp</w:t>
      </w:r>
      <w:r w:rsidRPr="002B283E">
        <w:rPr>
          <w:rFonts w:cs="Times New Roman"/>
          <w:szCs w:val="24"/>
        </w:rPr>
        <w:t xml:space="preserve">., 982 F.2d 1400, 1407 (9th Cir. 1993). “The trier of fact must distinguish between proof of the </w:t>
      </w:r>
      <w:r w:rsidRPr="002B283E">
        <w:rPr>
          <w:rFonts w:cs="Times New Roman"/>
          <w:i/>
          <w:iCs/>
          <w:szCs w:val="24"/>
        </w:rPr>
        <w:t xml:space="preserve">fact </w:t>
      </w:r>
      <w:r w:rsidRPr="002B283E">
        <w:rPr>
          <w:rFonts w:cs="Times New Roman"/>
          <w:szCs w:val="24"/>
        </w:rPr>
        <w:t>of damages and the</w:t>
      </w:r>
    </w:p>
    <w:p w14:paraId="2A67F4D0" w14:textId="77777777" w:rsidR="00935958" w:rsidRPr="002B283E" w:rsidRDefault="00935958" w:rsidP="002B283E">
      <w:pPr>
        <w:rPr>
          <w:rFonts w:cs="Times New Roman"/>
          <w:szCs w:val="24"/>
        </w:rPr>
      </w:pPr>
      <w:r w:rsidRPr="002B283E">
        <w:rPr>
          <w:rFonts w:cs="Times New Roman"/>
          <w:i/>
          <w:iCs/>
          <w:szCs w:val="24"/>
        </w:rPr>
        <w:t xml:space="preserve">amount </w:t>
      </w:r>
      <w:r w:rsidRPr="002B283E">
        <w:rPr>
          <w:rFonts w:cs="Times New Roman"/>
          <w:szCs w:val="24"/>
        </w:rPr>
        <w:t xml:space="preserve">of damages because a mark holder is held to a lower standard in proving the exact amount of actual damages.” </w:t>
      </w:r>
      <w:r w:rsidRPr="002B283E">
        <w:rPr>
          <w:rFonts w:cs="Times New Roman"/>
          <w:i/>
          <w:iCs/>
          <w:szCs w:val="24"/>
        </w:rPr>
        <w:t>Jason Scott Collection, Inc. v. Trendily Furniture, LLC</w:t>
      </w:r>
      <w:r w:rsidRPr="002B283E">
        <w:rPr>
          <w:rFonts w:cs="Times New Roman"/>
          <w:szCs w:val="24"/>
        </w:rPr>
        <w:t xml:space="preserve">, 68 F.4th 1203, 1220-21 (9th Cir. 2023) (quoting </w:t>
      </w:r>
      <w:r w:rsidRPr="002B283E">
        <w:rPr>
          <w:rFonts w:cs="Times New Roman"/>
          <w:i/>
          <w:iCs/>
          <w:szCs w:val="24"/>
        </w:rPr>
        <w:t>Skydive Ariz., Inc. v. Quattrocchi</w:t>
      </w:r>
      <w:r w:rsidRPr="002B283E">
        <w:rPr>
          <w:rFonts w:cs="Times New Roman"/>
          <w:szCs w:val="24"/>
        </w:rPr>
        <w:t xml:space="preserve">, 673 F.3d 1105, 1112 </w:t>
      </w:r>
      <w:r w:rsidRPr="002B283E">
        <w:rPr>
          <w:rFonts w:cs="Times New Roman"/>
          <w:szCs w:val="24"/>
        </w:rPr>
        <w:lastRenderedPageBreak/>
        <w:t>(9th Cir. 2012)). The amount of damages need only be supported by “substantial evidence to permit the jury to draw reasonable inferences and make a fair and reasonable assessment.”</w:t>
      </w:r>
    </w:p>
    <w:p w14:paraId="712789EE" w14:textId="77777777" w:rsidR="00935958" w:rsidRPr="002B283E" w:rsidRDefault="00935958" w:rsidP="002B283E">
      <w:pPr>
        <w:rPr>
          <w:rFonts w:cs="Times New Roman"/>
          <w:i/>
          <w:iCs/>
          <w:szCs w:val="24"/>
        </w:rPr>
      </w:pPr>
      <w:r w:rsidRPr="002B283E">
        <w:rPr>
          <w:rFonts w:cs="Times New Roman"/>
          <w:i/>
          <w:iCs/>
          <w:szCs w:val="24"/>
        </w:rPr>
        <w:t>Skydive Ariz.</w:t>
      </w:r>
      <w:r w:rsidRPr="002B283E">
        <w:rPr>
          <w:rFonts w:cs="Times New Roman"/>
          <w:szCs w:val="24"/>
        </w:rPr>
        <w:t>, 673 F.3d at 1112 (emphasis omitted).</w:t>
      </w:r>
    </w:p>
    <w:p w14:paraId="14E35C69" w14:textId="77777777" w:rsidR="00935958" w:rsidRPr="002B283E" w:rsidRDefault="00935958" w:rsidP="002B283E">
      <w:pPr>
        <w:rPr>
          <w:rFonts w:cs="Times New Roman"/>
          <w:szCs w:val="24"/>
        </w:rPr>
      </w:pPr>
    </w:p>
    <w:p w14:paraId="715CDFD0" w14:textId="0E93BDFA" w:rsidR="00935958" w:rsidRPr="002B283E" w:rsidRDefault="00935958" w:rsidP="002B283E">
      <w:pPr>
        <w:rPr>
          <w:rFonts w:cs="Times New Roman"/>
          <w:szCs w:val="24"/>
        </w:rPr>
      </w:pPr>
      <w:r w:rsidRPr="002B283E">
        <w:rPr>
          <w:rFonts w:cs="Times New Roman"/>
          <w:szCs w:val="24"/>
        </w:rPr>
        <w:tab/>
        <w:t xml:space="preserve">The plaintiff’s actual damages are measured by any direct injury that plaintiff proves, and any lost profits plaintiff would have earned but for the infringement. </w:t>
      </w:r>
      <w:r w:rsidRPr="002B283E">
        <w:rPr>
          <w:rFonts w:cs="Times New Roman"/>
          <w:i/>
          <w:szCs w:val="24"/>
        </w:rPr>
        <w:t>Lindy Pen Co</w:t>
      </w:r>
      <w:r w:rsidRPr="002B283E">
        <w:rPr>
          <w:rFonts w:cs="Times New Roman"/>
          <w:szCs w:val="24"/>
        </w:rPr>
        <w:t>, 982 F.2d at 1407. Trademark damages, like tort damages, are assessed by the reasonably foreseeable harm caused by the infringement. </w:t>
      </w:r>
      <w:r w:rsidRPr="002B283E">
        <w:rPr>
          <w:rFonts w:cs="Times New Roman"/>
          <w:i/>
          <w:szCs w:val="24"/>
        </w:rPr>
        <w:t>Jason Scott Collection</w:t>
      </w:r>
      <w:r w:rsidR="00490580">
        <w:rPr>
          <w:rFonts w:cs="Times New Roman"/>
          <w:iCs/>
          <w:szCs w:val="24"/>
        </w:rPr>
        <w:t>,</w:t>
      </w:r>
      <w:r w:rsidRPr="002B283E">
        <w:rPr>
          <w:rFonts w:cs="Times New Roman"/>
          <w:szCs w:val="24"/>
        </w:rPr>
        <w:t xml:space="preserve"> 68 F.4th 1220-21.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 court may grant a monetary award based on “any damages sustained by the plaintiff.” 15 U.S.C. § 1117(a)(2); </w:t>
      </w:r>
      <w:r w:rsidRPr="002B283E">
        <w:rPr>
          <w:rFonts w:cs="Times New Roman"/>
          <w:i/>
          <w:szCs w:val="24"/>
        </w:rPr>
        <w:t xml:space="preserve">see also </w:t>
      </w:r>
      <w:r w:rsidRPr="002B283E">
        <w:rPr>
          <w:rFonts w:cs="Times New Roman"/>
          <w:i/>
          <w:iCs/>
          <w:szCs w:val="24"/>
        </w:rPr>
        <w:t>Jason Scott Collection</w:t>
      </w:r>
      <w:r w:rsidRPr="002B283E">
        <w:rPr>
          <w:rFonts w:cs="Times New Roman"/>
          <w:szCs w:val="24"/>
        </w:rPr>
        <w:t>, 68 F.4th</w:t>
      </w:r>
      <w:r w:rsidRPr="002B283E">
        <w:rPr>
          <w:rFonts w:cs="Times New Roman"/>
          <w:i/>
          <w:iCs/>
          <w:szCs w:val="24"/>
        </w:rPr>
        <w:t xml:space="preserve"> </w:t>
      </w:r>
      <w:r w:rsidRPr="002B283E">
        <w:rPr>
          <w:rFonts w:cs="Times New Roman"/>
          <w:szCs w:val="24"/>
        </w:rPr>
        <w:t xml:space="preserve">at 1221-22 (holding that “the district court did not abuse its wide discretion when it found that [plaintiff] suffered a compensable harm” in the form of “[d]amaged business relationships” due to defendant’s infringement). An award of speculative damages is inappropriate. </w:t>
      </w:r>
      <w:r w:rsidRPr="002B283E">
        <w:rPr>
          <w:rFonts w:cs="Times New Roman"/>
          <w:i/>
          <w:iCs/>
          <w:szCs w:val="24"/>
        </w:rPr>
        <w:t>See</w:t>
      </w:r>
      <w:r w:rsidRPr="002B283E">
        <w:rPr>
          <w:rFonts w:cs="Times New Roman"/>
          <w:szCs w:val="24"/>
        </w:rPr>
        <w:t xml:space="preserve"> </w:t>
      </w:r>
      <w:r w:rsidRPr="002B283E">
        <w:rPr>
          <w:rFonts w:cs="Times New Roman"/>
          <w:i/>
          <w:iCs/>
          <w:szCs w:val="24"/>
        </w:rPr>
        <w:t>McClaran v. Plastic Indus., Inc.</w:t>
      </w:r>
      <w:r w:rsidRPr="002B283E">
        <w:rPr>
          <w:rFonts w:cs="Times New Roman"/>
          <w:szCs w:val="24"/>
        </w:rPr>
        <w:t xml:space="preserve">, 97 F.3d 347, 361 (9th Cir. 1996) (holding that </w:t>
      </w:r>
      <w:r w:rsidR="00FC57D7">
        <w:rPr>
          <w:rFonts w:cs="Times New Roman"/>
          <w:szCs w:val="24"/>
        </w:rPr>
        <w:t xml:space="preserve">the </w:t>
      </w:r>
      <w:r w:rsidRPr="002B283E">
        <w:rPr>
          <w:rFonts w:cs="Times New Roman"/>
          <w:szCs w:val="24"/>
        </w:rPr>
        <w:t xml:space="preserve">jury’s finding of lost profits, based on </w:t>
      </w:r>
      <w:r w:rsidR="00FC57D7">
        <w:rPr>
          <w:rFonts w:cs="Times New Roman"/>
          <w:szCs w:val="24"/>
        </w:rPr>
        <w:t xml:space="preserve">the </w:t>
      </w:r>
      <w:r w:rsidRPr="002B283E">
        <w:rPr>
          <w:rFonts w:cs="Times New Roman"/>
          <w:szCs w:val="24"/>
        </w:rPr>
        <w:t>theory that designer would have entered</w:t>
      </w:r>
      <w:r w:rsidR="00FC57D7">
        <w:rPr>
          <w:rFonts w:cs="Times New Roman"/>
          <w:szCs w:val="24"/>
        </w:rPr>
        <w:t xml:space="preserve"> the</w:t>
      </w:r>
      <w:r w:rsidRPr="002B283E">
        <w:rPr>
          <w:rFonts w:cs="Times New Roman"/>
          <w:szCs w:val="24"/>
        </w:rPr>
        <w:t xml:space="preserve"> market but for infringement, was too speculative when no one had in fact profited from designed products). Where the parties are competitors, the defendant’s profits can serve as a rough measure of the plaintiff’s lost profits. </w:t>
      </w:r>
      <w:r w:rsidRPr="002B283E">
        <w:rPr>
          <w:rFonts w:cs="Times New Roman"/>
          <w:i/>
          <w:iCs/>
          <w:szCs w:val="24"/>
        </w:rPr>
        <w:t>Maier Brewing Co. v. Fleischmann Distilling Corp.</w:t>
      </w:r>
      <w:r w:rsidRPr="002B283E">
        <w:rPr>
          <w:rFonts w:cs="Times New Roman"/>
          <w:szCs w:val="24"/>
        </w:rPr>
        <w:t xml:space="preserve">, 390 F.2d 117, 121 (9th Cir. 1968); 5 J. </w:t>
      </w:r>
      <w:r w:rsidRPr="002B283E">
        <w:rPr>
          <w:rFonts w:cs="Times New Roman"/>
          <w:smallCaps/>
          <w:szCs w:val="24"/>
        </w:rPr>
        <w:t>Thomas Mccarthy, Mccarthy On Trademarks And Unfair Competition</w:t>
      </w:r>
      <w:r w:rsidRPr="002B283E">
        <w:rPr>
          <w:rFonts w:cs="Times New Roman"/>
          <w:szCs w:val="24"/>
        </w:rPr>
        <w:t xml:space="preserve"> § 30:59 (5th ed. 2019).</w:t>
      </w:r>
    </w:p>
    <w:p w14:paraId="13032D32" w14:textId="77777777" w:rsidR="00935958" w:rsidRPr="002B283E" w:rsidRDefault="00935958" w:rsidP="002B283E">
      <w:pPr>
        <w:rPr>
          <w:rFonts w:cs="Times New Roman"/>
          <w:i/>
          <w:iCs/>
          <w:szCs w:val="24"/>
        </w:rPr>
      </w:pPr>
    </w:p>
    <w:p w14:paraId="7BE989BD" w14:textId="77777777" w:rsidR="00935958" w:rsidRPr="002B283E" w:rsidRDefault="00935958" w:rsidP="002B283E">
      <w:pPr>
        <w:ind w:firstLine="720"/>
        <w:rPr>
          <w:rFonts w:cs="Times New Roman"/>
          <w:szCs w:val="24"/>
        </w:rPr>
      </w:pPr>
      <w:r w:rsidRPr="002B283E">
        <w:rPr>
          <w:rFonts w:cs="Times New Roman"/>
          <w:szCs w:val="24"/>
        </w:rPr>
        <w:t>However, the fact that the infringer did not profit from the infringement does not preclude an award of damages.</w:t>
      </w:r>
      <w:r w:rsidRPr="002B283E">
        <w:rPr>
          <w:rFonts w:cs="Times New Roman"/>
          <w:i/>
          <w:szCs w:val="24"/>
        </w:rPr>
        <w:t xml:space="preserve"> See Intel Corp</w:t>
      </w:r>
      <w:r w:rsidRPr="002B283E">
        <w:rPr>
          <w:rFonts w:cs="Times New Roman"/>
          <w:szCs w:val="24"/>
        </w:rPr>
        <w:t>., 6 F.3d at 621 (holding that damages for mislabeling computer chips as faster, more expensive chips made by the same manufacturer were properly calculated by multiplying infringer’s sales by plaintiff’s lost profits and taking 95% of product, based on inference that great majority of chips were counterfeit).</w:t>
      </w:r>
    </w:p>
    <w:p w14:paraId="495608CD" w14:textId="77777777" w:rsidR="00935958" w:rsidRPr="002B283E" w:rsidRDefault="00935958" w:rsidP="002B283E">
      <w:pPr>
        <w:rPr>
          <w:rFonts w:cs="Times New Roman"/>
          <w:szCs w:val="24"/>
        </w:rPr>
      </w:pPr>
    </w:p>
    <w:p w14:paraId="049C851B" w14:textId="77777777" w:rsidR="00935958" w:rsidRPr="002B283E" w:rsidRDefault="00935958" w:rsidP="002B283E">
      <w:pPr>
        <w:rPr>
          <w:rFonts w:cs="Times New Roman"/>
          <w:szCs w:val="24"/>
        </w:rPr>
      </w:pPr>
      <w:r w:rsidRPr="002B283E">
        <w:rPr>
          <w:rFonts w:cs="Times New Roman"/>
          <w:szCs w:val="24"/>
        </w:rPr>
        <w:tab/>
        <w:t xml:space="preserve">For a general discussion of plaintiff’s actual damages, </w:t>
      </w:r>
      <w:r w:rsidRPr="008A04C2">
        <w:rPr>
          <w:rFonts w:cs="Times New Roman"/>
          <w:iCs/>
          <w:szCs w:val="24"/>
        </w:rPr>
        <w:t xml:space="preserve">see </w:t>
      </w:r>
      <w:r w:rsidRPr="002B283E">
        <w:rPr>
          <w:rFonts w:cs="Times New Roman"/>
          <w:szCs w:val="24"/>
        </w:rPr>
        <w:t>5</w:t>
      </w:r>
      <w:r w:rsidRPr="002B283E">
        <w:rPr>
          <w:rFonts w:cs="Times New Roman"/>
          <w:smallCaps/>
          <w:szCs w:val="24"/>
        </w:rPr>
        <w:t xml:space="preserve"> J. Thomas McCarthy, McCarthy on Trademarks and Unfair Competition</w:t>
      </w:r>
      <w:r w:rsidRPr="002B283E">
        <w:rPr>
          <w:rFonts w:cs="Times New Roman"/>
          <w:szCs w:val="24"/>
        </w:rPr>
        <w:t xml:space="preserve"> § 30:72 (5th ed. 2019).</w:t>
      </w:r>
      <w:r w:rsidRPr="002B283E">
        <w:rPr>
          <w:rFonts w:cs="Times New Roman"/>
          <w:i/>
          <w:szCs w:val="24"/>
        </w:rPr>
        <w:t xml:space="preserve"> See also</w:t>
      </w:r>
      <w:r w:rsidRPr="002B283E">
        <w:rPr>
          <w:rFonts w:cs="Times New Roman"/>
          <w:szCs w:val="24"/>
        </w:rPr>
        <w:t xml:space="preserve"> 2 </w:t>
      </w:r>
      <w:r w:rsidRPr="002B283E">
        <w:rPr>
          <w:rFonts w:cs="Times New Roman"/>
          <w:smallCaps/>
          <w:szCs w:val="24"/>
        </w:rPr>
        <w:t>Anne Gilson</w:t>
      </w:r>
      <w:r w:rsidRPr="002B283E">
        <w:rPr>
          <w:rFonts w:cs="Times New Roman"/>
          <w:szCs w:val="24"/>
        </w:rPr>
        <w:t xml:space="preserve"> L</w:t>
      </w:r>
      <w:r w:rsidRPr="002B283E">
        <w:rPr>
          <w:rFonts w:cs="Times New Roman"/>
          <w:smallCaps/>
          <w:szCs w:val="24"/>
        </w:rPr>
        <w:t>aLonde</w:t>
      </w:r>
      <w:r w:rsidRPr="002B283E">
        <w:rPr>
          <w:rFonts w:cs="Times New Roman"/>
          <w:szCs w:val="24"/>
        </w:rPr>
        <w:t xml:space="preserve"> &amp; </w:t>
      </w:r>
      <w:r w:rsidRPr="002B283E">
        <w:rPr>
          <w:rFonts w:cs="Times New Roman"/>
          <w:smallCaps/>
          <w:szCs w:val="24"/>
        </w:rPr>
        <w:t>Jerome Gilson, Gilson on Trademarks</w:t>
      </w:r>
      <w:r w:rsidRPr="002B283E">
        <w:rPr>
          <w:rFonts w:cs="Times New Roman"/>
          <w:szCs w:val="24"/>
        </w:rPr>
        <w:t xml:space="preserve"> § 8.04(2) (2023) (listing examples of recoverable damages). </w:t>
      </w:r>
    </w:p>
    <w:p w14:paraId="03AB0E1E" w14:textId="77777777" w:rsidR="00935958" w:rsidRPr="002B283E" w:rsidRDefault="00935958" w:rsidP="002B283E">
      <w:pPr>
        <w:rPr>
          <w:rFonts w:cs="Times New Roman"/>
          <w:szCs w:val="24"/>
        </w:rPr>
      </w:pPr>
    </w:p>
    <w:p w14:paraId="544935F1" w14:textId="77777777" w:rsidR="00935958" w:rsidRPr="002B283E" w:rsidRDefault="00935958" w:rsidP="002B283E">
      <w:pPr>
        <w:rPr>
          <w:rFonts w:cs="Times New Roman"/>
          <w:szCs w:val="24"/>
        </w:rPr>
      </w:pPr>
      <w:r w:rsidRPr="002B283E">
        <w:rPr>
          <w:rFonts w:cs="Times New Roman"/>
          <w:szCs w:val="24"/>
        </w:rPr>
        <w:tab/>
        <w:t xml:space="preserve">To avoid the risk of overcompensation in the award of prospective costs, damage instructions should inform the jury that the award of prospective costs should not exceed the damage to the value of the infringed mark. </w:t>
      </w:r>
      <w:r w:rsidRPr="002B283E">
        <w:rPr>
          <w:rFonts w:cs="Times New Roman"/>
          <w:i/>
          <w:szCs w:val="24"/>
        </w:rPr>
        <w:t>See Adray v. Adry-Mart, Inc</w:t>
      </w:r>
      <w:r w:rsidRPr="002B283E">
        <w:rPr>
          <w:rFonts w:cs="Times New Roman"/>
          <w:szCs w:val="24"/>
        </w:rPr>
        <w:t xml:space="preserve">., 76 F.3d 984, 989 (9th Cir. 1995). </w:t>
      </w:r>
    </w:p>
    <w:p w14:paraId="17A73C5D" w14:textId="77777777" w:rsidR="00935958" w:rsidRPr="002B283E" w:rsidRDefault="00935958" w:rsidP="002B283E">
      <w:pPr>
        <w:rPr>
          <w:rFonts w:cs="Times New Roman"/>
          <w:szCs w:val="24"/>
        </w:rPr>
      </w:pPr>
    </w:p>
    <w:p w14:paraId="05C37F26" w14:textId="77777777" w:rsidR="00935958" w:rsidRPr="002B283E" w:rsidRDefault="00935958" w:rsidP="002B283E">
      <w:pPr>
        <w:rPr>
          <w:rFonts w:cs="Times New Roman"/>
          <w:szCs w:val="24"/>
        </w:rPr>
      </w:pPr>
      <w:r w:rsidRPr="002B283E">
        <w:rPr>
          <w:rFonts w:cs="Times New Roman"/>
          <w:szCs w:val="24"/>
        </w:rPr>
        <w:tab/>
        <w:t xml:space="preserve">Defendant may argue that plaintiff’s loss in sales may be caused by other market factors and not as a result of defendant’s infringement. If defendant makes such an argument, an appropriate instruction should be drafted. </w:t>
      </w:r>
    </w:p>
    <w:p w14:paraId="37F19398" w14:textId="77777777" w:rsidR="00935958" w:rsidRPr="002B283E" w:rsidRDefault="00935958" w:rsidP="002B283E">
      <w:pPr>
        <w:rPr>
          <w:rFonts w:cs="Times New Roman"/>
          <w:szCs w:val="24"/>
        </w:rPr>
      </w:pPr>
    </w:p>
    <w:p w14:paraId="49B8104D" w14:textId="77777777" w:rsidR="00935958" w:rsidRPr="002B283E" w:rsidRDefault="00935958" w:rsidP="002B283E">
      <w:pPr>
        <w:ind w:firstLine="720"/>
        <w:rPr>
          <w:rFonts w:cs="Times New Roman"/>
          <w:szCs w:val="24"/>
        </w:rPr>
      </w:pPr>
      <w:r w:rsidRPr="002B283E">
        <w:rPr>
          <w:rFonts w:cs="Times New Roman"/>
          <w:szCs w:val="24"/>
        </w:rPr>
        <w:t xml:space="preserve">“[A] court may grant ‘a just monetary award’ under § 1117 even where a plaintiff cannot prove actual damages, ‘so long as [the award] constitutes compensation for the plaintiff’s losses or the defendant’s unjust enrichment and is not simply a penalty for the defendant’s conduct.’” </w:t>
      </w:r>
      <w:r w:rsidRPr="002B283E">
        <w:rPr>
          <w:rFonts w:cs="Times New Roman"/>
          <w:i/>
          <w:iCs/>
          <w:szCs w:val="24"/>
        </w:rPr>
        <w:t>Jason Scott Collection</w:t>
      </w:r>
      <w:r w:rsidRPr="002B283E">
        <w:rPr>
          <w:rFonts w:cs="Times New Roman"/>
          <w:szCs w:val="24"/>
        </w:rPr>
        <w:t xml:space="preserve">, 68 F.4th at 1222 (quoting </w:t>
      </w:r>
      <w:r w:rsidRPr="002B283E">
        <w:rPr>
          <w:rFonts w:cs="Times New Roman"/>
          <w:i/>
          <w:iCs/>
          <w:szCs w:val="24"/>
        </w:rPr>
        <w:t>Southland Sod Farms v. Stover Seed Co.</w:t>
      </w:r>
      <w:r w:rsidRPr="002B283E">
        <w:rPr>
          <w:rFonts w:cs="Times New Roman"/>
          <w:szCs w:val="24"/>
        </w:rPr>
        <w:t>, 108</w:t>
      </w:r>
      <w:r w:rsidRPr="002B283E">
        <w:rPr>
          <w:rFonts w:cs="Times New Roman"/>
          <w:i/>
          <w:iCs/>
          <w:szCs w:val="24"/>
        </w:rPr>
        <w:t xml:space="preserve"> </w:t>
      </w:r>
      <w:r w:rsidRPr="002B283E">
        <w:rPr>
          <w:rFonts w:cs="Times New Roman"/>
          <w:szCs w:val="24"/>
        </w:rPr>
        <w:t>F.3d 1134, 1146 (9th Cir. 1997)).</w:t>
      </w:r>
      <w:r w:rsidRPr="002B283E">
        <w:rPr>
          <w:rFonts w:cs="Times New Roman"/>
          <w:i/>
          <w:iCs/>
          <w:szCs w:val="24"/>
        </w:rPr>
        <w:t xml:space="preserve"> </w:t>
      </w:r>
      <w:r w:rsidRPr="002B283E">
        <w:rPr>
          <w:rFonts w:cs="Times New Roman"/>
          <w:szCs w:val="24"/>
        </w:rPr>
        <w:t xml:space="preserve">When proof of actual damage is difficult, the court may order </w:t>
      </w:r>
      <w:r w:rsidRPr="002B283E">
        <w:rPr>
          <w:rFonts w:cs="Times New Roman"/>
          <w:szCs w:val="24"/>
        </w:rPr>
        <w:lastRenderedPageBreak/>
        <w:t>disgorgement of defendant’s profits, on a theory of unjust enrichment.</w:t>
      </w:r>
      <w:r w:rsidRPr="002B283E">
        <w:rPr>
          <w:rFonts w:cs="Times New Roman"/>
          <w:i/>
          <w:szCs w:val="24"/>
        </w:rPr>
        <w:t xml:space="preserve"> Lindy Pen Co</w:t>
      </w:r>
      <w:r w:rsidRPr="002B283E">
        <w:rPr>
          <w:rFonts w:cs="Times New Roman"/>
          <w:i/>
          <w:iCs/>
          <w:szCs w:val="24"/>
        </w:rPr>
        <w:t>.</w:t>
      </w:r>
      <w:r w:rsidRPr="002B283E">
        <w:rPr>
          <w:rFonts w:cs="Times New Roman"/>
          <w:szCs w:val="24"/>
        </w:rPr>
        <w:t xml:space="preserve">, 982 F.2d at 1407. </w:t>
      </w:r>
      <w:r w:rsidRPr="002B283E">
        <w:rPr>
          <w:rFonts w:cs="Times New Roman"/>
          <w:i/>
          <w:szCs w:val="24"/>
        </w:rPr>
        <w:t>See</w:t>
      </w:r>
      <w:r w:rsidRPr="002B283E">
        <w:rPr>
          <w:rFonts w:cs="Times New Roman"/>
          <w:szCs w:val="24"/>
        </w:rPr>
        <w:t xml:space="preserve"> Instruction 15.29 Trademark Damages—Defendant’s Profits (15 U.S.C. § 1117(a)).</w:t>
      </w:r>
    </w:p>
    <w:p w14:paraId="35562AE5" w14:textId="77777777" w:rsidR="00935958" w:rsidRPr="002B283E" w:rsidRDefault="00935958" w:rsidP="002B283E">
      <w:pPr>
        <w:ind w:firstLine="720"/>
        <w:rPr>
          <w:rFonts w:cs="Times New Roman"/>
          <w:szCs w:val="24"/>
        </w:rPr>
      </w:pPr>
    </w:p>
    <w:p w14:paraId="45B873A0" w14:textId="4BA0B668" w:rsidR="00935958" w:rsidRPr="002B283E" w:rsidRDefault="00935958" w:rsidP="002B283E">
      <w:pPr>
        <w:rPr>
          <w:rFonts w:cs="Times New Roman"/>
          <w:szCs w:val="24"/>
        </w:rPr>
      </w:pPr>
      <w:r w:rsidRPr="002B283E">
        <w:rPr>
          <w:rFonts w:cs="Times New Roman"/>
          <w:szCs w:val="24"/>
        </w:rPr>
        <w:tab/>
      </w:r>
      <w:r w:rsidRPr="002B283E">
        <w:rPr>
          <w:rFonts w:cs="Times New Roman"/>
          <w:i/>
          <w:szCs w:val="24"/>
        </w:rPr>
        <w:t>See</w:t>
      </w:r>
      <w:r w:rsidRPr="002B283E">
        <w:rPr>
          <w:rFonts w:cs="Times New Roman"/>
          <w:szCs w:val="24"/>
        </w:rPr>
        <w:t xml:space="preserve"> Instruction 5.2 (Measure of Types of Damages)</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5.3 (Damages—Mitigation)</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5.4 (Damages Arising in the Future—Discount to Present Cash Value).</w:t>
      </w:r>
    </w:p>
    <w:p w14:paraId="50389232" w14:textId="77777777" w:rsidR="00935958" w:rsidRPr="002B283E" w:rsidRDefault="00935958" w:rsidP="002B283E">
      <w:pPr>
        <w:rPr>
          <w:rFonts w:cs="Times New Roman"/>
          <w:b/>
          <w:bCs/>
          <w:szCs w:val="24"/>
        </w:rPr>
      </w:pPr>
    </w:p>
    <w:p w14:paraId="1ED7DB96" w14:textId="465AE3EB" w:rsidR="00675C35" w:rsidRPr="002B283E" w:rsidRDefault="00935958" w:rsidP="002B283E">
      <w:pPr>
        <w:jc w:val="right"/>
        <w:rPr>
          <w:rFonts w:cs="Times New Roman"/>
          <w:i/>
          <w:iCs/>
          <w:szCs w:val="24"/>
        </w:rPr>
      </w:pPr>
      <w:r w:rsidRPr="002B283E">
        <w:rPr>
          <w:rFonts w:cs="Times New Roman"/>
          <w:i/>
          <w:iCs/>
          <w:szCs w:val="24"/>
        </w:rPr>
        <w:t>Revised June 2024</w:t>
      </w:r>
    </w:p>
    <w:p w14:paraId="4E20E54C" w14:textId="77777777" w:rsidR="003E3B69" w:rsidRPr="002B283E" w:rsidRDefault="003E3B69" w:rsidP="002B283E">
      <w:pPr>
        <w:autoSpaceDE w:val="0"/>
        <w:autoSpaceDN w:val="0"/>
        <w:adjustRightInd w:val="0"/>
        <w:rPr>
          <w:rFonts w:cs="Times New Roman"/>
          <w:szCs w:val="24"/>
        </w:rPr>
      </w:pPr>
    </w:p>
    <w:p w14:paraId="561EE9F6" w14:textId="3F945ECE" w:rsidR="00675C35" w:rsidRPr="002B283E" w:rsidRDefault="006A4CD7" w:rsidP="00826E77">
      <w:pPr>
        <w:pStyle w:val="Heading2"/>
      </w:pPr>
      <w:r w:rsidRPr="002B283E">
        <w:br w:type="page"/>
      </w:r>
      <w:bookmarkStart w:id="377" w:name="_Toc115268270"/>
      <w:bookmarkStart w:id="378" w:name="_Toc221525296"/>
      <w:r w:rsidR="00675C35" w:rsidRPr="002B283E">
        <w:lastRenderedPageBreak/>
        <w:t>15.</w:t>
      </w:r>
      <w:r w:rsidR="0008651C">
        <w:t>30</w:t>
      </w:r>
      <w:r w:rsidR="00675C35" w:rsidRPr="002B283E">
        <w:t xml:space="preserve"> Trademark Damages—Plaintiff’s Statutory Damages (15 U.S.C. § 1117(c) and (d))</w:t>
      </w:r>
      <w:bookmarkEnd w:id="377"/>
      <w:bookmarkEnd w:id="378"/>
    </w:p>
    <w:p w14:paraId="7B02559C" w14:textId="77777777" w:rsidR="00675C35" w:rsidRPr="002B283E" w:rsidRDefault="00675C35" w:rsidP="002B283E">
      <w:pPr>
        <w:rPr>
          <w:rFonts w:cs="Times New Roman"/>
          <w:szCs w:val="24"/>
        </w:rPr>
      </w:pPr>
    </w:p>
    <w:p w14:paraId="239B3A4F" w14:textId="77777777" w:rsidR="00675C35" w:rsidRPr="002B283E" w:rsidRDefault="00675C35" w:rsidP="002B283E">
      <w:pPr>
        <w:autoSpaceDE w:val="0"/>
        <w:autoSpaceDN w:val="0"/>
        <w:adjustRightInd w:val="0"/>
        <w:jc w:val="center"/>
        <w:rPr>
          <w:rFonts w:cs="Times New Roman"/>
          <w:b/>
          <w:bCs/>
          <w:szCs w:val="24"/>
        </w:rPr>
      </w:pPr>
      <w:r w:rsidRPr="002B283E">
        <w:rPr>
          <w:rFonts w:cs="Times New Roman"/>
          <w:b/>
          <w:bCs/>
          <w:szCs w:val="24"/>
        </w:rPr>
        <w:t>Comment</w:t>
      </w:r>
    </w:p>
    <w:p w14:paraId="1518AD43" w14:textId="77777777" w:rsidR="00675C35" w:rsidRPr="002B283E" w:rsidRDefault="00675C35" w:rsidP="002B283E">
      <w:pPr>
        <w:autoSpaceDE w:val="0"/>
        <w:autoSpaceDN w:val="0"/>
        <w:adjustRightInd w:val="0"/>
        <w:rPr>
          <w:rFonts w:cs="Times New Roman"/>
          <w:szCs w:val="24"/>
        </w:rPr>
      </w:pPr>
    </w:p>
    <w:p w14:paraId="0DD4EF8A" w14:textId="77777777" w:rsidR="00C4123C" w:rsidRPr="002B283E" w:rsidRDefault="00675C35" w:rsidP="002B283E">
      <w:pPr>
        <w:rPr>
          <w:rFonts w:cs="Times New Roman"/>
          <w:szCs w:val="24"/>
        </w:rPr>
      </w:pPr>
      <w:r w:rsidRPr="002B283E">
        <w:rPr>
          <w:rFonts w:cs="Times New Roman"/>
          <w:szCs w:val="24"/>
        </w:rPr>
        <w:tab/>
      </w:r>
      <w:r w:rsidR="00C4123C" w:rsidRPr="002B283E">
        <w:rPr>
          <w:rFonts w:cs="Times New Roman"/>
          <w:szCs w:val="24"/>
        </w:rPr>
        <w:t xml:space="preserve">In cases involving the use of a counterfeit mark, the plaintiff may elect to receive statutory damages instead of actual damages and profits. 15 U.S.C. § 1117(c). Statutory damages are also available for “cybersquatting” in violation of 15 U.S.C. 1125(d)(1). 15 U.S.C. § 1117(d). </w:t>
      </w:r>
    </w:p>
    <w:p w14:paraId="3CF63BF4" w14:textId="77777777" w:rsidR="00C4123C" w:rsidRPr="002B283E" w:rsidRDefault="00C4123C" w:rsidP="002B283E">
      <w:pPr>
        <w:rPr>
          <w:rFonts w:cs="Times New Roman"/>
          <w:szCs w:val="24"/>
        </w:rPr>
      </w:pPr>
    </w:p>
    <w:p w14:paraId="4D66C9AB" w14:textId="77777777" w:rsidR="00C4123C" w:rsidRPr="002B283E" w:rsidRDefault="00C4123C" w:rsidP="002B283E">
      <w:pPr>
        <w:ind w:firstLine="720"/>
        <w:rPr>
          <w:rFonts w:cs="Times New Roman"/>
          <w:szCs w:val="24"/>
        </w:rPr>
      </w:pPr>
      <w:r w:rsidRPr="002B283E">
        <w:rPr>
          <w:rFonts w:cs="Times New Roman"/>
          <w:szCs w:val="24"/>
        </w:rPr>
        <w:t xml:space="preserve">Statutory damages are available under 15 U.S.C. § 1117(c) and (d). Statutory damages may be awarded against contributory infringers. </w:t>
      </w:r>
      <w:r w:rsidRPr="002B283E">
        <w:rPr>
          <w:rFonts w:cs="Times New Roman"/>
          <w:i/>
          <w:szCs w:val="24"/>
        </w:rPr>
        <w:t>Louis Vuitton Malletier, S.A. v. Akanoc Sols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658 F.3d 936, 944-45 (9th Cir. 2011). A prevailing party who elects to receive statutory damages under § 1117(c) cannot also receive prejudgment interest under § 1117(b). </w:t>
      </w:r>
      <w:r w:rsidRPr="002B283E">
        <w:rPr>
          <w:rFonts w:cs="Times New Roman"/>
          <w:i/>
          <w:szCs w:val="24"/>
        </w:rPr>
        <w:t>Y.Y.G.M. SA v. Redbubble, Inc.</w:t>
      </w:r>
      <w:r w:rsidRPr="002B283E">
        <w:rPr>
          <w:rFonts w:cs="Times New Roman"/>
          <w:szCs w:val="24"/>
        </w:rPr>
        <w:t>, 75 F.4th 995, 1007-09 (9th Cir. 2023).</w:t>
      </w:r>
    </w:p>
    <w:p w14:paraId="7B5390A4" w14:textId="77777777" w:rsidR="00C4123C" w:rsidRPr="002B283E" w:rsidRDefault="00C4123C" w:rsidP="002B283E">
      <w:pPr>
        <w:rPr>
          <w:rFonts w:cs="Times New Roman"/>
          <w:szCs w:val="24"/>
        </w:rPr>
      </w:pPr>
    </w:p>
    <w:p w14:paraId="4FE0D684" w14:textId="77777777" w:rsidR="00C4123C" w:rsidRPr="002B283E" w:rsidRDefault="00C4123C" w:rsidP="002B283E">
      <w:pPr>
        <w:jc w:val="right"/>
        <w:rPr>
          <w:rFonts w:cs="Times New Roman"/>
          <w:i/>
          <w:iCs/>
          <w:szCs w:val="24"/>
        </w:rPr>
      </w:pPr>
      <w:r w:rsidRPr="002B283E">
        <w:rPr>
          <w:rFonts w:cs="Times New Roman"/>
          <w:i/>
          <w:iCs/>
          <w:szCs w:val="24"/>
        </w:rPr>
        <w:t>Revised November 2024</w:t>
      </w:r>
    </w:p>
    <w:p w14:paraId="0145CAB3" w14:textId="0295859E" w:rsidR="00B10AE0" w:rsidRPr="002B283E" w:rsidRDefault="006A4CD7" w:rsidP="002B283E">
      <w:pPr>
        <w:pStyle w:val="Heading2"/>
      </w:pPr>
      <w:r w:rsidRPr="002B283E">
        <w:br w:type="page"/>
      </w:r>
      <w:bookmarkStart w:id="379" w:name="_Toc221525297"/>
      <w:r w:rsidR="00B10AE0" w:rsidRPr="002B283E">
        <w:lastRenderedPageBreak/>
        <w:t>15.</w:t>
      </w:r>
      <w:r w:rsidR="00924443">
        <w:t>31</w:t>
      </w:r>
      <w:r w:rsidR="00B10AE0" w:rsidRPr="002B283E">
        <w:t xml:space="preserve"> </w:t>
      </w:r>
      <w:bookmarkStart w:id="380" w:name="_Hlk165893449"/>
      <w:r w:rsidR="00B10AE0" w:rsidRPr="002B283E">
        <w:t>Trademark Damages—Disgorgement of Defendant’s Profits</w:t>
      </w:r>
      <w:bookmarkEnd w:id="380"/>
      <w:r w:rsidR="00826E77">
        <w:t xml:space="preserve"> </w:t>
      </w:r>
      <w:r w:rsidR="00B10AE0" w:rsidRPr="002B283E">
        <w:t>(15 U.S.C. § 1117(a))</w:t>
      </w:r>
      <w:bookmarkEnd w:id="379"/>
    </w:p>
    <w:p w14:paraId="6D7DEE7F" w14:textId="77777777" w:rsidR="00B10AE0" w:rsidRPr="002B283E" w:rsidRDefault="00B10AE0" w:rsidP="002B283E">
      <w:pPr>
        <w:rPr>
          <w:rFonts w:cs="Times New Roman"/>
          <w:b/>
          <w:szCs w:val="24"/>
        </w:rPr>
      </w:pPr>
    </w:p>
    <w:p w14:paraId="11EA286F" w14:textId="2F67DF1E" w:rsidR="003755FC" w:rsidRPr="002B283E" w:rsidRDefault="00B10AE0" w:rsidP="002B283E">
      <w:pPr>
        <w:rPr>
          <w:rFonts w:cs="Times New Roman"/>
          <w:szCs w:val="24"/>
        </w:rPr>
      </w:pPr>
      <w:r w:rsidRPr="002B283E">
        <w:rPr>
          <w:rFonts w:cs="Times New Roman"/>
          <w:szCs w:val="24"/>
        </w:rPr>
        <w:tab/>
      </w:r>
      <w:r w:rsidR="003755FC" w:rsidRPr="002B283E">
        <w:rPr>
          <w:rFonts w:cs="Times New Roman"/>
          <w:szCs w:val="24"/>
        </w:rPr>
        <w:t xml:space="preserve">In addition to actual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is entitled to any profits earned by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that are attributable to the infringement, which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proves by a preponderance of the evidence. You may not, however, include in any award of profits any amount that you took into account in determining actual damages. </w:t>
      </w:r>
    </w:p>
    <w:p w14:paraId="5F1DDAA7" w14:textId="77777777" w:rsidR="003755FC" w:rsidRPr="002B283E" w:rsidRDefault="003755FC" w:rsidP="002B283E">
      <w:pPr>
        <w:rPr>
          <w:rFonts w:cs="Times New Roman"/>
          <w:szCs w:val="24"/>
        </w:rPr>
      </w:pPr>
    </w:p>
    <w:p w14:paraId="175A1894" w14:textId="77777777" w:rsidR="003755FC" w:rsidRPr="002B283E" w:rsidRDefault="003755FC" w:rsidP="002B283E">
      <w:pPr>
        <w:rPr>
          <w:rFonts w:cs="Times New Roman"/>
          <w:szCs w:val="24"/>
        </w:rPr>
      </w:pPr>
      <w:r w:rsidRPr="002B283E">
        <w:rPr>
          <w:rFonts w:cs="Times New Roman"/>
          <w:szCs w:val="24"/>
        </w:rPr>
        <w:tab/>
        <w:t xml:space="preserve">Profit is determined by deducting all expenses from gross revenue. </w:t>
      </w:r>
    </w:p>
    <w:p w14:paraId="766DAC6C" w14:textId="77777777" w:rsidR="003755FC" w:rsidRPr="002B283E" w:rsidRDefault="003755FC" w:rsidP="002B283E">
      <w:pPr>
        <w:rPr>
          <w:rFonts w:cs="Times New Roman"/>
          <w:szCs w:val="24"/>
        </w:rPr>
      </w:pPr>
    </w:p>
    <w:p w14:paraId="687C9016" w14:textId="7FEFCDE0" w:rsidR="003755FC" w:rsidRPr="002B283E" w:rsidRDefault="003755FC" w:rsidP="002B283E">
      <w:pPr>
        <w:rPr>
          <w:rFonts w:cs="Times New Roman"/>
          <w:szCs w:val="24"/>
        </w:rPr>
      </w:pPr>
      <w:r w:rsidRPr="002B283E">
        <w:rPr>
          <w:rFonts w:cs="Times New Roman"/>
          <w:szCs w:val="24"/>
        </w:rPr>
        <w:tab/>
        <w:t>Gross revenue is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receipts from using the trademark in the sale </w:t>
      </w:r>
      <w:r w:rsidR="00490580">
        <w:rPr>
          <w:rFonts w:cs="Times New Roman"/>
          <w:szCs w:val="24"/>
        </w:rPr>
        <w:t>[</w:t>
      </w:r>
      <w:r w:rsidRPr="002B283E">
        <w:rPr>
          <w:rFonts w:cs="Times New Roman"/>
          <w:szCs w:val="24"/>
        </w:rPr>
        <w:t xml:space="preserve">of a product].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gross revenue by a preponderance of the evidence. </w:t>
      </w:r>
    </w:p>
    <w:p w14:paraId="0DB088B7" w14:textId="77777777" w:rsidR="003755FC" w:rsidRPr="002B283E" w:rsidRDefault="003755FC" w:rsidP="002B283E">
      <w:pPr>
        <w:rPr>
          <w:rFonts w:cs="Times New Roman"/>
          <w:szCs w:val="24"/>
        </w:rPr>
      </w:pPr>
    </w:p>
    <w:p w14:paraId="48799D76" w14:textId="1ABBCFF4" w:rsidR="003755FC" w:rsidRPr="002B283E" w:rsidRDefault="003755FC" w:rsidP="002B283E">
      <w:pPr>
        <w:rPr>
          <w:rFonts w:cs="Times New Roman"/>
          <w:szCs w:val="24"/>
        </w:rPr>
      </w:pPr>
      <w:r w:rsidRPr="002B283E">
        <w:rPr>
          <w:rFonts w:cs="Times New Roman"/>
          <w:szCs w:val="24"/>
        </w:rPr>
        <w:tab/>
        <w:t>Expenses are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C9A8E8E" w14:textId="77777777" w:rsidR="003755FC" w:rsidRPr="002B283E" w:rsidRDefault="003755FC" w:rsidP="002B283E">
      <w:pPr>
        <w:rPr>
          <w:rFonts w:cs="Times New Roman"/>
          <w:szCs w:val="24"/>
        </w:rPr>
      </w:pPr>
    </w:p>
    <w:p w14:paraId="505BE3DB" w14:textId="77777777" w:rsidR="003755FC" w:rsidRPr="002B283E" w:rsidRDefault="003755FC" w:rsidP="002B283E">
      <w:pPr>
        <w:rPr>
          <w:rFonts w:cs="Times New Roman"/>
          <w:szCs w:val="24"/>
        </w:rPr>
      </w:pPr>
      <w:r w:rsidRPr="002B283E">
        <w:rPr>
          <w:rFonts w:cs="Times New Roman"/>
          <w:szCs w:val="24"/>
        </w:rPr>
        <w:tab/>
        <w:t>Unless you find that a portion of the profit from the sale of the [</w:t>
      </w:r>
      <w:r w:rsidRPr="002B283E">
        <w:rPr>
          <w:rFonts w:cs="Times New Roman"/>
          <w:i/>
          <w:szCs w:val="24"/>
          <w:u w:val="single"/>
        </w:rPr>
        <w:t>specify goods</w:t>
      </w:r>
      <w:r w:rsidRPr="002B283E">
        <w:rPr>
          <w:rFonts w:cs="Times New Roman"/>
          <w:szCs w:val="24"/>
        </w:rPr>
        <w:t>] using the trademark is attributable to factors other than use of the trademark, you should find that the total profit is attributable to the infringement.</w:t>
      </w:r>
    </w:p>
    <w:p w14:paraId="70413594" w14:textId="77777777" w:rsidR="003755FC" w:rsidRPr="002B283E" w:rsidRDefault="003755FC" w:rsidP="002B283E">
      <w:pPr>
        <w:rPr>
          <w:rFonts w:cs="Times New Roman"/>
          <w:szCs w:val="24"/>
        </w:rPr>
      </w:pPr>
    </w:p>
    <w:p w14:paraId="10B1539F" w14:textId="77777777" w:rsidR="003755FC" w:rsidRPr="002B283E" w:rsidRDefault="003755FC" w:rsidP="002B283E">
      <w:pPr>
        <w:jc w:val="center"/>
        <w:rPr>
          <w:rFonts w:cs="Times New Roman"/>
          <w:szCs w:val="24"/>
        </w:rPr>
      </w:pPr>
      <w:r w:rsidRPr="002B283E">
        <w:rPr>
          <w:rFonts w:cs="Times New Roman"/>
          <w:b/>
          <w:szCs w:val="24"/>
        </w:rPr>
        <w:t>Comment</w:t>
      </w:r>
    </w:p>
    <w:p w14:paraId="4E422E17" w14:textId="77777777" w:rsidR="00E607FD" w:rsidRPr="00457862" w:rsidRDefault="00E607FD" w:rsidP="00E607FD">
      <w:pPr>
        <w:rPr>
          <w:szCs w:val="24"/>
        </w:rPr>
      </w:pPr>
    </w:p>
    <w:p w14:paraId="5BEF0604" w14:textId="112BA185" w:rsidR="00E607FD" w:rsidRPr="00457862" w:rsidRDefault="00E607FD" w:rsidP="00E607FD">
      <w:pPr>
        <w:ind w:firstLine="720"/>
        <w:rPr>
          <w:rFonts w:eastAsia="Calibri"/>
          <w:szCs w:val="24"/>
        </w:rPr>
      </w:pPr>
      <w:bookmarkStart w:id="381" w:name="_Hlk203479643"/>
      <w:r w:rsidRPr="00457862">
        <w:rPr>
          <w:rFonts w:eastAsia="Calibri"/>
          <w:szCs w:val="24"/>
        </w:rPr>
        <w:t xml:space="preserve">“[D]isgorgement of profits is a traditional trademark remedy.” </w:t>
      </w:r>
      <w:r w:rsidRPr="00457862">
        <w:rPr>
          <w:rFonts w:eastAsia="Calibri"/>
          <w:i/>
          <w:iCs/>
          <w:szCs w:val="24"/>
        </w:rPr>
        <w:t>Jerry’s Famous Deli, Inc. v. Papanicolaou</w:t>
      </w:r>
      <w:r w:rsidRPr="00457862">
        <w:rPr>
          <w:rFonts w:eastAsia="Calibri"/>
          <w:szCs w:val="24"/>
        </w:rPr>
        <w:t xml:space="preserve">, 383 F.3d 998, 1004 (9th Cir. 2004). Besides seeking actual damages, </w:t>
      </w:r>
      <w:r w:rsidRPr="008A04C2">
        <w:rPr>
          <w:rFonts w:eastAsia="Calibri"/>
          <w:i/>
          <w:iCs/>
          <w:szCs w:val="24"/>
        </w:rPr>
        <w:t>see</w:t>
      </w:r>
      <w:r w:rsidRPr="00457862">
        <w:rPr>
          <w:rFonts w:eastAsia="Calibri"/>
          <w:szCs w:val="24"/>
        </w:rPr>
        <w:t xml:space="preserve"> Instruction 15.2</w:t>
      </w:r>
      <w:r w:rsidR="009818E2">
        <w:rPr>
          <w:rFonts w:eastAsia="Calibri"/>
          <w:szCs w:val="24"/>
        </w:rPr>
        <w:t>9</w:t>
      </w:r>
      <w:r w:rsidRPr="00457862">
        <w:rPr>
          <w:rFonts w:eastAsia="Calibri"/>
          <w:szCs w:val="24"/>
        </w:rPr>
        <w:t xml:space="preserve"> </w:t>
      </w:r>
      <w:r w:rsidR="009818E2">
        <w:rPr>
          <w:rFonts w:eastAsia="Calibri"/>
          <w:szCs w:val="24"/>
        </w:rPr>
        <w:t>(</w:t>
      </w:r>
      <w:r w:rsidRPr="00457862">
        <w:rPr>
          <w:rFonts w:eastAsia="Calibri"/>
          <w:szCs w:val="24"/>
        </w:rPr>
        <w:t>Trademark Damages—Plaintiff’s Actual Damages (15 U.S.C. § 1117(a)</w:t>
      </w:r>
      <w:r w:rsidR="009818E2">
        <w:rPr>
          <w:rFonts w:eastAsia="Calibri"/>
          <w:szCs w:val="24"/>
        </w:rPr>
        <w:t>)</w:t>
      </w:r>
      <w:r w:rsidRPr="00457862">
        <w:rPr>
          <w:rFonts w:eastAsia="Calibri"/>
          <w:szCs w:val="24"/>
        </w:rPr>
        <w:t xml:space="preserve">, a trademark holder can seek disgorgement of a defendant’s profits under a theory of unjust enrichment. </w:t>
      </w:r>
      <w:r w:rsidRPr="00457862">
        <w:rPr>
          <w:rFonts w:eastAsia="Calibri"/>
          <w:i/>
          <w:iCs/>
          <w:szCs w:val="24"/>
        </w:rPr>
        <w:t>Lindy Pen Co., Inc. v. Bic Pen Corp.</w:t>
      </w:r>
      <w:r w:rsidRPr="00457862">
        <w:rPr>
          <w:rFonts w:eastAsia="Calibri"/>
          <w:szCs w:val="24"/>
        </w:rPr>
        <w:t xml:space="preserve">, 982 F.2d 1400, 1407 (9th Cir. 1993); </w:t>
      </w:r>
      <w:r w:rsidRPr="00457862">
        <w:rPr>
          <w:rFonts w:eastAsia="Calibri"/>
          <w:i/>
          <w:iCs/>
          <w:szCs w:val="24"/>
        </w:rPr>
        <w:t>Maier Brewing Co. v. Fleischmann Distilling Corp</w:t>
      </w:r>
      <w:r w:rsidRPr="00457862">
        <w:rPr>
          <w:rFonts w:eastAsia="Calibri"/>
          <w:szCs w:val="24"/>
        </w:rPr>
        <w:t xml:space="preserve">., 390 F.2d 117, 123 (9th Cir. 1968). For purposes of disgorgement of the defendant’s profits, the word “defendant” has its ordinary legal meaning as “the party against whom relief or recovery is sought in an action for suit.” </w:t>
      </w:r>
      <w:r w:rsidRPr="00457862">
        <w:rPr>
          <w:rFonts w:eastAsia="Calibri"/>
          <w:i/>
          <w:iCs/>
          <w:szCs w:val="24"/>
        </w:rPr>
        <w:t>Dewberry Grp., Inc., v. Dewberry Eng’rs, Inc.</w:t>
      </w:r>
      <w:r w:rsidRPr="00457862">
        <w:rPr>
          <w:rFonts w:eastAsia="Calibri"/>
          <w:szCs w:val="24"/>
        </w:rPr>
        <w:t>, 145 S. Ct. 681, 686-87 (2025) (quoting Black’s Law Dictionary 541 (3d ed. 1993)</w:t>
      </w:r>
      <w:r w:rsidR="00FC57D7">
        <w:rPr>
          <w:rFonts w:eastAsia="Calibri"/>
          <w:szCs w:val="24"/>
        </w:rPr>
        <w:t>)</w:t>
      </w:r>
      <w:r w:rsidRPr="00457862">
        <w:rPr>
          <w:rFonts w:eastAsia="Calibri"/>
          <w:szCs w:val="24"/>
        </w:rPr>
        <w:t xml:space="preserve"> (concluding that the defendant was the “entity named in Dewberry Engineers’ complaint as liable for infringing the ‘Dewberry’ trademark” and that the entity’s affiliates, who were not named in the complaint, were not defendants for purposes of § 1117(a)).</w:t>
      </w:r>
    </w:p>
    <w:bookmarkEnd w:id="381"/>
    <w:p w14:paraId="7BC6A33D" w14:textId="77777777" w:rsidR="00E607FD" w:rsidRPr="00457862" w:rsidRDefault="00E607FD" w:rsidP="00E607FD">
      <w:pPr>
        <w:rPr>
          <w:szCs w:val="24"/>
        </w:rPr>
      </w:pPr>
    </w:p>
    <w:p w14:paraId="0E71488F" w14:textId="197ADCC4" w:rsidR="00E607FD" w:rsidRPr="00457862" w:rsidRDefault="00E607FD" w:rsidP="00E607FD">
      <w:pPr>
        <w:ind w:firstLine="720"/>
        <w:rPr>
          <w:szCs w:val="24"/>
        </w:rPr>
      </w:pPr>
      <w:r w:rsidRPr="00457862">
        <w:rPr>
          <w:szCs w:val="24"/>
        </w:rPr>
        <w:t xml:space="preserve">A plaintiff is not required to choose between actual damages and disgorgement: a plaintiff can recover both. </w:t>
      </w:r>
      <w:r w:rsidRPr="00457862">
        <w:rPr>
          <w:i/>
          <w:iCs/>
          <w:szCs w:val="24"/>
        </w:rPr>
        <w:t>S</w:t>
      </w:r>
      <w:r w:rsidR="00A15A8F">
        <w:rPr>
          <w:i/>
          <w:iCs/>
          <w:szCs w:val="24"/>
        </w:rPr>
        <w:t>ee, e.g.</w:t>
      </w:r>
      <w:r w:rsidR="00A15A8F" w:rsidRPr="008A0B11">
        <w:rPr>
          <w:szCs w:val="24"/>
        </w:rPr>
        <w:t>,</w:t>
      </w:r>
      <w:r w:rsidR="00A15A8F">
        <w:rPr>
          <w:i/>
          <w:iCs/>
          <w:szCs w:val="24"/>
        </w:rPr>
        <w:t xml:space="preserve"> </w:t>
      </w:r>
      <w:r w:rsidRPr="00457862">
        <w:rPr>
          <w:i/>
          <w:iCs/>
          <w:szCs w:val="24"/>
        </w:rPr>
        <w:t>Playboy Enters., Inc. v. Baccarat Clothing Co., Inc.</w:t>
      </w:r>
      <w:r w:rsidRPr="00457862">
        <w:rPr>
          <w:szCs w:val="24"/>
        </w:rPr>
        <w:t xml:space="preserve">, 692 F.2d 1272, 1274 (9th Cir. 1982) (holding that district court abused its discretion by failing to award defendant’s profits where the actual damages awarded were inadequate to remove defendant’s incentive to infringe). But “recovery of both plaintiff’s lost profits </w:t>
      </w:r>
      <w:r w:rsidRPr="00457862">
        <w:rPr>
          <w:i/>
          <w:iCs/>
          <w:szCs w:val="24"/>
        </w:rPr>
        <w:t xml:space="preserve">and </w:t>
      </w:r>
      <w:r w:rsidRPr="00457862">
        <w:rPr>
          <w:szCs w:val="24"/>
        </w:rPr>
        <w:t xml:space="preserve">disgorgement of defendant’s profits is generally considered a double recovery under the Lanham Act.” </w:t>
      </w:r>
      <w:r w:rsidRPr="00457862">
        <w:rPr>
          <w:i/>
          <w:iCs/>
          <w:szCs w:val="24"/>
        </w:rPr>
        <w:t>Nintendo of Am., Inc. v. Dragon Pac.</w:t>
      </w:r>
      <w:r w:rsidRPr="00457862">
        <w:rPr>
          <w:szCs w:val="24"/>
        </w:rPr>
        <w:t xml:space="preserve"> </w:t>
      </w:r>
      <w:r w:rsidRPr="00457862">
        <w:rPr>
          <w:i/>
          <w:iCs/>
          <w:szCs w:val="24"/>
        </w:rPr>
        <w:t>Int’l</w:t>
      </w:r>
      <w:r w:rsidRPr="00457862">
        <w:rPr>
          <w:szCs w:val="24"/>
        </w:rPr>
        <w:t>, 40 F.3d 1007, 1010 (9th Cir. 1994).</w:t>
      </w:r>
    </w:p>
    <w:p w14:paraId="2AF950EB" w14:textId="77777777" w:rsidR="00E607FD" w:rsidRPr="00457862" w:rsidRDefault="00E607FD" w:rsidP="00E607FD">
      <w:pPr>
        <w:rPr>
          <w:szCs w:val="24"/>
        </w:rPr>
      </w:pPr>
    </w:p>
    <w:p w14:paraId="39A21F56" w14:textId="77777777" w:rsidR="00E607FD" w:rsidRPr="00457862" w:rsidRDefault="00E607FD" w:rsidP="00E607FD">
      <w:pPr>
        <w:ind w:firstLine="720"/>
        <w:rPr>
          <w:rFonts w:eastAsia="Calibri"/>
          <w:szCs w:val="24"/>
        </w:rPr>
      </w:pPr>
      <w:r w:rsidRPr="00457862">
        <w:rPr>
          <w:rFonts w:eastAsia="Calibri"/>
          <w:szCs w:val="24"/>
        </w:rPr>
        <w:lastRenderedPageBreak/>
        <w:t xml:space="preserve">The Ninth Circuit has held that the Seventh Amendment does not provide a right to a jury trial on the amount of profits to be disgorged. </w:t>
      </w:r>
      <w:r w:rsidRPr="00457862">
        <w:rPr>
          <w:rFonts w:eastAsia="Calibri"/>
          <w:i/>
          <w:iCs/>
          <w:szCs w:val="24"/>
        </w:rPr>
        <w:t>Fifty-Six Hope Road Music</w:t>
      </w:r>
      <w:r w:rsidRPr="00457862">
        <w:rPr>
          <w:rFonts w:eastAsia="Calibri"/>
          <w:szCs w:val="24"/>
        </w:rPr>
        <w:t xml:space="preserve">, </w:t>
      </w:r>
      <w:r w:rsidRPr="00457862">
        <w:rPr>
          <w:rFonts w:eastAsia="Calibri"/>
          <w:i/>
          <w:iCs/>
          <w:szCs w:val="24"/>
        </w:rPr>
        <w:t>Ltd. v. A.V.E.L.A., Inc.</w:t>
      </w:r>
      <w:r w:rsidRPr="00457862">
        <w:rPr>
          <w:rFonts w:eastAsia="Calibri"/>
          <w:szCs w:val="24"/>
        </w:rPr>
        <w:t xml:space="preserve">, 778 F.3d 1059, 1074-76 (9th Cir. 2015). That is, “disgorgement of profits is an equitable issue ordinarily left to the court.” </w:t>
      </w:r>
      <w:r w:rsidRPr="00457862">
        <w:rPr>
          <w:rFonts w:eastAsia="Calibri"/>
          <w:i/>
          <w:iCs/>
          <w:szCs w:val="24"/>
        </w:rPr>
        <w:t>Harbor Breeze Corp. v. Newport Landing Sportfishing, Inc.</w:t>
      </w:r>
      <w:r w:rsidRPr="00457862">
        <w:rPr>
          <w:rFonts w:eastAsia="Calibri"/>
          <w:szCs w:val="24"/>
        </w:rPr>
        <w:t>, 28 F.4th 35, 39 (9th Cir. 2022). Therefore, this instruction is being provided if the trial judge wants to impanel an advisory jury on this question.</w:t>
      </w:r>
    </w:p>
    <w:p w14:paraId="1B990986" w14:textId="77777777" w:rsidR="00E607FD" w:rsidRPr="00457862" w:rsidRDefault="00E607FD" w:rsidP="00E607FD">
      <w:pPr>
        <w:rPr>
          <w:rFonts w:eastAsia="Calibri"/>
          <w:szCs w:val="24"/>
        </w:rPr>
      </w:pPr>
    </w:p>
    <w:p w14:paraId="590F2701" w14:textId="424C5386" w:rsidR="00E607FD" w:rsidRPr="00457862" w:rsidRDefault="00E607FD" w:rsidP="00E607FD">
      <w:pPr>
        <w:ind w:firstLine="720"/>
        <w:rPr>
          <w:rFonts w:eastAsia="Calibri"/>
          <w:szCs w:val="24"/>
        </w:rPr>
      </w:pPr>
      <w:r w:rsidRPr="00457862">
        <w:rPr>
          <w:rFonts w:eastAsia="Calibri"/>
          <w:szCs w:val="24"/>
        </w:rPr>
        <w:t xml:space="preserve">Regarding establishing and calculating defendant’s profits, </w:t>
      </w:r>
      <w:r w:rsidRPr="00490580">
        <w:rPr>
          <w:rFonts w:eastAsia="Calibri"/>
          <w:szCs w:val="24"/>
        </w:rPr>
        <w:t xml:space="preserve">see </w:t>
      </w:r>
      <w:r w:rsidRPr="00457862">
        <w:rPr>
          <w:rFonts w:eastAsia="Calibri"/>
          <w:i/>
          <w:iCs/>
          <w:szCs w:val="24"/>
        </w:rPr>
        <w:t>Jerry’s Famous Deli</w:t>
      </w:r>
      <w:r w:rsidRPr="00457862">
        <w:rPr>
          <w:rFonts w:eastAsia="Calibri"/>
          <w:szCs w:val="24"/>
        </w:rPr>
        <w:t xml:space="preserve">, 383 F.3d at 1004-05 (9th Cir. 2004) (describing remedy, in enforcement of trademark injunction case, as “akin to an award of the infringer's profits under trademark law” and noting “[u]nder established law, once gross profits related to the infringement are established, [infringer] has the burden of documenting any legitimate offsets”); 15 U.S.C. § 1117(a) (“In assessing profits the plaintiff shall be required to prove defendant’s sales only; defendant must prove all elements of cost or deduction claimed.”); </w:t>
      </w:r>
      <w:r w:rsidRPr="00457862">
        <w:rPr>
          <w:rFonts w:eastAsia="Calibri"/>
          <w:i/>
          <w:iCs/>
          <w:szCs w:val="24"/>
        </w:rPr>
        <w:t>see also Am. Honda Motor Co. v. Two Wheel Corp.</w:t>
      </w:r>
      <w:r w:rsidRPr="00457862">
        <w:rPr>
          <w:rFonts w:eastAsia="Calibri"/>
          <w:szCs w:val="24"/>
        </w:rPr>
        <w:t xml:space="preserve">, 918 F.2d 1060, 1063 (2d Cir. 1990) (holding that plaintiff is entitled to amount of gross sales unless defendant adequately proves amount of costs to be deducted from it); </w:t>
      </w:r>
      <w:r w:rsidRPr="00457862">
        <w:rPr>
          <w:rFonts w:eastAsia="Calibri"/>
          <w:i/>
          <w:iCs/>
          <w:szCs w:val="24"/>
        </w:rPr>
        <w:t>Louis Vuitton S.A. v. Spencer Handbags Corp.</w:t>
      </w:r>
      <w:r w:rsidRPr="00457862">
        <w:rPr>
          <w:rFonts w:eastAsia="Calibri"/>
          <w:szCs w:val="24"/>
        </w:rPr>
        <w:t>, 765 F.2d 966, 973 (2d Cir.</w:t>
      </w:r>
      <w:r w:rsidR="00CE6E72">
        <w:rPr>
          <w:rFonts w:eastAsia="Calibri"/>
          <w:szCs w:val="24"/>
        </w:rPr>
        <w:t xml:space="preserve"> </w:t>
      </w:r>
      <w:r w:rsidRPr="00457862">
        <w:rPr>
          <w:rFonts w:eastAsia="Calibri"/>
          <w:szCs w:val="24"/>
        </w:rPr>
        <w:t>1985) (holding that defendant</w:t>
      </w:r>
      <w:r w:rsidR="00490580">
        <w:rPr>
          <w:rFonts w:eastAsia="Calibri"/>
          <w:szCs w:val="24"/>
        </w:rPr>
        <w:t>’</w:t>
      </w:r>
      <w:r w:rsidRPr="00457862">
        <w:rPr>
          <w:rFonts w:eastAsia="Calibri"/>
          <w:szCs w:val="24"/>
        </w:rPr>
        <w:t>s own statements as to profits provided sufficient basis for calculation of defendant's profits under 15 U.S.C. § 1117(a)); 5 J. T</w:t>
      </w:r>
      <w:r w:rsidRPr="00457862">
        <w:rPr>
          <w:rFonts w:eastAsia="Calibri"/>
          <w:smallCaps/>
          <w:szCs w:val="24"/>
        </w:rPr>
        <w:t>homas McCarthy, McCarthy on Trademarks and Unfair Competition</w:t>
      </w:r>
      <w:r w:rsidRPr="00457862">
        <w:rPr>
          <w:rFonts w:eastAsia="Calibri"/>
          <w:szCs w:val="24"/>
        </w:rPr>
        <w:t xml:space="preserve"> § 30.65 (5th ed. 2019) (discussing computation of defendant’s profits from infringing sales). Plaintiff has the burden of proof to show with “reasonable certainty” a defendant's gross sales from infringing activity. </w:t>
      </w:r>
      <w:r w:rsidRPr="00457862">
        <w:rPr>
          <w:rFonts w:eastAsia="Calibri"/>
          <w:i/>
          <w:iCs/>
          <w:szCs w:val="24"/>
        </w:rPr>
        <w:t>Rolex Watch, U.S.A., Inc. v. Michel Co.</w:t>
      </w:r>
      <w:r w:rsidRPr="00457862">
        <w:rPr>
          <w:rFonts w:eastAsia="Calibri"/>
          <w:szCs w:val="24"/>
        </w:rPr>
        <w:t>, 179 F.3d 704, 712 (9th Cir. 1999).</w:t>
      </w:r>
    </w:p>
    <w:p w14:paraId="35583C96" w14:textId="77777777" w:rsidR="00E607FD" w:rsidRPr="00457862" w:rsidRDefault="00E607FD" w:rsidP="00E607FD">
      <w:pPr>
        <w:rPr>
          <w:rFonts w:eastAsia="Calibri"/>
          <w:szCs w:val="24"/>
        </w:rPr>
      </w:pPr>
    </w:p>
    <w:p w14:paraId="15191D90" w14:textId="77777777" w:rsidR="00E607FD" w:rsidRPr="00457862" w:rsidRDefault="00E607FD" w:rsidP="00E607FD">
      <w:pPr>
        <w:ind w:firstLine="720"/>
        <w:rPr>
          <w:rFonts w:eastAsia="Calibri"/>
          <w:szCs w:val="24"/>
        </w:rPr>
      </w:pPr>
      <w:r w:rsidRPr="00457862">
        <w:rPr>
          <w:rFonts w:eastAsia="Calibri"/>
          <w:szCs w:val="24"/>
        </w:rPr>
        <w:t xml:space="preserve">In addition to the defendant’s burden of proving deductible costs and expenses to offset gross sales, the defendant can also prove that some sales, if any, were not attributable to the infringing activity. </w:t>
      </w:r>
      <w:r w:rsidRPr="00457862">
        <w:rPr>
          <w:rFonts w:eastAsia="Calibri"/>
          <w:i/>
          <w:iCs/>
          <w:szCs w:val="24"/>
        </w:rPr>
        <w:t>See Lindy Pen Co.</w:t>
      </w:r>
      <w:r w:rsidRPr="00457862">
        <w:rPr>
          <w:rFonts w:eastAsia="Calibri"/>
          <w:szCs w:val="24"/>
        </w:rPr>
        <w:t xml:space="preserve">, 982 F.2d at 1408 (“Once the plaintiff demonstrates gross profits, they are presumed to be the result of the infringing activity. The defendant thereafter bears the burden of showing which, if any, of its total sales are not attributable to the infringing activity, and, additionally, any permissible deductions for overhead.” (citations omitted)); </w:t>
      </w:r>
      <w:r w:rsidRPr="00457862">
        <w:rPr>
          <w:rFonts w:eastAsia="Calibri"/>
          <w:i/>
          <w:iCs/>
          <w:szCs w:val="24"/>
        </w:rPr>
        <w:t>Mishawaka Rubber &amp; Woolen Mfg. Co. v. S.S. Kresge Co.</w:t>
      </w:r>
      <w:r w:rsidRPr="00457862">
        <w:rPr>
          <w:rFonts w:eastAsia="Calibri"/>
          <w:szCs w:val="24"/>
        </w:rPr>
        <w:t>, 316 U.S. 203, 206-07 (1942) (“The plaintiff of course is not entitled to profits demonstrably not attributable to the unlawful use of his mark. The burden is the infringer’s to prove that his infringement had no cash value in sales made by him.” (citations omitted)).</w:t>
      </w:r>
    </w:p>
    <w:p w14:paraId="7F8FD355" w14:textId="77777777" w:rsidR="00E607FD" w:rsidRPr="00457862" w:rsidRDefault="00E607FD" w:rsidP="00E607FD">
      <w:pPr>
        <w:rPr>
          <w:rFonts w:eastAsia="Calibri"/>
          <w:szCs w:val="24"/>
        </w:rPr>
      </w:pPr>
    </w:p>
    <w:p w14:paraId="4BAB62A8" w14:textId="627A0A04" w:rsidR="00E607FD" w:rsidRPr="00457862" w:rsidRDefault="00E607FD" w:rsidP="00E607FD">
      <w:pPr>
        <w:ind w:firstLine="720"/>
        <w:rPr>
          <w:rFonts w:eastAsia="Calibri"/>
          <w:szCs w:val="24"/>
        </w:rPr>
      </w:pPr>
      <w:r w:rsidRPr="00457862">
        <w:rPr>
          <w:rFonts w:eastAsia="Calibri"/>
          <w:szCs w:val="24"/>
        </w:rPr>
        <w:t>A district court “has discretion to increase the profit award above the net profits proven ‘[i]f the court shall find</w:t>
      </w:r>
      <w:r w:rsidR="00FC57D7">
        <w:rPr>
          <w:rFonts w:eastAsia="Calibri"/>
          <w:szCs w:val="24"/>
        </w:rPr>
        <w:t xml:space="preserve"> </w:t>
      </w:r>
      <w:r w:rsidRPr="00457862">
        <w:rPr>
          <w:rFonts w:eastAsia="Calibri"/>
          <w:szCs w:val="24"/>
        </w:rPr>
        <w:t xml:space="preserve">. . . the amount of the recovery . . . inadequate.’” </w:t>
      </w:r>
      <w:r w:rsidRPr="00457862">
        <w:rPr>
          <w:rFonts w:eastAsia="Calibri"/>
          <w:i/>
          <w:iCs/>
          <w:szCs w:val="24"/>
        </w:rPr>
        <w:t>Fifty-Six Hope Road Music</w:t>
      </w:r>
      <w:r w:rsidRPr="00457862">
        <w:rPr>
          <w:rFonts w:eastAsia="Calibri"/>
          <w:szCs w:val="24"/>
        </w:rPr>
        <w:t xml:space="preserve">, 778 F.3d at 1077 (stating the “district court should award actual, proven profits unless the defendant infringer gained more from the infringement than the defendant’s profits reflect”). However, the court “ought to tread lightly . . . because granting an increase could easily transfigure an otherwise-acceptable compensatory award into an impermissible punitive measure.” </w:t>
      </w:r>
      <w:r w:rsidRPr="00457862">
        <w:rPr>
          <w:rFonts w:eastAsia="Calibri"/>
          <w:i/>
          <w:iCs/>
          <w:szCs w:val="24"/>
        </w:rPr>
        <w:t>Id.</w:t>
      </w:r>
      <w:r w:rsidRPr="00457862">
        <w:rPr>
          <w:rFonts w:eastAsia="Calibri"/>
          <w:szCs w:val="24"/>
        </w:rPr>
        <w:t xml:space="preserve">; </w:t>
      </w:r>
      <w:r w:rsidRPr="00457862">
        <w:rPr>
          <w:rFonts w:eastAsia="Calibri"/>
          <w:i/>
          <w:iCs/>
          <w:szCs w:val="24"/>
        </w:rPr>
        <w:t>see also Polo Fashions, Inc. v. Dick Bruhn, Inc.</w:t>
      </w:r>
      <w:r w:rsidRPr="00457862">
        <w:rPr>
          <w:rFonts w:eastAsia="Calibri"/>
          <w:szCs w:val="24"/>
        </w:rPr>
        <w:t>, 793 F.2d 1132, 1135 (9th Cir. 1986) (awarding receipts from at-cost sales when a profits calculation was inadequate to “take all the economic incentive out of trademark infringement,” which is the purpose of 15 U.S.C. § 1117(a)).</w:t>
      </w:r>
    </w:p>
    <w:p w14:paraId="08F4ADC3" w14:textId="77777777" w:rsidR="00E607FD" w:rsidRPr="00457862" w:rsidRDefault="00E607FD" w:rsidP="00E607FD">
      <w:pPr>
        <w:rPr>
          <w:rFonts w:eastAsia="Calibri"/>
          <w:szCs w:val="24"/>
        </w:rPr>
      </w:pPr>
    </w:p>
    <w:p w14:paraId="2DBAC671" w14:textId="58233A2A" w:rsidR="00E607FD" w:rsidRPr="00457862" w:rsidRDefault="00E607FD" w:rsidP="00E607FD">
      <w:pPr>
        <w:ind w:firstLine="720"/>
        <w:rPr>
          <w:rFonts w:eastAsia="Calibri"/>
          <w:szCs w:val="24"/>
        </w:rPr>
      </w:pPr>
      <w:r w:rsidRPr="00457862">
        <w:rPr>
          <w:rFonts w:eastAsia="Calibri"/>
          <w:szCs w:val="24"/>
        </w:rPr>
        <w:t>When infringing and noninfringing elements of a work cannot be readily separated, all the defendant</w:t>
      </w:r>
      <w:r w:rsidR="00490580">
        <w:rPr>
          <w:rFonts w:eastAsia="Calibri"/>
          <w:szCs w:val="24"/>
        </w:rPr>
        <w:t>’</w:t>
      </w:r>
      <w:r w:rsidRPr="00457862">
        <w:rPr>
          <w:rFonts w:eastAsia="Calibri"/>
          <w:szCs w:val="24"/>
        </w:rPr>
        <w:t xml:space="preserve">s profits from the infringing sales should be awarded to the plaintiff. </w:t>
      </w:r>
      <w:r w:rsidRPr="00457862">
        <w:rPr>
          <w:rFonts w:eastAsia="Calibri"/>
          <w:i/>
          <w:iCs/>
          <w:szCs w:val="24"/>
        </w:rPr>
        <w:t>Nintendo of Am.</w:t>
      </w:r>
      <w:r w:rsidRPr="00457862">
        <w:rPr>
          <w:rFonts w:eastAsia="Calibri"/>
          <w:szCs w:val="24"/>
        </w:rPr>
        <w:t>, 40 F.3d at 1012.</w:t>
      </w:r>
    </w:p>
    <w:p w14:paraId="715BA428" w14:textId="77777777" w:rsidR="00E607FD" w:rsidRPr="00457862" w:rsidRDefault="00E607FD" w:rsidP="00E607FD">
      <w:pPr>
        <w:rPr>
          <w:rFonts w:eastAsia="Calibri"/>
          <w:szCs w:val="24"/>
        </w:rPr>
      </w:pPr>
    </w:p>
    <w:p w14:paraId="63B57AD4" w14:textId="77777777" w:rsidR="00E607FD" w:rsidRPr="00457862" w:rsidRDefault="00E607FD" w:rsidP="00E607FD">
      <w:pPr>
        <w:ind w:firstLine="720"/>
        <w:rPr>
          <w:rFonts w:eastAsia="Calibri"/>
          <w:szCs w:val="24"/>
        </w:rPr>
      </w:pPr>
      <w:r w:rsidRPr="00457862">
        <w:rPr>
          <w:rFonts w:eastAsia="Calibri"/>
          <w:szCs w:val="24"/>
        </w:rPr>
        <w:t xml:space="preserve">“[A] trademark defendant’s mental state is a highly important consideration in determining whether an award of profits is appropriate.” </w:t>
      </w:r>
      <w:r w:rsidRPr="00457862">
        <w:rPr>
          <w:rFonts w:eastAsia="Calibri"/>
          <w:i/>
          <w:iCs/>
          <w:szCs w:val="24"/>
        </w:rPr>
        <w:t>Romag Fasteners, Inc. v. Fossil, Inc.</w:t>
      </w:r>
      <w:r w:rsidRPr="00457862">
        <w:rPr>
          <w:rFonts w:eastAsia="Calibri"/>
          <w:szCs w:val="24"/>
        </w:rPr>
        <w:t xml:space="preserve">, 590 U.S. 212, 219 (2020); </w:t>
      </w:r>
      <w:r w:rsidRPr="00457862">
        <w:rPr>
          <w:rFonts w:eastAsia="Calibri"/>
          <w:i/>
          <w:iCs/>
          <w:szCs w:val="24"/>
        </w:rPr>
        <w:t>Lindy Pen</w:t>
      </w:r>
      <w:r w:rsidRPr="00457862">
        <w:rPr>
          <w:rFonts w:eastAsia="Calibri"/>
          <w:szCs w:val="24"/>
        </w:rPr>
        <w:t xml:space="preserve">, 982 F.2d at 1406 (“The intent of the infringer is relevant evidence on the issue of awarding profits and damages and the amount.”). However, a plaintiff need not show that a defendant acted with a particular mental state, such as willfulness, to be entitled to an award of profits. </w:t>
      </w:r>
      <w:r w:rsidRPr="00457862">
        <w:rPr>
          <w:rFonts w:eastAsia="Calibri"/>
          <w:i/>
          <w:iCs/>
          <w:szCs w:val="24"/>
        </w:rPr>
        <w:t>Romag Fasteners</w:t>
      </w:r>
      <w:r w:rsidRPr="00457862">
        <w:rPr>
          <w:rFonts w:eastAsia="Calibri"/>
          <w:szCs w:val="24"/>
        </w:rPr>
        <w:t xml:space="preserve">, 590 U.S. at 219 (noting that willfulness is not an “inflexible precondition” to recover a defendant's profits); </w:t>
      </w:r>
      <w:r w:rsidRPr="00457862">
        <w:rPr>
          <w:rFonts w:eastAsia="Calibri"/>
          <w:i/>
          <w:iCs/>
          <w:szCs w:val="24"/>
        </w:rPr>
        <w:t>Harbor Breeze Corp.</w:t>
      </w:r>
      <w:r w:rsidRPr="00457862">
        <w:rPr>
          <w:rFonts w:eastAsia="Calibri"/>
          <w:szCs w:val="24"/>
        </w:rPr>
        <w:t>, 28 F.4th at 38 (same).</w:t>
      </w:r>
    </w:p>
    <w:p w14:paraId="44361139" w14:textId="77777777" w:rsidR="00E607FD" w:rsidRPr="00457862" w:rsidRDefault="00E607FD" w:rsidP="00E607FD">
      <w:pPr>
        <w:rPr>
          <w:rFonts w:eastAsia="Calibri"/>
          <w:szCs w:val="24"/>
        </w:rPr>
      </w:pPr>
    </w:p>
    <w:p w14:paraId="693F9B5C" w14:textId="77777777" w:rsidR="00E607FD" w:rsidRPr="00457862" w:rsidRDefault="00E607FD" w:rsidP="00E607FD">
      <w:pPr>
        <w:jc w:val="right"/>
        <w:rPr>
          <w:rFonts w:eastAsia="Calibri"/>
          <w:i/>
          <w:iCs/>
          <w:szCs w:val="24"/>
        </w:rPr>
      </w:pPr>
      <w:r w:rsidRPr="00457862">
        <w:rPr>
          <w:rFonts w:eastAsia="Calibri"/>
          <w:i/>
          <w:iCs/>
          <w:szCs w:val="24"/>
        </w:rPr>
        <w:t>Revised June 2025</w:t>
      </w:r>
    </w:p>
    <w:p w14:paraId="2EF0FF12" w14:textId="06C720AF" w:rsidR="004D3956" w:rsidRPr="00A03841" w:rsidRDefault="004D3956" w:rsidP="004D3956">
      <w:pPr>
        <w:jc w:val="right"/>
        <w:rPr>
          <w:rFonts w:cs="Times New Roman"/>
          <w:i/>
          <w:iCs/>
          <w:szCs w:val="24"/>
        </w:rPr>
      </w:pPr>
    </w:p>
    <w:p w14:paraId="567463A9" w14:textId="6E76147A" w:rsidR="003755FC" w:rsidRPr="002B283E" w:rsidRDefault="003755FC" w:rsidP="004D3956">
      <w:pPr>
        <w:rPr>
          <w:rFonts w:cs="Times New Roman"/>
          <w:szCs w:val="24"/>
        </w:rPr>
      </w:pPr>
    </w:p>
    <w:p w14:paraId="357DD91E" w14:textId="1BC28B90" w:rsidR="00675C35" w:rsidRPr="002B283E" w:rsidRDefault="006A4CD7" w:rsidP="00826E77">
      <w:pPr>
        <w:pStyle w:val="Heading2"/>
      </w:pPr>
      <w:r w:rsidRPr="002B283E">
        <w:br w:type="page"/>
      </w:r>
      <w:bookmarkStart w:id="382" w:name="_Toc115268272"/>
      <w:bookmarkStart w:id="383" w:name="_Toc221525298"/>
      <w:r w:rsidR="00675C35" w:rsidRPr="002B283E">
        <w:lastRenderedPageBreak/>
        <w:t>15.3</w:t>
      </w:r>
      <w:r w:rsidR="00924443">
        <w:t>2</w:t>
      </w:r>
      <w:r w:rsidR="00675C35" w:rsidRPr="002B283E">
        <w:t xml:space="preserve"> Trademark Dilution (15 U.S.C. § 1125(c))</w:t>
      </w:r>
      <w:bookmarkEnd w:id="382"/>
      <w:bookmarkEnd w:id="383"/>
    </w:p>
    <w:p w14:paraId="37FF12FD" w14:textId="77777777" w:rsidR="00675C35" w:rsidRPr="002B283E" w:rsidRDefault="00675C35" w:rsidP="002B283E">
      <w:pPr>
        <w:rPr>
          <w:rFonts w:cs="Times New Roman"/>
          <w:szCs w:val="24"/>
        </w:rPr>
      </w:pPr>
    </w:p>
    <w:p w14:paraId="4F884B80" w14:textId="77777777" w:rsidR="00675C35" w:rsidRPr="002B283E" w:rsidRDefault="00675C35" w:rsidP="002B283E">
      <w:pPr>
        <w:autoSpaceDE w:val="0"/>
        <w:autoSpaceDN w:val="0"/>
        <w:adjustRightInd w:val="0"/>
        <w:jc w:val="center"/>
        <w:rPr>
          <w:rFonts w:cs="Times New Roman"/>
          <w:szCs w:val="24"/>
        </w:rPr>
      </w:pPr>
      <w:r w:rsidRPr="002B283E">
        <w:rPr>
          <w:rFonts w:cs="Times New Roman"/>
          <w:b/>
          <w:bCs/>
          <w:szCs w:val="24"/>
        </w:rPr>
        <w:t>Comment</w:t>
      </w:r>
    </w:p>
    <w:p w14:paraId="3AC5544D" w14:textId="77777777" w:rsidR="00675C35" w:rsidRPr="002B283E" w:rsidRDefault="00675C35" w:rsidP="002B283E">
      <w:pPr>
        <w:autoSpaceDE w:val="0"/>
        <w:autoSpaceDN w:val="0"/>
        <w:adjustRightInd w:val="0"/>
        <w:rPr>
          <w:rFonts w:cs="Times New Roman"/>
          <w:szCs w:val="24"/>
        </w:rPr>
      </w:pPr>
    </w:p>
    <w:p w14:paraId="075AAACF" w14:textId="77777777" w:rsidR="0022049B" w:rsidRPr="002B283E" w:rsidRDefault="00675C35" w:rsidP="002B283E">
      <w:pPr>
        <w:rPr>
          <w:rFonts w:cs="Times New Roman"/>
          <w:szCs w:val="24"/>
        </w:rPr>
      </w:pPr>
      <w:r w:rsidRPr="002B283E">
        <w:rPr>
          <w:rFonts w:cs="Times New Roman"/>
          <w:szCs w:val="24"/>
        </w:rPr>
        <w:tab/>
      </w:r>
      <w:r w:rsidR="0022049B" w:rsidRPr="002B283E">
        <w:rPr>
          <w:rFonts w:cs="Times New Roman"/>
          <w:szCs w:val="24"/>
        </w:rPr>
        <w:t xml:space="preserve">In 1995, Congress passed the Federal Trademark Dilution Act (“FTDA”), which remained in effect until 2006, when Congress passed the Trademark Dilution Revision Act of 2006 (“TDRA”). The TDRA significantly modified the FTDA, including overturning </w:t>
      </w:r>
      <w:r w:rsidR="0022049B" w:rsidRPr="002B283E">
        <w:rPr>
          <w:rFonts w:cs="Times New Roman"/>
          <w:i/>
          <w:szCs w:val="24"/>
        </w:rPr>
        <w:t>Moseley v. V Secret Catalogue, Inc.</w:t>
      </w:r>
      <w:r w:rsidR="0022049B" w:rsidRPr="002B283E">
        <w:rPr>
          <w:rFonts w:cs="Times New Roman"/>
          <w:szCs w:val="24"/>
        </w:rPr>
        <w:t>, 537 U.S. 418 (2003), which held that a plaintiff must prove actual dilution under the FTDA. Among other things, the TDRA established a “likelihood of dilution” standard (providing relief for “likely” dilution), eliminated the definition of “dilution,” added definitions of “dilution by tarnishment” and “dilution by blurring,” and modified the “fair use” exclusion.</w:t>
      </w:r>
      <w:r w:rsidR="0022049B" w:rsidRPr="002B283E">
        <w:rPr>
          <w:rFonts w:cs="Times New Roman"/>
          <w:i/>
          <w:szCs w:val="24"/>
        </w:rPr>
        <w:t xml:space="preserve"> See generally Levi Strauss &amp; Co. v. Abercrombie &amp; Fitch Trading Co.</w:t>
      </w:r>
      <w:r w:rsidR="0022049B" w:rsidRPr="002B283E">
        <w:rPr>
          <w:rFonts w:cs="Times New Roman"/>
          <w:szCs w:val="24"/>
        </w:rPr>
        <w:t xml:space="preserve">, 633 F.3d 1158, 1165-71 (9th Cir. 2011). Thus, case law that pre-dates the TDRA generally should not be relied on in a dilution case. </w:t>
      </w:r>
    </w:p>
    <w:p w14:paraId="3C577ECC" w14:textId="77777777" w:rsidR="0022049B" w:rsidRDefault="0022049B" w:rsidP="002B283E">
      <w:pPr>
        <w:rPr>
          <w:rFonts w:cs="Times New Roman"/>
          <w:szCs w:val="24"/>
        </w:rPr>
      </w:pPr>
    </w:p>
    <w:p w14:paraId="75C7C127" w14:textId="77777777" w:rsidR="005E44B0" w:rsidRPr="004D6618" w:rsidRDefault="005E44B0" w:rsidP="005E44B0">
      <w:pPr>
        <w:autoSpaceDE w:val="0"/>
        <w:autoSpaceDN w:val="0"/>
        <w:adjustRightInd w:val="0"/>
        <w:ind w:firstLine="720"/>
        <w:rPr>
          <w:rFonts w:eastAsia="Calibri" w:cs="Times New Roman"/>
          <w:szCs w:val="20"/>
        </w:rPr>
      </w:pPr>
      <w:r w:rsidRPr="004D6618">
        <w:rPr>
          <w:rFonts w:eastAsia="Calibri" w:cs="Times New Roman"/>
          <w:szCs w:val="20"/>
        </w:rPr>
        <w:t>“Dilution occurs when consumers form new and different associations with the plaintiff’s</w:t>
      </w:r>
    </w:p>
    <w:p w14:paraId="0B49FA18"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 xml:space="preserve">mark” </w:t>
      </w:r>
      <w:r w:rsidRPr="004D6618">
        <w:rPr>
          <w:rFonts w:eastAsia="Calibri" w:cs="Times New Roman"/>
          <w:i/>
          <w:iCs/>
          <w:szCs w:val="20"/>
        </w:rPr>
        <w:t>Visa Int’l Serv. Ass’n v. JSL Corp.</w:t>
      </w:r>
      <w:r w:rsidRPr="004D6618">
        <w:rPr>
          <w:rFonts w:eastAsia="Calibri" w:cs="Times New Roman"/>
          <w:szCs w:val="20"/>
        </w:rPr>
        <w:t>, 610 F.3d 1088, 1090 (9th Cir. 2010). To plead a</w:t>
      </w:r>
    </w:p>
    <w:p w14:paraId="300C2730"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trademark dilution claim, a plaintiff must show that “(1) the mark is famous and distinctive;</w:t>
      </w:r>
    </w:p>
    <w:p w14:paraId="5D482651"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(2) the defendant is making use of the mark in commerce; (3) the defendant’s use began after the</w:t>
      </w:r>
    </w:p>
    <w:p w14:paraId="33F2CF03"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mark became famous; and (4) the defendant’s use of the mark is likely to cause dilution by</w:t>
      </w:r>
    </w:p>
    <w:p w14:paraId="04FC7AEA"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 xml:space="preserve">blurring or dilution by tarnishment.” </w:t>
      </w:r>
      <w:r w:rsidRPr="004D6618">
        <w:rPr>
          <w:rFonts w:eastAsia="Calibri" w:cs="Times New Roman"/>
          <w:i/>
          <w:iCs/>
          <w:szCs w:val="20"/>
        </w:rPr>
        <w:t>adidas Am., Inc. v. Skechers USA, Inc.</w:t>
      </w:r>
      <w:r w:rsidRPr="004D6618">
        <w:rPr>
          <w:rFonts w:eastAsia="Calibri" w:cs="Times New Roman"/>
          <w:szCs w:val="20"/>
        </w:rPr>
        <w:t>, 890 F.3d 747, 758</w:t>
      </w:r>
    </w:p>
    <w:p w14:paraId="650407CC"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(9th Cir. 2018) (citation omitted).</w:t>
      </w:r>
    </w:p>
    <w:p w14:paraId="5FEF2E15" w14:textId="77777777" w:rsidR="005E44B0" w:rsidRPr="002B283E" w:rsidRDefault="005E44B0" w:rsidP="002B283E">
      <w:pPr>
        <w:rPr>
          <w:rFonts w:cs="Times New Roman"/>
          <w:szCs w:val="24"/>
        </w:rPr>
      </w:pPr>
    </w:p>
    <w:p w14:paraId="03A82969" w14:textId="77777777" w:rsidR="0022049B" w:rsidRPr="002B283E" w:rsidRDefault="0022049B" w:rsidP="002B283E">
      <w:pPr>
        <w:rPr>
          <w:rFonts w:cs="Times New Roman"/>
          <w:szCs w:val="24"/>
        </w:rPr>
      </w:pPr>
      <w:r w:rsidRPr="002B283E">
        <w:rPr>
          <w:rFonts w:cs="Times New Roman"/>
          <w:szCs w:val="24"/>
        </w:rPr>
        <w:tab/>
        <w:t xml:space="preserve">In </w:t>
      </w:r>
      <w:r w:rsidRPr="002B283E">
        <w:rPr>
          <w:rFonts w:cs="Times New Roman"/>
          <w:i/>
          <w:szCs w:val="24"/>
        </w:rPr>
        <w:t xml:space="preserve">Blumenthal </w:t>
      </w:r>
      <w:r w:rsidRPr="002B283E">
        <w:rPr>
          <w:rFonts w:cs="Times New Roman"/>
          <w:i/>
          <w:iCs/>
          <w:szCs w:val="24"/>
        </w:rPr>
        <w:t>Distrib.,</w:t>
      </w:r>
      <w:r w:rsidRPr="002B283E">
        <w:rPr>
          <w:rFonts w:cs="Times New Roman"/>
          <w:i/>
          <w:szCs w:val="24"/>
        </w:rPr>
        <w:t xml:space="preserve"> Inc. v. Herman Miller, Inc.</w:t>
      </w:r>
      <w:r w:rsidRPr="002B283E">
        <w:rPr>
          <w:rFonts w:cs="Times New Roman"/>
          <w:szCs w:val="24"/>
        </w:rPr>
        <w:t xml:space="preserve">, 963 F.3d 859, 869-71 (9th Cir. 2020), the Ninth Circuit provided an extensive discussion of the concept of trade dress dilution. </w:t>
      </w:r>
    </w:p>
    <w:p w14:paraId="654957B1" w14:textId="77777777" w:rsidR="0022049B" w:rsidRPr="002B283E" w:rsidRDefault="0022049B" w:rsidP="002B283E">
      <w:pPr>
        <w:rPr>
          <w:rFonts w:cs="Times New Roman"/>
          <w:szCs w:val="24"/>
        </w:rPr>
      </w:pPr>
    </w:p>
    <w:p w14:paraId="49B60422" w14:textId="698C84CD" w:rsidR="0022049B" w:rsidRPr="002B283E" w:rsidRDefault="0022049B" w:rsidP="002B283E">
      <w:pPr>
        <w:ind w:firstLine="720"/>
        <w:rPr>
          <w:rFonts w:cs="Times New Roman"/>
          <w:szCs w:val="24"/>
        </w:rPr>
      </w:pPr>
      <w:r w:rsidRPr="002B283E">
        <w:rPr>
          <w:rFonts w:cs="Times New Roman"/>
          <w:szCs w:val="24"/>
        </w:rPr>
        <w:t xml:space="preserve">In </w:t>
      </w:r>
      <w:r w:rsidRPr="002B283E">
        <w:rPr>
          <w:rFonts w:cs="Times New Roman"/>
          <w:i/>
          <w:szCs w:val="24"/>
        </w:rPr>
        <w:t>Jack Daniel’s Props. v. VIP Prods. LLC</w:t>
      </w:r>
      <w:r w:rsidRPr="002B283E">
        <w:rPr>
          <w:rFonts w:cs="Times New Roman"/>
          <w:szCs w:val="24"/>
        </w:rPr>
        <w:t>, 599 U.S. 140 (2023), the Supreme Court held that the “noncommercial use” exclusion to trademark dilution does not include “every parody or humorous commentary.” 599 U.S. at 162. That is, the fair-use exclusion, 15 U.S.C.</w:t>
      </w:r>
      <w:r w:rsidR="009A0A8A">
        <w:rPr>
          <w:rFonts w:cs="Times New Roman"/>
          <w:szCs w:val="24"/>
        </w:rPr>
        <w:t xml:space="preserve"> </w:t>
      </w:r>
      <w:r w:rsidRPr="002B283E">
        <w:rPr>
          <w:rFonts w:cs="Times New Roman"/>
          <w:szCs w:val="24"/>
        </w:rPr>
        <w:t xml:space="preserve">§ 1125(c)(3)(A), “has its own exclusion: It does not apply when the use is ‘as a designation of source for the person’s own goods or services.’” </w:t>
      </w:r>
      <w:r w:rsidRPr="002B283E">
        <w:rPr>
          <w:rFonts w:cs="Times New Roman"/>
          <w:i/>
          <w:szCs w:val="24"/>
        </w:rPr>
        <w:t>Id</w:t>
      </w:r>
      <w:r w:rsidRPr="002B283E">
        <w:rPr>
          <w:rFonts w:cs="Times New Roman"/>
          <w:szCs w:val="24"/>
        </w:rPr>
        <w:t>. (quoting 15 U.S.C. § 1125(c)(3)(A)). Put differently, if the alleged diluting mark is used as a trademark, the defendant cannot avail itself of the fair-use exclusion for trademark dilution.</w:t>
      </w:r>
    </w:p>
    <w:p w14:paraId="66C9563B" w14:textId="77777777" w:rsidR="0022049B" w:rsidRPr="002B283E" w:rsidRDefault="0022049B" w:rsidP="002B283E">
      <w:pPr>
        <w:rPr>
          <w:rFonts w:cs="Times New Roman"/>
          <w:szCs w:val="24"/>
        </w:rPr>
      </w:pPr>
    </w:p>
    <w:p w14:paraId="5D5DF2A2" w14:textId="5BAD4136" w:rsidR="003E3B69" w:rsidRPr="002B283E" w:rsidRDefault="0022049B" w:rsidP="002B283E">
      <w:pPr>
        <w:jc w:val="right"/>
        <w:rPr>
          <w:rFonts w:cs="Times New Roman"/>
          <w:i/>
          <w:iCs/>
          <w:szCs w:val="24"/>
        </w:rPr>
      </w:pPr>
      <w:r w:rsidRPr="002B283E">
        <w:rPr>
          <w:rFonts w:cs="Times New Roman"/>
          <w:i/>
          <w:iCs/>
          <w:szCs w:val="24"/>
        </w:rPr>
        <w:t xml:space="preserve">Revised </w:t>
      </w:r>
      <w:r w:rsidR="005E44B0">
        <w:rPr>
          <w:rFonts w:cs="Times New Roman"/>
          <w:i/>
          <w:iCs/>
          <w:szCs w:val="24"/>
        </w:rPr>
        <w:t>December 2025</w:t>
      </w:r>
    </w:p>
    <w:p w14:paraId="7832201E" w14:textId="6A351A22" w:rsidR="003E3B69" w:rsidRPr="002B283E" w:rsidRDefault="006A4CD7" w:rsidP="002B283E">
      <w:pPr>
        <w:pStyle w:val="Heading2"/>
      </w:pPr>
      <w:r w:rsidRPr="002B283E">
        <w:br w:type="page"/>
      </w:r>
      <w:bookmarkStart w:id="384" w:name="_Toc221525299"/>
      <w:r w:rsidRPr="002B283E">
        <w:lastRenderedPageBreak/>
        <w:t>15.3</w:t>
      </w:r>
      <w:r w:rsidR="00924443">
        <w:t>3</w:t>
      </w:r>
      <w:r w:rsidRPr="002B283E">
        <w:t xml:space="preserve"> </w:t>
      </w:r>
      <w:r w:rsidR="00BF24DD" w:rsidRPr="002B283E">
        <w:t xml:space="preserve">Anti-Cybersquatting </w:t>
      </w:r>
      <w:r w:rsidRPr="002B283E">
        <w:t>(15 U.S.C. § 1125(d))</w:t>
      </w:r>
      <w:bookmarkEnd w:id="384"/>
    </w:p>
    <w:p w14:paraId="360714FD" w14:textId="77777777" w:rsidR="006A4CD7" w:rsidRPr="002B283E" w:rsidRDefault="006A4CD7" w:rsidP="002B283E">
      <w:pPr>
        <w:rPr>
          <w:rFonts w:cs="Times New Roman"/>
          <w:szCs w:val="24"/>
        </w:rPr>
      </w:pPr>
    </w:p>
    <w:p w14:paraId="48BCEB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2A6530D" w14:textId="77777777" w:rsidR="006A4CD7" w:rsidRPr="002B283E" w:rsidRDefault="006A4CD7" w:rsidP="002B283E">
      <w:pPr>
        <w:rPr>
          <w:rFonts w:cs="Times New Roman"/>
          <w:szCs w:val="24"/>
        </w:rPr>
      </w:pPr>
    </w:p>
    <w:p w14:paraId="2E11DDA5" w14:textId="77777777" w:rsidR="001E7F42" w:rsidRPr="002B283E" w:rsidRDefault="006A4CD7" w:rsidP="002B283E">
      <w:pPr>
        <w:rPr>
          <w:rFonts w:cs="Times New Roman"/>
          <w:szCs w:val="24"/>
        </w:rPr>
      </w:pPr>
      <w:r w:rsidRPr="002B283E">
        <w:rPr>
          <w:rFonts w:cs="Times New Roman"/>
          <w:szCs w:val="24"/>
        </w:rPr>
        <w:tab/>
      </w:r>
      <w:r w:rsidR="001E7F42" w:rsidRPr="002B283E">
        <w:rPr>
          <w:rFonts w:cs="Times New Roman"/>
          <w:szCs w:val="24"/>
        </w:rPr>
        <w:t>In 1999, Congress passed the Anti-Cybersquatting Consumer Protection Act (“ACPA”). The ACPA “establishes civil liability for ‘cyberpiracy’ where a plaintiff proves that (1) the defendant registered, trafficked in, or used a domain name; (2) the domain name is identical or confusingly similar to a protected mark owned by the plaintiff; and (3) the defendant acted ‘with bad faith intent to profit from that mark.’”</w:t>
      </w:r>
      <w:r w:rsidR="001E7F42" w:rsidRPr="002B283E">
        <w:rPr>
          <w:rFonts w:cs="Times New Roman"/>
          <w:i/>
          <w:szCs w:val="24"/>
        </w:rPr>
        <w:t xml:space="preserve"> DSPT </w:t>
      </w:r>
      <w:r w:rsidR="001E7F42" w:rsidRPr="002B283E">
        <w:rPr>
          <w:rFonts w:cs="Times New Roman"/>
          <w:i/>
          <w:iCs/>
          <w:szCs w:val="24"/>
        </w:rPr>
        <w:t>Int’l</w:t>
      </w:r>
      <w:r w:rsidR="001E7F42" w:rsidRPr="002B283E">
        <w:rPr>
          <w:rFonts w:cs="Times New Roman"/>
          <w:i/>
          <w:szCs w:val="24"/>
        </w:rPr>
        <w:t>., Inc. v. Nahum</w:t>
      </w:r>
      <w:r w:rsidR="001E7F42" w:rsidRPr="002B283E">
        <w:rPr>
          <w:rFonts w:cs="Times New Roman"/>
          <w:szCs w:val="24"/>
        </w:rPr>
        <w:t xml:space="preserve">, 624 F.3d 1213, 1218-19 (9th Cir. 2010). In addition, using in a domain name another’s protected mark “to get leverage in a business dispute” is sufficient to establish “bad faith intent.” </w:t>
      </w:r>
      <w:r w:rsidR="001E7F42" w:rsidRPr="002B283E">
        <w:rPr>
          <w:rFonts w:cs="Times New Roman"/>
          <w:i/>
          <w:szCs w:val="24"/>
        </w:rPr>
        <w:t xml:space="preserve">Id. </w:t>
      </w:r>
      <w:r w:rsidR="001E7F42" w:rsidRPr="002B283E">
        <w:rPr>
          <w:rFonts w:cs="Times New Roman"/>
          <w:szCs w:val="24"/>
        </w:rPr>
        <w:t xml:space="preserve">at 1219-20. </w:t>
      </w:r>
    </w:p>
    <w:p w14:paraId="7E70D522" w14:textId="77777777" w:rsidR="001E7F42" w:rsidRPr="002B283E" w:rsidRDefault="001E7F42" w:rsidP="002B283E">
      <w:pPr>
        <w:rPr>
          <w:rFonts w:cs="Times New Roman"/>
          <w:szCs w:val="24"/>
        </w:rPr>
      </w:pPr>
    </w:p>
    <w:p w14:paraId="11CCDBBD" w14:textId="49AD8385" w:rsidR="006A4CD7" w:rsidRPr="002B283E" w:rsidRDefault="001E7F42" w:rsidP="002B283E">
      <w:pPr>
        <w:autoSpaceDE w:val="0"/>
        <w:autoSpaceDN w:val="0"/>
        <w:adjustRightInd w:val="0"/>
        <w:jc w:val="right"/>
        <w:rPr>
          <w:rFonts w:cs="Times New Roman"/>
          <w:szCs w:val="24"/>
        </w:rPr>
      </w:pPr>
      <w:r w:rsidRPr="002B283E">
        <w:rPr>
          <w:rFonts w:cs="Times New Roman"/>
          <w:i/>
          <w:szCs w:val="24"/>
        </w:rPr>
        <w:t>Revised March 2024</w:t>
      </w:r>
      <w:r w:rsidR="006A4CD7" w:rsidRPr="002B283E">
        <w:rPr>
          <w:rFonts w:cs="Times New Roman"/>
          <w:szCs w:val="24"/>
        </w:rPr>
        <w:t xml:space="preserve"> </w:t>
      </w:r>
      <w:r w:rsidR="006A4CD7" w:rsidRPr="002B283E">
        <w:rPr>
          <w:rFonts w:cs="Times New Roman"/>
          <w:i/>
          <w:iCs/>
          <w:szCs w:val="24"/>
        </w:rPr>
        <w:t xml:space="preserve"> </w:t>
      </w:r>
      <w:r w:rsidR="006A4CD7" w:rsidRPr="002B283E">
        <w:rPr>
          <w:rFonts w:cs="Times New Roman"/>
          <w:szCs w:val="24"/>
        </w:rPr>
        <w:t xml:space="preserve"> </w:t>
      </w:r>
    </w:p>
    <w:p w14:paraId="7B16961B" w14:textId="77777777" w:rsidR="003E3B69" w:rsidRPr="002B283E" w:rsidRDefault="003E3B69" w:rsidP="002B283E">
      <w:pPr>
        <w:autoSpaceDE w:val="0"/>
        <w:autoSpaceDN w:val="0"/>
        <w:adjustRightInd w:val="0"/>
        <w:rPr>
          <w:rFonts w:cs="Times New Roman"/>
          <w:szCs w:val="24"/>
        </w:rPr>
      </w:pPr>
    </w:p>
    <w:p w14:paraId="2C898FB5" w14:textId="0B02819B" w:rsidR="006A4CD7" w:rsidRPr="002B283E" w:rsidRDefault="006A4CD7" w:rsidP="002B283E">
      <w:pPr>
        <w:pStyle w:val="Heading1"/>
        <w:spacing w:before="0" w:line="240" w:lineRule="auto"/>
      </w:pPr>
      <w:r w:rsidRPr="002B283E">
        <w:br w:type="page"/>
      </w:r>
      <w:bookmarkStart w:id="385" w:name="_Toc221525300"/>
      <w:r w:rsidRPr="002B283E">
        <w:lastRenderedPageBreak/>
        <w:t>16</w:t>
      </w:r>
      <w:r w:rsidR="00A87F6E">
        <w:t xml:space="preserve">. </w:t>
      </w:r>
      <w:r w:rsidRPr="002B283E">
        <w:t>PATENTS</w:t>
      </w:r>
      <w:bookmarkEnd w:id="385"/>
    </w:p>
    <w:p w14:paraId="345ADD02" w14:textId="77777777" w:rsidR="006A4CD7" w:rsidRPr="002B283E" w:rsidRDefault="006A4CD7" w:rsidP="002B283E">
      <w:pPr>
        <w:rPr>
          <w:rFonts w:cs="Times New Roman"/>
          <w:szCs w:val="24"/>
        </w:rPr>
      </w:pPr>
    </w:p>
    <w:p w14:paraId="1CDD6FC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6167EF5" w14:textId="77777777" w:rsidR="006A4CD7" w:rsidRPr="002B283E" w:rsidRDefault="006A4CD7" w:rsidP="002B283E">
      <w:pPr>
        <w:autoSpaceDE w:val="0"/>
        <w:autoSpaceDN w:val="0"/>
        <w:adjustRightInd w:val="0"/>
        <w:rPr>
          <w:rFonts w:cs="Times New Roman"/>
          <w:szCs w:val="24"/>
        </w:rPr>
      </w:pPr>
    </w:p>
    <w:p w14:paraId="400EF729" w14:textId="4ECFA8EE" w:rsidR="003210DD" w:rsidRPr="002B283E" w:rsidRDefault="006A4CD7" w:rsidP="002B283E">
      <w:pPr>
        <w:autoSpaceDE w:val="0"/>
        <w:autoSpaceDN w:val="0"/>
        <w:adjustRightInd w:val="0"/>
        <w:rPr>
          <w:rFonts w:cs="Times New Roman"/>
          <w:szCs w:val="24"/>
        </w:rPr>
      </w:pPr>
      <w:r w:rsidRPr="002B283E">
        <w:rPr>
          <w:rFonts w:cs="Times New Roman"/>
          <w:szCs w:val="24"/>
        </w:rPr>
        <w:tab/>
      </w:r>
      <w:r w:rsidR="003210DD" w:rsidRPr="002B283E">
        <w:rPr>
          <w:rFonts w:cs="Times New Roman"/>
          <w:szCs w:val="24"/>
        </w:rPr>
        <w:t>The Ninth Circuit’s model patent jury instructions have been withdrawn. The following patent jury instructions are a helpful source:</w:t>
      </w:r>
    </w:p>
    <w:p w14:paraId="192CA522" w14:textId="77777777" w:rsidR="003210DD" w:rsidRPr="002B283E" w:rsidRDefault="003210DD" w:rsidP="002B283E">
      <w:pPr>
        <w:autoSpaceDE w:val="0"/>
        <w:autoSpaceDN w:val="0"/>
        <w:adjustRightInd w:val="0"/>
        <w:rPr>
          <w:rFonts w:cs="Times New Roman"/>
          <w:szCs w:val="24"/>
        </w:rPr>
      </w:pPr>
    </w:p>
    <w:p w14:paraId="68B26D8C" w14:textId="203266BF"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United States District Court, Northern District of California, Model Patent Jury Instructions (20</w:t>
      </w:r>
      <w:r w:rsidRPr="002B283E">
        <w:rPr>
          <w:rFonts w:cs="Times New Roman"/>
          <w:szCs w:val="24"/>
        </w:rPr>
        <w:t>17 updated October 2019</w:t>
      </w:r>
      <w:r w:rsidRPr="002B283E">
        <w:rPr>
          <w:rFonts w:cs="Times New Roman"/>
          <w:smallCaps/>
          <w:szCs w:val="24"/>
        </w:rPr>
        <w:t>)</w:t>
      </w:r>
      <w:r w:rsidR="00A87F6E">
        <w:rPr>
          <w:rFonts w:cs="Times New Roman"/>
          <w:smallCaps/>
          <w:szCs w:val="24"/>
        </w:rPr>
        <w:t xml:space="preserve">. </w:t>
      </w:r>
      <w:r w:rsidRPr="002B283E">
        <w:rPr>
          <w:rFonts w:cs="Times New Roman"/>
          <w:szCs w:val="24"/>
        </w:rPr>
        <w:t>The instructions can be accessed at:</w:t>
      </w:r>
    </w:p>
    <w:p w14:paraId="20219483" w14:textId="77777777" w:rsidR="003210DD" w:rsidRPr="002B283E" w:rsidRDefault="003210DD" w:rsidP="002B283E">
      <w:pPr>
        <w:autoSpaceDE w:val="0"/>
        <w:autoSpaceDN w:val="0"/>
        <w:adjustRightInd w:val="0"/>
        <w:rPr>
          <w:rFonts w:cs="Times New Roman"/>
          <w:szCs w:val="24"/>
        </w:rPr>
      </w:pPr>
    </w:p>
    <w:p w14:paraId="43BD295E" w14:textId="68D218D7" w:rsidR="009A0A8A" w:rsidRPr="002B283E" w:rsidRDefault="009A0A8A" w:rsidP="008A04C2">
      <w:pPr>
        <w:autoSpaceDE w:val="0"/>
        <w:autoSpaceDN w:val="0"/>
        <w:adjustRightInd w:val="0"/>
        <w:ind w:left="720" w:right="720"/>
        <w:jc w:val="both"/>
        <w:rPr>
          <w:rFonts w:cs="Times New Roman"/>
          <w:szCs w:val="24"/>
        </w:rPr>
      </w:pPr>
      <w:hyperlink r:id="rId23" w:history="1">
        <w:r w:rsidRPr="00523A9B">
          <w:rPr>
            <w:rStyle w:val="Hyperlink"/>
            <w:rFonts w:cs="Times New Roman"/>
            <w:szCs w:val="24"/>
          </w:rPr>
          <w:t>https://cand.uscourts.gov/wp-content/uploads/forms/jury-instructions/NDCA_Model_Patent_Jury_Instructions_erroneous-citation-omitted-10-28-24.pdf</w:t>
        </w:r>
      </w:hyperlink>
      <w:r>
        <w:rPr>
          <w:rFonts w:cs="Times New Roman"/>
          <w:szCs w:val="24"/>
        </w:rPr>
        <w:t xml:space="preserve"> or </w:t>
      </w:r>
      <w:hyperlink r:id="rId24" w:history="1">
        <w:r w:rsidRPr="00523A9B">
          <w:rPr>
            <w:rStyle w:val="Hyperlink"/>
            <w:rFonts w:cs="Times New Roman"/>
            <w:szCs w:val="24"/>
          </w:rPr>
          <w:t>https://perma.cc/9XGC-LHVT</w:t>
        </w:r>
      </w:hyperlink>
      <w:r>
        <w:rPr>
          <w:rFonts w:cs="Times New Roman"/>
          <w:szCs w:val="24"/>
        </w:rPr>
        <w:t xml:space="preserve"> </w:t>
      </w:r>
    </w:p>
    <w:p w14:paraId="2633FEBD" w14:textId="77777777" w:rsidR="003210DD" w:rsidRPr="002B283E" w:rsidRDefault="003210DD" w:rsidP="002B283E">
      <w:pPr>
        <w:autoSpaceDE w:val="0"/>
        <w:autoSpaceDN w:val="0"/>
        <w:adjustRightInd w:val="0"/>
        <w:rPr>
          <w:rFonts w:cs="Times New Roman"/>
          <w:szCs w:val="24"/>
        </w:rPr>
      </w:pPr>
    </w:p>
    <w:p w14:paraId="33C05042"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Other sources of patent jury instructions that may be helpful include:</w:t>
      </w:r>
    </w:p>
    <w:p w14:paraId="73D3C545"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p>
    <w:p w14:paraId="19F1295E" w14:textId="6D45F363" w:rsidR="00D909D6" w:rsidRPr="002B283E" w:rsidRDefault="003210DD" w:rsidP="00200FD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American Bar Association Section of Litigation, Model Jury Instructions: Patent Litigation</w:t>
      </w:r>
      <w:r w:rsidRPr="002B283E">
        <w:rPr>
          <w:rFonts w:cs="Times New Roman"/>
          <w:szCs w:val="24"/>
        </w:rPr>
        <w:t xml:space="preserve"> (Matthew C. Acosta ed., 2d ed. 2023).</w:t>
      </w:r>
      <w:r w:rsidR="00D909D6">
        <w:rPr>
          <w:rFonts w:cs="Times New Roman"/>
          <w:szCs w:val="24"/>
        </w:rPr>
        <w:t xml:space="preserve"> </w:t>
      </w:r>
    </w:p>
    <w:p w14:paraId="3D13600C" w14:textId="77777777" w:rsidR="003210DD" w:rsidRPr="002B283E" w:rsidRDefault="003210DD" w:rsidP="002B283E">
      <w:pPr>
        <w:autoSpaceDE w:val="0"/>
        <w:autoSpaceDN w:val="0"/>
        <w:adjustRightInd w:val="0"/>
        <w:rPr>
          <w:rFonts w:cs="Times New Roman"/>
          <w:szCs w:val="24"/>
        </w:rPr>
      </w:pPr>
    </w:p>
    <w:p w14:paraId="2B588D51"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Kevin F. O’Malley, et al., 3A Federal Jury Practice and Instructions</w:t>
      </w:r>
      <w:r w:rsidRPr="002B283E">
        <w:rPr>
          <w:rFonts w:cs="Times New Roman"/>
          <w:szCs w:val="24"/>
        </w:rPr>
        <w:t xml:space="preserve"> ch. 158 Patent Infringement (Thomson West 2006 6th ed.), available through WestLaw.</w:t>
      </w:r>
    </w:p>
    <w:p w14:paraId="7F3237E9" w14:textId="77777777" w:rsidR="003210DD" w:rsidRPr="002B283E" w:rsidRDefault="003210DD" w:rsidP="002B283E">
      <w:pPr>
        <w:autoSpaceDE w:val="0"/>
        <w:autoSpaceDN w:val="0"/>
        <w:adjustRightInd w:val="0"/>
        <w:rPr>
          <w:rFonts w:cs="Times New Roman"/>
          <w:szCs w:val="24"/>
        </w:rPr>
      </w:pPr>
    </w:p>
    <w:p w14:paraId="4497DD88" w14:textId="77777777" w:rsidR="003210DD" w:rsidRPr="002B283E" w:rsidRDefault="003210DD" w:rsidP="002B283E">
      <w:pPr>
        <w:autoSpaceDE w:val="0"/>
        <w:autoSpaceDN w:val="0"/>
        <w:adjustRightInd w:val="0"/>
        <w:rPr>
          <w:rFonts w:cs="Times New Roman"/>
          <w:smallCaps/>
          <w:szCs w:val="24"/>
        </w:rPr>
      </w:pPr>
      <w:r w:rsidRPr="002B283E">
        <w:rPr>
          <w:rFonts w:cs="Times New Roman"/>
          <w:szCs w:val="24"/>
        </w:rPr>
        <w:tab/>
      </w:r>
      <w:r w:rsidRPr="002B283E">
        <w:rPr>
          <w:rFonts w:cs="Times New Roman"/>
          <w:smallCaps/>
          <w:szCs w:val="24"/>
        </w:rPr>
        <w:t>4-86 Modern Federal Jury Instructions–Civil ¶¶ 86.01-86.04</w:t>
      </w:r>
      <w:r w:rsidRPr="002B283E">
        <w:rPr>
          <w:rFonts w:cs="Times New Roman"/>
          <w:szCs w:val="24"/>
        </w:rPr>
        <w:t xml:space="preserve">(Matthew Bender), available through LexisNexis.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111A75DD" w14:textId="77777777" w:rsidR="003210DD" w:rsidRPr="002B283E" w:rsidRDefault="003210DD" w:rsidP="002B283E">
      <w:pPr>
        <w:rPr>
          <w:rFonts w:cs="Times New Roman"/>
          <w:szCs w:val="24"/>
        </w:rPr>
      </w:pPr>
      <w:hyperlink w:history="1"/>
    </w:p>
    <w:p w14:paraId="3F284F64" w14:textId="77777777" w:rsidR="003210DD" w:rsidRPr="002B283E" w:rsidRDefault="003210DD" w:rsidP="002B283E">
      <w:pPr>
        <w:rPr>
          <w:rFonts w:cs="Times New Roman"/>
          <w:szCs w:val="24"/>
        </w:rPr>
      </w:pPr>
    </w:p>
    <w:p w14:paraId="5D26F802" w14:textId="502DDCE1" w:rsidR="003E3B69" w:rsidRPr="002B283E" w:rsidRDefault="003210DD" w:rsidP="002B283E">
      <w:pPr>
        <w:jc w:val="right"/>
        <w:rPr>
          <w:rFonts w:cs="Times New Roman"/>
          <w:i/>
          <w:iCs/>
          <w:szCs w:val="24"/>
        </w:rPr>
      </w:pPr>
      <w:r w:rsidRPr="002B283E">
        <w:rPr>
          <w:rFonts w:cs="Times New Roman"/>
          <w:i/>
          <w:iCs/>
          <w:szCs w:val="24"/>
        </w:rPr>
        <w:t>Revised March 2024</w:t>
      </w:r>
    </w:p>
    <w:p w14:paraId="3B05575E" w14:textId="5E50FC0C" w:rsidR="00842D3D" w:rsidRPr="002B283E" w:rsidRDefault="006A4CD7" w:rsidP="00842D3D">
      <w:pPr>
        <w:pStyle w:val="Heading1"/>
        <w:spacing w:before="0" w:line="240" w:lineRule="auto"/>
        <w:rPr>
          <w:i/>
          <w:iCs/>
        </w:rPr>
      </w:pPr>
      <w:r w:rsidRPr="002B283E">
        <w:br w:type="page"/>
      </w:r>
    </w:p>
    <w:p w14:paraId="19652580" w14:textId="77777777" w:rsidR="00842D3D" w:rsidRPr="00842D3D" w:rsidRDefault="00842D3D" w:rsidP="00842D3D">
      <w:pPr>
        <w:tabs>
          <w:tab w:val="left" w:pos="720"/>
          <w:tab w:val="left" w:pos="3662"/>
        </w:tabs>
        <w:autoSpaceDE w:val="0"/>
        <w:autoSpaceDN w:val="0"/>
        <w:adjustRightInd w:val="0"/>
        <w:ind w:right="20"/>
        <w:jc w:val="center"/>
        <w:outlineLvl w:val="0"/>
        <w:rPr>
          <w:rFonts w:eastAsia="Calibri" w:cs="Times New Roman"/>
          <w:b/>
          <w:bCs/>
          <w:szCs w:val="24"/>
        </w:rPr>
      </w:pPr>
      <w:bookmarkStart w:id="386" w:name="_Toc221525301"/>
      <w:r w:rsidRPr="00842D3D">
        <w:rPr>
          <w:rFonts w:eastAsia="Calibri" w:cs="Times New Roman"/>
          <w:b/>
          <w:bCs/>
          <w:szCs w:val="24"/>
        </w:rPr>
        <w:lastRenderedPageBreak/>
        <w:t>17. COPYRIGHT</w:t>
      </w:r>
      <w:bookmarkEnd w:id="386"/>
    </w:p>
    <w:p w14:paraId="585C5D64" w14:textId="77777777" w:rsidR="00842D3D" w:rsidRPr="00842D3D" w:rsidRDefault="00842D3D" w:rsidP="00842D3D">
      <w:pPr>
        <w:rPr>
          <w:rFonts w:eastAsia="Calibri" w:cs="Times New Roman"/>
          <w:szCs w:val="24"/>
        </w:rPr>
      </w:pPr>
    </w:p>
    <w:p w14:paraId="6A77A0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r w:rsidRPr="00842D3D">
        <w:rPr>
          <w:rFonts w:eastAsia="Calibri" w:cs="Times New Roman"/>
          <w:szCs w:val="24"/>
        </w:rPr>
        <w:tab/>
      </w:r>
    </w:p>
    <w:p w14:paraId="0A55C3F8" w14:textId="77777777" w:rsidR="00842D3D" w:rsidRPr="00842D3D" w:rsidRDefault="00842D3D" w:rsidP="00842D3D">
      <w:pPr>
        <w:autoSpaceDE w:val="0"/>
        <w:autoSpaceDN w:val="0"/>
        <w:adjustRightInd w:val="0"/>
        <w:rPr>
          <w:rFonts w:eastAsia="Calibri" w:cs="Times New Roman"/>
          <w:szCs w:val="24"/>
        </w:rPr>
      </w:pPr>
    </w:p>
    <w:p w14:paraId="174BB6A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w:t>
      </w:r>
      <w:r w:rsidRPr="00842D3D">
        <w:rPr>
          <w:rFonts w:eastAsia="Calibri" w:cs="Times New Roman"/>
          <w:szCs w:val="24"/>
        </w:rPr>
        <w:tab/>
        <w:t>Preliminary Instruction—Copyright</w:t>
      </w:r>
    </w:p>
    <w:p w14:paraId="4EAB9317"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w:t>
      </w:r>
      <w:r w:rsidRPr="00842D3D">
        <w:rPr>
          <w:rFonts w:eastAsia="Calibri" w:cs="Times New Roman"/>
          <w:szCs w:val="24"/>
        </w:rPr>
        <w:tab/>
        <w:t>Copyright—Defined (17 U.S.C. § 106)</w:t>
      </w:r>
    </w:p>
    <w:p w14:paraId="2736B272"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Pr="00842D3D">
        <w:rPr>
          <w:rFonts w:eastAsia="Calibri" w:cs="Times New Roman"/>
          <w:szCs w:val="24"/>
        </w:rPr>
        <w:tab/>
        <w:t>Copyright—Subject Matter—Generally (17 U.S.C. § 102)</w:t>
      </w:r>
    </w:p>
    <w:p w14:paraId="78689820"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17.4</w:t>
      </w:r>
      <w:r w:rsidRPr="00842D3D">
        <w:rPr>
          <w:rFonts w:eastAsia="Calibri" w:cs="Times New Roman"/>
          <w:szCs w:val="24"/>
        </w:rPr>
        <w:tab/>
        <w:t>Copyright—Subject Matter—Ideas and Expression (17 U.S.C. § 102(b))</w:t>
      </w:r>
    </w:p>
    <w:p w14:paraId="5FA1063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17.5</w:t>
      </w:r>
      <w:r w:rsidRPr="00842D3D">
        <w:rPr>
          <w:rFonts w:eastAsia="Calibri" w:cs="Times New Roman"/>
          <w:szCs w:val="24"/>
        </w:rPr>
        <w:tab/>
        <w:t>Copyright Infringement—Elements—Ownership and Copying (17 U.S.C. § 501(a)-(b))</w:t>
      </w:r>
    </w:p>
    <w:p w14:paraId="3F78A9A0"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17.6</w:t>
      </w:r>
      <w:r w:rsidRPr="00842D3D">
        <w:rPr>
          <w:rFonts w:eastAsia="Calibri" w:cs="Times New Roman"/>
          <w:szCs w:val="24"/>
        </w:rPr>
        <w:tab/>
        <w:t xml:space="preserve">Copyright Infringement—Ownership of Valid Copyright—Definition </w:t>
      </w:r>
    </w:p>
    <w:p w14:paraId="13102EB4"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(17 U.S.C. §§ 201-205)</w:t>
      </w:r>
      <w:r w:rsidRPr="00842D3D">
        <w:rPr>
          <w:rFonts w:eastAsia="Calibri" w:cs="Times New Roman"/>
          <w:szCs w:val="24"/>
        </w:rPr>
        <w:tab/>
      </w:r>
    </w:p>
    <w:p w14:paraId="6EDC5F1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17.7</w:t>
      </w:r>
      <w:r w:rsidRPr="00842D3D">
        <w:rPr>
          <w:rFonts w:eastAsia="Calibri" w:cs="Times New Roman"/>
          <w:szCs w:val="24"/>
        </w:rPr>
        <w:tab/>
        <w:t>Copyright Interests—Copyright Registration Certificate (17 U.S.C. § 410(c))</w:t>
      </w:r>
    </w:p>
    <w:p w14:paraId="1739F6C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17.8</w:t>
      </w:r>
      <w:r w:rsidRPr="00842D3D">
        <w:rPr>
          <w:rFonts w:eastAsia="Calibri" w:cs="Times New Roman"/>
          <w:szCs w:val="24"/>
        </w:rPr>
        <w:tab/>
        <w:t>Copyright Interests—Authorship (17 U.S.C. § 201(a))</w:t>
      </w:r>
    </w:p>
    <w:p w14:paraId="25BD64A6"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17.9</w:t>
      </w:r>
      <w:r w:rsidRPr="00842D3D">
        <w:rPr>
          <w:rFonts w:eastAsia="Calibri" w:cs="Times New Roman"/>
          <w:szCs w:val="24"/>
        </w:rPr>
        <w:tab/>
        <w:t>Copyright Interests—Joint Authors (17 U.S.C. §§ 101, 201(a))</w:t>
      </w:r>
    </w:p>
    <w:p w14:paraId="6DCAEFC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17.10</w:t>
      </w:r>
      <w:r w:rsidRPr="00842D3D">
        <w:rPr>
          <w:rFonts w:eastAsia="Calibri" w:cs="Times New Roman"/>
          <w:szCs w:val="24"/>
        </w:rPr>
        <w:tab/>
        <w:t>Copyright Interests—Authors of Collective Works (17 U.S.C. § 201(c))</w:t>
      </w:r>
    </w:p>
    <w:p w14:paraId="1D5E47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17.11</w:t>
      </w:r>
      <w:r w:rsidRPr="00842D3D">
        <w:rPr>
          <w:rFonts w:eastAsia="Calibri" w:cs="Times New Roman"/>
          <w:szCs w:val="24"/>
        </w:rPr>
        <w:tab/>
        <w:t xml:space="preserve">Copyright Interests—Work Made for Hire by Employee (17 U.S.C. § 201(b)) </w:t>
      </w:r>
    </w:p>
    <w:p w14:paraId="44E97348" w14:textId="77777777" w:rsidR="00842D3D" w:rsidRPr="00842D3D" w:rsidRDefault="00842D3D" w:rsidP="00842D3D">
      <w:pPr>
        <w:tabs>
          <w:tab w:val="left" w:pos="900"/>
          <w:tab w:val="left" w:pos="990"/>
        </w:tabs>
        <w:autoSpaceDE w:val="0"/>
        <w:autoSpaceDN w:val="0"/>
        <w:adjustRightInd w:val="0"/>
        <w:ind w:left="720" w:hanging="720"/>
        <w:rPr>
          <w:rFonts w:eastAsia="Calibri" w:cs="Times New Roman"/>
          <w:szCs w:val="24"/>
        </w:rPr>
      </w:pPr>
      <w:r w:rsidRPr="00842D3D">
        <w:rPr>
          <w:rFonts w:eastAsia="Calibri" w:cs="Times New Roman"/>
          <w:szCs w:val="24"/>
        </w:rPr>
        <w:t>17.12</w:t>
      </w:r>
      <w:r w:rsidRPr="00842D3D">
        <w:rPr>
          <w:rFonts w:eastAsia="Calibri" w:cs="Times New Roman"/>
          <w:szCs w:val="24"/>
        </w:rPr>
        <w:tab/>
      </w:r>
      <w:r w:rsidRPr="00842D3D">
        <w:rPr>
          <w:rFonts w:eastAsia="Calibri" w:cs="Times New Roman"/>
          <w:szCs w:val="24"/>
        </w:rPr>
        <w:tab/>
        <w:t>Copyright Interests—Assignee (17 U.S.C. § 201(d)(1))</w:t>
      </w:r>
    </w:p>
    <w:p w14:paraId="4AF8681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17.13</w:t>
      </w:r>
      <w:r w:rsidRPr="00842D3D">
        <w:rPr>
          <w:rFonts w:eastAsia="Calibri" w:cs="Times New Roman"/>
          <w:szCs w:val="24"/>
        </w:rPr>
        <w:tab/>
        <w:t>Copyright Interests—Exclusive Licensee (17 U.S.C. § 201(d)(2))</w:t>
      </w:r>
    </w:p>
    <w:p w14:paraId="36BD6F5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17.14</w:t>
      </w:r>
      <w:r w:rsidRPr="00842D3D">
        <w:rPr>
          <w:rFonts w:eastAsia="Calibri" w:cs="Times New Roman"/>
          <w:szCs w:val="24"/>
        </w:rPr>
        <w:tab/>
        <w:t>Copyright Infringement—Originality</w:t>
      </w:r>
    </w:p>
    <w:p w14:paraId="1C65B05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17.15</w:t>
      </w:r>
      <w:r w:rsidRPr="00842D3D">
        <w:rPr>
          <w:rFonts w:eastAsia="Calibri" w:cs="Times New Roman"/>
          <w:szCs w:val="24"/>
        </w:rPr>
        <w:tab/>
        <w:t>Copyright Interests—Derivative Work (17 U.S.C. §§ 101, 106(2))</w:t>
      </w:r>
    </w:p>
    <w:p w14:paraId="042B52AD"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17.16</w:t>
      </w:r>
      <w:r w:rsidRPr="00842D3D">
        <w:rPr>
          <w:rFonts w:eastAsia="Calibri" w:cs="Times New Roman"/>
          <w:szCs w:val="24"/>
        </w:rPr>
        <w:tab/>
        <w:t>Compilation (17 U.S.C. § 101)</w:t>
      </w:r>
    </w:p>
    <w:p w14:paraId="0D0F72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17.17</w:t>
      </w:r>
      <w:r w:rsidRPr="00842D3D">
        <w:rPr>
          <w:rFonts w:eastAsia="Calibri" w:cs="Times New Roman"/>
          <w:szCs w:val="24"/>
        </w:rPr>
        <w:tab/>
        <w:t>Copying—Access and Substantial Similarity</w:t>
      </w:r>
    </w:p>
    <w:p w14:paraId="24A815B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17.18</w:t>
      </w:r>
      <w:r w:rsidRPr="00842D3D">
        <w:rPr>
          <w:rFonts w:eastAsia="Calibri" w:cs="Times New Roman"/>
          <w:szCs w:val="24"/>
        </w:rPr>
        <w:tab/>
        <w:t>Copyright Infringement—Copying—Access Defined</w:t>
      </w:r>
    </w:p>
    <w:p w14:paraId="5F56651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17.19</w:t>
      </w:r>
      <w:r w:rsidRPr="00842D3D">
        <w:rPr>
          <w:rFonts w:eastAsia="Calibri" w:cs="Times New Roman"/>
          <w:szCs w:val="24"/>
        </w:rPr>
        <w:tab/>
        <w:t>Substantial Similarity—Extrinsic Test; Intrinsic Test</w:t>
      </w:r>
    </w:p>
    <w:p w14:paraId="10724D5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17.20</w:t>
      </w:r>
      <w:r w:rsidRPr="00842D3D">
        <w:rPr>
          <w:rFonts w:eastAsia="Calibri" w:cs="Times New Roman"/>
          <w:szCs w:val="24"/>
        </w:rPr>
        <w:tab/>
        <w:t>Secondary Liability—Vicarious Infringement—Elements and Burden of Proof</w:t>
      </w:r>
    </w:p>
    <w:p w14:paraId="0C0D34A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17.21</w:t>
      </w:r>
      <w:r w:rsidRPr="00842D3D">
        <w:rPr>
          <w:rFonts w:eastAsia="Calibri" w:cs="Times New Roman"/>
          <w:szCs w:val="24"/>
        </w:rPr>
        <w:tab/>
        <w:t>Secondary Liability—Contributory Infringement—Elements and Burden of Proof</w:t>
      </w:r>
      <w:r w:rsidRPr="00842D3D">
        <w:rPr>
          <w:rFonts w:eastAsia="Calibri" w:cs="Times New Roman"/>
          <w:szCs w:val="24"/>
        </w:rPr>
        <w:tab/>
      </w:r>
    </w:p>
    <w:p w14:paraId="71AAD4A5" w14:textId="756126DF" w:rsidR="00842D3D" w:rsidRPr="00842D3D" w:rsidRDefault="00842D3D" w:rsidP="00842D3D">
      <w:pPr>
        <w:tabs>
          <w:tab w:val="left" w:pos="900"/>
          <w:tab w:val="left" w:pos="99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2</w:t>
      </w:r>
      <w:r w:rsidRPr="00842D3D">
        <w:rPr>
          <w:rFonts w:eastAsia="Calibri" w:cs="Times New Roman"/>
          <w:szCs w:val="24"/>
        </w:rPr>
        <w:t xml:space="preserve">   </w:t>
      </w:r>
      <w:r w:rsidR="006F1E94">
        <w:rPr>
          <w:rFonts w:eastAsia="Calibri" w:cs="Times New Roman"/>
          <w:szCs w:val="24"/>
        </w:rPr>
        <w:t xml:space="preserve">   </w:t>
      </w:r>
      <w:r w:rsidRPr="00842D3D">
        <w:rPr>
          <w:rFonts w:eastAsia="Calibri" w:cs="Times New Roman"/>
          <w:szCs w:val="24"/>
        </w:rPr>
        <w:t>Copyright—Useful Articles/Functional Elements (17 U.S.C. § 101)</w:t>
      </w:r>
    </w:p>
    <w:p w14:paraId="41ACAB30" w14:textId="199F01E9"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3</w:t>
      </w:r>
      <w:r w:rsidRPr="00842D3D">
        <w:rPr>
          <w:rFonts w:eastAsia="Calibri" w:cs="Times New Roman"/>
          <w:szCs w:val="24"/>
        </w:rPr>
        <w:tab/>
        <w:t>Copyright—Affirmative Defense—Fair Use (17 U.S.C. § 107)</w:t>
      </w:r>
    </w:p>
    <w:p w14:paraId="183023FC" w14:textId="514C190F"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4</w:t>
      </w:r>
      <w:r w:rsidRPr="00842D3D">
        <w:rPr>
          <w:rFonts w:eastAsia="Calibri" w:cs="Times New Roman"/>
          <w:szCs w:val="24"/>
        </w:rPr>
        <w:tab/>
      </w:r>
      <w:r w:rsidRPr="00842D3D">
        <w:rPr>
          <w:rFonts w:eastAsia="Calibri" w:cs="Times New Roman"/>
          <w:szCs w:val="24"/>
        </w:rPr>
        <w:tab/>
        <w:t>Copyright—Affirmative Defense—Abandonment</w:t>
      </w:r>
    </w:p>
    <w:p w14:paraId="09E14255" w14:textId="55D81191"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5</w:t>
      </w:r>
      <w:r w:rsidRPr="00842D3D">
        <w:rPr>
          <w:rFonts w:eastAsia="Calibri" w:cs="Times New Roman"/>
          <w:szCs w:val="24"/>
        </w:rPr>
        <w:tab/>
      </w:r>
      <w:r w:rsidRPr="00842D3D">
        <w:rPr>
          <w:rFonts w:eastAsia="Calibri" w:cs="Times New Roman"/>
          <w:szCs w:val="24"/>
        </w:rPr>
        <w:tab/>
        <w:t>Copyright—Affirmative Defense—Copyright Misuse</w:t>
      </w:r>
    </w:p>
    <w:p w14:paraId="21BA6ACE" w14:textId="3198C51C"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6</w:t>
      </w:r>
      <w:r w:rsidRPr="00842D3D">
        <w:rPr>
          <w:rFonts w:eastAsia="Calibri" w:cs="Times New Roman"/>
          <w:szCs w:val="24"/>
        </w:rPr>
        <w:tab/>
      </w:r>
      <w:r w:rsidRPr="00842D3D">
        <w:rPr>
          <w:rFonts w:eastAsia="Calibri" w:cs="Times New Roman"/>
          <w:szCs w:val="24"/>
        </w:rPr>
        <w:tab/>
        <w:t>Copyright—Affirmative Defense—Implied License</w:t>
      </w:r>
    </w:p>
    <w:p w14:paraId="07A035F5" w14:textId="30F62E23"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7</w:t>
      </w:r>
      <w:r w:rsidRPr="00842D3D">
        <w:rPr>
          <w:rFonts w:eastAsia="Calibri" w:cs="Times New Roman"/>
          <w:szCs w:val="24"/>
        </w:rPr>
        <w:tab/>
      </w:r>
      <w:r w:rsidRPr="00842D3D">
        <w:rPr>
          <w:rFonts w:eastAsia="Calibri" w:cs="Times New Roman"/>
          <w:szCs w:val="24"/>
        </w:rPr>
        <w:tab/>
        <w:t xml:space="preserve">Copyright—Affirmative Defense—Express License </w:t>
      </w:r>
    </w:p>
    <w:p w14:paraId="2842B8AB" w14:textId="50F42EF4"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8</w:t>
      </w:r>
      <w:r w:rsidRPr="00842D3D">
        <w:rPr>
          <w:rFonts w:eastAsia="Calibri" w:cs="Times New Roman"/>
          <w:szCs w:val="24"/>
        </w:rPr>
        <w:tab/>
      </w:r>
      <w:r w:rsidRPr="00842D3D">
        <w:rPr>
          <w:rFonts w:eastAsia="Calibri" w:cs="Times New Roman"/>
          <w:szCs w:val="24"/>
        </w:rPr>
        <w:tab/>
        <w:t>Copyright—Affirmative Defense—First Sale (17 U.S.C. § 109(a))</w:t>
      </w:r>
    </w:p>
    <w:p w14:paraId="22B34899" w14:textId="7A6E6C7E" w:rsidR="00842D3D" w:rsidRPr="00842D3D" w:rsidRDefault="00842D3D" w:rsidP="00842D3D">
      <w:pPr>
        <w:tabs>
          <w:tab w:val="left" w:pos="810"/>
          <w:tab w:val="left" w:pos="900"/>
        </w:tabs>
        <w:autoSpaceDE w:val="0"/>
        <w:autoSpaceDN w:val="0"/>
        <w:adjustRightInd w:val="0"/>
        <w:ind w:left="900" w:hanging="900"/>
        <w:rPr>
          <w:rFonts w:eastAsia="Calibri" w:cs="Times New Roman"/>
          <w:szCs w:val="24"/>
        </w:rPr>
      </w:pPr>
      <w:r w:rsidRPr="00842D3D">
        <w:rPr>
          <w:rFonts w:eastAsia="Calibri" w:cs="Times New Roman"/>
          <w:szCs w:val="24"/>
        </w:rPr>
        <w:t>17.2</w:t>
      </w:r>
      <w:r w:rsidR="006F1E94">
        <w:rPr>
          <w:rFonts w:eastAsia="Calibri" w:cs="Times New Roman"/>
          <w:szCs w:val="24"/>
        </w:rPr>
        <w:t>9</w:t>
      </w:r>
      <w:r w:rsidRPr="00842D3D">
        <w:rPr>
          <w:rFonts w:eastAsia="Calibri" w:cs="Times New Roman"/>
          <w:szCs w:val="24"/>
        </w:rPr>
        <w:tab/>
      </w:r>
      <w:r w:rsidRPr="00842D3D">
        <w:rPr>
          <w:rFonts w:eastAsia="Calibri" w:cs="Times New Roman"/>
          <w:szCs w:val="24"/>
        </w:rPr>
        <w:tab/>
        <w:t>Copyright—Affirmative Defense—Service Provider of Network Communications   Services Defined (17 U.S.C. § 512 (i), (k))</w:t>
      </w:r>
    </w:p>
    <w:p w14:paraId="52F4CC34" w14:textId="72140965"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w:t>
      </w:r>
      <w:r w:rsidR="006F1E94">
        <w:rPr>
          <w:rFonts w:eastAsia="Calibri" w:cs="Times New Roman"/>
          <w:szCs w:val="24"/>
        </w:rPr>
        <w:t>30</w:t>
      </w:r>
      <w:r w:rsidRPr="00842D3D">
        <w:rPr>
          <w:rFonts w:eastAsia="Calibri" w:cs="Times New Roman"/>
          <w:szCs w:val="24"/>
        </w:rPr>
        <w:tab/>
        <w:t>Copyright—Affirmative Defense—Limitation on Liability for Transitory Digital Network Communications (17 U.S.C. § 512(a))</w:t>
      </w:r>
    </w:p>
    <w:p w14:paraId="144AD0B1" w14:textId="364B9EB2"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w:t>
      </w:r>
      <w:r w:rsidR="006F1E94">
        <w:rPr>
          <w:rFonts w:eastAsia="Calibri" w:cs="Times New Roman"/>
          <w:szCs w:val="24"/>
        </w:rPr>
        <w:t>31</w:t>
      </w:r>
      <w:r w:rsidRPr="00842D3D">
        <w:rPr>
          <w:rFonts w:eastAsia="Calibri" w:cs="Times New Roman"/>
          <w:szCs w:val="24"/>
        </w:rPr>
        <w:tab/>
      </w:r>
      <w:r w:rsidRPr="00842D3D">
        <w:rPr>
          <w:rFonts w:eastAsia="Calibri" w:cs="Times New Roman"/>
          <w:szCs w:val="24"/>
        </w:rPr>
        <w:tab/>
        <w:t>Copyright—Affirmative Defense—Limitation on Liability for System Caching</w:t>
      </w:r>
    </w:p>
    <w:p w14:paraId="1534DC10" w14:textId="2EC0B2E3"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17.3</w:t>
      </w:r>
      <w:r w:rsidR="006F1E94">
        <w:rPr>
          <w:rFonts w:eastAsia="Calibri" w:cs="Times New Roman"/>
          <w:szCs w:val="24"/>
        </w:rPr>
        <w:t>2</w:t>
      </w:r>
      <w:r w:rsidRPr="00842D3D">
        <w:rPr>
          <w:rFonts w:eastAsia="Calibri" w:cs="Times New Roman"/>
          <w:szCs w:val="24"/>
        </w:rPr>
        <w:tab/>
        <w:t>Copyright—Affirmative Defense—Limitation on Liability for Information Residing on Systems or Networks at Direction of Users (17 U.S.C. § 512(c))</w:t>
      </w:r>
    </w:p>
    <w:p w14:paraId="27EB0969" w14:textId="36BA8AA8"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17.3</w:t>
      </w:r>
      <w:r w:rsidR="006F1E94">
        <w:rPr>
          <w:rFonts w:eastAsia="Calibri" w:cs="Times New Roman"/>
          <w:szCs w:val="24"/>
        </w:rPr>
        <w:t>3</w:t>
      </w:r>
      <w:r w:rsidRPr="00842D3D">
        <w:rPr>
          <w:rFonts w:eastAsia="Calibri" w:cs="Times New Roman"/>
          <w:szCs w:val="24"/>
        </w:rPr>
        <w:tab/>
        <w:t>Copyright—Affirmative Defense—Limitation on Liability for Information Location Tools (17 U.S.C. § 512(d))</w:t>
      </w:r>
    </w:p>
    <w:p w14:paraId="7ED4D270" w14:textId="4080441C"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17.3</w:t>
      </w:r>
      <w:r w:rsidR="006F1E94">
        <w:rPr>
          <w:rFonts w:eastAsia="Calibri" w:cs="Times New Roman"/>
          <w:szCs w:val="24"/>
        </w:rPr>
        <w:t>4</w:t>
      </w:r>
      <w:r w:rsidRPr="00842D3D">
        <w:rPr>
          <w:rFonts w:eastAsia="Calibri" w:cs="Times New Roman"/>
          <w:szCs w:val="24"/>
        </w:rPr>
        <w:tab/>
      </w:r>
      <w:r w:rsidRPr="00842D3D">
        <w:rPr>
          <w:rFonts w:eastAsia="Calibri" w:cs="Times New Roman"/>
          <w:szCs w:val="24"/>
        </w:rPr>
        <w:tab/>
        <w:t>Copyright—Damages (17 U.S.C. § 504)</w:t>
      </w:r>
    </w:p>
    <w:p w14:paraId="459A15F6" w14:textId="0B771EB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17.3</w:t>
      </w:r>
      <w:r w:rsidR="006F1E94">
        <w:rPr>
          <w:rFonts w:eastAsia="Calibri" w:cs="Times New Roman"/>
          <w:szCs w:val="24"/>
        </w:rPr>
        <w:t>5</w:t>
      </w:r>
      <w:r w:rsidRPr="00842D3D">
        <w:rPr>
          <w:rFonts w:eastAsia="Calibri" w:cs="Times New Roman"/>
          <w:szCs w:val="24"/>
        </w:rPr>
        <w:tab/>
        <w:t xml:space="preserve">   Copyright—Damages—Actual Damages (17 U.S.C. § 504(b))</w:t>
      </w:r>
    </w:p>
    <w:p w14:paraId="43496133" w14:textId="00901442"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6F1E94">
        <w:rPr>
          <w:rFonts w:eastAsia="Calibri" w:cs="Times New Roman"/>
          <w:szCs w:val="24"/>
        </w:rPr>
        <w:t>6</w:t>
      </w:r>
      <w:r w:rsidRPr="00842D3D">
        <w:rPr>
          <w:rFonts w:eastAsia="Calibri" w:cs="Times New Roman"/>
          <w:szCs w:val="24"/>
        </w:rPr>
        <w:tab/>
        <w:t>Copyright—Damages—Defendant’s Profits (17 U.S.C. § 504(b))</w:t>
      </w:r>
    </w:p>
    <w:p w14:paraId="7122AB67" w14:textId="0AC2EA3F"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lastRenderedPageBreak/>
        <w:t>17.3</w:t>
      </w:r>
      <w:r w:rsidR="006F1E94">
        <w:rPr>
          <w:rFonts w:eastAsia="Calibri" w:cs="Times New Roman"/>
          <w:szCs w:val="24"/>
        </w:rPr>
        <w:t>7</w:t>
      </w:r>
      <w:r w:rsidRPr="00842D3D">
        <w:rPr>
          <w:rFonts w:eastAsia="Calibri" w:cs="Times New Roman"/>
          <w:szCs w:val="24"/>
        </w:rPr>
        <w:tab/>
        <w:t>Copyright—Damages—Statutory Damages (17 U.S.C. § 504(c))</w:t>
      </w:r>
    </w:p>
    <w:p w14:paraId="5A16925E" w14:textId="77777777" w:rsidR="00842D3D" w:rsidRPr="00842D3D" w:rsidRDefault="00842D3D" w:rsidP="00842D3D">
      <w:pPr>
        <w:tabs>
          <w:tab w:val="left" w:pos="900"/>
        </w:tabs>
        <w:autoSpaceDE w:val="0"/>
        <w:autoSpaceDN w:val="0"/>
        <w:adjustRightInd w:val="0"/>
        <w:rPr>
          <w:rFonts w:eastAsia="Calibri" w:cs="Times New Roman"/>
          <w:szCs w:val="24"/>
        </w:rPr>
      </w:pPr>
    </w:p>
    <w:p w14:paraId="2EF9F50B" w14:textId="62B76EC8"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B172A4">
        <w:rPr>
          <w:rFonts w:eastAsia="Calibri" w:cs="Times New Roman"/>
          <w:szCs w:val="24"/>
        </w:rPr>
        <w:t>8</w:t>
      </w:r>
      <w:r w:rsidRPr="00842D3D">
        <w:rPr>
          <w:rFonts w:eastAsia="Calibri" w:cs="Times New Roman"/>
          <w:szCs w:val="24"/>
        </w:rPr>
        <w:tab/>
        <w:t>Copyright—Damages—Innocent Infringement (17 U.S.C. § 504(c)(2))</w:t>
      </w:r>
    </w:p>
    <w:p w14:paraId="463A791E" w14:textId="56743208"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B172A4">
        <w:rPr>
          <w:rFonts w:eastAsia="Calibri" w:cs="Times New Roman"/>
          <w:szCs w:val="24"/>
        </w:rPr>
        <w:t>9</w:t>
      </w:r>
      <w:r w:rsidRPr="00842D3D">
        <w:rPr>
          <w:rFonts w:eastAsia="Calibri" w:cs="Times New Roman"/>
          <w:szCs w:val="24"/>
        </w:rPr>
        <w:tab/>
        <w:t>Copyright—Damages—Willful Infringement (17 U.S.C. § 504(c)(2))</w:t>
      </w:r>
    </w:p>
    <w:p w14:paraId="4C4550BC" w14:textId="77777777" w:rsidR="00842D3D" w:rsidRPr="00842D3D" w:rsidRDefault="00842D3D" w:rsidP="00842D3D">
      <w:pPr>
        <w:tabs>
          <w:tab w:val="left" w:pos="900"/>
        </w:tabs>
        <w:autoSpaceDE w:val="0"/>
        <w:autoSpaceDN w:val="0"/>
        <w:adjustRightInd w:val="0"/>
        <w:rPr>
          <w:rFonts w:eastAsia="Calibri" w:cs="Times New Roman"/>
          <w:szCs w:val="24"/>
        </w:rPr>
      </w:pPr>
    </w:p>
    <w:p w14:paraId="1A37182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____________________</w:t>
      </w:r>
    </w:p>
    <w:p w14:paraId="4EA6AAE5" w14:textId="77777777" w:rsidR="00842D3D" w:rsidRPr="00842D3D" w:rsidRDefault="00842D3D" w:rsidP="00842D3D">
      <w:pPr>
        <w:autoSpaceDE w:val="0"/>
        <w:autoSpaceDN w:val="0"/>
        <w:adjustRightInd w:val="0"/>
        <w:jc w:val="center"/>
        <w:rPr>
          <w:rFonts w:eastAsia="Calibri" w:cs="Times New Roman"/>
          <w:szCs w:val="24"/>
        </w:rPr>
      </w:pPr>
    </w:p>
    <w:p w14:paraId="6AF6F066" w14:textId="77777777" w:rsidR="00842D3D" w:rsidRPr="00842D3D" w:rsidRDefault="00842D3D" w:rsidP="00842D3D">
      <w:pPr>
        <w:autoSpaceDE w:val="0"/>
        <w:autoSpaceDN w:val="0"/>
        <w:adjustRightInd w:val="0"/>
        <w:jc w:val="center"/>
        <w:rPr>
          <w:rFonts w:eastAsia="Calibri" w:cs="Times New Roman"/>
          <w:szCs w:val="24"/>
        </w:rPr>
      </w:pPr>
    </w:p>
    <w:p w14:paraId="1E7177C3" w14:textId="77777777" w:rsidR="00842D3D" w:rsidRPr="00842D3D" w:rsidRDefault="00842D3D" w:rsidP="00313A05">
      <w:pPr>
        <w:pStyle w:val="Heading2"/>
      </w:pPr>
      <w:r w:rsidRPr="00842D3D">
        <w:br w:type="page"/>
      </w:r>
      <w:bookmarkStart w:id="387" w:name="_Toc221525302"/>
      <w:r w:rsidRPr="00842D3D">
        <w:lastRenderedPageBreak/>
        <w:t>17.1 Preliminary Instruction—Copyright</w:t>
      </w:r>
      <w:bookmarkEnd w:id="387"/>
    </w:p>
    <w:p w14:paraId="020C2D50" w14:textId="77777777" w:rsidR="00842D3D" w:rsidRPr="00842D3D" w:rsidRDefault="00842D3D" w:rsidP="00842D3D">
      <w:pPr>
        <w:autoSpaceDE w:val="0"/>
        <w:autoSpaceDN w:val="0"/>
        <w:adjustRightInd w:val="0"/>
        <w:rPr>
          <w:rFonts w:eastAsia="Calibri" w:cs="Times New Roman"/>
          <w:szCs w:val="24"/>
        </w:rPr>
      </w:pPr>
    </w:p>
    <w:p w14:paraId="283315C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plaintiff [</w:t>
      </w:r>
      <w:r w:rsidRPr="00842D3D">
        <w:rPr>
          <w:rFonts w:eastAsia="Times New Roman" w:cs="Times New Roman"/>
          <w:i/>
          <w:iCs/>
          <w:szCs w:val="24"/>
          <w:u w:val="single"/>
        </w:rPr>
        <w:t>name</w:t>
      </w:r>
      <w:r w:rsidRPr="00842D3D">
        <w:rPr>
          <w:rFonts w:eastAsia="Times New Roman" w:cs="Times New Roman"/>
          <w:szCs w:val="24"/>
        </w:rPr>
        <w:t>] claims ownership of a copyright and seeks damages against the defendant [</w:t>
      </w:r>
      <w:r w:rsidRPr="00842D3D">
        <w:rPr>
          <w:rFonts w:eastAsia="Times New Roman" w:cs="Times New Roman"/>
          <w:i/>
          <w:iCs/>
          <w:szCs w:val="24"/>
          <w:u w:val="single"/>
        </w:rPr>
        <w:t>name</w:t>
      </w:r>
      <w:r w:rsidRPr="00842D3D">
        <w:rPr>
          <w:rFonts w:eastAsia="Times New Roman" w:cs="Times New Roman"/>
          <w:szCs w:val="24"/>
        </w:rPr>
        <w:t>] for copyright infringement. The defendant [</w:t>
      </w:r>
      <w:r w:rsidRPr="00842D3D">
        <w:rPr>
          <w:rFonts w:eastAsia="Times New Roman" w:cs="Times New Roman"/>
          <w:i/>
          <w:iCs/>
          <w:szCs w:val="24"/>
          <w:u w:val="single"/>
        </w:rPr>
        <w:t>name</w:t>
      </w:r>
      <w:r w:rsidRPr="00842D3D">
        <w:rPr>
          <w:rFonts w:eastAsia="Times New Roman" w:cs="Times New Roman"/>
          <w:szCs w:val="24"/>
        </w:rPr>
        <w:t>] denies infringing the copyright [and] [contends that the copyright is invalid] [asserts an affirmative defense]. To help you understand the evidence in this case, I will explain some of the legal terms you will hear during this trial.</w:t>
      </w:r>
    </w:p>
    <w:p w14:paraId="4AD64FBA" w14:textId="77777777" w:rsidR="00842D3D" w:rsidRPr="00842D3D" w:rsidRDefault="00842D3D" w:rsidP="00842D3D">
      <w:pPr>
        <w:shd w:val="clear" w:color="auto" w:fill="FFFFFF"/>
        <w:ind w:firstLine="720"/>
        <w:rPr>
          <w:rFonts w:eastAsia="Times New Roman" w:cs="Times New Roman"/>
          <w:szCs w:val="24"/>
        </w:rPr>
      </w:pPr>
    </w:p>
    <w:p w14:paraId="1ABD6F69"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DEFINITION OF COPYRIGHT</w:t>
      </w:r>
    </w:p>
    <w:p w14:paraId="7067C4A4" w14:textId="77777777" w:rsidR="00842D3D" w:rsidRPr="00842D3D" w:rsidRDefault="00842D3D" w:rsidP="00842D3D">
      <w:pPr>
        <w:shd w:val="clear" w:color="auto" w:fill="FFFFFF"/>
        <w:jc w:val="center"/>
        <w:rPr>
          <w:rFonts w:eastAsia="Times New Roman" w:cs="Times New Roman"/>
          <w:szCs w:val="24"/>
        </w:rPr>
      </w:pPr>
    </w:p>
    <w:p w14:paraId="57EFBBF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owner of a copyright has the right to exclude any other person from reproducing, distributing to the public, publicly performing, publicly displaying, or preparing derivative works from the work covered by copyright for a specific period of time.</w:t>
      </w:r>
    </w:p>
    <w:p w14:paraId="2309E9D7" w14:textId="77777777" w:rsidR="00842D3D" w:rsidRPr="00842D3D" w:rsidRDefault="00842D3D" w:rsidP="00842D3D">
      <w:pPr>
        <w:shd w:val="clear" w:color="auto" w:fill="FFFFFF"/>
        <w:ind w:firstLine="720"/>
        <w:rPr>
          <w:rFonts w:eastAsia="Times New Roman" w:cs="Times New Roman"/>
          <w:szCs w:val="24"/>
        </w:rPr>
      </w:pPr>
    </w:p>
    <w:p w14:paraId="4E5C960D"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copyrighted work can be a literary work, musical work, dramatic work, pantomime, choreographic work, pictorial work, graphic work, sculptural work, motion picture, audiovisual work, sound recording, architectural work, or computer program.</w:t>
      </w:r>
    </w:p>
    <w:p w14:paraId="50F54C5C" w14:textId="77777777" w:rsidR="00842D3D" w:rsidRPr="00842D3D" w:rsidRDefault="00842D3D" w:rsidP="00842D3D">
      <w:pPr>
        <w:shd w:val="clear" w:color="auto" w:fill="FFFFFF"/>
        <w:ind w:firstLine="720"/>
        <w:rPr>
          <w:rFonts w:eastAsia="Times New Roman" w:cs="Times New Roman"/>
          <w:szCs w:val="24"/>
        </w:rPr>
      </w:pPr>
    </w:p>
    <w:p w14:paraId="6D7F44E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Facts, ideas, procedures, processes, systems, methods of operation, concepts, principles, or discoveries cannot themselves be copyrighted.</w:t>
      </w:r>
    </w:p>
    <w:p w14:paraId="46825550" w14:textId="77777777" w:rsidR="00842D3D" w:rsidRPr="00842D3D" w:rsidRDefault="00842D3D" w:rsidP="00842D3D">
      <w:pPr>
        <w:shd w:val="clear" w:color="auto" w:fill="FFFFFF"/>
        <w:ind w:firstLine="720"/>
        <w:rPr>
          <w:rFonts w:eastAsia="Times New Roman" w:cs="Times New Roman"/>
          <w:szCs w:val="24"/>
        </w:rPr>
      </w:pPr>
    </w:p>
    <w:p w14:paraId="110FB55B" w14:textId="77777777" w:rsid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copyrighted work must be original. To be original, the work must be independently created by the author and must possess at least some minimal degree of creativity. An original work that closely resembles other works can be copyrighted so long as the similarity between the two works is not the result of copying.</w:t>
      </w:r>
    </w:p>
    <w:p w14:paraId="643E1B1A" w14:textId="77777777" w:rsidR="003C7E8A" w:rsidRDefault="003C7E8A" w:rsidP="00842D3D">
      <w:pPr>
        <w:shd w:val="clear" w:color="auto" w:fill="FFFFFF"/>
        <w:ind w:firstLine="720"/>
        <w:rPr>
          <w:rFonts w:eastAsia="Times New Roman" w:cs="Times New Roman"/>
          <w:szCs w:val="24"/>
        </w:rPr>
      </w:pPr>
    </w:p>
    <w:p w14:paraId="5BC0BA8F" w14:textId="77777777" w:rsidR="003C7E8A" w:rsidRPr="00E46EF7" w:rsidRDefault="003C7E8A" w:rsidP="003C7E8A">
      <w:pPr>
        <w:shd w:val="clear" w:color="auto" w:fill="FFFFFF"/>
        <w:ind w:firstLine="720"/>
        <w:rPr>
          <w:rFonts w:eastAsia="Times New Roman" w:cs="Times New Roman"/>
          <w:szCs w:val="24"/>
        </w:rPr>
      </w:pPr>
      <w:r w:rsidRPr="00E46EF7">
        <w:rPr>
          <w:rFonts w:eastAsia="Times New Roman" w:cs="Times New Roman"/>
          <w:szCs w:val="24"/>
        </w:rPr>
        <w:t>The copyrighted work also must be expressive. The expressive part of the work is the specific way an idea is expressed (the “how”), not the idea, concept, fact, or procedure itself (the “what”). </w:t>
      </w:r>
    </w:p>
    <w:p w14:paraId="0BC1EDF3" w14:textId="77777777" w:rsidR="003C7E8A" w:rsidRPr="00E46EF7" w:rsidRDefault="003C7E8A" w:rsidP="003C7E8A">
      <w:pPr>
        <w:shd w:val="clear" w:color="auto" w:fill="FFFFFF"/>
        <w:ind w:firstLine="720"/>
        <w:rPr>
          <w:rFonts w:eastAsia="Times New Roman" w:cs="Times New Roman"/>
          <w:szCs w:val="24"/>
        </w:rPr>
      </w:pPr>
    </w:p>
    <w:p w14:paraId="29D22945" w14:textId="77777777" w:rsidR="003C7E8A" w:rsidRPr="00E46EF7" w:rsidRDefault="003C7E8A" w:rsidP="003C7E8A">
      <w:pPr>
        <w:shd w:val="clear" w:color="auto" w:fill="FFFFFF"/>
        <w:ind w:firstLine="720"/>
        <w:rPr>
          <w:rFonts w:eastAsia="Times New Roman" w:cs="Times New Roman"/>
          <w:szCs w:val="24"/>
        </w:rPr>
      </w:pPr>
      <w:r w:rsidRPr="00E46EF7">
        <w:rPr>
          <w:rFonts w:eastAsia="Times New Roman" w:cs="Times New Roman"/>
          <w:szCs w:val="24"/>
        </w:rPr>
        <w:t>The protected elements of a copyrighted work are the parts of the copyrighted work that are both original and expressive. </w:t>
      </w:r>
    </w:p>
    <w:p w14:paraId="3BA3E963" w14:textId="77777777" w:rsidR="003C7E8A" w:rsidRPr="00842D3D" w:rsidRDefault="003C7E8A" w:rsidP="00842D3D">
      <w:pPr>
        <w:shd w:val="clear" w:color="auto" w:fill="FFFFFF"/>
        <w:ind w:firstLine="720"/>
        <w:rPr>
          <w:rFonts w:eastAsia="Times New Roman" w:cs="Times New Roman"/>
          <w:szCs w:val="24"/>
        </w:rPr>
      </w:pPr>
    </w:p>
    <w:p w14:paraId="22AD2EFD" w14:textId="77777777" w:rsidR="00842D3D" w:rsidRPr="00842D3D" w:rsidRDefault="00842D3D" w:rsidP="00842D3D">
      <w:pPr>
        <w:shd w:val="clear" w:color="auto" w:fill="FFFFFF"/>
        <w:ind w:firstLine="720"/>
        <w:rPr>
          <w:rFonts w:eastAsia="Times New Roman" w:cs="Times New Roman"/>
          <w:szCs w:val="24"/>
        </w:rPr>
      </w:pPr>
    </w:p>
    <w:p w14:paraId="68F06BF6"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[COPYRIGHT INTERESTS]</w:t>
      </w:r>
    </w:p>
    <w:p w14:paraId="6A6AA437" w14:textId="77777777" w:rsidR="00842D3D" w:rsidRPr="00842D3D" w:rsidRDefault="00842D3D" w:rsidP="00842D3D">
      <w:pPr>
        <w:shd w:val="clear" w:color="auto" w:fill="FFFFFF"/>
        <w:jc w:val="center"/>
        <w:rPr>
          <w:rFonts w:eastAsia="Times New Roman" w:cs="Times New Roman"/>
          <w:szCs w:val="24"/>
        </w:rPr>
      </w:pPr>
    </w:p>
    <w:p w14:paraId="182AC8BF"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 owner may [transfer] [sell] [convey] to another person all or part of the owner’s property interest in the copyright, that is, the right to exclude others from reproducing, distributing to the public, publicly performing, publicly displaying or preparing derivative works from the copyrighted work. To be valid, the [transfer] [sale] [conveyance] must be in writing and signed by the transferor. The person to whom a right is transferred is called an assignee.]</w:t>
      </w:r>
    </w:p>
    <w:p w14:paraId="3C63F70B" w14:textId="77777777" w:rsidR="00842D3D" w:rsidRPr="00842D3D" w:rsidRDefault="00842D3D" w:rsidP="00842D3D">
      <w:pPr>
        <w:shd w:val="clear" w:color="auto" w:fill="FFFFFF"/>
        <w:ind w:firstLine="720"/>
        <w:rPr>
          <w:rFonts w:eastAsia="Times New Roman" w:cs="Times New Roman"/>
          <w:szCs w:val="24"/>
        </w:rPr>
      </w:pPr>
    </w:p>
    <w:p w14:paraId="6209288D" w14:textId="77777777" w:rsidR="00842D3D" w:rsidRPr="00842D3D" w:rsidRDefault="00842D3D" w:rsidP="00842D3D">
      <w:pPr>
        <w:shd w:val="clear" w:color="auto" w:fill="FFFFFF"/>
        <w:jc w:val="center"/>
        <w:rPr>
          <w:rFonts w:eastAsia="Times New Roman" w:cs="Times New Roman"/>
          <w:i/>
          <w:iCs/>
          <w:szCs w:val="24"/>
        </w:rPr>
      </w:pPr>
      <w:r w:rsidRPr="00842D3D">
        <w:rPr>
          <w:rFonts w:eastAsia="Times New Roman" w:cs="Times New Roman"/>
          <w:i/>
          <w:iCs/>
          <w:szCs w:val="24"/>
        </w:rPr>
        <w:t>or</w:t>
      </w:r>
    </w:p>
    <w:p w14:paraId="146594F9" w14:textId="77777777" w:rsidR="00842D3D" w:rsidRPr="00842D3D" w:rsidRDefault="00842D3D" w:rsidP="00842D3D">
      <w:pPr>
        <w:shd w:val="clear" w:color="auto" w:fill="FFFFFF"/>
        <w:jc w:val="center"/>
        <w:rPr>
          <w:rFonts w:eastAsia="Times New Roman" w:cs="Times New Roman"/>
          <w:szCs w:val="24"/>
        </w:rPr>
      </w:pPr>
    </w:p>
    <w:p w14:paraId="1810CF94"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lastRenderedPageBreak/>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842D3D">
        <w:rPr>
          <w:rFonts w:eastAsia="Times New Roman" w:cs="Times New Roman"/>
          <w:i/>
          <w:iCs/>
          <w:szCs w:val="24"/>
          <w:u w:val="single"/>
        </w:rPr>
        <w:t>describe the rights granted in the license</w:t>
      </w:r>
      <w:r w:rsidRPr="00842D3D">
        <w:rPr>
          <w:rFonts w:eastAsia="Times New Roman" w:cs="Times New Roman"/>
          <w:szCs w:val="24"/>
        </w:rPr>
        <w:t>].]</w:t>
      </w:r>
    </w:p>
    <w:p w14:paraId="57F8204E" w14:textId="77777777" w:rsidR="00842D3D" w:rsidRPr="00842D3D" w:rsidRDefault="00842D3D" w:rsidP="00842D3D">
      <w:pPr>
        <w:shd w:val="clear" w:color="auto" w:fill="FFFFFF"/>
        <w:ind w:firstLine="720"/>
        <w:rPr>
          <w:rFonts w:eastAsia="Times New Roman" w:cs="Times New Roman"/>
          <w:szCs w:val="24"/>
        </w:rPr>
      </w:pPr>
    </w:p>
    <w:p w14:paraId="64FC2B5F"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[HOW COPYRIGHT IS OBTAINED]</w:t>
      </w:r>
    </w:p>
    <w:p w14:paraId="3918CFF3" w14:textId="77777777" w:rsidR="00842D3D" w:rsidRPr="00842D3D" w:rsidRDefault="00842D3D" w:rsidP="00842D3D">
      <w:pPr>
        <w:shd w:val="clear" w:color="auto" w:fill="FFFFFF"/>
        <w:jc w:val="center"/>
        <w:rPr>
          <w:rFonts w:eastAsia="Times New Roman" w:cs="Times New Roman"/>
          <w:szCs w:val="24"/>
        </w:rPr>
      </w:pPr>
    </w:p>
    <w:p w14:paraId="07EE8176"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[Copyright automatically attaches to a work the moment the work is fixed in any tangible medium of expression. The owner of the copyright may also apply to register the copyright by completing a registration form and depositing a copy of the copyrighted work with the United States Copyright 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63E939B9" w14:textId="77777777" w:rsidR="00842D3D" w:rsidRPr="00842D3D" w:rsidRDefault="00842D3D" w:rsidP="00842D3D">
      <w:pPr>
        <w:shd w:val="clear" w:color="auto" w:fill="FFFFFF"/>
        <w:ind w:firstLine="720"/>
        <w:rPr>
          <w:rFonts w:eastAsia="Times New Roman" w:cs="Times New Roman"/>
          <w:szCs w:val="24"/>
        </w:rPr>
      </w:pPr>
    </w:p>
    <w:p w14:paraId="05584E58"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PLAINTIFF’S BURDEN OF PROOF</w:t>
      </w:r>
    </w:p>
    <w:p w14:paraId="27C23B2B" w14:textId="77777777" w:rsidR="00842D3D" w:rsidRPr="00842D3D" w:rsidRDefault="00842D3D" w:rsidP="00842D3D">
      <w:pPr>
        <w:shd w:val="clear" w:color="auto" w:fill="FFFFFF"/>
        <w:jc w:val="center"/>
        <w:rPr>
          <w:rFonts w:eastAsia="Times New Roman" w:cs="Times New Roman"/>
          <w:szCs w:val="24"/>
        </w:rPr>
      </w:pPr>
    </w:p>
    <w:p w14:paraId="6164B91C" w14:textId="3CA62E4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In this case, the plaintiff [</w:t>
      </w:r>
      <w:r w:rsidRPr="00842D3D">
        <w:rPr>
          <w:rFonts w:eastAsia="Times New Roman" w:cs="Times New Roman"/>
          <w:i/>
          <w:iCs/>
          <w:szCs w:val="24"/>
          <w:u w:val="single"/>
        </w:rPr>
        <w:t>name</w:t>
      </w:r>
      <w:r w:rsidRPr="00842D3D">
        <w:rPr>
          <w:rFonts w:eastAsia="Times New Roman" w:cs="Times New Roman"/>
          <w:szCs w:val="24"/>
        </w:rPr>
        <w:t>], contends that the defendant [</w:t>
      </w:r>
      <w:r w:rsidRPr="00842D3D">
        <w:rPr>
          <w:rFonts w:eastAsia="Times New Roman" w:cs="Times New Roman"/>
          <w:i/>
          <w:iCs/>
          <w:szCs w:val="24"/>
          <w:u w:val="single"/>
        </w:rPr>
        <w:t>name</w:t>
      </w:r>
      <w:r w:rsidRPr="00842D3D">
        <w:rPr>
          <w:rFonts w:eastAsia="Times New Roman" w:cs="Times New Roman"/>
          <w:szCs w:val="24"/>
        </w:rPr>
        <w:t>], has infringed the plaintiff [</w:t>
      </w:r>
      <w:r w:rsidRPr="00842D3D">
        <w:rPr>
          <w:rFonts w:eastAsia="Times New Roman" w:cs="Times New Roman"/>
          <w:i/>
          <w:iCs/>
          <w:szCs w:val="24"/>
          <w:u w:val="single"/>
        </w:rPr>
        <w:t>name</w:t>
      </w:r>
      <w:r w:rsidRPr="00842D3D">
        <w:rPr>
          <w:rFonts w:eastAsia="Times New Roman" w:cs="Times New Roman"/>
          <w:szCs w:val="24"/>
        </w:rPr>
        <w:t>]’s copyright. The plaintiff [</w:t>
      </w:r>
      <w:r w:rsidRPr="00842D3D">
        <w:rPr>
          <w:rFonts w:eastAsia="Times New Roman" w:cs="Times New Roman"/>
          <w:i/>
          <w:iCs/>
          <w:szCs w:val="24"/>
          <w:u w:val="single"/>
        </w:rPr>
        <w:t>name</w:t>
      </w:r>
      <w:r w:rsidRPr="00842D3D">
        <w:rPr>
          <w:rFonts w:eastAsia="Times New Roman" w:cs="Times New Roman"/>
          <w:szCs w:val="24"/>
        </w:rPr>
        <w:t>] has the burden of proving by a preponderance of the evidence that the plaintiff [</w:t>
      </w:r>
      <w:r w:rsidRPr="00842D3D">
        <w:rPr>
          <w:rFonts w:eastAsia="Times New Roman" w:cs="Times New Roman"/>
          <w:i/>
          <w:iCs/>
          <w:szCs w:val="24"/>
          <w:u w:val="single"/>
        </w:rPr>
        <w:t>name</w:t>
      </w:r>
      <w:r w:rsidRPr="00842D3D">
        <w:rPr>
          <w:rFonts w:eastAsia="Times New Roman" w:cs="Times New Roman"/>
          <w:szCs w:val="24"/>
        </w:rPr>
        <w:t>] is the owner of the copyright, that the defendant [</w:t>
      </w:r>
      <w:r w:rsidRPr="00842D3D">
        <w:rPr>
          <w:rFonts w:eastAsia="Times New Roman" w:cs="Times New Roman"/>
          <w:i/>
          <w:iCs/>
          <w:szCs w:val="24"/>
          <w:u w:val="single"/>
        </w:rPr>
        <w:t>name</w:t>
      </w:r>
      <w:r w:rsidRPr="00842D3D">
        <w:rPr>
          <w:rFonts w:eastAsia="Times New Roman" w:cs="Times New Roman"/>
          <w:szCs w:val="24"/>
        </w:rPr>
        <w:t xml:space="preserve">] copied </w:t>
      </w:r>
      <w:r w:rsidR="003C7E8A">
        <w:rPr>
          <w:rFonts w:eastAsia="Times New Roman" w:cs="Times New Roman"/>
          <w:szCs w:val="24"/>
        </w:rPr>
        <w:t>protected elements</w:t>
      </w:r>
      <w:r w:rsidRPr="00842D3D">
        <w:rPr>
          <w:rFonts w:eastAsia="Times New Roman" w:cs="Times New Roman"/>
          <w:szCs w:val="24"/>
        </w:rPr>
        <w:t xml:space="preserve"> from the copyrighted work, and that the defendant [</w:t>
      </w:r>
      <w:r w:rsidRPr="00842D3D">
        <w:rPr>
          <w:rFonts w:eastAsia="Times New Roman" w:cs="Times New Roman"/>
          <w:i/>
          <w:iCs/>
          <w:szCs w:val="24"/>
          <w:u w:val="single"/>
        </w:rPr>
        <w:t>name</w:t>
      </w:r>
      <w:r w:rsidRPr="00842D3D">
        <w:rPr>
          <w:rFonts w:eastAsia="Times New Roman" w:cs="Times New Roman"/>
          <w:szCs w:val="24"/>
        </w:rPr>
        <w:t>] caused the infringement. Preponderance of the evidence means that you must be persuaded by the evidence that it is more probably true than not true that the copyrighted work was infringed.</w:t>
      </w:r>
    </w:p>
    <w:p w14:paraId="701E54DD" w14:textId="77777777" w:rsidR="00842D3D" w:rsidRPr="00842D3D" w:rsidRDefault="00842D3D" w:rsidP="00842D3D">
      <w:pPr>
        <w:shd w:val="clear" w:color="auto" w:fill="FFFFFF"/>
        <w:ind w:firstLine="720"/>
        <w:rPr>
          <w:rFonts w:eastAsia="Times New Roman" w:cs="Times New Roman"/>
          <w:szCs w:val="24"/>
        </w:rPr>
      </w:pPr>
    </w:p>
    <w:p w14:paraId="56AA9F7D"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PROOF OF COPYING</w:t>
      </w:r>
    </w:p>
    <w:p w14:paraId="6AB56C54" w14:textId="77777777" w:rsidR="00842D3D" w:rsidRPr="00842D3D" w:rsidRDefault="00842D3D" w:rsidP="00842D3D">
      <w:pPr>
        <w:shd w:val="clear" w:color="auto" w:fill="FFFFFF"/>
        <w:jc w:val="center"/>
        <w:rPr>
          <w:rFonts w:eastAsia="Times New Roman" w:cs="Times New Roman"/>
          <w:szCs w:val="24"/>
        </w:rPr>
      </w:pPr>
    </w:p>
    <w:p w14:paraId="4D09BE4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To prove that the defendant [</w:t>
      </w:r>
      <w:r w:rsidRPr="00842D3D">
        <w:rPr>
          <w:rFonts w:eastAsia="Times New Roman" w:cs="Times New Roman"/>
          <w:i/>
          <w:iCs/>
          <w:szCs w:val="24"/>
          <w:u w:val="single"/>
        </w:rPr>
        <w:t>name</w:t>
      </w:r>
      <w:r w:rsidRPr="00842D3D">
        <w:rPr>
          <w:rFonts w:eastAsia="Times New Roman" w:cs="Times New Roman"/>
          <w:szCs w:val="24"/>
        </w:rPr>
        <w:t>] copied the plaintiff [</w:t>
      </w:r>
      <w:r w:rsidRPr="00842D3D">
        <w:rPr>
          <w:rFonts w:eastAsia="Times New Roman" w:cs="Times New Roman"/>
          <w:i/>
          <w:iCs/>
          <w:szCs w:val="24"/>
          <w:u w:val="single"/>
        </w:rPr>
        <w:t>name</w:t>
      </w:r>
      <w:r w:rsidRPr="00842D3D">
        <w:rPr>
          <w:rFonts w:eastAsia="Times New Roman" w:cs="Times New Roman"/>
          <w:szCs w:val="24"/>
        </w:rPr>
        <w:t>]’s work, the plaintiff [</w:t>
      </w:r>
      <w:r w:rsidRPr="00842D3D">
        <w:rPr>
          <w:rFonts w:eastAsia="Times New Roman" w:cs="Times New Roman"/>
          <w:i/>
          <w:iCs/>
          <w:szCs w:val="24"/>
          <w:u w:val="single"/>
        </w:rPr>
        <w:t>name</w:t>
      </w:r>
      <w:r w:rsidRPr="00842D3D">
        <w:rPr>
          <w:rFonts w:eastAsia="Times New Roman" w:cs="Times New Roman"/>
          <w:szCs w:val="24"/>
        </w:rPr>
        <w:t>] may use direct or indirect evidence. Direct evidence includes an admission that the defendant copied the plaintiff [</w:t>
      </w:r>
      <w:r w:rsidRPr="00842D3D">
        <w:rPr>
          <w:rFonts w:eastAsia="Times New Roman" w:cs="Times New Roman"/>
          <w:i/>
          <w:iCs/>
          <w:szCs w:val="24"/>
          <w:u w:val="single"/>
        </w:rPr>
        <w:t>name</w:t>
      </w:r>
      <w:r w:rsidRPr="00842D3D">
        <w:rPr>
          <w:rFonts w:eastAsia="Times New Roman" w:cs="Times New Roman"/>
          <w:szCs w:val="24"/>
        </w:rPr>
        <w:t>]’s work. Indirect evidence is evidence that raises the inference of copying, either through evidence that the defendant [</w:t>
      </w:r>
      <w:r w:rsidRPr="00842D3D">
        <w:rPr>
          <w:rFonts w:eastAsia="Times New Roman" w:cs="Times New Roman"/>
          <w:i/>
          <w:iCs/>
          <w:szCs w:val="24"/>
          <w:u w:val="single"/>
        </w:rPr>
        <w:t>name</w:t>
      </w:r>
      <w:r w:rsidRPr="00842D3D">
        <w:rPr>
          <w:rFonts w:eastAsia="Times New Roman" w:cs="Times New Roman"/>
          <w:szCs w:val="24"/>
        </w:rPr>
        <w:t>] had access to the plaintiff [</w:t>
      </w:r>
      <w:r w:rsidRPr="00842D3D">
        <w:rPr>
          <w:rFonts w:eastAsia="Times New Roman" w:cs="Times New Roman"/>
          <w:i/>
          <w:iCs/>
          <w:szCs w:val="24"/>
          <w:u w:val="single"/>
        </w:rPr>
        <w:t>name</w:t>
      </w:r>
      <w:r w:rsidRPr="00842D3D">
        <w:rPr>
          <w:rFonts w:eastAsia="Times New Roman" w:cs="Times New Roman"/>
          <w:szCs w:val="24"/>
        </w:rPr>
        <w:t>]’s copyrighted work and that there are substantial similarities between the defendant [</w:t>
      </w:r>
      <w:r w:rsidRPr="00842D3D">
        <w:rPr>
          <w:rFonts w:eastAsia="Times New Roman" w:cs="Times New Roman"/>
          <w:i/>
          <w:iCs/>
          <w:szCs w:val="24"/>
          <w:u w:val="single"/>
        </w:rPr>
        <w:t>name</w:t>
      </w:r>
      <w:r w:rsidRPr="00842D3D">
        <w:rPr>
          <w:rFonts w:eastAsia="Times New Roman" w:cs="Times New Roman"/>
          <w:szCs w:val="24"/>
        </w:rPr>
        <w:t>]’s work and the plaintiff [</w:t>
      </w:r>
      <w:r w:rsidRPr="00842D3D">
        <w:rPr>
          <w:rFonts w:eastAsia="Times New Roman" w:cs="Times New Roman"/>
          <w:i/>
          <w:iCs/>
          <w:szCs w:val="24"/>
          <w:u w:val="single"/>
        </w:rPr>
        <w:t>name</w:t>
      </w:r>
      <w:r w:rsidRPr="00842D3D">
        <w:rPr>
          <w:rFonts w:eastAsia="Times New Roman" w:cs="Times New Roman"/>
          <w:szCs w:val="24"/>
        </w:rPr>
        <w:t>]’s copyrighted work, or evidence that there are striking similarities between the defendant [</w:t>
      </w:r>
      <w:r w:rsidRPr="00842D3D">
        <w:rPr>
          <w:rFonts w:eastAsia="Times New Roman" w:cs="Times New Roman"/>
          <w:i/>
          <w:iCs/>
          <w:szCs w:val="24"/>
          <w:u w:val="single"/>
        </w:rPr>
        <w:t>name</w:t>
      </w:r>
      <w:r w:rsidRPr="00842D3D">
        <w:rPr>
          <w:rFonts w:eastAsia="Times New Roman" w:cs="Times New Roman"/>
          <w:szCs w:val="24"/>
        </w:rPr>
        <w:t>]’s work and the plaintiff [</w:t>
      </w:r>
      <w:r w:rsidRPr="00842D3D">
        <w:rPr>
          <w:rFonts w:eastAsia="Times New Roman" w:cs="Times New Roman"/>
          <w:i/>
          <w:iCs/>
          <w:szCs w:val="24"/>
          <w:u w:val="single"/>
        </w:rPr>
        <w:t>name</w:t>
      </w:r>
      <w:r w:rsidRPr="00842D3D">
        <w:rPr>
          <w:rFonts w:eastAsia="Times New Roman" w:cs="Times New Roman"/>
          <w:szCs w:val="24"/>
        </w:rPr>
        <w:t>]’s copyrighted work.</w:t>
      </w:r>
    </w:p>
    <w:p w14:paraId="09D4F1D3" w14:textId="77777777" w:rsidR="00842D3D" w:rsidRPr="00842D3D" w:rsidRDefault="00842D3D" w:rsidP="00842D3D">
      <w:pPr>
        <w:shd w:val="clear" w:color="auto" w:fill="FFFFFF"/>
        <w:ind w:firstLine="720"/>
        <w:rPr>
          <w:rFonts w:eastAsia="Times New Roman" w:cs="Times New Roman"/>
          <w:szCs w:val="24"/>
        </w:rPr>
      </w:pPr>
    </w:p>
    <w:p w14:paraId="494DEB3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plaintiff [</w:t>
      </w:r>
      <w:r w:rsidRPr="00842D3D">
        <w:rPr>
          <w:rFonts w:eastAsia="Times New Roman" w:cs="Times New Roman"/>
          <w:i/>
          <w:iCs/>
          <w:szCs w:val="24"/>
          <w:u w:val="single"/>
        </w:rPr>
        <w:t>name</w:t>
      </w:r>
      <w:r w:rsidRPr="00842D3D">
        <w:rPr>
          <w:rFonts w:eastAsia="Times New Roman" w:cs="Times New Roman"/>
          <w:szCs w:val="24"/>
        </w:rPr>
        <w:t>] must also prove that the defendant [</w:t>
      </w:r>
      <w:r w:rsidRPr="00842D3D">
        <w:rPr>
          <w:rFonts w:eastAsia="Times New Roman" w:cs="Times New Roman"/>
          <w:i/>
          <w:iCs/>
          <w:szCs w:val="24"/>
          <w:u w:val="single"/>
        </w:rPr>
        <w:t>name</w:t>
      </w:r>
      <w:r w:rsidRPr="00842D3D">
        <w:rPr>
          <w:rFonts w:eastAsia="Times New Roman" w:cs="Times New Roman"/>
          <w:szCs w:val="24"/>
        </w:rPr>
        <w:t>]’s copying of the copyrighted work was substantial. In determining whether the defendant [</w:t>
      </w:r>
      <w:r w:rsidRPr="00842D3D">
        <w:rPr>
          <w:rFonts w:eastAsia="Times New Roman" w:cs="Times New Roman"/>
          <w:i/>
          <w:iCs/>
          <w:szCs w:val="24"/>
          <w:u w:val="single"/>
        </w:rPr>
        <w:t>name</w:t>
      </w:r>
      <w:r w:rsidRPr="00842D3D">
        <w:rPr>
          <w:rFonts w:eastAsia="Times New Roman" w:cs="Times New Roman"/>
          <w:szCs w:val="24"/>
        </w:rPr>
        <w:t>]’s copying of the copyrighted work was substantial, you may consider how important the copied portion was to the copyrighted work as a whole.</w:t>
      </w:r>
    </w:p>
    <w:p w14:paraId="4D4491D7" w14:textId="77777777" w:rsidR="00842D3D" w:rsidRPr="00842D3D" w:rsidRDefault="00842D3D" w:rsidP="00842D3D">
      <w:pPr>
        <w:shd w:val="clear" w:color="auto" w:fill="FFFFFF"/>
        <w:ind w:firstLine="720"/>
        <w:rPr>
          <w:rFonts w:eastAsia="Times New Roman" w:cs="Times New Roman"/>
          <w:szCs w:val="24"/>
        </w:rPr>
      </w:pPr>
    </w:p>
    <w:p w14:paraId="5A9BB32E"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LIABILITY FOR INFRINGEMENT</w:t>
      </w:r>
    </w:p>
    <w:p w14:paraId="2235CFE4" w14:textId="77777777" w:rsidR="00842D3D" w:rsidRPr="00842D3D" w:rsidRDefault="00842D3D" w:rsidP="00842D3D">
      <w:pPr>
        <w:shd w:val="clear" w:color="auto" w:fill="FFFFFF"/>
        <w:jc w:val="center"/>
        <w:rPr>
          <w:rFonts w:eastAsia="Times New Roman" w:cs="Times New Roman"/>
          <w:szCs w:val="24"/>
        </w:rPr>
      </w:pPr>
    </w:p>
    <w:p w14:paraId="0575320D"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One who causes a copyrighted work to be [reproduced] [publicly distributed] [publicly performed] [publicly displayed] [the basis of a derivative work] without authority from the copyright owner during the term of the copyright infringes the copyright.</w:t>
      </w:r>
    </w:p>
    <w:p w14:paraId="7C0DD67D" w14:textId="77777777" w:rsidR="00842D3D" w:rsidRPr="00842D3D" w:rsidRDefault="00842D3D" w:rsidP="00842D3D">
      <w:pPr>
        <w:shd w:val="clear" w:color="auto" w:fill="FFFFFF"/>
        <w:ind w:firstLine="720"/>
        <w:rPr>
          <w:rFonts w:eastAsia="Times New Roman" w:cs="Times New Roman"/>
          <w:szCs w:val="24"/>
        </w:rPr>
      </w:pPr>
    </w:p>
    <w:p w14:paraId="39EA7B56"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person may be liable for another person’s infringement by [vicariously infringing] [contributorily infringing].]</w:t>
      </w:r>
    </w:p>
    <w:p w14:paraId="738A6AE1" w14:textId="77777777" w:rsidR="00842D3D" w:rsidRPr="00842D3D" w:rsidRDefault="00842D3D" w:rsidP="00842D3D">
      <w:pPr>
        <w:shd w:val="clear" w:color="auto" w:fill="FFFFFF"/>
        <w:ind w:firstLine="720"/>
        <w:rPr>
          <w:rFonts w:eastAsia="Times New Roman" w:cs="Times New Roman"/>
          <w:szCs w:val="24"/>
        </w:rPr>
      </w:pPr>
    </w:p>
    <w:p w14:paraId="2033355F"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[VICARIOUS INFRINGEMENT]</w:t>
      </w:r>
    </w:p>
    <w:p w14:paraId="67934C42" w14:textId="77777777" w:rsidR="00842D3D" w:rsidRPr="00842D3D" w:rsidRDefault="00842D3D" w:rsidP="00842D3D">
      <w:pPr>
        <w:shd w:val="clear" w:color="auto" w:fill="FFFFFF"/>
        <w:jc w:val="center"/>
        <w:rPr>
          <w:rFonts w:eastAsia="Times New Roman" w:cs="Times New Roman"/>
          <w:szCs w:val="24"/>
        </w:rPr>
      </w:pPr>
    </w:p>
    <w:p w14:paraId="18E17C8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person is liable for copyright infringement by another if the person has profited directly from the infringing activity and had the right and ability to supervise or control the infringing activity, whether or not the person knew of the infringement.] </w:t>
      </w:r>
    </w:p>
    <w:p w14:paraId="1D725CB9" w14:textId="77777777" w:rsidR="00842D3D" w:rsidRPr="00842D3D" w:rsidRDefault="00842D3D" w:rsidP="00842D3D">
      <w:pPr>
        <w:shd w:val="clear" w:color="auto" w:fill="FFFFFF"/>
        <w:ind w:firstLine="720"/>
        <w:rPr>
          <w:rFonts w:eastAsia="Times New Roman" w:cs="Times New Roman"/>
          <w:szCs w:val="24"/>
        </w:rPr>
      </w:pPr>
    </w:p>
    <w:p w14:paraId="475BE259"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[CONTRIBUTORY INFRINGEMENT]</w:t>
      </w:r>
    </w:p>
    <w:p w14:paraId="2B075291" w14:textId="77777777" w:rsidR="00842D3D" w:rsidRPr="00842D3D" w:rsidRDefault="00842D3D" w:rsidP="00842D3D">
      <w:pPr>
        <w:shd w:val="clear" w:color="auto" w:fill="FFFFFF"/>
        <w:jc w:val="center"/>
        <w:rPr>
          <w:rFonts w:eastAsia="Times New Roman" w:cs="Times New Roman"/>
          <w:szCs w:val="24"/>
        </w:rPr>
      </w:pPr>
    </w:p>
    <w:p w14:paraId="52F73D2C" w14:textId="77777777" w:rsidR="00842D3D" w:rsidRPr="00842D3D" w:rsidRDefault="00842D3D" w:rsidP="00842D3D">
      <w:pPr>
        <w:shd w:val="clear" w:color="auto" w:fill="FFFFFF"/>
        <w:ind w:firstLine="720"/>
        <w:rPr>
          <w:rFonts w:eastAsia="MS Mincho" w:cs="Times New Roman"/>
          <w:szCs w:val="24"/>
        </w:rPr>
      </w:pPr>
      <w:r w:rsidRPr="00842D3D">
        <w:rPr>
          <w:rFonts w:eastAsia="Times New Roman" w:cs="Times New Roman"/>
          <w:szCs w:val="24"/>
        </w:rPr>
        <w:t>[A person is liable for copyright infringement by another if the person knows or should have known of the infringing activity and [induces] [or] [materially contributes to] the activity.]</w:t>
      </w:r>
      <w:r w:rsidRPr="00842D3D">
        <w:rPr>
          <w:rFonts w:eastAsia="MS Mincho" w:cs="Times New Roman"/>
          <w:szCs w:val="24"/>
        </w:rPr>
        <w:t xml:space="preserve">　</w:t>
      </w:r>
    </w:p>
    <w:p w14:paraId="71F2992C" w14:textId="77777777" w:rsidR="00842D3D" w:rsidRPr="00842D3D" w:rsidRDefault="00842D3D" w:rsidP="00842D3D">
      <w:pPr>
        <w:shd w:val="clear" w:color="auto" w:fill="FFFFFF"/>
        <w:ind w:firstLine="720"/>
        <w:rPr>
          <w:rFonts w:eastAsia="Times New Roman" w:cs="Times New Roman"/>
          <w:szCs w:val="24"/>
        </w:rPr>
      </w:pPr>
      <w:r w:rsidRPr="00842D3D">
        <w:rPr>
          <w:rFonts w:eastAsia="MS Mincho" w:cs="Times New Roman"/>
          <w:szCs w:val="24"/>
        </w:rPr>
        <w:t xml:space="preserve">　</w:t>
      </w:r>
    </w:p>
    <w:p w14:paraId="02EB252C"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[DEFENSES TO INFRINGEMENT]</w:t>
      </w:r>
    </w:p>
    <w:p w14:paraId="11FDC9F3" w14:textId="77777777" w:rsidR="00842D3D" w:rsidRPr="00842D3D" w:rsidRDefault="00842D3D" w:rsidP="00842D3D">
      <w:pPr>
        <w:shd w:val="clear" w:color="auto" w:fill="FFFFFF"/>
        <w:jc w:val="center"/>
        <w:rPr>
          <w:rFonts w:eastAsia="Times New Roman" w:cs="Times New Roman"/>
          <w:szCs w:val="24"/>
        </w:rPr>
      </w:pPr>
    </w:p>
    <w:p w14:paraId="5039354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defendant [</w:t>
      </w:r>
      <w:r w:rsidRPr="00842D3D">
        <w:rPr>
          <w:rFonts w:eastAsia="Times New Roman" w:cs="Times New Roman"/>
          <w:i/>
          <w:iCs/>
          <w:szCs w:val="24"/>
          <w:u w:val="single"/>
        </w:rPr>
        <w:t>name</w:t>
      </w:r>
      <w:r w:rsidRPr="00842D3D">
        <w:rPr>
          <w:rFonts w:eastAsia="Times New Roman" w:cs="Times New Roman"/>
          <w:szCs w:val="24"/>
        </w:rPr>
        <w:t>] contends that there is no copyright infringement. There is no copyright infringement when [the defendant [</w:t>
      </w:r>
      <w:r w:rsidRPr="00842D3D">
        <w:rPr>
          <w:rFonts w:eastAsia="Times New Roman" w:cs="Times New Roman"/>
          <w:i/>
          <w:iCs/>
          <w:szCs w:val="24"/>
          <w:u w:val="single"/>
        </w:rPr>
        <w:t>name</w:t>
      </w:r>
      <w:r w:rsidRPr="00842D3D">
        <w:rPr>
          <w:rFonts w:eastAsia="Times New Roman" w:cs="Times New Roman"/>
          <w:szCs w:val="24"/>
        </w:rPr>
        <w:t>]’s work is the result of independent creation, coincidence, or prior common source] [the defendant [</w:t>
      </w:r>
      <w:r w:rsidRPr="00842D3D">
        <w:rPr>
          <w:rFonts w:eastAsia="Times New Roman" w:cs="Times New Roman"/>
          <w:i/>
          <w:iCs/>
          <w:szCs w:val="24"/>
          <w:u w:val="single"/>
        </w:rPr>
        <w:t>name</w:t>
      </w:r>
      <w:r w:rsidRPr="00842D3D">
        <w:rPr>
          <w:rFonts w:eastAsia="Times New Roman" w:cs="Times New Roman"/>
          <w:szCs w:val="24"/>
        </w:rPr>
        <w:t>] made fair use of the copyrighted work by reproducing copies for purposes such as criticism, comment, news reporting, teaching, scholarship, or research] [the plaintiff [</w:t>
      </w:r>
      <w:r w:rsidRPr="00842D3D">
        <w:rPr>
          <w:rFonts w:eastAsia="Times New Roman" w:cs="Times New Roman"/>
          <w:i/>
          <w:iCs/>
          <w:szCs w:val="24"/>
          <w:u w:val="single"/>
        </w:rPr>
        <w:t>name</w:t>
      </w:r>
      <w:r w:rsidRPr="00842D3D">
        <w:rPr>
          <w:rFonts w:eastAsia="Times New Roman" w:cs="Times New Roman"/>
          <w:szCs w:val="24"/>
        </w:rPr>
        <w:t>] abandoned ownership of the copyrighted work] [the plaintiff [</w:t>
      </w:r>
      <w:r w:rsidRPr="00842D3D">
        <w:rPr>
          <w:rFonts w:eastAsia="Times New Roman" w:cs="Times New Roman"/>
          <w:i/>
          <w:iCs/>
          <w:szCs w:val="24"/>
          <w:u w:val="single"/>
        </w:rPr>
        <w:t>name</w:t>
      </w:r>
      <w:r w:rsidRPr="00842D3D">
        <w:rPr>
          <w:rFonts w:eastAsia="Times New Roman" w:cs="Times New Roman"/>
          <w:szCs w:val="24"/>
        </w:rPr>
        <w:t>] misused the copyright by requiring its exclusive use or preventing the development of competing products] [the plaintiff [</w:t>
      </w:r>
      <w:r w:rsidRPr="00842D3D">
        <w:rPr>
          <w:rFonts w:eastAsia="Times New Roman" w:cs="Times New Roman"/>
          <w:i/>
          <w:iCs/>
          <w:szCs w:val="24"/>
          <w:u w:val="single"/>
        </w:rPr>
        <w:t>name</w:t>
      </w:r>
      <w:r w:rsidRPr="00842D3D">
        <w:rPr>
          <w:rFonts w:eastAsia="Times New Roman" w:cs="Times New Roman"/>
          <w:szCs w:val="24"/>
        </w:rPr>
        <w:t>] granted the defendant [</w:t>
      </w:r>
      <w:r w:rsidRPr="00842D3D">
        <w:rPr>
          <w:rFonts w:eastAsia="Times New Roman" w:cs="Times New Roman"/>
          <w:i/>
          <w:iCs/>
          <w:szCs w:val="24"/>
          <w:u w:val="single"/>
        </w:rPr>
        <w:t>name</w:t>
      </w:r>
      <w:r w:rsidRPr="00842D3D">
        <w:rPr>
          <w:rFonts w:eastAsia="Times New Roman" w:cs="Times New Roman"/>
          <w:szCs w:val="24"/>
        </w:rPr>
        <w:t>] an express license to [use] [copy] [</w:t>
      </w:r>
      <w:r w:rsidRPr="00842D3D">
        <w:rPr>
          <w:rFonts w:eastAsia="Times New Roman" w:cs="Times New Roman"/>
          <w:i/>
          <w:iCs/>
          <w:szCs w:val="24"/>
          <w:u w:val="single"/>
        </w:rPr>
        <w:t>other</w:t>
      </w:r>
      <w:r w:rsidRPr="00842D3D">
        <w:rPr>
          <w:rFonts w:eastAsia="Times New Roman" w:cs="Times New Roman"/>
          <w:szCs w:val="24"/>
        </w:rPr>
        <w:t>] the plaintiff [</w:t>
      </w:r>
      <w:r w:rsidRPr="00842D3D">
        <w:rPr>
          <w:rFonts w:eastAsia="Times New Roman" w:cs="Times New Roman"/>
          <w:i/>
          <w:iCs/>
          <w:szCs w:val="24"/>
          <w:u w:val="single"/>
        </w:rPr>
        <w:t>name</w:t>
      </w:r>
      <w:r w:rsidRPr="00842D3D">
        <w:rPr>
          <w:rFonts w:eastAsia="Times New Roman" w:cs="Times New Roman"/>
          <w:szCs w:val="24"/>
        </w:rPr>
        <w:t>]’s copyrighted work] [the plaintiff [</w:t>
      </w:r>
      <w:r w:rsidRPr="00842D3D">
        <w:rPr>
          <w:rFonts w:eastAsia="Times New Roman" w:cs="Times New Roman"/>
          <w:i/>
          <w:iCs/>
          <w:szCs w:val="24"/>
          <w:u w:val="single"/>
        </w:rPr>
        <w:t>name</w:t>
      </w:r>
      <w:r w:rsidRPr="00842D3D">
        <w:rPr>
          <w:rFonts w:eastAsia="Times New Roman" w:cs="Times New Roman"/>
          <w:szCs w:val="24"/>
        </w:rPr>
        <w:t>] granted the defendant [</w:t>
      </w:r>
      <w:r w:rsidRPr="00842D3D">
        <w:rPr>
          <w:rFonts w:eastAsia="Times New Roman" w:cs="Times New Roman"/>
          <w:i/>
          <w:iCs/>
          <w:szCs w:val="24"/>
          <w:u w:val="single"/>
        </w:rPr>
        <w:t>name</w:t>
      </w:r>
      <w:r w:rsidRPr="00842D3D">
        <w:rPr>
          <w:rFonts w:eastAsia="Times New Roman" w:cs="Times New Roman"/>
          <w:szCs w:val="24"/>
        </w:rPr>
        <w:t>] an implied license to use the plaintiff [</w:t>
      </w:r>
      <w:r w:rsidRPr="00842D3D">
        <w:rPr>
          <w:rFonts w:eastAsia="Times New Roman" w:cs="Times New Roman"/>
          <w:i/>
          <w:iCs/>
          <w:szCs w:val="24"/>
          <w:u w:val="single"/>
        </w:rPr>
        <w:t>name</w:t>
      </w:r>
      <w:r w:rsidRPr="00842D3D">
        <w:rPr>
          <w:rFonts w:eastAsia="Times New Roman" w:cs="Times New Roman"/>
          <w:szCs w:val="24"/>
        </w:rPr>
        <w:t>]’s copyrighted work] [the defendant [</w:t>
      </w:r>
      <w:r w:rsidRPr="00842D3D">
        <w:rPr>
          <w:rFonts w:eastAsia="Times New Roman" w:cs="Times New Roman"/>
          <w:i/>
          <w:iCs/>
          <w:szCs w:val="24"/>
          <w:u w:val="single"/>
        </w:rPr>
        <w:t>name</w:t>
      </w:r>
      <w:r w:rsidRPr="00842D3D">
        <w:rPr>
          <w:rFonts w:eastAsia="Times New Roman" w:cs="Times New Roman"/>
          <w:szCs w:val="24"/>
        </w:rPr>
        <w:t>], as an owner of a copy of the plaintiff [</w:t>
      </w:r>
      <w:r w:rsidRPr="00842D3D">
        <w:rPr>
          <w:rFonts w:eastAsia="Times New Roman" w:cs="Times New Roman"/>
          <w:i/>
          <w:iCs/>
          <w:szCs w:val="24"/>
          <w:u w:val="single"/>
        </w:rPr>
        <w:t>name</w:t>
      </w:r>
      <w:r w:rsidRPr="00842D3D">
        <w:rPr>
          <w:rFonts w:eastAsia="Times New Roman" w:cs="Times New Roman"/>
          <w:szCs w:val="24"/>
        </w:rPr>
        <w:t>]’s copyrighted work, resold that copy after the plaintiff [</w:t>
      </w:r>
      <w:r w:rsidRPr="00842D3D">
        <w:rPr>
          <w:rFonts w:eastAsia="Times New Roman" w:cs="Times New Roman"/>
          <w:i/>
          <w:iCs/>
          <w:szCs w:val="24"/>
          <w:u w:val="single"/>
        </w:rPr>
        <w:t>name</w:t>
      </w:r>
      <w:r w:rsidRPr="00842D3D">
        <w:rPr>
          <w:rFonts w:eastAsia="Times New Roman" w:cs="Times New Roman"/>
          <w:szCs w:val="24"/>
        </w:rPr>
        <w:t>] made the first sale].]</w:t>
      </w:r>
    </w:p>
    <w:p w14:paraId="3DBD2ED8" w14:textId="77777777" w:rsidR="00842D3D" w:rsidRPr="00842D3D" w:rsidRDefault="00842D3D" w:rsidP="00842D3D">
      <w:pPr>
        <w:shd w:val="clear" w:color="auto" w:fill="FFFFFF"/>
        <w:ind w:firstLine="720"/>
        <w:rPr>
          <w:rFonts w:eastAsia="Times New Roman" w:cs="Times New Roman"/>
          <w:szCs w:val="24"/>
        </w:rPr>
      </w:pPr>
    </w:p>
    <w:p w14:paraId="1DBAF6B4"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Comment</w:t>
      </w:r>
    </w:p>
    <w:p w14:paraId="28970FE3" w14:textId="77777777" w:rsidR="00842D3D" w:rsidRPr="00842D3D" w:rsidRDefault="00842D3D" w:rsidP="00842D3D">
      <w:pPr>
        <w:shd w:val="clear" w:color="auto" w:fill="FFFFFF"/>
        <w:jc w:val="center"/>
        <w:rPr>
          <w:rFonts w:eastAsia="Times New Roman" w:cs="Times New Roman"/>
          <w:szCs w:val="24"/>
        </w:rPr>
      </w:pPr>
    </w:p>
    <w:p w14:paraId="46494FA8"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i/>
          <w:iCs/>
          <w:szCs w:val="24"/>
        </w:rPr>
        <w:t>See generally</w:t>
      </w:r>
      <w:r w:rsidRPr="00842D3D">
        <w:rPr>
          <w:rFonts w:eastAsia="Times New Roman" w:cs="Times New Roman"/>
          <w:szCs w:val="24"/>
        </w:rPr>
        <w:t> 17 U.S.C. §§ 101-1511.</w:t>
      </w:r>
    </w:p>
    <w:p w14:paraId="0581B1DB" w14:textId="77777777" w:rsidR="00842D3D" w:rsidRPr="00842D3D" w:rsidRDefault="00842D3D" w:rsidP="00842D3D">
      <w:pPr>
        <w:shd w:val="clear" w:color="auto" w:fill="FFFFFF"/>
        <w:ind w:firstLine="720"/>
        <w:rPr>
          <w:rFonts w:eastAsia="Times New Roman" w:cs="Times New Roman"/>
          <w:szCs w:val="24"/>
        </w:rPr>
      </w:pPr>
    </w:p>
    <w:p w14:paraId="5B90DF85" w14:textId="77777777" w:rsidR="00842D3D" w:rsidRPr="00842D3D" w:rsidRDefault="00842D3D" w:rsidP="00842D3D">
      <w:pPr>
        <w:shd w:val="clear" w:color="auto" w:fill="FFFFFF"/>
        <w:ind w:firstLine="720"/>
        <w:rPr>
          <w:rFonts w:eastAsia="Times New Roman" w:cs="Times New Roman"/>
          <w:i/>
          <w:iCs/>
          <w:szCs w:val="24"/>
        </w:rPr>
      </w:pPr>
      <w:r w:rsidRPr="00842D3D">
        <w:rPr>
          <w:rFonts w:eastAsia="Times New Roman" w:cs="Times New Roman"/>
          <w:szCs w:val="24"/>
        </w:rPr>
        <w:t>The examples of fair use given in Instruction 17.1 are representative, and other uses may qualify as fair use. </w:t>
      </w:r>
      <w:r w:rsidRPr="00842D3D">
        <w:rPr>
          <w:rFonts w:eastAsia="Times New Roman" w:cs="Times New Roman"/>
          <w:i/>
          <w:iCs/>
          <w:szCs w:val="24"/>
        </w:rPr>
        <w:t>See</w:t>
      </w:r>
      <w:r w:rsidRPr="00842D3D">
        <w:rPr>
          <w:rFonts w:eastAsia="Times New Roman" w:cs="Times New Roman"/>
          <w:szCs w:val="24"/>
        </w:rPr>
        <w:t> 17 U.S.C. § 107; </w:t>
      </w:r>
      <w:r w:rsidRPr="00842D3D">
        <w:rPr>
          <w:rFonts w:eastAsia="Times New Roman" w:cs="Times New Roman"/>
          <w:i/>
          <w:iCs/>
          <w:szCs w:val="24"/>
        </w:rPr>
        <w:t>Perfect 10, Inc. v. Amazon.com, Inc</w:t>
      </w:r>
      <w:r w:rsidRPr="00842D3D">
        <w:rPr>
          <w:rFonts w:eastAsia="Times New Roman" w:cs="Times New Roman"/>
          <w:szCs w:val="24"/>
        </w:rPr>
        <w:t>., 508 F.3d 1146, 1163 (9th Cir. 2007) (“The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 </w:t>
      </w:r>
      <w:r w:rsidRPr="00842D3D">
        <w:rPr>
          <w:rFonts w:eastAsia="Times New Roman" w:cs="Times New Roman"/>
          <w:i/>
          <w:iCs/>
          <w:szCs w:val="24"/>
        </w:rPr>
        <w:t>id</w:t>
      </w:r>
      <w:r w:rsidRPr="00842D3D">
        <w:rPr>
          <w:rFonts w:eastAsia="Times New Roman" w:cs="Times New Roman"/>
          <w:szCs w:val="24"/>
        </w:rPr>
        <w:t>. at 1163 (“We must be flexible in applying a fair use analysis; it is not to be simplified with bright-line rules, for the statute, like the doctrine it recognizes, calls for case-by-case analysis” (citation omitted))</w:t>
      </w:r>
      <w:r w:rsidRPr="00842D3D">
        <w:rPr>
          <w:rFonts w:eastAsia="Times New Roman" w:cs="Times New Roman"/>
          <w:i/>
          <w:iCs/>
          <w:szCs w:val="24"/>
        </w:rPr>
        <w:t>.</w:t>
      </w:r>
    </w:p>
    <w:p w14:paraId="5FDBDDA9" w14:textId="77777777" w:rsidR="00842D3D" w:rsidRPr="00842D3D" w:rsidRDefault="00842D3D" w:rsidP="00842D3D">
      <w:pPr>
        <w:shd w:val="clear" w:color="auto" w:fill="FFFFFF"/>
        <w:ind w:firstLine="720"/>
        <w:rPr>
          <w:rFonts w:eastAsia="Times New Roman" w:cs="Times New Roman"/>
          <w:szCs w:val="24"/>
        </w:rPr>
      </w:pPr>
    </w:p>
    <w:p w14:paraId="10D38F4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Regarding the “How Copyright Is Obtained” section of this instruction, “‘registration . . . has been made’ within the meaning of 17 U.S.C. § 411(a) not when an application for registration is filed, but when the Register has registered a copyright after examining a properly </w:t>
      </w:r>
      <w:r w:rsidRPr="00842D3D">
        <w:rPr>
          <w:rFonts w:eastAsia="Calibri" w:cs="Times New Roman"/>
          <w:szCs w:val="24"/>
        </w:rPr>
        <w:lastRenderedPageBreak/>
        <w:t>filed application.” </w:t>
      </w:r>
      <w:r w:rsidRPr="00842D3D">
        <w:rPr>
          <w:rFonts w:eastAsia="Calibri" w:cs="Times New Roman"/>
          <w:i/>
          <w:iCs/>
        </w:rPr>
        <w:t xml:space="preserve">Fourth Est. </w:t>
      </w:r>
      <w:r w:rsidRPr="00842D3D">
        <w:rPr>
          <w:rFonts w:eastAsia="Calibri" w:cs="Times New Roman"/>
          <w:i/>
          <w:iCs/>
          <w:szCs w:val="24"/>
        </w:rPr>
        <w:t>Pub. Benefit Corp. v. Wall-Street.com</w:t>
      </w:r>
      <w:r w:rsidRPr="00842D3D">
        <w:rPr>
          <w:rFonts w:eastAsia="Calibri" w:cs="Times New Roman"/>
          <w:szCs w:val="24"/>
        </w:rPr>
        <w:t>, LLC, 586 U.S. 296, 309 (2019).</w:t>
      </w:r>
      <w:r w:rsidRPr="00842D3D">
        <w:rPr>
          <w:rFonts w:eastAsia="MS Mincho" w:cs="Times New Roman"/>
          <w:szCs w:val="24"/>
        </w:rPr>
        <w:t xml:space="preserve">　</w:t>
      </w:r>
      <w:r w:rsidRPr="00842D3D">
        <w:rPr>
          <w:rFonts w:eastAsia="Calibri" w:cs="Times New Roman"/>
          <w:szCs w:val="24"/>
        </w:rPr>
        <w:t xml:space="preserve"> </w:t>
      </w:r>
    </w:p>
    <w:p w14:paraId="1F2BC247" w14:textId="77777777" w:rsidR="00842D3D" w:rsidRPr="00842D3D" w:rsidRDefault="00842D3D" w:rsidP="00842D3D">
      <w:pPr>
        <w:autoSpaceDE w:val="0"/>
        <w:autoSpaceDN w:val="0"/>
        <w:adjustRightInd w:val="0"/>
        <w:ind w:firstLine="720"/>
        <w:rPr>
          <w:rFonts w:eastAsia="Calibri" w:cs="Times New Roman"/>
          <w:szCs w:val="24"/>
        </w:rPr>
      </w:pPr>
    </w:p>
    <w:p w14:paraId="6CC8D57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Regarding the requirement that copying of the plaintiff’s work be substantial, “[f]or an unauthorized use of a copyrighted work to be actionable, the use must be significant enough to constitute infringement. This means that even where the fact of copying is conceded, no legal consequences will follow from that fact unless the copying is substantial.” </w:t>
      </w:r>
      <w:r w:rsidRPr="00842D3D">
        <w:rPr>
          <w:rFonts w:eastAsia="Calibri" w:cs="Times New Roman"/>
          <w:i/>
          <w:iCs/>
          <w:szCs w:val="24"/>
        </w:rPr>
        <w:t>Newton v. Diamond</w:t>
      </w:r>
      <w:r w:rsidRPr="00842D3D">
        <w:rPr>
          <w:rFonts w:eastAsia="Calibri" w:cs="Times New Roman"/>
          <w:szCs w:val="24"/>
        </w:rPr>
        <w:t xml:space="preserve">, 388 F.3d 1189, 1192-93 (9th Cir. 2004) (citations omitted). “[W]e have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 </w:t>
      </w:r>
      <w:r w:rsidRPr="00842D3D">
        <w:rPr>
          <w:rFonts w:eastAsia="Calibri" w:cs="Times New Roman"/>
          <w:i/>
          <w:iCs/>
          <w:szCs w:val="24"/>
        </w:rPr>
        <w:t>Bell v. Wilmott Storage Services, LLC</w:t>
      </w:r>
      <w:r w:rsidRPr="00842D3D">
        <w:rPr>
          <w:rFonts w:eastAsia="Calibri" w:cs="Times New Roman"/>
          <w:szCs w:val="24"/>
        </w:rPr>
        <w:t xml:space="preserve">, 12 F.4th 1065 (9th Cir. 2021). A use is considered de minimis, and therefore not substantial, “if it is so meager and fragmentary that the average audience would not recognize the appropriation.” </w:t>
      </w:r>
      <w:r w:rsidRPr="00842D3D">
        <w:rPr>
          <w:rFonts w:eastAsia="Calibri" w:cs="Times New Roman"/>
          <w:i/>
          <w:iCs/>
          <w:szCs w:val="24"/>
        </w:rPr>
        <w:t>Newton, 388 F.3d</w:t>
      </w:r>
      <w:r w:rsidRPr="00842D3D">
        <w:rPr>
          <w:rFonts w:eastAsia="Calibri" w:cs="Times New Roman"/>
          <w:szCs w:val="24"/>
        </w:rPr>
        <w:t xml:space="preserve"> at 1193 (quoting </w:t>
      </w:r>
      <w:r w:rsidRPr="00842D3D">
        <w:rPr>
          <w:rFonts w:eastAsia="Calibri" w:cs="Times New Roman"/>
          <w:i/>
          <w:iCs/>
          <w:szCs w:val="24"/>
        </w:rPr>
        <w:t>Fisher v. Dees</w:t>
      </w:r>
      <w:r w:rsidRPr="00842D3D">
        <w:rPr>
          <w:rFonts w:eastAsia="Calibri" w:cs="Times New Roman"/>
          <w:szCs w:val="24"/>
        </w:rPr>
        <w:t>, 794 F.2d 432, 434 n.2 (9th Cir. 1986)).</w:t>
      </w:r>
    </w:p>
    <w:p w14:paraId="6FB20E7E" w14:textId="77777777" w:rsidR="00842D3D" w:rsidRPr="00842D3D" w:rsidRDefault="00842D3D" w:rsidP="00842D3D">
      <w:pPr>
        <w:autoSpaceDE w:val="0"/>
        <w:autoSpaceDN w:val="0"/>
        <w:adjustRightInd w:val="0"/>
        <w:ind w:firstLine="720"/>
        <w:rPr>
          <w:rFonts w:eastAsia="Calibri" w:cs="Times New Roman"/>
          <w:szCs w:val="24"/>
        </w:rPr>
      </w:pPr>
    </w:p>
    <w:p w14:paraId="1CE2F714" w14:textId="77777777" w:rsidR="00842D3D" w:rsidRPr="00842D3D" w:rsidRDefault="00842D3D" w:rsidP="00842D3D">
      <w:pPr>
        <w:shd w:val="clear" w:color="auto" w:fill="FFFFFF"/>
        <w:ind w:firstLine="720"/>
        <w:rPr>
          <w:rFonts w:eastAsia="MS Mincho" w:cs="Times New Roman"/>
          <w:szCs w:val="24"/>
        </w:rPr>
      </w:pPr>
      <w:r w:rsidRPr="00842D3D">
        <w:rPr>
          <w:rFonts w:eastAsia="MS Mincho" w:cs="Times New Roman"/>
          <w:szCs w:val="24"/>
        </w:rPr>
        <w:t xml:space="preserve">Copying may also be considered de minimis when the use of the work is so fleeting or trivial that “a reasonable jury could not conclude that an average audience would recognize an appropriation of the [plaintiff’s] composition,” therefore rendering the works substantially dissimilar. </w:t>
      </w:r>
      <w:r w:rsidRPr="00842D3D">
        <w:rPr>
          <w:rFonts w:eastAsia="MS Mincho" w:cs="Times New Roman"/>
          <w:i/>
          <w:iCs/>
          <w:szCs w:val="24"/>
        </w:rPr>
        <w:t>Bell</w:t>
      </w:r>
      <w:r w:rsidRPr="00842D3D">
        <w:rPr>
          <w:rFonts w:eastAsia="MS Mincho" w:cs="Times New Roman"/>
          <w:szCs w:val="24"/>
        </w:rPr>
        <w:t>, 12 F.4th at 1078 (quoting</w:t>
      </w:r>
      <w:r w:rsidRPr="00842D3D">
        <w:rPr>
          <w:rFonts w:eastAsia="MS Mincho" w:cs="Times New Roman"/>
          <w:i/>
          <w:iCs/>
          <w:szCs w:val="24"/>
        </w:rPr>
        <w:t xml:space="preserve"> VMG Salsoul,</w:t>
      </w:r>
      <w:r w:rsidRPr="00842D3D">
        <w:rPr>
          <w:rFonts w:eastAsia="MS Mincho" w:cs="Times New Roman"/>
          <w:szCs w:val="24"/>
        </w:rPr>
        <w:t xml:space="preserve"> </w:t>
      </w:r>
      <w:r w:rsidRPr="00842D3D">
        <w:rPr>
          <w:rFonts w:eastAsia="MS Mincho" w:cs="Times New Roman"/>
          <w:i/>
          <w:iCs/>
          <w:szCs w:val="24"/>
        </w:rPr>
        <w:t>LLC v. Ciccone</w:t>
      </w:r>
      <w:r w:rsidRPr="00842D3D">
        <w:rPr>
          <w:rFonts w:eastAsia="MS Mincho" w:cs="Times New Roman"/>
          <w:szCs w:val="24"/>
        </w:rPr>
        <w:t xml:space="preserve">, 824 F.3d 871, 886-87 (9th Cir. 2016)). Unless the copying of the protected work is so de minimis as to “be non-recognizable as a copy,” the “[w]holesale copying or reproduction of another’s protected work . . . by definition cannot be de minimis copying.” </w:t>
      </w:r>
      <w:r w:rsidRPr="00842D3D">
        <w:rPr>
          <w:rFonts w:eastAsia="MS Mincho" w:cs="Times New Roman"/>
          <w:i/>
          <w:iCs/>
          <w:szCs w:val="24"/>
        </w:rPr>
        <w:t>Id</w:t>
      </w:r>
      <w:r w:rsidRPr="00842D3D">
        <w:rPr>
          <w:rFonts w:eastAsia="MS Mincho" w:cs="Times New Roman"/>
          <w:szCs w:val="24"/>
        </w:rPr>
        <w:t>. at 1078-79.</w:t>
      </w:r>
    </w:p>
    <w:p w14:paraId="4A2D851E" w14:textId="77777777" w:rsidR="00842D3D" w:rsidRPr="00842D3D" w:rsidRDefault="00842D3D" w:rsidP="00842D3D">
      <w:pPr>
        <w:shd w:val="clear" w:color="auto" w:fill="FFFFFF"/>
        <w:ind w:firstLine="720"/>
        <w:rPr>
          <w:rFonts w:eastAsia="MS Mincho" w:cs="Times New Roman"/>
          <w:szCs w:val="24"/>
        </w:rPr>
      </w:pPr>
    </w:p>
    <w:p w14:paraId="4F58BB58" w14:textId="76329AFC" w:rsidR="00842D3D" w:rsidRPr="00842D3D" w:rsidRDefault="00842D3D" w:rsidP="00842D3D">
      <w:pPr>
        <w:shd w:val="clear" w:color="auto" w:fill="FFFFFF"/>
        <w:ind w:firstLine="720"/>
        <w:rPr>
          <w:rFonts w:eastAsia="MS Mincho" w:cs="Times New Roman"/>
          <w:i/>
          <w:iCs/>
          <w:szCs w:val="24"/>
        </w:rPr>
      </w:pPr>
      <w:r w:rsidRPr="00842D3D">
        <w:rPr>
          <w:rFonts w:eastAsia="MS Mincho" w:cs="Times New Roman"/>
          <w:szCs w:val="24"/>
          <w:lang w:val="en-CA"/>
        </w:rPr>
        <w:fldChar w:fldCharType="begin"/>
      </w:r>
      <w:r w:rsidRPr="00842D3D">
        <w:rPr>
          <w:rFonts w:eastAsia="MS Mincho" w:cs="Times New Roman"/>
          <w:szCs w:val="24"/>
          <w:lang w:val="en-CA"/>
        </w:rPr>
        <w:instrText xml:space="preserve"> SEQ CHAPTER \h \r 1</w:instrText>
      </w:r>
      <w:r w:rsidRPr="00842D3D">
        <w:rPr>
          <w:rFonts w:eastAsia="MS Mincho" w:cs="Times New Roman"/>
          <w:szCs w:val="24"/>
        </w:rPr>
        <w:fldChar w:fldCharType="end"/>
      </w:r>
      <w:r w:rsidRPr="00842D3D">
        <w:rPr>
          <w:rFonts w:eastAsia="MS Mincho" w:cs="Times New Roman"/>
          <w:szCs w:val="24"/>
        </w:rPr>
        <w:t xml:space="preserve">Regarding the requirement that the defendant cause the violation of one of the exclusive rights in copyright under 17 U.S.C. § 106, where the defendant hosts third party content on its website, the Ninth Circuit has referred to the causation element as the requirement that the defendant engage in “volitional conduct.” “[T]o demonstrate volitional conduct, a [plaintiff] must provide some evidence showing the alleged infringer exercised control (other than by general operation of its website); selected any material for upload, download, transmission, or storage; or instigated any copying, storage, or distribution of its [work].” </w:t>
      </w:r>
      <w:r w:rsidRPr="00842D3D">
        <w:rPr>
          <w:rFonts w:eastAsia="MS Mincho" w:cs="Times New Roman"/>
          <w:i/>
          <w:iCs/>
          <w:szCs w:val="24"/>
        </w:rPr>
        <w:t>VHT, Inc. v. Zillow Grp., Inc.</w:t>
      </w:r>
      <w:r w:rsidRPr="00842D3D">
        <w:rPr>
          <w:rFonts w:eastAsia="MS Mincho" w:cs="Times New Roman"/>
          <w:szCs w:val="24"/>
        </w:rPr>
        <w:t xml:space="preserve">, 918 F.3d 723, 732 (9th Cir. 2019) (brackets, internal quotation marks, and citation omitted). In this context, “volitional conduct” “does not really mean an ‘act of willing or choosing’ or ‘an act of deciding,’ but merely the unremarkable proposition that proximate causation historically underlies copyright infringement liability no less than other torts.” </w:t>
      </w:r>
      <w:r w:rsidRPr="00842D3D">
        <w:rPr>
          <w:rFonts w:eastAsia="MS Mincho" w:cs="Times New Roman"/>
          <w:i/>
          <w:iCs/>
          <w:szCs w:val="24"/>
        </w:rPr>
        <w:t>Bell</w:t>
      </w:r>
      <w:r w:rsidRPr="00842D3D">
        <w:rPr>
          <w:rFonts w:eastAsia="MS Mincho" w:cs="Times New Roman"/>
          <w:szCs w:val="24"/>
        </w:rPr>
        <w:t xml:space="preserve">, 12 F.4th at 1081 (internal quotation marks and citation omitted). “[A] website or service that provides only a platform for third-party users to upload, download, and share content, </w:t>
      </w:r>
      <w:r w:rsidRPr="00842D3D">
        <w:rPr>
          <w:rFonts w:eastAsia="MS Mincho" w:cs="Times New Roman"/>
          <w:i/>
          <w:iCs/>
          <w:szCs w:val="24"/>
        </w:rPr>
        <w:t>i.e.</w:t>
      </w:r>
      <w:r w:rsidRPr="00842D3D">
        <w:rPr>
          <w:rFonts w:eastAsia="MS Mincho" w:cs="Times New Roman"/>
          <w:szCs w:val="24"/>
        </w:rPr>
        <w:t xml:space="preserve">, merely using the platform as a vehicle, has not engaged in volitional conduct in this sense, because it is the users who cause infringement.” </w:t>
      </w:r>
      <w:r w:rsidRPr="00842D3D">
        <w:rPr>
          <w:rFonts w:eastAsia="MS Mincho" w:cs="Times New Roman"/>
          <w:i/>
          <w:iCs/>
          <w:szCs w:val="24"/>
        </w:rPr>
        <w:t>Id.</w:t>
      </w:r>
    </w:p>
    <w:p w14:paraId="1A180AF1" w14:textId="77777777" w:rsidR="00842D3D" w:rsidRPr="00842D3D" w:rsidRDefault="00842D3D" w:rsidP="00842D3D">
      <w:pPr>
        <w:shd w:val="clear" w:color="auto" w:fill="FFFFFF"/>
        <w:ind w:firstLine="720"/>
        <w:rPr>
          <w:rFonts w:eastAsia="MS Mincho" w:cs="Times New Roman"/>
          <w:i/>
          <w:iCs/>
          <w:szCs w:val="24"/>
        </w:rPr>
      </w:pPr>
    </w:p>
    <w:p w14:paraId="27688F93" w14:textId="77777777" w:rsidR="00842D3D" w:rsidRPr="00842D3D" w:rsidRDefault="00842D3D" w:rsidP="00842D3D">
      <w:pPr>
        <w:shd w:val="clear" w:color="auto" w:fill="FFFFFF"/>
        <w:ind w:firstLine="720"/>
        <w:rPr>
          <w:rFonts w:eastAsia="Times New Roman" w:cs="Times New Roman"/>
          <w:szCs w:val="24"/>
        </w:rPr>
      </w:pPr>
      <w:r w:rsidRPr="00842D3D">
        <w:rPr>
          <w:rFonts w:eastAsia="MS Mincho" w:cs="Times New Roman"/>
          <w:szCs w:val="24"/>
        </w:rPr>
        <w:t xml:space="preserve">Regarding contributory infringement, a party is liable for contributory infringement where the party “(1) has knowledge of another’s infringement and (2) either (a) materially contributes to or (b) induces that infringement.” </w:t>
      </w:r>
      <w:r w:rsidRPr="00842D3D">
        <w:rPr>
          <w:rFonts w:eastAsia="MS Mincho" w:cs="Times New Roman"/>
          <w:i/>
          <w:iCs/>
          <w:szCs w:val="24"/>
        </w:rPr>
        <w:t>Perfect 10, Inc. v. Visa Int’l Serv., Ass’n</w:t>
      </w:r>
      <w:r w:rsidRPr="00842D3D">
        <w:rPr>
          <w:rFonts w:eastAsia="MS Mincho" w:cs="Times New Roman"/>
          <w:szCs w:val="24"/>
        </w:rPr>
        <w:t xml:space="preserve">, 494 F.3d 788, 795 (9th Cir. 2007). The inducement theory has “four elements: (1) the distribution of a device or product, (2) acts of infringement, (3) an object of promoting its use to infringe </w:t>
      </w:r>
      <w:r w:rsidRPr="00842D3D">
        <w:rPr>
          <w:rFonts w:eastAsia="MS Mincho" w:cs="Times New Roman"/>
          <w:szCs w:val="24"/>
        </w:rPr>
        <w:lastRenderedPageBreak/>
        <w:t xml:space="preserve">copyright, and (4) causation.” </w:t>
      </w:r>
      <w:r w:rsidRPr="00842D3D">
        <w:rPr>
          <w:rFonts w:eastAsia="MS Mincho" w:cs="Times New Roman"/>
          <w:i/>
          <w:iCs/>
          <w:szCs w:val="24"/>
        </w:rPr>
        <w:t>Columbia Pictures Indus., Inc. v. Fung</w:t>
      </w:r>
      <w:r w:rsidRPr="00842D3D">
        <w:rPr>
          <w:rFonts w:eastAsia="MS Mincho" w:cs="Times New Roman"/>
          <w:szCs w:val="24"/>
        </w:rPr>
        <w:t>, 710 F.3d 1020, 1032 (9th Cir. 2013).</w:t>
      </w:r>
    </w:p>
    <w:p w14:paraId="7158D3F0" w14:textId="60921838" w:rsidR="00842D3D" w:rsidRPr="00842D3D" w:rsidRDefault="00842D3D" w:rsidP="00842D3D">
      <w:pPr>
        <w:shd w:val="clear" w:color="auto" w:fill="FFFFFF"/>
        <w:jc w:val="right"/>
        <w:rPr>
          <w:rFonts w:eastAsia="Times New Roman" w:cs="Times New Roman"/>
          <w:szCs w:val="24"/>
        </w:rPr>
      </w:pPr>
      <w:r w:rsidRPr="00842D3D">
        <w:rPr>
          <w:rFonts w:eastAsia="Times New Roman" w:cs="Times New Roman"/>
          <w:i/>
          <w:iCs/>
          <w:szCs w:val="24"/>
        </w:rPr>
        <w:t xml:space="preserve">Revised </w:t>
      </w:r>
      <w:r w:rsidR="003C7E8A">
        <w:rPr>
          <w:rFonts w:eastAsia="Times New Roman" w:cs="Times New Roman"/>
          <w:i/>
          <w:iCs/>
          <w:szCs w:val="24"/>
        </w:rPr>
        <w:t>March 2026</w:t>
      </w:r>
    </w:p>
    <w:p w14:paraId="77C7A0B6" w14:textId="77777777" w:rsidR="00842D3D" w:rsidRPr="00842D3D" w:rsidRDefault="00842D3D" w:rsidP="00842D3D">
      <w:pPr>
        <w:rPr>
          <w:rFonts w:eastAsia="Calibri" w:cs="Times New Roman"/>
          <w:szCs w:val="24"/>
        </w:rPr>
      </w:pPr>
    </w:p>
    <w:p w14:paraId="406D5024" w14:textId="77777777" w:rsidR="00842D3D" w:rsidRPr="00842D3D" w:rsidRDefault="00842D3D" w:rsidP="00842D3D">
      <w:pPr>
        <w:rPr>
          <w:rFonts w:eastAsia="Calibri" w:cs="Times New Roman"/>
          <w:szCs w:val="24"/>
        </w:rPr>
      </w:pPr>
    </w:p>
    <w:p w14:paraId="3CA84FD1" w14:textId="77777777" w:rsidR="00842D3D" w:rsidRPr="00842D3D" w:rsidRDefault="00842D3D" w:rsidP="00313A05">
      <w:pPr>
        <w:pStyle w:val="Heading2"/>
      </w:pPr>
      <w:r w:rsidRPr="00842D3D">
        <w:br w:type="page"/>
      </w:r>
      <w:bookmarkStart w:id="388" w:name="_Toc221525303"/>
      <w:r w:rsidRPr="00842D3D">
        <w:lastRenderedPageBreak/>
        <w:t>17.2 Copyright—Defined (17 U.S.C. § 106)</w:t>
      </w:r>
      <w:bookmarkEnd w:id="388"/>
    </w:p>
    <w:p w14:paraId="200ADD7E" w14:textId="77777777" w:rsidR="00842D3D" w:rsidRPr="00842D3D" w:rsidRDefault="00842D3D" w:rsidP="00842D3D">
      <w:pPr>
        <w:autoSpaceDE w:val="0"/>
        <w:autoSpaceDN w:val="0"/>
        <w:adjustRightInd w:val="0"/>
        <w:rPr>
          <w:rFonts w:eastAsia="Calibri" w:cs="Times New Roman"/>
          <w:szCs w:val="24"/>
        </w:rPr>
      </w:pPr>
    </w:p>
    <w:p w14:paraId="5BDFF9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Copyright is the exclusive right to copy. This right to copy includes the exclusive right[s] to [, or to authorize others to]:</w:t>
      </w:r>
      <w:r w:rsidRPr="00842D3D">
        <w:rPr>
          <w:rFonts w:eastAsia="Calibri" w:cs="Times New Roman"/>
          <w:b/>
          <w:bCs/>
          <w:szCs w:val="24"/>
        </w:rPr>
        <w:t xml:space="preserve"> </w:t>
      </w:r>
    </w:p>
    <w:p w14:paraId="3A6320A0" w14:textId="77777777" w:rsidR="00842D3D" w:rsidRPr="00842D3D" w:rsidRDefault="00842D3D" w:rsidP="00842D3D">
      <w:pPr>
        <w:autoSpaceDE w:val="0"/>
        <w:autoSpaceDN w:val="0"/>
        <w:adjustRightInd w:val="0"/>
        <w:rPr>
          <w:rFonts w:eastAsia="Calibri" w:cs="Times New Roman"/>
          <w:szCs w:val="24"/>
        </w:rPr>
      </w:pPr>
    </w:p>
    <w:p w14:paraId="07E761F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[1.]</w:t>
      </w:r>
      <w:r w:rsidRPr="00842D3D">
        <w:rPr>
          <w:rFonts w:eastAsia="Calibri" w:cs="Times New Roman"/>
          <w:szCs w:val="24"/>
        </w:rPr>
        <w:tab/>
        <w:t>[reproduce the copyrighted work in [copies] [phonorecords];]</w:t>
      </w:r>
    </w:p>
    <w:p w14:paraId="52A6BB71" w14:textId="77777777" w:rsidR="00842D3D" w:rsidRPr="00842D3D" w:rsidRDefault="00842D3D" w:rsidP="00842D3D">
      <w:pPr>
        <w:autoSpaceDE w:val="0"/>
        <w:autoSpaceDN w:val="0"/>
        <w:adjustRightInd w:val="0"/>
        <w:ind w:left="1440" w:right="720" w:hanging="720"/>
        <w:rPr>
          <w:rFonts w:eastAsia="Calibri" w:cs="Times New Roman"/>
          <w:szCs w:val="24"/>
        </w:rPr>
      </w:pPr>
    </w:p>
    <w:p w14:paraId="6171AF0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[2.] </w:t>
      </w:r>
      <w:r w:rsidRPr="00842D3D">
        <w:rPr>
          <w:rFonts w:eastAsia="Calibri" w:cs="Times New Roman"/>
          <w:szCs w:val="24"/>
        </w:rPr>
        <w:tab/>
        <w:t>[[recast, transform, or adapt the work, that is] prepare derivative works based upon the copyrighted work;]</w:t>
      </w:r>
    </w:p>
    <w:p w14:paraId="615546C2" w14:textId="77777777" w:rsidR="00842D3D" w:rsidRPr="00842D3D" w:rsidRDefault="00842D3D" w:rsidP="00842D3D">
      <w:pPr>
        <w:autoSpaceDE w:val="0"/>
        <w:autoSpaceDN w:val="0"/>
        <w:adjustRightInd w:val="0"/>
        <w:ind w:left="1440" w:right="720" w:hanging="720"/>
        <w:rPr>
          <w:rFonts w:eastAsia="Calibri" w:cs="Times New Roman"/>
          <w:szCs w:val="24"/>
        </w:rPr>
      </w:pPr>
    </w:p>
    <w:p w14:paraId="1F8873C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[3.] </w:t>
      </w:r>
      <w:r w:rsidRPr="00842D3D">
        <w:rPr>
          <w:rFonts w:eastAsia="Calibri" w:cs="Times New Roman"/>
          <w:szCs w:val="24"/>
        </w:rPr>
        <w:tab/>
        <w:t>[distribute [copies] [phonorecords] of the copyrighted work to the public by [sale or other transfer of ownership] [or by] [rental or lease or lending];]</w:t>
      </w:r>
    </w:p>
    <w:p w14:paraId="50CEFB20" w14:textId="77777777" w:rsidR="00842D3D" w:rsidRPr="00842D3D" w:rsidRDefault="00842D3D" w:rsidP="00842D3D">
      <w:pPr>
        <w:autoSpaceDE w:val="0"/>
        <w:autoSpaceDN w:val="0"/>
        <w:adjustRightInd w:val="0"/>
        <w:ind w:left="1440" w:right="720" w:hanging="720"/>
        <w:rPr>
          <w:rFonts w:eastAsia="Calibri" w:cs="Times New Roman"/>
          <w:szCs w:val="24"/>
        </w:rPr>
      </w:pPr>
    </w:p>
    <w:p w14:paraId="2F84E64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[4.] </w:t>
      </w:r>
      <w:r w:rsidRPr="00842D3D">
        <w:rPr>
          <w:rFonts w:eastAsia="Calibri" w:cs="Times New Roman"/>
          <w:szCs w:val="24"/>
        </w:rPr>
        <w:tab/>
        <w:t>[perform publicly a copyrighted [literary work] [musical work] [dramatic work] [choreographic work] [pantomime work] [motion picture] [or] [</w:t>
      </w:r>
      <w:r w:rsidRPr="00842D3D">
        <w:rPr>
          <w:rFonts w:eastAsia="Calibri" w:cs="Times New Roman"/>
          <w:i/>
          <w:iCs/>
          <w:szCs w:val="24"/>
          <w:u w:val="single"/>
        </w:rPr>
        <w:t>specify other audiovisual work</w:t>
      </w:r>
      <w:r w:rsidRPr="00842D3D">
        <w:rPr>
          <w:rFonts w:eastAsia="Calibri" w:cs="Times New Roman"/>
          <w:szCs w:val="24"/>
        </w:rPr>
        <w:t>];]</w:t>
      </w:r>
    </w:p>
    <w:p w14:paraId="1883CC20" w14:textId="77777777" w:rsidR="00842D3D" w:rsidRPr="00842D3D" w:rsidRDefault="00842D3D" w:rsidP="00842D3D">
      <w:pPr>
        <w:autoSpaceDE w:val="0"/>
        <w:autoSpaceDN w:val="0"/>
        <w:adjustRightInd w:val="0"/>
        <w:ind w:left="1440" w:right="720" w:hanging="720"/>
        <w:rPr>
          <w:rFonts w:eastAsia="Calibri" w:cs="Times New Roman"/>
          <w:szCs w:val="24"/>
        </w:rPr>
      </w:pPr>
    </w:p>
    <w:p w14:paraId="133AAB4A"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[5.] </w:t>
      </w:r>
      <w:r w:rsidRPr="00842D3D">
        <w:rPr>
          <w:rFonts w:eastAsia="Calibri" w:cs="Times New Roman"/>
          <w:szCs w:val="24"/>
        </w:rPr>
        <w:tab/>
        <w:t>[display publicly a copyrighted [literary work] [musical work] [dramatic work] [choreographic work] [pantomime work] [pictorial work] [graphic work] [sculptural work] [individual image of a motion picture] [or] [</w:t>
      </w:r>
      <w:r w:rsidRPr="00842D3D">
        <w:rPr>
          <w:rFonts w:eastAsia="Calibri" w:cs="Times New Roman"/>
          <w:i/>
          <w:iCs/>
          <w:szCs w:val="24"/>
          <w:u w:val="single"/>
        </w:rPr>
        <w:t>specify other audiovisual work</w:t>
      </w:r>
      <w:r w:rsidRPr="00842D3D">
        <w:rPr>
          <w:rFonts w:eastAsia="Calibri" w:cs="Times New Roman"/>
          <w:szCs w:val="24"/>
        </w:rPr>
        <w:t>]; and]</w:t>
      </w:r>
    </w:p>
    <w:p w14:paraId="4CC9EA2F" w14:textId="77777777" w:rsidR="00842D3D" w:rsidRPr="00842D3D" w:rsidRDefault="00842D3D" w:rsidP="00842D3D">
      <w:pPr>
        <w:autoSpaceDE w:val="0"/>
        <w:autoSpaceDN w:val="0"/>
        <w:adjustRightInd w:val="0"/>
        <w:ind w:left="1440" w:right="720" w:hanging="720"/>
        <w:rPr>
          <w:rFonts w:eastAsia="Calibri" w:cs="Times New Roman"/>
          <w:szCs w:val="24"/>
        </w:rPr>
      </w:pPr>
    </w:p>
    <w:p w14:paraId="7929DEA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[6.] </w:t>
      </w:r>
      <w:r w:rsidRPr="00842D3D">
        <w:rPr>
          <w:rFonts w:eastAsia="Calibri" w:cs="Times New Roman"/>
          <w:szCs w:val="24"/>
        </w:rPr>
        <w:tab/>
        <w:t>[perform a sound recording by means of digital audio transmission].</w:t>
      </w:r>
    </w:p>
    <w:p w14:paraId="56503EE8" w14:textId="77777777" w:rsidR="00842D3D" w:rsidRPr="00842D3D" w:rsidRDefault="00842D3D" w:rsidP="00842D3D">
      <w:pPr>
        <w:autoSpaceDE w:val="0"/>
        <w:autoSpaceDN w:val="0"/>
        <w:adjustRightInd w:val="0"/>
        <w:rPr>
          <w:rFonts w:eastAsia="Calibri" w:cs="Times New Roman"/>
          <w:szCs w:val="24"/>
        </w:rPr>
      </w:pPr>
    </w:p>
    <w:p w14:paraId="5F8A1CA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content from owner’s copyrighted work without the owner’s permission. An owner may enforce the[se] right[s] to exclude others in an action for copyright infringement. </w:t>
      </w:r>
    </w:p>
    <w:p w14:paraId="507917DE" w14:textId="77777777" w:rsidR="00842D3D" w:rsidRPr="00842D3D" w:rsidRDefault="00842D3D" w:rsidP="00842D3D">
      <w:pPr>
        <w:rPr>
          <w:rFonts w:eastAsia="Calibri" w:cs="Times New Roman"/>
          <w:szCs w:val="24"/>
        </w:rPr>
      </w:pPr>
    </w:p>
    <w:p w14:paraId="50956F26"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FD5D3EF" w14:textId="77777777" w:rsidR="00842D3D" w:rsidRPr="00842D3D" w:rsidRDefault="00842D3D" w:rsidP="00842D3D">
      <w:pPr>
        <w:autoSpaceDE w:val="0"/>
        <w:autoSpaceDN w:val="0"/>
        <w:adjustRightInd w:val="0"/>
        <w:rPr>
          <w:rFonts w:eastAsia="Calibri" w:cs="Times New Roman"/>
          <w:szCs w:val="24"/>
        </w:rPr>
      </w:pPr>
    </w:p>
    <w:p w14:paraId="1930241C" w14:textId="4CAB8B0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w:t>
      </w:r>
      <w:r w:rsidRPr="00842D3D">
        <w:rPr>
          <w:rFonts w:eastAsia="Calibri" w:cs="Times New Roman"/>
        </w:rPr>
        <w:t xml:space="preserve">identifies the types of rights involved in the term “copyright.”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Kalantari v. NITV, Inc</w:t>
      </w:r>
      <w:r w:rsidRPr="00842D3D">
        <w:rPr>
          <w:rFonts w:eastAsia="Calibri" w:cs="Times New Roman"/>
        </w:rPr>
        <w:t>., 352 F.3d 1202, 1207-08 (9th Cir. 2003) (“Upon obtaining a copyright, an author automatically acquires certain rights that are inherent in the very nature of a copyright</w:t>
      </w:r>
      <w:r w:rsidR="00E54E76">
        <w:rPr>
          <w:rFonts w:eastAsia="Calibri" w:cs="Times New Roman"/>
        </w:rPr>
        <w:t xml:space="preserve">. </w:t>
      </w:r>
      <w:r w:rsidRPr="00842D3D">
        <w:rPr>
          <w:rFonts w:eastAsia="Calibri" w:cs="Times New Roman"/>
        </w:rPr>
        <w:t xml:space="preserve">Specifically, the copyright owner obtains the six exclusive rights of copyright . . . as well as the right to transfer any or all of those rights  . . . .” (citation </w:t>
      </w:r>
      <w:r w:rsidRPr="00842D3D">
        <w:rPr>
          <w:rFonts w:eastAsia="Calibri" w:cs="Times New Roman"/>
          <w:szCs w:val="24"/>
        </w:rPr>
        <w:t xml:space="preserve">omitted)). </w:t>
      </w:r>
    </w:p>
    <w:p w14:paraId="66E6070F" w14:textId="77777777" w:rsidR="00842D3D" w:rsidRPr="00842D3D" w:rsidRDefault="00842D3D" w:rsidP="00842D3D">
      <w:pPr>
        <w:autoSpaceDE w:val="0"/>
        <w:autoSpaceDN w:val="0"/>
        <w:adjustRightInd w:val="0"/>
        <w:rPr>
          <w:rFonts w:eastAsia="Calibri" w:cs="Times New Roman"/>
          <w:szCs w:val="24"/>
        </w:rPr>
      </w:pPr>
    </w:p>
    <w:p w14:paraId="21A9AF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exceptions to these “exclusive” rights. </w:t>
      </w:r>
      <w:r w:rsidRPr="00842D3D">
        <w:rPr>
          <w:rFonts w:eastAsia="Calibri" w:cs="Times New Roman"/>
          <w:i/>
          <w:iCs/>
          <w:szCs w:val="24"/>
        </w:rPr>
        <w:t>See, e.g.</w:t>
      </w:r>
      <w:r w:rsidRPr="00842D3D">
        <w:rPr>
          <w:rFonts w:eastAsia="Calibri" w:cs="Times New Roman"/>
          <w:szCs w:val="24"/>
        </w:rPr>
        <w:t>, 17 U.S.C. §§ 107-122. For definitions of various terms used in this instruction, including phonorecords and digital transmission, see 17 U.S.C. § 101.</w:t>
      </w:r>
    </w:p>
    <w:p w14:paraId="05CB28A4" w14:textId="77777777" w:rsidR="00842D3D" w:rsidRPr="00842D3D" w:rsidRDefault="00842D3D" w:rsidP="00842D3D">
      <w:pPr>
        <w:autoSpaceDE w:val="0"/>
        <w:autoSpaceDN w:val="0"/>
        <w:adjustRightInd w:val="0"/>
        <w:rPr>
          <w:rFonts w:eastAsia="Calibri" w:cs="Times New Roman"/>
          <w:szCs w:val="24"/>
        </w:rPr>
      </w:pPr>
    </w:p>
    <w:p w14:paraId="5DE2E023"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63BD8045" w14:textId="77777777" w:rsidR="00842D3D" w:rsidRPr="00842D3D" w:rsidRDefault="00842D3D" w:rsidP="00313A05">
      <w:pPr>
        <w:pStyle w:val="Heading2"/>
      </w:pPr>
      <w:r w:rsidRPr="00842D3D">
        <w:br w:type="page"/>
      </w:r>
      <w:bookmarkStart w:id="389" w:name="_Toc221525304"/>
      <w:r w:rsidRPr="00842D3D">
        <w:lastRenderedPageBreak/>
        <w:t>17.3 Copyright—Subject Matter—Generally (17 U.S.C. § 102)</w:t>
      </w:r>
      <w:bookmarkEnd w:id="389"/>
    </w:p>
    <w:p w14:paraId="77EEC3EF" w14:textId="77777777" w:rsidR="00842D3D" w:rsidRPr="00842D3D" w:rsidRDefault="00842D3D" w:rsidP="00842D3D">
      <w:pPr>
        <w:autoSpaceDE w:val="0"/>
        <w:autoSpaceDN w:val="0"/>
        <w:adjustRightInd w:val="0"/>
        <w:rPr>
          <w:rFonts w:eastAsia="Calibri" w:cs="Times New Roman"/>
          <w:szCs w:val="24"/>
        </w:rPr>
      </w:pPr>
    </w:p>
    <w:p w14:paraId="1DDFA51B" w14:textId="77777777" w:rsidR="00842D3D" w:rsidRPr="00842D3D" w:rsidRDefault="00842D3D" w:rsidP="00842D3D">
      <w:pPr>
        <w:ind w:firstLine="720"/>
        <w:rPr>
          <w:rFonts w:eastAsia="Calibri" w:cs="Times New Roman"/>
          <w:szCs w:val="24"/>
        </w:rPr>
      </w:pPr>
      <w:r w:rsidRPr="00842D3D">
        <w:rPr>
          <w:rFonts w:eastAsia="Calibri" w:cs="Times New Roman"/>
          <w:szCs w:val="24"/>
        </w:rPr>
        <w:t>The work[s] [</w:t>
      </w:r>
      <w:r w:rsidRPr="00842D3D">
        <w:rPr>
          <w:rFonts w:eastAsia="Calibri" w:cs="Times New Roman"/>
          <w:i/>
          <w:iCs/>
          <w:szCs w:val="24"/>
          <w:u w:val="single"/>
        </w:rPr>
        <w:t>identify the works at issue</w:t>
      </w:r>
      <w:r w:rsidRPr="00842D3D">
        <w:rPr>
          <w:rFonts w:eastAsia="Calibri" w:cs="Times New Roman"/>
          <w:szCs w:val="24"/>
        </w:rPr>
        <w:t>] involved in this trial are known as:</w:t>
      </w:r>
    </w:p>
    <w:p w14:paraId="27CDCB43" w14:textId="77777777" w:rsidR="00842D3D" w:rsidRPr="00842D3D" w:rsidRDefault="00842D3D" w:rsidP="00842D3D">
      <w:pPr>
        <w:rPr>
          <w:rFonts w:eastAsia="Calibri" w:cs="Times New Roman"/>
          <w:szCs w:val="24"/>
        </w:rPr>
      </w:pPr>
    </w:p>
    <w:p w14:paraId="1CFB83A3" w14:textId="77777777" w:rsidR="00842D3D" w:rsidRPr="00842D3D" w:rsidRDefault="00842D3D" w:rsidP="00842D3D">
      <w:pPr>
        <w:ind w:firstLine="720"/>
        <w:rPr>
          <w:rFonts w:eastAsia="Calibri" w:cs="Times New Roman"/>
          <w:szCs w:val="24"/>
        </w:rPr>
      </w:pPr>
      <w:r w:rsidRPr="00842D3D">
        <w:rPr>
          <w:rFonts w:eastAsia="Calibri" w:cs="Times New Roman"/>
          <w:szCs w:val="24"/>
        </w:rPr>
        <w:t>[1.] [literary works [in which words, numbers, or other verbal or numerical symbols are expressed];]</w:t>
      </w:r>
    </w:p>
    <w:p w14:paraId="77F5C3D3" w14:textId="77777777" w:rsidR="00842D3D" w:rsidRPr="00842D3D" w:rsidRDefault="00842D3D" w:rsidP="00842D3D">
      <w:pPr>
        <w:rPr>
          <w:rFonts w:eastAsia="Calibri" w:cs="Times New Roman"/>
          <w:szCs w:val="24"/>
        </w:rPr>
      </w:pPr>
    </w:p>
    <w:p w14:paraId="2A667E06" w14:textId="77777777" w:rsidR="00842D3D" w:rsidRPr="00842D3D" w:rsidRDefault="00842D3D" w:rsidP="00842D3D">
      <w:pPr>
        <w:ind w:firstLine="720"/>
        <w:rPr>
          <w:rFonts w:eastAsia="Calibri" w:cs="Times New Roman"/>
          <w:szCs w:val="24"/>
        </w:rPr>
      </w:pPr>
      <w:r w:rsidRPr="00842D3D">
        <w:rPr>
          <w:rFonts w:eastAsia="Calibri" w:cs="Times New Roman"/>
          <w:szCs w:val="24"/>
        </w:rPr>
        <w:t>[2.] [musical works, including any accompanying words;]</w:t>
      </w:r>
    </w:p>
    <w:p w14:paraId="38FD7622" w14:textId="77777777" w:rsidR="00842D3D" w:rsidRPr="00842D3D" w:rsidRDefault="00842D3D" w:rsidP="00842D3D">
      <w:pPr>
        <w:rPr>
          <w:rFonts w:eastAsia="Calibri" w:cs="Times New Roman"/>
          <w:szCs w:val="24"/>
        </w:rPr>
      </w:pPr>
    </w:p>
    <w:p w14:paraId="6EA9DAE7" w14:textId="77777777" w:rsidR="00842D3D" w:rsidRPr="00842D3D" w:rsidRDefault="00842D3D" w:rsidP="00842D3D">
      <w:pPr>
        <w:ind w:firstLine="720"/>
        <w:rPr>
          <w:rFonts w:eastAsia="Calibri" w:cs="Times New Roman"/>
          <w:szCs w:val="24"/>
        </w:rPr>
      </w:pPr>
      <w:r w:rsidRPr="00842D3D">
        <w:rPr>
          <w:rFonts w:eastAsia="Calibri" w:cs="Times New Roman"/>
          <w:szCs w:val="24"/>
        </w:rPr>
        <w:t>[3.] [dramatic works, including any accompanying music;]</w:t>
      </w:r>
    </w:p>
    <w:p w14:paraId="053FC6FC" w14:textId="77777777" w:rsidR="00842D3D" w:rsidRPr="00842D3D" w:rsidRDefault="00842D3D" w:rsidP="00842D3D">
      <w:pPr>
        <w:rPr>
          <w:rFonts w:eastAsia="Calibri" w:cs="Times New Roman"/>
          <w:szCs w:val="24"/>
        </w:rPr>
      </w:pPr>
    </w:p>
    <w:p w14:paraId="7AC156C8" w14:textId="77777777" w:rsidR="00842D3D" w:rsidRPr="00842D3D" w:rsidRDefault="00842D3D" w:rsidP="00842D3D">
      <w:pPr>
        <w:ind w:firstLine="720"/>
        <w:rPr>
          <w:rFonts w:eastAsia="Calibri" w:cs="Times New Roman"/>
          <w:szCs w:val="24"/>
        </w:rPr>
      </w:pPr>
      <w:r w:rsidRPr="00842D3D">
        <w:rPr>
          <w:rFonts w:eastAsia="Calibri" w:cs="Times New Roman"/>
          <w:szCs w:val="24"/>
        </w:rPr>
        <w:t>[4.] [pantomimes;]</w:t>
      </w:r>
    </w:p>
    <w:p w14:paraId="662B416C" w14:textId="77777777" w:rsidR="00842D3D" w:rsidRPr="00842D3D" w:rsidRDefault="00842D3D" w:rsidP="00842D3D">
      <w:pPr>
        <w:ind w:firstLine="720"/>
        <w:rPr>
          <w:rFonts w:eastAsia="Calibri" w:cs="Times New Roman"/>
          <w:szCs w:val="24"/>
        </w:rPr>
      </w:pPr>
    </w:p>
    <w:p w14:paraId="2479B55C" w14:textId="77777777" w:rsidR="00842D3D" w:rsidRPr="00842D3D" w:rsidRDefault="00842D3D" w:rsidP="00842D3D">
      <w:pPr>
        <w:ind w:firstLine="720"/>
        <w:rPr>
          <w:rFonts w:eastAsia="Calibri" w:cs="Times New Roman"/>
          <w:szCs w:val="24"/>
        </w:rPr>
      </w:pPr>
      <w:r w:rsidRPr="00842D3D">
        <w:rPr>
          <w:rFonts w:eastAsia="Calibri" w:cs="Times New Roman"/>
          <w:szCs w:val="24"/>
        </w:rPr>
        <w:t>[5.] [choreographic works;]</w:t>
      </w:r>
    </w:p>
    <w:p w14:paraId="6C2F5E30" w14:textId="77777777" w:rsidR="00842D3D" w:rsidRPr="00842D3D" w:rsidRDefault="00842D3D" w:rsidP="00842D3D">
      <w:pPr>
        <w:ind w:firstLine="720"/>
        <w:rPr>
          <w:rFonts w:eastAsia="Calibri" w:cs="Times New Roman"/>
          <w:szCs w:val="24"/>
        </w:rPr>
      </w:pPr>
    </w:p>
    <w:p w14:paraId="703D5A7C" w14:textId="77777777" w:rsidR="00842D3D" w:rsidRPr="00842D3D" w:rsidRDefault="00842D3D" w:rsidP="00842D3D">
      <w:pPr>
        <w:ind w:firstLine="720"/>
        <w:rPr>
          <w:rFonts w:eastAsia="Calibri" w:cs="Times New Roman"/>
          <w:szCs w:val="24"/>
        </w:rPr>
      </w:pPr>
      <w:r w:rsidRPr="00842D3D">
        <w:rPr>
          <w:rFonts w:eastAsia="Calibri" w:cs="Times New Roman"/>
          <w:szCs w:val="24"/>
        </w:rPr>
        <w:t>[6.] [pictorial works] [graphic works] [sculptural works][;][, such as two- and three-dimensional works of fine, graphic or applied art, photographs, prints, and art reproductions, maps, globes, charts, diagrams, models, and technical drawings, including architectural plans;]</w:t>
      </w:r>
    </w:p>
    <w:p w14:paraId="7CC53B68" w14:textId="77777777" w:rsidR="00842D3D" w:rsidRPr="00842D3D" w:rsidRDefault="00842D3D" w:rsidP="00842D3D">
      <w:pPr>
        <w:rPr>
          <w:rFonts w:eastAsia="Calibri" w:cs="Times New Roman"/>
          <w:szCs w:val="24"/>
        </w:rPr>
      </w:pPr>
    </w:p>
    <w:p w14:paraId="3585086E" w14:textId="77777777" w:rsidR="00842D3D" w:rsidRPr="00842D3D" w:rsidRDefault="00842D3D" w:rsidP="00842D3D">
      <w:pPr>
        <w:ind w:firstLine="720"/>
        <w:rPr>
          <w:rFonts w:eastAsia="Calibri" w:cs="Times New Roman"/>
          <w:szCs w:val="24"/>
        </w:rPr>
      </w:pPr>
      <w:r w:rsidRPr="00842D3D">
        <w:rPr>
          <w:rFonts w:eastAsia="Calibri" w:cs="Times New Roman"/>
          <w:szCs w:val="24"/>
        </w:rPr>
        <w:t>[7.] [motion pictures] [and other audiovisual works] [in which a series of related images convey an impression of motion when shown in succession];]</w:t>
      </w:r>
    </w:p>
    <w:p w14:paraId="4BA14358" w14:textId="77777777" w:rsidR="00842D3D" w:rsidRPr="00842D3D" w:rsidRDefault="00842D3D" w:rsidP="00842D3D">
      <w:pPr>
        <w:rPr>
          <w:rFonts w:eastAsia="Calibri" w:cs="Times New Roman"/>
          <w:szCs w:val="24"/>
        </w:rPr>
      </w:pPr>
    </w:p>
    <w:p w14:paraId="04A16994" w14:textId="77777777" w:rsidR="00842D3D" w:rsidRPr="00842D3D" w:rsidRDefault="00842D3D" w:rsidP="00842D3D">
      <w:pPr>
        <w:ind w:firstLine="720"/>
        <w:rPr>
          <w:rFonts w:eastAsia="Calibri" w:cs="Times New Roman"/>
          <w:szCs w:val="24"/>
        </w:rPr>
      </w:pPr>
      <w:r w:rsidRPr="00842D3D">
        <w:rPr>
          <w:rFonts w:eastAsia="Calibri" w:cs="Times New Roman"/>
          <w:szCs w:val="24"/>
        </w:rPr>
        <w:t>[8.] [sound recordings][;][, which are works that result from fixation of a series of musical, spoken, or other sounds;]</w:t>
      </w:r>
    </w:p>
    <w:p w14:paraId="3F5C07BE" w14:textId="77777777" w:rsidR="00842D3D" w:rsidRPr="00842D3D" w:rsidRDefault="00842D3D" w:rsidP="00842D3D">
      <w:pPr>
        <w:rPr>
          <w:rFonts w:eastAsia="Calibri" w:cs="Times New Roman"/>
          <w:szCs w:val="24"/>
        </w:rPr>
      </w:pPr>
    </w:p>
    <w:p w14:paraId="48A1C79C" w14:textId="77777777" w:rsidR="00842D3D" w:rsidRPr="00842D3D" w:rsidRDefault="00842D3D" w:rsidP="00842D3D">
      <w:pPr>
        <w:ind w:firstLine="720"/>
        <w:rPr>
          <w:rFonts w:eastAsia="Calibri" w:cs="Times New Roman"/>
          <w:szCs w:val="24"/>
        </w:rPr>
      </w:pPr>
      <w:r w:rsidRPr="00842D3D">
        <w:rPr>
          <w:rFonts w:eastAsia="Calibri" w:cs="Times New Roman"/>
          <w:szCs w:val="24"/>
        </w:rPr>
        <w:t>[9.] [architectural works][;][, which are building designs as embodied in buildings, architectural plans, drawings, or other modes of expression;]</w:t>
      </w:r>
    </w:p>
    <w:p w14:paraId="01737F5F" w14:textId="77777777" w:rsidR="00842D3D" w:rsidRPr="00842D3D" w:rsidRDefault="00842D3D" w:rsidP="00842D3D">
      <w:pPr>
        <w:rPr>
          <w:rFonts w:eastAsia="Calibri" w:cs="Times New Roman"/>
          <w:szCs w:val="24"/>
        </w:rPr>
      </w:pPr>
    </w:p>
    <w:p w14:paraId="46EA0EDE" w14:textId="77777777" w:rsidR="00842D3D" w:rsidRPr="00842D3D" w:rsidRDefault="00842D3D" w:rsidP="00842D3D">
      <w:pPr>
        <w:ind w:firstLine="720"/>
        <w:rPr>
          <w:rFonts w:eastAsia="Calibri" w:cs="Times New Roman"/>
          <w:szCs w:val="24"/>
        </w:rPr>
      </w:pPr>
      <w:r w:rsidRPr="00842D3D">
        <w:rPr>
          <w:rFonts w:eastAsia="Calibri" w:cs="Times New Roman"/>
          <w:szCs w:val="24"/>
        </w:rPr>
        <w:t>[10.] [computer programs]</w:t>
      </w:r>
      <w:r w:rsidRPr="00842D3D">
        <w:rPr>
          <w:rFonts w:eastAsia="Calibri" w:cs="Times New Roman"/>
        </w:rPr>
        <w:t>[;]</w:t>
      </w:r>
      <w:r w:rsidRPr="00842D3D">
        <w:rPr>
          <w:rFonts w:eastAsia="Calibri" w:cs="Times New Roman"/>
          <w:szCs w:val="24"/>
        </w:rPr>
        <w:t>[, that is, sets of statements or instructions to be used directly or indirectly in a computer to bring about a certain result].]</w:t>
      </w:r>
    </w:p>
    <w:p w14:paraId="1C492CB3" w14:textId="77777777" w:rsidR="00842D3D" w:rsidRPr="00842D3D" w:rsidRDefault="00842D3D" w:rsidP="00842D3D">
      <w:pPr>
        <w:ind w:firstLine="720"/>
        <w:rPr>
          <w:rFonts w:eastAsia="Calibri" w:cs="Times New Roman"/>
          <w:szCs w:val="24"/>
        </w:rPr>
      </w:pPr>
    </w:p>
    <w:p w14:paraId="3E4489FF" w14:textId="77777777" w:rsidR="00842D3D" w:rsidRPr="00842D3D" w:rsidRDefault="00842D3D" w:rsidP="00842D3D">
      <w:pPr>
        <w:ind w:firstLine="720"/>
        <w:rPr>
          <w:rFonts w:eastAsia="Calibri" w:cs="Times New Roman"/>
        </w:rPr>
      </w:pPr>
      <w:r w:rsidRPr="00842D3D">
        <w:rPr>
          <w:rFonts w:eastAsia="Calibri" w:cs="Times New Roman"/>
        </w:rPr>
        <w:t>[11.] [characters] [, including comic book, television, or motion picture characters.]</w:t>
      </w:r>
    </w:p>
    <w:p w14:paraId="666ED39A" w14:textId="77777777" w:rsidR="00842D3D" w:rsidRPr="00842D3D" w:rsidRDefault="00842D3D" w:rsidP="00842D3D">
      <w:pPr>
        <w:ind w:firstLine="720"/>
        <w:rPr>
          <w:rFonts w:eastAsia="Calibri" w:cs="Times New Roman"/>
          <w:szCs w:val="24"/>
        </w:rPr>
      </w:pPr>
    </w:p>
    <w:p w14:paraId="44B89E3A" w14:textId="77777777" w:rsidR="00842D3D" w:rsidRPr="00842D3D" w:rsidRDefault="00842D3D" w:rsidP="00842D3D">
      <w:pPr>
        <w:ind w:firstLine="720"/>
        <w:rPr>
          <w:rFonts w:eastAsia="Calibri" w:cs="Times New Roman"/>
          <w:szCs w:val="24"/>
        </w:rPr>
      </w:pPr>
      <w:r w:rsidRPr="00842D3D">
        <w:rPr>
          <w:rFonts w:eastAsia="Calibri" w:cs="Times New Roman"/>
          <w:szCs w:val="24"/>
        </w:rPr>
        <w:t>You are instructed that a copyright may be obtained in [</w:t>
      </w:r>
      <w:r w:rsidRPr="00842D3D">
        <w:rPr>
          <w:rFonts w:eastAsia="Calibri" w:cs="Times New Roman"/>
          <w:i/>
          <w:iCs/>
          <w:szCs w:val="24"/>
          <w:u w:val="single"/>
        </w:rPr>
        <w:t>identify the work[s] at issue</w:t>
      </w:r>
      <w:r w:rsidRPr="00842D3D">
        <w:rPr>
          <w:rFonts w:eastAsia="Calibri" w:cs="Times New Roman"/>
          <w:szCs w:val="24"/>
        </w:rPr>
        <w:t>].</w:t>
      </w:r>
    </w:p>
    <w:p w14:paraId="799AE465" w14:textId="77777777" w:rsidR="00842D3D" w:rsidRPr="00842D3D" w:rsidRDefault="00842D3D" w:rsidP="00842D3D">
      <w:pPr>
        <w:rPr>
          <w:rFonts w:eastAsia="Calibri" w:cs="Times New Roman"/>
          <w:szCs w:val="24"/>
        </w:rPr>
      </w:pPr>
    </w:p>
    <w:p w14:paraId="4638E1E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[[This] [These] work[s] can be protected by copyright law. Only that part of the work[s] consisting of original contributions of authorship [fixed] [produced] in any tangible [medium] [form] of expression from which it can be perceived, reproduced, or otherwise communicated, either directly or with the aid of a machine or device, is protected by the Copyright Act.] </w:t>
      </w:r>
    </w:p>
    <w:p w14:paraId="0F3FA527" w14:textId="77777777" w:rsidR="00842D3D" w:rsidRPr="00842D3D" w:rsidRDefault="00842D3D" w:rsidP="00842D3D">
      <w:pPr>
        <w:rPr>
          <w:rFonts w:eastAsia="Calibri" w:cs="Times New Roman"/>
          <w:szCs w:val="24"/>
        </w:rPr>
      </w:pPr>
    </w:p>
    <w:p w14:paraId="17AF862A" w14:textId="77777777" w:rsidR="00842D3D" w:rsidRPr="00842D3D" w:rsidRDefault="00842D3D" w:rsidP="00842D3D">
      <w:pPr>
        <w:ind w:firstLine="720"/>
        <w:rPr>
          <w:rFonts w:eastAsia="Calibri" w:cs="Times New Roman"/>
          <w:b/>
          <w:bCs/>
          <w:szCs w:val="24"/>
        </w:rPr>
      </w:pPr>
      <w:r w:rsidRPr="00842D3D">
        <w:rPr>
          <w:rFonts w:eastAsia="Calibri" w:cs="Times New Roman"/>
          <w:szCs w:val="24"/>
        </w:rPr>
        <w:t>[Copyright protection for an original work of authorship does not extend to any [idea] [procedure] [process] [system] [method of operation] [concept] [principle] [discovery], regardless of the form in which it is described, explained, illustrated, or embodied.]</w:t>
      </w:r>
    </w:p>
    <w:p w14:paraId="43BAA730" w14:textId="77777777" w:rsidR="00842D3D" w:rsidRPr="00842D3D" w:rsidRDefault="00842D3D" w:rsidP="00842D3D">
      <w:pPr>
        <w:rPr>
          <w:rFonts w:eastAsia="Calibri" w:cs="Times New Roman"/>
          <w:b/>
          <w:bCs/>
          <w:szCs w:val="24"/>
        </w:rPr>
      </w:pPr>
    </w:p>
    <w:p w14:paraId="6AACC38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0D65C94" w14:textId="77777777" w:rsidR="00842D3D" w:rsidRPr="00842D3D" w:rsidRDefault="00842D3D" w:rsidP="00842D3D">
      <w:pPr>
        <w:jc w:val="center"/>
        <w:rPr>
          <w:rFonts w:eastAsia="Calibri" w:cs="Times New Roman"/>
          <w:b/>
          <w:bCs/>
          <w:szCs w:val="24"/>
        </w:rPr>
      </w:pPr>
    </w:p>
    <w:p w14:paraId="3AAA4C45" w14:textId="77777777" w:rsidR="00842D3D" w:rsidRPr="00842D3D" w:rsidRDefault="00842D3D" w:rsidP="00842D3D">
      <w:pPr>
        <w:ind w:firstLine="720"/>
        <w:rPr>
          <w:rFonts w:eastAsia="Calibri" w:cs="Times New Roman"/>
          <w:szCs w:val="24"/>
        </w:rPr>
      </w:pPr>
      <w:r w:rsidRPr="00842D3D">
        <w:rPr>
          <w:rFonts w:eastAsia="Calibri" w:cs="Times New Roman"/>
          <w:szCs w:val="24"/>
        </w:rPr>
        <w:t>Generally, whether a subject matter is copyrightable is a question of law to be determined by the court. This instruction is designed to inform the jury that the court has determined the subject matter to be appropriately copyrightable.</w:t>
      </w:r>
    </w:p>
    <w:p w14:paraId="323CB6E1" w14:textId="77777777" w:rsidR="00842D3D" w:rsidRPr="00842D3D" w:rsidRDefault="00842D3D" w:rsidP="00842D3D">
      <w:pPr>
        <w:rPr>
          <w:rFonts w:eastAsia="Calibri" w:cs="Times New Roman"/>
          <w:i/>
          <w:iCs/>
          <w:szCs w:val="24"/>
        </w:rPr>
      </w:pPr>
    </w:p>
    <w:p w14:paraId="5E40A37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 The court may wish to supplement this instruction by providing further instructions addressing these additional terms. 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sidRPr="00842D3D">
        <w:rPr>
          <w:rFonts w:eastAsia="Calibri" w:cs="Times New Roman"/>
          <w:smallCaps/>
          <w:szCs w:val="24"/>
        </w:rPr>
        <w:t xml:space="preserve"> H.R.</w:t>
      </w:r>
      <w:r w:rsidRPr="00842D3D">
        <w:rPr>
          <w:rFonts w:eastAsia="Calibri" w:cs="Times New Roman"/>
          <w:szCs w:val="24"/>
        </w:rPr>
        <w:t xml:space="preserve"> Rep. No. 94-1476, at 54 (1976). </w:t>
      </w:r>
    </w:p>
    <w:p w14:paraId="70CAE763" w14:textId="77777777" w:rsidR="00842D3D" w:rsidRPr="00842D3D" w:rsidRDefault="00842D3D" w:rsidP="00842D3D">
      <w:pPr>
        <w:rPr>
          <w:rFonts w:eastAsia="Calibri" w:cs="Times New Roman"/>
          <w:szCs w:val="24"/>
        </w:rPr>
      </w:pPr>
    </w:p>
    <w:p w14:paraId="331BA9C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recognized that characters in comic books, television or motion pictures can be afforded copyright protection when they satisfy a three-part test. </w:t>
      </w:r>
      <w:r w:rsidRPr="00842D3D">
        <w:rPr>
          <w:rFonts w:eastAsia="Calibri" w:cs="Times New Roman"/>
          <w:i/>
          <w:iCs/>
          <w:szCs w:val="24"/>
        </w:rPr>
        <w:t>DC Comics v. Towle</w:t>
      </w:r>
      <w:r w:rsidRPr="00842D3D">
        <w:rPr>
          <w:rFonts w:eastAsia="Calibri" w:cs="Times New Roman"/>
          <w:szCs w:val="24"/>
        </w:rP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 Daniels v. Walt Disney Co.</w:t>
      </w:r>
      <w:r w:rsidRPr="00842D3D">
        <w:rPr>
          <w:rFonts w:eastAsia="Calibri" w:cs="Times New Roman"/>
        </w:rPr>
        <w:t xml:space="preserve">, 958 F.3d 767, 771 (9th Cir. 2020) (same); </w:t>
      </w:r>
      <w:r w:rsidRPr="00842D3D">
        <w:rPr>
          <w:rFonts w:eastAsia="Calibri" w:cs="Times New Roman"/>
          <w:i/>
          <w:iCs/>
        </w:rPr>
        <w:t>see also Carroll Shelby Licensing, Inc. v. Halicki</w:t>
      </w:r>
      <w:r w:rsidRPr="00842D3D">
        <w:rPr>
          <w:rFonts w:eastAsia="Calibri" w:cs="Times New Roman"/>
        </w:rPr>
        <w:t xml:space="preserve">, 138 F.4th 1178 (9th Cir. 2025) (holding that Eleanor, a series of Ford Mustangs featured in four films, failed to satisfy the </w:t>
      </w:r>
      <w:r w:rsidRPr="00842D3D">
        <w:rPr>
          <w:rFonts w:eastAsia="Calibri" w:cs="Times New Roman"/>
          <w:i/>
          <w:iCs/>
        </w:rPr>
        <w:t>Towle</w:t>
      </w:r>
      <w:r w:rsidRPr="00842D3D">
        <w:rPr>
          <w:rFonts w:eastAsia="Calibri" w:cs="Times New Roman"/>
        </w:rPr>
        <w:t xml:space="preserve"> test and therefore was not copyrightable).</w:t>
      </w:r>
    </w:p>
    <w:p w14:paraId="474D88B8" w14:textId="77777777" w:rsidR="00842D3D" w:rsidRPr="00842D3D" w:rsidRDefault="00842D3D" w:rsidP="00842D3D">
      <w:pPr>
        <w:ind w:firstLine="720"/>
        <w:rPr>
          <w:rFonts w:eastAsia="Calibri" w:cs="Times New Roman"/>
          <w:szCs w:val="24"/>
        </w:rPr>
      </w:pPr>
    </w:p>
    <w:p w14:paraId="0482C8A0" w14:textId="77777777" w:rsidR="00842D3D" w:rsidRPr="00842D3D" w:rsidRDefault="00842D3D" w:rsidP="00842D3D">
      <w:pPr>
        <w:ind w:firstLine="720"/>
        <w:rPr>
          <w:rFonts w:eastAsia="Calibri" w:cs="Times New Roman"/>
          <w:i/>
          <w:iCs/>
          <w:szCs w:val="24"/>
        </w:rPr>
      </w:pPr>
      <w:r w:rsidRPr="00842D3D">
        <w:rPr>
          <w:rFonts w:eastAsia="Calibri" w:cs="Times New Roman"/>
          <w:szCs w:val="24"/>
        </w:rPr>
        <w:t>Configurable works, like kinetic and manipulable sculptural works, can be sufficiently fixed in a tangible medium of expression so as to be afforded copyright protection.</w:t>
      </w:r>
      <w:r w:rsidRPr="00842D3D">
        <w:rPr>
          <w:rFonts w:eastAsia="Calibri" w:cs="Times New Roman"/>
          <w:i/>
          <w:iCs/>
          <w:szCs w:val="24"/>
        </w:rPr>
        <w:t xml:space="preserve"> Tangle, Inc. v. Aritzia, Inc</w:t>
      </w:r>
      <w:r w:rsidRPr="00842D3D">
        <w:rPr>
          <w:rFonts w:eastAsia="Calibri" w:cs="Times New Roman"/>
          <w:szCs w:val="24"/>
        </w:rPr>
        <w:t>., 125 F.4th 991, 996 (9th Cir. 2025).</w:t>
      </w:r>
    </w:p>
    <w:p w14:paraId="28574412" w14:textId="77777777" w:rsidR="00842D3D" w:rsidRPr="00842D3D" w:rsidRDefault="00842D3D" w:rsidP="00842D3D">
      <w:pPr>
        <w:rPr>
          <w:rFonts w:eastAsia="Calibri" w:cs="Times New Roman"/>
          <w:szCs w:val="24"/>
        </w:rPr>
      </w:pPr>
    </w:p>
    <w:p w14:paraId="36DB24E1" w14:textId="77777777" w:rsidR="00842D3D" w:rsidRPr="00842D3D" w:rsidRDefault="00842D3D" w:rsidP="00842D3D">
      <w:pPr>
        <w:ind w:firstLine="720"/>
        <w:rPr>
          <w:rFonts w:eastAsia="Calibri" w:cs="Times New Roman"/>
          <w:szCs w:val="24"/>
        </w:rPr>
      </w:pPr>
      <w:r w:rsidRPr="00842D3D">
        <w:rPr>
          <w:rFonts w:eastAsia="Calibri" w:cs="Times New Roman"/>
          <w:szCs w:val="24"/>
        </w:rPr>
        <w:t>For additional definitions of terms used in this instruction, see</w:t>
      </w:r>
      <w:r w:rsidRPr="00842D3D">
        <w:rPr>
          <w:rFonts w:eastAsia="Calibri" w:cs="Times New Roman"/>
          <w:i/>
          <w:iCs/>
          <w:szCs w:val="24"/>
        </w:rPr>
        <w:t xml:space="preserve"> </w:t>
      </w:r>
      <w:r w:rsidRPr="00842D3D">
        <w:rPr>
          <w:rFonts w:eastAsia="Calibri" w:cs="Times New Roman"/>
          <w:szCs w:val="24"/>
        </w:rPr>
        <w:t xml:space="preserve">17 U.S.C. § 101 (defining numerous terms used here). </w:t>
      </w:r>
    </w:p>
    <w:p w14:paraId="1022AA60" w14:textId="77777777" w:rsidR="00842D3D" w:rsidRPr="00842D3D" w:rsidRDefault="00842D3D" w:rsidP="00842D3D">
      <w:pPr>
        <w:rPr>
          <w:rFonts w:eastAsia="Calibri" w:cs="Times New Roman"/>
          <w:szCs w:val="24"/>
        </w:rPr>
      </w:pPr>
    </w:p>
    <w:p w14:paraId="1CEEE82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United States Supreme Court has ruled that no copyright protection is available for material authored by a judge or a legislative body acting in an official capacity. </w:t>
      </w:r>
      <w:r w:rsidRPr="00842D3D">
        <w:rPr>
          <w:rFonts w:eastAsia="Calibri" w:cs="Times New Roman"/>
          <w:i/>
          <w:iCs/>
        </w:rPr>
        <w:t>See Georgia v. Public.Resource Org, Inc.</w:t>
      </w:r>
      <w:r w:rsidRPr="00842D3D">
        <w:rPr>
          <w:rFonts w:eastAsia="Calibri" w:cs="Times New Roman"/>
        </w:rPr>
        <w:t>, 590 U.S. 255 (2020). Nor is copyright protection available for any work of the United States government. 17 U.S.C. § 105(a) (“Copyright protection under this title is not available for any work of the United States Government, but the United States Government is not precluded from receiving and holding copyrights transferred to it by assignment, bequest, or otherwise.”).</w:t>
      </w:r>
      <w:r w:rsidRPr="00842D3D">
        <w:rPr>
          <w:rFonts w:eastAsia="Calibri" w:cs="Times New Roman"/>
          <w:szCs w:val="24"/>
        </w:rPr>
        <w:t xml:space="preserve"> </w:t>
      </w:r>
    </w:p>
    <w:p w14:paraId="144D4B15" w14:textId="77777777" w:rsidR="00842D3D" w:rsidRPr="00842D3D" w:rsidRDefault="00842D3D" w:rsidP="00842D3D">
      <w:pPr>
        <w:rPr>
          <w:rFonts w:eastAsia="Calibri" w:cs="Times New Roman"/>
          <w:szCs w:val="24"/>
        </w:rPr>
      </w:pPr>
    </w:p>
    <w:p w14:paraId="74462477"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41F1E024" w14:textId="77777777" w:rsidR="00842D3D" w:rsidRPr="00842D3D" w:rsidRDefault="00842D3D" w:rsidP="00842D3D">
      <w:pPr>
        <w:rPr>
          <w:rFonts w:eastAsia="Calibri" w:cs="Times New Roman"/>
          <w:szCs w:val="24"/>
        </w:rPr>
      </w:pPr>
    </w:p>
    <w:p w14:paraId="7730A91B" w14:textId="77777777" w:rsidR="00842D3D" w:rsidRPr="00842D3D" w:rsidRDefault="00842D3D" w:rsidP="00313A05">
      <w:pPr>
        <w:pStyle w:val="Heading2"/>
      </w:pPr>
      <w:r w:rsidRPr="00842D3D">
        <w:br w:type="page"/>
      </w:r>
      <w:bookmarkStart w:id="390" w:name="_Toc221525305"/>
      <w:r w:rsidRPr="00842D3D">
        <w:lastRenderedPageBreak/>
        <w:t xml:space="preserve">17.4 Copyright—Subject Matter—Ideas and Expression </w:t>
      </w:r>
      <w:r w:rsidRPr="00842D3D">
        <w:br/>
        <w:t>(17 U.S.C. § 102(b))</w:t>
      </w:r>
      <w:bookmarkEnd w:id="390"/>
    </w:p>
    <w:p w14:paraId="20D45D75" w14:textId="77777777" w:rsidR="00842D3D" w:rsidRPr="00842D3D" w:rsidRDefault="00842D3D" w:rsidP="00842D3D">
      <w:pPr>
        <w:autoSpaceDE w:val="0"/>
        <w:autoSpaceDN w:val="0"/>
        <w:adjustRightInd w:val="0"/>
        <w:rPr>
          <w:rFonts w:eastAsia="Calibri" w:cs="Times New Roman"/>
          <w:szCs w:val="24"/>
        </w:rPr>
      </w:pPr>
    </w:p>
    <w:p w14:paraId="0E1213A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Only the expression of an idea or fact can be copyrighted. The underlying ideas contained in the work, such as procedures, processes, systems, methods of operation, concepts, principles, or discoveries, or the underlying facts contained in the work, such as names and addresses in a telephone directory, cannot be copyrighted.</w:t>
      </w:r>
    </w:p>
    <w:p w14:paraId="66894981" w14:textId="77777777" w:rsidR="00842D3D" w:rsidRPr="00842D3D" w:rsidRDefault="00842D3D" w:rsidP="00842D3D">
      <w:pPr>
        <w:autoSpaceDE w:val="0"/>
        <w:autoSpaceDN w:val="0"/>
        <w:adjustRightInd w:val="0"/>
        <w:rPr>
          <w:rFonts w:eastAsia="Calibri" w:cs="Times New Roman"/>
          <w:szCs w:val="24"/>
        </w:rPr>
      </w:pPr>
    </w:p>
    <w:p w14:paraId="3BD5D78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r w:rsidRPr="00842D3D">
        <w:rPr>
          <w:rFonts w:eastAsia="Calibri" w:cs="Times New Roman"/>
          <w:szCs w:val="24"/>
        </w:rPr>
        <w:tab/>
      </w:r>
    </w:p>
    <w:p w14:paraId="15B9D43F" w14:textId="77777777" w:rsidR="00842D3D" w:rsidRPr="00842D3D" w:rsidRDefault="00842D3D" w:rsidP="00842D3D">
      <w:pPr>
        <w:autoSpaceDE w:val="0"/>
        <w:autoSpaceDN w:val="0"/>
        <w:adjustRightInd w:val="0"/>
        <w:rPr>
          <w:rFonts w:eastAsia="Calibri" w:cs="Times New Roman"/>
          <w:szCs w:val="24"/>
        </w:rPr>
      </w:pPr>
    </w:p>
    <w:p w14:paraId="151040F1" w14:textId="147ADE3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“No author may copyright his ideas or the facts he narrates.” </w:t>
      </w:r>
      <w:r w:rsidRPr="00842D3D">
        <w:rPr>
          <w:rFonts w:eastAsia="Calibri" w:cs="Times New Roman"/>
          <w:i/>
          <w:iCs/>
          <w:szCs w:val="24"/>
        </w:rPr>
        <w:t>Harper &amp; Row Publishers, Inc. v. Nat. Enters.</w:t>
      </w:r>
      <w:r w:rsidRPr="00842D3D">
        <w:rPr>
          <w:rFonts w:eastAsia="Calibri" w:cs="Times New Roman"/>
          <w:szCs w:val="24"/>
        </w:rPr>
        <w:t xml:space="preserve">, 471 U.S. 539, 556 (1985). “Copyrights protect ‘expression’ but not the ‘ideas’ that lie behind it.” </w:t>
      </w:r>
      <w:r w:rsidRPr="00842D3D">
        <w:rPr>
          <w:rFonts w:eastAsia="Calibri" w:cs="Times New Roman"/>
          <w:i/>
          <w:iCs/>
          <w:szCs w:val="24"/>
        </w:rPr>
        <w:t>Google LLC v. Oracle Am., Inc.</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593 U.S. 1, 18 (2021); </w:t>
      </w:r>
      <w:r w:rsidRPr="00842D3D">
        <w:rPr>
          <w:rFonts w:eastAsia="Calibri" w:cs="Times New Roman"/>
          <w:i/>
          <w:iCs/>
          <w:szCs w:val="24"/>
        </w:rPr>
        <w:t xml:space="preserve">see also </w:t>
      </w:r>
      <w:r w:rsidRPr="00842D3D">
        <w:rPr>
          <w:rFonts w:eastAsia="Calibri" w:cs="Times New Roman"/>
          <w:szCs w:val="24"/>
        </w:rPr>
        <w:t xml:space="preserve">17 U.S.C. § 102(b) (“In no case does copyright protect[] . . . any idea, procedure, process, system, method of operation, concept, principle, or discovery . . . described, explained, illustrated, or embodied in [the copyrighted] work.”). </w:t>
      </w:r>
    </w:p>
    <w:p w14:paraId="2B981F0A" w14:textId="77777777" w:rsidR="00842D3D" w:rsidRPr="00842D3D" w:rsidRDefault="00842D3D" w:rsidP="00842D3D">
      <w:pPr>
        <w:autoSpaceDE w:val="0"/>
        <w:autoSpaceDN w:val="0"/>
        <w:adjustRightInd w:val="0"/>
        <w:rPr>
          <w:rFonts w:eastAsia="Calibri" w:cs="Times New Roman"/>
          <w:szCs w:val="24"/>
        </w:rPr>
      </w:pPr>
    </w:p>
    <w:p w14:paraId="05EB9309" w14:textId="56C7695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Although “facts are not copyrightable[,] . . . compilations of facts generally are.” </w:t>
      </w:r>
      <w:r w:rsidRPr="00842D3D">
        <w:rPr>
          <w:rFonts w:eastAsia="Calibri" w:cs="Times New Roman"/>
          <w:i/>
          <w:iCs/>
          <w:szCs w:val="24"/>
        </w:rPr>
        <w:t>Feist Publ’ns., Inc. v. Rural Tel. Serv. Co.</w:t>
      </w:r>
      <w:r w:rsidRPr="00842D3D">
        <w:rPr>
          <w:rFonts w:eastAsia="Calibri" w:cs="Times New Roman"/>
          <w:szCs w:val="24"/>
        </w:rPr>
        <w:t>, 499 U.S. 340, 344 (1991).</w:t>
      </w:r>
    </w:p>
    <w:p w14:paraId="39746FED" w14:textId="77777777" w:rsidR="00842D3D" w:rsidRPr="00842D3D" w:rsidRDefault="00842D3D" w:rsidP="00842D3D">
      <w:pPr>
        <w:autoSpaceDE w:val="0"/>
        <w:autoSpaceDN w:val="0"/>
        <w:adjustRightInd w:val="0"/>
        <w:ind w:firstLine="720"/>
        <w:rPr>
          <w:rFonts w:eastAsia="Calibri" w:cs="Times New Roman"/>
          <w:szCs w:val="24"/>
        </w:rPr>
      </w:pPr>
    </w:p>
    <w:p w14:paraId="42F69EA8" w14:textId="77777777" w:rsidR="00842D3D" w:rsidRPr="00842D3D" w:rsidRDefault="00842D3D" w:rsidP="00842D3D">
      <w:pPr>
        <w:autoSpaceDE w:val="0"/>
        <w:autoSpaceDN w:val="0"/>
        <w:adjustRightInd w:val="0"/>
        <w:ind w:firstLine="720"/>
        <w:jc w:val="right"/>
        <w:rPr>
          <w:rFonts w:eastAsia="Calibri" w:cs="Times New Roman"/>
          <w:i/>
          <w:iCs/>
          <w:szCs w:val="24"/>
        </w:rPr>
      </w:pPr>
      <w:r w:rsidRPr="00842D3D">
        <w:rPr>
          <w:rFonts w:eastAsia="Calibri" w:cs="Times New Roman"/>
          <w:i/>
          <w:iCs/>
          <w:szCs w:val="24"/>
        </w:rPr>
        <w:t>Revised March 2024</w:t>
      </w:r>
    </w:p>
    <w:p w14:paraId="0A31586B" w14:textId="77777777" w:rsidR="00842D3D" w:rsidRPr="00842D3D" w:rsidRDefault="00842D3D" w:rsidP="00313A05">
      <w:pPr>
        <w:pStyle w:val="Heading2"/>
      </w:pPr>
      <w:r w:rsidRPr="00842D3D">
        <w:br w:type="page"/>
      </w:r>
      <w:bookmarkStart w:id="391" w:name="_Toc221525306"/>
      <w:r w:rsidRPr="00842D3D">
        <w:lastRenderedPageBreak/>
        <w:t xml:space="preserve">17.5 Copyright Infringement—Elements—Ownership and Copying </w:t>
      </w:r>
      <w:r w:rsidRPr="00842D3D">
        <w:br/>
        <w:t>(17 U.S.C. § 501(a)-(b))</w:t>
      </w:r>
      <w:bookmarkEnd w:id="391"/>
    </w:p>
    <w:p w14:paraId="2219BBFE" w14:textId="77777777" w:rsidR="00842D3D" w:rsidRPr="00842D3D" w:rsidRDefault="00842D3D" w:rsidP="00842D3D">
      <w:pPr>
        <w:autoSpaceDE w:val="0"/>
        <w:autoSpaceDN w:val="0"/>
        <w:adjustRightInd w:val="0"/>
        <w:rPr>
          <w:rFonts w:eastAsia="Calibri" w:cs="Times New Roman"/>
          <w:szCs w:val="24"/>
        </w:rPr>
      </w:pPr>
    </w:p>
    <w:p w14:paraId="504DBED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Anyone who copies original expression from a copyrighted work during the term of the copyright without the owner’s permission infringes the copyright.</w:t>
      </w:r>
    </w:p>
    <w:p w14:paraId="519E0C9A" w14:textId="77777777" w:rsidR="00842D3D" w:rsidRPr="00842D3D" w:rsidRDefault="00842D3D" w:rsidP="00842D3D">
      <w:pPr>
        <w:autoSpaceDE w:val="0"/>
        <w:autoSpaceDN w:val="0"/>
        <w:adjustRightInd w:val="0"/>
        <w:rPr>
          <w:rFonts w:eastAsia="Calibri" w:cs="Times New Roman"/>
          <w:szCs w:val="24"/>
        </w:rPr>
      </w:pPr>
    </w:p>
    <w:p w14:paraId="37563E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On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Calibri" w:cs="Times New Roman"/>
          <w:szCs w:val="24"/>
        </w:rPr>
        <w:t xml:space="preserve">’s copyright infringement claim,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has the burden of proving by a preponderance of the evidence that:</w:t>
      </w:r>
    </w:p>
    <w:p w14:paraId="02962A00" w14:textId="77777777" w:rsidR="00842D3D" w:rsidRPr="00842D3D" w:rsidRDefault="00842D3D" w:rsidP="00842D3D">
      <w:pPr>
        <w:autoSpaceDE w:val="0"/>
        <w:autoSpaceDN w:val="0"/>
        <w:adjustRightInd w:val="0"/>
        <w:rPr>
          <w:rFonts w:eastAsia="Calibri" w:cs="Times New Roman"/>
          <w:szCs w:val="24"/>
        </w:rPr>
      </w:pPr>
    </w:p>
    <w:p w14:paraId="55D5E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First,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the owner of a valid copyright; and</w:t>
      </w:r>
    </w:p>
    <w:p w14:paraId="0B5F84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p>
    <w:p w14:paraId="6A726CD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Second, the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copied original expression from the copyrighted work.</w:t>
      </w:r>
    </w:p>
    <w:p w14:paraId="42C75013" w14:textId="77777777" w:rsidR="00842D3D" w:rsidRPr="00842D3D" w:rsidRDefault="00842D3D" w:rsidP="00842D3D">
      <w:pPr>
        <w:autoSpaceDE w:val="0"/>
        <w:autoSpaceDN w:val="0"/>
        <w:adjustRightInd w:val="0"/>
        <w:rPr>
          <w:rFonts w:eastAsia="Calibri" w:cs="Times New Roman"/>
          <w:szCs w:val="24"/>
        </w:rPr>
      </w:pPr>
    </w:p>
    <w:p w14:paraId="7357B1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you </w:t>
      </w:r>
      <w:r w:rsidRPr="00842D3D">
        <w:rPr>
          <w:rFonts w:eastAsia="Calibri" w:cs="Times New Roman"/>
        </w:rPr>
        <w:t>find that the plaintiff [</w:t>
      </w:r>
      <w:r w:rsidRPr="00842D3D">
        <w:rPr>
          <w:rFonts w:eastAsia="Calibri" w:cs="Times New Roman"/>
          <w:i/>
          <w:iCs/>
          <w:u w:val="single"/>
        </w:rPr>
        <w:t>name</w:t>
      </w:r>
      <w:r w:rsidRPr="00842D3D">
        <w:rPr>
          <w:rFonts w:eastAsia="Calibri" w:cs="Times New Roman"/>
        </w:rPr>
        <w:t>] has proved both of these elements, your verdict should be for the plaintiff [</w:t>
      </w:r>
      <w:r w:rsidRPr="00842D3D">
        <w:rPr>
          <w:rFonts w:eastAsia="Calibri" w:cs="Times New Roman"/>
          <w:i/>
          <w:iCs/>
          <w:u w:val="single"/>
        </w:rPr>
        <w:t>name</w:t>
      </w:r>
      <w:r w:rsidRPr="00842D3D">
        <w:rPr>
          <w:rFonts w:eastAsia="Calibri" w:cs="Times New Roman"/>
        </w:rPr>
        <w:t>][, absent a successful defense such as fair use]. If, on the other hand, you find that the plaintiff [</w:t>
      </w:r>
      <w:r w:rsidRPr="00842D3D">
        <w:rPr>
          <w:rFonts w:eastAsia="Calibri" w:cs="Times New Roman"/>
          <w:i/>
          <w:iCs/>
          <w:u w:val="single"/>
        </w:rPr>
        <w:t>name</w:t>
      </w:r>
      <w:r w:rsidRPr="00842D3D">
        <w:rPr>
          <w:rFonts w:eastAsia="Calibri" w:cs="Times New Roman"/>
        </w:rPr>
        <w:t>], has failed to prove either of these elements, your verdict should be for the defendant [</w:t>
      </w:r>
      <w:r w:rsidRPr="00842D3D">
        <w:rPr>
          <w:rFonts w:eastAsia="Calibri" w:cs="Times New Roman"/>
          <w:i/>
          <w:iCs/>
          <w:u w:val="single"/>
        </w:rPr>
        <w:t>name</w:t>
      </w:r>
      <w:r w:rsidRPr="00842D3D">
        <w:rPr>
          <w:rFonts w:eastAsia="Calibri" w:cs="Times New Roman"/>
        </w:rPr>
        <w:t>].</w:t>
      </w:r>
    </w:p>
    <w:p w14:paraId="06306338" w14:textId="77777777" w:rsidR="00842D3D" w:rsidRPr="00842D3D" w:rsidRDefault="00842D3D" w:rsidP="00842D3D">
      <w:pPr>
        <w:autoSpaceDE w:val="0"/>
        <w:autoSpaceDN w:val="0"/>
        <w:adjustRightInd w:val="0"/>
        <w:jc w:val="center"/>
        <w:rPr>
          <w:rFonts w:eastAsia="Calibri" w:cs="Times New Roman"/>
          <w:szCs w:val="24"/>
        </w:rPr>
      </w:pPr>
    </w:p>
    <w:p w14:paraId="095B1C0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74E4934" w14:textId="77777777" w:rsidR="00842D3D" w:rsidRPr="00842D3D" w:rsidRDefault="00842D3D" w:rsidP="00842D3D">
      <w:pPr>
        <w:autoSpaceDE w:val="0"/>
        <w:autoSpaceDN w:val="0"/>
        <w:adjustRightInd w:val="0"/>
        <w:rPr>
          <w:rFonts w:eastAsia="Calibri" w:cs="Times New Roman"/>
          <w:szCs w:val="24"/>
        </w:rPr>
      </w:pPr>
    </w:p>
    <w:p w14:paraId="615B0683" w14:textId="5EBA8F3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elements in this instruction are explained in Instructions 17.6 (Copyright Infringement</w:t>
      </w:r>
      <w:r w:rsidRPr="00842D3D">
        <w:rPr>
          <w:rFonts w:eastAsia="Calibri" w:cs="Times New Roman"/>
          <w:b/>
          <w:bCs/>
          <w:szCs w:val="24"/>
        </w:rPr>
        <w:t>—</w:t>
      </w:r>
      <w:r w:rsidRPr="00842D3D">
        <w:rPr>
          <w:rFonts w:eastAsia="Calibri" w:cs="Times New Roman"/>
          <w:szCs w:val="24"/>
        </w:rPr>
        <w:t>Ownership of Valid Copyright</w:t>
      </w:r>
      <w:r w:rsidRPr="00842D3D">
        <w:rPr>
          <w:rFonts w:eastAsia="Calibri" w:cs="Times New Roman"/>
          <w:b/>
          <w:bCs/>
          <w:szCs w:val="24"/>
        </w:rPr>
        <w:t>—</w:t>
      </w:r>
      <w:r w:rsidRPr="00842D3D">
        <w:rPr>
          <w:rFonts w:eastAsia="Calibri" w:cs="Times New Roman"/>
          <w:szCs w:val="24"/>
        </w:rPr>
        <w:t>Definition), 17.14 (Copyright Infringement</w:t>
      </w:r>
      <w:r w:rsidRPr="00842D3D">
        <w:rPr>
          <w:rFonts w:eastAsia="Calibri" w:cs="Times New Roman"/>
          <w:b/>
          <w:bCs/>
          <w:szCs w:val="24"/>
        </w:rPr>
        <w:t>—</w:t>
      </w:r>
      <w:r w:rsidRPr="00842D3D">
        <w:rPr>
          <w:rFonts w:eastAsia="Calibri" w:cs="Times New Roman"/>
          <w:szCs w:val="24"/>
        </w:rPr>
        <w:t>Originality), 17.17 (Copying</w:t>
      </w:r>
      <w:r w:rsidRPr="00842D3D">
        <w:rPr>
          <w:rFonts w:eastAsia="Calibri" w:cs="Times New Roman"/>
          <w:b/>
          <w:bCs/>
          <w:szCs w:val="24"/>
        </w:rPr>
        <w:t>—</w:t>
      </w:r>
      <w:r w:rsidRPr="00842D3D">
        <w:rPr>
          <w:rFonts w:eastAsia="Calibri" w:cs="Times New Roman"/>
          <w:szCs w:val="24"/>
        </w:rPr>
        <w:t xml:space="preserve">Access and Substantial Similarity),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17.18 (Copyright Infringement—Copying—Access Defined), and 17.19 Substantial Similarity—Extrinsic Test; Intrinsic Test). Copying and improper appropriation are issues of fact for the jury. </w:t>
      </w:r>
      <w:r w:rsidRPr="00842D3D">
        <w:rPr>
          <w:rFonts w:eastAsia="Calibri" w:cs="Times New Roman"/>
          <w:i/>
          <w:iCs/>
          <w:szCs w:val="24"/>
        </w:rPr>
        <w:t>See Three Boys Music Corp v. Bolton</w:t>
      </w:r>
      <w:r w:rsidRPr="00842D3D">
        <w:rPr>
          <w:rFonts w:eastAsia="Calibri" w:cs="Times New Roman"/>
          <w:szCs w:val="24"/>
        </w:rPr>
        <w:t>, 212 F.3d 477, 481-82 (9th Cir. 2000).</w:t>
      </w:r>
    </w:p>
    <w:p w14:paraId="7C15B963" w14:textId="77777777" w:rsidR="00842D3D" w:rsidRPr="00842D3D" w:rsidRDefault="00842D3D" w:rsidP="00842D3D">
      <w:pPr>
        <w:autoSpaceDE w:val="0"/>
        <w:autoSpaceDN w:val="0"/>
        <w:adjustRightInd w:val="0"/>
        <w:rPr>
          <w:rFonts w:eastAsia="Calibri" w:cs="Times New Roman"/>
          <w:szCs w:val="24"/>
        </w:rPr>
      </w:pPr>
    </w:p>
    <w:p w14:paraId="6875F7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elements of copyright infringement cited in this instruction were stated in </w:t>
      </w:r>
      <w:r w:rsidRPr="00842D3D">
        <w:rPr>
          <w:rFonts w:eastAsia="Calibri" w:cs="Times New Roman"/>
          <w:i/>
          <w:iCs/>
          <w:szCs w:val="24"/>
        </w:rPr>
        <w:t>Feist Publications v. Rural Telephone Service Co.</w:t>
      </w:r>
      <w:r w:rsidRPr="00842D3D">
        <w:rPr>
          <w:rFonts w:eastAsia="Calibri" w:cs="Times New Roman"/>
          <w:szCs w:val="24"/>
        </w:rPr>
        <w:t xml:space="preserve">, 499 U.S. 340, 361 (1991) (“To establish infringement, two elements must be proven: (1) ownership of a valid copyright, and (2) copying of constituent elements of the work that are original.”); </w:t>
      </w:r>
      <w:r w:rsidRPr="00842D3D">
        <w:rPr>
          <w:rFonts w:eastAsia="Calibri" w:cs="Times New Roman"/>
          <w:i/>
          <w:iCs/>
          <w:szCs w:val="24"/>
        </w:rPr>
        <w:t>see also Seven Arts Filmed Ent. Ltd. v. Content Media Corp.</w:t>
      </w:r>
      <w:r w:rsidRPr="00842D3D">
        <w:rPr>
          <w:rFonts w:eastAsia="Calibri" w:cs="Times New Roman"/>
          <w:szCs w:val="24"/>
        </w:rPr>
        <w:t xml:space="preserve">, 733 F.3d 1251, 1254 (9th Cir. 2013); </w:t>
      </w:r>
      <w:r w:rsidRPr="00842D3D">
        <w:rPr>
          <w:rFonts w:eastAsia="Calibri" w:cs="Times New Roman"/>
          <w:i/>
          <w:iCs/>
          <w:szCs w:val="24"/>
        </w:rPr>
        <w:t>Great Minds v. Office Depot</w:t>
      </w:r>
      <w:r w:rsidRPr="00842D3D">
        <w:rPr>
          <w:rFonts w:eastAsia="Calibri" w:cs="Times New Roman"/>
          <w:szCs w:val="24"/>
        </w:rPr>
        <w:t xml:space="preserve">, 945 F.3d 1106, 1110 (9th Cir. 2019); </w:t>
      </w:r>
      <w:r w:rsidRPr="00842D3D">
        <w:rPr>
          <w:rFonts w:eastAsia="Calibri" w:cs="Times New Roman"/>
          <w:i/>
          <w:iCs/>
          <w:szCs w:val="24"/>
        </w:rPr>
        <w:t>Aquarian Found., Inc. v. Lowndes</w:t>
      </w:r>
      <w:r w:rsidRPr="00842D3D">
        <w:rPr>
          <w:rFonts w:eastAsia="Calibri" w:cs="Times New Roman"/>
          <w:szCs w:val="24"/>
        </w:rPr>
        <w:t xml:space="preserve">, 127 F.4th 814, 821 (9th Cir. 2025) (confirming that ownership of a copyright may be bequeathed by will under both the 1909 and 1976 Copyright Acts). </w:t>
      </w:r>
    </w:p>
    <w:p w14:paraId="1094E508" w14:textId="77777777" w:rsidR="00842D3D" w:rsidRPr="00842D3D" w:rsidRDefault="00842D3D" w:rsidP="00842D3D">
      <w:pPr>
        <w:autoSpaceDE w:val="0"/>
        <w:autoSpaceDN w:val="0"/>
        <w:adjustRightInd w:val="0"/>
        <w:rPr>
          <w:rFonts w:eastAsia="Calibri" w:cs="Times New Roman"/>
          <w:szCs w:val="24"/>
        </w:rPr>
      </w:pPr>
    </w:p>
    <w:p w14:paraId="3B2315C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Ninth Circuit considers the word “copying” as “shorthand” for the various activities that may infringe a copyright owner’s six exclusive rights described at 17 U.S.C. § 106.</w:t>
      </w:r>
      <w:r w:rsidRPr="00842D3D">
        <w:rPr>
          <w:rFonts w:eastAsia="Calibri" w:cs="Times New Roman"/>
          <w:i/>
          <w:iCs/>
          <w:szCs w:val="24"/>
        </w:rPr>
        <w:t xml:space="preserve"> Range Rd. Music, Inc. v. E. Coast Foods, Inc.</w:t>
      </w:r>
      <w:r w:rsidRPr="00842D3D">
        <w:rPr>
          <w:rFonts w:eastAsia="Calibri" w:cs="Times New Roman"/>
          <w:szCs w:val="24"/>
        </w:rPr>
        <w:t>, 668 F.3d 1148, 1153-54 (9th Cir. 2012).</w:t>
      </w:r>
      <w:r w:rsidRPr="00842D3D">
        <w:rPr>
          <w:rFonts w:eastAsia="Calibri" w:cs="Times New Roman"/>
          <w:i/>
          <w:iCs/>
          <w:szCs w:val="24"/>
        </w:rPr>
        <w:t xml:space="preserve"> </w:t>
      </w:r>
    </w:p>
    <w:p w14:paraId="4C087EFD" w14:textId="77777777" w:rsidR="00842D3D" w:rsidRPr="00842D3D" w:rsidRDefault="00842D3D" w:rsidP="00842D3D">
      <w:pPr>
        <w:autoSpaceDE w:val="0"/>
        <w:autoSpaceDN w:val="0"/>
        <w:adjustRightInd w:val="0"/>
        <w:rPr>
          <w:rFonts w:eastAsia="Calibri" w:cs="Times New Roman"/>
          <w:szCs w:val="24"/>
        </w:rPr>
      </w:pPr>
    </w:p>
    <w:p w14:paraId="7CFC931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To establish the defendant’s liability on a direct infringement theory, the plaintiff must show that the defendant was the cause of the infringement. </w:t>
      </w:r>
      <w:r w:rsidRPr="00842D3D">
        <w:rPr>
          <w:rFonts w:eastAsia="Calibri" w:cs="Times New Roman"/>
          <w:i/>
          <w:iCs/>
          <w:szCs w:val="24"/>
        </w:rPr>
        <w:t>See Perfect 10, Inc. v. Giganews, Inc</w:t>
      </w:r>
      <w:r w:rsidRPr="00842D3D">
        <w:rPr>
          <w:rFonts w:eastAsia="Calibri" w:cs="Times New Roman"/>
          <w:szCs w:val="24"/>
        </w:rPr>
        <w:t xml:space="preserve">., 847 F.3d 657, 666 (9th Cir. 2017) (“[W]here it is clear that infringement has occurred, courts must determine ‘who is close enough to the [infringing] event to be considered the most important cause’” (citation omitted)); </w:t>
      </w:r>
      <w:r w:rsidRPr="00842D3D">
        <w:rPr>
          <w:rFonts w:eastAsia="Calibri" w:cs="Times New Roman"/>
          <w:i/>
          <w:iCs/>
          <w:szCs w:val="24"/>
        </w:rPr>
        <w:t>see also VHT Inc. v. Zillow Grp., Inc.</w:t>
      </w:r>
      <w:r w:rsidRPr="00842D3D">
        <w:rPr>
          <w:rFonts w:eastAsia="Calibri" w:cs="Times New Roman"/>
          <w:szCs w:val="24"/>
        </w:rPr>
        <w:t xml:space="preserve">, 918 F.3d 723, 732 </w:t>
      </w:r>
      <w:r w:rsidRPr="00842D3D">
        <w:rPr>
          <w:rFonts w:eastAsia="Calibri" w:cs="Times New Roman"/>
          <w:szCs w:val="24"/>
        </w:rPr>
        <w:lastRenderedPageBreak/>
        <w:t xml:space="preserve">(9th Cir. 2019) (“‘[D]irect infringement requires ‘active’ involvement.”). If causation is contested, it may be appropriate to modify this instruction to explicitly include causation as an element. In </w:t>
      </w:r>
      <w:r w:rsidRPr="00842D3D">
        <w:rPr>
          <w:rFonts w:eastAsia="Calibri" w:cs="Times New Roman"/>
          <w:i/>
          <w:iCs/>
          <w:szCs w:val="24"/>
        </w:rPr>
        <w:t>VHT, Inc. v. Zillow Group, Inc.</w:t>
      </w:r>
      <w:r w:rsidRPr="00842D3D">
        <w:rPr>
          <w:rFonts w:eastAsia="Calibri" w:cs="Times New Roman"/>
          <w:szCs w:val="24"/>
        </w:rPr>
        <w:t>, the Ninth Circuit provided an extensive discussion of 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00A4AC43" w14:textId="77777777" w:rsidR="00842D3D" w:rsidRPr="00842D3D" w:rsidRDefault="00842D3D" w:rsidP="00842D3D">
      <w:pPr>
        <w:autoSpaceDE w:val="0"/>
        <w:autoSpaceDN w:val="0"/>
        <w:adjustRightInd w:val="0"/>
        <w:rPr>
          <w:rFonts w:eastAsia="Calibri" w:cs="Times New Roman"/>
          <w:szCs w:val="24"/>
        </w:rPr>
      </w:pPr>
    </w:p>
    <w:p w14:paraId="48712908" w14:textId="74E6D44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Skidmore v. Led Zeppelin</w:t>
      </w:r>
      <w:r w:rsidRPr="00842D3D">
        <w:rPr>
          <w:rFonts w:eastAsia="Calibri" w:cs="Times New Roman"/>
          <w:szCs w:val="24"/>
        </w:rPr>
        <w:t xml:space="preserve">,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952 F.3d 1051 (9th Cir. 2020) (en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works . . . The second prong of the infringement analysis contains two separate components: ‘copying’ and ‘unlawful appropriation,’”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i/>
          <w:iCs/>
          <w:szCs w:val="24"/>
        </w:rPr>
        <w:t xml:space="preserve">id. </w:t>
      </w:r>
      <w:r w:rsidRPr="00842D3D">
        <w:rPr>
          <w:rFonts w:eastAsia="Calibri" w:cs="Times New Roman"/>
          <w:szCs w:val="24"/>
        </w:rPr>
        <w:t xml:space="preserve">at 1064 (citing </w:t>
      </w:r>
      <w:r w:rsidRPr="00842D3D">
        <w:rPr>
          <w:rFonts w:eastAsia="Calibri" w:cs="Times New Roman"/>
          <w:i/>
          <w:iCs/>
          <w:szCs w:val="24"/>
        </w:rPr>
        <w:t>Rentmeester v. Nike, Inc</w:t>
      </w:r>
      <w:r w:rsidRPr="00842D3D">
        <w:rPr>
          <w:rFonts w:eastAsia="Calibri" w:cs="Times New Roman"/>
          <w:szCs w:val="24"/>
        </w:rPr>
        <w:t>., 883 F.3d 1111, 116-17 (9th Cir. 2018)).</w:t>
      </w:r>
    </w:p>
    <w:p w14:paraId="383FF592" w14:textId="77777777" w:rsidR="00842D3D" w:rsidRPr="00842D3D" w:rsidRDefault="00842D3D" w:rsidP="00842D3D">
      <w:pPr>
        <w:autoSpaceDE w:val="0"/>
        <w:autoSpaceDN w:val="0"/>
        <w:adjustRightInd w:val="0"/>
        <w:rPr>
          <w:rFonts w:eastAsia="Calibri" w:cs="Times New Roman"/>
          <w:szCs w:val="24"/>
        </w:rPr>
      </w:pPr>
    </w:p>
    <w:p w14:paraId="08BCA2EE" w14:textId="77777777" w:rsidR="00842D3D" w:rsidRPr="00842D3D" w:rsidRDefault="00842D3D" w:rsidP="00842D3D">
      <w:pPr>
        <w:autoSpaceDE w:val="0"/>
        <w:autoSpaceDN w:val="0"/>
        <w:adjustRightInd w:val="0"/>
        <w:jc w:val="right"/>
        <w:rPr>
          <w:rFonts w:eastAsia="Calibri" w:cs="Times New Roman"/>
          <w:i/>
          <w:iCs/>
          <w:strike/>
          <w:szCs w:val="24"/>
        </w:rPr>
      </w:pPr>
      <w:r w:rsidRPr="00842D3D">
        <w:rPr>
          <w:rFonts w:eastAsia="Calibri" w:cs="Times New Roman"/>
          <w:i/>
          <w:iCs/>
          <w:szCs w:val="24"/>
        </w:rPr>
        <w:t>Revised September 2025</w:t>
      </w:r>
    </w:p>
    <w:p w14:paraId="47C3437A" w14:textId="77777777" w:rsidR="00842D3D" w:rsidRPr="00842D3D" w:rsidRDefault="00842D3D" w:rsidP="00842D3D">
      <w:pPr>
        <w:autoSpaceDE w:val="0"/>
        <w:autoSpaceDN w:val="0"/>
        <w:adjustRightInd w:val="0"/>
        <w:rPr>
          <w:rFonts w:eastAsia="Calibri" w:cs="Times New Roman"/>
          <w:szCs w:val="24"/>
        </w:rPr>
      </w:pPr>
    </w:p>
    <w:p w14:paraId="29006FF2" w14:textId="77777777" w:rsidR="00842D3D" w:rsidRPr="00842D3D" w:rsidRDefault="00842D3D" w:rsidP="00313A05">
      <w:pPr>
        <w:pStyle w:val="Heading2"/>
      </w:pPr>
      <w:r w:rsidRPr="00842D3D">
        <w:br w:type="page"/>
      </w:r>
      <w:bookmarkStart w:id="392" w:name="_Toc221525307"/>
      <w:r w:rsidRPr="00842D3D">
        <w:lastRenderedPageBreak/>
        <w:t xml:space="preserve">17.6 Copyright Infringement—Ownership of Valid Copyright—Definition </w:t>
      </w:r>
      <w:r w:rsidRPr="00842D3D">
        <w:br/>
        <w:t>(17 U.S.C. §§ 201–205)</w:t>
      </w:r>
      <w:bookmarkEnd w:id="392"/>
    </w:p>
    <w:p w14:paraId="10D35B7A" w14:textId="77777777" w:rsidR="00842D3D" w:rsidRPr="00842D3D" w:rsidRDefault="00842D3D" w:rsidP="00842D3D">
      <w:pPr>
        <w:autoSpaceDE w:val="0"/>
        <w:autoSpaceDN w:val="0"/>
        <w:adjustRightInd w:val="0"/>
        <w:rPr>
          <w:rFonts w:eastAsia="Calibri" w:cs="Times New Roman"/>
          <w:szCs w:val="24"/>
        </w:rPr>
      </w:pPr>
    </w:p>
    <w:p w14:paraId="1769128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is the owner of a valid copyright in </w:t>
      </w:r>
      <w:r w:rsidRPr="00842D3D">
        <w:rPr>
          <w:rFonts w:eastAsia="Calibri" w:cs="Times New Roman"/>
          <w:szCs w:val="24"/>
          <w:u w:val="single"/>
        </w:rPr>
        <w:t>[</w:t>
      </w:r>
      <w:r w:rsidRPr="00842D3D">
        <w:rPr>
          <w:rFonts w:eastAsia="Calibri" w:cs="Times New Roman"/>
          <w:i/>
          <w:iCs/>
          <w:szCs w:val="24"/>
          <w:u w:val="single"/>
        </w:rPr>
        <w:t>identify work[s] allegedly infringed</w:t>
      </w:r>
      <w:r w:rsidRPr="00842D3D">
        <w:rPr>
          <w:rFonts w:eastAsia="Calibri" w:cs="Times New Roman"/>
          <w:szCs w:val="24"/>
        </w:rPr>
        <w:t xml:space="preserve">] if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proves by a preponderance of the evidence that:</w:t>
      </w:r>
    </w:p>
    <w:p w14:paraId="34F81876" w14:textId="77777777" w:rsidR="00842D3D" w:rsidRPr="00842D3D" w:rsidRDefault="00842D3D" w:rsidP="00842D3D">
      <w:pPr>
        <w:rPr>
          <w:rFonts w:eastAsia="Calibri" w:cs="Times New Roman"/>
          <w:szCs w:val="24"/>
        </w:rPr>
      </w:pPr>
    </w:p>
    <w:p w14:paraId="2CCF3DC9"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First,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Calibri" w:cs="Times New Roman"/>
          <w:szCs w:val="24"/>
        </w:rPr>
        <w:t>’s work is original; and</w:t>
      </w:r>
    </w:p>
    <w:p w14:paraId="25821679" w14:textId="77777777" w:rsidR="00842D3D" w:rsidRPr="00842D3D" w:rsidRDefault="00842D3D" w:rsidP="00842D3D">
      <w:pPr>
        <w:ind w:right="720" w:firstLine="720"/>
        <w:rPr>
          <w:rFonts w:eastAsia="Calibri" w:cs="Times New Roman"/>
          <w:szCs w:val="24"/>
        </w:rPr>
      </w:pPr>
    </w:p>
    <w:p w14:paraId="0AA4DA41"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Second,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the author or creator of the work] [received a transfer of the copyright] [received a transfer of the right to [</w:t>
      </w:r>
      <w:r w:rsidRPr="00842D3D">
        <w:rPr>
          <w:rFonts w:eastAsia="Calibri" w:cs="Times New Roman"/>
          <w:i/>
          <w:iCs/>
          <w:szCs w:val="24"/>
          <w:u w:val="single"/>
        </w:rPr>
        <w:t>specify right transferred, e.g., make derivative works, publicly perform the work, etc.</w:t>
      </w:r>
      <w:r w:rsidRPr="00842D3D">
        <w:rPr>
          <w:rFonts w:eastAsia="Calibri" w:cs="Times New Roman"/>
          <w:szCs w:val="24"/>
        </w:rPr>
        <w:t>]].</w:t>
      </w:r>
    </w:p>
    <w:p w14:paraId="7155AF3A" w14:textId="77777777" w:rsidR="00842D3D" w:rsidRPr="00842D3D" w:rsidRDefault="00842D3D" w:rsidP="00842D3D">
      <w:pPr>
        <w:rPr>
          <w:rFonts w:eastAsia="Calibri" w:cs="Times New Roman"/>
          <w:szCs w:val="24"/>
        </w:rPr>
      </w:pPr>
    </w:p>
    <w:p w14:paraId="7F302613"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75319738" w14:textId="77777777" w:rsidR="00842D3D" w:rsidRPr="00842D3D" w:rsidRDefault="00842D3D" w:rsidP="00842D3D">
      <w:pPr>
        <w:rPr>
          <w:rFonts w:eastAsia="Calibri" w:cs="Times New Roman"/>
          <w:i/>
          <w:iCs/>
          <w:szCs w:val="24"/>
        </w:rPr>
      </w:pPr>
    </w:p>
    <w:p w14:paraId="0A8323F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the Copyright Act, the party claiming infringement must show ownership. </w:t>
      </w:r>
      <w:r w:rsidRPr="00842D3D">
        <w:rPr>
          <w:rFonts w:eastAsia="Calibri" w:cs="Times New Roman"/>
          <w:i/>
          <w:iCs/>
          <w:szCs w:val="24"/>
        </w:rPr>
        <w:t>See Lamps Plus, Inc. v. Seattle Lighting Fixture Co</w:t>
      </w:r>
      <w:r w:rsidRPr="00842D3D">
        <w:rPr>
          <w:rFonts w:eastAsia="Calibri" w:cs="Times New Roman"/>
          <w:szCs w:val="24"/>
        </w:rPr>
        <w:t xml:space="preserve">., 345 F.3d 1140, 1144 (9th Cir. 2003) (“Ownership of the </w:t>
      </w:r>
      <w:r w:rsidRPr="00842D3D">
        <w:rPr>
          <w:rFonts w:eastAsia="Calibri" w:cs="Times New Roman"/>
        </w:rPr>
        <w:t xml:space="preserve">copyright is. . . always </w:t>
      </w:r>
      <w:r w:rsidRPr="00842D3D">
        <w:rPr>
          <w:rFonts w:eastAsia="Calibri" w:cs="Times New Roman"/>
          <w:szCs w:val="24"/>
        </w:rPr>
        <w:t xml:space="preserve">a threshold question.” (quoting </w:t>
      </w:r>
      <w:r w:rsidRPr="00842D3D">
        <w:rPr>
          <w:rFonts w:eastAsia="Calibri" w:cs="Times New Roman"/>
          <w:i/>
          <w:iCs/>
          <w:szCs w:val="24"/>
        </w:rPr>
        <w:t>Topolos v. Caldewey</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698 F.2d 991, 994 (9th Cir. 1983))).</w:t>
      </w:r>
    </w:p>
    <w:p w14:paraId="6407DF32" w14:textId="77777777" w:rsidR="00842D3D" w:rsidRPr="00842D3D" w:rsidRDefault="00842D3D" w:rsidP="00842D3D">
      <w:pPr>
        <w:ind w:firstLine="720"/>
        <w:rPr>
          <w:rFonts w:eastAsia="Calibri" w:cs="Times New Roman"/>
          <w:szCs w:val="24"/>
        </w:rPr>
      </w:pPr>
    </w:p>
    <w:p w14:paraId="1D0A75E8" w14:textId="77777777" w:rsidR="00842D3D" w:rsidRPr="00842D3D" w:rsidRDefault="00842D3D" w:rsidP="00842D3D">
      <w:pPr>
        <w:ind w:firstLine="720"/>
        <w:rPr>
          <w:rFonts w:eastAsia="Calibri" w:cs="Times New Roman"/>
          <w:szCs w:val="24"/>
        </w:rPr>
      </w:pPr>
      <w:r w:rsidRPr="00842D3D">
        <w:rPr>
          <w:rFonts w:eastAsia="Calibri" w:cs="Times New Roman"/>
          <w:bCs/>
        </w:rPr>
        <w:t xml:space="preserve">Under the Copyright Act, no copyright infringement exists if an “owner of a copy of a computer program . . . mak[es] . . . another copy or adaptation of that computer program” for certain purposes, such as when it is an “essential step” in using the program. 17 U.S.C. § 117(a)(1). To determine whether a party is an “owner of a copy” of a computer program, the court looks to whether the party has “sufficient incidents of ownership” over the copy of the software program. </w:t>
      </w:r>
      <w:r w:rsidRPr="00842D3D">
        <w:rPr>
          <w:rFonts w:eastAsia="Calibri" w:cs="Times New Roman"/>
          <w:bCs/>
          <w:i/>
          <w:iCs/>
        </w:rPr>
        <w:t>Oracle Int’l Corp. v. Rimini St., Inc</w:t>
      </w:r>
      <w:r w:rsidRPr="00842D3D">
        <w:rPr>
          <w:rFonts w:eastAsia="Calibri" w:cs="Times New Roman"/>
          <w:bCs/>
        </w:rPr>
        <w:t>., 123 F.4th 986, 997 (9th Cir. 2024) (deciding this question by reviewing “the totality of the parties’ agreement”);</w:t>
      </w:r>
      <w:r w:rsidRPr="00842D3D">
        <w:rPr>
          <w:rFonts w:eastAsia="Calibri" w:cs="Times New Roman"/>
          <w:bCs/>
          <w:i/>
          <w:iCs/>
        </w:rPr>
        <w:t xml:space="preserve"> see</w:t>
      </w:r>
      <w:r w:rsidRPr="00842D3D">
        <w:rPr>
          <w:rFonts w:eastAsia="Calibri" w:cs="Times New Roman"/>
          <w:bCs/>
        </w:rPr>
        <w:t xml:space="preserve"> 17 U.S.C. § 202 (“Ownership of a copyright . . . is distinct from ownership of any material object in which the work is embodied.”).</w:t>
      </w:r>
    </w:p>
    <w:p w14:paraId="3559F89C" w14:textId="77777777" w:rsidR="00842D3D" w:rsidRPr="00842D3D" w:rsidRDefault="00842D3D" w:rsidP="00842D3D">
      <w:pPr>
        <w:ind w:left="2880" w:firstLine="720"/>
        <w:jc w:val="right"/>
        <w:rPr>
          <w:rFonts w:eastAsia="Calibri" w:cs="Times New Roman"/>
          <w:i/>
          <w:iCs/>
          <w:szCs w:val="24"/>
        </w:rPr>
      </w:pPr>
      <w:r w:rsidRPr="00842D3D">
        <w:rPr>
          <w:rFonts w:eastAsia="Calibri" w:cs="Times New Roman"/>
          <w:i/>
          <w:iCs/>
          <w:szCs w:val="24"/>
        </w:rPr>
        <w:t>Revised September 2025</w:t>
      </w:r>
    </w:p>
    <w:p w14:paraId="57A33C68" w14:textId="77777777" w:rsidR="00842D3D" w:rsidRPr="00842D3D" w:rsidRDefault="00842D3D" w:rsidP="00313A05">
      <w:pPr>
        <w:pStyle w:val="Heading2"/>
      </w:pPr>
      <w:r w:rsidRPr="00842D3D">
        <w:br w:type="page"/>
      </w:r>
      <w:bookmarkStart w:id="393" w:name="_Toc221525308"/>
      <w:r w:rsidRPr="00842D3D">
        <w:lastRenderedPageBreak/>
        <w:t xml:space="preserve">17.7 Copyright Infringement—Copyright Registration Certificate </w:t>
      </w:r>
      <w:r w:rsidRPr="00842D3D">
        <w:br/>
        <w:t>(17 U.S.C. § 410(c))</w:t>
      </w:r>
      <w:bookmarkEnd w:id="393"/>
    </w:p>
    <w:p w14:paraId="2C51436A" w14:textId="77777777" w:rsidR="00842D3D" w:rsidRPr="00842D3D" w:rsidRDefault="00842D3D" w:rsidP="00842D3D">
      <w:pPr>
        <w:autoSpaceDE w:val="0"/>
        <w:autoSpaceDN w:val="0"/>
        <w:adjustRightInd w:val="0"/>
        <w:rPr>
          <w:rFonts w:eastAsia="Calibri" w:cs="Times New Roman"/>
          <w:szCs w:val="24"/>
        </w:rPr>
      </w:pPr>
    </w:p>
    <w:p w14:paraId="449406F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copyright owner may obtain a certificate of registration from the Copyright Office.</w:t>
      </w:r>
    </w:p>
    <w:p w14:paraId="7DDCC457" w14:textId="77777777" w:rsidR="00842D3D" w:rsidRPr="00842D3D" w:rsidRDefault="00842D3D" w:rsidP="00842D3D">
      <w:pPr>
        <w:autoSpaceDE w:val="0"/>
        <w:autoSpaceDN w:val="0"/>
        <w:adjustRightInd w:val="0"/>
        <w:rPr>
          <w:rFonts w:eastAsia="Calibri" w:cs="Times New Roman"/>
        </w:rPr>
      </w:pPr>
    </w:p>
    <w:p w14:paraId="196532C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The evidence in this case includes Exhibit ___, a certificate of copyright registration from the Copyright Office. If you find that this certificate was made [before or] within five years after first publication of the plaintiff [</w:t>
      </w:r>
      <w:r w:rsidRPr="00842D3D">
        <w:rPr>
          <w:rFonts w:eastAsia="Calibri" w:cs="Times New Roman"/>
          <w:i/>
          <w:iCs/>
          <w:u w:val="single"/>
        </w:rPr>
        <w:t>name</w:t>
      </w:r>
      <w:r w:rsidRPr="00842D3D">
        <w:rPr>
          <w:rFonts w:eastAsia="Calibri" w:cs="Times New Roman"/>
        </w:rPr>
        <w:t>]’s work, you must presume that there is a valid copyright in [</w:t>
      </w:r>
      <w:r w:rsidRPr="00842D3D">
        <w:rPr>
          <w:rFonts w:eastAsia="Calibri" w:cs="Times New Roman"/>
          <w:i/>
          <w:iCs/>
          <w:u w:val="single"/>
        </w:rPr>
        <w:t>identify the work in question</w:t>
      </w:r>
      <w:r w:rsidRPr="00842D3D">
        <w:rPr>
          <w:rFonts w:eastAsia="Calibri" w:cs="Times New Roman"/>
        </w:rPr>
        <w:t>] and presume to be true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w:t>
      </w:r>
      <w:r w:rsidRPr="00842D3D">
        <w:rPr>
          <w:rFonts w:eastAsia="Calibri" w:cs="Times New Roman"/>
          <w:i/>
          <w:iCs/>
        </w:rPr>
        <w:t xml:space="preserve"> </w:t>
      </w:r>
      <w:r w:rsidRPr="00842D3D">
        <w:rPr>
          <w:rFonts w:eastAsia="Calibri" w:cs="Times New Roman"/>
        </w:rPr>
        <w:t>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 The defendant [</w:t>
      </w:r>
      <w:r w:rsidRPr="00842D3D">
        <w:rPr>
          <w:rFonts w:eastAsia="Calibri" w:cs="Times New Roman"/>
          <w:i/>
          <w:iCs/>
          <w:u w:val="single"/>
        </w:rPr>
        <w:t>name</w:t>
      </w:r>
      <w:r w:rsidRPr="00842D3D">
        <w:rPr>
          <w:rFonts w:eastAsia="Calibri" w:cs="Times New Roman"/>
        </w:rPr>
        <w:t>] has the burden of disproving these facts.</w:t>
      </w:r>
    </w:p>
    <w:p w14:paraId="5A5A72E1" w14:textId="77777777" w:rsidR="00842D3D" w:rsidRPr="00842D3D" w:rsidRDefault="00842D3D" w:rsidP="00842D3D">
      <w:pPr>
        <w:autoSpaceDE w:val="0"/>
        <w:autoSpaceDN w:val="0"/>
        <w:adjustRightInd w:val="0"/>
        <w:rPr>
          <w:rFonts w:eastAsia="Calibri" w:cs="Times New Roman"/>
        </w:rPr>
      </w:pPr>
    </w:p>
    <w:p w14:paraId="5AF61979"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you find that the evidence presented by [</w:t>
      </w:r>
      <w:r w:rsidRPr="00842D3D">
        <w:rPr>
          <w:rFonts w:eastAsia="Calibri" w:cs="Times New Roman"/>
          <w:i/>
          <w:iCs/>
          <w:u w:val="single"/>
        </w:rPr>
        <w:t>state the name of defendant(s)</w:t>
      </w:r>
      <w:r w:rsidRPr="00842D3D">
        <w:rPr>
          <w:rFonts w:eastAsia="Calibri" w:cs="Times New Roman"/>
        </w:rPr>
        <w:t>] disproves either the validity of the copyright or any of the facts stated in the registration certificate, you may find that [</w:t>
      </w:r>
      <w:r w:rsidRPr="00842D3D">
        <w:rPr>
          <w:rFonts w:eastAsia="Calibri" w:cs="Times New Roman"/>
          <w:i/>
          <w:iCs/>
          <w:u w:val="single"/>
        </w:rPr>
        <w:t>state the name of plaintiff(s)</w:t>
      </w:r>
      <w:r w:rsidRPr="00842D3D">
        <w:rPr>
          <w:rFonts w:eastAsia="Calibri" w:cs="Times New Roman"/>
        </w:rPr>
        <w:t>] has failed to show ownership of a copyrightable work.</w:t>
      </w:r>
    </w:p>
    <w:p w14:paraId="2E3C1AD6"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2DE6273" w14:textId="77777777" w:rsidR="00842D3D" w:rsidRPr="00842D3D" w:rsidRDefault="00842D3D" w:rsidP="00842D3D">
      <w:pPr>
        <w:autoSpaceDE w:val="0"/>
        <w:autoSpaceDN w:val="0"/>
        <w:adjustRightInd w:val="0"/>
        <w:rPr>
          <w:rFonts w:eastAsia="Calibri" w:cs="Times New Roman"/>
        </w:rPr>
      </w:pPr>
    </w:p>
    <w:p w14:paraId="3873C66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Copyright Act, the party claiming infringement must show ownership of a copyrightable work. </w:t>
      </w:r>
      <w:r w:rsidRPr="00842D3D">
        <w:rPr>
          <w:rFonts w:eastAsia="Calibri" w:cs="Times New Roman"/>
          <w:i/>
          <w:iCs/>
        </w:rPr>
        <w:t>See Lamps Plus, Inc. v. Seattle Lighting Fixture Co</w:t>
      </w:r>
      <w:r w:rsidRPr="00842D3D">
        <w:rPr>
          <w:rFonts w:eastAsia="Calibri" w:cs="Times New Roman"/>
        </w:rPr>
        <w:t xml:space="preserve">., 345 F.3d 1140, 1144 (9th Cir. 2003) (“Ownership of the copyright is . . . always a threshold question.” (quoting </w:t>
      </w:r>
      <w:r w:rsidRPr="00842D3D">
        <w:rPr>
          <w:rFonts w:eastAsia="Calibri" w:cs="Times New Roman"/>
          <w:i/>
          <w:iCs/>
        </w:rPr>
        <w:t>Topolos v. Caldewey</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698 F.2d 991, 994 (9th Cir. 1983))), </w:t>
      </w:r>
      <w:r w:rsidRPr="00842D3D">
        <w:rPr>
          <w:rFonts w:eastAsia="Calibri" w:cs="Times New Roman"/>
          <w:i/>
          <w:iCs/>
        </w:rPr>
        <w:t>abrogated on other grounds by Unicolors, Inc. v. H&amp;M Hennes &amp; Mauritz, L.P. (Unicolors II)</w:t>
      </w:r>
      <w:r w:rsidRPr="00842D3D">
        <w:rPr>
          <w:rFonts w:eastAsia="Calibri" w:cs="Times New Roman"/>
        </w:rPr>
        <w:t xml:space="preserve">, 595 U.S. 178 (2022). </w:t>
      </w:r>
    </w:p>
    <w:p w14:paraId="4C8EEAC1" w14:textId="77777777" w:rsidR="00842D3D" w:rsidRPr="00842D3D" w:rsidRDefault="00842D3D" w:rsidP="00842D3D">
      <w:pPr>
        <w:autoSpaceDE w:val="0"/>
        <w:autoSpaceDN w:val="0"/>
        <w:adjustRightInd w:val="0"/>
        <w:rPr>
          <w:rFonts w:eastAsia="Calibri" w:cs="Times New Roman"/>
          <w:b/>
          <w:bCs/>
          <w:u w:val="double"/>
        </w:rPr>
      </w:pPr>
    </w:p>
    <w:p w14:paraId="21D0D4B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This instruction should be given if the plaintiff submits a copyright registration certificate and there is a dispute as to its validity or the facts stated in the certificate. </w:t>
      </w:r>
      <w:r w:rsidRPr="00842D3D">
        <w:rPr>
          <w:rFonts w:eastAsia="Calibri" w:cs="Times New Roman"/>
          <w:i/>
          <w:iCs/>
        </w:rPr>
        <w:t>See</w:t>
      </w:r>
      <w:r w:rsidRPr="00842D3D">
        <w:rPr>
          <w:rFonts w:eastAsia="Calibri" w:cs="Times New Roman"/>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637C5753" w14:textId="77777777" w:rsidR="00842D3D" w:rsidRPr="00842D3D" w:rsidRDefault="00842D3D" w:rsidP="00842D3D">
      <w:pPr>
        <w:autoSpaceDE w:val="0"/>
        <w:autoSpaceDN w:val="0"/>
        <w:adjustRightInd w:val="0"/>
        <w:rPr>
          <w:rFonts w:eastAsia="Calibri" w:cs="Times New Roman"/>
        </w:rPr>
      </w:pPr>
    </w:p>
    <w:p w14:paraId="342F00DE" w14:textId="2B736F04"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“[I]f a copyright holder secures a registration certificate [before or] within five years after first publication, such certificate will constitute prima facie evidence of both the validity of the copyright and the facts stated in the certificate.” </w:t>
      </w:r>
      <w:r w:rsidRPr="00842D3D">
        <w:rPr>
          <w:rFonts w:eastAsia="Calibri" w:cs="Times New Roman"/>
          <w:i/>
          <w:iCs/>
        </w:rPr>
        <w:t>Cosmetic Ideas, Inc. v. IAC/Interactivecorp,</w:t>
      </w:r>
      <w:r w:rsidRPr="00842D3D">
        <w:rPr>
          <w:rFonts w:eastAsia="Calibri" w:cs="Times New Roman"/>
        </w:rPr>
        <w:t xml:space="preserve"> 606 F.3d 612, 619 (9th Cir. 2010) (citing 17 U.S.C. § 410(c)), </w:t>
      </w:r>
      <w:r w:rsidRPr="00842D3D">
        <w:rPr>
          <w:rFonts w:eastAsia="Calibri" w:cs="Times New Roman"/>
          <w:i/>
          <w:iCs/>
        </w:rPr>
        <w:t>abrogated on other grounds by Fourth Est. Pub. Benefit Corp. v. Wall-Street.com, LLC</w:t>
      </w:r>
      <w:r w:rsidRPr="00842D3D">
        <w:rPr>
          <w:rFonts w:eastAsia="Calibri" w:cs="Times New Roman"/>
        </w:rPr>
        <w:t>, 586 U.S. 296 (2019). Such a registration certificate entitles the plaintiff “to a rebuttable presumption” of a valid copyright,</w:t>
      </w:r>
      <w:r w:rsidRPr="00842D3D">
        <w:rPr>
          <w:rFonts w:eastAsia="Calibri" w:cs="Times New Roman"/>
          <w:i/>
          <w:iCs/>
        </w:rPr>
        <w:t xml:space="preserve"> Ets-Hokin v. Skyy Spirits, Inc.</w:t>
      </w:r>
      <w:r w:rsidRPr="00842D3D">
        <w:rPr>
          <w:rFonts w:eastAsia="Calibri" w:cs="Times New Roman"/>
        </w:rPr>
        <w:t xml:space="preserve">, 225 F.3d 1068, 1075 (9th Cir. 2000), and the burden shifts to the defendant to prove that the plaintiff lacks a valid copyright in the work or to prove the falsity of any “fact[] set forth in the copyright certificate,” </w:t>
      </w:r>
      <w:r w:rsidRPr="00842D3D">
        <w:rPr>
          <w:rFonts w:eastAsia="Calibri" w:cs="Times New Roman"/>
          <w:i/>
          <w:iCs/>
        </w:rPr>
        <w:t>United Fabrics Int’l, Inc. v. C&amp;J Wear, Inc.</w:t>
      </w:r>
      <w:r w:rsidRPr="00842D3D">
        <w:rPr>
          <w:rFonts w:eastAsia="Calibri" w:cs="Times New Roman"/>
        </w:rPr>
        <w:t xml:space="preserve">, 630 F.3d 1255, 1257 (9th Cir. 2011); </w:t>
      </w:r>
      <w:r w:rsidRPr="00842D3D">
        <w:rPr>
          <w:rFonts w:eastAsia="Calibri" w:cs="Times New Roman"/>
          <w:i/>
          <w:iCs/>
        </w:rPr>
        <w:t>see also Transgo Inc. v. Ajac Transmission Parts Corp.</w:t>
      </w:r>
      <w:r w:rsidRPr="00842D3D">
        <w:rPr>
          <w:rFonts w:eastAsia="Calibri" w:cs="Times New Roman"/>
        </w:rPr>
        <w:t>, 768 F.2d 1001, 1019 (9th Cir. 1985) (“Under both the Copyright Act of 1909 and the Copyright Act of 1976, registration by the</w:t>
      </w:r>
      <w:r w:rsidRPr="00842D3D">
        <w:rPr>
          <w:rFonts w:eastAsia="Calibri" w:cs="Times New Roman"/>
          <w:i/>
          <w:iCs/>
        </w:rPr>
        <w:t xml:space="preserve"> </w:t>
      </w:r>
      <w:r w:rsidRPr="00842D3D">
        <w:rPr>
          <w:rFonts w:eastAsia="Calibri" w:cs="Times New Roman"/>
        </w:rPr>
        <w:t xml:space="preserve">Copyright Office is prima facie evidence of copyrightability. This </w:t>
      </w:r>
      <w:r w:rsidRPr="00842D3D">
        <w:rPr>
          <w:rFonts w:eastAsia="Calibri" w:cs="Times New Roman"/>
        </w:rPr>
        <w:lastRenderedPageBreak/>
        <w:t xml:space="preserve">presumption shifts the burden of proof to the challenging party to demonstrate why the item in question is not copyrightable.”). For a definition of publication, see 17 U.S.C. § 101. For a definition of when a “registration of the copyright claim has been made in accordance with [the Copyright Act],” see </w:t>
      </w:r>
      <w:r w:rsidRPr="00842D3D">
        <w:rPr>
          <w:rFonts w:eastAsia="Calibri" w:cs="Times New Roman"/>
          <w:i/>
          <w:iCs/>
        </w:rPr>
        <w:t>Fourth Est. Pub. Benefit Corp.</w:t>
      </w:r>
      <w:r w:rsidRPr="00842D3D">
        <w:rPr>
          <w:rFonts w:eastAsia="Calibri" w:cs="Times New Roman"/>
        </w:rPr>
        <w:t>, 485 U.S. at 299-300</w:t>
      </w:r>
      <w:r w:rsidR="00E54E76">
        <w:rPr>
          <w:rFonts w:eastAsia="Calibri" w:cs="Times New Roman"/>
        </w:rPr>
        <w:t xml:space="preserve">. </w:t>
      </w:r>
      <w:r w:rsidRPr="00842D3D">
        <w:rPr>
          <w:rFonts w:eastAsia="Calibri" w:cs="Times New Roman"/>
        </w:rPr>
        <w:t xml:space="preserve">  </w:t>
      </w:r>
    </w:p>
    <w:p w14:paraId="0A4105D7" w14:textId="77777777" w:rsidR="00842D3D" w:rsidRPr="00842D3D" w:rsidRDefault="00842D3D" w:rsidP="00842D3D">
      <w:pPr>
        <w:autoSpaceDE w:val="0"/>
        <w:autoSpaceDN w:val="0"/>
        <w:adjustRightInd w:val="0"/>
        <w:rPr>
          <w:rFonts w:eastAsia="Calibri" w:cs="Times New Roman"/>
        </w:rPr>
      </w:pPr>
    </w:p>
    <w:p w14:paraId="7B89BDA0"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Copyright Act contains a safe harbor, 17 U.S.C. § 411(b)(1)(A), which provides that a certificate of registration is valid even though it contains inaccurate information, as long as the copyright holder did not “</w:t>
      </w:r>
      <w:r w:rsidRPr="00842D3D">
        <w:rPr>
          <w:rFonts w:eastAsia="Calibri" w:cs="Times New Roman"/>
          <w:i/>
          <w:iCs/>
        </w:rPr>
        <w:t xml:space="preserve">knowingly </w:t>
      </w:r>
      <w:r w:rsidRPr="00842D3D">
        <w:rPr>
          <w:rFonts w:eastAsia="Calibri" w:cs="Times New Roman"/>
        </w:rPr>
        <w:t xml:space="preserve">transmit[] inaccurate </w:t>
      </w:r>
      <w:r w:rsidRPr="00842D3D">
        <w:rPr>
          <w:rFonts w:eastAsia="Calibri" w:cs="Times New Roman"/>
          <w:i/>
          <w:iCs/>
        </w:rPr>
        <w:t xml:space="preserve">material </w:t>
      </w:r>
      <w:r w:rsidRPr="00842D3D">
        <w:rPr>
          <w:rFonts w:eastAsia="Calibri" w:cs="Times New Roman"/>
        </w:rPr>
        <w:t xml:space="preserve">facts to the Register of Copyrights” when it submitted its application for the certificate of registration. </w:t>
      </w:r>
      <w:r w:rsidRPr="00842D3D">
        <w:rPr>
          <w:rFonts w:eastAsia="Calibri" w:cs="Times New Roman"/>
          <w:i/>
          <w:iCs/>
        </w:rPr>
        <w:t>Unicolors, Inc. v. H&amp;M Hennes &amp; Mauritz, L.P. (Unicolors III)</w:t>
      </w:r>
      <w:r w:rsidRPr="00842D3D">
        <w:rPr>
          <w:rFonts w:eastAsia="Calibri" w:cs="Times New Roman"/>
        </w:rPr>
        <w:t xml:space="preserve">, 52 F.4th 1054, 1064 (9th Cir. 2022). The safe harbor “does not distinguish between a mistake of law and a mistake of fact. Lack of knowledge of either fact or law can excuse an inaccuracy in a copyright registration.” </w:t>
      </w:r>
      <w:r w:rsidRPr="00842D3D">
        <w:rPr>
          <w:rFonts w:eastAsia="Calibri" w:cs="Times New Roman"/>
          <w:i/>
          <w:iCs/>
        </w:rPr>
        <w:t xml:space="preserve">Id. </w:t>
      </w:r>
      <w:r w:rsidRPr="00842D3D">
        <w:rPr>
          <w:rFonts w:eastAsia="Calibri" w:cs="Times New Roman"/>
        </w:rPr>
        <w:t xml:space="preserve">at 1063 (quoting </w:t>
      </w:r>
      <w:r w:rsidRPr="00842D3D">
        <w:rPr>
          <w:rFonts w:eastAsia="Calibri" w:cs="Times New Roman"/>
          <w:i/>
          <w:iCs/>
        </w:rPr>
        <w:t>Unicolors II</w:t>
      </w:r>
      <w:r w:rsidRPr="00842D3D">
        <w:rPr>
          <w:rFonts w:eastAsia="Calibri" w:cs="Times New Roman"/>
        </w:rPr>
        <w:t xml:space="preserve">, 595 U.S. at 182). A court need not accept a copyright holder’s claim that it was unaware of the relevant copyright law. </w:t>
      </w:r>
      <w:r w:rsidRPr="00842D3D">
        <w:rPr>
          <w:rFonts w:eastAsia="Calibri" w:cs="Times New Roman"/>
          <w:i/>
          <w:iCs/>
        </w:rPr>
        <w:t>See Unicolors II</w:t>
      </w:r>
      <w:r w:rsidRPr="00842D3D">
        <w:rPr>
          <w:rFonts w:eastAsia="Calibri" w:cs="Times New Roman"/>
        </w:rPr>
        <w:t xml:space="preserve">, 595 U.S. at 187. Instead, “[c]ircumstantial evidence, including the significance of the legal error, the complexity of the relevant rule, the applicant’s experience with copyright law, and other such matters, may also lead a court to find that an applicant was actually aware of, or willfully blind to, legally inaccurate information”; moreover, “willful blindness may support a finding of actual knowledge.” </w:t>
      </w:r>
      <w:r w:rsidRPr="00842D3D">
        <w:rPr>
          <w:rFonts w:eastAsia="Calibri" w:cs="Times New Roman"/>
          <w:i/>
          <w:iCs/>
        </w:rPr>
        <w:t>Id</w:t>
      </w:r>
      <w:r w:rsidRPr="00842D3D">
        <w:rPr>
          <w:rFonts w:eastAsia="Calibri" w:cs="Times New Roman"/>
        </w:rPr>
        <w:t>., at 187-88.</w:t>
      </w:r>
    </w:p>
    <w:p w14:paraId="6E3CAFFD" w14:textId="77777777" w:rsidR="00842D3D" w:rsidRPr="00842D3D" w:rsidRDefault="00842D3D" w:rsidP="00842D3D">
      <w:pPr>
        <w:autoSpaceDE w:val="0"/>
        <w:autoSpaceDN w:val="0"/>
        <w:adjustRightInd w:val="0"/>
        <w:ind w:firstLine="720"/>
        <w:rPr>
          <w:rFonts w:eastAsia="Calibri" w:cs="Times New Roman"/>
        </w:rPr>
      </w:pPr>
    </w:p>
    <w:p w14:paraId="2938695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Where a copyright holder has registered a derivative work, the certificate of registration for the derivative work does not establish a prima facie case of valid copyright in the underlying work (or, equivalently, “create[] a presumption of validity of the copyright of the underlying work”). </w:t>
      </w:r>
      <w:r w:rsidRPr="00842D3D">
        <w:rPr>
          <w:rFonts w:eastAsia="Calibri" w:cs="Times New Roman"/>
          <w:i/>
          <w:iCs/>
        </w:rPr>
        <w:t>Cooling Sys. &amp; Flexibles, Inc. v. Stuart Radiator, Inc.</w:t>
      </w:r>
      <w:r w:rsidRPr="00842D3D">
        <w:rPr>
          <w:rFonts w:eastAsia="Calibri" w:cs="Times New Roman"/>
        </w:rPr>
        <w:t xml:space="preserve">, 777 F.2d 485, 490 (9th Cir. 1985) (derivative work). Likewise, where a copyright holder has registered a compilation, the certificate of registration for the compilation does not establish a prima facie case of copyright validity with respect to the component works. </w:t>
      </w:r>
      <w:r w:rsidRPr="00842D3D">
        <w:rPr>
          <w:rFonts w:eastAsia="Calibri" w:cs="Times New Roman"/>
          <w:i/>
          <w:iCs/>
        </w:rPr>
        <w:t>See Harper House, Inc. v. Thomas Nelson, Inc.</w:t>
      </w:r>
      <w:r w:rsidRPr="00842D3D">
        <w:rPr>
          <w:rFonts w:eastAsia="Calibri" w:cs="Times New Roman"/>
        </w:rPr>
        <w:t>, 889 F.2d 197, 203 (9th Cir. 1989) (“[A] copyrightable compilation [can] consist entirely of matter which is not itself copyrightable.”).</w:t>
      </w:r>
    </w:p>
    <w:p w14:paraId="742DB56C" w14:textId="77777777" w:rsidR="00842D3D" w:rsidRPr="00842D3D" w:rsidRDefault="00842D3D" w:rsidP="00842D3D">
      <w:pPr>
        <w:autoSpaceDE w:val="0"/>
        <w:autoSpaceDN w:val="0"/>
        <w:adjustRightInd w:val="0"/>
        <w:rPr>
          <w:rFonts w:eastAsia="Calibri" w:cs="Times New Roman"/>
        </w:rPr>
      </w:pPr>
    </w:p>
    <w:p w14:paraId="1895DE62"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88109AD" w14:textId="77777777" w:rsidR="00842D3D" w:rsidRPr="00842D3D" w:rsidRDefault="00842D3D" w:rsidP="00842D3D">
      <w:pPr>
        <w:autoSpaceDE w:val="0"/>
        <w:autoSpaceDN w:val="0"/>
        <w:adjustRightInd w:val="0"/>
        <w:jc w:val="center"/>
        <w:rPr>
          <w:rFonts w:eastAsia="Calibri" w:cs="Times New Roman"/>
          <w:b/>
          <w:bCs/>
        </w:rPr>
      </w:pPr>
    </w:p>
    <w:p w14:paraId="195D14E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rPr>
        <w:t>If the certificate was made more than five years after first publication of the plaintiff’s work, use the following in place of the second and third paragraphs of the instruction. If the date of first publication is in dispute, add the following at the end of the instruction.</w:t>
      </w:r>
      <w:r w:rsidRPr="00842D3D">
        <w:rPr>
          <w:rFonts w:eastAsia="Calibri" w:cs="Times New Roman"/>
        </w:rPr>
        <w:t>]</w:t>
      </w:r>
    </w:p>
    <w:p w14:paraId="22F7C0B4" w14:textId="77777777" w:rsidR="00842D3D" w:rsidRPr="00842D3D" w:rsidRDefault="00842D3D" w:rsidP="00842D3D">
      <w:pPr>
        <w:autoSpaceDE w:val="0"/>
        <w:autoSpaceDN w:val="0"/>
        <w:adjustRightInd w:val="0"/>
        <w:ind w:firstLine="720"/>
        <w:rPr>
          <w:rFonts w:eastAsia="Calibri" w:cs="Times New Roman"/>
          <w:i/>
          <w:iCs/>
        </w:rPr>
      </w:pPr>
    </w:p>
    <w:p w14:paraId="15A88A9E" w14:textId="77777777" w:rsidR="00842D3D" w:rsidRPr="00842D3D" w:rsidRDefault="00842D3D" w:rsidP="00842D3D">
      <w:pPr>
        <w:autoSpaceDE w:val="0"/>
        <w:autoSpaceDN w:val="0"/>
        <w:adjustRightInd w:val="0"/>
        <w:ind w:firstLine="720"/>
        <w:rPr>
          <w:rFonts w:eastAsia="Calibri" w:cs="Times New Roman"/>
          <w:i/>
          <w:iCs/>
        </w:rPr>
      </w:pPr>
      <w:r w:rsidRPr="00842D3D">
        <w:rPr>
          <w:rFonts w:eastAsia="Calibri" w:cs="Times New Roman"/>
        </w:rPr>
        <w:t>If you find that this certificate was made more than five years after first publication of the plaintiff [</w:t>
      </w:r>
      <w:r w:rsidRPr="00842D3D">
        <w:rPr>
          <w:rFonts w:eastAsia="Calibri" w:cs="Times New Roman"/>
          <w:i/>
          <w:iCs/>
          <w:u w:val="single"/>
        </w:rPr>
        <w:t>name</w:t>
      </w:r>
      <w:r w:rsidRPr="00842D3D">
        <w:rPr>
          <w:rFonts w:eastAsia="Calibri" w:cs="Times New Roman"/>
        </w:rPr>
        <w:t>]’s work, you are instructed that the certificate is [</w:t>
      </w:r>
      <w:r w:rsidRPr="00842D3D">
        <w:rPr>
          <w:rFonts w:eastAsia="Calibri" w:cs="Times New Roman"/>
          <w:i/>
          <w:iCs/>
          <w:u w:val="single"/>
        </w:rPr>
        <w:t>state the evidentiary weight that the court has accorded to the certificate</w:t>
      </w:r>
      <w:r w:rsidRPr="00842D3D">
        <w:rPr>
          <w:rFonts w:eastAsia="Calibri" w:cs="Times New Roman"/>
        </w:rPr>
        <w:t>] to establish that there is a valid copyright in [</w:t>
      </w:r>
      <w:r w:rsidRPr="00842D3D">
        <w:rPr>
          <w:rFonts w:eastAsia="Calibri" w:cs="Times New Roman"/>
          <w:i/>
          <w:iCs/>
          <w:u w:val="single"/>
        </w:rPr>
        <w:t>identify the work in question</w:t>
      </w:r>
      <w:r w:rsidRPr="00842D3D">
        <w:rPr>
          <w:rFonts w:eastAsia="Calibri" w:cs="Times New Roman"/>
        </w:rPr>
        <w:t>] and to establish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 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w:t>
      </w:r>
    </w:p>
    <w:p w14:paraId="7DDA7EF9" w14:textId="77777777" w:rsidR="00842D3D" w:rsidRPr="00842D3D" w:rsidRDefault="00842D3D" w:rsidP="00842D3D">
      <w:pPr>
        <w:autoSpaceDE w:val="0"/>
        <w:autoSpaceDN w:val="0"/>
        <w:adjustRightInd w:val="0"/>
        <w:jc w:val="center"/>
        <w:rPr>
          <w:rFonts w:eastAsia="Calibri" w:cs="Times New Roman"/>
          <w:b/>
          <w:bCs/>
        </w:rPr>
      </w:pPr>
    </w:p>
    <w:p w14:paraId="424623C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17D72C96" w14:textId="77777777" w:rsidR="00842D3D" w:rsidRPr="00842D3D" w:rsidRDefault="00842D3D" w:rsidP="00842D3D">
      <w:pPr>
        <w:autoSpaceDE w:val="0"/>
        <w:autoSpaceDN w:val="0"/>
        <w:adjustRightInd w:val="0"/>
        <w:jc w:val="center"/>
        <w:rPr>
          <w:rFonts w:eastAsia="Calibri" w:cs="Times New Roman"/>
          <w:b/>
          <w:bCs/>
        </w:rPr>
      </w:pPr>
    </w:p>
    <w:p w14:paraId="34D63F2C"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i/>
          <w:iCs/>
        </w:rPr>
        <w:t xml:space="preserve">See </w:t>
      </w:r>
      <w:r w:rsidRPr="00842D3D">
        <w:rPr>
          <w:rFonts w:eastAsia="Calibri" w:cs="Times New Roman"/>
        </w:rPr>
        <w:t>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1A425C2B" w14:textId="77777777" w:rsidR="00842D3D" w:rsidRPr="00842D3D" w:rsidRDefault="00842D3D" w:rsidP="00842D3D">
      <w:pPr>
        <w:autoSpaceDE w:val="0"/>
        <w:autoSpaceDN w:val="0"/>
        <w:adjustRightInd w:val="0"/>
        <w:rPr>
          <w:rFonts w:eastAsia="Calibri" w:cs="Times New Roman"/>
        </w:rPr>
      </w:pPr>
    </w:p>
    <w:p w14:paraId="7ED6A7A6"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rPr>
        <w:t xml:space="preserve">Revised September </w:t>
      </w:r>
      <w:r w:rsidRPr="00842D3D">
        <w:rPr>
          <w:rFonts w:eastAsia="Calibri" w:cs="Times New Roman"/>
          <w:i/>
          <w:iCs/>
          <w:szCs w:val="24"/>
        </w:rPr>
        <w:t>2025</w:t>
      </w:r>
    </w:p>
    <w:p w14:paraId="0BEA76D5" w14:textId="77777777" w:rsidR="00842D3D" w:rsidRPr="00842D3D" w:rsidRDefault="00842D3D" w:rsidP="00842D3D">
      <w:pPr>
        <w:autoSpaceDE w:val="0"/>
        <w:autoSpaceDN w:val="0"/>
        <w:adjustRightInd w:val="0"/>
        <w:rPr>
          <w:rFonts w:eastAsia="Calibri" w:cs="Times New Roman"/>
          <w:szCs w:val="24"/>
        </w:rPr>
      </w:pPr>
    </w:p>
    <w:p w14:paraId="3CDD6FAB" w14:textId="77777777" w:rsidR="00842D3D" w:rsidRPr="00842D3D" w:rsidRDefault="00842D3D" w:rsidP="00313A05">
      <w:pPr>
        <w:pStyle w:val="Heading2"/>
      </w:pPr>
      <w:r w:rsidRPr="00842D3D">
        <w:br w:type="page"/>
      </w:r>
      <w:bookmarkStart w:id="394" w:name="_Toc221525309"/>
      <w:r w:rsidRPr="00842D3D">
        <w:lastRenderedPageBreak/>
        <w:t xml:space="preserve">17.8 Copyright Interests—Authorship </w:t>
      </w:r>
      <w:r w:rsidRPr="00842D3D">
        <w:br/>
        <w:t>(17 U.S.C. § 201(a))</w:t>
      </w:r>
      <w:bookmarkEnd w:id="394"/>
    </w:p>
    <w:p w14:paraId="1611C5FF" w14:textId="77777777" w:rsidR="00842D3D" w:rsidRPr="00842D3D" w:rsidRDefault="00842D3D" w:rsidP="00842D3D">
      <w:pPr>
        <w:autoSpaceDE w:val="0"/>
        <w:autoSpaceDN w:val="0"/>
        <w:adjustRightInd w:val="0"/>
        <w:rPr>
          <w:rFonts w:eastAsia="Calibri" w:cs="Times New Roman"/>
          <w:szCs w:val="24"/>
        </w:rPr>
      </w:pPr>
    </w:p>
    <w:p w14:paraId="42E577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creator of an original work is called the author of that work. An author originates or “masterminds” the original work, controlling the whole work’s creation and causing it to come into being.</w:t>
      </w:r>
    </w:p>
    <w:p w14:paraId="7815A030" w14:textId="77777777" w:rsidR="00842D3D" w:rsidRPr="00842D3D" w:rsidRDefault="00842D3D" w:rsidP="00842D3D">
      <w:pPr>
        <w:autoSpaceDE w:val="0"/>
        <w:autoSpaceDN w:val="0"/>
        <w:adjustRightInd w:val="0"/>
        <w:rPr>
          <w:rFonts w:eastAsia="Calibri" w:cs="Times New Roman"/>
          <w:szCs w:val="24"/>
        </w:rPr>
      </w:pPr>
    </w:p>
    <w:p w14:paraId="70AF49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to be the author of the work. Merely giving an idea to another does not make the giver an author of a work embodying that idea.</w:t>
      </w:r>
    </w:p>
    <w:p w14:paraId="0FA5604C" w14:textId="77777777" w:rsidR="00842D3D" w:rsidRPr="00842D3D" w:rsidRDefault="00842D3D" w:rsidP="00842D3D">
      <w:pPr>
        <w:autoSpaceDE w:val="0"/>
        <w:autoSpaceDN w:val="0"/>
        <w:adjustRightInd w:val="0"/>
        <w:rPr>
          <w:rFonts w:eastAsia="Calibri" w:cs="Times New Roman"/>
          <w:szCs w:val="24"/>
        </w:rPr>
      </w:pPr>
    </w:p>
    <w:p w14:paraId="566BEE6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5A567AB" w14:textId="77777777" w:rsidR="00842D3D" w:rsidRPr="00842D3D" w:rsidRDefault="00842D3D" w:rsidP="00842D3D">
      <w:pPr>
        <w:autoSpaceDE w:val="0"/>
        <w:autoSpaceDN w:val="0"/>
        <w:adjustRightInd w:val="0"/>
        <w:rPr>
          <w:rFonts w:eastAsia="Calibri" w:cs="Times New Roman"/>
          <w:szCs w:val="24"/>
        </w:rPr>
      </w:pPr>
    </w:p>
    <w:p w14:paraId="3586C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“Authorship is a question of fact.” </w:t>
      </w:r>
      <w:r w:rsidRPr="00842D3D">
        <w:rPr>
          <w:rFonts w:eastAsia="Calibri" w:cs="Times New Roman"/>
          <w:i/>
          <w:iCs/>
          <w:szCs w:val="24"/>
        </w:rPr>
        <w:t>S.O.S., Inc. v. Payday, Inc.</w:t>
      </w:r>
      <w:r w:rsidRPr="00842D3D">
        <w:rPr>
          <w:rFonts w:eastAsia="Calibri" w:cs="Times New Roman"/>
          <w:szCs w:val="24"/>
        </w:rPr>
        <w:t xml:space="preserve">, 886 F.2d 1081, 1086 (9th Cir. 1989) (citing </w:t>
      </w:r>
      <w:r w:rsidRPr="00842D3D">
        <w:rPr>
          <w:rFonts w:eastAsia="Calibri" w:cs="Times New Roman"/>
          <w:i/>
          <w:iCs/>
          <w:szCs w:val="24"/>
        </w:rPr>
        <w:t>Del</w:t>
      </w:r>
      <w:r w:rsidRPr="00842D3D">
        <w:rPr>
          <w:rFonts w:eastAsia="Calibri" w:cs="Times New Roman"/>
          <w:szCs w:val="24"/>
        </w:rPr>
        <w:t xml:space="preserve"> </w:t>
      </w:r>
      <w:r w:rsidRPr="00842D3D">
        <w:rPr>
          <w:rFonts w:eastAsia="Calibri" w:cs="Times New Roman"/>
          <w:i/>
          <w:iCs/>
          <w:szCs w:val="24"/>
        </w:rPr>
        <w:t>Madera Props. v. Rhodes &amp; Gardner, Inc.</w:t>
      </w:r>
      <w:r w:rsidRPr="00842D3D">
        <w:rPr>
          <w:rFonts w:eastAsia="Calibri" w:cs="Times New Roman"/>
          <w:szCs w:val="24"/>
        </w:rPr>
        <w:t>, 820 F.2d 973, 980 (9th Cir. 1987)).</w:t>
      </w:r>
    </w:p>
    <w:p w14:paraId="0FDFE783" w14:textId="77777777" w:rsidR="00842D3D" w:rsidRPr="00842D3D" w:rsidRDefault="00842D3D" w:rsidP="00842D3D">
      <w:pPr>
        <w:autoSpaceDE w:val="0"/>
        <w:autoSpaceDN w:val="0"/>
        <w:adjustRightInd w:val="0"/>
        <w:rPr>
          <w:rFonts w:eastAsia="Calibri" w:cs="Times New Roman"/>
          <w:szCs w:val="24"/>
        </w:rPr>
      </w:pPr>
    </w:p>
    <w:p w14:paraId="1BC14A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other instructions on particular types of authorship interests, see Instructions 17.9 (Copyright Interests—Joint Authors), 17.10 (Copyright Interests—Authors of Collective Works), and 17.11 (Copyright Interests—Work Made for Hire by Employee). For the requirement of an “original” work, see</w:t>
      </w:r>
      <w:r w:rsidRPr="00842D3D">
        <w:rPr>
          <w:rFonts w:eastAsia="Calibri" w:cs="Times New Roman"/>
          <w:i/>
          <w:iCs/>
          <w:szCs w:val="24"/>
        </w:rPr>
        <w:t xml:space="preserve"> </w:t>
      </w:r>
      <w:r w:rsidRPr="00842D3D">
        <w:rPr>
          <w:rFonts w:eastAsia="Calibri" w:cs="Times New Roman"/>
          <w:szCs w:val="24"/>
        </w:rPr>
        <w:t>Instruction 17.14 (Copyright Infringement—Originality).</w:t>
      </w:r>
    </w:p>
    <w:p w14:paraId="61618B39" w14:textId="77777777" w:rsidR="00842D3D" w:rsidRPr="00842D3D" w:rsidRDefault="00842D3D" w:rsidP="00842D3D">
      <w:pPr>
        <w:autoSpaceDE w:val="0"/>
        <w:autoSpaceDN w:val="0"/>
        <w:adjustRightInd w:val="0"/>
        <w:rPr>
          <w:rFonts w:eastAsia="Calibri" w:cs="Times New Roman"/>
          <w:szCs w:val="24"/>
        </w:rPr>
      </w:pPr>
    </w:p>
    <w:p w14:paraId="7626F779" w14:textId="77777777" w:rsidR="00842D3D" w:rsidRPr="00842D3D" w:rsidRDefault="00842D3D" w:rsidP="00842D3D">
      <w:pPr>
        <w:autoSpaceDE w:val="0"/>
        <w:autoSpaceDN w:val="0"/>
        <w:adjustRightInd w:val="0"/>
        <w:rPr>
          <w:rFonts w:eastAsia="Calibri" w:cs="Times New Roman"/>
          <w:i/>
          <w:iCs/>
        </w:rPr>
      </w:pPr>
      <w:r w:rsidRPr="00842D3D">
        <w:rPr>
          <w:rFonts w:eastAsia="Calibri" w:cs="Times New Roman"/>
          <w:szCs w:val="24"/>
        </w:rPr>
        <w:tab/>
      </w:r>
      <w:r w:rsidRPr="00842D3D">
        <w:rPr>
          <w:rFonts w:eastAsia="Calibri" w:cs="Times New Roman"/>
        </w:rPr>
        <w:t xml:space="preserve">Copyright in a work “vests initially in the author or authors” of a work. 17 U.S.C. § 201(a). “As a general rule, the author is the party who actually creates the work . . . .” </w:t>
      </w:r>
      <w:r w:rsidRPr="00842D3D">
        <w:rPr>
          <w:rFonts w:eastAsia="Calibri" w:cs="Times New Roman"/>
          <w:i/>
          <w:iCs/>
        </w:rPr>
        <w:t>Cmty. for Creative Non-Violence v. Reid</w:t>
      </w:r>
      <w:r w:rsidRPr="00842D3D">
        <w:rPr>
          <w:rFonts w:eastAsia="Calibri" w:cs="Times New Roman"/>
        </w:rPr>
        <w:t>, 490 U.S. 730, 737 (1989). Integral to the concept of authorship is the translation of an idea into a fixed tangible medium of expression.</w:t>
      </w:r>
      <w:r w:rsidRPr="00842D3D">
        <w:rPr>
          <w:rFonts w:eastAsia="Calibri" w:cs="Times New Roman"/>
          <w:i/>
          <w:iCs/>
        </w:rPr>
        <w:t xml:space="preserve"> See S.O.S.</w:t>
      </w:r>
      <w:r w:rsidRPr="00842D3D">
        <w:rPr>
          <w:rFonts w:eastAsia="Calibri" w:cs="Times New Roman"/>
        </w:rPr>
        <w:t>, 886 F.2d at 1087 (quoting</w:t>
      </w:r>
      <w:r w:rsidRPr="00842D3D">
        <w:rPr>
          <w:rFonts w:eastAsia="Calibri" w:cs="Times New Roman"/>
          <w:i/>
          <w:iCs/>
        </w:rPr>
        <w:t xml:space="preserve"> Reid</w:t>
      </w:r>
      <w:r w:rsidRPr="00842D3D">
        <w:rPr>
          <w:rFonts w:eastAsia="Calibri" w:cs="Times New Roman"/>
        </w:rPr>
        <w:t xml:space="preserve">, 490 U.S. at 737); </w:t>
      </w:r>
      <w:r w:rsidRPr="00842D3D">
        <w:rPr>
          <w:rFonts w:eastAsia="Calibri" w:cs="Times New Roman"/>
          <w:i/>
          <w:iCs/>
        </w:rPr>
        <w:t xml:space="preserve">see also </w:t>
      </w:r>
      <w:r w:rsidRPr="00842D3D">
        <w:rPr>
          <w:rFonts w:eastAsia="Calibri" w:cs="Times New Roman"/>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842D3D">
        <w:rPr>
          <w:rFonts w:eastAsia="Calibri" w:cs="Times New Roman"/>
          <w:i/>
          <w:iCs/>
        </w:rPr>
        <w:t>Perfect 10, Inc. v. Amazon.com, Inc</w:t>
      </w:r>
      <w:r w:rsidRPr="00842D3D">
        <w:rPr>
          <w:rFonts w:eastAsia="Calibri" w:cs="Times New Roman"/>
        </w:rPr>
        <w:t xml:space="preserve">., 508 F.3d 1146, 1160 (9th Cir. 2010) (quoting 17 U.S.C. § 101) (a photographic image stored in a computer’s server is fixed in a tangible medium of expression). Authorship is a designation for the “originator” of the work, who “causes something to come into being.” </w:t>
      </w:r>
      <w:r w:rsidRPr="00842D3D">
        <w:rPr>
          <w:rFonts w:eastAsia="Calibri" w:cs="Times New Roman"/>
          <w:i/>
          <w:iCs/>
        </w:rPr>
        <w:t>Aalmuhammed v. Lee</w:t>
      </w:r>
      <w:r w:rsidRPr="00842D3D">
        <w:rPr>
          <w:rFonts w:eastAsia="Calibri" w:cs="Times New Roman"/>
        </w:rPr>
        <w:t xml:space="preserve">, 202 F.3d 1227, 1232 (9th Cir. 2000). In </w:t>
      </w:r>
      <w:r w:rsidRPr="00842D3D">
        <w:rPr>
          <w:rFonts w:eastAsia="Calibri" w:cs="Times New Roman"/>
          <w:i/>
          <w:iCs/>
        </w:rPr>
        <w:t>Aalmuhammed</w:t>
      </w:r>
      <w:r w:rsidRPr="00842D3D">
        <w:rPr>
          <w:rFonts w:eastAsia="Calibri" w:cs="Times New Roman"/>
        </w:rPr>
        <w:t xml:space="preserve">, the court noted that the Supreme Court had defined “author” as the person “to whom the work owes its origin and </w:t>
      </w:r>
      <w:bookmarkStart w:id="395" w:name="SR_59_4065"/>
      <w:bookmarkEnd w:id="395"/>
      <w:r w:rsidRPr="00842D3D">
        <w:rPr>
          <w:rFonts w:eastAsia="Calibri" w:cs="Times New Roman"/>
        </w:rPr>
        <w:t xml:space="preserve">who </w:t>
      </w:r>
      <w:bookmarkStart w:id="396" w:name="SR_59_4066"/>
      <w:bookmarkEnd w:id="396"/>
      <w:r w:rsidRPr="00842D3D">
        <w:rPr>
          <w:rFonts w:eastAsia="Calibri" w:cs="Times New Roman"/>
        </w:rPr>
        <w:t xml:space="preserve">superintended </w:t>
      </w:r>
      <w:bookmarkStart w:id="397" w:name="SR_59_4067"/>
      <w:bookmarkEnd w:id="397"/>
      <w:r w:rsidRPr="00842D3D">
        <w:rPr>
          <w:rFonts w:eastAsia="Calibri" w:cs="Times New Roman"/>
        </w:rPr>
        <w:t xml:space="preserve">the </w:t>
      </w:r>
      <w:bookmarkStart w:id="398" w:name="SR_59_4068"/>
      <w:bookmarkEnd w:id="398"/>
      <w:r w:rsidRPr="00842D3D">
        <w:rPr>
          <w:rFonts w:eastAsia="Calibri" w:cs="Times New Roman"/>
        </w:rPr>
        <w:t xml:space="preserve">whole </w:t>
      </w:r>
      <w:bookmarkStart w:id="399" w:name="SR_59_4069"/>
      <w:bookmarkEnd w:id="399"/>
      <w:r w:rsidRPr="00842D3D">
        <w:rPr>
          <w:rFonts w:eastAsia="Calibri" w:cs="Times New Roman"/>
        </w:rPr>
        <w:t>work, the ‘master mind.’” 202 F.3d at 1233 (citing</w:t>
      </w:r>
      <w:r w:rsidRPr="00842D3D">
        <w:rPr>
          <w:rFonts w:eastAsia="Calibri" w:cs="Times New Roman"/>
          <w:i/>
          <w:iCs/>
        </w:rPr>
        <w:t xml:space="preserve"> Burrow-Giles Lithographic Co. v. Sarony</w:t>
      </w:r>
      <w:r w:rsidRPr="00842D3D">
        <w:rPr>
          <w:rFonts w:eastAsia="Calibri" w:cs="Times New Roman"/>
        </w:rPr>
        <w:t xml:space="preserve">, 111 U.S. 53, 58, 61 (1884)). The </w:t>
      </w:r>
      <w:r w:rsidRPr="00842D3D">
        <w:rPr>
          <w:rFonts w:eastAsia="Calibri" w:cs="Times New Roman"/>
          <w:i/>
          <w:iCs/>
        </w:rPr>
        <w:t>Burrow-Giles</w:t>
      </w:r>
      <w:r w:rsidRPr="00842D3D">
        <w:rPr>
          <w:rFonts w:eastAsia="Calibri" w:cs="Times New Roman"/>
        </w:rPr>
        <w:t xml:space="preserve"> definition “is still good law.”</w:t>
      </w:r>
      <w:r w:rsidRPr="00842D3D">
        <w:rPr>
          <w:rFonts w:eastAsia="Calibri" w:cs="Times New Roman"/>
          <w:i/>
          <w:iCs/>
        </w:rPr>
        <w:t xml:space="preserve"> Id.</w:t>
      </w:r>
    </w:p>
    <w:p w14:paraId="4FF0E121" w14:textId="77777777" w:rsidR="00842D3D" w:rsidRPr="00842D3D" w:rsidRDefault="00842D3D" w:rsidP="00842D3D">
      <w:pPr>
        <w:autoSpaceDE w:val="0"/>
        <w:autoSpaceDN w:val="0"/>
        <w:adjustRightInd w:val="0"/>
        <w:rPr>
          <w:rFonts w:eastAsia="Calibri" w:cs="Times New Roman"/>
        </w:rPr>
      </w:pPr>
    </w:p>
    <w:p w14:paraId="66F998B6" w14:textId="77777777" w:rsidR="00842D3D" w:rsidRPr="00842D3D" w:rsidRDefault="00842D3D" w:rsidP="00842D3D">
      <w:pPr>
        <w:autoSpaceDE w:val="0"/>
        <w:autoSpaceDN w:val="0"/>
        <w:adjustRightInd w:val="0"/>
        <w:jc w:val="right"/>
        <w:rPr>
          <w:rFonts w:eastAsia="Calibri" w:cs="Times New Roman"/>
          <w:i/>
          <w:iCs/>
        </w:rPr>
      </w:pPr>
      <w:r w:rsidRPr="00842D3D">
        <w:rPr>
          <w:rFonts w:eastAsia="Calibri" w:cs="Times New Roman"/>
          <w:i/>
          <w:iCs/>
        </w:rPr>
        <w:t>Revised September 2025</w:t>
      </w:r>
    </w:p>
    <w:p w14:paraId="10646346" w14:textId="77777777" w:rsidR="00842D3D" w:rsidRPr="00842D3D" w:rsidRDefault="00842D3D" w:rsidP="00842D3D">
      <w:pPr>
        <w:autoSpaceDE w:val="0"/>
        <w:autoSpaceDN w:val="0"/>
        <w:adjustRightInd w:val="0"/>
        <w:rPr>
          <w:rFonts w:eastAsia="Calibri" w:cs="Times New Roman"/>
          <w:szCs w:val="24"/>
        </w:rPr>
      </w:pPr>
    </w:p>
    <w:p w14:paraId="76413025" w14:textId="77777777" w:rsidR="00842D3D" w:rsidRPr="00842D3D" w:rsidRDefault="00842D3D" w:rsidP="00313A05">
      <w:pPr>
        <w:pStyle w:val="Heading2"/>
      </w:pPr>
      <w:r w:rsidRPr="00842D3D">
        <w:br w:type="page"/>
      </w:r>
      <w:bookmarkStart w:id="400" w:name="_Toc221525310"/>
      <w:r w:rsidRPr="00842D3D">
        <w:lastRenderedPageBreak/>
        <w:t xml:space="preserve">17.9 Copyright Interests— Joint Authors </w:t>
      </w:r>
      <w:r w:rsidRPr="00842D3D">
        <w:br/>
        <w:t>(17 U.S.C. §§ 101, 201(a))</w:t>
      </w:r>
      <w:bookmarkEnd w:id="400"/>
    </w:p>
    <w:p w14:paraId="3DE0F2BA" w14:textId="77777777" w:rsidR="00842D3D" w:rsidRPr="00842D3D" w:rsidRDefault="00842D3D" w:rsidP="00842D3D">
      <w:pPr>
        <w:autoSpaceDE w:val="0"/>
        <w:autoSpaceDN w:val="0"/>
        <w:adjustRightInd w:val="0"/>
        <w:rPr>
          <w:rFonts w:eastAsia="Calibri" w:cs="Times New Roman"/>
          <w:szCs w:val="24"/>
        </w:rPr>
      </w:pPr>
    </w:p>
    <w:p w14:paraId="79CCAA0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copyright owner is entitled to exclude others from copying a joint work. A joint work is a work prepared by two or more authors. At the time of the joint work’s creation, a joint work must have two or more authors, and: </w:t>
      </w:r>
    </w:p>
    <w:p w14:paraId="3BA2B970" w14:textId="77777777" w:rsidR="00842D3D" w:rsidRPr="00842D3D" w:rsidRDefault="00842D3D" w:rsidP="00842D3D">
      <w:pPr>
        <w:autoSpaceDE w:val="0"/>
        <w:autoSpaceDN w:val="0"/>
        <w:adjustRightInd w:val="0"/>
        <w:rPr>
          <w:rFonts w:eastAsia="Calibri" w:cs="Times New Roman"/>
        </w:rPr>
      </w:pPr>
    </w:p>
    <w:p w14:paraId="6CB0C5D7"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First, each author must have made a substantial and valuable contribution to the work;</w:t>
      </w:r>
    </w:p>
    <w:p w14:paraId="54A2C63C" w14:textId="77777777" w:rsidR="00842D3D" w:rsidRPr="00842D3D" w:rsidRDefault="00842D3D" w:rsidP="00842D3D">
      <w:pPr>
        <w:autoSpaceDE w:val="0"/>
        <w:autoSpaceDN w:val="0"/>
        <w:adjustRightInd w:val="0"/>
        <w:ind w:firstLine="720"/>
        <w:rPr>
          <w:rFonts w:eastAsia="Calibri" w:cs="Times New Roman"/>
        </w:rPr>
      </w:pPr>
    </w:p>
    <w:p w14:paraId="039BD2D4"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Second, each author must have intended that [his] [her] [</w:t>
      </w:r>
      <w:r w:rsidRPr="00842D3D">
        <w:rPr>
          <w:rFonts w:eastAsia="Calibri" w:cs="Times New Roman"/>
          <w:i/>
          <w:iCs/>
          <w:u w:val="single"/>
        </w:rPr>
        <w:t>other pronoun</w:t>
      </w:r>
      <w:r w:rsidRPr="00842D3D">
        <w:rPr>
          <w:rFonts w:eastAsia="Calibri" w:cs="Times New Roman"/>
        </w:rPr>
        <w:t xml:space="preserve">] contribution be merged into inseparable or interdependent parts of a unitary whole; </w:t>
      </w:r>
    </w:p>
    <w:p w14:paraId="0BF3B921" w14:textId="77777777" w:rsidR="00842D3D" w:rsidRPr="00842D3D" w:rsidRDefault="00842D3D" w:rsidP="00842D3D">
      <w:pPr>
        <w:autoSpaceDE w:val="0"/>
        <w:autoSpaceDN w:val="0"/>
        <w:adjustRightInd w:val="0"/>
        <w:ind w:firstLine="720"/>
        <w:rPr>
          <w:rFonts w:eastAsia="Calibri" w:cs="Times New Roman"/>
        </w:rPr>
      </w:pPr>
    </w:p>
    <w:p w14:paraId="2011DD9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Third, each author must have contributed material to the joint work which could have been independently copyrighted; and</w:t>
      </w:r>
    </w:p>
    <w:p w14:paraId="686F9378" w14:textId="77777777" w:rsidR="00842D3D" w:rsidRPr="00842D3D" w:rsidRDefault="00842D3D" w:rsidP="00842D3D">
      <w:pPr>
        <w:autoSpaceDE w:val="0"/>
        <w:autoSpaceDN w:val="0"/>
        <w:adjustRightInd w:val="0"/>
        <w:ind w:firstLine="720"/>
        <w:rPr>
          <w:rFonts w:eastAsia="Calibri" w:cs="Times New Roman"/>
        </w:rPr>
      </w:pPr>
    </w:p>
    <w:p w14:paraId="1B794EB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Fourth, each author must be a person to whom the work owes its origins and who superintended the whole work.</w:t>
      </w:r>
    </w:p>
    <w:p w14:paraId="17CDA071" w14:textId="77777777" w:rsidR="00842D3D" w:rsidRPr="00842D3D" w:rsidRDefault="00842D3D" w:rsidP="00842D3D">
      <w:pPr>
        <w:autoSpaceDE w:val="0"/>
        <w:autoSpaceDN w:val="0"/>
        <w:adjustRightInd w:val="0"/>
        <w:ind w:left="1440" w:right="720" w:hanging="720"/>
        <w:rPr>
          <w:rFonts w:eastAsia="Calibri" w:cs="Times New Roman"/>
        </w:rPr>
      </w:pPr>
    </w:p>
    <w:p w14:paraId="4690E059" w14:textId="77777777" w:rsidR="00842D3D" w:rsidRPr="00842D3D" w:rsidRDefault="00842D3D" w:rsidP="00842D3D">
      <w:pPr>
        <w:autoSpaceDE w:val="0"/>
        <w:autoSpaceDN w:val="0"/>
        <w:adjustRightInd w:val="0"/>
        <w:ind w:right="720" w:firstLine="720"/>
        <w:rPr>
          <w:rFonts w:eastAsia="Calibri" w:cs="Times New Roman"/>
        </w:rPr>
      </w:pPr>
      <w:r w:rsidRPr="00842D3D">
        <w:rPr>
          <w:rFonts w:eastAsia="Calibri" w:cs="Times New Roman"/>
        </w:rPr>
        <w:t>In the absence of an agreement between themselves to the contrary, each author of a joint work shares an undivided interest in the entire joint work. A copyright owner in a joint work may enforce the right to exclude others in an action for copyright infringement.</w:t>
      </w:r>
    </w:p>
    <w:p w14:paraId="3EFB933E" w14:textId="77777777" w:rsidR="00842D3D" w:rsidRPr="00842D3D" w:rsidRDefault="00842D3D" w:rsidP="00842D3D">
      <w:pPr>
        <w:autoSpaceDE w:val="0"/>
        <w:autoSpaceDN w:val="0"/>
        <w:adjustRightInd w:val="0"/>
        <w:rPr>
          <w:rFonts w:eastAsia="Calibri" w:cs="Times New Roman"/>
        </w:rPr>
      </w:pPr>
    </w:p>
    <w:p w14:paraId="544C945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18E430F1" w14:textId="77777777" w:rsidR="00842D3D" w:rsidRPr="00842D3D" w:rsidRDefault="00842D3D" w:rsidP="00842D3D">
      <w:pPr>
        <w:autoSpaceDE w:val="0"/>
        <w:autoSpaceDN w:val="0"/>
        <w:adjustRightInd w:val="0"/>
        <w:rPr>
          <w:rFonts w:eastAsia="Calibri" w:cs="Times New Roman"/>
        </w:rPr>
      </w:pPr>
    </w:p>
    <w:p w14:paraId="053644C7"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(a)</w:t>
      </w:r>
      <w:r w:rsidRPr="00842D3D">
        <w:rPr>
          <w:rFonts w:eastAsia="Calibri" w:cs="Times New Roman"/>
        </w:rPr>
        <w:tab/>
        <w:t>[both] [each of the] parties exercised control over the work;</w:t>
      </w:r>
    </w:p>
    <w:p w14:paraId="0DF934C0" w14:textId="77777777" w:rsidR="00842D3D" w:rsidRPr="00842D3D" w:rsidRDefault="00842D3D" w:rsidP="00842D3D">
      <w:pPr>
        <w:autoSpaceDE w:val="0"/>
        <w:autoSpaceDN w:val="0"/>
        <w:adjustRightInd w:val="0"/>
        <w:ind w:left="1440" w:right="720" w:hanging="720"/>
        <w:rPr>
          <w:rFonts w:eastAsia="Calibri" w:cs="Times New Roman"/>
        </w:rPr>
      </w:pPr>
    </w:p>
    <w:p w14:paraId="2C6974E8"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(b)</w:t>
      </w:r>
      <w:r w:rsidRPr="00842D3D">
        <w:rPr>
          <w:rFonts w:eastAsia="Calibri" w:cs="Times New Roman"/>
        </w:rPr>
        <w:tab/>
        <w:t>[both] [each of the] parties’ actions showed they shared the intent to be co-authors when they were creating the work, for instance by publicly stating that the work was their shared project; and</w:t>
      </w:r>
    </w:p>
    <w:p w14:paraId="64B6A2E0" w14:textId="77777777" w:rsidR="00842D3D" w:rsidRPr="00842D3D" w:rsidRDefault="00842D3D" w:rsidP="00842D3D">
      <w:pPr>
        <w:autoSpaceDE w:val="0"/>
        <w:autoSpaceDN w:val="0"/>
        <w:adjustRightInd w:val="0"/>
        <w:ind w:left="1440" w:right="720" w:hanging="720"/>
        <w:rPr>
          <w:rFonts w:eastAsia="Calibri" w:cs="Times New Roman"/>
        </w:rPr>
      </w:pPr>
    </w:p>
    <w:p w14:paraId="4D9346DD"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(c)</w:t>
      </w:r>
      <w:r w:rsidRPr="00842D3D">
        <w:rPr>
          <w:rFonts w:eastAsia="Calibri" w:cs="Times New Roman"/>
        </w:rPr>
        <w:tab/>
        <w:t xml:space="preserve">the audience appeal of the work depends on the contribution of each party so that the share of each party’s contribution to the work’s success cannot be appraised. </w:t>
      </w:r>
    </w:p>
    <w:p w14:paraId="26125DCF" w14:textId="77777777" w:rsidR="00842D3D" w:rsidRPr="00842D3D" w:rsidRDefault="00842D3D" w:rsidP="00842D3D">
      <w:pPr>
        <w:autoSpaceDE w:val="0"/>
        <w:autoSpaceDN w:val="0"/>
        <w:adjustRightInd w:val="0"/>
        <w:rPr>
          <w:rFonts w:eastAsia="Calibri" w:cs="Times New Roman"/>
        </w:rPr>
      </w:pPr>
    </w:p>
    <w:p w14:paraId="29A599A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making a substantial and valuable contribution to a work, each author’s contribution to the joint work need not be equal.</w:t>
      </w:r>
    </w:p>
    <w:p w14:paraId="51047222" w14:textId="77777777" w:rsidR="00842D3D" w:rsidRPr="00842D3D" w:rsidRDefault="00842D3D" w:rsidP="00842D3D">
      <w:pPr>
        <w:autoSpaceDE w:val="0"/>
        <w:autoSpaceDN w:val="0"/>
        <w:adjustRightInd w:val="0"/>
        <w:rPr>
          <w:rFonts w:eastAsia="Calibri" w:cs="Times New Roman"/>
        </w:rPr>
      </w:pPr>
    </w:p>
    <w:p w14:paraId="329B73B8"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written agreement stating the copyright in the work is to be jointly owned may show that each author of a joint work intended that [his] [her] [</w:t>
      </w:r>
      <w:r w:rsidRPr="00842D3D">
        <w:rPr>
          <w:rFonts w:eastAsia="Calibri" w:cs="Times New Roman"/>
          <w:i/>
          <w:iCs/>
          <w:u w:val="single"/>
        </w:rPr>
        <w:t>other pronoun</w:t>
      </w:r>
      <w:r w:rsidRPr="00842D3D">
        <w:rPr>
          <w:rFonts w:eastAsia="Calibri" w:cs="Times New Roman"/>
        </w:rPr>
        <w:t>] contribution be merged into inseparable or interdependent parts of a unitary whole.</w:t>
      </w:r>
    </w:p>
    <w:p w14:paraId="10B32CDE" w14:textId="77777777" w:rsidR="00842D3D" w:rsidRPr="00842D3D" w:rsidRDefault="00842D3D" w:rsidP="00842D3D">
      <w:pPr>
        <w:autoSpaceDE w:val="0"/>
        <w:autoSpaceDN w:val="0"/>
        <w:adjustRightInd w:val="0"/>
        <w:rPr>
          <w:rFonts w:eastAsia="Calibri" w:cs="Times New Roman"/>
        </w:rPr>
      </w:pPr>
    </w:p>
    <w:p w14:paraId="44CCFE0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lastRenderedPageBreak/>
        <w:t>Comment</w:t>
      </w:r>
    </w:p>
    <w:p w14:paraId="0739B03B" w14:textId="77777777" w:rsidR="00842D3D" w:rsidRPr="00842D3D" w:rsidRDefault="00842D3D" w:rsidP="00842D3D">
      <w:pPr>
        <w:autoSpaceDE w:val="0"/>
        <w:autoSpaceDN w:val="0"/>
        <w:adjustRightInd w:val="0"/>
        <w:rPr>
          <w:rFonts w:eastAsia="Calibri" w:cs="Times New Roman"/>
        </w:rPr>
      </w:pPr>
    </w:p>
    <w:p w14:paraId="4B2A7391" w14:textId="15124363"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is a joint work, rendering a party a joint author, is often a question of fact for the jury to determine.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S.O.S., Inc. v. Payday, Inc.</w:t>
      </w:r>
      <w:r w:rsidRPr="00842D3D">
        <w:rPr>
          <w:rFonts w:eastAsia="Calibri" w:cs="Times New Roman"/>
        </w:rPr>
        <w:t xml:space="preserve">, 886 F.2d 1081, 1087 (9th Cir. 1989) (reversing summary judgment determination of joint authorship). </w:t>
      </w:r>
      <w:r w:rsidRPr="00842D3D">
        <w:rPr>
          <w:rFonts w:eastAsia="Calibri" w:cs="Times New Roman"/>
          <w:i/>
          <w:iCs/>
        </w:rPr>
        <w:t>But see Richlin v. Metro-Goldwyn-Mayer Pictures, Inc.</w:t>
      </w:r>
      <w:r w:rsidRPr="00842D3D">
        <w:rPr>
          <w:rFonts w:eastAsia="Calibri" w:cs="Times New Roman"/>
        </w:rPr>
        <w:t xml:space="preserve">, 531 F.3d 962, 967-70 (9th Cir. 2008) (affirming summary judgment determination of joint authorship); </w:t>
      </w:r>
      <w:r w:rsidRPr="00842D3D">
        <w:rPr>
          <w:rFonts w:eastAsia="Calibri" w:cs="Times New Roman"/>
          <w:i/>
          <w:iCs/>
        </w:rPr>
        <w:t>Aalmuhammed v. Lee</w:t>
      </w:r>
      <w:r w:rsidRPr="00842D3D">
        <w:rPr>
          <w:rFonts w:eastAsia="Calibri" w:cs="Times New Roman"/>
        </w:rPr>
        <w:t xml:space="preserve">, 202 F.3d 1227, 1236 (9th Cir. 2000) (same). This instruction may also be inappropriate for use in a case involving joint authorship under the 1909 Copyright Act. </w:t>
      </w:r>
      <w:r w:rsidRPr="00842D3D">
        <w:rPr>
          <w:rFonts w:eastAsia="Calibri" w:cs="Times New Roman"/>
          <w:i/>
          <w:iCs/>
        </w:rPr>
        <w:t>See Richlin</w:t>
      </w:r>
      <w:r w:rsidRPr="00842D3D">
        <w:rPr>
          <w:rFonts w:eastAsia="Calibri" w:cs="Times New Roman"/>
        </w:rPr>
        <w:t>,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w:t>
      </w:r>
      <w:r w:rsidR="00E54E76">
        <w:rPr>
          <w:rFonts w:eastAsia="Calibri" w:cs="Times New Roman"/>
        </w:rPr>
        <w:t xml:space="preserve">. </w:t>
      </w:r>
    </w:p>
    <w:p w14:paraId="36A05AFE" w14:textId="77777777" w:rsidR="00842D3D" w:rsidRPr="00842D3D" w:rsidRDefault="00842D3D" w:rsidP="00842D3D">
      <w:pPr>
        <w:autoSpaceDE w:val="0"/>
        <w:autoSpaceDN w:val="0"/>
        <w:adjustRightInd w:val="0"/>
        <w:rPr>
          <w:rFonts w:eastAsia="Calibri" w:cs="Times New Roman"/>
        </w:rPr>
      </w:pPr>
    </w:p>
    <w:p w14:paraId="40CF8988" w14:textId="105308EE"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Although </w:t>
      </w:r>
      <w:r w:rsidRPr="00842D3D">
        <w:rPr>
          <w:rFonts w:eastAsia="Calibri" w:cs="Times New Roman"/>
          <w:i/>
          <w:iCs/>
        </w:rPr>
        <w:t xml:space="preserve">Aalmuhammed </w:t>
      </w:r>
      <w:r w:rsidRPr="00842D3D">
        <w:rPr>
          <w:rFonts w:eastAsia="Calibri" w:cs="Times New Roman"/>
        </w:rPr>
        <w:t xml:space="preserve">requires that each joint author be the work’s “master mind,” 202 F.3d at 1234, the fact that the joint work concept contemplates two or more co-authors implies that a work may have more than one “master mind,” as long as each makes an independently copyrightable contribution. </w:t>
      </w:r>
      <w:r w:rsidRPr="00842D3D">
        <w:rPr>
          <w:rFonts w:eastAsia="Calibri" w:cs="Times New Roman"/>
          <w:i/>
          <w:iCs/>
        </w:rPr>
        <w:t>Ashton-Tate Corp. v. Ross</w:t>
      </w:r>
      <w:r w:rsidRPr="00842D3D">
        <w:rPr>
          <w:rFonts w:eastAsia="Calibri" w:cs="Times New Roman"/>
        </w:rPr>
        <w:t xml:space="preserve">, 916 F.2d 516, 521 (9th Cir. 1990). But the contribution of an independently copyrightable contribution is not sufficient, by itself, to establish that the contributor is a joint author of the work. </w:t>
      </w:r>
      <w:r w:rsidRPr="00842D3D">
        <w:rPr>
          <w:rFonts w:eastAsia="Calibri" w:cs="Times New Roman"/>
          <w:i/>
          <w:iCs/>
        </w:rPr>
        <w:t>See Garcia v. Google, Inc.</w:t>
      </w:r>
      <w:r w:rsidRPr="00842D3D">
        <w:rPr>
          <w:rFonts w:eastAsia="Calibri" w:cs="Times New Roman"/>
        </w:rPr>
        <w:t>, 786 F.3d 733, 742 (9th Cir. 2015)</w:t>
      </w:r>
      <w:r w:rsidR="00E54E76">
        <w:rPr>
          <w:rFonts w:eastAsia="Calibri" w:cs="Times New Roman"/>
        </w:rPr>
        <w:t xml:space="preserve">. </w:t>
      </w:r>
    </w:p>
    <w:p w14:paraId="74DBF647" w14:textId="77777777" w:rsidR="00842D3D" w:rsidRPr="00842D3D" w:rsidRDefault="00842D3D" w:rsidP="00842D3D">
      <w:pPr>
        <w:autoSpaceDE w:val="0"/>
        <w:autoSpaceDN w:val="0"/>
        <w:adjustRightInd w:val="0"/>
        <w:rPr>
          <w:rFonts w:eastAsia="Calibri" w:cs="Times New Roman"/>
        </w:rPr>
      </w:pPr>
    </w:p>
    <w:p w14:paraId="3583F3C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842D3D">
        <w:rPr>
          <w:rFonts w:eastAsia="Calibri" w:cs="Times New Roman"/>
          <w:i/>
          <w:iCs/>
        </w:rPr>
        <w:t>Ashton-Tate Corp.</w:t>
      </w:r>
      <w:r w:rsidRPr="00842D3D">
        <w:rPr>
          <w:rFonts w:eastAsia="Calibri" w:cs="Times New Roman"/>
        </w:rPr>
        <w:t xml:space="preserve">, 916 F.2d at 522 (9th Cir. 1990). Accordingly, a joint copyright owner may not enforce the right to exclude other against other joint owners or persons who have a license from another joint owner. </w:t>
      </w:r>
    </w:p>
    <w:p w14:paraId="222B3DF5" w14:textId="77777777" w:rsidR="00842D3D" w:rsidRPr="00842D3D" w:rsidRDefault="00842D3D" w:rsidP="00842D3D">
      <w:pPr>
        <w:autoSpaceDE w:val="0"/>
        <w:autoSpaceDN w:val="0"/>
        <w:adjustRightInd w:val="0"/>
        <w:rPr>
          <w:rFonts w:eastAsia="Calibri" w:cs="Times New Roman"/>
        </w:rPr>
      </w:pPr>
    </w:p>
    <w:p w14:paraId="6FF4A9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ab/>
      </w:r>
      <w:r w:rsidRPr="00842D3D">
        <w:rPr>
          <w:rFonts w:eastAsia="Calibri" w:cs="Times New Roman"/>
        </w:rPr>
        <w:t>For definitions relevant to this instruction, see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coowners of the copyright”);</w:t>
      </w:r>
      <w:r w:rsidRPr="00842D3D">
        <w:rPr>
          <w:rFonts w:eastAsia="Calibri" w:cs="Times New Roman"/>
          <w:i/>
          <w:iCs/>
        </w:rPr>
        <w:t xml:space="preserve"> see also Pye v. Mitchell</w:t>
      </w:r>
      <w:r w:rsidRPr="00842D3D">
        <w:rPr>
          <w:rFonts w:eastAsia="Calibri" w:cs="Times New Roman"/>
        </w:rPr>
        <w:t>, 574 F.2d 476, 480 (9th Cir. 1978) (co-authors automatically hold undivided interest in the whole).</w:t>
      </w:r>
    </w:p>
    <w:p w14:paraId="182060F3" w14:textId="77777777" w:rsidR="00842D3D" w:rsidRPr="00842D3D" w:rsidRDefault="00842D3D" w:rsidP="00842D3D">
      <w:pPr>
        <w:autoSpaceDE w:val="0"/>
        <w:autoSpaceDN w:val="0"/>
        <w:adjustRightInd w:val="0"/>
        <w:rPr>
          <w:rFonts w:eastAsia="Calibri" w:cs="Times New Roman"/>
        </w:rPr>
      </w:pPr>
    </w:p>
    <w:p w14:paraId="2D34010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Elements reflected in this instruction are drawn from: </w:t>
      </w:r>
      <w:r w:rsidRPr="00842D3D">
        <w:rPr>
          <w:rFonts w:eastAsia="Calibri" w:cs="Times New Roman"/>
          <w:i/>
          <w:iCs/>
        </w:rPr>
        <w:t>Ashton-Tate Corp.</w:t>
      </w:r>
      <w:r w:rsidRPr="00842D3D">
        <w:rPr>
          <w:rFonts w:eastAsia="Calibri" w:cs="Times New Roman"/>
        </w:rPr>
        <w:t xml:space="preserve">, 916 F.2d at 521 (“Even though this issue is not completely settled in the case law, our circuit holds that joint authorship requires each author to make an independently copyrightable contribution [to the joint work].”); </w:t>
      </w:r>
      <w:r w:rsidRPr="00842D3D">
        <w:rPr>
          <w:rFonts w:eastAsia="Calibri" w:cs="Times New Roman"/>
          <w:i/>
          <w:iCs/>
        </w:rPr>
        <w:t>S.O.S.</w:t>
      </w:r>
      <w:r w:rsidRPr="00842D3D">
        <w:rPr>
          <w:rFonts w:eastAsia="Calibri" w:cs="Times New Roman"/>
        </w:rPr>
        <w:t xml:space="preserve">, 886 F.2d at 1087 (“[O]ne must supply more than mere direction or ideas: one must ‘translate [ ] an idea into a fixed, tangible expression entitled to copyright protection [to be a joint author.]’” (quoting </w:t>
      </w:r>
      <w:r w:rsidRPr="00842D3D">
        <w:rPr>
          <w:rFonts w:eastAsia="Calibri" w:cs="Times New Roman"/>
          <w:i/>
          <w:iCs/>
        </w:rPr>
        <w:t>Cmty. for Creative Non–Violence v. Reid</w:t>
      </w:r>
      <w:r w:rsidRPr="00842D3D">
        <w:rPr>
          <w:rFonts w:eastAsia="Calibri" w:cs="Times New Roman"/>
        </w:rPr>
        <w:t xml:space="preserve">, 490 U.S. 730, 737 (1989))); and </w:t>
      </w:r>
      <w:r w:rsidRPr="00842D3D">
        <w:rPr>
          <w:rFonts w:eastAsia="Calibri" w:cs="Times New Roman"/>
          <w:i/>
          <w:iCs/>
        </w:rPr>
        <w:t>Pye</w:t>
      </w:r>
      <w:r w:rsidRPr="00842D3D">
        <w:rPr>
          <w:rFonts w:eastAsia="Calibri" w:cs="Times New Roman"/>
        </w:rPr>
        <w:t xml:space="preserve">, 574 F.3d at 480. </w:t>
      </w:r>
    </w:p>
    <w:p w14:paraId="3F192118" w14:textId="77777777" w:rsidR="00842D3D" w:rsidRPr="00842D3D" w:rsidRDefault="00842D3D" w:rsidP="00842D3D">
      <w:pPr>
        <w:autoSpaceDE w:val="0"/>
        <w:autoSpaceDN w:val="0"/>
        <w:adjustRightInd w:val="0"/>
        <w:rPr>
          <w:rFonts w:eastAsia="Calibri" w:cs="Times New Roman"/>
        </w:rPr>
      </w:pPr>
    </w:p>
    <w:p w14:paraId="4217799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ab/>
        <w:t xml:space="preserve">The elements suggested in the paragraph supplementing the second element of the instruction are derived from </w:t>
      </w:r>
      <w:r w:rsidRPr="00842D3D">
        <w:rPr>
          <w:rFonts w:eastAsia="Calibri" w:cs="Times New Roman"/>
          <w:i/>
          <w:iCs/>
        </w:rPr>
        <w:t>Aalmuhammed</w:t>
      </w:r>
      <w:r w:rsidRPr="00842D3D">
        <w:rPr>
          <w:rFonts w:eastAsia="Calibri" w:cs="Times New Roman"/>
        </w:rPr>
        <w:t>, 202 F.3d at 1234-35 (noting the above as “several factors [that] suggest themselves as among the criteria for joint authorship, in the absence of contract” and explaining that “[c]ontrol “in many cases will be the most important factor”).</w:t>
      </w:r>
      <w:r w:rsidRPr="00842D3D">
        <w:rPr>
          <w:rFonts w:eastAsia="Calibri" w:cs="Times New Roman"/>
          <w:i/>
          <w:iCs/>
        </w:rPr>
        <w:t xml:space="preserve"> See also Richlin</w:t>
      </w:r>
      <w:r w:rsidRPr="00842D3D">
        <w:rPr>
          <w:rFonts w:eastAsia="Calibri" w:cs="Times New Roman"/>
        </w:rPr>
        <w:t xml:space="preserve">, 531 F.3d at 968 (analyzing joint authorship under criteria set forth in </w:t>
      </w:r>
      <w:r w:rsidRPr="00842D3D">
        <w:rPr>
          <w:rFonts w:eastAsia="Calibri" w:cs="Times New Roman"/>
          <w:i/>
          <w:iCs/>
        </w:rPr>
        <w:t>Aalmuhammed</w:t>
      </w:r>
      <w:r w:rsidRPr="00842D3D">
        <w:rPr>
          <w:rFonts w:eastAsia="Calibri" w:cs="Times New Roman"/>
        </w:rPr>
        <w:t>).</w:t>
      </w:r>
    </w:p>
    <w:p w14:paraId="19A0C14B" w14:textId="77777777" w:rsidR="00842D3D" w:rsidRPr="00842D3D" w:rsidRDefault="00842D3D" w:rsidP="00842D3D">
      <w:pPr>
        <w:autoSpaceDE w:val="0"/>
        <w:autoSpaceDN w:val="0"/>
        <w:adjustRightInd w:val="0"/>
        <w:rPr>
          <w:rFonts w:eastAsia="Calibri" w:cs="Times New Roman"/>
        </w:rPr>
      </w:pPr>
    </w:p>
    <w:p w14:paraId="4724248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work can be jointly owned by assignment of an undivided interest, such as transfer of copyright from the sole author to two or more transferees. This simply renders the work jointly owned, but does not make it a joint work, for which this instruction is appropriate.</w:t>
      </w:r>
      <w:r w:rsidRPr="00842D3D">
        <w:rPr>
          <w:rFonts w:eastAsia="Calibri" w:cs="Times New Roman"/>
          <w:i/>
          <w:iCs/>
        </w:rPr>
        <w:t xml:space="preserve"> Oddo v. Ries</w:t>
      </w:r>
      <w:r w:rsidRPr="00842D3D">
        <w:rPr>
          <w:rFonts w:eastAsia="Calibri" w:cs="Times New Roman"/>
        </w:rPr>
        <w:t>, 743 F.2d 630, 633 (9th Cir. 1984).</w:t>
      </w:r>
    </w:p>
    <w:p w14:paraId="50991C90" w14:textId="77777777" w:rsidR="00842D3D" w:rsidRPr="00842D3D" w:rsidRDefault="00842D3D" w:rsidP="00842D3D">
      <w:pPr>
        <w:autoSpaceDE w:val="0"/>
        <w:autoSpaceDN w:val="0"/>
        <w:adjustRightInd w:val="0"/>
        <w:rPr>
          <w:rFonts w:eastAsia="Calibri" w:cs="Times New Roman"/>
        </w:rPr>
      </w:pPr>
    </w:p>
    <w:p w14:paraId="1CE9A6E4" w14:textId="77777777" w:rsidR="00842D3D" w:rsidRPr="00842D3D" w:rsidRDefault="00842D3D" w:rsidP="00842D3D">
      <w:pPr>
        <w:jc w:val="right"/>
        <w:rPr>
          <w:rFonts w:eastAsia="Calibri" w:cs="Times New Roman"/>
          <w:szCs w:val="24"/>
        </w:rPr>
      </w:pPr>
      <w:r w:rsidRPr="00842D3D">
        <w:rPr>
          <w:rFonts w:eastAsia="Calibri" w:cs="Times New Roman"/>
          <w:i/>
          <w:iCs/>
        </w:rPr>
        <w:t>Revised September 2025</w:t>
      </w:r>
    </w:p>
    <w:p w14:paraId="4AB445DB" w14:textId="77777777" w:rsidR="00842D3D" w:rsidRPr="00842D3D" w:rsidRDefault="00842D3D" w:rsidP="00842D3D">
      <w:pPr>
        <w:autoSpaceDE w:val="0"/>
        <w:autoSpaceDN w:val="0"/>
        <w:adjustRightInd w:val="0"/>
        <w:rPr>
          <w:rFonts w:eastAsia="Calibri" w:cs="Times New Roman"/>
          <w:szCs w:val="24"/>
        </w:rPr>
      </w:pPr>
    </w:p>
    <w:p w14:paraId="00E8B1E9" w14:textId="77777777" w:rsidR="00842D3D" w:rsidRPr="00842D3D" w:rsidRDefault="00842D3D" w:rsidP="00842D3D">
      <w:pPr>
        <w:autoSpaceDE w:val="0"/>
        <w:autoSpaceDN w:val="0"/>
        <w:adjustRightInd w:val="0"/>
        <w:rPr>
          <w:rFonts w:eastAsia="Calibri" w:cs="Times New Roman"/>
          <w:szCs w:val="24"/>
        </w:rPr>
      </w:pPr>
    </w:p>
    <w:p w14:paraId="79FDF8D4" w14:textId="77777777" w:rsidR="00842D3D" w:rsidRPr="00842D3D" w:rsidRDefault="00842D3D" w:rsidP="00313A05">
      <w:pPr>
        <w:pStyle w:val="Heading2"/>
      </w:pPr>
      <w:r w:rsidRPr="00842D3D">
        <w:br w:type="page"/>
      </w:r>
      <w:bookmarkStart w:id="401" w:name="_Toc221525311"/>
      <w:r w:rsidRPr="00842D3D">
        <w:lastRenderedPageBreak/>
        <w:t>17.10 Copyright Interests—Authors of Collective Works</w:t>
      </w:r>
      <w:r w:rsidRPr="00842D3D">
        <w:br/>
        <w:t>(17 U.S.C. § 201(c))</w:t>
      </w:r>
      <w:bookmarkEnd w:id="401"/>
    </w:p>
    <w:p w14:paraId="1F3FDE45" w14:textId="77777777" w:rsidR="00842D3D" w:rsidRPr="00842D3D" w:rsidRDefault="00842D3D" w:rsidP="00842D3D">
      <w:pPr>
        <w:autoSpaceDE w:val="0"/>
        <w:autoSpaceDN w:val="0"/>
        <w:adjustRightInd w:val="0"/>
        <w:rPr>
          <w:rFonts w:eastAsia="Calibri" w:cs="Times New Roman"/>
          <w:szCs w:val="24"/>
        </w:rPr>
      </w:pPr>
    </w:p>
    <w:p w14:paraId="703EC8D1" w14:textId="0EE870D0"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An </w:t>
      </w:r>
      <w:r w:rsidRPr="00842D3D">
        <w:rPr>
          <w:rFonts w:eastAsia="Calibri" w:cs="Times New Roman"/>
        </w:rPr>
        <w:t>owner of a copyright in a collective work is entitled to exclude others from copying it</w:t>
      </w:r>
      <w:r w:rsidR="00E54E76">
        <w:rPr>
          <w:rFonts w:eastAsia="Calibri" w:cs="Times New Roman"/>
        </w:rPr>
        <w:t xml:space="preserve">. </w:t>
      </w:r>
      <w:r w:rsidRPr="00842D3D">
        <w:rPr>
          <w:rFonts w:eastAsia="Calibri" w:cs="Times New Roman"/>
        </w:rPr>
        <w:t>A collective work is a work [such as [a newspaper, magazine, or periodical issue] [an anthology] [an encyclopedia]] in which a number of contributions, constituting separate and independent works in themselves, are selected, coordinated or arranged into an original, collective whole. The person who assembles the contributions of independent works into the collective work is an author and is entitled to copyright, but only in the selection, arrangement, or coordination of works made by that person</w:t>
      </w:r>
      <w:r w:rsidR="00E54E76">
        <w:rPr>
          <w:rFonts w:eastAsia="Calibri" w:cs="Times New Roman"/>
        </w:rPr>
        <w:t xml:space="preserve">. </w:t>
      </w:r>
    </w:p>
    <w:p w14:paraId="33AAEC44" w14:textId="77777777" w:rsidR="00842D3D" w:rsidRPr="00842D3D" w:rsidRDefault="00842D3D" w:rsidP="00842D3D">
      <w:pPr>
        <w:autoSpaceDE w:val="0"/>
        <w:autoSpaceDN w:val="0"/>
        <w:adjustRightInd w:val="0"/>
        <w:rPr>
          <w:rFonts w:eastAsia="Calibri" w:cs="Times New Roman"/>
        </w:rPr>
      </w:pPr>
    </w:p>
    <w:p w14:paraId="3F36CDBC" w14:textId="5C314556" w:rsidR="00842D3D" w:rsidRPr="00842D3D" w:rsidRDefault="00842D3D" w:rsidP="00842D3D">
      <w:pPr>
        <w:autoSpaceDE w:val="0"/>
        <w:autoSpaceDN w:val="0"/>
        <w:adjustRightInd w:val="0"/>
        <w:rPr>
          <w:rFonts w:eastAsia="Calibri" w:cs="Times New Roman"/>
        </w:rPr>
      </w:pPr>
      <w:r w:rsidRPr="00842D3D">
        <w:rPr>
          <w:rFonts w:eastAsia="Calibri" w:cs="Times New Roman"/>
        </w:rPr>
        <w:tab/>
        <w:t>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w:t>
      </w:r>
      <w:r w:rsidR="00E54E76">
        <w:rPr>
          <w:rFonts w:eastAsia="Calibri" w:cs="Times New Roman"/>
        </w:rPr>
        <w:t xml:space="preserve">. </w:t>
      </w:r>
    </w:p>
    <w:p w14:paraId="347F87C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p>
    <w:p w14:paraId="1B87C484"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collective work may enforce the right to exclude others from the work’s original selection, coordination, or arrangement in an action for copyright infringement.</w:t>
      </w:r>
    </w:p>
    <w:p w14:paraId="428AC7C8" w14:textId="77777777" w:rsidR="00842D3D" w:rsidRPr="00842D3D" w:rsidRDefault="00842D3D" w:rsidP="00842D3D">
      <w:pPr>
        <w:autoSpaceDE w:val="0"/>
        <w:autoSpaceDN w:val="0"/>
        <w:adjustRightInd w:val="0"/>
        <w:rPr>
          <w:rFonts w:eastAsia="Calibri" w:cs="Times New Roman"/>
        </w:rPr>
      </w:pPr>
    </w:p>
    <w:p w14:paraId="611F169A"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00B2EEB6" w14:textId="77777777" w:rsidR="00842D3D" w:rsidRPr="00842D3D" w:rsidRDefault="00842D3D" w:rsidP="00842D3D">
      <w:pPr>
        <w:rPr>
          <w:rFonts w:eastAsia="Calibri" w:cs="Times New Roman"/>
        </w:rPr>
      </w:pPr>
    </w:p>
    <w:p w14:paraId="6B7C6AA5" w14:textId="07F7552D" w:rsidR="00842D3D" w:rsidRPr="00842D3D" w:rsidRDefault="00842D3D" w:rsidP="00842D3D">
      <w:pPr>
        <w:autoSpaceDE w:val="0"/>
        <w:autoSpaceDN w:val="0"/>
        <w:adjustRightInd w:val="0"/>
        <w:rPr>
          <w:rFonts w:eastAsia="Calibri" w:cs="Times New Roman"/>
        </w:rPr>
      </w:pPr>
      <w:r w:rsidRPr="00842D3D">
        <w:rPr>
          <w:rFonts w:eastAsia="Calibri" w:cs="Times New Roman"/>
          <w:b/>
          <w:bCs/>
        </w:rPr>
        <w:tab/>
      </w:r>
      <w:r w:rsidRPr="00842D3D">
        <w:rPr>
          <w:rFonts w:eastAsia="Calibri" w:cs="Times New Roman"/>
          <w:i/>
          <w:iCs/>
        </w:rPr>
        <w:t xml:space="preserve">See </w:t>
      </w:r>
      <w:r w:rsidRPr="00842D3D">
        <w:rPr>
          <w:rFonts w:eastAsia="Calibri" w:cs="Times New Roman"/>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842D3D">
        <w:rPr>
          <w:rFonts w:eastAsia="Calibri" w:cs="Times New Roman"/>
          <w:i/>
          <w:iCs/>
        </w:rPr>
        <w:t>Jarvis v. K2 Inc.</w:t>
      </w:r>
      <w:r w:rsidRPr="00842D3D">
        <w:rPr>
          <w:rFonts w:eastAsia="Calibri" w:cs="Times New Roman"/>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842D3D">
        <w:rPr>
          <w:rFonts w:eastAsia="Calibri" w:cs="Times New Roman"/>
          <w:i/>
          <w:iCs/>
        </w:rPr>
        <w:t>N.Y. Times Co., Inc. v. Tasini</w:t>
      </w:r>
      <w:r w:rsidRPr="00842D3D">
        <w:rPr>
          <w:rFonts w:eastAsia="Calibri" w:cs="Times New Roman"/>
        </w:rPr>
        <w:t>, 533 U.S. 483, 499-500 (2001) (considering use of contributions to periodicals and other collective works in databases)</w:t>
      </w:r>
      <w:r w:rsidR="00E54E76">
        <w:rPr>
          <w:rFonts w:eastAsia="Calibri" w:cs="Times New Roman"/>
        </w:rPr>
        <w:t xml:space="preserve">. </w:t>
      </w:r>
      <w:r w:rsidRPr="00842D3D">
        <w:rPr>
          <w:rFonts w:eastAsia="Calibri" w:cs="Times New Roman"/>
        </w:rPr>
        <w:t xml:space="preserve"> </w:t>
      </w:r>
    </w:p>
    <w:p w14:paraId="1F14346E" w14:textId="77777777" w:rsidR="00842D3D" w:rsidRPr="00842D3D" w:rsidRDefault="00842D3D" w:rsidP="00842D3D">
      <w:pPr>
        <w:autoSpaceDE w:val="0"/>
        <w:autoSpaceDN w:val="0"/>
        <w:adjustRightInd w:val="0"/>
        <w:rPr>
          <w:rFonts w:eastAsia="Calibri" w:cs="Times New Roman"/>
        </w:rPr>
      </w:pPr>
    </w:p>
    <w:p w14:paraId="652C21F9" w14:textId="1C11A203"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Several sections of the Copyright Act concern the placement of the copyright notice on a collective work and on the contributions to the collective work. </w:t>
      </w:r>
      <w:r w:rsidRPr="00842D3D">
        <w:rPr>
          <w:rFonts w:eastAsia="Calibri" w:cs="Times New Roman"/>
          <w:i/>
          <w:iCs/>
        </w:rPr>
        <w:t xml:space="preserve">See </w:t>
      </w:r>
      <w:r w:rsidRPr="00842D3D">
        <w:rPr>
          <w:rFonts w:eastAsia="Calibri" w:cs="Times New Roman"/>
        </w:rPr>
        <w:t>17 U.S.C. §§ 401-406</w:t>
      </w:r>
      <w:r w:rsidR="00E54E76">
        <w:rPr>
          <w:rFonts w:eastAsia="Calibri" w:cs="Times New Roman"/>
        </w:rPr>
        <w:t xml:space="preserve">. </w:t>
      </w:r>
      <w:r w:rsidRPr="00842D3D">
        <w:rPr>
          <w:rFonts w:eastAsia="Calibri" w:cs="Times New Roman"/>
        </w:rPr>
        <w:t xml:space="preserve">Regarding copyright notice, see </w:t>
      </w:r>
      <w:r w:rsidRPr="00842D3D">
        <w:rPr>
          <w:rFonts w:eastAsia="Calibri" w:cs="Times New Roman"/>
          <w:i/>
          <w:iCs/>
        </w:rPr>
        <w:t>Abend</w:t>
      </w:r>
      <w:r w:rsidRPr="00842D3D">
        <w:rPr>
          <w:rFonts w:eastAsia="Calibri" w:cs="Times New Roman"/>
        </w:rPr>
        <w:t xml:space="preserve"> </w:t>
      </w:r>
      <w:r w:rsidRPr="00842D3D">
        <w:rPr>
          <w:rFonts w:eastAsia="Calibri" w:cs="Times New Roman"/>
          <w:i/>
          <w:iCs/>
        </w:rPr>
        <w:t>v. MCA, Inc.</w:t>
      </w:r>
      <w:r w:rsidRPr="00842D3D">
        <w:rPr>
          <w:rFonts w:eastAsia="Calibri" w:cs="Times New Roman"/>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842D3D">
        <w:rPr>
          <w:rFonts w:eastAsia="Calibri" w:cs="Times New Roman"/>
          <w:i/>
          <w:iCs/>
        </w:rPr>
        <w:t>aff’d</w:t>
      </w:r>
      <w:r w:rsidRPr="00842D3D">
        <w:rPr>
          <w:rFonts w:eastAsia="Calibri" w:cs="Times New Roman"/>
        </w:rPr>
        <w:t xml:space="preserve">, 495 U.S. 207 (1990). A different treatment applies if a collective work is covered by the Berne Convention Implementation Act, 17 U.S.C. § 405(a) (e.g., works distributed after March 1, 1989). </w:t>
      </w:r>
      <w:r w:rsidRPr="00842D3D">
        <w:rPr>
          <w:rFonts w:eastAsia="Calibri" w:cs="Times New Roman"/>
          <w:i/>
          <w:iCs/>
        </w:rPr>
        <w:t>See Golan v. Holder</w:t>
      </w:r>
      <w:r w:rsidRPr="00842D3D">
        <w:rPr>
          <w:rFonts w:eastAsia="Calibri" w:cs="Times New Roman"/>
        </w:rPr>
        <w:t xml:space="preserve">, 565 U.S. 302, 352 (2012) (noting that in 1989, the United States adopted Berne Convention and abolished copyright notice requirement); </w:t>
      </w:r>
      <w:r w:rsidRPr="00842D3D">
        <w:rPr>
          <w:rFonts w:eastAsia="Calibri" w:cs="Times New Roman"/>
          <w:i/>
          <w:iCs/>
        </w:rPr>
        <w:t>see also Unicolors, Inc. v. H&amp;M Hennes &amp; Mauritz, L.P.</w:t>
      </w:r>
      <w:r w:rsidRPr="00842D3D">
        <w:rPr>
          <w:rFonts w:eastAsia="Calibri" w:cs="Times New Roman"/>
        </w:rPr>
        <w:t xml:space="preserve">, </w:t>
      </w:r>
      <w:bookmarkStart w:id="402" w:name="_Hlk124272606"/>
      <w:r w:rsidRPr="00842D3D">
        <w:rPr>
          <w:rFonts w:eastAsia="Calibri" w:cs="Times New Roman"/>
        </w:rPr>
        <w:t>52 F.4th 1054, 1078 (9th Cir. 2022)</w:t>
      </w:r>
      <w:bookmarkEnd w:id="402"/>
      <w:r w:rsidRPr="00842D3D">
        <w:rPr>
          <w:rFonts w:eastAsia="Calibri" w:cs="Times New Roman"/>
          <w:i/>
          <w:iCs/>
        </w:rPr>
        <w:t xml:space="preserve"> </w:t>
      </w:r>
      <w:r w:rsidRPr="00842D3D">
        <w:rPr>
          <w:rFonts w:eastAsia="Calibri" w:cs="Times New Roman"/>
        </w:rPr>
        <w:t>(discussing foreign copyrights under the Berne Convention).</w:t>
      </w:r>
    </w:p>
    <w:p w14:paraId="69202845" w14:textId="77777777" w:rsidR="00842D3D" w:rsidRPr="00842D3D" w:rsidRDefault="00842D3D" w:rsidP="00842D3D">
      <w:pPr>
        <w:autoSpaceDE w:val="0"/>
        <w:autoSpaceDN w:val="0"/>
        <w:adjustRightInd w:val="0"/>
        <w:jc w:val="right"/>
        <w:rPr>
          <w:rFonts w:eastAsia="Calibri" w:cs="Times New Roman"/>
          <w:i/>
          <w:iCs/>
        </w:rPr>
      </w:pPr>
      <w:r w:rsidRPr="00842D3D">
        <w:rPr>
          <w:rFonts w:eastAsia="Calibri" w:cs="Times New Roman"/>
          <w:i/>
          <w:iCs/>
        </w:rPr>
        <w:lastRenderedPageBreak/>
        <w:t>Revised September 2025</w:t>
      </w:r>
    </w:p>
    <w:p w14:paraId="11B5BE9A" w14:textId="77777777" w:rsidR="00842D3D" w:rsidRPr="00842D3D" w:rsidRDefault="00842D3D" w:rsidP="00313A05">
      <w:pPr>
        <w:pStyle w:val="Heading2"/>
      </w:pPr>
      <w:r w:rsidRPr="00842D3D">
        <w:br w:type="page"/>
      </w:r>
      <w:bookmarkStart w:id="403" w:name="_Toc221525312"/>
      <w:r w:rsidRPr="00842D3D">
        <w:lastRenderedPageBreak/>
        <w:t>17.11 Copyright Interests—Work Made for Hire by Employee</w:t>
      </w:r>
      <w:bookmarkEnd w:id="403"/>
    </w:p>
    <w:p w14:paraId="045DE42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 xml:space="preserve">(17 U.S.C. § 201(b)) </w:t>
      </w:r>
    </w:p>
    <w:p w14:paraId="210572B9" w14:textId="77777777" w:rsidR="00842D3D" w:rsidRPr="00842D3D" w:rsidRDefault="00842D3D" w:rsidP="00842D3D">
      <w:pPr>
        <w:autoSpaceDE w:val="0"/>
        <w:autoSpaceDN w:val="0"/>
        <w:adjustRightInd w:val="0"/>
        <w:rPr>
          <w:rFonts w:eastAsia="Calibri" w:cs="Times New Roman"/>
          <w:szCs w:val="24"/>
        </w:rPr>
      </w:pPr>
    </w:p>
    <w:p w14:paraId="690EE7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made for hire is one that is prepared by an employee and is within the scope of employment.</w:t>
      </w:r>
    </w:p>
    <w:p w14:paraId="7BD58C25" w14:textId="77777777" w:rsidR="00842D3D" w:rsidRPr="00842D3D" w:rsidRDefault="00842D3D" w:rsidP="00842D3D">
      <w:pPr>
        <w:autoSpaceDE w:val="0"/>
        <w:autoSpaceDN w:val="0"/>
        <w:adjustRightInd w:val="0"/>
        <w:rPr>
          <w:rFonts w:eastAsia="Calibri" w:cs="Times New Roman"/>
          <w:szCs w:val="24"/>
        </w:rPr>
      </w:pPr>
    </w:p>
    <w:p w14:paraId="4A6E60A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work is made for hire within the scope of employment if: </w:t>
      </w:r>
    </w:p>
    <w:p w14:paraId="077FA2C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4695065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(1) it is the kind of work the employee is employed to create; </w:t>
      </w:r>
    </w:p>
    <w:p w14:paraId="5E20DABF" w14:textId="77777777" w:rsidR="00842D3D" w:rsidRPr="00842D3D" w:rsidRDefault="00842D3D" w:rsidP="00842D3D">
      <w:pPr>
        <w:autoSpaceDE w:val="0"/>
        <w:autoSpaceDN w:val="0"/>
        <w:adjustRightInd w:val="0"/>
        <w:rPr>
          <w:rFonts w:eastAsia="Calibri" w:cs="Times New Roman"/>
        </w:rPr>
      </w:pPr>
    </w:p>
    <w:p w14:paraId="2D74B27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(2) it occurs substantially within the authorized time and space limits; and  </w:t>
      </w:r>
    </w:p>
    <w:p w14:paraId="70F07532" w14:textId="77777777" w:rsidR="00842D3D" w:rsidRPr="00842D3D" w:rsidRDefault="00842D3D" w:rsidP="00842D3D">
      <w:pPr>
        <w:autoSpaceDE w:val="0"/>
        <w:autoSpaceDN w:val="0"/>
        <w:adjustRightInd w:val="0"/>
        <w:rPr>
          <w:rFonts w:eastAsia="Calibri" w:cs="Times New Roman"/>
        </w:rPr>
      </w:pPr>
    </w:p>
    <w:p w14:paraId="53CCEEC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(3) it is made, at least in part, for the purpose of serving the employer.</w:t>
      </w:r>
    </w:p>
    <w:p w14:paraId="77F24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24AFC99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The employer is considered to be the author of a work made for hire. The employer  owns the copyright in the work [unless the employer and employee have agreed in writing that the [employee] is the owner].</w:t>
      </w:r>
    </w:p>
    <w:p w14:paraId="06D53F8F" w14:textId="77777777" w:rsidR="00842D3D" w:rsidRPr="00842D3D" w:rsidRDefault="00842D3D" w:rsidP="00842D3D">
      <w:pPr>
        <w:autoSpaceDE w:val="0"/>
        <w:autoSpaceDN w:val="0"/>
        <w:adjustRightInd w:val="0"/>
        <w:rPr>
          <w:rFonts w:eastAsia="Calibri" w:cs="Times New Roman"/>
        </w:rPr>
      </w:pPr>
    </w:p>
    <w:p w14:paraId="3DF4100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work made for hire may enforce the right to exclude others in an action for copyright infringement.</w:t>
      </w:r>
    </w:p>
    <w:p w14:paraId="57182739" w14:textId="77777777" w:rsidR="00842D3D" w:rsidRPr="00842D3D" w:rsidRDefault="00842D3D" w:rsidP="00842D3D">
      <w:pPr>
        <w:autoSpaceDE w:val="0"/>
        <w:autoSpaceDN w:val="0"/>
        <w:adjustRightInd w:val="0"/>
        <w:rPr>
          <w:rFonts w:eastAsia="Calibri" w:cs="Times New Roman"/>
        </w:rPr>
      </w:pPr>
    </w:p>
    <w:p w14:paraId="54A59C82"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70720928" w14:textId="77777777" w:rsidR="00842D3D" w:rsidRPr="00842D3D" w:rsidRDefault="00842D3D" w:rsidP="00842D3D">
      <w:pPr>
        <w:autoSpaceDE w:val="0"/>
        <w:autoSpaceDN w:val="0"/>
        <w:adjustRightInd w:val="0"/>
        <w:jc w:val="center"/>
        <w:rPr>
          <w:rFonts w:eastAsia="Calibri" w:cs="Times New Roman"/>
        </w:rPr>
      </w:pPr>
    </w:p>
    <w:p w14:paraId="61D62CE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This instruction may not be appropriate in cases in which a copyright was obtained under the 1909 Copyright Act. For such cases, see </w:t>
      </w:r>
      <w:r w:rsidRPr="00842D3D">
        <w:rPr>
          <w:rFonts w:eastAsia="Calibri" w:cs="Times New Roman"/>
          <w:i/>
          <w:iCs/>
        </w:rPr>
        <w:t>Dolman v. Agee</w:t>
      </w:r>
      <w:r w:rsidRPr="00842D3D">
        <w:rPr>
          <w:rFonts w:eastAsia="Calibri" w:cs="Times New Roman"/>
        </w:rPr>
        <w:t>, 157 F.3d 708, 711-12 (9th Cir. 1998) (applying presumption of work for hire under 1909 Copyright Act).</w:t>
      </w:r>
    </w:p>
    <w:p w14:paraId="70849C8F" w14:textId="77777777" w:rsidR="00842D3D" w:rsidRPr="00842D3D" w:rsidRDefault="00842D3D" w:rsidP="00842D3D">
      <w:pPr>
        <w:autoSpaceDE w:val="0"/>
        <w:autoSpaceDN w:val="0"/>
        <w:adjustRightInd w:val="0"/>
        <w:rPr>
          <w:rFonts w:eastAsia="Calibri" w:cs="Times New Roman"/>
        </w:rPr>
      </w:pPr>
    </w:p>
    <w:p w14:paraId="2A771E93" w14:textId="538E97D7" w:rsidR="00842D3D" w:rsidRPr="00842D3D" w:rsidRDefault="00842D3D" w:rsidP="00842D3D">
      <w:pPr>
        <w:autoSpaceDE w:val="0"/>
        <w:autoSpaceDN w:val="0"/>
        <w:adjustRightInd w:val="0"/>
        <w:rPr>
          <w:rFonts w:eastAsia="Calibri" w:cs="Times New Roman"/>
        </w:rPr>
      </w:pPr>
      <w:r w:rsidRPr="00842D3D">
        <w:rPr>
          <w:rFonts w:eastAsia="Calibri" w:cs="Times New Roman"/>
        </w:rPr>
        <w:tab/>
      </w:r>
      <w:r w:rsidRPr="00842D3D">
        <w:rPr>
          <w:rFonts w:eastAsia="Calibri" w:cs="Times New Roman"/>
          <w:i/>
          <w:iCs/>
        </w:rPr>
        <w:t xml:space="preserve">See </w:t>
      </w:r>
      <w:r w:rsidRPr="00842D3D">
        <w:rPr>
          <w:rFonts w:eastAsia="Calibri" w:cs="Times New Roman"/>
        </w:rPr>
        <w:t>17 U.S.C. §§ 101 (defining work for hire), 201(b) (describing rights in work for hire)</w:t>
      </w:r>
      <w:r w:rsidR="00E54E76">
        <w:rPr>
          <w:rFonts w:eastAsia="Calibri" w:cs="Times New Roman"/>
        </w:rPr>
        <w:t xml:space="preserve">. </w:t>
      </w:r>
      <w:r w:rsidRPr="00842D3D">
        <w:rPr>
          <w:rFonts w:eastAsia="Calibri" w:cs="Times New Roman"/>
        </w:rPr>
        <w:t xml:space="preserve">Congress used the words “employee” and “employment” in 17 U.S.C. § 101 to describe the conventional relationship of employer and employee. </w:t>
      </w:r>
      <w:r w:rsidRPr="00842D3D">
        <w:rPr>
          <w:rFonts w:eastAsia="Calibri" w:cs="Times New Roman"/>
          <w:i/>
          <w:iCs/>
        </w:rPr>
        <w:t>See Cmty. for Creative Non-Violence v. Reid</w:t>
      </w:r>
      <w:r w:rsidRPr="00842D3D">
        <w:rPr>
          <w:rFonts w:eastAsia="Calibri" w:cs="Times New Roman"/>
        </w:rPr>
        <w:t xml:space="preserve">, 490 U.S. 730, 751-52 (1989); </w:t>
      </w:r>
      <w:r w:rsidRPr="00842D3D">
        <w:rPr>
          <w:rFonts w:eastAsia="Calibri" w:cs="Times New Roman"/>
          <w:i/>
          <w:iCs/>
        </w:rPr>
        <w:t>U.S. Auto Parts Network, Inc. v. Parts Geeks, LLC</w:t>
      </w:r>
      <w:r w:rsidRPr="00842D3D">
        <w:rPr>
          <w:rFonts w:eastAsia="Calibri" w:cs="Times New Roman"/>
        </w:rPr>
        <w:t>, 692 F.3d 1009, 1015 (9th Cir. 2012). “An employment (or commissioning) relationship at the time the work is created is a condition” for creation of a work for hire.</w:t>
      </w:r>
      <w:r w:rsidRPr="00842D3D">
        <w:rPr>
          <w:rFonts w:eastAsia="Calibri" w:cs="Times New Roman"/>
          <w:i/>
          <w:iCs/>
        </w:rPr>
        <w:t xml:space="preserve"> Urantia Found. v. Maaherra</w:t>
      </w:r>
      <w:r w:rsidRPr="00842D3D">
        <w:rPr>
          <w:rFonts w:eastAsia="Calibri" w:cs="Times New Roman"/>
        </w:rPr>
        <w:t xml:space="preserve">, 114 F.3d 955, 961 (9th Cir. 1997). Pursuant to § 201(b), the employer is the author of a work made for hire and, absent a written agreement to the contrary, the employer is the owner of the copyright to the work. </w:t>
      </w:r>
      <w:r w:rsidRPr="00842D3D">
        <w:rPr>
          <w:rFonts w:eastAsia="Calibri" w:cs="Times New Roman"/>
          <w:i/>
          <w:iCs/>
        </w:rPr>
        <w:t>See U.S. Auto Parts</w:t>
      </w:r>
      <w:r w:rsidRPr="00842D3D">
        <w:rPr>
          <w:rFonts w:eastAsia="Calibri" w:cs="Times New Roman"/>
        </w:rPr>
        <w:t xml:space="preserve">, 692 F.3d at 1015 (explaining when work is made for hire within scope of employment); </w:t>
      </w:r>
      <w:r w:rsidRPr="00842D3D">
        <w:rPr>
          <w:rFonts w:eastAsia="Calibri" w:cs="Times New Roman"/>
          <w:i/>
          <w:iCs/>
        </w:rPr>
        <w:t>Aquarian Found., Inc. v. Lowndes</w:t>
      </w:r>
      <w:r w:rsidRPr="00842D3D">
        <w:rPr>
          <w:rFonts w:eastAsia="Calibri" w:cs="Times New Roman"/>
        </w:rPr>
        <w:t>, 127 F.4th 814, 820 (9th Cir. 2025) (holding works authored by the founder and head of a church and which were not part of the “traditional, hierarchical relationships in which the employee created the work” as part of the church’s “regular course of business” did not constitute “works for hire”).</w:t>
      </w:r>
    </w:p>
    <w:p w14:paraId="36DCB45C"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C0007C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Under copyright law, a work for hire clause in a contract, or a work for hire relationship, vests all rights of authorship in the employer or “person for whom the work was prepared.” </w:t>
      </w:r>
      <w:r w:rsidRPr="00842D3D">
        <w:rPr>
          <w:rFonts w:eastAsia="Calibri" w:cs="Times New Roman"/>
          <w:i/>
          <w:iCs/>
        </w:rPr>
        <w:t>Warren v. Fox Family Worldwide, Inc.</w:t>
      </w:r>
      <w:r w:rsidRPr="00842D3D">
        <w:rPr>
          <w:rFonts w:eastAsia="Calibri" w:cs="Times New Roman"/>
        </w:rPr>
        <w:t xml:space="preserve">, 328 F.3d 1136, 1144 (9th Cir. 2003) (quoting 17 U.S.C. </w:t>
      </w:r>
      <w:r w:rsidRPr="00842D3D">
        <w:rPr>
          <w:rFonts w:eastAsia="Calibri" w:cs="Times New Roman"/>
        </w:rPr>
        <w:lastRenderedPageBreak/>
        <w:t xml:space="preserve">§ 201) (holding that grant of royalties to creator of work for hire, absent express contractual provision to contrary, does not create beneficial ownership interest in that creator). </w:t>
      </w:r>
    </w:p>
    <w:p w14:paraId="3837861B"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5209CB7" w14:textId="36ADB8C2"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While all works created during the course of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842D3D">
        <w:rPr>
          <w:rFonts w:eastAsia="Calibri" w:cs="Times New Roman"/>
          <w:i/>
          <w:iCs/>
        </w:rPr>
        <w:t>See</w:t>
      </w:r>
      <w:r w:rsidRPr="00842D3D">
        <w:rPr>
          <w:rFonts w:eastAsia="Calibri" w:cs="Times New Roman"/>
        </w:rPr>
        <w:t xml:space="preserve"> 17 U.S.C. § 101 (stating that “specially ordered or commissioned” work made for hire exists only in nine specific categories); </w:t>
      </w:r>
      <w:r w:rsidRPr="00842D3D">
        <w:rPr>
          <w:rFonts w:eastAsia="Calibri" w:cs="Times New Roman"/>
          <w:i/>
          <w:iCs/>
        </w:rPr>
        <w:t>Warren</w:t>
      </w:r>
      <w:r w:rsidRPr="00842D3D">
        <w:rPr>
          <w:rFonts w:eastAsia="Calibri" w:cs="Times New Roman"/>
        </w:rPr>
        <w:t>, 328 F.3d at 1140 n.4</w:t>
      </w:r>
      <w:r w:rsidR="00E54E76">
        <w:rPr>
          <w:rFonts w:eastAsia="Calibri" w:cs="Times New Roman"/>
        </w:rPr>
        <w:t xml:space="preserve">. </w:t>
      </w:r>
    </w:p>
    <w:p w14:paraId="0F28E95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2F8C14FB" w14:textId="77777777" w:rsidR="00842D3D" w:rsidRPr="00842D3D" w:rsidRDefault="00842D3D" w:rsidP="00842D3D">
      <w:pPr>
        <w:rPr>
          <w:rFonts w:eastAsia="Calibri" w:cs="Times New Roman"/>
          <w:b/>
          <w:bCs/>
        </w:rPr>
      </w:pPr>
      <w:r w:rsidRPr="00842D3D">
        <w:rPr>
          <w:rFonts w:eastAsia="Calibri" w:cs="Times New Roman"/>
        </w:rPr>
        <w:tab/>
        <w:t>This instruction does not address specially commissioned works created outside of an employment relationship.</w:t>
      </w:r>
    </w:p>
    <w:p w14:paraId="2C0DB661" w14:textId="77777777" w:rsidR="00842D3D" w:rsidRPr="00842D3D" w:rsidRDefault="00842D3D" w:rsidP="00842D3D">
      <w:pPr>
        <w:autoSpaceDE w:val="0"/>
        <w:autoSpaceDN w:val="0"/>
        <w:adjustRightInd w:val="0"/>
        <w:jc w:val="center"/>
        <w:rPr>
          <w:rFonts w:eastAsia="Calibri" w:cs="Times New Roman"/>
          <w:b/>
          <w:bCs/>
          <w:i/>
          <w:iCs/>
        </w:rPr>
      </w:pPr>
      <w:r w:rsidRPr="00842D3D">
        <w:rPr>
          <w:rFonts w:eastAsia="Calibri" w:cs="Times New Roman"/>
          <w:b/>
          <w:bCs/>
        </w:rPr>
        <w:t>Supplemental Instruction</w:t>
      </w:r>
    </w:p>
    <w:p w14:paraId="251A6EDF" w14:textId="77777777" w:rsidR="00842D3D" w:rsidRPr="00842D3D" w:rsidRDefault="00842D3D" w:rsidP="00842D3D">
      <w:pPr>
        <w:autoSpaceDE w:val="0"/>
        <w:autoSpaceDN w:val="0"/>
        <w:adjustRightInd w:val="0"/>
        <w:rPr>
          <w:rFonts w:eastAsia="Calibri" w:cs="Times New Roman"/>
        </w:rPr>
      </w:pPr>
    </w:p>
    <w:p w14:paraId="021C2D5E" w14:textId="77777777" w:rsidR="00842D3D" w:rsidRPr="00842D3D" w:rsidRDefault="00842D3D" w:rsidP="00842D3D">
      <w:pPr>
        <w:autoSpaceDE w:val="0"/>
        <w:autoSpaceDN w:val="0"/>
        <w:adjustRightInd w:val="0"/>
        <w:rPr>
          <w:rFonts w:eastAsia="Calibri" w:cs="Times New Roman"/>
          <w:b/>
          <w:bCs/>
        </w:rPr>
      </w:pPr>
      <w:r w:rsidRPr="00842D3D">
        <w:rPr>
          <w:rFonts w:eastAsia="Calibri" w:cs="Times New Roman"/>
        </w:rPr>
        <w:tab/>
        <w:t>[</w:t>
      </w:r>
      <w:r w:rsidRPr="00842D3D">
        <w:rPr>
          <w:rFonts w:eastAsia="Calibri" w:cs="Times New Roman"/>
          <w:i/>
          <w:iCs/>
        </w:rPr>
        <w:t>If the issue of the employment status of the work’s creator will be decided by the jury,</w:t>
      </w:r>
      <w:r w:rsidRPr="00842D3D">
        <w:rPr>
          <w:rFonts w:eastAsia="Calibri" w:cs="Times New Roman"/>
        </w:rPr>
        <w:t xml:space="preserve"> </w:t>
      </w:r>
      <w:r w:rsidRPr="00842D3D">
        <w:rPr>
          <w:rFonts w:eastAsia="Calibri" w:cs="Times New Roman"/>
          <w:i/>
          <w:iCs/>
        </w:rPr>
        <w:t>insert the following after the second paragraph of the instruction.</w:t>
      </w:r>
      <w:r w:rsidRPr="00842D3D">
        <w:rPr>
          <w:rFonts w:eastAsia="Calibri" w:cs="Times New Roman"/>
        </w:rPr>
        <w:t>]</w:t>
      </w:r>
    </w:p>
    <w:p w14:paraId="0E052626" w14:textId="77777777" w:rsidR="00842D3D" w:rsidRPr="00842D3D" w:rsidRDefault="00842D3D" w:rsidP="00842D3D">
      <w:pPr>
        <w:autoSpaceDE w:val="0"/>
        <w:autoSpaceDN w:val="0"/>
        <w:adjustRightInd w:val="0"/>
        <w:rPr>
          <w:rFonts w:eastAsia="Calibri" w:cs="Times New Roman"/>
        </w:rPr>
      </w:pPr>
    </w:p>
    <w:p w14:paraId="76953FB8" w14:textId="77777777" w:rsidR="00842D3D" w:rsidRPr="00842D3D" w:rsidRDefault="00842D3D" w:rsidP="00842D3D">
      <w:pPr>
        <w:autoSpaceDE w:val="0"/>
        <w:autoSpaceDN w:val="0"/>
        <w:adjustRightInd w:val="0"/>
        <w:ind w:right="720" w:firstLine="720"/>
        <w:rPr>
          <w:rFonts w:eastAsia="Calibri" w:cs="Times New Roman"/>
        </w:rPr>
      </w:pPr>
      <w:r w:rsidRPr="00842D3D">
        <w:rPr>
          <w:rFonts w:eastAsia="Calibri" w:cs="Times New Roman"/>
        </w:rPr>
        <w:t>You should consider the following factors in determining whether the creator of the work in this case was an employee of the [</w:t>
      </w:r>
      <w:r w:rsidRPr="00842D3D">
        <w:rPr>
          <w:rFonts w:eastAsia="Calibri" w:cs="Times New Roman"/>
          <w:i/>
          <w:iCs/>
          <w:u w:val="single"/>
        </w:rPr>
        <w:t>name of party identified</w:t>
      </w:r>
      <w:r w:rsidRPr="00842D3D">
        <w:rPr>
          <w:rFonts w:eastAsia="Calibri" w:cs="Times New Roman"/>
          <w:u w:val="single"/>
        </w:rPr>
        <w:t>]</w:t>
      </w:r>
      <w:r w:rsidRPr="00842D3D">
        <w:rPr>
          <w:rFonts w:eastAsia="Calibri" w:cs="Times New Roman"/>
        </w:rPr>
        <w:t>:</w:t>
      </w:r>
    </w:p>
    <w:p w14:paraId="56BA645D" w14:textId="77777777" w:rsidR="00842D3D" w:rsidRPr="00842D3D" w:rsidRDefault="00842D3D" w:rsidP="00842D3D">
      <w:pPr>
        <w:autoSpaceDE w:val="0"/>
        <w:autoSpaceDN w:val="0"/>
        <w:adjustRightInd w:val="0"/>
        <w:ind w:left="1440" w:right="1440"/>
        <w:rPr>
          <w:rFonts w:eastAsia="Calibri" w:cs="Times New Roman"/>
        </w:rPr>
      </w:pPr>
    </w:p>
    <w:p w14:paraId="47A91AA0"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skills required to create the work. The higher the skills required, the more likely the creator was an independent contractor rather than an employee.</w:t>
      </w:r>
    </w:p>
    <w:p w14:paraId="3D6F59F8" w14:textId="77777777" w:rsidR="00842D3D" w:rsidRPr="00842D3D" w:rsidRDefault="00842D3D" w:rsidP="00021D2C">
      <w:pPr>
        <w:autoSpaceDE w:val="0"/>
        <w:autoSpaceDN w:val="0"/>
        <w:adjustRightInd w:val="0"/>
        <w:ind w:right="720" w:firstLine="720"/>
        <w:rPr>
          <w:rFonts w:eastAsia="Calibri" w:cs="Times New Roman"/>
        </w:rPr>
      </w:pPr>
    </w:p>
    <w:p w14:paraId="73DB63DF"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source of the tools or instruments used to create the work. The more the creator had to use his or her own tools or instruments, the more likely the creator was an independent contractor rather than an employee.</w:t>
      </w:r>
    </w:p>
    <w:p w14:paraId="4293479D" w14:textId="77777777" w:rsidR="00842D3D" w:rsidRPr="00842D3D" w:rsidRDefault="00842D3D" w:rsidP="00021D2C">
      <w:pPr>
        <w:autoSpaceDE w:val="0"/>
        <w:autoSpaceDN w:val="0"/>
        <w:adjustRightInd w:val="0"/>
        <w:ind w:right="720" w:firstLine="720"/>
        <w:rPr>
          <w:rFonts w:eastAsia="Calibri" w:cs="Times New Roman"/>
        </w:rPr>
      </w:pPr>
    </w:p>
    <w:p w14:paraId="272F3791"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location where the work was done. The less the creator worked at [</w:t>
      </w:r>
      <w:r w:rsidRPr="00842D3D">
        <w:rPr>
          <w:rFonts w:eastAsia="Calibri" w:cs="Times New Roman"/>
          <w:i/>
          <w:iCs/>
          <w:u w:val="single"/>
        </w:rPr>
        <w:t>name of alleged employer’s work site</w:t>
      </w:r>
      <w:r w:rsidRPr="00842D3D">
        <w:rPr>
          <w:rFonts w:eastAsia="Calibri" w:cs="Times New Roman"/>
        </w:rPr>
        <w:t>], the more likely the creator was an independent contractor rather than an employee.</w:t>
      </w:r>
    </w:p>
    <w:p w14:paraId="59736DDF" w14:textId="77777777" w:rsidR="00842D3D" w:rsidRPr="00842D3D" w:rsidRDefault="00842D3D" w:rsidP="00021D2C">
      <w:pPr>
        <w:autoSpaceDE w:val="0"/>
        <w:autoSpaceDN w:val="0"/>
        <w:adjustRightInd w:val="0"/>
        <w:ind w:right="720" w:firstLine="720"/>
        <w:rPr>
          <w:rFonts w:eastAsia="Calibri" w:cs="Times New Roman"/>
        </w:rPr>
      </w:pPr>
    </w:p>
    <w:p w14:paraId="3C4AE6B1"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Applicability of employee benefits, like a pension plan or insurance. The more the creator is covered by the benefit plans [</w:t>
      </w:r>
      <w:r w:rsidRPr="00842D3D">
        <w:rPr>
          <w:rFonts w:eastAsia="Calibri" w:cs="Times New Roman"/>
          <w:i/>
          <w:iCs/>
          <w:u w:val="single"/>
        </w:rPr>
        <w:t>name of alleged employer</w:t>
      </w:r>
      <w:r w:rsidRPr="00842D3D">
        <w:rPr>
          <w:rFonts w:eastAsia="Calibri" w:cs="Times New Roman"/>
        </w:rPr>
        <w:t>] offers to other employees, the less likely the creator was an independent contractor rather than an employee.</w:t>
      </w:r>
    </w:p>
    <w:p w14:paraId="2080F69C" w14:textId="77777777" w:rsidR="00842D3D" w:rsidRPr="00842D3D" w:rsidRDefault="00842D3D" w:rsidP="00021D2C">
      <w:pPr>
        <w:autoSpaceDE w:val="0"/>
        <w:autoSpaceDN w:val="0"/>
        <w:adjustRightInd w:val="0"/>
        <w:ind w:right="720" w:firstLine="720"/>
        <w:rPr>
          <w:rFonts w:eastAsia="Calibri" w:cs="Times New Roman"/>
        </w:rPr>
      </w:pPr>
    </w:p>
    <w:p w14:paraId="0E817E24"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Tax treatment of the creator by [</w:t>
      </w:r>
      <w:r w:rsidRPr="00842D3D">
        <w:rPr>
          <w:rFonts w:eastAsia="Calibri" w:cs="Times New Roman"/>
          <w:i/>
          <w:iCs/>
          <w:u w:val="single"/>
        </w:rPr>
        <w:t>name of alleged employer</w:t>
      </w:r>
      <w:r w:rsidRPr="00842D3D">
        <w:rPr>
          <w:rFonts w:eastAsia="Calibri" w:cs="Times New Roman"/>
        </w:rPr>
        <w:t>]. If [</w:t>
      </w:r>
      <w:r w:rsidRPr="00842D3D">
        <w:rPr>
          <w:rFonts w:eastAsia="Calibri" w:cs="Times New Roman"/>
          <w:i/>
          <w:iCs/>
          <w:u w:val="single"/>
        </w:rPr>
        <w:t>name of alleged employer</w:t>
      </w:r>
      <w:r w:rsidRPr="00842D3D">
        <w:rPr>
          <w:rFonts w:eastAsia="Calibri" w:cs="Times New Roman"/>
        </w:rPr>
        <w:t>] reported to tax authorities payments to the creator with no withholding or by use of a Form 1099, the more likely the creator was an independent contractor rather than an employee.</w:t>
      </w:r>
    </w:p>
    <w:p w14:paraId="18D0D8C9" w14:textId="77777777" w:rsidR="00842D3D" w:rsidRPr="00842D3D" w:rsidRDefault="00842D3D" w:rsidP="00021D2C">
      <w:pPr>
        <w:autoSpaceDE w:val="0"/>
        <w:autoSpaceDN w:val="0"/>
        <w:adjustRightInd w:val="0"/>
        <w:ind w:right="720" w:firstLine="720"/>
        <w:rPr>
          <w:rFonts w:eastAsia="Calibri" w:cs="Times New Roman"/>
        </w:rPr>
      </w:pPr>
    </w:p>
    <w:p w14:paraId="1F196938"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lastRenderedPageBreak/>
        <w:t>Whether the creator had discretion over when and how long to work. The more the creator can control his or her work times, the more likely the creator was an independent contractor rather than an employee.</w:t>
      </w:r>
    </w:p>
    <w:p w14:paraId="2CE646C9" w14:textId="77777777" w:rsidR="00842D3D" w:rsidRPr="00842D3D" w:rsidRDefault="00842D3D" w:rsidP="00021D2C">
      <w:pPr>
        <w:autoSpaceDE w:val="0"/>
        <w:autoSpaceDN w:val="0"/>
        <w:adjustRightInd w:val="0"/>
        <w:ind w:right="720" w:firstLine="720"/>
        <w:rPr>
          <w:rFonts w:eastAsia="Calibri" w:cs="Times New Roman"/>
        </w:rPr>
      </w:pPr>
    </w:p>
    <w:p w14:paraId="193664C3"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has the right to assign additional projects to the creator. The more the creator could refuse to accept additional projects unless additional fees were paid, the more likely the creator was an independent contractor rather than an employee.</w:t>
      </w:r>
    </w:p>
    <w:p w14:paraId="56C45B37" w14:textId="77777777" w:rsidR="00842D3D" w:rsidRPr="00842D3D" w:rsidRDefault="00842D3D" w:rsidP="00021D2C">
      <w:pPr>
        <w:autoSpaceDE w:val="0"/>
        <w:autoSpaceDN w:val="0"/>
        <w:adjustRightInd w:val="0"/>
        <w:ind w:right="720" w:firstLine="720"/>
        <w:rPr>
          <w:rFonts w:eastAsia="Calibri" w:cs="Times New Roman"/>
        </w:rPr>
      </w:pPr>
    </w:p>
    <w:p w14:paraId="45EC26AB"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Duration of the relationship between the parties. The more the creator worked on a project basis for [</w:t>
      </w:r>
      <w:r w:rsidRPr="00842D3D">
        <w:rPr>
          <w:rFonts w:eastAsia="Calibri" w:cs="Times New Roman"/>
          <w:i/>
          <w:iCs/>
          <w:u w:val="single"/>
        </w:rPr>
        <w:t>name of alleged employer</w:t>
      </w:r>
      <w:r w:rsidRPr="00842D3D">
        <w:rPr>
          <w:rFonts w:eastAsia="Calibri" w:cs="Times New Roman"/>
        </w:rPr>
        <w:t>], the more likely the creator was an independent contractor rather than an employee.</w:t>
      </w:r>
    </w:p>
    <w:p w14:paraId="0F945839" w14:textId="77777777" w:rsidR="00842D3D" w:rsidRPr="00842D3D" w:rsidRDefault="00842D3D" w:rsidP="00021D2C">
      <w:pPr>
        <w:autoSpaceDE w:val="0"/>
        <w:autoSpaceDN w:val="0"/>
        <w:adjustRightInd w:val="0"/>
        <w:ind w:right="720" w:firstLine="720"/>
        <w:rPr>
          <w:rFonts w:eastAsia="Calibri" w:cs="Times New Roman"/>
        </w:rPr>
      </w:pPr>
    </w:p>
    <w:p w14:paraId="49093DFA" w14:textId="77777777" w:rsidR="00842D3D" w:rsidRPr="00842D3D" w:rsidRDefault="00842D3D" w:rsidP="00021D2C">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method of payment. The more the creator usually works on a commission or onetime-fee basis, the more likely the creator was an independent contractor rather than an employee.</w:t>
      </w:r>
    </w:p>
    <w:p w14:paraId="029B6D4D"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
    </w:p>
    <w:p w14:paraId="1FBCCF68"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the creator hired (or could have hired) and paid his or her own assistants. The more the creator hires and pays for his or her own assistants, the more likely the creator was an independent contractor rather than an employee.</w:t>
      </w:r>
    </w:p>
    <w:p w14:paraId="296D979C"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
    </w:p>
    <w:p w14:paraId="6C5E0972"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is a business. If the party that did the hiring is not a business, it is more likely that the creator was an independent contractor rather than an employee.</w:t>
      </w:r>
    </w:p>
    <w:p w14:paraId="6E9D491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170" w:right="720" w:hanging="450"/>
        <w:rPr>
          <w:rFonts w:eastAsia="Calibri" w:cs="Times New Roman"/>
        </w:rPr>
      </w:pPr>
    </w:p>
    <w:p w14:paraId="23098F6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r w:rsidRPr="00842D3D">
        <w:rPr>
          <w:rFonts w:eastAsia="Calibri" w:cs="Times New Roman"/>
          <w:b/>
          <w:bCs/>
        </w:rPr>
        <w:t>Comment</w:t>
      </w:r>
    </w:p>
    <w:p w14:paraId="40CF6E76"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p>
    <w:p w14:paraId="70CD6AFF" w14:textId="77777777" w:rsidR="00842D3D" w:rsidRPr="00842D3D" w:rsidRDefault="00842D3D" w:rsidP="00842D3D">
      <w:pPr>
        <w:tabs>
          <w:tab w:val="left" w:pos="-1080"/>
          <w:tab w:val="left" w:pos="-719"/>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right="720" w:firstLine="720"/>
        <w:rPr>
          <w:rFonts w:eastAsia="Calibri" w:cs="Times New Roman"/>
        </w:rPr>
      </w:pPr>
      <w:r w:rsidRPr="00842D3D">
        <w:rPr>
          <w:rFonts w:eastAsia="Calibri" w:cs="Times New Roman"/>
        </w:rPr>
        <w:t xml:space="preserve">This eleven-factor test employing common-law agency principles to determine whether the creator of a work was an employee or an independent contractor was identified by the Supreme Court. </w:t>
      </w:r>
      <w:r w:rsidRPr="00842D3D">
        <w:rPr>
          <w:rFonts w:eastAsia="Calibri" w:cs="Times New Roman"/>
          <w:i/>
          <w:iCs/>
        </w:rPr>
        <w:t xml:space="preserve">See Reid, </w:t>
      </w:r>
      <w:r w:rsidRPr="00842D3D">
        <w:rPr>
          <w:rFonts w:eastAsia="Calibri" w:cs="Times New Roman"/>
        </w:rPr>
        <w:t>490 U.S. at 751-52;</w:t>
      </w:r>
      <w:r w:rsidRPr="00842D3D">
        <w:rPr>
          <w:rFonts w:eastAsia="Calibri" w:cs="Times New Roman"/>
          <w:i/>
          <w:iCs/>
        </w:rPr>
        <w:t xml:space="preserve"> JustMed, Inc. v. Byce</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600 F.3d 1118, 1125 (9th Cir. 2010) (listing factors from </w:t>
      </w:r>
      <w:r w:rsidRPr="00842D3D">
        <w:rPr>
          <w:rFonts w:eastAsia="Calibri" w:cs="Times New Roman"/>
          <w:i/>
          <w:iCs/>
        </w:rPr>
        <w:t>Reid</w:t>
      </w:r>
      <w:r w:rsidRPr="00842D3D">
        <w:rPr>
          <w:rFonts w:eastAsia="Calibri" w:cs="Times New Roman"/>
        </w:rPr>
        <w:t xml:space="preserve">, 490 U.S. at 751-52). No single factor is determinative. </w:t>
      </w:r>
      <w:r w:rsidRPr="00842D3D">
        <w:rPr>
          <w:rFonts w:eastAsia="Calibri" w:cs="Times New Roman"/>
          <w:i/>
          <w:iCs/>
        </w:rPr>
        <w:t>Reid</w:t>
      </w:r>
      <w:r w:rsidRPr="00842D3D">
        <w:rPr>
          <w:rFonts w:eastAsia="Calibri" w:cs="Times New Roman"/>
        </w:rPr>
        <w:t xml:space="preserve">, 490 U.S. at 752. For a discussion of the weight of any of the eleven </w:t>
      </w:r>
      <w:r w:rsidRPr="00842D3D">
        <w:rPr>
          <w:rFonts w:eastAsia="Calibri" w:cs="Times New Roman"/>
          <w:i/>
          <w:iCs/>
        </w:rPr>
        <w:t>Reid</w:t>
      </w:r>
      <w:r w:rsidRPr="00842D3D">
        <w:rPr>
          <w:rFonts w:eastAsia="Calibri" w:cs="Times New Roman"/>
        </w:rPr>
        <w:t xml:space="preserve"> factors, see </w:t>
      </w:r>
      <w:r w:rsidRPr="00842D3D">
        <w:rPr>
          <w:rFonts w:eastAsia="Calibri" w:cs="Times New Roman"/>
          <w:i/>
          <w:iCs/>
        </w:rPr>
        <w:t>JustMed</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600 F.3d at 1125-28, and </w:t>
      </w:r>
      <w:r w:rsidRPr="00842D3D">
        <w:rPr>
          <w:rFonts w:eastAsia="Calibri" w:cs="Times New Roman"/>
          <w:i/>
          <w:iCs/>
        </w:rPr>
        <w:t>Aymes v. Bonelli</w:t>
      </w:r>
      <w:r w:rsidRPr="00842D3D">
        <w:rPr>
          <w:rFonts w:eastAsia="Calibri" w:cs="Times New Roman"/>
        </w:rPr>
        <w:t>, 980 F.2d 857, 860-64 (2d Cir.1992).</w:t>
      </w:r>
    </w:p>
    <w:p w14:paraId="138EB971" w14:textId="77777777" w:rsidR="00842D3D" w:rsidRPr="00842D3D" w:rsidRDefault="00842D3D" w:rsidP="00842D3D">
      <w:pPr>
        <w:rPr>
          <w:rFonts w:eastAsia="Calibri" w:cs="Times New Roman"/>
        </w:rPr>
      </w:pPr>
    </w:p>
    <w:p w14:paraId="656CE0D1" w14:textId="77777777" w:rsidR="00842D3D" w:rsidRPr="00842D3D" w:rsidRDefault="00842D3D" w:rsidP="00842D3D">
      <w:pPr>
        <w:jc w:val="right"/>
        <w:rPr>
          <w:rFonts w:eastAsia="Calibri" w:cs="Times New Roman"/>
          <w:i/>
          <w:iCs/>
        </w:rPr>
      </w:pPr>
      <w:r w:rsidRPr="00842D3D">
        <w:rPr>
          <w:rFonts w:eastAsia="Calibri" w:cs="Times New Roman"/>
          <w:i/>
          <w:iCs/>
        </w:rPr>
        <w:t>Revised September 2025</w:t>
      </w:r>
    </w:p>
    <w:p w14:paraId="1CF997AE" w14:textId="77777777" w:rsidR="00842D3D" w:rsidRPr="00842D3D" w:rsidRDefault="00842D3D" w:rsidP="00842D3D">
      <w:pPr>
        <w:autoSpaceDE w:val="0"/>
        <w:autoSpaceDN w:val="0"/>
        <w:adjustRightInd w:val="0"/>
        <w:rPr>
          <w:rFonts w:eastAsia="Calibri" w:cs="Times New Roman"/>
          <w:szCs w:val="24"/>
        </w:rPr>
      </w:pPr>
    </w:p>
    <w:p w14:paraId="2E3CBB50" w14:textId="77777777" w:rsidR="00842D3D" w:rsidRPr="00842D3D" w:rsidRDefault="00842D3D" w:rsidP="00842D3D">
      <w:pPr>
        <w:autoSpaceDE w:val="0"/>
        <w:autoSpaceDN w:val="0"/>
        <w:adjustRightInd w:val="0"/>
        <w:rPr>
          <w:rFonts w:eastAsia="Calibri" w:cs="Times New Roman"/>
          <w:szCs w:val="24"/>
        </w:rPr>
      </w:pPr>
    </w:p>
    <w:p w14:paraId="6AEAC261" w14:textId="77777777" w:rsidR="00842D3D" w:rsidRPr="00842D3D" w:rsidRDefault="00842D3D" w:rsidP="00313A05">
      <w:pPr>
        <w:pStyle w:val="Heading2"/>
      </w:pPr>
      <w:r w:rsidRPr="00842D3D">
        <w:br w:type="page"/>
      </w:r>
      <w:bookmarkStart w:id="404" w:name="_Toc221525313"/>
      <w:r w:rsidRPr="00842D3D">
        <w:lastRenderedPageBreak/>
        <w:t>17.12 Copyright Interests—Assignee</w:t>
      </w:r>
      <w:r w:rsidRPr="00842D3D">
        <w:br/>
        <w:t>(17 U.S.C. § 201(d)(1))</w:t>
      </w:r>
      <w:bookmarkEnd w:id="404"/>
    </w:p>
    <w:p w14:paraId="4B2FE6AB" w14:textId="77777777" w:rsidR="00842D3D" w:rsidRPr="00842D3D" w:rsidRDefault="00842D3D" w:rsidP="00842D3D">
      <w:pPr>
        <w:autoSpaceDE w:val="0"/>
        <w:autoSpaceDN w:val="0"/>
        <w:adjustRightInd w:val="0"/>
        <w:rPr>
          <w:rFonts w:eastAsia="Calibri" w:cs="Times New Roman"/>
          <w:szCs w:val="24"/>
        </w:rPr>
      </w:pPr>
    </w:p>
    <w:p w14:paraId="07B10976"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does not claim to be the [author] [creator] [initial owner] of the copyright at issue. Instead,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claims that it received the copyright by virtue of assignment from the work’s [author] [creator] [initial owner] so that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now the assignee of the copyright.]</w:t>
      </w:r>
      <w:r w:rsidRPr="00842D3D">
        <w:rPr>
          <w:rFonts w:eastAsia="Calibri" w:cs="Times New Roman"/>
          <w:szCs w:val="24"/>
        </w:rPr>
        <w:tab/>
      </w:r>
    </w:p>
    <w:p w14:paraId="2DC4B774" w14:textId="77777777" w:rsidR="00842D3D" w:rsidRPr="00842D3D" w:rsidRDefault="00842D3D" w:rsidP="00842D3D">
      <w:pPr>
        <w:rPr>
          <w:rFonts w:eastAsia="Calibri" w:cs="Times New Roman"/>
          <w:szCs w:val="24"/>
        </w:rPr>
      </w:pPr>
    </w:p>
    <w:p w14:paraId="6EBEB0D5"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2492D776" w14:textId="77777777" w:rsidR="00842D3D" w:rsidRPr="00842D3D" w:rsidRDefault="00842D3D" w:rsidP="00842D3D">
      <w:pPr>
        <w:rPr>
          <w:rFonts w:eastAsia="Calibri" w:cs="Times New Roman"/>
          <w:szCs w:val="24"/>
        </w:rPr>
      </w:pPr>
    </w:p>
    <w:p w14:paraId="30609BEA" w14:textId="77777777" w:rsidR="00842D3D" w:rsidRPr="00842D3D" w:rsidRDefault="00842D3D" w:rsidP="00842D3D">
      <w:pPr>
        <w:ind w:firstLine="720"/>
        <w:rPr>
          <w:rFonts w:eastAsia="Calibri" w:cs="Times New Roman"/>
          <w:szCs w:val="24"/>
        </w:rPr>
      </w:pPr>
      <w:r w:rsidRPr="00842D3D">
        <w:rPr>
          <w:rFonts w:eastAsia="Calibri" w:cs="Times New Roman"/>
          <w:szCs w:val="24"/>
        </w:rPr>
        <w:t>To be valid, the [transfer] [sale] [conveyance] must be in a writing signed by the transferor. The person to whom this right is transferred is called an assignee. [The assignee may enforce this right to exclude others in an action for copyright infringement.]</w:t>
      </w:r>
    </w:p>
    <w:p w14:paraId="054A35E1" w14:textId="77777777" w:rsidR="00842D3D" w:rsidRPr="00842D3D" w:rsidRDefault="00842D3D" w:rsidP="00842D3D">
      <w:pPr>
        <w:rPr>
          <w:rFonts w:eastAsia="Calibri" w:cs="Times New Roman"/>
          <w:szCs w:val="24"/>
        </w:rPr>
      </w:pPr>
    </w:p>
    <w:p w14:paraId="0B01B25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5B24410C" w14:textId="77777777" w:rsidR="00842D3D" w:rsidRPr="00842D3D" w:rsidRDefault="00842D3D" w:rsidP="00842D3D">
      <w:pPr>
        <w:rPr>
          <w:rFonts w:eastAsia="Calibri" w:cs="Times New Roman"/>
          <w:szCs w:val="24"/>
        </w:rPr>
      </w:pPr>
    </w:p>
    <w:p w14:paraId="18E04A18" w14:textId="77777777" w:rsidR="00842D3D" w:rsidRPr="00842D3D" w:rsidRDefault="00842D3D" w:rsidP="00842D3D">
      <w:pPr>
        <w:ind w:firstLine="720"/>
        <w:rPr>
          <w:rFonts w:eastAsia="Calibri" w:cs="Times New Roman"/>
        </w:rPr>
      </w:pPr>
      <w:r w:rsidRPr="00842D3D">
        <w:rPr>
          <w:rFonts w:eastAsia="Calibri" w:cs="Times New Roman"/>
          <w:szCs w:val="24"/>
        </w:rPr>
        <w:t xml:space="preserve">When </w:t>
      </w:r>
      <w:r w:rsidRPr="00842D3D">
        <w:rPr>
          <w:rFonts w:eastAsia="Calibri" w:cs="Times New Roman"/>
        </w:rPr>
        <w:t>the owner of the copyright is not the author, the first bracketed paragraph may be appropriate.</w:t>
      </w:r>
    </w:p>
    <w:p w14:paraId="6F87414C" w14:textId="77777777" w:rsidR="00842D3D" w:rsidRPr="00842D3D" w:rsidRDefault="00842D3D" w:rsidP="00842D3D">
      <w:pPr>
        <w:rPr>
          <w:rFonts w:eastAsia="Calibri" w:cs="Times New Roman"/>
        </w:rPr>
      </w:pPr>
    </w:p>
    <w:p w14:paraId="32E104DC" w14:textId="77777777" w:rsidR="00842D3D" w:rsidRPr="00842D3D" w:rsidRDefault="00842D3D" w:rsidP="00842D3D">
      <w:pPr>
        <w:ind w:firstLine="720"/>
        <w:rPr>
          <w:rFonts w:eastAsia="Calibri" w:cs="Times New Roman"/>
        </w:rPr>
      </w:pPr>
      <w:r w:rsidRPr="00842D3D">
        <w:rPr>
          <w:rFonts w:eastAsia="Calibri" w:cs="Times New Roman"/>
        </w:rPr>
        <w:t>“A ‘transfer of copyright ownership’ is an assignment . . . .” 17 U.S.C. § 101. Ownership of a copyright may be transferred in whole or in part by any means of conveyance.</w:t>
      </w:r>
      <w:r w:rsidRPr="00842D3D">
        <w:rPr>
          <w:rFonts w:eastAsia="Calibri" w:cs="Times New Roman"/>
          <w:i/>
          <w:iCs/>
        </w:rPr>
        <w:t xml:space="preserve"> See </w:t>
      </w:r>
      <w:r w:rsidRPr="00842D3D">
        <w:rPr>
          <w:rFonts w:eastAsia="Calibri" w:cs="Times New Roman"/>
        </w:rPr>
        <w:t>17 U.S.C. § 201(d)(1).</w:t>
      </w:r>
    </w:p>
    <w:p w14:paraId="7D843652" w14:textId="77777777" w:rsidR="00842D3D" w:rsidRPr="00842D3D" w:rsidRDefault="00842D3D" w:rsidP="00842D3D">
      <w:pPr>
        <w:rPr>
          <w:rFonts w:eastAsia="Calibri" w:cs="Times New Roman"/>
        </w:rPr>
      </w:pPr>
      <w:r w:rsidRPr="00842D3D">
        <w:rPr>
          <w:rFonts w:eastAsia="Calibri" w:cs="Times New Roman"/>
        </w:rPr>
        <w:t xml:space="preserve">  </w:t>
      </w:r>
    </w:p>
    <w:p w14:paraId="5424F627" w14:textId="77777777" w:rsidR="00842D3D" w:rsidRPr="00842D3D" w:rsidRDefault="00842D3D" w:rsidP="00842D3D">
      <w:pPr>
        <w:ind w:firstLine="720"/>
        <w:rPr>
          <w:rFonts w:eastAsia="Calibri" w:cs="Times New Roman"/>
        </w:rPr>
      </w:pPr>
      <w:r w:rsidRPr="00842D3D">
        <w:rPr>
          <w:rFonts w:eastAsia="Calibri" w:cs="Times New Roman"/>
        </w:rPr>
        <w:t>Transfer of a copyright, other than by operation of law, must be reflected by a written instrument, signed by the owner of the rights conveyed.</w:t>
      </w:r>
      <w:r w:rsidRPr="00842D3D">
        <w:rPr>
          <w:rFonts w:eastAsia="Calibri" w:cs="Times New Roman"/>
          <w:i/>
          <w:iCs/>
        </w:rPr>
        <w:t xml:space="preserve"> See</w:t>
      </w:r>
      <w:r w:rsidRPr="00842D3D">
        <w:rPr>
          <w:rFonts w:eastAsia="Calibri" w:cs="Times New Roman"/>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842D3D">
        <w:rPr>
          <w:rFonts w:eastAsia="Calibri" w:cs="Times New Roman"/>
          <w:i/>
          <w:iCs/>
        </w:rPr>
        <w:t xml:space="preserve"> Konigsberg Int’l Inc. v. Rice</w:t>
      </w:r>
      <w:r w:rsidRPr="00842D3D">
        <w:rPr>
          <w:rFonts w:eastAsia="Calibri" w:cs="Times New Roman"/>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sidRPr="00842D3D">
        <w:rPr>
          <w:rFonts w:eastAsia="Calibri" w:cs="Times New Roman"/>
          <w:i/>
          <w:iCs/>
        </w:rPr>
        <w:t>Radio Television Espanola S.A. v. New World Ent.t Ltd.</w:t>
      </w:r>
      <w:r w:rsidRPr="00842D3D">
        <w:rPr>
          <w:rFonts w:eastAsia="Calibri" w:cs="Times New Roman"/>
        </w:rPr>
        <w:t>, 183 F.3d 922, 927 (9th Cir. 1999). “Section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w:t>
      </w:r>
      <w:r w:rsidRPr="00842D3D">
        <w:rPr>
          <w:rFonts w:eastAsia="Calibri" w:cs="Times New Roman"/>
        </w:rPr>
        <w:noBreakHyphen/>
        <w:t xml:space="preserve">line pro forma statement will do.” </w:t>
      </w:r>
      <w:r w:rsidRPr="00842D3D">
        <w:rPr>
          <w:rFonts w:eastAsia="Calibri" w:cs="Times New Roman"/>
          <w:i/>
          <w:iCs/>
        </w:rPr>
        <w:t>Effects Associates, Inc. v. Cohen</w:t>
      </w:r>
      <w:r w:rsidRPr="00842D3D">
        <w:rPr>
          <w:rFonts w:eastAsia="Calibri" w:cs="Times New Roman"/>
        </w:rPr>
        <w:t xml:space="preserve">, 908 F.2d 555, 557 (9th Cir. 1990). Both the 1909 and 1976 Copyright Acts allow for the transfer of a copyright by will. </w:t>
      </w:r>
      <w:r w:rsidRPr="00842D3D">
        <w:rPr>
          <w:rFonts w:eastAsia="Calibri" w:cs="Times New Roman"/>
          <w:i/>
          <w:iCs/>
        </w:rPr>
        <w:t>Aquarian Found., Inc. v. Lowndes</w:t>
      </w:r>
      <w:r w:rsidRPr="00842D3D">
        <w:rPr>
          <w:rFonts w:eastAsia="Calibri" w:cs="Times New Roman"/>
        </w:rPr>
        <w:t>, 127 F.4th 814, 821 (9th Cir. 2025)</w:t>
      </w:r>
      <w:r w:rsidRPr="00842D3D">
        <w:rPr>
          <w:rFonts w:eastAsia="Calibri" w:cs="Times New Roman"/>
          <w:b/>
          <w:bCs/>
          <w:i/>
          <w:iCs/>
        </w:rPr>
        <w:t xml:space="preserve"> </w:t>
      </w:r>
      <w:r w:rsidRPr="00842D3D">
        <w:rPr>
          <w:rFonts w:eastAsia="Calibri" w:cs="Times New Roman"/>
        </w:rPr>
        <w:t>(citing 17 U.S.C. § 42 (repealed) (providing that copyrights “may be bequeathed by will”); 17 U.S.C. § 201(d)(1) (providing that copyrights “may be bequeathed by will or pass as personal property by the applicable laws of intestate succession”)).</w:t>
      </w:r>
    </w:p>
    <w:p w14:paraId="29041481" w14:textId="77777777" w:rsidR="00842D3D" w:rsidRPr="00842D3D" w:rsidRDefault="00842D3D" w:rsidP="00842D3D">
      <w:pPr>
        <w:rPr>
          <w:rFonts w:eastAsia="Calibri" w:cs="Times New Roman"/>
        </w:rPr>
        <w:sectPr w:rsidR="00842D3D" w:rsidRPr="00842D3D" w:rsidSect="00842D3D">
          <w:footerReference w:type="default" r:id="rId25"/>
          <w:pgSz w:w="12240" w:h="15840"/>
          <w:pgMar w:top="1440" w:right="1440" w:bottom="1440" w:left="1440" w:header="1440" w:footer="1440" w:gutter="0"/>
          <w:cols w:space="720"/>
          <w:noEndnote/>
        </w:sectPr>
      </w:pPr>
    </w:p>
    <w:p w14:paraId="1C9366A4" w14:textId="25F01343" w:rsidR="00842D3D" w:rsidRPr="00842D3D" w:rsidRDefault="00842D3D" w:rsidP="00842D3D">
      <w:pPr>
        <w:ind w:firstLine="720"/>
        <w:rPr>
          <w:rFonts w:eastAsia="Calibri" w:cs="Times New Roman"/>
        </w:rPr>
      </w:pPr>
      <w:r w:rsidRPr="00842D3D">
        <w:rPr>
          <w:rFonts w:eastAsia="Calibri" w:cs="Times New Roman"/>
        </w:rPr>
        <w:lastRenderedPageBreak/>
        <w:t xml:space="preserve">Some case law suggests that the writing must be executed “more or less” contemporaneously with the agreement to transfer ownership. </w:t>
      </w:r>
      <w:r w:rsidRPr="00842D3D">
        <w:rPr>
          <w:rFonts w:eastAsia="Calibri" w:cs="Times New Roman"/>
          <w:i/>
          <w:iCs/>
        </w:rPr>
        <w:t>See Konigsberg</w:t>
      </w:r>
      <w:r w:rsidRPr="00842D3D">
        <w:rPr>
          <w:rFonts w:eastAsia="Calibri" w:cs="Times New Roman"/>
        </w:rPr>
        <w:t xml:space="preserve">, 16 F.3d at 3557. However, this suggestion has been rejected as dicta, </w:t>
      </w:r>
      <w:r w:rsidRPr="00842D3D">
        <w:rPr>
          <w:rFonts w:eastAsia="Calibri" w:cs="Times New Roman"/>
          <w:i/>
          <w:iCs/>
        </w:rPr>
        <w:t>see Magnuson v. Video Yesteryear</w:t>
      </w:r>
      <w:r w:rsidRPr="00842D3D">
        <w:rPr>
          <w:rFonts w:eastAsia="Calibri" w:cs="Times New Roman"/>
        </w:rPr>
        <w:t xml:space="preserve">, 85 F.3d 1424, 1429 n.1 (9th Cir. 1996), and the weight of authority holds that “[i]f an oral transfer of a copyright license is later confirmed in writing, the transfer is valid,” </w:t>
      </w:r>
      <w:r w:rsidRPr="00842D3D">
        <w:rPr>
          <w:rFonts w:eastAsia="Calibri" w:cs="Times New Roman"/>
          <w:i/>
          <w:iCs/>
        </w:rPr>
        <w:t>Vallente-Kritzer Video v. Pinckney</w:t>
      </w:r>
      <w:r w:rsidRPr="00842D3D">
        <w:rPr>
          <w:rFonts w:eastAsia="Calibri" w:cs="Times New Roman"/>
        </w:rPr>
        <w:t xml:space="preserve">, 881 F.2d 772, 775 (9th Cir. 1989); </w:t>
      </w:r>
      <w:r w:rsidRPr="00842D3D">
        <w:rPr>
          <w:rFonts w:eastAsia="Calibri" w:cs="Times New Roman"/>
          <w:i/>
          <w:iCs/>
        </w:rPr>
        <w:t>see also Magnuson</w:t>
      </w:r>
      <w:r w:rsidRPr="00842D3D">
        <w:rPr>
          <w:rFonts w:eastAsia="Calibri" w:cs="Times New Roman"/>
        </w:rPr>
        <w:t xml:space="preserve">,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 . . .” (citations omitted)). This is especially so when there is no dispute between the conveyor and the conveyee regarding whether a transfer took place, for example when the dispute is between the conveyee and an alleged infringer. </w:t>
      </w:r>
      <w:r w:rsidRPr="00842D3D">
        <w:rPr>
          <w:rFonts w:eastAsia="Calibri" w:cs="Times New Roman"/>
          <w:i/>
          <w:iCs/>
        </w:rPr>
        <w:t>See id.</w:t>
      </w:r>
      <w:r w:rsidRPr="00842D3D">
        <w:rPr>
          <w:rFonts w:eastAsia="Calibri" w:cs="Times New Roman"/>
        </w:rPr>
        <w:t xml:space="preserve"> (holding that § 204(a)’s writing requirement was satisfied by memorandum executed after litigation had begun, when there was no dispute regarding conveyor’s intent to transfer)</w:t>
      </w:r>
      <w:r w:rsidR="00E54E76">
        <w:rPr>
          <w:rFonts w:eastAsia="Calibri" w:cs="Times New Roman"/>
        </w:rPr>
        <w:t xml:space="preserve">. </w:t>
      </w:r>
    </w:p>
    <w:p w14:paraId="5DD569E2" w14:textId="77777777" w:rsidR="00842D3D" w:rsidRPr="00842D3D" w:rsidRDefault="00842D3D" w:rsidP="00842D3D">
      <w:pPr>
        <w:rPr>
          <w:rFonts w:eastAsia="Calibri" w:cs="Times New Roman"/>
        </w:rPr>
      </w:pPr>
    </w:p>
    <w:p w14:paraId="5F4BE7CE" w14:textId="6228DF4F" w:rsidR="00842D3D" w:rsidRPr="00842D3D" w:rsidRDefault="00842D3D" w:rsidP="00842D3D">
      <w:pPr>
        <w:ind w:firstLine="720"/>
        <w:rPr>
          <w:rFonts w:eastAsia="Calibri" w:cs="Times New Roman"/>
        </w:rPr>
      </w:pPr>
      <w:r w:rsidRPr="00842D3D">
        <w:rPr>
          <w:rFonts w:eastAsia="Calibri" w:cs="Times New Roman"/>
        </w:rPr>
        <w:t xml:space="preserve">The 1976 Copyright Act provides that only the “legal or beneficial owner of an exclusive right under a copyright [may] . . . institute an action for any infringement . . . .” 17 U.S.C. § 501(b). The Ninth Circuit interprets this section as requiring the plaintiff to have a “legal or beneficial interest in at least one of the exclusive rights described in § 106.” </w:t>
      </w:r>
      <w:r w:rsidRPr="00842D3D">
        <w:rPr>
          <w:rFonts w:eastAsia="Calibri" w:cs="Times New Roman"/>
          <w:i/>
          <w:iCs/>
        </w:rPr>
        <w:t>Silvers v. Sony Pictures Ent. Inc</w:t>
      </w:r>
      <w:r w:rsidRPr="00842D3D">
        <w:rPr>
          <w:rFonts w:eastAsia="Calibri" w:cs="Times New Roman"/>
        </w:rPr>
        <w:t xml:space="preserve">., 402 F.3d 881, 885 (9th Cir. 2005) (en banc) (concluding that though § 501(b) does not expressly say that only legal or beneficial owner of exclusive right may sue, Congress’s explicit listing of who </w:t>
      </w:r>
      <w:r w:rsidRPr="00842D3D">
        <w:rPr>
          <w:rFonts w:eastAsia="Calibri" w:cs="Times New Roman"/>
          <w:i/>
          <w:iCs/>
        </w:rPr>
        <w:t>may</w:t>
      </w:r>
      <w:r w:rsidRPr="00842D3D">
        <w:rPr>
          <w:rFonts w:eastAsia="Calibri" w:cs="Times New Roman"/>
        </w:rPr>
        <w:t xml:space="preserve"> sue should be understood as an exclusion of others); </w:t>
      </w:r>
      <w:r w:rsidRPr="00842D3D">
        <w:rPr>
          <w:rFonts w:eastAsia="Calibri" w:cs="Times New Roman"/>
          <w:i/>
          <w:iCs/>
        </w:rPr>
        <w:t>see also Righthaven LLC v. Hoehn</w:t>
      </w:r>
      <w:r w:rsidRPr="00842D3D">
        <w:rPr>
          <w:rFonts w:eastAsia="Calibri" w:cs="Times New Roman"/>
        </w:rPr>
        <w:t xml:space="preserve">, 716 F.3d 1166, 1168 (9th Cir. 2013). Additionally, for a plaintiff to be “‘entitled . . . to institute an action’ for infringement, the infringement must be ‘committed while he or she is the owner of’ the particular exclusive right allegedly infringed.” </w:t>
      </w:r>
      <w:r w:rsidRPr="00842D3D">
        <w:rPr>
          <w:rFonts w:eastAsia="Calibri" w:cs="Times New Roman"/>
          <w:i/>
          <w:iCs/>
        </w:rPr>
        <w:t xml:space="preserve"> Silvers</w:t>
      </w:r>
      <w:r w:rsidRPr="00842D3D">
        <w:rPr>
          <w:rFonts w:eastAsia="Calibri" w:cs="Times New Roman"/>
        </w:rPr>
        <w:t>, 402 F.3d at 885 (quoting 17 U.S.C. § 501(b)). As to exclusive rights, see</w:t>
      </w:r>
      <w:r w:rsidRPr="00842D3D">
        <w:rPr>
          <w:rFonts w:eastAsia="Calibri" w:cs="Times New Roman"/>
          <w:i/>
          <w:iCs/>
        </w:rPr>
        <w:t xml:space="preserve"> </w:t>
      </w:r>
      <w:r w:rsidRPr="00842D3D">
        <w:rPr>
          <w:rFonts w:eastAsia="Calibri" w:cs="Times New Roman"/>
        </w:rPr>
        <w:t>Instruction 17.2 (Copyright—Defined).</w:t>
      </w:r>
    </w:p>
    <w:p w14:paraId="7E08A878" w14:textId="77777777" w:rsidR="00842D3D" w:rsidRPr="00842D3D" w:rsidRDefault="00842D3D" w:rsidP="00842D3D">
      <w:pPr>
        <w:rPr>
          <w:rFonts w:eastAsia="Calibri" w:cs="Times New Roman"/>
        </w:rPr>
      </w:pPr>
    </w:p>
    <w:p w14:paraId="2D33ED3E" w14:textId="77777777" w:rsidR="00842D3D" w:rsidRPr="00842D3D" w:rsidRDefault="00842D3D" w:rsidP="00842D3D">
      <w:pPr>
        <w:ind w:firstLine="720"/>
        <w:rPr>
          <w:rFonts w:eastAsia="Calibri" w:cs="Times New Roman"/>
        </w:rPr>
      </w:pPr>
      <w:r w:rsidRPr="00842D3D">
        <w:rPr>
          <w:rFonts w:eastAsia="Calibri" w:cs="Times New Roman"/>
        </w:rPr>
        <w:t xml:space="preserve">Regarding an assignment of royalties, see </w:t>
      </w:r>
      <w:r w:rsidRPr="00842D3D">
        <w:rPr>
          <w:rFonts w:eastAsia="Calibri" w:cs="Times New Roman"/>
          <w:i/>
          <w:iCs/>
        </w:rPr>
        <w:t>Broad. Music, Inc. v. Hirsch</w:t>
      </w:r>
      <w:r w:rsidRPr="00842D3D">
        <w:rPr>
          <w:rFonts w:eastAsia="Calibri" w:cs="Times New Roman"/>
        </w:rPr>
        <w:t xml:space="preserve">, 104 F.3d 1163, 1166 (9th Cir. 1997) (holding that copyright owner’s assignment of right to receive royalties is not transfer of ownership under 17 U.S.C. § 205 and does not affect existence, scope, duration or identification of rights under copyright). However, the beneficial owner of the copyright, such as the royalty assignee, may, by means of intervention, protect his or her interests if the legal owner of the copyright fails to do so. </w:t>
      </w:r>
      <w:r w:rsidRPr="00842D3D">
        <w:rPr>
          <w:rFonts w:eastAsia="Calibri" w:cs="Times New Roman"/>
          <w:i/>
          <w:iCs/>
        </w:rPr>
        <w:t>See</w:t>
      </w:r>
      <w:r w:rsidRPr="00842D3D">
        <w:rPr>
          <w:rFonts w:eastAsia="Calibri" w:cs="Times New Roman"/>
        </w:rPr>
        <w:t xml:space="preserve"> 17 U.S.C. § 501(b);</w:t>
      </w:r>
      <w:r w:rsidRPr="00842D3D">
        <w:rPr>
          <w:rFonts w:eastAsia="Calibri" w:cs="Times New Roman"/>
          <w:i/>
          <w:iCs/>
        </w:rPr>
        <w:t xml:space="preserve"> see also Yount v. Acuff Rose-Opryland</w:t>
      </w:r>
      <w:r w:rsidRPr="00842D3D">
        <w:rPr>
          <w:rFonts w:eastAsia="Calibri" w:cs="Times New Roman"/>
        </w:rPr>
        <w:t>, 103 F.3d 830, 833-34 (9th Cir. 1996) (involving assignment of royalties).</w:t>
      </w:r>
    </w:p>
    <w:p w14:paraId="3C2141DC" w14:textId="77777777" w:rsidR="00842D3D" w:rsidRPr="00842D3D" w:rsidRDefault="00842D3D" w:rsidP="00842D3D">
      <w:pPr>
        <w:rPr>
          <w:rFonts w:eastAsia="Calibri" w:cs="Times New Roman"/>
        </w:rPr>
      </w:pPr>
    </w:p>
    <w:p w14:paraId="62E862B2" w14:textId="070E3716" w:rsidR="00842D3D" w:rsidRPr="00842D3D" w:rsidRDefault="00842D3D" w:rsidP="00842D3D">
      <w:pPr>
        <w:ind w:firstLine="720"/>
        <w:rPr>
          <w:rFonts w:eastAsia="Calibri" w:cs="Times New Roman"/>
          <w:i/>
          <w:iCs/>
        </w:rPr>
      </w:pPr>
      <w:r w:rsidRPr="00842D3D">
        <w:rPr>
          <w:rFonts w:eastAsia="Calibri" w:cs="Times New Roman"/>
        </w:rPr>
        <w:t>Regarding a renewal interest in a copyright, see</w:t>
      </w:r>
      <w:r w:rsidRPr="00842D3D">
        <w:rPr>
          <w:rFonts w:eastAsia="Calibri" w:cs="Times New Roman"/>
          <w:i/>
          <w:iCs/>
        </w:rPr>
        <w:t xml:space="preserve"> Marascalco v. Fantasy, Inc.</w:t>
      </w:r>
      <w:r w:rsidRPr="00842D3D">
        <w:rPr>
          <w:rFonts w:eastAsia="Calibri" w:cs="Times New Roman"/>
        </w:rP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 17 U.S.C. § 304(a)(1)(A). </w:t>
      </w:r>
      <w:r w:rsidRPr="00842D3D">
        <w:rPr>
          <w:rFonts w:eastAsia="Calibri" w:cs="Times New Roman"/>
          <w:i/>
          <w:iCs/>
        </w:rPr>
        <w:t>See Stewart v. Abend</w:t>
      </w:r>
      <w:r w:rsidRPr="00842D3D">
        <w:rPr>
          <w:rFonts w:eastAsia="Calibri" w:cs="Times New Roman"/>
        </w:rPr>
        <w:t>, 495 U.S. 207, 217 (1990). However, if the author dies before that time, the “next of kin obtain the renewal copyright free of any claim founded upon an assignment made by the author in his lifetime</w:t>
      </w:r>
      <w:r w:rsidR="00E54E76">
        <w:rPr>
          <w:rFonts w:eastAsia="Calibri" w:cs="Times New Roman"/>
        </w:rPr>
        <w:t xml:space="preserve">. </w:t>
      </w:r>
      <w:r w:rsidRPr="00842D3D">
        <w:rPr>
          <w:rFonts w:eastAsia="Calibri" w:cs="Times New Roman"/>
        </w:rPr>
        <w:lastRenderedPageBreak/>
        <w:t xml:space="preserve">These results follow not because the author’s assignment is invalid but because he had only an expectancy to assign; and his death, prior to the renewal period, terminates his interest in the renewal . . . .” </w:t>
      </w:r>
      <w:r w:rsidRPr="00842D3D">
        <w:rPr>
          <w:rFonts w:eastAsia="Calibri" w:cs="Times New Roman"/>
          <w:i/>
          <w:iCs/>
        </w:rPr>
        <w:t>Id.</w:t>
      </w:r>
    </w:p>
    <w:p w14:paraId="081F3556" w14:textId="77777777" w:rsidR="00842D3D" w:rsidRPr="00842D3D" w:rsidRDefault="00842D3D" w:rsidP="00842D3D">
      <w:pPr>
        <w:ind w:firstLine="720"/>
        <w:rPr>
          <w:rFonts w:eastAsia="Calibri" w:cs="Times New Roman"/>
          <w:i/>
          <w:iCs/>
        </w:rPr>
      </w:pPr>
    </w:p>
    <w:p w14:paraId="304DE295" w14:textId="77777777" w:rsidR="00842D3D" w:rsidRPr="00842D3D" w:rsidRDefault="00842D3D" w:rsidP="00842D3D">
      <w:pPr>
        <w:ind w:firstLine="720"/>
        <w:jc w:val="right"/>
        <w:rPr>
          <w:rFonts w:eastAsia="Calibri" w:cs="Times New Roman"/>
        </w:rPr>
      </w:pPr>
      <w:r w:rsidRPr="00842D3D">
        <w:rPr>
          <w:rFonts w:eastAsia="Calibri" w:cs="Times New Roman"/>
          <w:i/>
          <w:iCs/>
        </w:rPr>
        <w:t>Revised September 2025</w:t>
      </w:r>
    </w:p>
    <w:p w14:paraId="36FA4CC4" w14:textId="77777777" w:rsidR="00842D3D" w:rsidRPr="00842D3D" w:rsidRDefault="00842D3D" w:rsidP="00842D3D">
      <w:pPr>
        <w:rPr>
          <w:rFonts w:eastAsia="Calibri" w:cs="Times New Roman"/>
          <w:szCs w:val="24"/>
        </w:rPr>
      </w:pPr>
    </w:p>
    <w:p w14:paraId="3B5FBE7D" w14:textId="77777777" w:rsidR="00842D3D" w:rsidRPr="00842D3D" w:rsidRDefault="00842D3D" w:rsidP="00313A05">
      <w:pPr>
        <w:pStyle w:val="Heading2"/>
      </w:pPr>
      <w:r w:rsidRPr="00842D3D">
        <w:br w:type="page"/>
      </w:r>
      <w:bookmarkStart w:id="405" w:name="_Toc221525314"/>
      <w:r w:rsidRPr="00842D3D">
        <w:lastRenderedPageBreak/>
        <w:t>17.13 Copyright Interests—Exclusive Licensee</w:t>
      </w:r>
      <w:r w:rsidRPr="00842D3D">
        <w:br/>
        <w:t>(17 U.S.C. § 201(d)(2))</w:t>
      </w:r>
      <w:bookmarkEnd w:id="405"/>
    </w:p>
    <w:p w14:paraId="631B9F98" w14:textId="77777777" w:rsidR="00842D3D" w:rsidRPr="00842D3D" w:rsidRDefault="00842D3D" w:rsidP="00842D3D">
      <w:pPr>
        <w:autoSpaceDE w:val="0"/>
        <w:autoSpaceDN w:val="0"/>
        <w:adjustRightInd w:val="0"/>
        <w:rPr>
          <w:rFonts w:eastAsia="Calibri" w:cs="Times New Roman"/>
          <w:szCs w:val="24"/>
        </w:rPr>
      </w:pPr>
    </w:p>
    <w:p w14:paraId="35C6706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does not claim to be the [author] [creator] [initial owner] of the copyright at issue. Instead,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claims the copyright by virtue of an exclusive license from the work’s [author] [creator] [initial owner] and that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now the exclusive licensee of the copyright.]</w:t>
      </w:r>
    </w:p>
    <w:p w14:paraId="18D3AFC9" w14:textId="77777777" w:rsidR="00842D3D" w:rsidRPr="00842D3D" w:rsidRDefault="00842D3D" w:rsidP="00842D3D">
      <w:pPr>
        <w:rPr>
          <w:rFonts w:eastAsia="Calibri" w:cs="Times New Roman"/>
          <w:szCs w:val="24"/>
        </w:rPr>
      </w:pPr>
    </w:p>
    <w:p w14:paraId="0C0B6F9D"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2DC5995A" w14:textId="77777777" w:rsidR="00842D3D" w:rsidRPr="00842D3D" w:rsidRDefault="00842D3D" w:rsidP="00842D3D">
      <w:pPr>
        <w:rPr>
          <w:rFonts w:eastAsia="Calibri" w:cs="Times New Roman"/>
          <w:szCs w:val="24"/>
        </w:rPr>
      </w:pPr>
    </w:p>
    <w:p w14:paraId="1098D7D5" w14:textId="77777777" w:rsidR="00842D3D" w:rsidRPr="00842D3D" w:rsidRDefault="00842D3D" w:rsidP="00842D3D">
      <w:pPr>
        <w:ind w:firstLine="720"/>
        <w:rPr>
          <w:rFonts w:eastAsia="Calibri" w:cs="Times New Roman"/>
        </w:rPr>
      </w:pPr>
      <w:r w:rsidRPr="00842D3D">
        <w:rPr>
          <w:rFonts w:eastAsia="Calibri" w:cs="Times New Roman"/>
        </w:rPr>
        <w:t>[An exclusive licensee has the rights to exclude others from copying, adapting, distributing to the public, publicly performing, or publicly displaying the work [to the extent of the rights granted in the license]]. An exclusive licensee is entitled to bring an action for copyright infringement of the right licensed.</w:t>
      </w:r>
      <w:r w:rsidRPr="00842D3D">
        <w:rPr>
          <w:rFonts w:eastAsia="Calibri" w:cs="Times New Roman"/>
        </w:rPr>
        <w:tab/>
      </w:r>
    </w:p>
    <w:p w14:paraId="529CBA74" w14:textId="77777777" w:rsidR="00842D3D" w:rsidRPr="00842D3D" w:rsidRDefault="00842D3D" w:rsidP="00842D3D">
      <w:pPr>
        <w:rPr>
          <w:rFonts w:eastAsia="Calibri" w:cs="Times New Roman"/>
          <w:szCs w:val="24"/>
        </w:rPr>
      </w:pPr>
    </w:p>
    <w:p w14:paraId="61A9D732"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4BB177F3" w14:textId="77777777" w:rsidR="00842D3D" w:rsidRPr="00842D3D" w:rsidRDefault="00842D3D" w:rsidP="00842D3D">
      <w:pPr>
        <w:rPr>
          <w:rFonts w:eastAsia="Calibri" w:cs="Times New Roman"/>
          <w:szCs w:val="24"/>
        </w:rPr>
      </w:pPr>
    </w:p>
    <w:p w14:paraId="7253767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Apple Computer, Inc. v. Microsoft Corp</w:t>
      </w:r>
      <w:r w:rsidRPr="00842D3D">
        <w:rPr>
          <w:rFonts w:eastAsia="Calibri" w:cs="Times New Roman"/>
          <w:szCs w:val="24"/>
        </w:rPr>
        <w:t>., 35 F.3d 1435, 1447-48 (9th Cir. 1994).</w:t>
      </w:r>
    </w:p>
    <w:p w14:paraId="06F5E272" w14:textId="77777777" w:rsidR="00842D3D" w:rsidRPr="00842D3D" w:rsidRDefault="00842D3D" w:rsidP="00842D3D">
      <w:pPr>
        <w:rPr>
          <w:rFonts w:eastAsia="Calibri" w:cs="Times New Roman"/>
          <w:i/>
          <w:iCs/>
          <w:szCs w:val="24"/>
        </w:rPr>
      </w:pPr>
    </w:p>
    <w:p w14:paraId="21FCF0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‘transfer of copyright ownership’ is an . . . exclusive license, or any other conveyance, alienation, or hypothecation of a copyright or of any of the exclusive rights comprised in a copyright . . . but not including a nonexclusive license.” 17 U.S.C. § 101. </w:t>
      </w:r>
    </w:p>
    <w:p w14:paraId="7F92FFBC" w14:textId="77777777" w:rsidR="00842D3D" w:rsidRPr="00842D3D" w:rsidRDefault="00842D3D" w:rsidP="00842D3D">
      <w:pPr>
        <w:ind w:firstLine="720"/>
        <w:rPr>
          <w:rFonts w:eastAsia="Calibri" w:cs="Times New Roman"/>
          <w:szCs w:val="24"/>
        </w:rPr>
      </w:pPr>
    </w:p>
    <w:p w14:paraId="4569D2A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An exclusive license, other than one granted by operation of law, must be in writing if it was granted after 1978. </w:t>
      </w:r>
      <w:r w:rsidRPr="00842D3D">
        <w:rPr>
          <w:rFonts w:eastAsia="Calibri" w:cs="Times New Roman"/>
          <w:i/>
          <w:iCs/>
          <w:szCs w:val="24"/>
        </w:rPr>
        <w:t>See</w:t>
      </w:r>
      <w:r w:rsidRPr="00842D3D">
        <w:rPr>
          <w:rFonts w:eastAsia="Calibri" w:cs="Times New Roman"/>
          <w:szCs w:val="24"/>
        </w:rPr>
        <w:t xml:space="preserve"> P. Goldstein, </w:t>
      </w:r>
      <w:r w:rsidRPr="00842D3D">
        <w:rPr>
          <w:rFonts w:eastAsia="Calibri" w:cs="Times New Roman"/>
          <w:smallCaps/>
          <w:szCs w:val="24"/>
        </w:rPr>
        <w:t xml:space="preserve">Goldstein on Copyright </w:t>
      </w:r>
      <w:r w:rsidRPr="00842D3D">
        <w:rPr>
          <w:rFonts w:eastAsia="Calibri" w:cs="Times New Roman"/>
          <w:szCs w:val="24"/>
        </w:rPr>
        <w:t xml:space="preserve">§ 5.2.1.1 (2016); 3 M. Nimmer &amp; D. Nimmer, </w:t>
      </w:r>
      <w:r w:rsidRPr="00842D3D">
        <w:rPr>
          <w:rFonts w:eastAsia="Calibri" w:cs="Times New Roman"/>
          <w:smallCaps/>
          <w:szCs w:val="24"/>
        </w:rPr>
        <w:t xml:space="preserve">Nimmer on Copyright </w:t>
      </w:r>
      <w:r w:rsidRPr="00842D3D">
        <w:rPr>
          <w:rFonts w:eastAsia="Calibri" w:cs="Times New Roman"/>
          <w:szCs w:val="24"/>
        </w:rPr>
        <w:t xml:space="preserve">§ 10.03[A][1]. If it was granted prior to 1978, however, an exclusive license may be oral or implied by conduct. </w:t>
      </w:r>
      <w:r w:rsidRPr="00842D3D">
        <w:rPr>
          <w:rFonts w:eastAsia="Calibri" w:cs="Times New Roman"/>
          <w:i/>
          <w:iCs/>
          <w:szCs w:val="24"/>
        </w:rPr>
        <w:t>See id</w:t>
      </w:r>
      <w:r w:rsidRPr="00842D3D">
        <w:rPr>
          <w:rFonts w:eastAsia="Calibri" w:cs="Times New Roman"/>
          <w:szCs w:val="24"/>
        </w:rPr>
        <w:t>. at § 10.03[B][1];</w:t>
      </w:r>
      <w:r w:rsidRPr="00842D3D">
        <w:rPr>
          <w:rFonts w:eastAsia="Calibri" w:cs="Times New Roman"/>
          <w:smallCaps/>
          <w:szCs w:val="24"/>
        </w:rPr>
        <w:t xml:space="preserve"> Goldstein on Copyright </w:t>
      </w:r>
      <w:r w:rsidRPr="00842D3D">
        <w:rPr>
          <w:rFonts w:eastAsia="Calibri" w:cs="Times New Roman"/>
          <w:szCs w:val="24"/>
        </w:rPr>
        <w:t xml:space="preserve">§ 5.2.1.2; </w:t>
      </w:r>
      <w:r w:rsidRPr="00842D3D">
        <w:rPr>
          <w:rFonts w:eastAsia="Calibri" w:cs="Times New Roman"/>
          <w:i/>
          <w:iCs/>
          <w:szCs w:val="24"/>
        </w:rPr>
        <w:t>see also Micro Star v. Formgen, Inc.</w:t>
      </w:r>
      <w:r w:rsidRPr="00842D3D">
        <w:rPr>
          <w:rFonts w:eastAsia="Calibri" w:cs="Times New Roman"/>
          <w:szCs w:val="24"/>
        </w:rPr>
        <w:t>, 154 F.3d 1107, 1113 (9th Cir. 1998);</w:t>
      </w:r>
      <w:r w:rsidRPr="00842D3D">
        <w:rPr>
          <w:rFonts w:eastAsia="Calibri" w:cs="Times New Roman"/>
          <w:i/>
          <w:iCs/>
          <w:szCs w:val="24"/>
        </w:rPr>
        <w:t xml:space="preserve"> Effects Assocs. Inc. v. Cohen</w:t>
      </w:r>
      <w:r w:rsidRPr="00842D3D">
        <w:rPr>
          <w:rFonts w:eastAsia="Calibri" w:cs="Times New Roman"/>
          <w:szCs w:val="24"/>
        </w:rP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r w:rsidRPr="00842D3D">
        <w:rPr>
          <w:rFonts w:eastAsia="Calibri" w:cs="Times New Roman"/>
          <w:i/>
          <w:iCs/>
          <w:szCs w:val="24"/>
        </w:rPr>
        <w:t xml:space="preserve"> Radio Television Espanola v. New World Ent. Ltd.</w:t>
      </w:r>
      <w:r w:rsidRPr="00842D3D">
        <w:rPr>
          <w:rFonts w:eastAsia="Calibri" w:cs="Times New Roman"/>
          <w:szCs w:val="24"/>
        </w:rPr>
        <w:t xml:space="preserve">, 183 F.3d 922, 926-27 (9th Cir. 1999) (holding that § 204(a) is satisfied by writing demonstrating transfer of copyright, indicating terms of license). “No magic words must be included in a document to satisfy § 204(a). Rather, the parties’ intent as evidenced by the writing must demonstrate a transfer of a copyright.” </w:t>
      </w:r>
      <w:r w:rsidRPr="00842D3D">
        <w:rPr>
          <w:rFonts w:eastAsia="Calibri" w:cs="Times New Roman"/>
          <w:i/>
          <w:iCs/>
          <w:szCs w:val="24"/>
        </w:rPr>
        <w:t>Id.</w:t>
      </w:r>
    </w:p>
    <w:p w14:paraId="07C2EDD2" w14:textId="77777777" w:rsidR="00842D3D" w:rsidRPr="00842D3D" w:rsidRDefault="00842D3D" w:rsidP="00842D3D">
      <w:pPr>
        <w:rPr>
          <w:rFonts w:eastAsia="Calibri" w:cs="Times New Roman"/>
          <w:szCs w:val="24"/>
        </w:rPr>
      </w:pPr>
      <w:r w:rsidRPr="00842D3D">
        <w:rPr>
          <w:rFonts w:eastAsia="Calibri" w:cs="Times New Roman"/>
          <w:szCs w:val="24"/>
        </w:rPr>
        <w:t xml:space="preserve"> </w:t>
      </w:r>
    </w:p>
    <w:p w14:paraId="5C2A37A7" w14:textId="77777777" w:rsidR="00842D3D" w:rsidRPr="00842D3D" w:rsidRDefault="00842D3D" w:rsidP="00842D3D">
      <w:pPr>
        <w:rPr>
          <w:rFonts w:eastAsia="Calibri" w:cs="Times New Roman"/>
          <w:szCs w:val="24"/>
        </w:rPr>
        <w:sectPr w:rsidR="00842D3D" w:rsidRPr="00842D3D" w:rsidSect="00842D3D">
          <w:footerReference w:type="default" r:id="rId26"/>
          <w:pgSz w:w="12240" w:h="15840"/>
          <w:pgMar w:top="1440" w:right="1440" w:bottom="1440" w:left="1440" w:header="1440" w:footer="1440" w:gutter="0"/>
          <w:cols w:space="720"/>
          <w:noEndnote/>
        </w:sectPr>
      </w:pPr>
    </w:p>
    <w:p w14:paraId="5AA5DB81" w14:textId="77777777" w:rsidR="00842D3D" w:rsidRPr="00842D3D" w:rsidRDefault="00842D3D" w:rsidP="00842D3D">
      <w:pPr>
        <w:ind w:firstLine="720"/>
        <w:rPr>
          <w:rFonts w:eastAsia="Calibri" w:cs="Times New Roman"/>
          <w:szCs w:val="24"/>
        </w:rPr>
      </w:pPr>
      <w:r w:rsidRPr="00842D3D">
        <w:rPr>
          <w:rFonts w:eastAsia="Calibri" w:cs="Times New Roman"/>
          <w:szCs w:val="24"/>
        </w:rPr>
        <w:lastRenderedPageBreak/>
        <w:t xml:space="preserve">“[T]he various rights included in a copyright are divisible and . . . ‘any of the exclusive rights comprised in a copyright . . . may be transferred . . . and owned separately.’” </w:t>
      </w:r>
      <w:r w:rsidRPr="00842D3D">
        <w:rPr>
          <w:rFonts w:eastAsia="Calibri" w:cs="Times New Roman"/>
          <w:i/>
          <w:iCs/>
          <w:szCs w:val="24"/>
        </w:rPr>
        <w:t>Bagdadi v. Nazar</w:t>
      </w:r>
      <w:r w:rsidRPr="00842D3D">
        <w:rPr>
          <w:rFonts w:eastAsia="Calibri" w:cs="Times New Roman"/>
          <w:szCs w:val="24"/>
        </w:rPr>
        <w:t xml:space="preserve">, 84 F.3d 1194, 1197 (9th Cir. 1996) (quoting 17 U.S.C. § 201(d)(2)). “An exclusive licensee owns separately only the ‘exclusive rights comprised in the copyright’ that are the subject of his license.” </w:t>
      </w:r>
      <w:r w:rsidRPr="00842D3D">
        <w:rPr>
          <w:rFonts w:eastAsia="Calibri" w:cs="Times New Roman"/>
          <w:i/>
          <w:iCs/>
          <w:szCs w:val="24"/>
        </w:rPr>
        <w:t xml:space="preserve">Id. </w:t>
      </w:r>
      <w:r w:rsidRPr="00842D3D">
        <w:rPr>
          <w:rFonts w:eastAsia="Calibri" w:cs="Times New Roman"/>
          <w:szCs w:val="24"/>
        </w:rPr>
        <w:t xml:space="preserve">at 1197-98 (citation omitted). The owner of any particular exclusive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sidRPr="00842D3D">
        <w:rPr>
          <w:rFonts w:eastAsia="Calibri" w:cs="Times New Roman"/>
          <w:i/>
          <w:iCs/>
          <w:szCs w:val="24"/>
        </w:rPr>
        <w:t>Silvers v. Sony Pictures Ent. Inc.</w:t>
      </w:r>
      <w:r w:rsidRPr="00842D3D">
        <w:rPr>
          <w:rFonts w:eastAsia="Calibri" w:cs="Times New Roman"/>
          <w:szCs w:val="24"/>
        </w:rPr>
        <w:t>, 402 F.3d 881, 887 (9th Cir. 2005).</w:t>
      </w:r>
    </w:p>
    <w:p w14:paraId="27E2DBE6" w14:textId="77777777" w:rsidR="00842D3D" w:rsidRPr="00842D3D" w:rsidRDefault="00842D3D" w:rsidP="00842D3D">
      <w:pPr>
        <w:rPr>
          <w:rFonts w:eastAsia="Calibri" w:cs="Times New Roman"/>
          <w:szCs w:val="24"/>
        </w:rPr>
      </w:pPr>
    </w:p>
    <w:p w14:paraId="451ADFF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Questions regarding the ownership of a copyright are governed by state law in some situations. </w:t>
      </w:r>
      <w:r w:rsidRPr="00842D3D">
        <w:rPr>
          <w:rFonts w:eastAsia="Calibri" w:cs="Times New Roman"/>
          <w:i/>
          <w:iCs/>
          <w:szCs w:val="24"/>
        </w:rPr>
        <w:t>See Scholastic Ent. Inc. v. Fox Ent. Group, Inc</w:t>
      </w:r>
      <w:r w:rsidRPr="00842D3D">
        <w:rPr>
          <w:rFonts w:eastAsia="Calibri" w:cs="Times New Roman"/>
          <w:szCs w:val="24"/>
        </w:rPr>
        <w:t>., 336 F.3d 982, 983, 988 (9th Cir. 2003);</w:t>
      </w:r>
      <w:r w:rsidRPr="00842D3D">
        <w:rPr>
          <w:rFonts w:eastAsia="Calibri" w:cs="Times New Roman"/>
          <w:i/>
          <w:iCs/>
          <w:szCs w:val="24"/>
        </w:rPr>
        <w:t xml:space="preserve"> Rano v. Sipa Press, Inc.</w:t>
      </w:r>
      <w:r w:rsidRPr="00842D3D">
        <w:rPr>
          <w:rFonts w:eastAsia="Calibri" w:cs="Times New Roman"/>
          <w:szCs w:val="24"/>
        </w:rPr>
        <w:t>, 987 F.2d 580</w:t>
      </w:r>
      <w:r w:rsidRPr="00842D3D">
        <w:rPr>
          <w:rFonts w:eastAsia="Calibri" w:cs="Times New Roman"/>
          <w:i/>
          <w:iCs/>
          <w:szCs w:val="24"/>
        </w:rPr>
        <w:t xml:space="preserve"> </w:t>
      </w:r>
      <w:r w:rsidRPr="00842D3D">
        <w:rPr>
          <w:rFonts w:eastAsia="Calibri" w:cs="Times New Roman"/>
          <w:szCs w:val="24"/>
        </w:rPr>
        <w:t xml:space="preserve">(9th Cir. 1993); </w:t>
      </w:r>
      <w:r w:rsidRPr="00842D3D">
        <w:rPr>
          <w:rFonts w:eastAsia="Calibri" w:cs="Times New Roman"/>
          <w:i/>
          <w:iCs/>
          <w:szCs w:val="24"/>
        </w:rPr>
        <w:t>Aquarian Found., Inc. v. Lowndes</w:t>
      </w:r>
      <w:r w:rsidRPr="00842D3D">
        <w:rPr>
          <w:rFonts w:eastAsia="Calibri" w:cs="Times New Roman"/>
          <w:szCs w:val="24"/>
        </w:rPr>
        <w:t>, 127 F.4th 814, 822-23 (9th Cir. 2025) (explaining that because the Copyright Act’s “Conditions of Termination” do not apply to </w:t>
      </w:r>
      <w:r w:rsidRPr="00842D3D">
        <w:rPr>
          <w:rFonts w:eastAsia="Calibri" w:cs="Times New Roman"/>
          <w:i/>
          <w:iCs/>
          <w:szCs w:val="24"/>
        </w:rPr>
        <w:t>non-statutory</w:t>
      </w:r>
      <w:r w:rsidRPr="00842D3D">
        <w:rPr>
          <w:rFonts w:eastAsia="Calibri" w:cs="Times New Roman"/>
          <w:szCs w:val="24"/>
        </w:rPr>
        <w:t> heirs, the court must turn to state law to fill the gaps for termination of a licensing agreement).</w:t>
      </w:r>
    </w:p>
    <w:p w14:paraId="330E1524" w14:textId="77777777" w:rsidR="00842D3D" w:rsidRPr="00842D3D" w:rsidRDefault="00842D3D" w:rsidP="00842D3D">
      <w:pPr>
        <w:rPr>
          <w:rFonts w:eastAsia="Calibri" w:cs="Times New Roman"/>
          <w:szCs w:val="24"/>
        </w:rPr>
      </w:pPr>
    </w:p>
    <w:p w14:paraId="3E4DD1D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Regarding nonexclusive licenses, see </w:t>
      </w:r>
      <w:r w:rsidRPr="00842D3D">
        <w:rPr>
          <w:rFonts w:eastAsia="Calibri" w:cs="Times New Roman"/>
          <w:smallCaps/>
          <w:szCs w:val="24"/>
        </w:rPr>
        <w:t>Nimmer</w:t>
      </w:r>
      <w:r w:rsidRPr="00842D3D">
        <w:rPr>
          <w:rFonts w:eastAsia="Calibri" w:cs="Times New Roman"/>
          <w:szCs w:val="24"/>
        </w:rPr>
        <w:t xml:space="preserve"> §§ 10.03[A][7] and 10.03[B][1]. Nonexclusive licenses differ in many respects from exclusive licenses and raise several unique issues. For example, a nonexclusive license need not be in writing, </w:t>
      </w:r>
      <w:r w:rsidRPr="00842D3D">
        <w:rPr>
          <w:rFonts w:eastAsia="Calibri" w:cs="Times New Roman"/>
          <w:i/>
          <w:iCs/>
          <w:szCs w:val="24"/>
        </w:rPr>
        <w:t>see Cohen</w:t>
      </w:r>
      <w:r w:rsidRPr="00842D3D">
        <w:rPr>
          <w:rFonts w:eastAsia="Calibri" w:cs="Times New Roman"/>
          <w:szCs w:val="24"/>
        </w:rPr>
        <w:t xml:space="preserve">, 908 F.2d at 558, and a nonexclusive licensee cannot bring suit to enforce a copyright,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Righthaven LLC v. Hoehn</w:t>
      </w:r>
      <w:r w:rsidRPr="00842D3D">
        <w:rPr>
          <w:rFonts w:eastAsia="Calibri" w:cs="Times New Roman"/>
          <w:szCs w:val="24"/>
        </w:rPr>
        <w:t xml:space="preserve">, 716 F.3d 1166, 1171-72 (9th Cir. 2013) (holding that nonexclusive licensee did not have standing to sue for copyright infringement); </w:t>
      </w:r>
      <w:r w:rsidRPr="00842D3D">
        <w:rPr>
          <w:rFonts w:eastAsia="Calibri" w:cs="Times New Roman"/>
          <w:i/>
          <w:iCs/>
          <w:szCs w:val="24"/>
        </w:rPr>
        <w:t>Supersound Recordings, Inc. v. UAV Corp.</w:t>
      </w:r>
      <w:r w:rsidRPr="00842D3D">
        <w:rPr>
          <w:rFonts w:eastAsia="Calibri" w:cs="Times New Roman"/>
          <w:szCs w:val="24"/>
        </w:rPr>
        <w:t xml:space="preserve">, 517 F.3d 1137, 1144 (9th Cir. 2008) (same);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smallCaps/>
          <w:szCs w:val="24"/>
        </w:rPr>
        <w:t>Nimmer</w:t>
      </w:r>
      <w:r w:rsidRPr="00842D3D">
        <w:rPr>
          <w:rFonts w:eastAsia="Calibri" w:cs="Times New Roman"/>
          <w:szCs w:val="24"/>
        </w:rPr>
        <w:t xml:space="preserve"> § 10.03[B][1]. Further, a “copyright owner who grants a nonexclusive license to use his copyrighted material waives his right to sue the licensee for copyright infringement and can only sue for breach of contract.” </w:t>
      </w:r>
      <w:r w:rsidRPr="00842D3D">
        <w:rPr>
          <w:rFonts w:eastAsia="Calibri" w:cs="Times New Roman"/>
          <w:i/>
          <w:iCs/>
          <w:szCs w:val="24"/>
        </w:rPr>
        <w:t>Sun Microsystems, Inc. v. Microsoft Corp.</w:t>
      </w:r>
      <w:r w:rsidRPr="00842D3D">
        <w:rPr>
          <w:rFonts w:eastAsia="Calibri" w:cs="Times New Roman"/>
          <w:szCs w:val="24"/>
        </w:rPr>
        <w:t>, 188 F.3d 1115, 1121 (9th Cir. 1999),</w:t>
      </w:r>
      <w:r w:rsidRPr="00842D3D">
        <w:rPr>
          <w:rFonts w:eastAsia="Calibri" w:cs="Times New Roman"/>
          <w:i/>
          <w:iCs/>
          <w:szCs w:val="24"/>
        </w:rPr>
        <w:t xml:space="preserve"> implied overruling on other grounds recognized by Perfect 10, Inc. v. Google, Inc</w:t>
      </w:r>
      <w:r w:rsidRPr="00842D3D">
        <w:rPr>
          <w:rFonts w:eastAsia="Calibri" w:cs="Times New Roman"/>
          <w:szCs w:val="24"/>
        </w:rPr>
        <w:t xml:space="preserve">., 653 F.3d 976, 979 (9th Cir. 2011). “If, however, a license is limited in scope and the licensee acts outside the scope, the licensor can bring an action for copyright infringement.” </w:t>
      </w:r>
      <w:r w:rsidRPr="00842D3D">
        <w:rPr>
          <w:rFonts w:eastAsia="Calibri" w:cs="Times New Roman"/>
          <w:i/>
          <w:iCs/>
          <w:szCs w:val="24"/>
        </w:rPr>
        <w:t xml:space="preserve">Id. </w:t>
      </w:r>
    </w:p>
    <w:p w14:paraId="4A77A45B" w14:textId="77777777" w:rsidR="00842D3D" w:rsidRPr="00842D3D" w:rsidRDefault="00842D3D" w:rsidP="00842D3D">
      <w:pPr>
        <w:ind w:firstLine="720"/>
        <w:rPr>
          <w:rFonts w:eastAsia="Calibri" w:cs="Times New Roman"/>
          <w:szCs w:val="24"/>
        </w:rPr>
      </w:pPr>
    </w:p>
    <w:p w14:paraId="6AE917F0"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September 2025</w:t>
      </w:r>
      <w:r w:rsidRPr="00842D3D">
        <w:rPr>
          <w:rFonts w:eastAsia="Calibri" w:cs="Times New Roman"/>
          <w:szCs w:val="24"/>
        </w:rPr>
        <w:t xml:space="preserve">  </w:t>
      </w:r>
    </w:p>
    <w:p w14:paraId="0B484D13" w14:textId="77777777" w:rsidR="00842D3D" w:rsidRPr="00842D3D" w:rsidRDefault="00842D3D" w:rsidP="00842D3D">
      <w:pPr>
        <w:autoSpaceDE w:val="0"/>
        <w:autoSpaceDN w:val="0"/>
        <w:adjustRightInd w:val="0"/>
        <w:rPr>
          <w:rFonts w:eastAsia="Calibri" w:cs="Times New Roman"/>
          <w:szCs w:val="24"/>
        </w:rPr>
      </w:pPr>
    </w:p>
    <w:p w14:paraId="6FC1812E" w14:textId="77777777" w:rsidR="00842D3D" w:rsidRPr="00842D3D" w:rsidRDefault="00842D3D" w:rsidP="00313A05">
      <w:pPr>
        <w:pStyle w:val="Heading2"/>
      </w:pPr>
      <w:r w:rsidRPr="00842D3D">
        <w:br w:type="page"/>
      </w:r>
      <w:bookmarkStart w:id="406" w:name="_Toc221525315"/>
      <w:r w:rsidRPr="00842D3D">
        <w:lastRenderedPageBreak/>
        <w:t>17.14 Copyright Infringement—Originality</w:t>
      </w:r>
      <w:bookmarkEnd w:id="406"/>
    </w:p>
    <w:p w14:paraId="6D85B326" w14:textId="77777777" w:rsidR="00842D3D" w:rsidRPr="00842D3D" w:rsidRDefault="00842D3D" w:rsidP="00842D3D">
      <w:pPr>
        <w:autoSpaceDE w:val="0"/>
        <w:autoSpaceDN w:val="0"/>
        <w:adjustRightInd w:val="0"/>
        <w:rPr>
          <w:rFonts w:eastAsia="Calibri" w:cs="Times New Roman"/>
          <w:szCs w:val="24"/>
        </w:rPr>
      </w:pPr>
    </w:p>
    <w:p w14:paraId="3D36B94F" w14:textId="77777777" w:rsidR="00842D3D" w:rsidRPr="00842D3D" w:rsidRDefault="00842D3D" w:rsidP="00842D3D">
      <w:pPr>
        <w:autoSpaceDE w:val="0"/>
        <w:autoSpaceDN w:val="0"/>
        <w:adjustRightInd w:val="0"/>
        <w:jc w:val="both"/>
        <w:rPr>
          <w:rFonts w:eastAsia="Calibri" w:cs="Times New Roman"/>
        </w:rPr>
      </w:pPr>
      <w:r w:rsidRPr="00842D3D">
        <w:rPr>
          <w:rFonts w:eastAsia="Calibri" w:cs="Times New Roman"/>
          <w:szCs w:val="24"/>
        </w:rPr>
        <w:tab/>
        <w:t xml:space="preserve">You </w:t>
      </w:r>
      <w:r w:rsidRPr="00842D3D">
        <w:rPr>
          <w:rFonts w:eastAsia="Calibri" w:cs="Times New Roman"/>
        </w:rPr>
        <w:t>may find that [</w:t>
      </w:r>
      <w:r w:rsidRPr="00842D3D">
        <w:rPr>
          <w:rFonts w:eastAsia="Calibri" w:cs="Times New Roman"/>
          <w:i/>
          <w:iCs/>
          <w:u w:val="single"/>
        </w:rPr>
        <w:t>state name of work</w:t>
      </w:r>
      <w:r w:rsidRPr="00842D3D">
        <w:rPr>
          <w:rFonts w:eastAsia="Calibri" w:cs="Times New Roman"/>
        </w:rPr>
        <w:t>] [</w:t>
      </w:r>
      <w:r w:rsidRPr="00842D3D">
        <w:rPr>
          <w:rFonts w:eastAsia="Calibri" w:cs="Times New Roman"/>
          <w:i/>
          <w:iCs/>
          <w:u w:val="single"/>
        </w:rPr>
        <w:t>state specific components of the work</w:t>
      </w:r>
      <w:r w:rsidRPr="00842D3D">
        <w:rPr>
          <w:rFonts w:eastAsia="Calibri" w:cs="Times New Roman"/>
        </w:rPr>
        <w:t xml:space="preserve">] [is] [are] original if [it was] [they were] created: </w:t>
      </w:r>
    </w:p>
    <w:p w14:paraId="776FD2F4" w14:textId="77777777" w:rsidR="00842D3D" w:rsidRPr="00842D3D" w:rsidRDefault="00842D3D" w:rsidP="00842D3D">
      <w:pPr>
        <w:autoSpaceDE w:val="0"/>
        <w:autoSpaceDN w:val="0"/>
        <w:adjustRightInd w:val="0"/>
        <w:jc w:val="both"/>
        <w:rPr>
          <w:rFonts w:eastAsia="Calibri" w:cs="Times New Roman"/>
          <w:u w:val="double"/>
        </w:rPr>
      </w:pPr>
    </w:p>
    <w:p w14:paraId="17FCD0E1" w14:textId="77777777"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First, independently by the [work’s] [components’] author, that is, the author did not copy [it] [them] from another work; and</w:t>
      </w:r>
    </w:p>
    <w:p w14:paraId="58E6137D" w14:textId="77777777" w:rsidR="00842D3D" w:rsidRPr="00842D3D" w:rsidRDefault="00842D3D" w:rsidP="00842D3D">
      <w:pPr>
        <w:autoSpaceDE w:val="0"/>
        <w:autoSpaceDN w:val="0"/>
        <w:adjustRightInd w:val="0"/>
        <w:ind w:right="1008" w:firstLine="720"/>
        <w:jc w:val="both"/>
        <w:rPr>
          <w:rFonts w:eastAsia="Calibri" w:cs="Times New Roman"/>
        </w:rPr>
      </w:pPr>
    </w:p>
    <w:p w14:paraId="0D8694C1" w14:textId="77777777"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Second, by the contribution of at least some minimal creativity.</w:t>
      </w:r>
    </w:p>
    <w:p w14:paraId="7F056AA1" w14:textId="77777777" w:rsidR="00842D3D" w:rsidRPr="00842D3D" w:rsidRDefault="00842D3D" w:rsidP="00842D3D">
      <w:pPr>
        <w:autoSpaceDE w:val="0"/>
        <w:autoSpaceDN w:val="0"/>
        <w:adjustRightInd w:val="0"/>
        <w:ind w:left="1008" w:right="1008"/>
        <w:jc w:val="both"/>
        <w:rPr>
          <w:rFonts w:eastAsia="Calibri" w:cs="Times New Roman"/>
          <w:u w:val="double"/>
        </w:rPr>
      </w:pPr>
    </w:p>
    <w:p w14:paraId="0DD89D60" w14:textId="77777777" w:rsidR="00842D3D" w:rsidRPr="00842D3D" w:rsidRDefault="00842D3D" w:rsidP="00842D3D">
      <w:pPr>
        <w:autoSpaceDE w:val="0"/>
        <w:autoSpaceDN w:val="0"/>
        <w:adjustRightInd w:val="0"/>
        <w:ind w:firstLine="720"/>
        <w:jc w:val="both"/>
        <w:rPr>
          <w:rFonts w:eastAsia="Calibri" w:cs="Times New Roman"/>
        </w:rPr>
      </w:pPr>
      <w:r w:rsidRPr="00842D3D">
        <w:rPr>
          <w:rFonts w:eastAsia="Calibri" w:cs="Times New Roman"/>
        </w:rPr>
        <w:t>[The “original” part of a work need not be new or novel.]</w:t>
      </w:r>
      <w:r w:rsidRPr="00842D3D">
        <w:rPr>
          <w:rFonts w:eastAsia="Calibri" w:cs="Times New Roman"/>
          <w:strike/>
        </w:rPr>
        <w:t xml:space="preserve">  </w:t>
      </w:r>
    </w:p>
    <w:p w14:paraId="4A1A1B28" w14:textId="77777777" w:rsidR="00842D3D" w:rsidRPr="00842D3D" w:rsidRDefault="00842D3D" w:rsidP="00842D3D">
      <w:pPr>
        <w:autoSpaceDE w:val="0"/>
        <w:autoSpaceDN w:val="0"/>
        <w:adjustRightInd w:val="0"/>
        <w:rPr>
          <w:rFonts w:eastAsia="Calibri" w:cs="Times New Roman"/>
        </w:rPr>
      </w:pPr>
    </w:p>
    <w:p w14:paraId="6690989B"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543B72A9" w14:textId="77777777" w:rsidR="00842D3D" w:rsidRPr="00842D3D" w:rsidRDefault="00842D3D" w:rsidP="00842D3D">
      <w:pPr>
        <w:autoSpaceDE w:val="0"/>
        <w:autoSpaceDN w:val="0"/>
        <w:adjustRightInd w:val="0"/>
        <w:rPr>
          <w:rFonts w:eastAsia="Calibri" w:cs="Times New Roman"/>
          <w:b/>
          <w:bCs/>
          <w:u w:val="double"/>
        </w:rPr>
      </w:pPr>
    </w:p>
    <w:p w14:paraId="07AA9D02" w14:textId="77777777" w:rsidR="00842D3D" w:rsidRPr="00842D3D" w:rsidRDefault="00842D3D" w:rsidP="00842D3D">
      <w:pPr>
        <w:autoSpaceDE w:val="0"/>
        <w:autoSpaceDN w:val="0"/>
        <w:adjustRightInd w:val="0"/>
        <w:ind w:firstLine="720"/>
        <w:rPr>
          <w:rFonts w:eastAsia="Calibri" w:cs="Times New Roman"/>
          <w:u w:val="double"/>
        </w:rPr>
      </w:pPr>
      <w:r w:rsidRPr="00842D3D">
        <w:rPr>
          <w:rFonts w:eastAsia="Calibri" w:cs="Times New Roman"/>
        </w:rPr>
        <w:t xml:space="preserve">“Original, as the term is used in copyright, means only that the work was independently created by the author . . . , and that it possesses at least some minimal degree of creativity.” </w:t>
      </w:r>
      <w:r w:rsidRPr="00842D3D">
        <w:rPr>
          <w:rFonts w:eastAsia="Calibri" w:cs="Times New Roman"/>
          <w:i/>
          <w:iCs/>
        </w:rPr>
        <w:t>Feist Pubs, Inc. v. Rural Tel. Serv. Co., Inc.</w:t>
      </w:r>
      <w:r w:rsidRPr="00842D3D">
        <w:rPr>
          <w:rFonts w:eastAsia="Calibri" w:cs="Times New Roman"/>
        </w:rPr>
        <w:t xml:space="preserve">, 499 U.S. 340, 345 (1991). A work is original if “the author contributed something more than a merely trivial variation, something recognizably his own.” </w:t>
      </w:r>
      <w:r w:rsidRPr="00842D3D">
        <w:rPr>
          <w:rFonts w:eastAsia="Calibri" w:cs="Times New Roman"/>
          <w:i/>
          <w:iCs/>
        </w:rPr>
        <w:t>N. Coast Indus. v. Jason Maxwell, Inc.</w:t>
      </w:r>
      <w:r w:rsidRPr="00842D3D">
        <w:rPr>
          <w:rFonts w:eastAsia="Calibri" w:cs="Times New Roman"/>
        </w:rPr>
        <w:t xml:space="preserve">, 972 F.2d 1031, 1033 (9th Cir. 1992) (citation omitted). The effort involved to create the work is “wholly irrelevant.” </w:t>
      </w:r>
      <w:r w:rsidRPr="00842D3D">
        <w:rPr>
          <w:rFonts w:eastAsia="Calibri" w:cs="Times New Roman"/>
          <w:i/>
          <w:iCs/>
        </w:rPr>
        <w:t>CDN, Inc. v. Kapes</w:t>
      </w:r>
      <w:r w:rsidRPr="00842D3D">
        <w:rPr>
          <w:rFonts w:eastAsia="Calibri" w:cs="Times New Roman"/>
        </w:rPr>
        <w:t>, 197 F.3d 1256, 1260 (9th Cir. 1999). However, when a work embodies only the minimum level of creativity necessary for copyright, it is said to have “thin” copyright protection,</w:t>
      </w:r>
      <w:r w:rsidRPr="00842D3D">
        <w:rPr>
          <w:rFonts w:eastAsia="Calibri" w:cs="Times New Roman"/>
          <w:i/>
          <w:iCs/>
        </w:rPr>
        <w:t xml:space="preserve"> </w:t>
      </w:r>
      <w:r w:rsidRPr="00842D3D">
        <w:rPr>
          <w:rFonts w:eastAsia="Calibri" w:cs="Times New Roman"/>
        </w:rPr>
        <w:t xml:space="preserve">which “protects against only virtually identical copying.” </w:t>
      </w:r>
      <w:r w:rsidRPr="00842D3D">
        <w:rPr>
          <w:rFonts w:eastAsia="Calibri" w:cs="Times New Roman"/>
          <w:i/>
          <w:iCs/>
        </w:rPr>
        <w:t>Satava v. Lowry</w:t>
      </w:r>
      <w:r w:rsidRPr="00842D3D">
        <w:rPr>
          <w:rFonts w:eastAsia="Calibri" w:cs="Times New Roman"/>
        </w:rPr>
        <w:t>, 323 F.3d 805, 812 (9th Cir. 2003).</w:t>
      </w:r>
      <w:r w:rsidRPr="00842D3D">
        <w:rPr>
          <w:rFonts w:eastAsia="Calibri" w:cs="Times New Roman"/>
          <w:u w:val="double"/>
        </w:rPr>
        <w:t xml:space="preserve"> </w:t>
      </w:r>
    </w:p>
    <w:p w14:paraId="37560083" w14:textId="77777777" w:rsidR="00842D3D" w:rsidRPr="00842D3D" w:rsidRDefault="00842D3D" w:rsidP="00842D3D">
      <w:pPr>
        <w:autoSpaceDE w:val="0"/>
        <w:autoSpaceDN w:val="0"/>
        <w:adjustRightInd w:val="0"/>
        <w:rPr>
          <w:rFonts w:eastAsia="Calibri" w:cs="Times New Roman"/>
          <w:u w:val="double"/>
        </w:rPr>
      </w:pPr>
    </w:p>
    <w:p w14:paraId="795E709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involves sufficient creativity is a question of fact, </w:t>
      </w:r>
      <w:r w:rsidRPr="00842D3D">
        <w:rPr>
          <w:rFonts w:eastAsia="Calibri" w:cs="Times New Roman"/>
          <w:i/>
          <w:iCs/>
        </w:rPr>
        <w:t>see Dezendorf v. Twentieth Century-Fox Film Corp.</w:t>
      </w:r>
      <w:r w:rsidRPr="00842D3D">
        <w:rPr>
          <w:rFonts w:eastAsia="Calibri" w:cs="Times New Roman"/>
        </w:rPr>
        <w:t xml:space="preserve">, 99 F.2d 850, 851 (9th Cir. 1938) (holding that “question of originality” is “one of fact, not of law”); Paul Goldstein, </w:t>
      </w:r>
      <w:r w:rsidRPr="00842D3D">
        <w:rPr>
          <w:rFonts w:eastAsia="Calibri" w:cs="Times New Roman"/>
          <w:i/>
          <w:iCs/>
        </w:rPr>
        <w:t>Goldstein on Copyright</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 2.2.1 (3d ed. 2023) (“Courts have historically characterized originality as a question of fact.”). </w:t>
      </w:r>
    </w:p>
    <w:p w14:paraId="37112F63" w14:textId="77777777" w:rsidR="00842D3D" w:rsidRPr="00842D3D" w:rsidRDefault="00842D3D" w:rsidP="00842D3D">
      <w:pPr>
        <w:autoSpaceDE w:val="0"/>
        <w:autoSpaceDN w:val="0"/>
        <w:adjustRightInd w:val="0"/>
        <w:rPr>
          <w:rFonts w:eastAsia="Calibri" w:cs="Times New Roman"/>
          <w:u w:val="double"/>
        </w:rPr>
      </w:pPr>
    </w:p>
    <w:p w14:paraId="2953B22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Because “[o]riginality in this context means little more than a prohibition of actual copying,” </w:t>
      </w:r>
      <w:r w:rsidRPr="00842D3D">
        <w:rPr>
          <w:rFonts w:eastAsia="Calibri" w:cs="Times New Roman"/>
          <w:i/>
          <w:iCs/>
        </w:rPr>
        <w:t>N. Coast Indus.</w:t>
      </w:r>
      <w:r w:rsidRPr="00842D3D">
        <w:rPr>
          <w:rFonts w:eastAsia="Calibri" w:cs="Times New Roman"/>
        </w:rPr>
        <w:t>, 972 F.2d at 1033 (citation omitted),</w:t>
      </w:r>
      <w:r w:rsidRPr="00842D3D">
        <w:rPr>
          <w:rFonts w:eastAsia="Calibri" w:cs="Times New Roman"/>
          <w:i/>
          <w:iCs/>
        </w:rPr>
        <w:t xml:space="preserve"> </w:t>
      </w:r>
      <w:r w:rsidRPr="00842D3D">
        <w:rPr>
          <w:rFonts w:eastAsia="Calibri" w:cs="Times New Roman"/>
        </w:rPr>
        <w:t xml:space="preserve">“a work may be original even though it closely resembles other works so long as the similarity is fortuitous, not the result of copying,” </w:t>
      </w:r>
      <w:r w:rsidRPr="00842D3D">
        <w:rPr>
          <w:rFonts w:eastAsia="Calibri" w:cs="Times New Roman"/>
          <w:i/>
          <w:iCs/>
        </w:rPr>
        <w:t>Feist</w:t>
      </w:r>
      <w:r w:rsidRPr="00842D3D">
        <w:rPr>
          <w:rFonts w:eastAsia="Calibri" w:cs="Times New Roman"/>
        </w:rPr>
        <w:t xml:space="preserve">, 499 U.S. at 345. The defendant can establish that the plaintiff copied the work (as opposed to independently creating it) in the same manner that the plaintiff proves infringement. </w:t>
      </w:r>
      <w:r w:rsidRPr="00842D3D">
        <w:rPr>
          <w:rFonts w:eastAsia="Calibri" w:cs="Times New Roman"/>
          <w:i/>
          <w:iCs/>
        </w:rPr>
        <w:t>See N. Coast Indus.</w:t>
      </w:r>
      <w:r w:rsidRPr="00842D3D">
        <w:rPr>
          <w:rFonts w:eastAsia="Calibri" w:cs="Times New Roman"/>
        </w:rPr>
        <w:t>, 972 F.2d at 1034;</w:t>
      </w:r>
      <w:r w:rsidRPr="00842D3D">
        <w:rPr>
          <w:rFonts w:eastAsia="Calibri" w:cs="Times New Roman"/>
          <w:i/>
          <w:iCs/>
        </w:rPr>
        <w:t xml:space="preserve"> </w:t>
      </w:r>
      <w:r w:rsidRPr="00842D3D">
        <w:rPr>
          <w:rFonts w:eastAsia="Calibri" w:cs="Times New Roman"/>
        </w:rPr>
        <w:t>Instruction 17.5 (Copyright Infringement—Elements—Ownership and Copying).</w:t>
      </w:r>
    </w:p>
    <w:p w14:paraId="0AE70739" w14:textId="77777777" w:rsidR="00842D3D" w:rsidRPr="00842D3D" w:rsidRDefault="00842D3D" w:rsidP="00842D3D">
      <w:pPr>
        <w:autoSpaceDE w:val="0"/>
        <w:autoSpaceDN w:val="0"/>
        <w:adjustRightInd w:val="0"/>
        <w:rPr>
          <w:rFonts w:eastAsia="Calibri" w:cs="Times New Roman"/>
          <w:u w:val="double"/>
        </w:rPr>
      </w:pPr>
    </w:p>
    <w:p w14:paraId="3563DBAC" w14:textId="1187E584" w:rsidR="00E6210D" w:rsidRPr="002040C2" w:rsidRDefault="00842D3D" w:rsidP="00E6210D">
      <w:pPr>
        <w:autoSpaceDE w:val="0"/>
        <w:autoSpaceDN w:val="0"/>
        <w:adjustRightInd w:val="0"/>
        <w:rPr>
          <w:rFonts w:eastAsia="Calibri" w:cs="Times New Roman"/>
        </w:rPr>
      </w:pPr>
      <w:r w:rsidRPr="00842D3D">
        <w:rPr>
          <w:rFonts w:eastAsia="Calibri" w:cs="Times New Roman"/>
        </w:rPr>
        <w:tab/>
        <w:t xml:space="preserve">Facts are not original and, therefore, are non-copyrightable. </w:t>
      </w:r>
      <w:r w:rsidRPr="00842D3D">
        <w:rPr>
          <w:rFonts w:eastAsia="Calibri" w:cs="Times New Roman"/>
          <w:i/>
          <w:iCs/>
        </w:rPr>
        <w:t>See Feist</w:t>
      </w:r>
      <w:r w:rsidRPr="00842D3D">
        <w:rPr>
          <w:rFonts w:eastAsia="Calibri" w:cs="Times New Roman"/>
        </w:rPr>
        <w:t xml:space="preserve">, 499 U.S. at 344 (“[T]here can be no valid copyright in facts.”). But a compilation of facts may be entitled to copyright protection if the author’s arrangement or selection of those facts is original. </w:t>
      </w:r>
      <w:r w:rsidRPr="00842D3D">
        <w:rPr>
          <w:rFonts w:eastAsia="Calibri" w:cs="Times New Roman"/>
          <w:i/>
          <w:iCs/>
        </w:rPr>
        <w:t xml:space="preserve">See id. </w:t>
      </w:r>
      <w:r w:rsidRPr="00842D3D">
        <w:rPr>
          <w:rFonts w:eastAsia="Calibri" w:cs="Times New Roman"/>
        </w:rPr>
        <w:t xml:space="preserve">at 348-49; </w:t>
      </w:r>
      <w:r w:rsidRPr="00842D3D">
        <w:rPr>
          <w:rFonts w:eastAsia="Calibri" w:cs="Times New Roman"/>
          <w:i/>
          <w:iCs/>
        </w:rPr>
        <w:t>CDN, Inc.</w:t>
      </w:r>
      <w:r w:rsidRPr="00842D3D">
        <w:rPr>
          <w:rFonts w:eastAsia="Calibri" w:cs="Times New Roman"/>
        </w:rPr>
        <w:t xml:space="preserve">, 197 F.3d at 1259; </w:t>
      </w:r>
      <w:r w:rsidRPr="00842D3D">
        <w:rPr>
          <w:rFonts w:eastAsia="Calibri" w:cs="Times New Roman"/>
          <w:i/>
          <w:iCs/>
        </w:rPr>
        <w:t xml:space="preserve">see also </w:t>
      </w:r>
      <w:r w:rsidRPr="00842D3D">
        <w:rPr>
          <w:rFonts w:eastAsia="Calibri" w:cs="Times New Roman"/>
        </w:rPr>
        <w:t>Instructions 17.10 (Copyright Interests—Authors of Collective Works), 17.16 (Compilation).</w:t>
      </w:r>
      <w:r w:rsidR="00E6210D" w:rsidRPr="00E6210D">
        <w:rPr>
          <w:rFonts w:eastAsia="Calibri" w:cs="Times New Roman"/>
        </w:rPr>
        <w:t xml:space="preserve"> </w:t>
      </w:r>
      <w:r w:rsidR="00E6210D">
        <w:rPr>
          <w:rFonts w:eastAsia="Calibri" w:cs="Times New Roman"/>
        </w:rPr>
        <w:t xml:space="preserve">Put differently, a selection and arrangement copyright protects “the </w:t>
      </w:r>
      <w:r w:rsidR="00E6210D">
        <w:rPr>
          <w:rFonts w:eastAsia="Calibri" w:cs="Times New Roman"/>
          <w:i/>
          <w:iCs/>
        </w:rPr>
        <w:t xml:space="preserve">particular way </w:t>
      </w:r>
      <w:r w:rsidR="00E6210D">
        <w:rPr>
          <w:rFonts w:eastAsia="Calibri" w:cs="Times New Roman"/>
        </w:rPr>
        <w:t xml:space="preserve">in which the artistic elements form a coherent pattern, synthesis, or design.” </w:t>
      </w:r>
      <w:r w:rsidR="00E6210D" w:rsidRPr="002040C2">
        <w:rPr>
          <w:rFonts w:eastAsia="Calibri" w:cs="Times New Roman"/>
          <w:i/>
          <w:iCs/>
        </w:rPr>
        <w:t>Yonay v. Paramount Pictures Corp.</w:t>
      </w:r>
      <w:r w:rsidR="00E6210D" w:rsidRPr="002040C2">
        <w:rPr>
          <w:rFonts w:eastAsia="Calibri" w:cs="Times New Roman"/>
        </w:rPr>
        <w:t>, 163 F.4th 685, 69</w:t>
      </w:r>
      <w:r w:rsidR="00E6210D">
        <w:rPr>
          <w:rFonts w:eastAsia="Calibri" w:cs="Times New Roman"/>
        </w:rPr>
        <w:t>2</w:t>
      </w:r>
      <w:r w:rsidR="00E6210D" w:rsidRPr="002040C2">
        <w:rPr>
          <w:rFonts w:eastAsia="Calibri" w:cs="Times New Roman"/>
        </w:rPr>
        <w:t xml:space="preserve"> (9th Cir. 2026) (quoting</w:t>
      </w:r>
      <w:r w:rsidR="00E6210D" w:rsidRPr="002040C2">
        <w:rPr>
          <w:rFonts w:eastAsia="Calibri" w:cs="Times New Roman"/>
          <w:i/>
          <w:iCs/>
        </w:rPr>
        <w:t xml:space="preserve"> Skidmore ex rel. </w:t>
      </w:r>
      <w:r w:rsidR="00E6210D">
        <w:rPr>
          <w:rFonts w:eastAsia="Calibri" w:cs="Times New Roman"/>
          <w:i/>
          <w:iCs/>
        </w:rPr>
        <w:t>as</w:t>
      </w:r>
      <w:r w:rsidR="00E6210D" w:rsidRPr="002040C2">
        <w:rPr>
          <w:rFonts w:eastAsia="Calibri" w:cs="Times New Roman"/>
          <w:i/>
          <w:iCs/>
        </w:rPr>
        <w:t xml:space="preserve"> Tr. </w:t>
      </w:r>
      <w:r w:rsidR="00E6210D">
        <w:rPr>
          <w:rFonts w:eastAsia="Calibri" w:cs="Times New Roman"/>
          <w:i/>
          <w:iCs/>
        </w:rPr>
        <w:t>f</w:t>
      </w:r>
      <w:r w:rsidR="00E6210D" w:rsidRPr="002040C2">
        <w:rPr>
          <w:rFonts w:eastAsia="Calibri" w:cs="Times New Roman"/>
          <w:i/>
          <w:iCs/>
        </w:rPr>
        <w:t>or Randy Craig Wolfe Tr. v. Led Zeppelin</w:t>
      </w:r>
      <w:r w:rsidR="00E6210D" w:rsidRPr="002040C2">
        <w:rPr>
          <w:rFonts w:eastAsia="Calibri" w:cs="Times New Roman"/>
        </w:rPr>
        <w:t>, 952 F.3d 1051, 1074 (9th Cir. 2020)</w:t>
      </w:r>
      <w:r w:rsidR="00E6210D">
        <w:rPr>
          <w:rFonts w:eastAsia="Calibri" w:cs="Times New Roman"/>
        </w:rPr>
        <w:t>).</w:t>
      </w:r>
    </w:p>
    <w:p w14:paraId="52EF3731" w14:textId="77777777" w:rsidR="00E6210D" w:rsidRPr="00842D3D" w:rsidRDefault="00E6210D" w:rsidP="00E6210D">
      <w:pPr>
        <w:autoSpaceDE w:val="0"/>
        <w:autoSpaceDN w:val="0"/>
        <w:adjustRightInd w:val="0"/>
        <w:rPr>
          <w:rFonts w:eastAsia="Calibri" w:cs="Times New Roman"/>
        </w:rPr>
      </w:pPr>
    </w:p>
    <w:p w14:paraId="3E25273F" w14:textId="77777777" w:rsidR="00E6210D" w:rsidRPr="00842D3D" w:rsidRDefault="00E6210D" w:rsidP="00E6210D">
      <w:pPr>
        <w:jc w:val="right"/>
        <w:rPr>
          <w:rFonts w:eastAsia="Calibri" w:cs="Times New Roman"/>
        </w:rPr>
      </w:pPr>
      <w:r w:rsidRPr="00842D3D">
        <w:rPr>
          <w:rFonts w:eastAsia="Calibri" w:cs="Times New Roman"/>
          <w:i/>
          <w:iCs/>
        </w:rPr>
        <w:t xml:space="preserve">Revised </w:t>
      </w:r>
      <w:r>
        <w:rPr>
          <w:rFonts w:eastAsia="Calibri" w:cs="Times New Roman"/>
          <w:i/>
          <w:iCs/>
        </w:rPr>
        <w:t>March 2026</w:t>
      </w:r>
    </w:p>
    <w:p w14:paraId="5C0CC2E3" w14:textId="325F6A90" w:rsidR="00842D3D" w:rsidRPr="00842D3D" w:rsidRDefault="00842D3D" w:rsidP="00842D3D">
      <w:pPr>
        <w:autoSpaceDE w:val="0"/>
        <w:autoSpaceDN w:val="0"/>
        <w:adjustRightInd w:val="0"/>
        <w:rPr>
          <w:rFonts w:eastAsia="Calibri" w:cs="Times New Roman"/>
        </w:rPr>
      </w:pPr>
    </w:p>
    <w:p w14:paraId="104C9090" w14:textId="77777777" w:rsidR="00842D3D" w:rsidRPr="00842D3D" w:rsidRDefault="00842D3D" w:rsidP="00842D3D">
      <w:pPr>
        <w:rPr>
          <w:rFonts w:eastAsia="Calibri" w:cs="Times New Roman"/>
          <w:szCs w:val="24"/>
        </w:rPr>
      </w:pPr>
    </w:p>
    <w:p w14:paraId="6452ABF1" w14:textId="7884B74B" w:rsidR="00842D3D" w:rsidRPr="00842D3D" w:rsidRDefault="00842D3D" w:rsidP="00313A05">
      <w:pPr>
        <w:pStyle w:val="Heading2"/>
      </w:pPr>
      <w:r w:rsidRPr="00842D3D">
        <w:br w:type="page"/>
      </w:r>
      <w:r w:rsidRPr="00842D3D">
        <w:rPr>
          <w:lang w:val="en-CA"/>
        </w:rPr>
        <w:lastRenderedPageBreak/>
        <w:fldChar w:fldCharType="begin"/>
      </w:r>
      <w:r w:rsidRPr="00842D3D">
        <w:rPr>
          <w:lang w:val="en-CA"/>
        </w:rPr>
        <w:instrText xml:space="preserve"> SEQ CHAPTER \h \r 1</w:instrText>
      </w:r>
      <w:r w:rsidRPr="00842D3D">
        <w:rPr>
          <w:lang w:val="en-CA"/>
        </w:rPr>
        <w:fldChar w:fldCharType="end"/>
      </w:r>
      <w:bookmarkStart w:id="407" w:name="_Toc221525316"/>
      <w:r w:rsidRPr="00842D3D">
        <w:t>17.15 Copyright Interests—Derivative Work</w:t>
      </w:r>
      <w:bookmarkEnd w:id="407"/>
    </w:p>
    <w:p w14:paraId="529B2F4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(17 U.S.C. §§ 101, 106(2))</w:t>
      </w:r>
    </w:p>
    <w:p w14:paraId="267121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D0E49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is a derivative work if it [recasts,] [transforms,] or [adapts] a preexisting work. The owner of a copyright may exclude others from creating derivative works based on the</w:t>
      </w:r>
    </w:p>
    <w:p w14:paraId="0816CE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owner’s copyrighted work. If the owner allows others to create a derivative work based on the preexisting work, the owner retains a copyright in any elements of a derivative work that are [copied] [derived from] the preexisting work. The owner of a copyright in the preexisting work may enforce the right to exclude others from copying elements of the derivative work that were themselves [copied] [derived from] the preexisting work.</w:t>
      </w:r>
    </w:p>
    <w:p w14:paraId="6E0B20D8" w14:textId="77777777" w:rsidR="00842D3D" w:rsidRPr="00842D3D" w:rsidRDefault="00842D3D" w:rsidP="00842D3D">
      <w:pPr>
        <w:autoSpaceDE w:val="0"/>
        <w:autoSpaceDN w:val="0"/>
        <w:adjustRightInd w:val="0"/>
        <w:rPr>
          <w:rFonts w:eastAsia="Calibri" w:cs="Times New Roman"/>
          <w:szCs w:val="24"/>
        </w:rPr>
      </w:pPr>
    </w:p>
    <w:p w14:paraId="3BF7E48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creator of a derivative work may own a copyright in the original aspects of the work that the creator contributed, such as editorial revisions, annotations, elaborations, or other modifications to the pre-existing work, so long as the creator of the derivative work lawfully used the preexisting work and the contributions are more than trivial. The creator of a derivative work that lawfully used the preexisting work may enforce the right to exclude others from copying the original aspects of the derivative work.</w:t>
      </w:r>
    </w:p>
    <w:p w14:paraId="3006AB71" w14:textId="77777777" w:rsidR="00842D3D" w:rsidRPr="00842D3D" w:rsidRDefault="00842D3D" w:rsidP="00842D3D">
      <w:pPr>
        <w:autoSpaceDE w:val="0"/>
        <w:autoSpaceDN w:val="0"/>
        <w:adjustRightInd w:val="0"/>
        <w:ind w:firstLine="720"/>
        <w:rPr>
          <w:rFonts w:eastAsia="Calibri" w:cs="Times New Roman"/>
          <w:szCs w:val="24"/>
        </w:rPr>
      </w:pPr>
    </w:p>
    <w:p w14:paraId="0AEBE1D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You may find that the derivative work is copyrightable if:</w:t>
      </w:r>
    </w:p>
    <w:p w14:paraId="164311FA" w14:textId="77777777" w:rsidR="00842D3D" w:rsidRPr="00842D3D" w:rsidRDefault="00842D3D" w:rsidP="00842D3D">
      <w:pPr>
        <w:autoSpaceDE w:val="0"/>
        <w:autoSpaceDN w:val="0"/>
        <w:adjustRightInd w:val="0"/>
        <w:ind w:firstLine="720"/>
        <w:rPr>
          <w:rFonts w:eastAsia="Calibri" w:cs="Times New Roman"/>
          <w:szCs w:val="24"/>
        </w:rPr>
      </w:pPr>
    </w:p>
    <w:p w14:paraId="261571B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preexisting work is copyrightable or was copyrightable at the time it was created;</w:t>
      </w:r>
    </w:p>
    <w:p w14:paraId="1FB982A2" w14:textId="77777777" w:rsidR="00842D3D" w:rsidRPr="00842D3D" w:rsidRDefault="00842D3D" w:rsidP="00842D3D">
      <w:pPr>
        <w:autoSpaceDE w:val="0"/>
        <w:autoSpaceDN w:val="0"/>
        <w:adjustRightInd w:val="0"/>
        <w:ind w:firstLine="720"/>
        <w:rPr>
          <w:rFonts w:eastAsia="Calibri" w:cs="Times New Roman"/>
          <w:szCs w:val="24"/>
        </w:rPr>
      </w:pPr>
    </w:p>
    <w:p w14:paraId="2AD536F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derivative work lawfully uses the preexisting work;</w:t>
      </w:r>
    </w:p>
    <w:p w14:paraId="50A9E7A9" w14:textId="77777777" w:rsidR="00842D3D" w:rsidRPr="00842D3D" w:rsidRDefault="00842D3D" w:rsidP="00842D3D">
      <w:pPr>
        <w:autoSpaceDE w:val="0"/>
        <w:autoSpaceDN w:val="0"/>
        <w:adjustRightInd w:val="0"/>
        <w:ind w:firstLine="720"/>
        <w:rPr>
          <w:rFonts w:eastAsia="Calibri" w:cs="Times New Roman"/>
          <w:szCs w:val="24"/>
        </w:rPr>
      </w:pPr>
    </w:p>
    <w:p w14:paraId="212921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derivative work includes new material that is independent of the preexisting work and is itself copyrightable; and</w:t>
      </w:r>
    </w:p>
    <w:p w14:paraId="41E3D856" w14:textId="77777777" w:rsidR="00842D3D" w:rsidRPr="00842D3D" w:rsidRDefault="00842D3D" w:rsidP="00842D3D">
      <w:pPr>
        <w:autoSpaceDE w:val="0"/>
        <w:autoSpaceDN w:val="0"/>
        <w:adjustRightInd w:val="0"/>
        <w:ind w:firstLine="720"/>
        <w:rPr>
          <w:rFonts w:eastAsia="Calibri" w:cs="Times New Roman"/>
          <w:szCs w:val="24"/>
        </w:rPr>
      </w:pPr>
    </w:p>
    <w:p w14:paraId="5CEF453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derivative work’s new material is not so minimal as to be trivial, such that a copyright in the derivative work could prevent the owner of the copyright in the preexisting work from exercising a right under copyright law.</w:t>
      </w:r>
    </w:p>
    <w:p w14:paraId="623E3C7E" w14:textId="77777777" w:rsidR="00842D3D" w:rsidRPr="00842D3D" w:rsidRDefault="00842D3D" w:rsidP="00842D3D">
      <w:pPr>
        <w:autoSpaceDE w:val="0"/>
        <w:autoSpaceDN w:val="0"/>
        <w:adjustRightInd w:val="0"/>
        <w:ind w:firstLine="720"/>
        <w:rPr>
          <w:rFonts w:eastAsia="Calibri" w:cs="Times New Roman"/>
          <w:szCs w:val="24"/>
        </w:rPr>
      </w:pPr>
    </w:p>
    <w:p w14:paraId="08A3A9D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[work] [material] is copyrightable if it is an original work of authorship fixed in any tangible medium of expression.</w:t>
      </w:r>
    </w:p>
    <w:p w14:paraId="09B8089C" w14:textId="77777777" w:rsidR="00842D3D" w:rsidRPr="00842D3D" w:rsidRDefault="00842D3D" w:rsidP="00842D3D">
      <w:pPr>
        <w:autoSpaceDE w:val="0"/>
        <w:autoSpaceDN w:val="0"/>
        <w:adjustRightInd w:val="0"/>
        <w:rPr>
          <w:rFonts w:eastAsia="Calibri" w:cs="Times New Roman"/>
          <w:szCs w:val="24"/>
        </w:rPr>
      </w:pPr>
    </w:p>
    <w:p w14:paraId="742EF82C"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A derivative work lawfully uses preexisting material if either the copyright holder of the preexisting material authorized the use or the material has entered the public domain, or the use is excused under an affirmative defense, such as fair use.</w:t>
      </w:r>
      <w:r w:rsidRPr="00842D3D">
        <w:rPr>
          <w:rFonts w:eastAsia="Calibri" w:cs="Times New Roman"/>
        </w:rPr>
        <w:tab/>
      </w:r>
    </w:p>
    <w:p w14:paraId="48F3B655" w14:textId="77777777" w:rsidR="00842D3D" w:rsidRPr="00842D3D" w:rsidRDefault="00842D3D" w:rsidP="00842D3D">
      <w:pPr>
        <w:autoSpaceDE w:val="0"/>
        <w:autoSpaceDN w:val="0"/>
        <w:adjustRightInd w:val="0"/>
        <w:ind w:firstLine="720"/>
        <w:rPr>
          <w:rFonts w:eastAsia="Times New Roman" w:cs="Times New Roman"/>
        </w:rPr>
      </w:pPr>
    </w:p>
    <w:p w14:paraId="48A6A894" w14:textId="77777777" w:rsidR="00842D3D" w:rsidRPr="00842D3D" w:rsidRDefault="00842D3D" w:rsidP="00842D3D">
      <w:pPr>
        <w:jc w:val="center"/>
        <w:rPr>
          <w:rFonts w:eastAsia="Times New Roman" w:cs="Times New Roman"/>
          <w:b/>
          <w:bCs/>
        </w:rPr>
      </w:pPr>
      <w:r w:rsidRPr="00842D3D">
        <w:rPr>
          <w:rFonts w:eastAsia="Times New Roman" w:cs="Times New Roman"/>
          <w:b/>
          <w:bCs/>
        </w:rPr>
        <w:t>Comment</w:t>
      </w:r>
    </w:p>
    <w:p w14:paraId="3C9E1D78" w14:textId="77777777" w:rsidR="00842D3D" w:rsidRPr="00842D3D" w:rsidRDefault="00842D3D" w:rsidP="00842D3D">
      <w:pPr>
        <w:jc w:val="center"/>
        <w:rPr>
          <w:rFonts w:eastAsia="Times New Roman" w:cs="Times New Roman"/>
          <w:b/>
          <w:bCs/>
        </w:rPr>
      </w:pPr>
    </w:p>
    <w:p w14:paraId="18DD470F" w14:textId="77777777" w:rsidR="00842D3D" w:rsidRPr="00842D3D" w:rsidRDefault="00842D3D" w:rsidP="00842D3D">
      <w:pPr>
        <w:ind w:firstLine="720"/>
        <w:rPr>
          <w:rFonts w:eastAsia="Times New Roman" w:cs="Times New Roman"/>
          <w:bCs/>
          <w:u w:val="single"/>
        </w:rPr>
      </w:pPr>
      <w:r w:rsidRPr="00842D3D">
        <w:rPr>
          <w:rFonts w:eastAsia="Times New Roman" w:cs="Times New Roman"/>
          <w:bCs/>
        </w:rPr>
        <w:t xml:space="preserve">A copyright owner has the exclusive right to prohibit or authorize the preparation of derivative works. 17 U.S.C. § 106(2). The preexisting work on which the derivative work is based must be copyrightable. </w:t>
      </w:r>
      <w:r w:rsidRPr="00842D3D">
        <w:rPr>
          <w:rFonts w:eastAsia="Times New Roman" w:cs="Times New Roman"/>
          <w:bCs/>
          <w:i/>
          <w:iCs/>
        </w:rPr>
        <w:t>Ets-Hokin v. Skyy Spirits, Inc.</w:t>
      </w:r>
      <w:r w:rsidRPr="00842D3D">
        <w:rPr>
          <w:rFonts w:eastAsia="Times New Roman" w:cs="Times New Roman"/>
          <w:bCs/>
        </w:rPr>
        <w:t xml:space="preserve">, 225 F.3d 1068, 1078 (9th Cir. 2000). Works that incorporate uncopyrightable preexisting material are not treated as derivative works, but they may be entitled to copyright protection as original works. </w:t>
      </w:r>
      <w:r w:rsidRPr="00842D3D">
        <w:rPr>
          <w:rFonts w:eastAsia="Times New Roman" w:cs="Times New Roman"/>
          <w:bCs/>
          <w:i/>
          <w:iCs/>
        </w:rPr>
        <w:t>Id.</w:t>
      </w:r>
      <w:r w:rsidRPr="00842D3D">
        <w:rPr>
          <w:rFonts w:eastAsia="Times New Roman" w:cs="Times New Roman"/>
          <w:bCs/>
        </w:rPr>
        <w:t xml:space="preserve"> at 1077; </w:t>
      </w:r>
      <w:bookmarkStart w:id="408" w:name="_Hlk202334859"/>
      <w:r w:rsidRPr="00842D3D">
        <w:rPr>
          <w:rFonts w:eastAsia="Times New Roman" w:cs="Times New Roman"/>
          <w:bCs/>
          <w:i/>
          <w:iCs/>
        </w:rPr>
        <w:t>see, e.g.</w:t>
      </w:r>
      <w:r w:rsidRPr="00842D3D">
        <w:rPr>
          <w:rFonts w:eastAsia="Times New Roman" w:cs="Times New Roman"/>
          <w:bCs/>
        </w:rPr>
        <w:t xml:space="preserve">, </w:t>
      </w:r>
      <w:r w:rsidRPr="00842D3D">
        <w:rPr>
          <w:rFonts w:eastAsia="Times New Roman" w:cs="Times New Roman"/>
          <w:bCs/>
          <w:i/>
          <w:iCs/>
        </w:rPr>
        <w:lastRenderedPageBreak/>
        <w:t>Georgia v. Public.Resource.Org, Inc.</w:t>
      </w:r>
      <w:r w:rsidRPr="00842D3D">
        <w:rPr>
          <w:rFonts w:eastAsia="Times New Roman" w:cs="Times New Roman"/>
          <w:bCs/>
        </w:rPr>
        <w:t xml:space="preserve">, 590 U.S. 255, 269 (2020) (explaining that annotations to cases or statutes “are copyrightable when prepared by a private party, or a non-lawmaking official like the reporter in </w:t>
      </w:r>
      <w:r w:rsidRPr="00842D3D">
        <w:rPr>
          <w:rFonts w:eastAsia="Times New Roman" w:cs="Times New Roman"/>
          <w:bCs/>
          <w:i/>
          <w:iCs/>
        </w:rPr>
        <w:t xml:space="preserve">Callaghan </w:t>
      </w:r>
      <w:r w:rsidRPr="00842D3D">
        <w:rPr>
          <w:rFonts w:eastAsia="Times New Roman" w:cs="Times New Roman"/>
          <w:bCs/>
        </w:rPr>
        <w:t>[</w:t>
      </w:r>
      <w:r w:rsidRPr="00842D3D">
        <w:rPr>
          <w:rFonts w:eastAsia="Times New Roman" w:cs="Times New Roman"/>
          <w:bCs/>
          <w:i/>
          <w:iCs/>
        </w:rPr>
        <w:t>v. Myers</w:t>
      </w:r>
      <w:r w:rsidRPr="00842D3D">
        <w:rPr>
          <w:rFonts w:eastAsia="Times New Roman" w:cs="Times New Roman"/>
          <w:bCs/>
        </w:rPr>
        <w:t>, 128 U.S. 617 (1888)]”)</w:t>
      </w:r>
      <w:bookmarkEnd w:id="408"/>
      <w:r w:rsidRPr="00842D3D">
        <w:rPr>
          <w:rFonts w:eastAsia="Times New Roman" w:cs="Times New Roman"/>
          <w:bCs/>
        </w:rPr>
        <w:t xml:space="preserve">. A derivative work must actually incorporate the copyrighted work, either literally or nonliterally. </w:t>
      </w:r>
      <w:r w:rsidRPr="00842D3D">
        <w:rPr>
          <w:rFonts w:eastAsia="Times New Roman" w:cs="Times New Roman"/>
          <w:bCs/>
          <w:i/>
          <w:iCs/>
        </w:rPr>
        <w:t>Oracle Int’l Corp. v. Rimini St., Inc</w:t>
      </w:r>
      <w:r w:rsidRPr="00842D3D">
        <w:rPr>
          <w:rFonts w:eastAsia="Times New Roman" w:cs="Times New Roman"/>
          <w:bCs/>
        </w:rPr>
        <w:t xml:space="preserve">., 123 F.4th 986, 996 (9th Cir. 2024). In </w:t>
      </w:r>
      <w:r w:rsidRPr="00842D3D">
        <w:rPr>
          <w:rFonts w:eastAsia="Times New Roman" w:cs="Times New Roman"/>
          <w:bCs/>
          <w:i/>
          <w:iCs/>
        </w:rPr>
        <w:t>Oracle</w:t>
      </w:r>
      <w:r w:rsidRPr="00842D3D">
        <w:rPr>
          <w:rFonts w:eastAsia="Times New Roman" w:cs="Times New Roman"/>
          <w:bCs/>
        </w:rPr>
        <w:t xml:space="preserve">, the court rejected an “interoperability” </w:t>
      </w:r>
      <w:r w:rsidRPr="00842D3D">
        <w:rPr>
          <w:rFonts w:eastAsia="Times New Roman" w:cs="Times New Roman"/>
        </w:rPr>
        <w:t xml:space="preserve">test for derivative works, which would have deemed a product to be a derivative work if the product interoperates with a preexisting copyrighted work. </w:t>
      </w:r>
      <w:r w:rsidRPr="00842D3D">
        <w:rPr>
          <w:rFonts w:eastAsia="Times New Roman" w:cs="Times New Roman"/>
          <w:bCs/>
        </w:rPr>
        <w:t>“Both the text of the Copyright Act and [Ninth Circuit] case law teach that derivative status does not turn on interoperability, even exclusive interoperability, if the work doesn’t substantially incorporate the preexisting work’s copyrighted material.”</w:t>
      </w:r>
      <w:r w:rsidRPr="00842D3D">
        <w:rPr>
          <w:rFonts w:eastAsia="Times New Roman" w:cs="Times New Roman"/>
        </w:rPr>
        <w:t xml:space="preserve"> </w:t>
      </w:r>
      <w:r w:rsidRPr="00842D3D">
        <w:rPr>
          <w:rFonts w:eastAsia="Times New Roman" w:cs="Times New Roman"/>
          <w:i/>
          <w:iCs/>
        </w:rPr>
        <w:t xml:space="preserve">Id. </w:t>
      </w:r>
      <w:r w:rsidRPr="00842D3D">
        <w:rPr>
          <w:rFonts w:eastAsia="Times New Roman" w:cs="Times New Roman"/>
        </w:rPr>
        <w:t xml:space="preserve">“[A] derivative work must actually incorporate [the] copyrighted work, either literally or nonliterally . . . [S]imply being an extension or modification of a copyrighted work without any incorporation is not enough to create a derivative work.” </w:t>
      </w:r>
      <w:r w:rsidRPr="00842D3D">
        <w:rPr>
          <w:rFonts w:eastAsia="Times New Roman" w:cs="Times New Roman"/>
          <w:i/>
          <w:iCs/>
        </w:rPr>
        <w:t>Id.</w:t>
      </w:r>
    </w:p>
    <w:p w14:paraId="7BFBC258" w14:textId="77777777" w:rsidR="00842D3D" w:rsidRPr="00842D3D" w:rsidRDefault="00842D3D" w:rsidP="00842D3D">
      <w:pPr>
        <w:ind w:firstLine="720"/>
        <w:jc w:val="right"/>
        <w:rPr>
          <w:rFonts w:eastAsia="Calibri" w:cs="Times New Roman"/>
          <w:i/>
          <w:iCs/>
        </w:rPr>
      </w:pPr>
      <w:r w:rsidRPr="00842D3D">
        <w:rPr>
          <w:rFonts w:eastAsia="Times New Roman" w:cs="Times New Roman"/>
          <w:i/>
          <w:iCs/>
        </w:rPr>
        <w:t>Revised September 2025</w:t>
      </w:r>
    </w:p>
    <w:p w14:paraId="045B9725" w14:textId="77777777" w:rsidR="00842D3D" w:rsidRPr="00842D3D" w:rsidRDefault="00842D3D" w:rsidP="00313A05">
      <w:pPr>
        <w:pStyle w:val="Heading2"/>
      </w:pPr>
      <w:r w:rsidRPr="00842D3D">
        <w:br w:type="page"/>
      </w:r>
      <w:bookmarkStart w:id="409" w:name="_Toc221525317"/>
      <w:r w:rsidRPr="00842D3D">
        <w:lastRenderedPageBreak/>
        <w:t>17.16 Compilation (17 U.S.C. § 101)</w:t>
      </w:r>
      <w:bookmarkEnd w:id="409"/>
    </w:p>
    <w:p w14:paraId="48C20C94" w14:textId="77777777" w:rsidR="00842D3D" w:rsidRPr="00842D3D" w:rsidRDefault="00842D3D" w:rsidP="00842D3D">
      <w:pPr>
        <w:autoSpaceDE w:val="0"/>
        <w:autoSpaceDN w:val="0"/>
        <w:adjustRightInd w:val="0"/>
        <w:rPr>
          <w:rFonts w:eastAsia="Calibri" w:cs="Times New Roman"/>
          <w:szCs w:val="24"/>
        </w:rPr>
      </w:pPr>
    </w:p>
    <w:p w14:paraId="576975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owner is entitled to copyright protection of a compilation. A compilation is a work formed by the collection and assembling of preexisting materials or of data that are selected, coordinated, or arranged in such a way that the resulting work as a whole constitutes an original work of authorship.</w:t>
      </w:r>
    </w:p>
    <w:p w14:paraId="03BCC4DA" w14:textId="77777777" w:rsidR="00842D3D" w:rsidRPr="00842D3D" w:rsidRDefault="00842D3D" w:rsidP="00842D3D">
      <w:pPr>
        <w:autoSpaceDE w:val="0"/>
        <w:autoSpaceDN w:val="0"/>
        <w:adjustRightInd w:val="0"/>
        <w:rPr>
          <w:rFonts w:eastAsia="Calibri" w:cs="Times New Roman"/>
          <w:szCs w:val="24"/>
        </w:rPr>
      </w:pPr>
    </w:p>
    <w:p w14:paraId="7BD8911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owner of a compilation may enforce the right to exclude others in an action for copyright infringement.</w:t>
      </w:r>
    </w:p>
    <w:p w14:paraId="3E4344DF" w14:textId="77777777" w:rsidR="00842D3D" w:rsidRPr="00842D3D" w:rsidRDefault="00842D3D" w:rsidP="00842D3D">
      <w:pPr>
        <w:autoSpaceDE w:val="0"/>
        <w:autoSpaceDN w:val="0"/>
        <w:adjustRightInd w:val="0"/>
        <w:rPr>
          <w:rFonts w:eastAsia="Calibri" w:cs="Times New Roman"/>
          <w:szCs w:val="24"/>
        </w:rPr>
      </w:pPr>
    </w:p>
    <w:p w14:paraId="35B6024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282C493" w14:textId="77777777" w:rsidR="00842D3D" w:rsidRPr="00842D3D" w:rsidRDefault="00842D3D" w:rsidP="00842D3D">
      <w:pPr>
        <w:autoSpaceDE w:val="0"/>
        <w:autoSpaceDN w:val="0"/>
        <w:adjustRightInd w:val="0"/>
        <w:rPr>
          <w:rFonts w:eastAsia="Calibri" w:cs="Times New Roman"/>
          <w:szCs w:val="24"/>
        </w:rPr>
      </w:pPr>
    </w:p>
    <w:p w14:paraId="0DBC00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Facts and ideas are not copyrightable, but compilations of facts may be copyrightable even where the underlying facts are not.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Feist Publ’ns, Inc. v. Rural Tel. Serv. Co</w:t>
      </w:r>
      <w:r w:rsidRPr="00842D3D">
        <w:rPr>
          <w:rFonts w:eastAsia="Calibri" w:cs="Times New Roman"/>
          <w:szCs w:val="24"/>
        </w:rPr>
        <w:t>., 499 U.S. 340, 344 (1991) (holding that factual compilations are sufficiently original to be copyrightable if choices as to selection and arrangement of facts are independently made by compiler);</w:t>
      </w:r>
      <w:r w:rsidRPr="00842D3D">
        <w:rPr>
          <w:rFonts w:eastAsia="Calibri" w:cs="Times New Roman"/>
          <w:i/>
          <w:iCs/>
          <w:szCs w:val="24"/>
        </w:rPr>
        <w:t xml:space="preserve"> Satava v. Lowry</w:t>
      </w:r>
      <w:r w:rsidRPr="00842D3D">
        <w:rPr>
          <w:rFonts w:eastAsia="Calibri"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 Copyright in a compilation “extends only to the material contributed by the author of such work, as distinguished from the preexisting material employed in the work.”</w:t>
      </w:r>
      <w:r w:rsidRPr="00842D3D">
        <w:rPr>
          <w:rFonts w:eastAsia="Calibri" w:cs="Times New Roman"/>
          <w:i/>
          <w:iCs/>
          <w:szCs w:val="24"/>
        </w:rPr>
        <w:t xml:space="preserve"> </w:t>
      </w:r>
      <w:r w:rsidRPr="00842D3D">
        <w:rPr>
          <w:rFonts w:eastAsia="Calibri" w:cs="Times New Roman"/>
          <w:szCs w:val="24"/>
        </w:rPr>
        <w:t xml:space="preserve">17 U.S.C. § 103(b). The term “compilation” includes collective works. </w:t>
      </w:r>
      <w:r w:rsidRPr="00842D3D">
        <w:rPr>
          <w:rFonts w:eastAsia="Calibri" w:cs="Times New Roman"/>
          <w:i/>
          <w:iCs/>
          <w:szCs w:val="24"/>
        </w:rPr>
        <w:t xml:space="preserve">See </w:t>
      </w:r>
      <w:r w:rsidRPr="00842D3D">
        <w:rPr>
          <w:rFonts w:eastAsia="Calibri" w:cs="Times New Roman"/>
          <w:szCs w:val="24"/>
        </w:rPr>
        <w:t xml:space="preserve">17 U.S.C. § 101. </w:t>
      </w:r>
    </w:p>
    <w:p w14:paraId="0062E169" w14:textId="77777777" w:rsidR="00842D3D" w:rsidRPr="00842D3D" w:rsidRDefault="00842D3D" w:rsidP="00842D3D">
      <w:pPr>
        <w:autoSpaceDE w:val="0"/>
        <w:autoSpaceDN w:val="0"/>
        <w:adjustRightInd w:val="0"/>
        <w:rPr>
          <w:rFonts w:eastAsia="Calibri" w:cs="Times New Roman"/>
          <w:szCs w:val="24"/>
        </w:rPr>
      </w:pPr>
    </w:p>
    <w:p w14:paraId="6C6E2F2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Ninth Circuit cases considering compilations,</w:t>
      </w:r>
      <w:r w:rsidRPr="00842D3D">
        <w:rPr>
          <w:rFonts w:eastAsia="Calibri" w:cs="Times New Roman"/>
          <w:i/>
          <w:iCs/>
          <w:szCs w:val="24"/>
        </w:rPr>
        <w:t xml:space="preserve"> </w:t>
      </w:r>
      <w:r w:rsidRPr="00842D3D">
        <w:rPr>
          <w:rFonts w:eastAsia="Calibri" w:cs="Times New Roman"/>
          <w:szCs w:val="24"/>
        </w:rPr>
        <w:t>see</w:t>
      </w:r>
      <w:r w:rsidRPr="00842D3D">
        <w:rPr>
          <w:rFonts w:eastAsia="Calibri" w:cs="Times New Roman"/>
          <w:i/>
          <w:iCs/>
          <w:szCs w:val="24"/>
        </w:rPr>
        <w:t xml:space="preserve"> Lamps Plus, Inc. v. Seattle Lighting Fixture Co.</w:t>
      </w:r>
      <w:r w:rsidRPr="00842D3D">
        <w:rPr>
          <w:rFonts w:eastAsia="Calibri" w:cs="Times New Roman"/>
          <w:szCs w:val="24"/>
        </w:rPr>
        <w:t>, 345 F.3d 1140, 1146 (9th Cir. 2003) (“[The] mechanical combination of four preexisting ceiling-lamp elements with a preexisting table-lamp base did not result in the expression of an original work of authorship . . . .”);</w:t>
      </w:r>
      <w:r w:rsidRPr="00842D3D">
        <w:rPr>
          <w:rFonts w:eastAsia="Calibri" w:cs="Times New Roman"/>
          <w:i/>
          <w:iCs/>
          <w:szCs w:val="24"/>
        </w:rPr>
        <w:t xml:space="preserve"> Satava</w:t>
      </w:r>
      <w:r w:rsidRPr="00842D3D">
        <w:rPr>
          <w:rFonts w:eastAsia="Calibri" w:cs="Times New Roman"/>
          <w:szCs w:val="24"/>
        </w:rPr>
        <w:t>, 323 F.3d at 811 (holding that combination of six unprotectable elements that were “so commonplace in glass-in-glass sculpture and so typical of jellyfish physiology” were not eligible for copyright protection);</w:t>
      </w:r>
      <w:r w:rsidRPr="00842D3D">
        <w:rPr>
          <w:rFonts w:eastAsia="Calibri" w:cs="Times New Roman"/>
          <w:i/>
          <w:iCs/>
          <w:szCs w:val="24"/>
        </w:rPr>
        <w:t xml:space="preserve"> CDN Inc. v. Kapes</w:t>
      </w:r>
      <w:r w:rsidRPr="00842D3D">
        <w:rPr>
          <w:rFonts w:eastAsia="Calibri" w:cs="Times New Roman"/>
          <w:szCs w:val="24"/>
        </w:rPr>
        <w:t>, 197 F.3d 1256, 1259-61 (9th Cir. 1999) (examining and reviewing major coin publications to create list of coin prices satisfied requisite level of originality for copyright as compilation).</w:t>
      </w:r>
    </w:p>
    <w:p w14:paraId="5A145D09" w14:textId="77777777" w:rsidR="00842D3D" w:rsidRPr="00842D3D" w:rsidRDefault="00842D3D" w:rsidP="00842D3D">
      <w:pPr>
        <w:autoSpaceDE w:val="0"/>
        <w:autoSpaceDN w:val="0"/>
        <w:adjustRightInd w:val="0"/>
        <w:rPr>
          <w:rFonts w:eastAsia="Calibri" w:cs="Times New Roman"/>
          <w:szCs w:val="24"/>
        </w:rPr>
      </w:pPr>
    </w:p>
    <w:p w14:paraId="05F8989F" w14:textId="661FCA62" w:rsidR="00312C1D" w:rsidRPr="00842D3D" w:rsidRDefault="00842D3D" w:rsidP="00312C1D">
      <w:pPr>
        <w:autoSpaceDE w:val="0"/>
        <w:autoSpaceDN w:val="0"/>
        <w:adjustRightInd w:val="0"/>
        <w:rPr>
          <w:rFonts w:eastAsia="Calibri" w:cs="Times New Roman"/>
          <w:szCs w:val="24"/>
        </w:rPr>
      </w:pPr>
      <w:r w:rsidRPr="00842D3D">
        <w:rPr>
          <w:rFonts w:eastAsia="Calibri" w:cs="Times New Roman"/>
          <w:szCs w:val="24"/>
        </w:rPr>
        <w:tab/>
        <w:t xml:space="preserve">When a plaintiff alleges infringement of a compilation, it is not enough to show that only part of the work has been copied. “[W]e have repeatedly recognized in this circuit that when dealing with factual compilations, infringement cannot be based on a showing that only a part of the work has been copied. In the context of factual compilations, we have held that infringement should not be found in the absence of “bodily appropriation of expression,” or “unauthorized use of substantially the entire item.” </w:t>
      </w:r>
      <w:r w:rsidRPr="00842D3D">
        <w:rPr>
          <w:rFonts w:eastAsia="Calibri" w:cs="Times New Roman"/>
          <w:i/>
          <w:iCs/>
          <w:szCs w:val="24"/>
        </w:rPr>
        <w:t>Experian Info. Sols., Inc. v. Nationwide Mktg. Servs. Inc</w:t>
      </w:r>
      <w:r w:rsidRPr="00842D3D">
        <w:rPr>
          <w:rFonts w:eastAsia="Calibri" w:cs="Times New Roman"/>
          <w:szCs w:val="24"/>
        </w:rPr>
        <w:t xml:space="preserve">., 893 F.3d 1176, 1186 (9th Cir. 2018) (affirming grant of summary judgment when defendant’s database comprised at most 80 percent of plaintiff’s copyrighted compilation) (quoting </w:t>
      </w:r>
      <w:r w:rsidRPr="00842D3D">
        <w:rPr>
          <w:rFonts w:eastAsia="Calibri" w:cs="Times New Roman"/>
          <w:i/>
          <w:iCs/>
          <w:szCs w:val="24"/>
        </w:rPr>
        <w:t>Harper House, Inc. v. Thomas Nelson, Inc</w:t>
      </w:r>
      <w:r w:rsidRPr="00842D3D">
        <w:rPr>
          <w:rFonts w:eastAsia="Calibri" w:cs="Times New Roman"/>
          <w:szCs w:val="24"/>
        </w:rPr>
        <w:t>., 889 F.2d 197, 205 (9th Cir. 1989)).</w:t>
      </w:r>
      <w:r w:rsidR="00312C1D" w:rsidRPr="00312C1D">
        <w:rPr>
          <w:rFonts w:eastAsia="Calibri" w:cs="Times New Roman"/>
          <w:szCs w:val="24"/>
        </w:rPr>
        <w:t xml:space="preserve"> </w:t>
      </w:r>
      <w:r w:rsidR="00312C1D" w:rsidRPr="00DE75C7">
        <w:rPr>
          <w:rFonts w:eastAsia="Calibri" w:cs="Times New Roman"/>
          <w:szCs w:val="24"/>
        </w:rPr>
        <w:t xml:space="preserve">“[T]o be substantially similar, the works must share a ‘pattern, synthesis, or design’ that is both ‘particular’ and ‘coherent.’” </w:t>
      </w:r>
      <w:r w:rsidR="00312C1D" w:rsidRPr="00DE75C7">
        <w:rPr>
          <w:rFonts w:eastAsia="Calibri" w:cs="Times New Roman"/>
          <w:i/>
          <w:iCs/>
          <w:szCs w:val="24"/>
        </w:rPr>
        <w:t>Yonay v. Paramount Pictures Corp.</w:t>
      </w:r>
      <w:r w:rsidR="00312C1D" w:rsidRPr="00DE75C7">
        <w:rPr>
          <w:rFonts w:eastAsia="Calibri" w:cs="Times New Roman"/>
          <w:szCs w:val="24"/>
        </w:rPr>
        <w:t>, 163 F.4th 685, 69</w:t>
      </w:r>
      <w:r w:rsidR="00312C1D">
        <w:rPr>
          <w:rFonts w:eastAsia="Calibri" w:cs="Times New Roman"/>
          <w:szCs w:val="24"/>
        </w:rPr>
        <w:t>7</w:t>
      </w:r>
      <w:r w:rsidR="00312C1D" w:rsidRPr="00DE75C7">
        <w:rPr>
          <w:rFonts w:eastAsia="Calibri" w:cs="Times New Roman"/>
          <w:szCs w:val="24"/>
        </w:rPr>
        <w:t xml:space="preserve"> (9th Cir. 2026) (quoting</w:t>
      </w:r>
      <w:r w:rsidR="00312C1D" w:rsidRPr="00DE75C7">
        <w:rPr>
          <w:rFonts w:eastAsia="Calibri" w:cs="Times New Roman"/>
          <w:i/>
          <w:iCs/>
          <w:szCs w:val="24"/>
        </w:rPr>
        <w:t xml:space="preserve"> Skidmore ex rel. as Tr. for Randy Craig Wolfe Tr. v. Led Zeppelin</w:t>
      </w:r>
      <w:r w:rsidR="00312C1D" w:rsidRPr="00DE75C7">
        <w:rPr>
          <w:rFonts w:eastAsia="Calibri" w:cs="Times New Roman"/>
          <w:szCs w:val="24"/>
        </w:rPr>
        <w:t>, 952 F.3d 1051, 1074 (9th Cir. 2020)).</w:t>
      </w:r>
    </w:p>
    <w:p w14:paraId="2D03CB9A" w14:textId="77777777" w:rsidR="00312C1D" w:rsidRPr="00842D3D" w:rsidRDefault="00312C1D" w:rsidP="00312C1D">
      <w:pPr>
        <w:rPr>
          <w:rFonts w:eastAsia="Calibri" w:cs="Times New Roman"/>
          <w:szCs w:val="24"/>
        </w:rPr>
      </w:pPr>
    </w:p>
    <w:p w14:paraId="05A6A37F" w14:textId="77777777" w:rsidR="00312C1D" w:rsidRPr="00842D3D" w:rsidRDefault="00312C1D" w:rsidP="00312C1D">
      <w:pPr>
        <w:autoSpaceDE w:val="0"/>
        <w:autoSpaceDN w:val="0"/>
        <w:adjustRightInd w:val="0"/>
        <w:jc w:val="right"/>
        <w:rPr>
          <w:rFonts w:eastAsia="Calibri" w:cs="Times New Roman"/>
          <w:i/>
          <w:iCs/>
          <w:szCs w:val="24"/>
        </w:rPr>
      </w:pPr>
    </w:p>
    <w:p w14:paraId="64DAFCBA" w14:textId="77777777" w:rsidR="00312C1D" w:rsidRPr="00842D3D" w:rsidRDefault="00312C1D" w:rsidP="00312C1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r>
        <w:rPr>
          <w:rFonts w:eastAsia="Calibri" w:cs="Times New Roman"/>
          <w:i/>
          <w:iCs/>
          <w:szCs w:val="24"/>
        </w:rPr>
        <w:t>March 2026</w:t>
      </w:r>
    </w:p>
    <w:p w14:paraId="7AD49FDE" w14:textId="401E5140" w:rsidR="00842D3D" w:rsidRPr="00842D3D" w:rsidRDefault="00842D3D" w:rsidP="00DE54F2">
      <w:pPr>
        <w:autoSpaceDE w:val="0"/>
        <w:autoSpaceDN w:val="0"/>
        <w:adjustRightInd w:val="0"/>
        <w:jc w:val="center"/>
        <w:rPr>
          <w:rFonts w:eastAsia="Calibri" w:cs="Times New Roman"/>
          <w:b/>
          <w:bCs/>
          <w:szCs w:val="24"/>
        </w:rPr>
      </w:pPr>
      <w:r w:rsidRPr="00842D3D">
        <w:rPr>
          <w:rFonts w:eastAsia="Calibri" w:cs="Times New Roman"/>
          <w:b/>
          <w:bCs/>
          <w:szCs w:val="24"/>
        </w:rPr>
        <w:br w:type="page"/>
      </w:r>
      <w:bookmarkStart w:id="410" w:name="_Toc221525318"/>
      <w:r w:rsidRPr="00842D3D">
        <w:rPr>
          <w:rFonts w:eastAsia="Calibri" w:cs="Times New Roman"/>
          <w:b/>
          <w:bCs/>
          <w:szCs w:val="24"/>
        </w:rPr>
        <w:lastRenderedPageBreak/>
        <w:t>17.17 Copying—Access and Substantial Similarity</w:t>
      </w:r>
      <w:bookmarkEnd w:id="410"/>
    </w:p>
    <w:p w14:paraId="4A060CF2" w14:textId="77777777" w:rsidR="00842D3D" w:rsidRPr="00842D3D" w:rsidRDefault="00842D3D" w:rsidP="00842D3D">
      <w:pPr>
        <w:autoSpaceDE w:val="0"/>
        <w:autoSpaceDN w:val="0"/>
        <w:adjustRightInd w:val="0"/>
        <w:rPr>
          <w:rFonts w:eastAsia="Calibri" w:cs="Times New Roman"/>
          <w:szCs w:val="24"/>
        </w:rPr>
      </w:pPr>
    </w:p>
    <w:p w14:paraId="652B7F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Instruction [</w:t>
      </w:r>
      <w:r w:rsidRPr="00842D3D">
        <w:rPr>
          <w:rFonts w:eastAsia="Calibri" w:cs="Times New Roman"/>
          <w:i/>
          <w:iCs/>
          <w:szCs w:val="24"/>
          <w:u w:val="single"/>
        </w:rPr>
        <w:t>insert cross reference to the pertinent instruction, e.g., Instruction 17.5</w:t>
      </w:r>
      <w:r w:rsidRPr="00842D3D">
        <w:rPr>
          <w:rFonts w:eastAsia="Calibri" w:cs="Times New Roman"/>
          <w:szCs w:val="24"/>
        </w:rPr>
        <w:t>] states that the plaintiff [</w:t>
      </w:r>
      <w:r w:rsidRPr="00842D3D">
        <w:rPr>
          <w:rFonts w:eastAsia="Calibri" w:cs="Times New Roman"/>
          <w:i/>
          <w:iCs/>
          <w:szCs w:val="24"/>
          <w:u w:val="single"/>
        </w:rPr>
        <w:t>name</w:t>
      </w:r>
      <w:r w:rsidRPr="00842D3D">
        <w:rPr>
          <w:rFonts w:eastAsia="Calibri" w:cs="Times New Roman"/>
          <w:szCs w:val="24"/>
        </w:rPr>
        <w:t>] has the burden of proving that the defendant [</w:t>
      </w:r>
      <w:r w:rsidRPr="00842D3D">
        <w:rPr>
          <w:rFonts w:eastAsia="Calibri" w:cs="Times New Roman"/>
          <w:i/>
          <w:iCs/>
          <w:szCs w:val="24"/>
          <w:u w:val="single"/>
        </w:rPr>
        <w:t>name</w:t>
      </w:r>
      <w:r w:rsidRPr="00842D3D">
        <w:rPr>
          <w:rFonts w:eastAsia="Calibri" w:cs="Times New Roman"/>
          <w:szCs w:val="24"/>
        </w:rPr>
        <w:t>] copied original elements from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 prove that the defendant [</w:t>
      </w:r>
      <w:r w:rsidRPr="00842D3D">
        <w:rPr>
          <w:rFonts w:eastAsia="Calibri" w:cs="Times New Roman"/>
          <w:i/>
          <w:iCs/>
          <w:szCs w:val="24"/>
          <w:u w:val="single"/>
        </w:rPr>
        <w:t>name</w:t>
      </w:r>
      <w:r w:rsidRPr="00842D3D">
        <w:rPr>
          <w:rFonts w:eastAsia="Calibri" w:cs="Times New Roman"/>
          <w:szCs w:val="24"/>
        </w:rPr>
        <w:t>] copied from the work [by proving by a preponderance of the evidence that the defendant [</w:t>
      </w:r>
      <w:r w:rsidRPr="00842D3D">
        <w:rPr>
          <w:rFonts w:eastAsia="Calibri" w:cs="Times New Roman"/>
          <w:i/>
          <w:iCs/>
          <w:szCs w:val="24"/>
          <w:u w:val="single"/>
        </w:rPr>
        <w:t>name</w:t>
      </w:r>
      <w:r w:rsidRPr="00842D3D">
        <w:rPr>
          <w:rFonts w:eastAsia="Calibri" w:cs="Times New Roman"/>
          <w:szCs w:val="24"/>
        </w:rPr>
        <w:t>] had access to the plaintiff [</w:t>
      </w:r>
      <w:r w:rsidRPr="00842D3D">
        <w:rPr>
          <w:rFonts w:eastAsia="Calibri" w:cs="Times New Roman"/>
          <w:i/>
          <w:iCs/>
          <w:szCs w:val="24"/>
          <w:u w:val="single"/>
        </w:rPr>
        <w:t>name</w:t>
      </w:r>
      <w:r w:rsidRPr="00842D3D">
        <w:rPr>
          <w:rFonts w:eastAsia="Calibri" w:cs="Times New Roman"/>
          <w:szCs w:val="24"/>
        </w:rPr>
        <w:t>]’s copyrighted work and that there are substantial similarities between the defendant [</w:t>
      </w:r>
      <w:r w:rsidRPr="00842D3D">
        <w:rPr>
          <w:rFonts w:eastAsia="Calibri" w:cs="Times New Roman"/>
          <w:i/>
          <w:iCs/>
          <w:szCs w:val="24"/>
          <w:u w:val="single"/>
        </w:rPr>
        <w:t>name</w:t>
      </w:r>
      <w:r w:rsidRPr="00842D3D">
        <w:rPr>
          <w:rFonts w:eastAsia="Calibri" w:cs="Times New Roman"/>
          <w:szCs w:val="24"/>
        </w:rPr>
        <w:t>]’s work and original elements of the plaintiff [</w:t>
      </w:r>
      <w:r w:rsidRPr="00842D3D">
        <w:rPr>
          <w:rFonts w:eastAsia="Calibri" w:cs="Times New Roman"/>
          <w:i/>
          <w:iCs/>
          <w:szCs w:val="24"/>
          <w:u w:val="single"/>
        </w:rPr>
        <w:t>name</w:t>
      </w:r>
      <w:r w:rsidRPr="00842D3D">
        <w:rPr>
          <w:rFonts w:eastAsia="Calibri" w:cs="Times New Roman"/>
          <w:szCs w:val="24"/>
        </w:rPr>
        <w:t>]’s work] [by proving by a preponderance of the evidence that there is a striking similarity between the defendant [</w:t>
      </w:r>
      <w:r w:rsidRPr="00842D3D">
        <w:rPr>
          <w:rFonts w:eastAsia="Calibri" w:cs="Times New Roman"/>
          <w:i/>
          <w:iCs/>
          <w:szCs w:val="24"/>
          <w:u w:val="single"/>
        </w:rPr>
        <w:t>name</w:t>
      </w:r>
      <w:r w:rsidRPr="00842D3D">
        <w:rPr>
          <w:rFonts w:eastAsia="Calibri" w:cs="Times New Roman"/>
          <w:szCs w:val="24"/>
        </w:rPr>
        <w:t>]’s work and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fails to prove that the defendant copied the plaintiff [</w:t>
      </w:r>
      <w:r w:rsidRPr="00842D3D">
        <w:rPr>
          <w:rFonts w:eastAsia="Calibri" w:cs="Times New Roman"/>
          <w:i/>
          <w:iCs/>
          <w:szCs w:val="24"/>
          <w:u w:val="single"/>
        </w:rPr>
        <w:t>name</w:t>
      </w:r>
      <w:r w:rsidRPr="00842D3D">
        <w:rPr>
          <w:rFonts w:eastAsia="Calibri" w:cs="Times New Roman"/>
          <w:szCs w:val="24"/>
        </w:rPr>
        <w:t>]’s work,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50B9A979" w14:textId="77777777" w:rsidR="00842D3D" w:rsidRPr="00842D3D" w:rsidRDefault="00842D3D" w:rsidP="00842D3D">
      <w:pPr>
        <w:autoSpaceDE w:val="0"/>
        <w:autoSpaceDN w:val="0"/>
        <w:adjustRightInd w:val="0"/>
        <w:rPr>
          <w:rFonts w:eastAsia="Calibri" w:cs="Times New Roman"/>
          <w:szCs w:val="24"/>
        </w:rPr>
      </w:pPr>
    </w:p>
    <w:p w14:paraId="7DA76A89"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1AAEF2F9" w14:textId="77777777" w:rsidR="00842D3D" w:rsidRPr="00842D3D" w:rsidRDefault="00842D3D" w:rsidP="00842D3D">
      <w:pPr>
        <w:autoSpaceDE w:val="0"/>
        <w:autoSpaceDN w:val="0"/>
        <w:adjustRightInd w:val="0"/>
        <w:jc w:val="center"/>
        <w:rPr>
          <w:rFonts w:eastAsia="Calibri" w:cs="Times New Roman"/>
        </w:rPr>
      </w:pPr>
    </w:p>
    <w:p w14:paraId="44ABEED5" w14:textId="25232C8B"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This instruction explains how a plaintiff can satisfy the burden of proving the second requirement set forth in Instruction 17.5: that “the defendant copied original expression from the copyrighted work.” The Ninth Circuit has historically described this test as having two elements: “access” and “substantial similarity.” </w:t>
      </w:r>
      <w:r w:rsidRPr="00842D3D">
        <w:rPr>
          <w:rFonts w:eastAsia="Calibri" w:cs="Times New Roman"/>
          <w:i/>
          <w:iCs/>
        </w:rPr>
        <w:t>See, e.g.</w:t>
      </w:r>
      <w:r w:rsidRPr="00842D3D">
        <w:rPr>
          <w:rFonts w:eastAsia="Calibri" w:cs="Times New Roman"/>
        </w:rPr>
        <w:t xml:space="preserve">,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Sid &amp; Marty Krofft Television Prods., Inc. v. McDonald’s Corp.</w:t>
      </w:r>
      <w:r w:rsidRPr="00842D3D">
        <w:rPr>
          <w:rFonts w:eastAsia="Calibri" w:cs="Times New Roman"/>
        </w:rPr>
        <w:t>, 562 F.2d 1157, 1162 (9th Cir. 1977);</w:t>
      </w:r>
      <w:r w:rsidRPr="00842D3D">
        <w:rPr>
          <w:rFonts w:eastAsia="Calibri" w:cs="Times New Roman"/>
          <w:i/>
          <w:iCs/>
        </w:rPr>
        <w:t xml:space="preserve"> Transgo, Inc. v. Ajac Transmission Parts Corp.</w:t>
      </w:r>
      <w:r w:rsidRPr="00842D3D">
        <w:rPr>
          <w:rFonts w:eastAsia="Calibri" w:cs="Times New Roman"/>
        </w:rPr>
        <w:t xml:space="preserve">, 768 F.2d 1001, 1018 (9th Cir. 1985); </w:t>
      </w:r>
      <w:r w:rsidRPr="00842D3D">
        <w:rPr>
          <w:rFonts w:eastAsia="Calibri" w:cs="Times New Roman"/>
          <w:i/>
          <w:iCs/>
        </w:rPr>
        <w:t>Three Boys Music Corp. v. Bolton</w:t>
      </w:r>
      <w:r w:rsidRPr="00842D3D">
        <w:rPr>
          <w:rFonts w:eastAsia="Calibri" w:cs="Times New Roman"/>
        </w:rPr>
        <w:t xml:space="preserve">, 212 F.3d 477, 481 (9th Cir. 2000); </w:t>
      </w:r>
      <w:r w:rsidRPr="00842D3D">
        <w:rPr>
          <w:rFonts w:eastAsia="Calibri" w:cs="Times New Roman"/>
          <w:i/>
          <w:iCs/>
        </w:rPr>
        <w:t>Antonick v. Elec. Arts, Inc.</w:t>
      </w:r>
      <w:r w:rsidRPr="00842D3D">
        <w:rPr>
          <w:rFonts w:eastAsia="Calibri" w:cs="Times New Roman"/>
        </w:rPr>
        <w:t xml:space="preserve">, 841 F.3d 1062, 1065 (9th Cir. 2016); </w:t>
      </w:r>
      <w:r w:rsidRPr="00842D3D">
        <w:rPr>
          <w:rFonts w:eastAsia="Calibri" w:cs="Times New Roman"/>
          <w:i/>
          <w:iCs/>
        </w:rPr>
        <w:t xml:space="preserve">see also </w:t>
      </w:r>
      <w:r w:rsidRPr="00842D3D">
        <w:rPr>
          <w:rFonts w:eastAsia="Calibri" w:cs="Times New Roman"/>
        </w:rPr>
        <w:t xml:space="preserve">Comment to Instruction 17.1 (Preliminary Instruction—Copyright). In some cases, the Ninth Circuit has described the elements as “copying” and “unlawful appropriation,” borrowing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the Second Circuit’s description from </w:t>
      </w:r>
      <w:r w:rsidRPr="00842D3D">
        <w:rPr>
          <w:rFonts w:eastAsia="Calibri" w:cs="Times New Roman"/>
          <w:i/>
          <w:iCs/>
        </w:rPr>
        <w:t>Arnstein v. Porter</w:t>
      </w:r>
      <w:r w:rsidRPr="00842D3D">
        <w:rPr>
          <w:rFonts w:eastAsia="Calibri" w:cs="Times New Roman"/>
        </w:rPr>
        <w:t>, 154 F.2d 464, 468 (2d Cir. 1946).</w:t>
      </w:r>
      <w:r w:rsidRPr="00842D3D">
        <w:rPr>
          <w:rFonts w:eastAsia="Calibri" w:cs="Times New Roman"/>
          <w:i/>
          <w:iCs/>
        </w:rPr>
        <w:t xml:space="preserve"> See Rentmeester v. Nike, Inc.</w:t>
      </w:r>
      <w:r w:rsidRPr="00842D3D">
        <w:rPr>
          <w:rFonts w:eastAsia="Calibri" w:cs="Times New Roman"/>
        </w:rPr>
        <w:t xml:space="preserve">, 883 F.3d 1111, 1117 (9th Cir. 2018) (acknowledging that “our cases have not always made this point explicit,” then citing </w:t>
      </w:r>
      <w:r w:rsidRPr="00842D3D">
        <w:rPr>
          <w:rFonts w:eastAsia="Calibri" w:cs="Times New Roman"/>
          <w:i/>
          <w:iCs/>
        </w:rPr>
        <w:t>Arnstein</w:t>
      </w:r>
      <w:r w:rsidRPr="00842D3D">
        <w:rPr>
          <w:rFonts w:eastAsia="Calibri" w:cs="Times New Roman"/>
        </w:rPr>
        <w:t xml:space="preserve">); </w:t>
      </w:r>
      <w:r w:rsidRPr="00842D3D">
        <w:rPr>
          <w:rFonts w:eastAsia="Calibri" w:cs="Times New Roman"/>
          <w:i/>
          <w:iCs/>
        </w:rPr>
        <w:t>Skidmore v. Led Zeppelin</w:t>
      </w:r>
      <w:r w:rsidRPr="00842D3D">
        <w:rPr>
          <w:rFonts w:eastAsia="Calibri" w:cs="Times New Roman"/>
        </w:rPr>
        <w:t xml:space="preserve">, 952 F.3d 1051, 1064 (9th Cir. 2020) (en banc) (citing </w:t>
      </w:r>
      <w:r w:rsidRPr="00842D3D">
        <w:rPr>
          <w:rFonts w:eastAsia="Calibri" w:cs="Times New Roman"/>
          <w:i/>
          <w:iCs/>
        </w:rPr>
        <w:t>Rentmeester</w:t>
      </w:r>
      <w:r w:rsidRPr="00842D3D">
        <w:rPr>
          <w:rFonts w:eastAsia="Calibri" w:cs="Times New Roman"/>
        </w:rPr>
        <w:t xml:space="preserve">). Both </w:t>
      </w:r>
      <w:r w:rsidRPr="00842D3D">
        <w:rPr>
          <w:rFonts w:eastAsia="Calibri" w:cs="Times New Roman"/>
          <w:i/>
          <w:iCs/>
        </w:rPr>
        <w:t>Rentmeester</w:t>
      </w:r>
      <w:r w:rsidRPr="00842D3D">
        <w:rPr>
          <w:rFonts w:eastAsia="Calibri" w:cs="Times New Roman"/>
        </w:rPr>
        <w:t xml:space="preserve"> and </w:t>
      </w:r>
      <w:r w:rsidRPr="00842D3D">
        <w:rPr>
          <w:rFonts w:eastAsia="Calibri" w:cs="Times New Roman"/>
          <w:i/>
          <w:iCs/>
        </w:rPr>
        <w:t xml:space="preserve">Skidmore </w:t>
      </w:r>
      <w:r w:rsidRPr="00842D3D">
        <w:rPr>
          <w:rFonts w:eastAsia="Calibri" w:cs="Times New Roman"/>
        </w:rPr>
        <w:t xml:space="preserve">applied the elements of the </w:t>
      </w:r>
      <w:r w:rsidRPr="00842D3D">
        <w:rPr>
          <w:rFonts w:eastAsia="Calibri" w:cs="Times New Roman"/>
          <w:i/>
          <w:iCs/>
        </w:rPr>
        <w:t>Arnstein</w:t>
      </w:r>
      <w:r w:rsidRPr="00842D3D">
        <w:rPr>
          <w:rFonts w:eastAsia="Calibri" w:cs="Times New Roman"/>
        </w:rPr>
        <w:t xml:space="preserve"> test in similar ways to access and substantial similarity.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See Rentmeester</w:t>
      </w:r>
      <w:r w:rsidRPr="00842D3D">
        <w:rPr>
          <w:rFonts w:eastAsia="Calibri" w:cs="Times New Roman"/>
        </w:rPr>
        <w:t xml:space="preserve">, 883 F.3d at 1117 (analyzing the “copying” element by discussing “access” and the “unlawful appropriation” element by discussing “substantial similarity”); </w:t>
      </w:r>
      <w:r w:rsidRPr="00842D3D">
        <w:rPr>
          <w:rFonts w:eastAsia="Calibri" w:cs="Times New Roman"/>
          <w:i/>
          <w:iCs/>
        </w:rPr>
        <w:t>Skidmore</w:t>
      </w:r>
      <w:r w:rsidRPr="00842D3D">
        <w:rPr>
          <w:rFonts w:eastAsia="Calibri" w:cs="Times New Roman"/>
        </w:rPr>
        <w:t xml:space="preserve">, 952 F.3d at 1064 (“[T]he hallmark of ‘unlawful appropriation’ is that the works share substantial similarities.”) (emphasis deleted). Cases since </w:t>
      </w:r>
      <w:r w:rsidRPr="00842D3D">
        <w:rPr>
          <w:rFonts w:eastAsia="Calibri" w:cs="Times New Roman"/>
          <w:i/>
          <w:iCs/>
        </w:rPr>
        <w:t>Skidmore</w:t>
      </w:r>
      <w:r w:rsidRPr="00842D3D">
        <w:rPr>
          <w:rFonts w:eastAsia="Calibri" w:cs="Times New Roman"/>
        </w:rPr>
        <w:t xml:space="preserve"> have continued to refer to the copying test as requiring access and substantial similarity. </w:t>
      </w:r>
      <w:r w:rsidRPr="00842D3D">
        <w:rPr>
          <w:rFonts w:eastAsia="Calibri" w:cs="Times New Roman"/>
          <w:i/>
          <w:iCs/>
        </w:rPr>
        <w:t>See, e.g.</w:t>
      </w:r>
      <w:r w:rsidRPr="00842D3D">
        <w:rPr>
          <w:rFonts w:eastAsia="Calibri" w:cs="Times New Roman"/>
        </w:rPr>
        <w:t xml:space="preserve">, </w:t>
      </w:r>
      <w:r w:rsidRPr="00842D3D">
        <w:rPr>
          <w:rFonts w:eastAsia="Calibri" w:cs="Times New Roman"/>
          <w:i/>
          <w:iCs/>
        </w:rPr>
        <w:t>Unicolors, Inc. v. H&amp;M Hennes &amp; Mauritz, L.P.</w:t>
      </w:r>
      <w:r w:rsidRPr="00842D3D">
        <w:rPr>
          <w:rFonts w:eastAsia="Calibri" w:cs="Times New Roman"/>
        </w:rPr>
        <w:t xml:space="preserve">, 52 F.4th 1054, 1084 (9th Cir. 2022);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Gray v. Hudson</w:t>
      </w:r>
      <w:r w:rsidRPr="00842D3D">
        <w:rPr>
          <w:rFonts w:eastAsia="Calibri" w:cs="Times New Roman"/>
        </w:rPr>
        <w:t xml:space="preserve">, 28 F.4th 87, 96 (9th Cir. 2022); </w:t>
      </w:r>
      <w:r w:rsidRPr="00842D3D">
        <w:rPr>
          <w:rFonts w:eastAsia="Calibri" w:cs="Times New Roman"/>
          <w:i/>
          <w:iCs/>
        </w:rPr>
        <w:t>Woodland v. Hill</w:t>
      </w:r>
      <w:r w:rsidRPr="00842D3D">
        <w:rPr>
          <w:rFonts w:eastAsia="Calibri" w:cs="Times New Roman"/>
        </w:rPr>
        <w:t>, 136 F.4th 1199, 1210 (9th Cir. 2025) (rejecting plaintiff’s theory that allegations of copying of twelve photos showed serial infringement and “raise[d] an inference of copying”).</w:t>
      </w:r>
    </w:p>
    <w:p w14:paraId="12F639F2" w14:textId="77777777" w:rsidR="00842D3D" w:rsidRPr="00842D3D" w:rsidRDefault="00842D3D" w:rsidP="00842D3D">
      <w:pPr>
        <w:autoSpaceDE w:val="0"/>
        <w:autoSpaceDN w:val="0"/>
        <w:adjustRightInd w:val="0"/>
        <w:rPr>
          <w:rFonts w:eastAsia="Calibri" w:cs="Times New Roman"/>
        </w:rPr>
      </w:pPr>
    </w:p>
    <w:p w14:paraId="0B19C738" w14:textId="5F02FC7E"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Access and substantial similarity are each explained further in the following two instructions. </w:t>
      </w:r>
      <w:r w:rsidRPr="00842D3D">
        <w:rPr>
          <w:rFonts w:eastAsia="Calibri" w:cs="Times New Roman"/>
          <w:i/>
          <w:iCs/>
        </w:rPr>
        <w:t xml:space="preserve">See </w:t>
      </w:r>
      <w:r w:rsidRPr="00842D3D">
        <w:rPr>
          <w:rFonts w:eastAsia="Calibri" w:cs="Times New Roman"/>
        </w:rPr>
        <w:t>Instruction 17.18 (Copyright Infringement—Copying—Access Defined), and 17.19 (Substantial Similarity—Extrinsic Test; Intrinsic Test)</w:t>
      </w:r>
      <w:r w:rsidR="00E54E76">
        <w:rPr>
          <w:rFonts w:eastAsia="Calibri" w:cs="Times New Roman"/>
        </w:rPr>
        <w:t xml:space="preserve">. </w:t>
      </w:r>
    </w:p>
    <w:p w14:paraId="76FC5BB3" w14:textId="77777777" w:rsidR="00842D3D" w:rsidRPr="00842D3D" w:rsidRDefault="00842D3D" w:rsidP="00842D3D">
      <w:pPr>
        <w:autoSpaceDE w:val="0"/>
        <w:autoSpaceDN w:val="0"/>
        <w:adjustRightInd w:val="0"/>
        <w:rPr>
          <w:rFonts w:eastAsia="Calibri" w:cs="Times New Roman"/>
        </w:rPr>
      </w:pPr>
    </w:p>
    <w:p w14:paraId="4A56D03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it can be determined that either access or substantial similarity are lacking in a</w:t>
      </w:r>
    </w:p>
    <w:p w14:paraId="7F7FE2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particular case, the remaining prong need not be addressed; failure on either prong is sufficient</w:t>
      </w:r>
    </w:p>
    <w:p w14:paraId="6816564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 xml:space="preserve">for failure of the claim. </w:t>
      </w:r>
      <w:r w:rsidRPr="00842D3D">
        <w:rPr>
          <w:rFonts w:eastAsia="Calibri" w:cs="Times New Roman"/>
          <w:i/>
          <w:iCs/>
        </w:rPr>
        <w:t>See Gray v. Hudson</w:t>
      </w:r>
      <w:r w:rsidRPr="00842D3D">
        <w:rPr>
          <w:rFonts w:eastAsia="Calibri" w:cs="Times New Roman"/>
        </w:rPr>
        <w:t xml:space="preserve">, 28 F.4th 87, 96 (9th Cir. 2022). “[I]n the absence of any proof of access, a copyright plaintiff can still make out a case of infringement by showing that the songs were ‘strikingly similar.’” </w:t>
      </w:r>
      <w:r w:rsidRPr="00842D3D">
        <w:rPr>
          <w:rFonts w:eastAsia="Calibri" w:cs="Times New Roman"/>
          <w:i/>
          <w:iCs/>
        </w:rPr>
        <w:t>Three Boys Music Corp. v. Bolton</w:t>
      </w:r>
      <w:r w:rsidRPr="00842D3D">
        <w:rPr>
          <w:rFonts w:eastAsia="Calibri" w:cs="Times New Roman"/>
        </w:rPr>
        <w:t xml:space="preserve">, 212 F.3d 477, 485 (9th Cir. 2000) (citing </w:t>
      </w:r>
      <w:r w:rsidRPr="00842D3D">
        <w:rPr>
          <w:rFonts w:eastAsia="Calibri" w:cs="Times New Roman"/>
          <w:i/>
          <w:iCs/>
        </w:rPr>
        <w:t>Smith v. Jackson</w:t>
      </w:r>
      <w:r w:rsidRPr="00842D3D">
        <w:rPr>
          <w:rFonts w:eastAsia="Calibri" w:cs="Times New Roman"/>
        </w:rPr>
        <w:t xml:space="preserve">, 84 F.3d 1213, 1220 (9th Cir. 1996), and </w:t>
      </w:r>
      <w:r w:rsidRPr="00842D3D">
        <w:rPr>
          <w:rFonts w:eastAsia="Calibri" w:cs="Times New Roman"/>
          <w:i/>
          <w:iCs/>
        </w:rPr>
        <w:t>Baxter v. MCA, Inc.</w:t>
      </w:r>
      <w:r w:rsidRPr="00842D3D">
        <w:rPr>
          <w:rFonts w:eastAsia="Calibri" w:cs="Times New Roman"/>
        </w:rPr>
        <w:t xml:space="preserve">, 812 F.2d 421, 423, 424 n.2 (9th Cir. 1987)), </w:t>
      </w:r>
      <w:r w:rsidRPr="00842D3D">
        <w:rPr>
          <w:rFonts w:eastAsia="Calibri" w:cs="Times New Roman"/>
          <w:i/>
          <w:iCs/>
        </w:rPr>
        <w:t>overruled on other grounds by Skidmore v. Led Zeppelin</w:t>
      </w:r>
      <w:r w:rsidRPr="00842D3D">
        <w:rPr>
          <w:rFonts w:eastAsia="Calibri" w:cs="Times New Roman"/>
        </w:rPr>
        <w:t xml:space="preserve">, 952 F.3d 1051, 1064 (9th Cir. 2020) (en banc). “[S]triking similarity shows that the similarities between the two works are due to copying rather than coincidence, independent creation, or prior common source.” </w:t>
      </w:r>
      <w:r w:rsidRPr="00842D3D">
        <w:rPr>
          <w:rFonts w:eastAsia="Calibri" w:cs="Times New Roman"/>
          <w:i/>
          <w:iCs/>
        </w:rPr>
        <w:t>Skidmore</w:t>
      </w:r>
      <w:r w:rsidRPr="00842D3D">
        <w:rPr>
          <w:rFonts w:eastAsia="Calibri" w:cs="Times New Roman"/>
        </w:rPr>
        <w:t>, 952 F.3d at 1064 (quotation marks, ellipsis, and citation omitted).</w:t>
      </w:r>
    </w:p>
    <w:p w14:paraId="3BF9F821" w14:textId="77777777" w:rsidR="00842D3D" w:rsidRPr="00842D3D" w:rsidRDefault="00842D3D" w:rsidP="00842D3D">
      <w:pPr>
        <w:autoSpaceDE w:val="0"/>
        <w:autoSpaceDN w:val="0"/>
        <w:adjustRightInd w:val="0"/>
        <w:rPr>
          <w:rFonts w:eastAsia="Calibri" w:cs="Times New Roman"/>
        </w:rPr>
      </w:pPr>
    </w:p>
    <w:p w14:paraId="7FB0E53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057AB3B" w14:textId="77777777" w:rsidR="00842D3D" w:rsidRPr="00842D3D" w:rsidRDefault="00842D3D" w:rsidP="00842D3D">
      <w:pPr>
        <w:autoSpaceDE w:val="0"/>
        <w:autoSpaceDN w:val="0"/>
        <w:adjustRightInd w:val="0"/>
        <w:jc w:val="center"/>
        <w:rPr>
          <w:rFonts w:eastAsia="Calibri" w:cs="Times New Roman"/>
          <w:b/>
          <w:bCs/>
        </w:rPr>
      </w:pPr>
    </w:p>
    <w:p w14:paraId="7E50CE52"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u w:val="single"/>
        </w:rPr>
        <w:t>If the defendant has submitted evidence that a similarity between the infringed and the allegedly infringing work is not due to the defendant’s copying, replace the instruction with the following.</w:t>
      </w:r>
      <w:r w:rsidRPr="00842D3D">
        <w:rPr>
          <w:rFonts w:eastAsia="Calibri" w:cs="Times New Roman"/>
        </w:rPr>
        <w:t>]</w:t>
      </w:r>
    </w:p>
    <w:p w14:paraId="7D082276" w14:textId="77777777" w:rsidR="00842D3D" w:rsidRPr="00842D3D" w:rsidRDefault="00842D3D" w:rsidP="00842D3D">
      <w:pPr>
        <w:autoSpaceDE w:val="0"/>
        <w:autoSpaceDN w:val="0"/>
        <w:adjustRightInd w:val="0"/>
        <w:rPr>
          <w:rFonts w:eastAsia="Calibri" w:cs="Times New Roman"/>
        </w:rPr>
      </w:pPr>
    </w:p>
    <w:p w14:paraId="3C1F00AE"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plaintiff [</w:t>
      </w:r>
      <w:r w:rsidRPr="00842D3D">
        <w:rPr>
          <w:rFonts w:eastAsia="Calibri" w:cs="Times New Roman"/>
          <w:i/>
          <w:iCs/>
          <w:u w:val="single"/>
        </w:rPr>
        <w:t>name</w:t>
      </w:r>
      <w:r w:rsidRPr="00842D3D">
        <w:rPr>
          <w:rFonts w:eastAsia="Calibri" w:cs="Times New Roman"/>
        </w:rPr>
        <w:t>] has the burden of proving that the defendant [</w:t>
      </w:r>
      <w:r w:rsidRPr="00842D3D">
        <w:rPr>
          <w:rFonts w:eastAsia="Calibri" w:cs="Times New Roman"/>
          <w:i/>
          <w:iCs/>
          <w:u w:val="single"/>
        </w:rPr>
        <w:t>name</w:t>
      </w:r>
      <w:r w:rsidRPr="00842D3D">
        <w:rPr>
          <w:rFonts w:eastAsia="Calibri" w:cs="Times New Roman"/>
        </w:rPr>
        <w:t>] copied original elements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[proves by a preponderance of the evidence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copyrighted work and that there are substantial similarities between the defendant [</w:t>
      </w:r>
      <w:r w:rsidRPr="00842D3D">
        <w:rPr>
          <w:rFonts w:eastAsia="Calibri" w:cs="Times New Roman"/>
          <w:i/>
          <w:iCs/>
          <w:u w:val="single"/>
        </w:rPr>
        <w:t>name</w:t>
      </w:r>
      <w:r w:rsidRPr="00842D3D">
        <w:rPr>
          <w:rFonts w:eastAsia="Calibri" w:cs="Times New Roman"/>
        </w:rPr>
        <w:t>]’s work and original elements of the plaintiff [</w:t>
      </w:r>
      <w:r w:rsidRPr="00842D3D">
        <w:rPr>
          <w:rFonts w:eastAsia="Calibri" w:cs="Times New Roman"/>
          <w:i/>
          <w:iCs/>
          <w:u w:val="single"/>
        </w:rPr>
        <w:t>name</w:t>
      </w:r>
      <w:r w:rsidRPr="00842D3D">
        <w:rPr>
          <w:rFonts w:eastAsia="Calibri" w:cs="Times New Roman"/>
        </w:rPr>
        <w:t>]’s work] [proves by a preponderance of the evidence that there is a striking similarity between the defendant [</w:t>
      </w:r>
      <w:r w:rsidRPr="00842D3D">
        <w:rPr>
          <w:rFonts w:eastAsia="Calibri" w:cs="Times New Roman"/>
          <w:i/>
          <w:iCs/>
          <w:u w:val="single"/>
        </w:rPr>
        <w:t>name</w:t>
      </w:r>
      <w:r w:rsidRPr="00842D3D">
        <w:rPr>
          <w:rFonts w:eastAsia="Calibri" w:cs="Times New Roman"/>
        </w:rPr>
        <w:t>]’s work and the original elements of the plaintiff [</w:t>
      </w:r>
      <w:r w:rsidRPr="00842D3D">
        <w:rPr>
          <w:rFonts w:eastAsia="Calibri" w:cs="Times New Roman"/>
          <w:i/>
          <w:iCs/>
          <w:u w:val="single"/>
        </w:rPr>
        <w:t>name</w:t>
      </w:r>
      <w:r w:rsidRPr="00842D3D">
        <w:rPr>
          <w:rFonts w:eastAsia="Calibri" w:cs="Times New Roman"/>
        </w:rPr>
        <w:t>]’s copyrighted work] then there is a presumption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fails to prove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0C69D7C6" w14:textId="77777777" w:rsidR="00842D3D" w:rsidRPr="00842D3D" w:rsidRDefault="00842D3D" w:rsidP="00842D3D">
      <w:pPr>
        <w:autoSpaceDE w:val="0"/>
        <w:autoSpaceDN w:val="0"/>
        <w:adjustRightInd w:val="0"/>
        <w:ind w:left="720" w:firstLine="720"/>
        <w:rPr>
          <w:rFonts w:eastAsia="Calibri" w:cs="Times New Roman"/>
        </w:rPr>
      </w:pPr>
    </w:p>
    <w:p w14:paraId="5387821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defendant [</w:t>
      </w:r>
      <w:r w:rsidRPr="00842D3D">
        <w:rPr>
          <w:rFonts w:eastAsia="Calibri" w:cs="Times New Roman"/>
          <w:i/>
          <w:iCs/>
          <w:u w:val="single"/>
        </w:rPr>
        <w:t>name</w:t>
      </w:r>
      <w:r w:rsidRPr="00842D3D">
        <w:rPr>
          <w:rFonts w:eastAsia="Calibri" w:cs="Times New Roman"/>
        </w:rPr>
        <w:t>] may rebut the presumption of copying. If you find that the defendant [</w:t>
      </w:r>
      <w:r w:rsidRPr="00842D3D">
        <w:rPr>
          <w:rFonts w:eastAsia="Calibri" w:cs="Times New Roman"/>
          <w:i/>
          <w:iCs/>
          <w:u w:val="single"/>
        </w:rPr>
        <w:t>name</w:t>
      </w:r>
      <w:r w:rsidRPr="00842D3D">
        <w:rPr>
          <w:rFonts w:eastAsia="Calibri" w:cs="Times New Roman"/>
        </w:rPr>
        <w:t>] has proved by a preponderance of evidence that the similarities between the defendant [</w:t>
      </w:r>
      <w:r w:rsidRPr="00842D3D">
        <w:rPr>
          <w:rFonts w:eastAsia="Calibri" w:cs="Times New Roman"/>
          <w:i/>
          <w:iCs/>
          <w:u w:val="single"/>
        </w:rPr>
        <w:t>name</w:t>
      </w:r>
      <w:r w:rsidRPr="00842D3D">
        <w:rPr>
          <w:rFonts w:eastAsia="Calibri" w:cs="Times New Roman"/>
        </w:rPr>
        <w:t>]’s work and the copyrighted work are due to [</w:t>
      </w:r>
      <w:r w:rsidRPr="00842D3D">
        <w:rPr>
          <w:rFonts w:eastAsia="Calibri" w:cs="Times New Roman"/>
          <w:i/>
          <w:iCs/>
          <w:u w:val="single"/>
        </w:rPr>
        <w:t>alternative case of similarity</w:t>
      </w:r>
      <w:r w:rsidRPr="00842D3D">
        <w:rPr>
          <w:rFonts w:eastAsia="Calibri" w:cs="Times New Roman"/>
        </w:rPr>
        <w:t>], your verdict should be for the defendant [</w:t>
      </w:r>
      <w:r w:rsidRPr="00842D3D">
        <w:rPr>
          <w:rFonts w:eastAsia="Calibri" w:cs="Times New Roman"/>
          <w:i/>
          <w:iCs/>
          <w:u w:val="single"/>
        </w:rPr>
        <w:t>name</w:t>
      </w:r>
      <w:r w:rsidRPr="00842D3D">
        <w:rPr>
          <w:rFonts w:eastAsia="Calibri" w:cs="Times New Roman"/>
        </w:rPr>
        <w:t>].</w:t>
      </w:r>
    </w:p>
    <w:p w14:paraId="1097CC23" w14:textId="77777777" w:rsidR="00842D3D" w:rsidRPr="00842D3D" w:rsidRDefault="00842D3D" w:rsidP="00842D3D">
      <w:pPr>
        <w:autoSpaceDE w:val="0"/>
        <w:autoSpaceDN w:val="0"/>
        <w:adjustRightInd w:val="0"/>
        <w:rPr>
          <w:rFonts w:eastAsia="Calibri" w:cs="Times New Roman"/>
        </w:rPr>
      </w:pPr>
    </w:p>
    <w:p w14:paraId="2A7F0B45"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66E02484" w14:textId="77777777" w:rsidR="00842D3D" w:rsidRPr="00842D3D" w:rsidRDefault="00842D3D" w:rsidP="00842D3D">
      <w:pPr>
        <w:autoSpaceDE w:val="0"/>
        <w:autoSpaceDN w:val="0"/>
        <w:adjustRightInd w:val="0"/>
        <w:rPr>
          <w:rFonts w:eastAsia="Calibri" w:cs="Times New Roman"/>
        </w:rPr>
      </w:pPr>
    </w:p>
    <w:p w14:paraId="3FE5BC9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presumption of copying arises if the plaintiff proves that the defendant had access to the plaintiff’s work and that there is a substantial similarity between the original elements of the infringed and alleged infringing works, or if there is a striking similarity between the infringed and alleged infringing works that raises the inference of access. </w:t>
      </w:r>
      <w:r w:rsidRPr="00842D3D">
        <w:rPr>
          <w:rFonts w:eastAsia="Calibri" w:cs="Times New Roman"/>
          <w:i/>
          <w:iCs/>
        </w:rPr>
        <w:t>Three Boys</w:t>
      </w:r>
      <w:r w:rsidRPr="00842D3D">
        <w:rPr>
          <w:rFonts w:eastAsia="Calibri" w:cs="Times New Roman"/>
        </w:rPr>
        <w:t>, 212 F.3d at 486 (“By establishing reasonable access and substantial similarity, a copyright plaintiff creates a presumption of copying.” (citing</w:t>
      </w:r>
      <w:r w:rsidRPr="00842D3D">
        <w:rPr>
          <w:rFonts w:eastAsia="Calibri" w:cs="Times New Roman"/>
          <w:i/>
          <w:iCs/>
        </w:rPr>
        <w:t xml:space="preserve"> Granite Music Corp. v. United Artists Corp.</w:t>
      </w:r>
      <w:r w:rsidRPr="00842D3D">
        <w:rPr>
          <w:rFonts w:eastAsia="Calibri" w:cs="Times New Roman"/>
        </w:rPr>
        <w:t xml:space="preserve">, 532 F.2d 718, 721 (9th Cir. 1976))). The defendant may rebut the presumption through proof of independent creation.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cf. Herbert Rosenthal Jewelry Corp. v. Kalpakian</w:t>
      </w:r>
      <w:r w:rsidRPr="00842D3D">
        <w:rPr>
          <w:rFonts w:eastAsia="Calibri" w:cs="Times New Roman"/>
        </w:rPr>
        <w:t xml:space="preserve">,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w:t>
      </w:r>
      <w:r w:rsidRPr="00842D3D">
        <w:rPr>
          <w:rFonts w:eastAsia="Calibri" w:cs="Times New Roman"/>
        </w:rPr>
        <w:lastRenderedPageBreak/>
        <w:t xml:space="preserve">creation.”) (citations omitted); </w:t>
      </w:r>
      <w:r w:rsidRPr="00842D3D">
        <w:rPr>
          <w:rFonts w:eastAsia="Calibri" w:cs="Times New Roman"/>
          <w:i/>
          <w:iCs/>
        </w:rPr>
        <w:t>Skidmore</w:t>
      </w:r>
      <w:r w:rsidRPr="00842D3D">
        <w:rPr>
          <w:rFonts w:eastAsia="Calibri" w:cs="Times New Roman"/>
        </w:rPr>
        <w:t>, 952 F.3d at 1064 (holding that “probative or striking similarity shows that the similarities between the two works are due to copying</w:t>
      </w:r>
    </w:p>
    <w:p w14:paraId="6B8192A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rather than coincidence, independent creation, or prior common source”) (quotation marks, ellipsis, and citation omitted).</w:t>
      </w:r>
    </w:p>
    <w:p w14:paraId="64E3CC4F" w14:textId="77777777" w:rsidR="00842D3D" w:rsidRPr="00842D3D" w:rsidRDefault="00842D3D" w:rsidP="00842D3D">
      <w:pPr>
        <w:autoSpaceDE w:val="0"/>
        <w:autoSpaceDN w:val="0"/>
        <w:adjustRightInd w:val="0"/>
        <w:rPr>
          <w:rFonts w:eastAsia="Calibri" w:cs="Times New Roman"/>
        </w:rPr>
      </w:pPr>
    </w:p>
    <w:p w14:paraId="1221E30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390EF502" w14:textId="77777777" w:rsidR="00842D3D" w:rsidRPr="00842D3D" w:rsidRDefault="00842D3D" w:rsidP="00313A05">
      <w:pPr>
        <w:pStyle w:val="Heading2"/>
      </w:pPr>
      <w:r w:rsidRPr="00842D3D">
        <w:br w:type="page"/>
      </w:r>
      <w:bookmarkStart w:id="411" w:name="_Toc221525319"/>
      <w:r w:rsidRPr="00842D3D">
        <w:lastRenderedPageBreak/>
        <w:t>17.18 Copyright Infringement—Copying—Access Defined</w:t>
      </w:r>
      <w:bookmarkEnd w:id="411"/>
    </w:p>
    <w:p w14:paraId="0DDA1E6D" w14:textId="77777777" w:rsidR="00842D3D" w:rsidRPr="00842D3D" w:rsidRDefault="00842D3D" w:rsidP="00842D3D">
      <w:pPr>
        <w:autoSpaceDE w:val="0"/>
        <w:autoSpaceDN w:val="0"/>
        <w:adjustRightInd w:val="0"/>
        <w:rPr>
          <w:rFonts w:eastAsia="Calibri" w:cs="Times New Roman"/>
          <w:szCs w:val="24"/>
        </w:rPr>
      </w:pPr>
    </w:p>
    <w:p w14:paraId="03CE072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[As </w:t>
      </w:r>
      <w:r w:rsidRPr="00842D3D">
        <w:rPr>
          <w:rFonts w:eastAsia="Calibri" w:cs="Times New Roman"/>
        </w:rPr>
        <w:t>part of its burden in Instruction [</w:t>
      </w:r>
      <w:r w:rsidRPr="00842D3D">
        <w:rPr>
          <w:rFonts w:eastAsia="Calibri" w:cs="Times New Roman"/>
          <w:i/>
          <w:iCs/>
          <w:u w:val="single"/>
        </w:rPr>
        <w:t>insert cross reference to the pertinent instruction e.g., Instruction 17.17</w:t>
      </w:r>
      <w:r w:rsidRPr="00842D3D">
        <w:rPr>
          <w:rFonts w:eastAsia="Calibri" w:cs="Times New Roman"/>
        </w:rPr>
        <w:t>], the plaintiff [</w:t>
      </w:r>
      <w:r w:rsidRPr="00842D3D">
        <w:rPr>
          <w:rFonts w:eastAsia="Calibri" w:cs="Times New Roman"/>
          <w:i/>
          <w:iCs/>
          <w:u w:val="single"/>
        </w:rPr>
        <w:t>name</w:t>
      </w:r>
      <w:r w:rsidRPr="00842D3D">
        <w:rPr>
          <w:rFonts w:eastAsia="Calibri" w:cs="Times New Roman"/>
        </w:rPr>
        <w:t>] must prove by a preponderance of the evidence that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You may find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if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 reasonable opportunity to [view] [read] [hear] [copy] the plaintiff [</w:t>
      </w:r>
      <w:r w:rsidRPr="00842D3D">
        <w:rPr>
          <w:rFonts w:eastAsia="Calibri" w:cs="Times New Roman"/>
          <w:i/>
          <w:iCs/>
          <w:u w:val="single"/>
        </w:rPr>
        <w:t>name</w:t>
      </w:r>
      <w:r w:rsidRPr="00842D3D">
        <w:rPr>
          <w:rFonts w:eastAsia="Calibri" w:cs="Times New Roman"/>
        </w:rPr>
        <w:t>]’s work before the defendant [</w:t>
      </w:r>
      <w:r w:rsidRPr="00842D3D">
        <w:rPr>
          <w:rFonts w:eastAsia="Calibri" w:cs="Times New Roman"/>
          <w:i/>
          <w:iCs/>
          <w:u w:val="single"/>
        </w:rPr>
        <w:t>name</w:t>
      </w:r>
      <w:r w:rsidRPr="00842D3D">
        <w:rPr>
          <w:rFonts w:eastAsia="Calibri" w:cs="Times New Roman"/>
        </w:rPr>
        <w:t>]’s work was created.</w:t>
      </w:r>
    </w:p>
    <w:p w14:paraId="11F43410" w14:textId="77777777" w:rsidR="00842D3D" w:rsidRPr="00842D3D" w:rsidRDefault="00842D3D" w:rsidP="00842D3D">
      <w:pPr>
        <w:autoSpaceDE w:val="0"/>
        <w:autoSpaceDN w:val="0"/>
        <w:adjustRightInd w:val="0"/>
        <w:rPr>
          <w:rFonts w:eastAsia="Calibri" w:cs="Times New Roman"/>
        </w:rPr>
      </w:pPr>
    </w:p>
    <w:p w14:paraId="607E10B1"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F53500F" w14:textId="77777777" w:rsidR="00842D3D" w:rsidRPr="00842D3D" w:rsidRDefault="00842D3D" w:rsidP="00842D3D">
      <w:pPr>
        <w:autoSpaceDE w:val="0"/>
        <w:autoSpaceDN w:val="0"/>
        <w:adjustRightInd w:val="0"/>
        <w:rPr>
          <w:rFonts w:eastAsia="Calibri" w:cs="Times New Roman"/>
        </w:rPr>
      </w:pPr>
    </w:p>
    <w:p w14:paraId="1A332FA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Proof of access requires “an opportunity to view or to copy plaintiff’s work.” </w:t>
      </w:r>
      <w:r w:rsidRPr="00842D3D">
        <w:rPr>
          <w:rFonts w:eastAsia="Calibri" w:cs="Times New Roman"/>
          <w:i/>
          <w:iCs/>
        </w:rPr>
        <w:t>See Sid &amp; Marty Krofft Television Prods., Inc. v. McDonald’s Corp</w:t>
      </w:r>
      <w:r w:rsidRPr="00842D3D">
        <w:rPr>
          <w:rFonts w:eastAsia="Calibri" w:cs="Times New Roman"/>
        </w:rPr>
        <w:t xml:space="preserve">., 562 F.2d 1157, 1172 (9th Cir. 1977); </w:t>
      </w:r>
      <w:r w:rsidRPr="00842D3D">
        <w:rPr>
          <w:rFonts w:eastAsia="Calibri" w:cs="Times New Roman"/>
          <w:i/>
          <w:iCs/>
        </w:rPr>
        <w:t>see also Art Attacks Ink, LLC v. MGA Ent. Inc.</w:t>
      </w:r>
      <w:r w:rsidRPr="00842D3D">
        <w:rPr>
          <w:rFonts w:eastAsia="Calibri" w:cs="Times New Roman"/>
        </w:rPr>
        <w:t xml:space="preserve">, 581 F.3d 1138, 1143 (9th Cir. 2009) (requiring “a reasonable possibility, not merely a bare possibility”); </w:t>
      </w:r>
      <w:r w:rsidRPr="00842D3D">
        <w:rPr>
          <w:rFonts w:eastAsia="Calibri" w:cs="Times New Roman"/>
          <w:i/>
          <w:iCs/>
        </w:rPr>
        <w:t>Three Boys Music Corp. v. Bolton</w:t>
      </w:r>
      <w:r w:rsidRPr="00842D3D">
        <w:rPr>
          <w:rFonts w:eastAsia="Calibri" w:cs="Times New Roman"/>
        </w:rPr>
        <w:t xml:space="preserve">, 212 F.3d 477, 482 (9th Cir. 2000) (same), </w:t>
      </w:r>
      <w:r w:rsidRPr="00842D3D">
        <w:rPr>
          <w:rFonts w:eastAsia="Calibri" w:cs="Times New Roman"/>
          <w:i/>
          <w:iCs/>
        </w:rPr>
        <w:t>overruled on other grounds by Skidmore v. Led Zeppelin</w:t>
      </w:r>
      <w:r w:rsidRPr="00842D3D">
        <w:rPr>
          <w:rFonts w:eastAsia="Calibri" w:cs="Times New Roman"/>
        </w:rPr>
        <w:t>, 952 F.3d 1051, 1064 (9th Cir. 2020) (en banc)</w:t>
      </w:r>
      <w:r w:rsidRPr="00842D3D">
        <w:rPr>
          <w:rFonts w:eastAsia="Calibri" w:cs="Times New Roman"/>
          <w:i/>
          <w:iCs/>
        </w:rPr>
        <w:t>.</w:t>
      </w:r>
    </w:p>
    <w:p w14:paraId="38B82290" w14:textId="77777777" w:rsidR="00842D3D" w:rsidRPr="00842D3D" w:rsidRDefault="00842D3D" w:rsidP="00842D3D">
      <w:pPr>
        <w:autoSpaceDE w:val="0"/>
        <w:autoSpaceDN w:val="0"/>
        <w:adjustRightInd w:val="0"/>
        <w:rPr>
          <w:rFonts w:eastAsia="Calibri" w:cs="Times New Roman"/>
        </w:rPr>
      </w:pPr>
    </w:p>
    <w:p w14:paraId="0B12C2A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69C37B47" w14:textId="77777777" w:rsidR="00842D3D" w:rsidRPr="00842D3D" w:rsidRDefault="00842D3D" w:rsidP="00842D3D">
      <w:pPr>
        <w:autoSpaceDE w:val="0"/>
        <w:autoSpaceDN w:val="0"/>
        <w:adjustRightInd w:val="0"/>
        <w:rPr>
          <w:rFonts w:eastAsia="Calibri" w:cs="Times New Roman"/>
          <w:b/>
          <w:bCs/>
        </w:rPr>
      </w:pPr>
    </w:p>
    <w:p w14:paraId="0B5D4C7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r w:rsidRPr="00842D3D">
        <w:rPr>
          <w:rFonts w:eastAsia="Calibri" w:cs="Times New Roman"/>
          <w:i/>
          <w:iCs/>
        </w:rPr>
        <w:t>If evidence offered at trial shows various ways of proving access, add the following at the end of the instruction</w:t>
      </w:r>
      <w:r w:rsidRPr="00842D3D">
        <w:rPr>
          <w:rFonts w:eastAsia="Calibri" w:cs="Times New Roman"/>
        </w:rPr>
        <w:t>.]</w:t>
      </w:r>
    </w:p>
    <w:p w14:paraId="154BBD90" w14:textId="77777777" w:rsidR="00842D3D" w:rsidRPr="00842D3D" w:rsidRDefault="00842D3D" w:rsidP="00842D3D">
      <w:pPr>
        <w:autoSpaceDE w:val="0"/>
        <w:autoSpaceDN w:val="0"/>
        <w:adjustRightInd w:val="0"/>
        <w:rPr>
          <w:rFonts w:eastAsia="Calibri" w:cs="Times New Roman"/>
        </w:rPr>
      </w:pPr>
    </w:p>
    <w:p w14:paraId="15B3FD9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Access may be shown by:</w:t>
      </w:r>
    </w:p>
    <w:p w14:paraId="3514D0F1" w14:textId="77777777" w:rsidR="00842D3D" w:rsidRPr="00842D3D" w:rsidRDefault="00842D3D" w:rsidP="00842D3D">
      <w:pPr>
        <w:autoSpaceDE w:val="0"/>
        <w:autoSpaceDN w:val="0"/>
        <w:adjustRightInd w:val="0"/>
        <w:rPr>
          <w:rFonts w:eastAsia="Calibri" w:cs="Times New Roman"/>
        </w:rPr>
      </w:pPr>
    </w:p>
    <w:p w14:paraId="7AA078C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a chain of events connecting the plaintiff [</w:t>
      </w:r>
      <w:r w:rsidRPr="00842D3D">
        <w:rPr>
          <w:rFonts w:eastAsia="Calibri" w:cs="Times New Roman"/>
          <w:i/>
          <w:iCs/>
          <w:u w:val="single"/>
        </w:rPr>
        <w:t>name</w:t>
      </w:r>
      <w:r w:rsidRPr="00842D3D">
        <w:rPr>
          <w:rFonts w:eastAsia="Calibri" w:cs="Times New Roman"/>
        </w:rPr>
        <w:t>]’s work and the defendant [</w:t>
      </w:r>
      <w:r w:rsidRPr="00842D3D">
        <w:rPr>
          <w:rFonts w:eastAsia="Calibri" w:cs="Times New Roman"/>
          <w:i/>
          <w:iCs/>
          <w:u w:val="single"/>
        </w:rPr>
        <w:t>name</w:t>
      </w:r>
      <w:r w:rsidRPr="00842D3D">
        <w:rPr>
          <w:rFonts w:eastAsia="Calibri" w:cs="Times New Roman"/>
        </w:rPr>
        <w:t>]’s opportunity to [view] [hear] [copy] that work [such as dealings through a third party (such as a publisher or record company) that had access to the plaintiff [</w:t>
      </w:r>
      <w:r w:rsidRPr="00842D3D">
        <w:rPr>
          <w:rFonts w:eastAsia="Calibri" w:cs="Times New Roman"/>
          <w:i/>
          <w:iCs/>
          <w:u w:val="single"/>
        </w:rPr>
        <w:t>name</w:t>
      </w:r>
      <w:r w:rsidRPr="00842D3D">
        <w:rPr>
          <w:rFonts w:eastAsia="Calibri" w:cs="Times New Roman"/>
        </w:rPr>
        <w:t>]’s work and with whom both the plaintiff and the defendant [</w:t>
      </w:r>
      <w:r w:rsidRPr="00842D3D">
        <w:rPr>
          <w:rFonts w:eastAsia="Calibri" w:cs="Times New Roman"/>
          <w:i/>
          <w:iCs/>
          <w:u w:val="single"/>
        </w:rPr>
        <w:t>name</w:t>
      </w:r>
      <w:r w:rsidRPr="00842D3D">
        <w:rPr>
          <w:rFonts w:eastAsia="Calibri" w:cs="Times New Roman"/>
        </w:rPr>
        <w:t>] were dealing]] [or]</w:t>
      </w:r>
    </w:p>
    <w:p w14:paraId="79465237" w14:textId="77777777" w:rsidR="00842D3D" w:rsidRPr="00842D3D" w:rsidRDefault="00842D3D" w:rsidP="00842D3D">
      <w:pPr>
        <w:autoSpaceDE w:val="0"/>
        <w:autoSpaceDN w:val="0"/>
        <w:adjustRightInd w:val="0"/>
        <w:rPr>
          <w:rFonts w:eastAsia="Calibri" w:cs="Times New Roman"/>
        </w:rPr>
      </w:pPr>
    </w:p>
    <w:p w14:paraId="19CD05C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[2.</w:t>
      </w:r>
      <w:r w:rsidRPr="00842D3D">
        <w:rPr>
          <w:rFonts w:eastAsia="Calibri" w:cs="Times New Roman"/>
        </w:rPr>
        <w:tab/>
        <w:t>the plaintiff [</w:t>
      </w:r>
      <w:r w:rsidRPr="00842D3D">
        <w:rPr>
          <w:rFonts w:eastAsia="Calibri" w:cs="Times New Roman"/>
          <w:i/>
          <w:iCs/>
          <w:u w:val="single"/>
        </w:rPr>
        <w:t>name</w:t>
      </w:r>
      <w:r w:rsidRPr="00842D3D">
        <w:rPr>
          <w:rFonts w:eastAsia="Calibri" w:cs="Times New Roman"/>
        </w:rPr>
        <w:t>]’s work being widely disseminated] [or]</w:t>
      </w:r>
    </w:p>
    <w:p w14:paraId="6963C8F5" w14:textId="77777777" w:rsidR="00842D3D" w:rsidRPr="00842D3D" w:rsidRDefault="00842D3D" w:rsidP="00842D3D">
      <w:pPr>
        <w:autoSpaceDE w:val="0"/>
        <w:autoSpaceDN w:val="0"/>
        <w:adjustRightInd w:val="0"/>
        <w:rPr>
          <w:rFonts w:eastAsia="Calibri" w:cs="Times New Roman"/>
        </w:rPr>
      </w:pPr>
    </w:p>
    <w:p w14:paraId="34215026"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a similarity between the plaintiff [</w:t>
      </w:r>
      <w:r w:rsidRPr="00842D3D">
        <w:rPr>
          <w:rFonts w:eastAsia="Calibri" w:cs="Times New Roman"/>
          <w:i/>
          <w:iCs/>
          <w:u w:val="single"/>
        </w:rPr>
        <w:t>name</w:t>
      </w:r>
      <w:r w:rsidRPr="00842D3D">
        <w:rPr>
          <w:rFonts w:eastAsia="Calibri" w:cs="Times New Roman"/>
        </w:rPr>
        <w:t>]’s work and the defendant [</w:t>
      </w:r>
      <w:r w:rsidRPr="00842D3D">
        <w:rPr>
          <w:rFonts w:eastAsia="Calibri" w:cs="Times New Roman"/>
          <w:i/>
          <w:iCs/>
          <w:u w:val="single"/>
        </w:rPr>
        <w:t>name</w:t>
      </w:r>
      <w:r w:rsidRPr="00842D3D">
        <w:rPr>
          <w:rFonts w:eastAsia="Calibri" w:cs="Times New Roman"/>
        </w:rPr>
        <w:t>]’s work that is so “striking” that it is highly likely the works were not created independent of one another].</w:t>
      </w:r>
    </w:p>
    <w:p w14:paraId="7D0C7FEB" w14:textId="77777777" w:rsidR="00842D3D" w:rsidRPr="00842D3D" w:rsidRDefault="00842D3D" w:rsidP="00842D3D">
      <w:pPr>
        <w:autoSpaceDE w:val="0"/>
        <w:autoSpaceDN w:val="0"/>
        <w:adjustRightInd w:val="0"/>
        <w:rPr>
          <w:rFonts w:eastAsia="Calibri" w:cs="Times New Roman"/>
        </w:rPr>
      </w:pPr>
    </w:p>
    <w:p w14:paraId="63944A7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4AF986E1" w14:textId="77777777" w:rsidR="00842D3D" w:rsidRPr="00842D3D" w:rsidRDefault="00842D3D" w:rsidP="00842D3D">
      <w:pPr>
        <w:autoSpaceDE w:val="0"/>
        <w:autoSpaceDN w:val="0"/>
        <w:adjustRightInd w:val="0"/>
        <w:rPr>
          <w:rFonts w:eastAsia="Calibri" w:cs="Times New Roman"/>
        </w:rPr>
      </w:pPr>
    </w:p>
    <w:p w14:paraId="61B842C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“Where there is no direct evidence of access, circumstantial evidence can be used to prove access either by (1) establishing a chain of events linking the plaintiff’s work and the defendant’s access, or (2) showing that the plaintiff’s work has been widely disseminated.” (citation omitted)</w:t>
      </w:r>
      <w:r w:rsidRPr="00842D3D">
        <w:rPr>
          <w:rFonts w:eastAsia="Calibri" w:cs="Times New Roman"/>
          <w:i/>
          <w:iCs/>
        </w:rPr>
        <w:t xml:space="preserve"> Loomis v. Cornish</w:t>
      </w:r>
      <w:r w:rsidRPr="00842D3D">
        <w:rPr>
          <w:rFonts w:eastAsia="Calibri" w:cs="Times New Roman"/>
        </w:rPr>
        <w:t xml:space="preserve">, 836 F.3d 991, 995 (9th Cir. 2016); </w:t>
      </w:r>
      <w:r w:rsidRPr="00842D3D">
        <w:rPr>
          <w:rFonts w:eastAsia="Calibri" w:cs="Times New Roman"/>
          <w:i/>
          <w:iCs/>
        </w:rPr>
        <w:t>see also Three Boys</w:t>
      </w:r>
      <w:r w:rsidRPr="00842D3D">
        <w:rPr>
          <w:rFonts w:eastAsia="Calibri" w:cs="Times New Roman"/>
        </w:rPr>
        <w:t xml:space="preserve">, 212 F.3d at 482 (holding that reasonable access can be shown by a chain of events connecting plaintiff’s work and defendant’s access or by plaintiff’s work being widely distributed, and </w:t>
      </w:r>
      <w:r w:rsidRPr="00842D3D">
        <w:rPr>
          <w:rFonts w:eastAsia="Calibri" w:cs="Times New Roman"/>
        </w:rPr>
        <w:lastRenderedPageBreak/>
        <w:t xml:space="preserve">stating that the widespread dissemination approach is often coupled with a theory of “subconscious copying”); </w:t>
      </w:r>
      <w:r w:rsidRPr="00842D3D">
        <w:rPr>
          <w:rFonts w:eastAsia="Calibri" w:cs="Times New Roman"/>
          <w:i/>
          <w:iCs/>
        </w:rPr>
        <w:t>Art Attacks Ink</w:t>
      </w:r>
      <w:r w:rsidRPr="00842D3D">
        <w:rPr>
          <w:rFonts w:eastAsia="Calibri" w:cs="Times New Roman"/>
        </w:rPr>
        <w:t xml:space="preserve"> 581 F.3d at 1143-45 (holding no access shown under chain of events or wide dissemination theories); </w:t>
      </w:r>
      <w:r w:rsidRPr="00842D3D">
        <w:rPr>
          <w:rFonts w:eastAsia="Calibri" w:cs="Times New Roman"/>
          <w:i/>
          <w:iCs/>
        </w:rPr>
        <w:t>Kamar Int’l, Inc. v. Russ Berrie &amp; Co</w:t>
      </w:r>
      <w:r w:rsidRPr="00842D3D">
        <w:rPr>
          <w:rFonts w:eastAsia="Calibri" w:cs="Times New Roman"/>
        </w:rPr>
        <w:t xml:space="preserve">., 657 F.2d 1059 (9th Cir. 1981) (holding access shown by dealings between parties and third party on chain of events theory relating to same subject matter); </w:t>
      </w:r>
      <w:r w:rsidRPr="00842D3D">
        <w:rPr>
          <w:rFonts w:eastAsia="Calibri" w:cs="Times New Roman"/>
          <w:i/>
          <w:iCs/>
        </w:rPr>
        <w:t>Woodland v. Hill</w:t>
      </w:r>
      <w:r w:rsidRPr="00842D3D">
        <w:rPr>
          <w:rFonts w:eastAsia="Calibri" w:cs="Times New Roman"/>
        </w:rPr>
        <w:t xml:space="preserve">, 136 F.4th 1199, 1210 (9th Cir. 2025) (rejecting plaintiff’s theory that allegations of copying of twelve photos showed serial infringement and “raise[d] an inference of copying”). </w:t>
      </w:r>
    </w:p>
    <w:p w14:paraId="74E77CE0" w14:textId="77777777" w:rsidR="00842D3D" w:rsidRPr="00842D3D" w:rsidRDefault="00842D3D" w:rsidP="00842D3D">
      <w:pPr>
        <w:autoSpaceDE w:val="0"/>
        <w:autoSpaceDN w:val="0"/>
        <w:adjustRightInd w:val="0"/>
        <w:rPr>
          <w:rFonts w:eastAsia="Calibri" w:cs="Times New Roman"/>
        </w:rPr>
      </w:pPr>
    </w:p>
    <w:p w14:paraId="6FAE855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As to widespread dissemination, the plaintiff may show “the degree of a work's commercial success and on its distribution through . . . relevant mediums.” </w:t>
      </w:r>
      <w:r w:rsidRPr="00842D3D">
        <w:rPr>
          <w:rFonts w:eastAsia="Calibri" w:cs="Times New Roman"/>
          <w:i/>
          <w:iCs/>
        </w:rPr>
        <w:t>Loomis</w:t>
      </w:r>
      <w:r w:rsidRPr="00842D3D">
        <w:rPr>
          <w:rFonts w:eastAsia="Calibri" w:cs="Times New Roman"/>
        </w:rPr>
        <w:t xml:space="preserve">, 836 F.3d at 997; </w:t>
      </w:r>
      <w:r w:rsidRPr="00842D3D">
        <w:rPr>
          <w:rFonts w:eastAsia="Calibri" w:cs="Times New Roman"/>
          <w:i/>
          <w:iCs/>
        </w:rPr>
        <w:t>see also Three Boys</w:t>
      </w:r>
      <w:r w:rsidRPr="00842D3D">
        <w:rPr>
          <w:rFonts w:eastAsia="Calibri" w:cs="Times New Roman"/>
        </w:rPr>
        <w:t xml:space="preserve">, 212 F.3d at 484-85 (discussing evidence relevant to the widespread dissemination theory). In addition to raising an inference of access due to widespread dissemination, the plaintiff can raise an inference of access where the allegedly infringed work saturated a relevant market in which both the plaintiff and the defendant participate. </w:t>
      </w:r>
      <w:r w:rsidRPr="00842D3D">
        <w:rPr>
          <w:rFonts w:eastAsia="Calibri" w:cs="Times New Roman"/>
          <w:i/>
          <w:iCs/>
        </w:rPr>
        <w:t>See Loomis</w:t>
      </w:r>
      <w:r w:rsidRPr="00842D3D">
        <w:rPr>
          <w:rFonts w:eastAsia="Calibri" w:cs="Times New Roman"/>
        </w:rPr>
        <w:t xml:space="preserve">, 836 F.3d at 997; </w:t>
      </w:r>
      <w:r w:rsidRPr="00842D3D">
        <w:rPr>
          <w:rFonts w:eastAsia="Calibri" w:cs="Times New Roman"/>
          <w:i/>
          <w:iCs/>
        </w:rPr>
        <w:t>L.A. Printex Indus., Inc. v. Aeropostale, Inc.</w:t>
      </w:r>
      <w:r w:rsidRPr="00842D3D">
        <w:rPr>
          <w:rFonts w:eastAsia="Calibri" w:cs="Times New Roman"/>
        </w:rPr>
        <w:t xml:space="preserve">, 676 F.3d 841, 848 (9th Cir. 2012) (holding that “there was a reasonable possibility that Defendants had an opportunity to view and copy [the allegedly infringed] design” where plaintiff’s fabric design “was widely disseminated in the Los Angeles-area fabric industry” over a four-year period and the parties both operated in that market during that period). </w:t>
      </w:r>
    </w:p>
    <w:p w14:paraId="153F9236" w14:textId="77777777" w:rsidR="00842D3D" w:rsidRPr="00842D3D" w:rsidRDefault="00842D3D" w:rsidP="00842D3D">
      <w:pPr>
        <w:autoSpaceDE w:val="0"/>
        <w:autoSpaceDN w:val="0"/>
        <w:adjustRightInd w:val="0"/>
        <w:ind w:firstLine="720"/>
        <w:rPr>
          <w:rFonts w:eastAsia="Calibri" w:cs="Times New Roman"/>
        </w:rPr>
      </w:pPr>
    </w:p>
    <w:p w14:paraId="42D8EF7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The mere presence of the plaintiff’s work on a website is insufficient to establish widespread dissemination. </w:t>
      </w:r>
      <w:r w:rsidRPr="00842D3D">
        <w:rPr>
          <w:rFonts w:eastAsia="Calibri" w:cs="Times New Roman"/>
          <w:i/>
          <w:iCs/>
        </w:rPr>
        <w:t>See Art Attacks Ink</w:t>
      </w:r>
      <w:r w:rsidRPr="00842D3D">
        <w:rPr>
          <w:rFonts w:eastAsia="Calibri" w:cs="Times New Roman"/>
        </w:rPr>
        <w:t>, 581 F.3d at 1145. For a discussion of how social media platforms “could make it easier for plaintiffs to show that defendants had access to their materials—but only </w:t>
      </w:r>
      <w:r w:rsidRPr="00842D3D">
        <w:rPr>
          <w:rFonts w:eastAsia="Calibri" w:cs="Times New Roman"/>
          <w:i/>
          <w:iCs/>
        </w:rPr>
        <w:t>if</w:t>
      </w:r>
      <w:r w:rsidRPr="00842D3D">
        <w:rPr>
          <w:rFonts w:eastAsia="Calibri" w:cs="Times New Roman"/>
        </w:rPr>
        <w:t> they can show that the defendants had a reasonable chance of seeing their work under that platform's algorithm or content-sharing policy,”</w:t>
      </w:r>
      <w:r w:rsidRPr="00842D3D">
        <w:rPr>
          <w:rFonts w:eastAsia="Calibri" w:cs="Times New Roman"/>
          <w:i/>
          <w:iCs/>
        </w:rPr>
        <w:t xml:space="preserve"> </w:t>
      </w:r>
      <w:r w:rsidRPr="00842D3D">
        <w:rPr>
          <w:rFonts w:eastAsia="Calibri" w:cs="Times New Roman"/>
        </w:rPr>
        <w:t xml:space="preserve">see </w:t>
      </w:r>
      <w:r w:rsidRPr="00842D3D">
        <w:rPr>
          <w:rFonts w:eastAsia="Calibri" w:cs="Times New Roman"/>
          <w:i/>
          <w:iCs/>
        </w:rPr>
        <w:t>Woodland</w:t>
      </w:r>
      <w:r w:rsidRPr="00842D3D">
        <w:rPr>
          <w:rFonts w:eastAsia="Calibri" w:cs="Times New Roman"/>
        </w:rPr>
        <w:t>, 136 F.4th at 1209 (holding that the plaintiff had not shown access by the defendant to photos the plaintiff posted on Instagram because his theory was speculation). </w:t>
      </w:r>
    </w:p>
    <w:p w14:paraId="17679DDF" w14:textId="77777777" w:rsidR="00842D3D" w:rsidRPr="00842D3D" w:rsidRDefault="00842D3D" w:rsidP="00842D3D">
      <w:pPr>
        <w:autoSpaceDE w:val="0"/>
        <w:autoSpaceDN w:val="0"/>
        <w:adjustRightInd w:val="0"/>
        <w:ind w:firstLine="720"/>
        <w:rPr>
          <w:rFonts w:eastAsia="Calibri" w:cs="Times New Roman"/>
        </w:rPr>
      </w:pPr>
    </w:p>
    <w:p w14:paraId="7D202E3A" w14:textId="77777777" w:rsidR="00842D3D" w:rsidRPr="00842D3D" w:rsidRDefault="00842D3D" w:rsidP="00842D3D">
      <w:pPr>
        <w:rPr>
          <w:rFonts w:eastAsia="Calibri" w:cs="Times New Roman"/>
          <w:i/>
          <w:iCs/>
        </w:rPr>
      </w:pPr>
      <w:r w:rsidRPr="00842D3D">
        <w:rPr>
          <w:rFonts w:eastAsia="Calibri" w:cs="Times New Roman"/>
        </w:rPr>
        <w:tab/>
        <w:t xml:space="preserve">As to the plaintiff demonstrating that there is a “striking similarity” between works to support an inference of access, see </w:t>
      </w:r>
      <w:r w:rsidRPr="00842D3D">
        <w:rPr>
          <w:rFonts w:eastAsia="Calibri" w:cs="Times New Roman"/>
          <w:i/>
          <w:iCs/>
        </w:rPr>
        <w:t>Three Boys.,</w:t>
      </w:r>
      <w:r w:rsidRPr="00842D3D">
        <w:rPr>
          <w:rFonts w:eastAsia="Calibri" w:cs="Times New Roman"/>
        </w:rPr>
        <w:t xml:space="preserve"> 212 F.3d at 485 (holding that in absence of any proof of access, copyright plaintiff can still make out case of infringement by showing that songs were “strikingly similar”).</w:t>
      </w:r>
      <w:r w:rsidRPr="00842D3D">
        <w:rPr>
          <w:rFonts w:eastAsia="Calibri" w:cs="Times New Roman"/>
          <w:i/>
          <w:iCs/>
        </w:rPr>
        <w:t xml:space="preserve"> </w:t>
      </w:r>
    </w:p>
    <w:p w14:paraId="569A6C71" w14:textId="77777777" w:rsidR="00842D3D" w:rsidRPr="00842D3D" w:rsidRDefault="00842D3D" w:rsidP="00842D3D">
      <w:pPr>
        <w:jc w:val="right"/>
        <w:rPr>
          <w:rFonts w:eastAsia="Calibri" w:cs="Times New Roman"/>
          <w:i/>
          <w:iCs/>
        </w:rPr>
      </w:pPr>
      <w:r w:rsidRPr="00842D3D">
        <w:rPr>
          <w:rFonts w:eastAsia="Calibri" w:cs="Times New Roman"/>
          <w:i/>
          <w:iCs/>
        </w:rPr>
        <w:t>Revised September 2025</w:t>
      </w:r>
    </w:p>
    <w:p w14:paraId="7D3F112D" w14:textId="77777777" w:rsidR="00842D3D" w:rsidRPr="00842D3D" w:rsidRDefault="00842D3D" w:rsidP="00313A05">
      <w:pPr>
        <w:pStyle w:val="Heading2"/>
      </w:pPr>
      <w:r w:rsidRPr="00842D3D">
        <w:br w:type="page"/>
      </w:r>
      <w:bookmarkStart w:id="412" w:name="_Toc221525320"/>
      <w:r w:rsidRPr="00842D3D">
        <w:lastRenderedPageBreak/>
        <w:t>17.19 Substantial Similarity—Extrinsic Test; Intrinsic Test</w:t>
      </w:r>
      <w:bookmarkEnd w:id="412"/>
    </w:p>
    <w:p w14:paraId="7782DB4A" w14:textId="77777777" w:rsidR="00842D3D" w:rsidRPr="00842D3D" w:rsidRDefault="00842D3D" w:rsidP="00842D3D">
      <w:pPr>
        <w:rPr>
          <w:rFonts w:eastAsia="Calibri" w:cs="Times New Roman"/>
          <w:szCs w:val="24"/>
        </w:rPr>
      </w:pPr>
    </w:p>
    <w:p w14:paraId="72238E1B"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90F951F" w14:textId="77777777" w:rsidR="00842D3D" w:rsidRPr="00842D3D" w:rsidRDefault="00842D3D" w:rsidP="00842D3D">
      <w:pPr>
        <w:autoSpaceDE w:val="0"/>
        <w:autoSpaceDN w:val="0"/>
        <w:adjustRightInd w:val="0"/>
        <w:rPr>
          <w:rFonts w:eastAsia="Calibri" w:cs="Times New Roman"/>
          <w:szCs w:val="24"/>
        </w:rPr>
      </w:pPr>
    </w:p>
    <w:p w14:paraId="45D8B5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the Ninth Circuit confirmed in </w:t>
      </w:r>
      <w:r w:rsidRPr="00842D3D">
        <w:rPr>
          <w:rFonts w:eastAsia="Calibri" w:cs="Times New Roman"/>
          <w:i/>
          <w:iCs/>
          <w:szCs w:val="24"/>
        </w:rPr>
        <w:t>Antonick v. Electronic Arts, Inc</w:t>
      </w:r>
      <w:r w:rsidRPr="00842D3D">
        <w:rPr>
          <w:rFonts w:eastAsia="Calibri" w:cs="Times New Roman"/>
          <w:szCs w:val="24"/>
        </w:rPr>
        <w:t>., 841 F.3d 1062 (9th Cir. 2016), the court employs a two-part test for determining whether one work is substantially similar to another:</w:t>
      </w:r>
    </w:p>
    <w:p w14:paraId="25A7B2E8" w14:textId="77777777" w:rsidR="00842D3D" w:rsidRPr="00842D3D" w:rsidRDefault="00842D3D" w:rsidP="00842D3D">
      <w:pPr>
        <w:autoSpaceDE w:val="0"/>
        <w:autoSpaceDN w:val="0"/>
        <w:adjustRightInd w:val="0"/>
        <w:rPr>
          <w:rFonts w:eastAsia="Calibri" w:cs="Times New Roman"/>
          <w:szCs w:val="24"/>
        </w:rPr>
      </w:pPr>
    </w:p>
    <w:p w14:paraId="2D8744AD"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szCs w:val="24"/>
        </w:rPr>
        <w:t xml:space="preserve">[A plaintiff] </w:t>
      </w:r>
      <w:r w:rsidRPr="00842D3D">
        <w:rPr>
          <w:rFonts w:eastAsia="Calibri" w:cs="Times New Roman"/>
        </w:rPr>
        <w:t>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396264E2" w14:textId="77777777" w:rsidR="00842D3D" w:rsidRPr="00842D3D" w:rsidRDefault="00842D3D" w:rsidP="00842D3D">
      <w:pPr>
        <w:autoSpaceDE w:val="0"/>
        <w:autoSpaceDN w:val="0"/>
        <w:adjustRightInd w:val="0"/>
        <w:rPr>
          <w:rFonts w:eastAsia="Calibri" w:cs="Times New Roman"/>
        </w:rPr>
      </w:pPr>
    </w:p>
    <w:p w14:paraId="0EC5093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Id</w:t>
      </w:r>
      <w:r w:rsidRPr="00842D3D">
        <w:rPr>
          <w:rFonts w:eastAsia="Calibri" w:cs="Times New Roman"/>
        </w:rPr>
        <w:t xml:space="preserve">. at 1065-66; </w:t>
      </w:r>
      <w:r w:rsidRPr="00842D3D">
        <w:rPr>
          <w:rFonts w:eastAsia="Calibri" w:cs="Times New Roman"/>
          <w:i/>
          <w:iCs/>
        </w:rPr>
        <w:t>see also Williams v. Gaye</w:t>
      </w:r>
      <w:r w:rsidRPr="00842D3D">
        <w:rPr>
          <w:rFonts w:eastAsia="Calibri" w:cs="Times New Roman"/>
        </w:rPr>
        <w:t xml:space="preserve">, 885 F.3d 1150, 1163 (9th Cir. 2018) (approving instructions and explaining that extrinsic test requires “analytical dissection of a work and expert testimony”). The extrinsic test is a question of law for the court. </w:t>
      </w:r>
      <w:r w:rsidRPr="00842D3D">
        <w:rPr>
          <w:rFonts w:eastAsia="Calibri" w:cs="Times New Roman"/>
          <w:i/>
          <w:iCs/>
        </w:rPr>
        <w:t>See Gray v. Hudson</w:t>
      </w:r>
      <w:r w:rsidRPr="00842D3D">
        <w:rPr>
          <w:rFonts w:eastAsia="Calibri" w:cs="Times New Roman"/>
        </w:rPr>
        <w:t>, 28</w:t>
      </w:r>
    </w:p>
    <w:p w14:paraId="380072E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F.4th 87, 97 (9th Cir. 2022). If the court determines that the plaintiff has failed to satisfy the extrinsic test, then the infringement claim fails and there is no need to proceed to the intrinsic test. </w:t>
      </w:r>
      <w:r w:rsidRPr="00842D3D">
        <w:rPr>
          <w:rFonts w:eastAsia="Calibri" w:cs="Times New Roman"/>
          <w:i/>
          <w:iCs/>
        </w:rPr>
        <w:t>See Skidmore</w:t>
      </w:r>
      <w:r w:rsidRPr="00842D3D">
        <w:rPr>
          <w:rFonts w:eastAsia="Calibri" w:cs="Times New Roman"/>
        </w:rPr>
        <w:t xml:space="preserve"> </w:t>
      </w:r>
      <w:r w:rsidRPr="00842D3D">
        <w:rPr>
          <w:rFonts w:eastAsia="Calibri" w:cs="Times New Roman"/>
          <w:i/>
          <w:iCs/>
        </w:rPr>
        <w:t>v. Led Zeppelin</w:t>
      </w:r>
      <w:r w:rsidRPr="00842D3D">
        <w:rPr>
          <w:rFonts w:eastAsia="Calibri" w:cs="Times New Roman"/>
        </w:rPr>
        <w:t xml:space="preserve">, 952 F.3d 1051, 1064 (9th Cir. 2020) (en banc); </w:t>
      </w:r>
      <w:r w:rsidRPr="00842D3D">
        <w:rPr>
          <w:rFonts w:eastAsia="Calibri" w:cs="Times New Roman"/>
          <w:i/>
          <w:iCs/>
        </w:rPr>
        <w:t>Corbello v. Valli</w:t>
      </w:r>
      <w:r w:rsidRPr="00842D3D">
        <w:rPr>
          <w:rFonts w:eastAsia="Calibri" w:cs="Times New Roman"/>
        </w:rPr>
        <w:t xml:space="preserve">, 974 F.3d 965, 974 (9th Cir. 2020); </w:t>
      </w:r>
      <w:r w:rsidRPr="00842D3D">
        <w:rPr>
          <w:rFonts w:eastAsia="Calibri" w:cs="Times New Roman"/>
          <w:i/>
          <w:iCs/>
        </w:rPr>
        <w:t>Tangle, Inc. v. Aritzia, Inc.</w:t>
      </w:r>
      <w:r w:rsidRPr="00842D3D">
        <w:rPr>
          <w:rFonts w:eastAsia="Calibri" w:cs="Times New Roman"/>
        </w:rPr>
        <w:t>, 125 F.4th 991, 997 (9th Cir. 2025) (“The extrinsic test thus serves to screen out objectively meritless claims, so courts can apply it as a matter of law.”).</w:t>
      </w:r>
    </w:p>
    <w:p w14:paraId="0443F609" w14:textId="77777777" w:rsidR="00842D3D" w:rsidRPr="00842D3D" w:rsidRDefault="00842D3D" w:rsidP="00842D3D">
      <w:pPr>
        <w:autoSpaceDE w:val="0"/>
        <w:autoSpaceDN w:val="0"/>
        <w:adjustRightInd w:val="0"/>
        <w:rPr>
          <w:rFonts w:eastAsia="Calibri" w:cs="Times New Roman"/>
        </w:rPr>
      </w:pPr>
    </w:p>
    <w:p w14:paraId="3E427802" w14:textId="672A1A9B"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court determines that “the idea underlying [a] copyrighted work can be expressed in only one way,” such that the idea and its expression merge (the “merger doctrine”), then “courts will not protect [the] copyrighted work from infringement.” </w:t>
      </w:r>
      <w:r w:rsidRPr="00842D3D">
        <w:rPr>
          <w:rFonts w:eastAsia="Calibri" w:cs="Times New Roman"/>
          <w:i/>
          <w:iCs/>
        </w:rPr>
        <w:t>Ets-Hokin v. Skyy Spirits, Inc.</w:t>
      </w:r>
      <w:r w:rsidRPr="00842D3D">
        <w:rPr>
          <w:rFonts w:eastAsia="Calibri" w:cs="Times New Roman"/>
        </w:rPr>
        <w:t xml:space="preserve">, 225 F.3d 1068, 1082 (9th Cir. 2000). And where “the expression is as a practical matter indispensable, or at least standard in the treatment of a given idea” (the “scenes a faire doctrine”), </w:t>
      </w:r>
      <w:r w:rsidRPr="00842D3D">
        <w:rPr>
          <w:rFonts w:eastAsia="Calibri" w:cs="Times New Roman"/>
          <w:i/>
          <w:iCs/>
        </w:rPr>
        <w:t>Frybarger v. Int’l Bus. Machines Corp.</w:t>
      </w:r>
      <w:r w:rsidRPr="00842D3D">
        <w:rPr>
          <w:rFonts w:eastAsia="Calibri" w:cs="Times New Roman"/>
        </w:rPr>
        <w:t xml:space="preserve">, 812 F.2d 525, 530 (9th Cir. 1987), “the expression is protected only against . . . virtually identical copying,” </w:t>
      </w:r>
      <w:r w:rsidRPr="00842D3D">
        <w:rPr>
          <w:rFonts w:eastAsia="Calibri" w:cs="Times New Roman"/>
          <w:i/>
          <w:iCs/>
        </w:rPr>
        <w:t>Johnson Controls, Inc. v. Control Sys., Inc.</w:t>
      </w:r>
      <w:r w:rsidRPr="00842D3D">
        <w:rPr>
          <w:rFonts w:eastAsia="Calibri" w:cs="Times New Roman"/>
        </w:rPr>
        <w:t xml:space="preserve">, 886 F.2d 1173, 1175 (9th Cir. 1989); </w:t>
      </w:r>
      <w:r w:rsidRPr="00842D3D">
        <w:rPr>
          <w:rFonts w:eastAsia="Calibri" w:cs="Times New Roman"/>
          <w:i/>
          <w:iCs/>
        </w:rPr>
        <w:t>see also Data E. USA, Inc. v. Epyx, Inc.</w:t>
      </w:r>
      <w:r w:rsidRPr="00842D3D">
        <w:rPr>
          <w:rFonts w:eastAsia="Calibri" w:cs="Times New Roman"/>
        </w:rPr>
        <w:t>, 862 F.2d 204, 209 (9th Cir. 1988) (applying the virtually identical test to a work whose original features “necessarily follow from the idea of a martial arts karate game, or are inseparable from, indispensable to, or even standard of the idea of the karate sport”).</w:t>
      </w:r>
    </w:p>
    <w:p w14:paraId="1702BC2C" w14:textId="77777777" w:rsidR="00842D3D" w:rsidRPr="00842D3D" w:rsidRDefault="00842D3D" w:rsidP="00842D3D">
      <w:pPr>
        <w:autoSpaceDE w:val="0"/>
        <w:autoSpaceDN w:val="0"/>
        <w:adjustRightInd w:val="0"/>
        <w:ind w:firstLine="720"/>
        <w:rPr>
          <w:rFonts w:eastAsia="Calibri" w:cs="Times New Roman"/>
          <w:u w:val="double"/>
        </w:rPr>
      </w:pPr>
    </w:p>
    <w:p w14:paraId="5EF9967C" w14:textId="510F4751"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extrinsic test is satisfied, the intrinsic test is a matter for the jury. </w:t>
      </w:r>
      <w:r w:rsidRPr="00842D3D">
        <w:rPr>
          <w:rFonts w:eastAsia="Calibri" w:cs="Times New Roman"/>
          <w:i/>
          <w:iCs/>
        </w:rPr>
        <w:t>See Corbello</w:t>
      </w:r>
      <w:r w:rsidRPr="00842D3D">
        <w:rPr>
          <w:rFonts w:eastAsia="Calibri" w:cs="Times New Roman"/>
        </w:rPr>
        <w:t xml:space="preserve">, 974 F.3d at 974; </w:t>
      </w:r>
      <w:r w:rsidRPr="00842D3D">
        <w:rPr>
          <w:rFonts w:eastAsia="Calibri" w:cs="Times New Roman"/>
          <w:i/>
          <w:iCs/>
        </w:rPr>
        <w:t>Apple Comput., Inc. v. Microsoft Corp.</w:t>
      </w:r>
      <w:r w:rsidRPr="00842D3D">
        <w:rPr>
          <w:rFonts w:eastAsia="Calibri" w:cs="Times New Roman"/>
        </w:rPr>
        <w:t xml:space="preserve">, 35 F.3d 1435, 1442 (9th Cir. 1994). The court must instruct the jury as to: (1) the non-protectable elements of the plaintiff’s work, (2) the appropriate standard (virtually identical or substantially similar), and (3) that the jury may consider the work as a whole. </w:t>
      </w:r>
      <w:r w:rsidRPr="00842D3D">
        <w:rPr>
          <w:rFonts w:eastAsia="Calibri" w:cs="Times New Roman"/>
          <w:i/>
          <w:iCs/>
        </w:rPr>
        <w:t>See Apple Comput.</w:t>
      </w:r>
      <w:r w:rsidRPr="00842D3D">
        <w:rPr>
          <w:rFonts w:eastAsia="Calibri" w:cs="Times New Roman"/>
        </w:rPr>
        <w:t xml:space="preserve">, 35 F.3d at 1443, 1446; </w:t>
      </w:r>
      <w:r w:rsidRPr="00842D3D">
        <w:rPr>
          <w:rFonts w:eastAsia="Calibri" w:cs="Times New Roman"/>
          <w:i/>
          <w:iCs/>
        </w:rPr>
        <w:t>Dream Games of Ariz., Inc. v. PC Onsite</w:t>
      </w:r>
      <w:r w:rsidRPr="00842D3D">
        <w:rPr>
          <w:rFonts w:eastAsia="Calibri" w:cs="Times New Roman"/>
        </w:rPr>
        <w:t xml:space="preserve">, 561 F.3d 983, 988-89 (9th Cir. 2009). The jury must determine if the ordinary reasonable viewer would believe that the defendant’s work appropriated the plaintiff’s work as a subjective matter. </w:t>
      </w:r>
      <w:r w:rsidRPr="00842D3D">
        <w:rPr>
          <w:rFonts w:eastAsia="Calibri" w:cs="Times New Roman"/>
          <w:i/>
          <w:iCs/>
        </w:rPr>
        <w:t>See Newton v. Diamond</w:t>
      </w:r>
      <w:r w:rsidRPr="00842D3D">
        <w:rPr>
          <w:rFonts w:eastAsia="Calibri" w:cs="Times New Roman"/>
        </w:rPr>
        <w:t xml:space="preserve">, 388 F.3d 1189, 1193 (9th Cir. 2004); </w:t>
      </w:r>
      <w:r w:rsidRPr="00842D3D">
        <w:rPr>
          <w:rFonts w:eastAsia="Calibri" w:cs="Times New Roman"/>
          <w:i/>
          <w:iCs/>
        </w:rPr>
        <w:t>Apple Comput.</w:t>
      </w:r>
      <w:r w:rsidRPr="00842D3D">
        <w:rPr>
          <w:rFonts w:eastAsia="Calibri" w:cs="Times New Roman"/>
        </w:rPr>
        <w:t xml:space="preserve">, 35 F.3d at 1442; </w:t>
      </w:r>
      <w:r w:rsidRPr="00842D3D">
        <w:rPr>
          <w:rFonts w:eastAsia="Calibri" w:cs="Times New Roman"/>
          <w:i/>
          <w:iCs/>
        </w:rPr>
        <w:t>Fisher v. Dees</w:t>
      </w:r>
      <w:r w:rsidRPr="00842D3D">
        <w:rPr>
          <w:rFonts w:eastAsia="Calibri" w:cs="Times New Roman"/>
        </w:rPr>
        <w:t xml:space="preserve">, 794 F.2d 432, 434 n.2 (9th Cir. 1986). Expert testimony is </w:t>
      </w:r>
      <w:r w:rsidRPr="00842D3D">
        <w:rPr>
          <w:rFonts w:eastAsia="Calibri" w:cs="Times New Roman"/>
        </w:rPr>
        <w:lastRenderedPageBreak/>
        <w:t xml:space="preserve">inappropriate to aid the jury in applying the intrinsic test. </w:t>
      </w:r>
      <w:r w:rsidRPr="00842D3D">
        <w:rPr>
          <w:rFonts w:eastAsia="Calibri" w:cs="Times New Roman"/>
          <w:i/>
          <w:iCs/>
        </w:rPr>
        <w:t>Olson v. Nat’l Broad. Co., Inc.</w:t>
      </w:r>
      <w:r w:rsidRPr="00842D3D">
        <w:rPr>
          <w:rFonts w:eastAsia="Calibri" w:cs="Times New Roman"/>
        </w:rPr>
        <w:t xml:space="preserve">, 855 F.2d 1446, 1449 (9th Cir. 1988); </w:t>
      </w:r>
      <w:r w:rsidRPr="00842D3D">
        <w:rPr>
          <w:rFonts w:eastAsia="Calibri" w:cs="Times New Roman"/>
          <w:i/>
          <w:iCs/>
        </w:rPr>
        <w:t>Antonick</w:t>
      </w:r>
      <w:r w:rsidRPr="00842D3D">
        <w:rPr>
          <w:rFonts w:eastAsia="Calibri" w:cs="Times New Roman"/>
        </w:rPr>
        <w:t>, 841 F.3d at 1066.</w:t>
      </w:r>
    </w:p>
    <w:p w14:paraId="280EFD39" w14:textId="77777777" w:rsidR="00842D3D" w:rsidRPr="00842D3D" w:rsidRDefault="00842D3D" w:rsidP="00842D3D">
      <w:pPr>
        <w:autoSpaceDE w:val="0"/>
        <w:autoSpaceDN w:val="0"/>
        <w:adjustRightInd w:val="0"/>
        <w:ind w:firstLine="720"/>
        <w:rPr>
          <w:rFonts w:eastAsia="Calibri" w:cs="Times New Roman"/>
        </w:rPr>
      </w:pPr>
    </w:p>
    <w:p w14:paraId="621535F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62C34E44" w14:textId="77777777" w:rsidR="00842D3D" w:rsidRPr="00842D3D" w:rsidRDefault="00842D3D" w:rsidP="00842D3D">
      <w:pPr>
        <w:autoSpaceDE w:val="0"/>
        <w:autoSpaceDN w:val="0"/>
        <w:adjustRightInd w:val="0"/>
        <w:rPr>
          <w:rFonts w:eastAsia="Calibri" w:cs="Times New Roman"/>
        </w:rPr>
      </w:pPr>
    </w:p>
    <w:p w14:paraId="799E803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Literary or Dramatic Works</w:t>
      </w:r>
      <w:r w:rsidRPr="00842D3D">
        <w:rPr>
          <w:rFonts w:eastAsia="Calibri" w:cs="Times New Roman"/>
        </w:rPr>
        <w:t>:</w:t>
      </w:r>
      <w:r w:rsidRPr="00842D3D">
        <w:rPr>
          <w:rFonts w:eastAsia="Calibri" w:cs="Times New Roman"/>
          <w:i/>
          <w:iCs/>
        </w:rPr>
        <w:t xml:space="preserve"> Shaw v. Lindheim</w:t>
      </w:r>
      <w:r w:rsidRPr="00842D3D">
        <w:rPr>
          <w:rFonts w:eastAsia="Calibri" w:cs="Times New Roman"/>
        </w:rPr>
        <w:t>, 919 F.2d 1353, 1357 (9th Cir. 1990);</w:t>
      </w:r>
      <w:r w:rsidRPr="00842D3D">
        <w:rPr>
          <w:rFonts w:eastAsia="Calibri" w:cs="Times New Roman"/>
          <w:i/>
          <w:iCs/>
        </w:rPr>
        <w:t xml:space="preserve"> Sid &amp; Marty Krofft Television Prods. v. McDonald’s Corp.</w:t>
      </w:r>
      <w:r w:rsidRPr="00842D3D">
        <w:rPr>
          <w:rFonts w:eastAsia="Calibri" w:cs="Times New Roman"/>
        </w:rPr>
        <w:t xml:space="preserve">, 562 F.2d 1157, 1164 (9th Cir. 1977) (holding that commercials infringed television production; applying specific criteria to assessment of substantial similarity);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 xml:space="preserve">Corbello v. </w:t>
      </w:r>
      <w:r w:rsidRPr="00842D3D">
        <w:rPr>
          <w:rFonts w:eastAsia="Calibri" w:cs="Times New Roman"/>
        </w:rPr>
        <w:t xml:space="preserve">Valli, 974 F.3d 965, 975 (9th Cir. 2020) (applying extrinsic test for similarity to elements of challenged work that are undisputedly factual); </w:t>
      </w:r>
      <w:r w:rsidRPr="00842D3D">
        <w:rPr>
          <w:rFonts w:eastAsia="Calibri" w:cs="Times New Roman"/>
          <w:i/>
          <w:iCs/>
        </w:rPr>
        <w:t>Metcalf v. Bochco</w:t>
      </w:r>
      <w:r w:rsidRPr="00842D3D">
        <w:rPr>
          <w:rFonts w:eastAsia="Calibri" w:cs="Times New Roman"/>
        </w:rPr>
        <w:t xml:space="preserve">, 294 F.3d 1069, 1073-74 (9th Cir. 2002) (applying </w:t>
      </w:r>
      <w:r w:rsidRPr="00842D3D">
        <w:rPr>
          <w:rFonts w:eastAsia="Calibri" w:cs="Times New Roman"/>
          <w:i/>
          <w:iCs/>
        </w:rPr>
        <w:t xml:space="preserve">Shaw </w:t>
      </w:r>
      <w:r w:rsidRPr="00842D3D">
        <w:rPr>
          <w:rFonts w:eastAsia="Calibri" w:cs="Times New Roman"/>
        </w:rPr>
        <w:t>factors applied to screenplay for television show);</w:t>
      </w:r>
      <w:r w:rsidRPr="00842D3D">
        <w:rPr>
          <w:rFonts w:eastAsia="Calibri" w:cs="Times New Roman"/>
          <w:i/>
          <w:iCs/>
        </w:rPr>
        <w:t xml:space="preserve"> Pasillas v. McDonald’s Corp.</w:t>
      </w:r>
      <w:r w:rsidRPr="00842D3D">
        <w:rPr>
          <w:rFonts w:eastAsia="Calibri" w:cs="Times New Roman"/>
        </w:rPr>
        <w:t xml:space="preserve">, 927 F.2d 440, 442-43 (9th Cir. 1991) (noting that </w:t>
      </w:r>
      <w:r w:rsidRPr="00842D3D">
        <w:rPr>
          <w:rFonts w:eastAsia="Calibri" w:cs="Times New Roman"/>
          <w:i/>
          <w:iCs/>
        </w:rPr>
        <w:t>Shaw</w:t>
      </w:r>
      <w:r w:rsidRPr="00842D3D">
        <w:rPr>
          <w:rFonts w:eastAsia="Calibri" w:cs="Times New Roman"/>
        </w:rPr>
        <w:t xml:space="preserve"> “is explicitly limited to literary works” and </w:t>
      </w:r>
      <w:r w:rsidRPr="00842D3D">
        <w:rPr>
          <w:rFonts w:eastAsia="Calibri" w:cs="Times New Roman"/>
          <w:i/>
          <w:iCs/>
        </w:rPr>
        <w:t>Krofft</w:t>
      </w:r>
      <w:r w:rsidRPr="00842D3D">
        <w:rPr>
          <w:rFonts w:eastAsia="Calibri" w:cs="Times New Roman"/>
        </w:rPr>
        <w:t xml:space="preserve"> test is still applicable to other than dramatic or literary works).</w:t>
      </w:r>
    </w:p>
    <w:p w14:paraId="50AA6F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3582F0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Musical Compositions</w:t>
      </w:r>
      <w:r w:rsidRPr="00842D3D">
        <w:rPr>
          <w:rFonts w:eastAsia="Calibri" w:cs="Times New Roman"/>
        </w:rPr>
        <w:t xml:space="preserve">: </w:t>
      </w:r>
      <w:r w:rsidRPr="00842D3D">
        <w:rPr>
          <w:rFonts w:eastAsia="Calibri" w:cs="Times New Roman"/>
          <w:i/>
          <w:iCs/>
        </w:rPr>
        <w:t>Gray</w:t>
      </w:r>
      <w:r w:rsidRPr="00842D3D">
        <w:rPr>
          <w:rFonts w:eastAsia="Calibri" w:cs="Times New Roman"/>
        </w:rPr>
        <w:t xml:space="preserve">, 28 F.4th at 97 (applying extrinsic test and noting that protection for original expression does not extend to ideas, concepts, common or trite musical elements, or commonplace elements firmly rooted in genre’s tradition) (citing </w:t>
      </w:r>
      <w:r w:rsidRPr="00842D3D">
        <w:rPr>
          <w:rFonts w:eastAsia="Calibri" w:cs="Times New Roman"/>
          <w:i/>
          <w:iCs/>
        </w:rPr>
        <w:t>Skidmore</w:t>
      </w:r>
      <w:r w:rsidRPr="00842D3D">
        <w:rPr>
          <w:rFonts w:eastAsia="Calibri" w:cs="Times New Roman"/>
        </w:rPr>
        <w:t>, 952 F.3d at 1069));</w:t>
      </w:r>
      <w:r w:rsidRPr="00842D3D">
        <w:rPr>
          <w:rFonts w:eastAsia="Calibri" w:cs="Times New Roman"/>
          <w:i/>
          <w:iCs/>
        </w:rPr>
        <w:t xml:space="preserve"> Swirsky v. Carey</w:t>
      </w:r>
      <w:r w:rsidRPr="00842D3D">
        <w:rPr>
          <w:rFonts w:eastAsia="Calibri" w:cs="Times New Roman"/>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842D3D">
        <w:rPr>
          <w:rFonts w:eastAsia="Calibri" w:cs="Times New Roman"/>
          <w:i/>
          <w:iCs/>
        </w:rPr>
        <w:t>Newton</w:t>
      </w:r>
      <w:r w:rsidRPr="00842D3D">
        <w:rPr>
          <w:rFonts w:eastAsia="Calibri" w:cs="Times New Roman"/>
        </w:rPr>
        <w:t>, 388 F.3d at 1196  (noting musical elements);</w:t>
      </w:r>
      <w:r w:rsidRPr="00842D3D">
        <w:rPr>
          <w:rFonts w:eastAsia="Calibri" w:cs="Times New Roman"/>
          <w:i/>
          <w:iCs/>
        </w:rPr>
        <w:t xml:space="preserve"> Three Boys Music Corp. v. Bolton</w:t>
      </w:r>
      <w:r w:rsidRPr="00842D3D">
        <w:rPr>
          <w:rFonts w:eastAsia="Calibri" w:cs="Times New Roman"/>
        </w:rPr>
        <w:t xml:space="preserve">, 212 F.3d 477, 485-86 (9th Cir. 2000) (identifying “areas” of similarity of musical works); </w:t>
      </w:r>
      <w:r w:rsidRPr="00842D3D">
        <w:rPr>
          <w:rFonts w:eastAsia="Calibri" w:cs="Times New Roman"/>
          <w:i/>
          <w:iCs/>
        </w:rPr>
        <w:t>Williams</w:t>
      </w:r>
      <w:r w:rsidRPr="00842D3D">
        <w:rPr>
          <w:rFonts w:eastAsia="Calibri" w:cs="Times New Roman"/>
        </w:rPr>
        <w:t xml:space="preserve">, 885 F.3d at 1164 (noting that musical compositions are not “confined to a narrow range of expression”). In </w:t>
      </w:r>
      <w:r w:rsidRPr="00842D3D">
        <w:rPr>
          <w:rFonts w:eastAsia="Calibri" w:cs="Times New Roman"/>
          <w:i/>
          <w:iCs/>
        </w:rPr>
        <w:t>Skidmore</w:t>
      </w:r>
      <w:r w:rsidRPr="00842D3D">
        <w:rPr>
          <w:rFonts w:eastAsia="Calibri" w:cs="Times New Roman"/>
        </w:rPr>
        <w:t xml:space="preserve">, 952 F.3d at 1074, a case involving the alleged copyright infringement of a musical 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842D3D">
        <w:rPr>
          <w:rFonts w:eastAsia="Calibri" w:cs="Times New Roman"/>
          <w:i/>
          <w:iCs/>
        </w:rPr>
        <w:t>Gray</w:t>
      </w:r>
      <w:r w:rsidRPr="00842D3D">
        <w:rPr>
          <w:rFonts w:eastAsia="Calibri" w:cs="Times New Roman"/>
        </w:rPr>
        <w:t xml:space="preserve">, 28 F.4th at 101 (quoting </w:t>
      </w:r>
      <w:r w:rsidRPr="00842D3D">
        <w:rPr>
          <w:rFonts w:eastAsia="Calibri" w:cs="Times New Roman"/>
          <w:i/>
          <w:iCs/>
        </w:rPr>
        <w:t>Satava v. Lowry</w:t>
      </w:r>
      <w:r w:rsidRPr="00842D3D">
        <w:rPr>
          <w:rFonts w:eastAsia="Calibri" w:cs="Times New Roman"/>
        </w:rPr>
        <w:t>, 323 F.3d 805, 811 (9th Cir. 2003)).</w:t>
      </w:r>
    </w:p>
    <w:p w14:paraId="7B5E1BF4" w14:textId="77777777" w:rsidR="00842D3D" w:rsidRPr="00842D3D" w:rsidRDefault="00842D3D" w:rsidP="00842D3D">
      <w:pPr>
        <w:autoSpaceDE w:val="0"/>
        <w:autoSpaceDN w:val="0"/>
        <w:adjustRightInd w:val="0"/>
        <w:rPr>
          <w:rFonts w:eastAsia="Calibri" w:cs="Times New Roman"/>
        </w:rPr>
      </w:pPr>
    </w:p>
    <w:p w14:paraId="6463542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 xml:space="preserve">Choreographic Works: </w:t>
      </w:r>
      <w:r w:rsidRPr="00842D3D">
        <w:rPr>
          <w:rFonts w:eastAsia="Calibri" w:cs="Times New Roman"/>
          <w:i/>
          <w:iCs/>
        </w:rPr>
        <w:t>Hanagami v. Epic Games, Inc.</w:t>
      </w:r>
      <w:r w:rsidRPr="00842D3D">
        <w:rPr>
          <w:rFonts w:eastAsia="Calibri" w:cs="Times New Roman"/>
        </w:rPr>
        <w:t>, 85 F.4th 931, 942-45 (9th Cir. 2023) (explaining that choreography is composed of various elements that may be unprotectable when viewed in isolation, but what is protectable is the choreographer’s selection and arrangement of the work’s elements; and stating that although it is not “necessary to specify a discrete universe of elements from which a choreographic copyright infringement claim can be built,” the district court erred in granting a motion to dismiss without considering “the movement of the limbs, movement of the hands and fingers, head and shoulder movement, and tempo”).</w:t>
      </w:r>
    </w:p>
    <w:p w14:paraId="51A04764" w14:textId="77777777" w:rsidR="00842D3D" w:rsidRPr="00842D3D" w:rsidRDefault="00842D3D" w:rsidP="00842D3D">
      <w:pPr>
        <w:autoSpaceDE w:val="0"/>
        <w:autoSpaceDN w:val="0"/>
        <w:adjustRightInd w:val="0"/>
        <w:rPr>
          <w:rFonts w:eastAsia="Calibri" w:cs="Times New Roman"/>
        </w:rPr>
      </w:pPr>
    </w:p>
    <w:p w14:paraId="0CDF9E6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Moveable and Manipulable Sculptural Works</w:t>
      </w:r>
      <w:r w:rsidRPr="00842D3D">
        <w:rPr>
          <w:rFonts w:eastAsia="Calibri" w:cs="Times New Roman"/>
        </w:rPr>
        <w:t xml:space="preserve">: </w:t>
      </w:r>
      <w:r w:rsidRPr="00842D3D">
        <w:rPr>
          <w:rFonts w:eastAsia="Calibri" w:cs="Times New Roman"/>
          <w:i/>
          <w:iCs/>
        </w:rPr>
        <w:t>Tangle, Inc. v. Aritzia, Inc.,</w:t>
      </w:r>
      <w:r w:rsidRPr="00842D3D">
        <w:rPr>
          <w:rFonts w:eastAsia="Calibri" w:cs="Times New Roman"/>
        </w:rPr>
        <w:t xml:space="preserve"> 125 F.4th 991, 996 (9th Cir. 2025) (explaining that a toy manufacturer’s kinetic and manipulable sculptural works were sufficiently “‘fixed’ in a tangible medium” of expression to be entitled to copyright </w:t>
      </w:r>
      <w:r w:rsidRPr="00842D3D">
        <w:rPr>
          <w:rFonts w:eastAsia="Calibri" w:cs="Times New Roman"/>
        </w:rPr>
        <w:lastRenderedPageBreak/>
        <w:t>protection, “even when its pose changes,” analogizing the moveable sculptures to dance, movies, and music).</w:t>
      </w:r>
    </w:p>
    <w:p w14:paraId="79CC6513" w14:textId="77777777" w:rsidR="00842D3D" w:rsidRPr="00842D3D" w:rsidRDefault="00842D3D" w:rsidP="00842D3D">
      <w:pPr>
        <w:autoSpaceDE w:val="0"/>
        <w:autoSpaceDN w:val="0"/>
        <w:adjustRightInd w:val="0"/>
        <w:rPr>
          <w:rFonts w:eastAsia="Calibri" w:cs="Times New Roman"/>
        </w:rPr>
      </w:pPr>
    </w:p>
    <w:p w14:paraId="314E88A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Computer Programs and Similar Technologies</w:t>
      </w:r>
      <w:r w:rsidRPr="00842D3D">
        <w:rPr>
          <w:rFonts w:eastAsia="Calibri" w:cs="Times New Roman"/>
        </w:rPr>
        <w:t>:</w:t>
      </w:r>
      <w:r w:rsidRPr="00842D3D">
        <w:rPr>
          <w:rFonts w:eastAsia="Calibri" w:cs="Times New Roman"/>
          <w:i/>
          <w:iCs/>
        </w:rPr>
        <w:t xml:space="preserve"> Apple Comput.</w:t>
      </w:r>
      <w:r w:rsidRPr="00842D3D">
        <w:rPr>
          <w:rFonts w:eastAsia="Calibri" w:cs="Times New Roman"/>
        </w:rPr>
        <w:t xml:space="preserve">, 35 F.3d at 1445 (involving audiovisual and literary component of computer program); </w:t>
      </w:r>
      <w:r w:rsidRPr="00842D3D">
        <w:rPr>
          <w:rFonts w:eastAsia="Calibri" w:cs="Times New Roman"/>
          <w:i/>
          <w:iCs/>
        </w:rPr>
        <w:t>Brown Bag Software v. Symantec Corp.</w:t>
      </w:r>
      <w:r w:rsidRPr="00842D3D">
        <w:rPr>
          <w:rFonts w:eastAsia="Calibri" w:cs="Times New Roman"/>
        </w:rPr>
        <w:t xml:space="preserve">, 960 F.2d 1465, 1477 (9th Cir. 1992) (“[C]omputer programs are subject to a </w:t>
      </w:r>
      <w:r w:rsidRPr="00842D3D">
        <w:rPr>
          <w:rFonts w:eastAsia="Calibri" w:cs="Times New Roman"/>
          <w:i/>
          <w:iCs/>
        </w:rPr>
        <w:t>Shawtype analytic dissection of various standard components</w:t>
      </w:r>
      <w:r w:rsidRPr="00842D3D">
        <w:rPr>
          <w:rFonts w:eastAsia="Calibri" w:cs="Times New Roman"/>
        </w:rPr>
        <w:t xml:space="preserve">, e.g., screens, menus, and keystrokes”); </w:t>
      </w:r>
      <w:r w:rsidRPr="00842D3D">
        <w:rPr>
          <w:rFonts w:eastAsia="Calibri" w:cs="Times New Roman"/>
          <w:i/>
          <w:iCs/>
        </w:rPr>
        <w:t>Data</w:t>
      </w:r>
      <w:r w:rsidRPr="00842D3D">
        <w:rPr>
          <w:rFonts w:eastAsia="Calibri" w:cs="Times New Roman"/>
        </w:rPr>
        <w:t xml:space="preserve">, 862 F.2d at 210 (9th Cir. 1988) (involving home-computer karate game); </w:t>
      </w:r>
      <w:r w:rsidRPr="00842D3D">
        <w:rPr>
          <w:rFonts w:eastAsia="Calibri" w:cs="Times New Roman"/>
          <w:i/>
          <w:iCs/>
        </w:rPr>
        <w:t>Frybarger</w:t>
      </w:r>
      <w:r w:rsidRPr="00842D3D">
        <w:rPr>
          <w:rFonts w:eastAsia="Calibri" w:cs="Times New Roman"/>
        </w:rPr>
        <w:t>, 812 F.2d at 529-30 (involving video game).</w:t>
      </w:r>
    </w:p>
    <w:p w14:paraId="2CDE61F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A600F2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Motion Picture, Television Production, or Copyrighted Script</w:t>
      </w:r>
      <w:r w:rsidRPr="00842D3D">
        <w:rPr>
          <w:rFonts w:eastAsia="Calibri" w:cs="Times New Roman"/>
        </w:rPr>
        <w:t xml:space="preserve">: </w:t>
      </w:r>
      <w:r w:rsidRPr="00842D3D">
        <w:rPr>
          <w:rFonts w:eastAsia="Calibri" w:cs="Times New Roman"/>
          <w:i/>
          <w:iCs/>
        </w:rPr>
        <w:t>Benay v. Warner Bros. Ent., Inc.</w:t>
      </w:r>
      <w:r w:rsidRPr="00842D3D">
        <w:rPr>
          <w:rFonts w:eastAsia="Calibri" w:cs="Times New Roman"/>
        </w:rPr>
        <w:t xml:space="preserve">, 607 F.3d 620, 624-29 (2010) (involving movie and screenplay); </w:t>
      </w:r>
      <w:r w:rsidRPr="00842D3D">
        <w:rPr>
          <w:rFonts w:eastAsia="Calibri" w:cs="Times New Roman"/>
          <w:i/>
          <w:iCs/>
        </w:rPr>
        <w:t>Funky Films, Inc. v. Time Warner Ent. Co., L.P.</w:t>
      </w:r>
      <w:r w:rsidRPr="00842D3D">
        <w:rPr>
          <w:rFonts w:eastAsia="Calibri" w:cs="Times New Roman"/>
        </w:rPr>
        <w:t xml:space="preserve">, 462 F.3d 1072, 1076-77 (9th Cir. 2006) (involving screenplay and television series); </w:t>
      </w:r>
      <w:r w:rsidRPr="00842D3D">
        <w:rPr>
          <w:rFonts w:eastAsia="Calibri" w:cs="Times New Roman"/>
          <w:i/>
          <w:iCs/>
        </w:rPr>
        <w:t>Rice v. Fox Broad. Co.</w:t>
      </w:r>
      <w:r w:rsidRPr="00842D3D">
        <w:rPr>
          <w:rFonts w:eastAsia="Calibri" w:cs="Times New Roman"/>
        </w:rPr>
        <w:t xml:space="preserve">, 330 F.3d 1170, 1177-78 (9th Cir. 2003) (involving video and television specials); </w:t>
      </w:r>
      <w:r w:rsidRPr="00842D3D">
        <w:rPr>
          <w:rFonts w:eastAsia="Calibri" w:cs="Times New Roman"/>
          <w:i/>
          <w:iCs/>
        </w:rPr>
        <w:t>Metcalf v. Bochco</w:t>
      </w:r>
      <w:r w:rsidRPr="00842D3D">
        <w:rPr>
          <w:rFonts w:eastAsia="Calibri" w:cs="Times New Roman"/>
        </w:rPr>
        <w:t xml:space="preserve">, 294 F.3d 1069 (9th Cir. 2002) (involving screenplay and television series); </w:t>
      </w:r>
      <w:r w:rsidRPr="00842D3D">
        <w:rPr>
          <w:rFonts w:eastAsia="Calibri" w:cs="Times New Roman"/>
          <w:i/>
          <w:iCs/>
        </w:rPr>
        <w:t>Berkic v. Crichton</w:t>
      </w:r>
      <w:r w:rsidRPr="00842D3D">
        <w:rPr>
          <w:rFonts w:eastAsia="Calibri" w:cs="Times New Roman"/>
        </w:rPr>
        <w:t xml:space="preserve">, 761 F.2d 1289, 1293 (9th Cir. 1985) (involving novel and motion picture); </w:t>
      </w:r>
      <w:r w:rsidRPr="00842D3D">
        <w:rPr>
          <w:rFonts w:eastAsia="Calibri" w:cs="Times New Roman"/>
          <w:i/>
          <w:iCs/>
        </w:rPr>
        <w:t>Litchfield v. Spielberg</w:t>
      </w:r>
      <w:r w:rsidRPr="00842D3D">
        <w:rPr>
          <w:rFonts w:eastAsia="Calibri" w:cs="Times New Roman"/>
        </w:rPr>
        <w:t>, 736 F.2d 1352, 1356-57 (9th Cir. 1984) (involving musical play and movie).</w:t>
      </w:r>
    </w:p>
    <w:p w14:paraId="0232124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55F3EF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“Other Than Dramatic or Literary Works”</w:t>
      </w:r>
      <w:r w:rsidRPr="00842D3D">
        <w:rPr>
          <w:rFonts w:eastAsia="Calibri" w:cs="Times New Roman"/>
        </w:rPr>
        <w:t>:</w:t>
      </w:r>
      <w:r w:rsidRPr="00842D3D">
        <w:rPr>
          <w:rFonts w:eastAsia="Calibri" w:cs="Times New Roman"/>
          <w:b/>
          <w:bCs/>
          <w:i/>
          <w:iCs/>
        </w:rPr>
        <w:t xml:space="preserve"> </w:t>
      </w:r>
      <w:r w:rsidRPr="00842D3D">
        <w:rPr>
          <w:rFonts w:eastAsia="Calibri" w:cs="Times New Roman"/>
          <w:i/>
          <w:iCs/>
        </w:rPr>
        <w:t>Malibu Textiles, Inc., v. Label Lane Int’l, Inc</w:t>
      </w:r>
      <w:r w:rsidRPr="00842D3D">
        <w:rPr>
          <w:rFonts w:eastAsia="Calibri" w:cs="Times New Roman"/>
        </w:rPr>
        <w:t>.,</w:t>
      </w:r>
    </w:p>
    <w:p w14:paraId="0A40ACC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922 F.3d 946 (9th Cir. 2019) (involving original selection, coordination, and arrangement of</w:t>
      </w:r>
    </w:p>
    <w:p w14:paraId="6E3148F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floral-pattern-printed fabric); </w:t>
      </w:r>
      <w:r w:rsidRPr="00842D3D">
        <w:rPr>
          <w:rFonts w:eastAsia="Calibri" w:cs="Times New Roman"/>
          <w:i/>
          <w:iCs/>
        </w:rPr>
        <w:t>L.A. Printex Indus., Inc. v. Aeropostale, Inc</w:t>
      </w:r>
      <w:r w:rsidRPr="00842D3D">
        <w:rPr>
          <w:rFonts w:eastAsia="Calibri" w:cs="Times New Roman"/>
        </w:rPr>
        <w:t xml:space="preserve">., 676 F.3d 841, 848-52 (9th Cir. 2012) (same); </w:t>
      </w:r>
      <w:r w:rsidRPr="00842D3D">
        <w:rPr>
          <w:rFonts w:eastAsia="Calibri" w:cs="Times New Roman"/>
          <w:i/>
          <w:iCs/>
        </w:rPr>
        <w:t>Mattel, Inc. v. MGA Ent., Inc.</w:t>
      </w:r>
      <w:r w:rsidRPr="00842D3D">
        <w:rPr>
          <w:rFonts w:eastAsia="Calibri" w:cs="Times New Roman"/>
        </w:rPr>
        <w:t xml:space="preserve">, 616 F.3d 904, 913-14 (9th Cir. 2010) (involving toy dolls); </w:t>
      </w:r>
      <w:r w:rsidRPr="00842D3D">
        <w:rPr>
          <w:rFonts w:eastAsia="Calibri" w:cs="Times New Roman"/>
          <w:i/>
          <w:iCs/>
        </w:rPr>
        <w:t>Cavalier v. Random House, Inc.</w:t>
      </w:r>
      <w:r w:rsidRPr="00842D3D">
        <w:rPr>
          <w:rFonts w:eastAsia="Calibri" w:cs="Times New Roman"/>
        </w:rPr>
        <w:t xml:space="preserve">, 297 F.3d 815, 826 (9th Cir. 2002) (involving works of visual art); </w:t>
      </w:r>
      <w:r w:rsidRPr="00842D3D">
        <w:rPr>
          <w:rFonts w:eastAsia="Calibri" w:cs="Times New Roman"/>
          <w:i/>
          <w:iCs/>
        </w:rPr>
        <w:t>Sid &amp; Marty Krofft Television Prods.</w:t>
      </w:r>
      <w:r w:rsidRPr="00842D3D">
        <w:rPr>
          <w:rFonts w:eastAsia="Calibri" w:cs="Times New Roman"/>
        </w:rPr>
        <w:t>, 562 F.2d at 1164 (providing dicta concerning application of specific criteria to plaster recreation of nude human figure);</w:t>
      </w:r>
      <w:r w:rsidRPr="00842D3D">
        <w:rPr>
          <w:rFonts w:eastAsia="Calibri" w:cs="Times New Roman"/>
          <w:i/>
          <w:iCs/>
        </w:rPr>
        <w:t xml:space="preserve"> Pasillas</w:t>
      </w:r>
      <w:r w:rsidRPr="00842D3D">
        <w:rPr>
          <w:rFonts w:eastAsia="Calibri" w:cs="Times New Roman"/>
        </w:rPr>
        <w:t xml:space="preserve">, 927 F.2d at 442-43 (noting </w:t>
      </w:r>
      <w:r w:rsidRPr="00842D3D">
        <w:rPr>
          <w:rFonts w:eastAsia="Calibri" w:cs="Times New Roman"/>
          <w:i/>
          <w:iCs/>
        </w:rPr>
        <w:t>Krofft</w:t>
      </w:r>
      <w:r w:rsidRPr="00842D3D">
        <w:rPr>
          <w:rFonts w:eastAsia="Calibri" w:cs="Times New Roman"/>
        </w:rPr>
        <w:t xml:space="preserve"> test applicable to other than dramatic or literary works; using test to assess similarity of Halloween mask and mask used in television commercial).</w:t>
      </w:r>
    </w:p>
    <w:p w14:paraId="73C8796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CE555A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“Ordinary Observer” Test</w:t>
      </w:r>
      <w:r w:rsidRPr="00842D3D">
        <w:rPr>
          <w:rFonts w:eastAsia="Calibri" w:cs="Times New Roman"/>
        </w:rPr>
        <w:t>:</w:t>
      </w:r>
      <w:r w:rsidRPr="00842D3D">
        <w:rPr>
          <w:rFonts w:eastAsia="Calibri" w:cs="Times New Roman"/>
          <w:b/>
          <w:bCs/>
        </w:rPr>
        <w:t xml:space="preserve"> </w:t>
      </w:r>
      <w:r w:rsidRPr="00842D3D">
        <w:rPr>
          <w:rFonts w:eastAsia="Calibri" w:cs="Times New Roman"/>
          <w:i/>
          <w:iCs/>
        </w:rPr>
        <w:t>Micro Star v. Formgen, Inc.</w:t>
      </w:r>
      <w:r w:rsidRPr="00842D3D">
        <w:rPr>
          <w:rFonts w:eastAsia="Calibri" w:cs="Times New Roman"/>
        </w:rPr>
        <w:t xml:space="preserve">, 154 F.3d 1107, 1112 (9th Cir. 1998) (applying ordinary reasonable person standard); </w:t>
      </w:r>
      <w:r w:rsidRPr="00842D3D">
        <w:rPr>
          <w:rFonts w:eastAsia="Calibri" w:cs="Times New Roman"/>
          <w:i/>
          <w:iCs/>
        </w:rPr>
        <w:t>see also</w:t>
      </w:r>
      <w:r w:rsidRPr="00842D3D">
        <w:rPr>
          <w:rFonts w:eastAsia="Calibri" w:cs="Times New Roman"/>
        </w:rPr>
        <w:t> </w:t>
      </w:r>
      <w:r w:rsidRPr="00842D3D">
        <w:rPr>
          <w:rFonts w:eastAsia="Calibri" w:cs="Times New Roman"/>
          <w:i/>
          <w:iCs/>
        </w:rPr>
        <w:t>L.A. Printex Indus., Inc.</w:t>
      </w:r>
      <w:r w:rsidRPr="00842D3D">
        <w:rPr>
          <w:rFonts w:eastAsia="Calibri" w:cs="Times New Roman"/>
        </w:rPr>
        <w:t xml:space="preserve">, 676 F.3d at 852 (involving fabric designs); </w:t>
      </w:r>
      <w:r w:rsidRPr="00842D3D">
        <w:rPr>
          <w:rFonts w:eastAsia="Calibri" w:cs="Times New Roman"/>
          <w:i/>
          <w:iCs/>
        </w:rPr>
        <w:t>Johnson Controls</w:t>
      </w:r>
      <w:r w:rsidRPr="00842D3D">
        <w:rPr>
          <w:rFonts w:eastAsia="Calibri" w:cs="Times New Roman"/>
        </w:rPr>
        <w:t xml:space="preserve">, 886 F.2d at 1176 n.4 (involving computer software), </w:t>
      </w:r>
      <w:r w:rsidRPr="00842D3D">
        <w:rPr>
          <w:rFonts w:eastAsia="Calibri" w:cs="Times New Roman"/>
          <w:i/>
          <w:iCs/>
        </w:rPr>
        <w:t>implied overruling on other grounds recognized by Perfect 10, Inc. v. Google, Inc</w:t>
      </w:r>
      <w:r w:rsidRPr="00842D3D">
        <w:rPr>
          <w:rFonts w:eastAsia="Calibri" w:cs="Times New Roman"/>
        </w:rPr>
        <w:t xml:space="preserve">., 653 F.3d 976, 979 (9th Cir. 2011); </w:t>
      </w:r>
      <w:r w:rsidRPr="00842D3D">
        <w:rPr>
          <w:rFonts w:eastAsia="Calibri" w:cs="Times New Roman"/>
          <w:i/>
          <w:iCs/>
        </w:rPr>
        <w:t>Data</w:t>
      </w:r>
      <w:r w:rsidRPr="00842D3D">
        <w:rPr>
          <w:rFonts w:eastAsia="Calibri" w:cs="Times New Roman"/>
        </w:rPr>
        <w:t xml:space="preserve">, 862 F.2d at 209-10 (discussing intended audience); </w:t>
      </w:r>
      <w:r w:rsidRPr="00842D3D">
        <w:rPr>
          <w:rFonts w:eastAsia="Calibri" w:cs="Times New Roman"/>
          <w:i/>
          <w:iCs/>
        </w:rPr>
        <w:t>Aliotti v. R. Dakin &amp; Co.</w:t>
      </w:r>
      <w:r w:rsidRPr="00842D3D">
        <w:rPr>
          <w:rFonts w:eastAsia="Calibri" w:cs="Times New Roman"/>
        </w:rPr>
        <w:t xml:space="preserve">, 831 F.2d 898, 902 (9th Cir. 1987) (involving perception of children); </w:t>
      </w:r>
      <w:r w:rsidRPr="00842D3D">
        <w:rPr>
          <w:rFonts w:eastAsia="Calibri" w:cs="Times New Roman"/>
          <w:i/>
          <w:iCs/>
        </w:rPr>
        <w:t>Berkic</w:t>
      </w:r>
      <w:r w:rsidRPr="00842D3D">
        <w:rPr>
          <w:rFonts w:eastAsia="Calibri" w:cs="Times New Roman"/>
        </w:rPr>
        <w:t xml:space="preserve">, 761 F.2d at 1293 (discussing reasonable reader or moviegoer); </w:t>
      </w:r>
      <w:r w:rsidRPr="00842D3D">
        <w:rPr>
          <w:rFonts w:eastAsia="Calibri" w:cs="Times New Roman"/>
          <w:i/>
          <w:iCs/>
        </w:rPr>
        <w:t>Rentmeester v. Nike, Inc</w:t>
      </w:r>
      <w:r w:rsidRPr="00842D3D">
        <w:rPr>
          <w:rFonts w:eastAsia="Calibri" w:cs="Times New Roman"/>
        </w:rPr>
        <w:t xml:space="preserve">., 883 F.3d 1111, 1121-22 (9th Cir. 2018) (involving photograph), </w:t>
      </w:r>
      <w:r w:rsidRPr="00842D3D">
        <w:rPr>
          <w:rFonts w:eastAsia="Calibri" w:cs="Times New Roman"/>
          <w:i/>
          <w:iCs/>
        </w:rPr>
        <w:t>overruled on other grounds by</w:t>
      </w:r>
      <w:r w:rsidRPr="00842D3D">
        <w:rPr>
          <w:rFonts w:eastAsia="Calibri" w:cs="Times New Roman"/>
        </w:rPr>
        <w:t xml:space="preserve"> </w:t>
      </w:r>
      <w:r w:rsidRPr="00842D3D">
        <w:rPr>
          <w:rFonts w:eastAsia="Calibri" w:cs="Times New Roman"/>
          <w:i/>
          <w:iCs/>
        </w:rPr>
        <w:t>Skidmore</w:t>
      </w:r>
      <w:r w:rsidRPr="00842D3D">
        <w:rPr>
          <w:rFonts w:eastAsia="Calibri" w:cs="Times New Roman"/>
        </w:rPr>
        <w:t>, 952 F3d at 1069.</w:t>
      </w:r>
    </w:p>
    <w:p w14:paraId="3514CD27" w14:textId="77777777" w:rsidR="00842D3D" w:rsidRPr="00842D3D" w:rsidRDefault="00842D3D" w:rsidP="00842D3D">
      <w:pPr>
        <w:autoSpaceDE w:val="0"/>
        <w:autoSpaceDN w:val="0"/>
        <w:adjustRightInd w:val="0"/>
        <w:rPr>
          <w:rFonts w:eastAsia="Calibri" w:cs="Times New Roman"/>
        </w:rPr>
      </w:pPr>
    </w:p>
    <w:p w14:paraId="7A0F1C05" w14:textId="77777777" w:rsidR="00842D3D" w:rsidRPr="00842D3D" w:rsidRDefault="00842D3D" w:rsidP="00842D3D">
      <w:pPr>
        <w:autoSpaceDE w:val="0"/>
        <w:autoSpaceDN w:val="0"/>
        <w:adjustRightInd w:val="0"/>
        <w:rPr>
          <w:rFonts w:eastAsia="Calibri" w:cs="Times New Roman"/>
        </w:rPr>
      </w:pPr>
    </w:p>
    <w:p w14:paraId="30B2D744"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57F91176" w14:textId="77777777" w:rsidR="00842D3D" w:rsidRPr="00842D3D" w:rsidRDefault="00842D3D" w:rsidP="00842D3D">
      <w:pPr>
        <w:autoSpaceDE w:val="0"/>
        <w:autoSpaceDN w:val="0"/>
        <w:adjustRightInd w:val="0"/>
        <w:rPr>
          <w:rFonts w:eastAsia="Calibri" w:cs="Times New Roman"/>
          <w:szCs w:val="24"/>
        </w:rPr>
      </w:pPr>
    </w:p>
    <w:p w14:paraId="091FB9D5" w14:textId="77777777" w:rsidR="00842D3D" w:rsidRPr="00842D3D" w:rsidRDefault="00842D3D" w:rsidP="00313A05">
      <w:pPr>
        <w:pStyle w:val="Heading2"/>
      </w:pPr>
      <w:r w:rsidRPr="00842D3D">
        <w:br w:type="page"/>
      </w:r>
      <w:bookmarkStart w:id="413" w:name="_Toc221525321"/>
      <w:r w:rsidRPr="00842D3D">
        <w:lastRenderedPageBreak/>
        <w:t>17.20 Secondary Liability—Vicarious Infringement—Elements and Burden of Proof</w:t>
      </w:r>
      <w:bookmarkEnd w:id="413"/>
    </w:p>
    <w:p w14:paraId="2128CB51" w14:textId="77777777" w:rsidR="00842D3D" w:rsidRPr="00842D3D" w:rsidRDefault="00842D3D" w:rsidP="00842D3D">
      <w:pPr>
        <w:autoSpaceDE w:val="0"/>
        <w:autoSpaceDN w:val="0"/>
        <w:adjustRightInd w:val="0"/>
        <w:rPr>
          <w:rFonts w:eastAsia="Calibri" w:cs="Times New Roman"/>
          <w:szCs w:val="24"/>
        </w:rPr>
      </w:pPr>
    </w:p>
    <w:p w14:paraId="350C98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rFonts w:eastAsia="Calibri" w:cs="Times New Roman"/>
          <w:i/>
          <w:iCs/>
          <w:szCs w:val="24"/>
          <w:u w:val="single"/>
        </w:rPr>
        <w:t>name of 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vicarious infringer</w:t>
      </w:r>
      <w:r w:rsidRPr="00842D3D">
        <w:rPr>
          <w:rFonts w:eastAsia="Calibri" w:cs="Times New Roman"/>
          <w:szCs w:val="24"/>
        </w:rPr>
        <w:t>] vicariously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each of the following elements by a preponderance of the evidence:</w:t>
      </w:r>
    </w:p>
    <w:p w14:paraId="3F556B4A" w14:textId="77777777" w:rsidR="00842D3D" w:rsidRPr="00842D3D" w:rsidRDefault="00842D3D" w:rsidP="00842D3D">
      <w:pPr>
        <w:autoSpaceDE w:val="0"/>
        <w:autoSpaceDN w:val="0"/>
        <w:adjustRightInd w:val="0"/>
        <w:rPr>
          <w:rFonts w:eastAsia="Calibri" w:cs="Times New Roman"/>
          <w:szCs w:val="24"/>
        </w:rPr>
      </w:pPr>
    </w:p>
    <w:p w14:paraId="4B01BF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directly benefitted financially from the infringing activity of [</w:t>
      </w:r>
      <w:r w:rsidRPr="00842D3D">
        <w:rPr>
          <w:rFonts w:eastAsia="Calibri" w:cs="Times New Roman"/>
          <w:i/>
          <w:iCs/>
          <w:szCs w:val="24"/>
          <w:u w:val="single"/>
        </w:rPr>
        <w:t>name of direct infringer</w:t>
      </w:r>
      <w:r w:rsidRPr="00842D3D">
        <w:rPr>
          <w:rFonts w:eastAsia="Calibri" w:cs="Times New Roman"/>
          <w:szCs w:val="24"/>
        </w:rPr>
        <w:t>];</w:t>
      </w:r>
    </w:p>
    <w:p w14:paraId="1D26796D" w14:textId="77777777" w:rsidR="00842D3D" w:rsidRPr="00842D3D" w:rsidRDefault="00842D3D" w:rsidP="00842D3D">
      <w:pPr>
        <w:autoSpaceDE w:val="0"/>
        <w:autoSpaceDN w:val="0"/>
        <w:adjustRightInd w:val="0"/>
        <w:ind w:firstLine="720"/>
        <w:rPr>
          <w:rFonts w:eastAsia="Calibri" w:cs="Times New Roman"/>
          <w:szCs w:val="24"/>
        </w:rPr>
      </w:pPr>
    </w:p>
    <w:p w14:paraId="680D1F6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had the right and ability to [supervise] [control] the infringing activity of [</w:t>
      </w:r>
      <w:r w:rsidRPr="00842D3D">
        <w:rPr>
          <w:rFonts w:eastAsia="Calibri" w:cs="Times New Roman"/>
          <w:i/>
          <w:iCs/>
          <w:szCs w:val="24"/>
          <w:u w:val="single"/>
        </w:rPr>
        <w:t>name of direct infringer</w:t>
      </w:r>
      <w:r w:rsidRPr="00842D3D">
        <w:rPr>
          <w:rFonts w:eastAsia="Calibri" w:cs="Times New Roman"/>
          <w:szCs w:val="24"/>
        </w:rPr>
        <w:t xml:space="preserve">][; and] </w:t>
      </w:r>
    </w:p>
    <w:p w14:paraId="5A7B1706" w14:textId="77777777" w:rsidR="00842D3D" w:rsidRPr="00842D3D" w:rsidRDefault="00842D3D" w:rsidP="00842D3D">
      <w:pPr>
        <w:autoSpaceDE w:val="0"/>
        <w:autoSpaceDN w:val="0"/>
        <w:adjustRightInd w:val="0"/>
        <w:ind w:firstLine="720"/>
        <w:rPr>
          <w:rFonts w:eastAsia="Calibri" w:cs="Times New Roman"/>
          <w:szCs w:val="24"/>
        </w:rPr>
      </w:pPr>
    </w:p>
    <w:p w14:paraId="3F2F222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 failed to exercise that right and ability.]</w:t>
      </w:r>
    </w:p>
    <w:p w14:paraId="0E3D7435" w14:textId="77777777" w:rsidR="00842D3D" w:rsidRPr="00842D3D" w:rsidRDefault="00842D3D" w:rsidP="00842D3D">
      <w:pPr>
        <w:autoSpaceDE w:val="0"/>
        <w:autoSpaceDN w:val="0"/>
        <w:adjustRightInd w:val="0"/>
        <w:rPr>
          <w:rFonts w:eastAsia="Calibri" w:cs="Times New Roman"/>
          <w:szCs w:val="24"/>
        </w:rPr>
      </w:pPr>
    </w:p>
    <w:p w14:paraId="669FC06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plaintiff [</w:t>
      </w:r>
      <w:r w:rsidRPr="00842D3D">
        <w:rPr>
          <w:rFonts w:eastAsia="Calibri" w:cs="Times New Roman"/>
          <w:i/>
          <w:iCs/>
          <w:szCs w:val="24"/>
          <w:u w:val="single"/>
        </w:rPr>
        <w:t>name</w:t>
      </w:r>
      <w:r w:rsidRPr="00842D3D">
        <w:rPr>
          <w:rFonts w:eastAsia="Calibri" w:cs="Times New Roman"/>
          <w:szCs w:val="24"/>
        </w:rPr>
        <w:t>] if you also find that [</w:t>
      </w:r>
      <w:r w:rsidRPr="00842D3D">
        <w:rPr>
          <w:rFonts w:eastAsia="Calibri" w:cs="Times New Roman"/>
          <w:i/>
          <w:iCs/>
          <w:szCs w:val="24"/>
          <w:u w:val="single"/>
        </w:rPr>
        <w:t>name of direct infringer</w:t>
      </w:r>
      <w:r w:rsidRPr="00842D3D">
        <w:rPr>
          <w:rFonts w:eastAsia="Calibri" w:cs="Times New Roman"/>
          <w:szCs w:val="24"/>
        </w:rPr>
        <w:t>] infringed plaintiff [</w:t>
      </w:r>
      <w:r w:rsidRPr="00842D3D">
        <w:rPr>
          <w:rFonts w:eastAsia="Calibri" w:cs="Times New Roman"/>
          <w:i/>
          <w:iCs/>
          <w:szCs w:val="24"/>
          <w:u w:val="single"/>
        </w:rPr>
        <w:t>name</w:t>
      </w:r>
      <w:r w:rsidRPr="00842D3D">
        <w:rPr>
          <w:rFonts w:eastAsia="Calibri" w:cs="Times New Roman"/>
          <w:szCs w:val="24"/>
        </w:rPr>
        <w:t>]’s copyright. If, on the other hand, the plaintiff [</w:t>
      </w:r>
      <w:r w:rsidRPr="00842D3D">
        <w:rPr>
          <w:rFonts w:eastAsia="Calibri" w:cs="Times New Roman"/>
          <w:i/>
          <w:iCs/>
          <w:szCs w:val="24"/>
          <w:u w:val="single"/>
        </w:rPr>
        <w:t>name</w:t>
      </w:r>
      <w:r w:rsidRPr="00842D3D">
        <w:rPr>
          <w:rFonts w:eastAsia="Calibri" w:cs="Times New Roman"/>
          <w:szCs w:val="24"/>
        </w:rPr>
        <w:t>] has failed to prove any of these elements, your verdict should be for the defendant [</w:t>
      </w:r>
      <w:r w:rsidRPr="00842D3D">
        <w:rPr>
          <w:rFonts w:eastAsia="Calibri" w:cs="Times New Roman"/>
          <w:i/>
          <w:iCs/>
          <w:szCs w:val="24"/>
          <w:u w:val="single"/>
        </w:rPr>
        <w:t>name of alleged vicarious infringer</w:t>
      </w:r>
      <w:r w:rsidRPr="00842D3D">
        <w:rPr>
          <w:rFonts w:eastAsia="Calibri" w:cs="Times New Roman"/>
          <w:szCs w:val="24"/>
        </w:rPr>
        <w:t>].</w:t>
      </w:r>
    </w:p>
    <w:p w14:paraId="19A56DF7" w14:textId="77777777" w:rsidR="00842D3D" w:rsidRPr="00842D3D" w:rsidRDefault="00842D3D" w:rsidP="00842D3D">
      <w:pPr>
        <w:autoSpaceDE w:val="0"/>
        <w:autoSpaceDN w:val="0"/>
        <w:adjustRightInd w:val="0"/>
        <w:rPr>
          <w:rFonts w:eastAsia="Calibri" w:cs="Times New Roman"/>
          <w:szCs w:val="24"/>
        </w:rPr>
      </w:pPr>
    </w:p>
    <w:p w14:paraId="7A784CD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742878BE" w14:textId="77777777" w:rsidR="00842D3D" w:rsidRPr="00842D3D" w:rsidRDefault="00842D3D" w:rsidP="00842D3D">
      <w:pPr>
        <w:autoSpaceDE w:val="0"/>
        <w:autoSpaceDN w:val="0"/>
        <w:adjustRightInd w:val="0"/>
        <w:rPr>
          <w:rFonts w:eastAsia="Calibri" w:cs="Times New Roman"/>
          <w:szCs w:val="24"/>
        </w:rPr>
      </w:pPr>
    </w:p>
    <w:p w14:paraId="4FAD0A7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842D3D">
        <w:rPr>
          <w:rFonts w:eastAsia="Calibri" w:cs="Times New Roman"/>
          <w:i/>
          <w:iCs/>
          <w:szCs w:val="24"/>
        </w:rPr>
        <w:t>Metro-Goldwyn-Mayer Studios Inc. v. Grokster, Ltd.</w:t>
      </w:r>
      <w:r w:rsidRPr="00842D3D">
        <w:rPr>
          <w:rFonts w:eastAsia="Calibri" w:cs="Times New Roman"/>
          <w:szCs w:val="24"/>
        </w:rPr>
        <w:t xml:space="preserve">, 545 U.S. 913, 930 n.9 (2005);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Ellison v. Robertson</w:t>
      </w:r>
      <w:r w:rsidRPr="00842D3D">
        <w:rPr>
          <w:rFonts w:eastAsia="Calibri" w:cs="Times New Roman"/>
          <w:szCs w:val="24"/>
        </w:rPr>
        <w:t xml:space="preserve">, 357 F.3d 1072, 1076 (9th Cir. 2004) (“A defendant is vicariously liable for copyright infringement if he enjoys a direct financial benefit from </w:t>
      </w:r>
      <w:r w:rsidRPr="00842D3D">
        <w:rPr>
          <w:rFonts w:eastAsia="Calibri" w:cs="Times New Roman"/>
          <w:i/>
          <w:iCs/>
          <w:szCs w:val="24"/>
        </w:rPr>
        <w:t>another’s</w:t>
      </w:r>
      <w:r w:rsidRPr="00842D3D">
        <w:rPr>
          <w:rFonts w:eastAsia="Calibri" w:cs="Times New Roman"/>
          <w:szCs w:val="24"/>
        </w:rPr>
        <w:t xml:space="preserve"> infringing activity and ‘has the right and ability to supervise’ the infringing activity.” (quoting </w:t>
      </w:r>
      <w:r w:rsidRPr="00842D3D">
        <w:rPr>
          <w:rFonts w:eastAsia="Calibri" w:cs="Times New Roman"/>
          <w:i/>
          <w:iCs/>
          <w:szCs w:val="24"/>
        </w:rPr>
        <w:t>A &amp; M Records, Inc. v. Napster, Inc.</w:t>
      </w:r>
      <w:r w:rsidRPr="00842D3D">
        <w:rPr>
          <w:rFonts w:eastAsia="Calibri" w:cs="Times New Roman"/>
          <w:szCs w:val="24"/>
        </w:rPr>
        <w:t>, 239 F.3d 1004, 1013 (9th Cir. 2001))).</w:t>
      </w:r>
    </w:p>
    <w:p w14:paraId="3C77FB75" w14:textId="77777777" w:rsidR="00842D3D" w:rsidRPr="00842D3D" w:rsidRDefault="00842D3D" w:rsidP="00842D3D">
      <w:pPr>
        <w:autoSpaceDE w:val="0"/>
        <w:autoSpaceDN w:val="0"/>
        <w:adjustRightInd w:val="0"/>
        <w:rPr>
          <w:rFonts w:eastAsia="Calibri" w:cs="Times New Roman"/>
          <w:szCs w:val="24"/>
        </w:rPr>
      </w:pPr>
    </w:p>
    <w:p w14:paraId="61F68B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certain cases, it may be appropriate to instruct the jury on the meaning of “right and ability to supervise or control” or “financial benefit” for purposes of vicarious infringement. </w:t>
      </w:r>
      <w:r w:rsidRPr="00842D3D">
        <w:rPr>
          <w:rFonts w:eastAsia="Calibri" w:cs="Times New Roman"/>
          <w:i/>
          <w:iCs/>
          <w:szCs w:val="24"/>
        </w:rPr>
        <w:t>See Napster</w:t>
      </w:r>
      <w:r w:rsidRPr="00842D3D">
        <w:rPr>
          <w:rFonts w:eastAsia="Calibri" w:cs="Times New Roman"/>
          <w:szCs w:val="24"/>
        </w:rPr>
        <w:t xml:space="preserve">, 239 F.3d at 1023-24 (holding that defendant’s ability to block or police use of its internet service is evidence of right and ability to supervise); </w:t>
      </w:r>
      <w:r w:rsidRPr="00842D3D">
        <w:rPr>
          <w:rFonts w:eastAsia="Calibri" w:cs="Times New Roman"/>
          <w:i/>
          <w:iCs/>
          <w:szCs w:val="24"/>
        </w:rPr>
        <w:t>Perfect 10, Inc. v. Giganews, Inc.</w:t>
      </w:r>
      <w:r w:rsidRPr="00842D3D">
        <w:rPr>
          <w:rFonts w:eastAsia="Calibri" w:cs="Times New Roman"/>
          <w:szCs w:val="24"/>
        </w:rPr>
        <w:t>, 847 F.3d 657, 673 (9th Cir. 2017) (detailing elements of vicarious infringement in absence of employer-employee relationship).</w:t>
      </w:r>
    </w:p>
    <w:p w14:paraId="4A441960" w14:textId="77777777" w:rsidR="00842D3D" w:rsidRPr="00842D3D" w:rsidRDefault="00842D3D" w:rsidP="00842D3D">
      <w:pPr>
        <w:autoSpaceDE w:val="0"/>
        <w:autoSpaceDN w:val="0"/>
        <w:adjustRightInd w:val="0"/>
        <w:rPr>
          <w:rFonts w:eastAsia="Calibri" w:cs="Times New Roman"/>
          <w:szCs w:val="24"/>
        </w:rPr>
      </w:pPr>
    </w:p>
    <w:p w14:paraId="318E4E0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Vicarious infringement is most commonly identified as having two elements: the defendant must have had both (1) the “right and ability to supervise the infringing activity” and (2) “a direct financial interest” in the activity. </w:t>
      </w:r>
      <w:r w:rsidRPr="00842D3D">
        <w:rPr>
          <w:rFonts w:eastAsia="Calibri" w:cs="Times New Roman"/>
          <w:i/>
          <w:iCs/>
          <w:szCs w:val="24"/>
        </w:rPr>
        <w:t>A&amp;M Records, Inc. v. Napster, Inc</w:t>
      </w:r>
      <w:r w:rsidRPr="00842D3D">
        <w:rPr>
          <w:rFonts w:eastAsia="Calibri" w:cs="Times New Roman"/>
          <w:szCs w:val="24"/>
        </w:rPr>
        <w:t xml:space="preserve">., 239 F.3d 1004, 1022 (9th Cir. 2001); </w:t>
      </w:r>
      <w:r w:rsidRPr="00842D3D">
        <w:rPr>
          <w:rFonts w:eastAsia="Calibri" w:cs="Times New Roman"/>
          <w:i/>
          <w:iCs/>
          <w:szCs w:val="24"/>
        </w:rPr>
        <w:t>see also VHT, Inc. v. Zillow Grp., Inc</w:t>
      </w:r>
      <w:r w:rsidRPr="00842D3D">
        <w:rPr>
          <w:rFonts w:eastAsia="Calibri" w:cs="Times New Roman"/>
          <w:szCs w:val="24"/>
        </w:rPr>
        <w:t xml:space="preserve">., 918 F.3d 723, 745 (9th Cir. 2019). Implicit in the first element is that the defendant could have prevented the infringement but did not. “One . . . infringes vicariously by profiting from direct infringement while declining to exercise a right to stop or limit it.” </w:t>
      </w:r>
      <w:r w:rsidRPr="00842D3D">
        <w:rPr>
          <w:rFonts w:eastAsia="Calibri" w:cs="Times New Roman"/>
          <w:i/>
          <w:iCs/>
          <w:szCs w:val="24"/>
        </w:rPr>
        <w:t>Metro-Goldwyn-Mayer Studios Inc.</w:t>
      </w:r>
      <w:r w:rsidRPr="00842D3D">
        <w:rPr>
          <w:rFonts w:eastAsia="Calibri" w:cs="Times New Roman"/>
          <w:szCs w:val="24"/>
        </w:rPr>
        <w:t xml:space="preserve">, 545 U.S. at 930. “To </w:t>
      </w:r>
      <w:r w:rsidRPr="00842D3D">
        <w:rPr>
          <w:rFonts w:eastAsia="Calibri" w:cs="Times New Roman"/>
          <w:szCs w:val="24"/>
        </w:rPr>
        <w:lastRenderedPageBreak/>
        <w:t xml:space="preserve">escape imposition of vicarious liability, the reserved right to police must be exercised to its fullest extent.” </w:t>
      </w:r>
      <w:r w:rsidRPr="00842D3D">
        <w:rPr>
          <w:rFonts w:eastAsia="Calibri" w:cs="Times New Roman"/>
          <w:i/>
          <w:iCs/>
          <w:szCs w:val="24"/>
        </w:rPr>
        <w:t>A&amp;M Records, Inc</w:t>
      </w:r>
      <w:r w:rsidRPr="00842D3D">
        <w:rPr>
          <w:rFonts w:eastAsia="Calibri" w:cs="Times New Roman"/>
          <w:szCs w:val="24"/>
        </w:rPr>
        <w:t>, 239 F.3d at 1023.</w:t>
      </w:r>
    </w:p>
    <w:p w14:paraId="3B54D17D" w14:textId="77777777" w:rsidR="00842D3D" w:rsidRPr="00842D3D" w:rsidRDefault="00842D3D" w:rsidP="00842D3D">
      <w:pPr>
        <w:autoSpaceDE w:val="0"/>
        <w:autoSpaceDN w:val="0"/>
        <w:adjustRightInd w:val="0"/>
        <w:rPr>
          <w:rFonts w:eastAsia="Calibri" w:cs="Times New Roman"/>
          <w:szCs w:val="24"/>
        </w:rPr>
      </w:pPr>
    </w:p>
    <w:p w14:paraId="3FF58BEA" w14:textId="280F165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Right and Ability to Supervise or Control:</w:t>
      </w:r>
      <w:r w:rsidRPr="00842D3D">
        <w:rPr>
          <w:rFonts w:eastAsia="Calibri" w:cs="Times New Roman"/>
          <w:szCs w:val="24"/>
        </w:rPr>
        <w:t xml:space="preserve"> A defendant’s ability to supervise or control infringing activity is assessed based on the defendant’s actual ability at the time of infringement. </w:t>
      </w:r>
      <w:r w:rsidRPr="00842D3D">
        <w:rPr>
          <w:rFonts w:eastAsia="Calibri" w:cs="Times New Roman"/>
          <w:i/>
          <w:iCs/>
          <w:szCs w:val="24"/>
        </w:rPr>
        <w:t>Perfect 10, Inc. v. Visa Int’l Serv. Ass’n</w:t>
      </w:r>
      <w:r w:rsidRPr="00842D3D">
        <w:rPr>
          <w:rFonts w:eastAsia="Calibri" w:cs="Times New Roman"/>
          <w:szCs w:val="24"/>
        </w:rPr>
        <w:t xml:space="preserve">, 494 F3d 788, 805 (9th Cir. 2007) (“[T]he defendant must have the right and ability to </w:t>
      </w:r>
      <w:r w:rsidRPr="00842D3D">
        <w:rPr>
          <w:rFonts w:eastAsia="Calibri" w:cs="Times New Roman"/>
          <w:i/>
          <w:iCs/>
          <w:szCs w:val="24"/>
        </w:rPr>
        <w:t>supervise</w:t>
      </w:r>
      <w:r w:rsidRPr="00842D3D">
        <w:rPr>
          <w:rFonts w:eastAsia="Calibri" w:cs="Times New Roman"/>
          <w:szCs w:val="24"/>
        </w:rPr>
        <w:t xml:space="preserve"> and </w:t>
      </w:r>
      <w:r w:rsidRPr="00842D3D">
        <w:rPr>
          <w:rFonts w:eastAsia="Calibri" w:cs="Times New Roman"/>
          <w:i/>
          <w:iCs/>
          <w:szCs w:val="24"/>
        </w:rPr>
        <w:t>control</w:t>
      </w:r>
      <w:r w:rsidRPr="00842D3D">
        <w:rPr>
          <w:rFonts w:eastAsia="Calibri" w:cs="Times New Roman"/>
          <w:szCs w:val="24"/>
        </w:rPr>
        <w:t xml:space="preserve"> the infringement, not just affect it . . . .”). To show an ability to supervise infringing conduct, a plaintiff must show that the defendant had the technical ability to identify and remove infringements. </w:t>
      </w:r>
      <w:r w:rsidRPr="00842D3D">
        <w:rPr>
          <w:rFonts w:eastAsia="Calibri" w:cs="Times New Roman"/>
          <w:i/>
          <w:iCs/>
          <w:szCs w:val="24"/>
        </w:rPr>
        <w:t>VHT, Inc</w:t>
      </w:r>
      <w:r w:rsidRPr="00842D3D">
        <w:rPr>
          <w:rFonts w:eastAsia="Calibri" w:cs="Times New Roman"/>
          <w:szCs w:val="24"/>
        </w:rPr>
        <w:t xml:space="preserve">., 918 F.3d at 746 (noting defendant’s “failure to change its operations to avoid assisting [users] to distribute . . . infringing content . . . is not the same as declining to exercise a right and ability to make [third parties] stop their direct infringement.” (quoting </w:t>
      </w:r>
      <w:r w:rsidRPr="00842D3D">
        <w:rPr>
          <w:rFonts w:eastAsia="Calibri" w:cs="Times New Roman"/>
          <w:i/>
          <w:iCs/>
          <w:szCs w:val="24"/>
        </w:rPr>
        <w:t>Perfect 10, Inc. v. Amazon.com</w:t>
      </w:r>
      <w:r w:rsidRPr="00842D3D">
        <w:rPr>
          <w:rFonts w:eastAsia="Calibri" w:cs="Times New Roman"/>
          <w:szCs w:val="24"/>
        </w:rPr>
        <w:t>,</w:t>
      </w:r>
      <w:r w:rsidRPr="00842D3D">
        <w:rPr>
          <w:rFonts w:eastAsia="Calibri" w:cs="Times New Roman"/>
          <w:i/>
          <w:iCs/>
          <w:szCs w:val="24"/>
        </w:rPr>
        <w:t xml:space="preserve"> Inc</w:t>
      </w:r>
      <w:r w:rsidRPr="00842D3D">
        <w:rPr>
          <w:rFonts w:eastAsia="Calibri" w:cs="Times New Roman"/>
          <w:szCs w:val="24"/>
        </w:rPr>
        <w:t xml:space="preserve">., 508 F.3d 1146, 1175 (9th Cir. 2007))). </w:t>
      </w:r>
      <w:r w:rsidR="00C84F09" w:rsidRPr="00712277">
        <w:rPr>
          <w:u w:color="FF0000"/>
        </w:rPr>
        <w:t>The technical ability to identify and prevent infringements may also be present where a</w:t>
      </w:r>
      <w:r w:rsidR="00C84F09" w:rsidRPr="00712277">
        <w:t xml:space="preserve"> </w:t>
      </w:r>
      <w:r w:rsidR="00C84F09" w:rsidRPr="00712277">
        <w:rPr>
          <w:u w:color="FF0000"/>
        </w:rPr>
        <w:t>defendant has both a contractual right and the practical ability to supervise and control a contractor’s infringing conduct.</w:t>
      </w:r>
      <w:r w:rsidR="00C84F09" w:rsidRPr="00712277">
        <w:t xml:space="preserve"> </w:t>
      </w:r>
      <w:r w:rsidR="00C84F09" w:rsidRPr="00712277">
        <w:rPr>
          <w:i/>
          <w:spacing w:val="-2"/>
          <w:u w:color="FF0000"/>
        </w:rPr>
        <w:t>Rearden,</w:t>
      </w:r>
      <w:r w:rsidR="00C84F09" w:rsidRPr="00712277">
        <w:rPr>
          <w:i/>
          <w:spacing w:val="-7"/>
          <w:u w:color="FF0000"/>
        </w:rPr>
        <w:t xml:space="preserve"> </w:t>
      </w:r>
      <w:r w:rsidR="00C84F09" w:rsidRPr="00712277">
        <w:rPr>
          <w:i/>
          <w:spacing w:val="-2"/>
          <w:u w:color="FF0000"/>
        </w:rPr>
        <w:t>LLC</w:t>
      </w:r>
      <w:r w:rsidR="00C84F09" w:rsidRPr="00712277">
        <w:rPr>
          <w:i/>
          <w:spacing w:val="-7"/>
          <w:u w:color="FF0000"/>
        </w:rPr>
        <w:t xml:space="preserve"> </w:t>
      </w:r>
      <w:r w:rsidR="00C84F09" w:rsidRPr="00712277">
        <w:rPr>
          <w:i/>
          <w:spacing w:val="-2"/>
          <w:u w:color="FF0000"/>
        </w:rPr>
        <w:t>v.</w:t>
      </w:r>
      <w:r w:rsidR="00C84F09" w:rsidRPr="00712277">
        <w:rPr>
          <w:i/>
          <w:spacing w:val="-7"/>
          <w:u w:color="FF0000"/>
        </w:rPr>
        <w:t xml:space="preserve"> </w:t>
      </w:r>
      <w:r w:rsidR="00C84F09" w:rsidRPr="00712277">
        <w:rPr>
          <w:i/>
          <w:spacing w:val="-2"/>
          <w:u w:color="FF0000"/>
        </w:rPr>
        <w:t>Walt</w:t>
      </w:r>
      <w:r w:rsidR="00C84F09" w:rsidRPr="00712277">
        <w:rPr>
          <w:i/>
          <w:spacing w:val="-6"/>
          <w:u w:color="FF0000"/>
        </w:rPr>
        <w:t xml:space="preserve"> </w:t>
      </w:r>
      <w:r w:rsidR="00C84F09" w:rsidRPr="00712277">
        <w:rPr>
          <w:i/>
          <w:spacing w:val="-2"/>
          <w:u w:color="FF0000"/>
        </w:rPr>
        <w:t>Disney</w:t>
      </w:r>
      <w:r w:rsidR="00C84F09" w:rsidRPr="00712277">
        <w:rPr>
          <w:i/>
          <w:spacing w:val="-7"/>
          <w:u w:color="FF0000"/>
        </w:rPr>
        <w:t xml:space="preserve"> </w:t>
      </w:r>
      <w:r w:rsidR="00C84F09" w:rsidRPr="00712277">
        <w:rPr>
          <w:i/>
          <w:spacing w:val="-2"/>
          <w:u w:color="FF0000"/>
        </w:rPr>
        <w:t>Pictures</w:t>
      </w:r>
      <w:r w:rsidR="00C84F09" w:rsidRPr="00712277">
        <w:rPr>
          <w:spacing w:val="-2"/>
          <w:u w:color="FF0000"/>
        </w:rPr>
        <w:t>,</w:t>
      </w:r>
      <w:r w:rsidR="00C84F09" w:rsidRPr="00712277">
        <w:rPr>
          <w:spacing w:val="-7"/>
          <w:u w:color="FF0000"/>
        </w:rPr>
        <w:t xml:space="preserve"> </w:t>
      </w:r>
      <w:r w:rsidR="00C84F09" w:rsidRPr="00712277">
        <w:rPr>
          <w:spacing w:val="-2"/>
          <w:u w:color="FF0000"/>
        </w:rPr>
        <w:t>152</w:t>
      </w:r>
      <w:r w:rsidR="00C84F09" w:rsidRPr="00712277">
        <w:rPr>
          <w:spacing w:val="-7"/>
          <w:u w:color="FF0000"/>
        </w:rPr>
        <w:t xml:space="preserve"> </w:t>
      </w:r>
      <w:r w:rsidR="00C84F09" w:rsidRPr="00712277">
        <w:rPr>
          <w:spacing w:val="-2"/>
          <w:u w:color="FF0000"/>
        </w:rPr>
        <w:t>F.4th</w:t>
      </w:r>
      <w:r w:rsidR="00C84F09" w:rsidRPr="00712277">
        <w:rPr>
          <w:spacing w:val="-7"/>
          <w:u w:color="FF0000"/>
        </w:rPr>
        <w:t xml:space="preserve"> </w:t>
      </w:r>
      <w:r w:rsidR="00C84F09" w:rsidRPr="00712277">
        <w:rPr>
          <w:spacing w:val="-2"/>
          <w:u w:color="FF0000"/>
        </w:rPr>
        <w:t>1058,</w:t>
      </w:r>
      <w:r w:rsidR="00C84F09" w:rsidRPr="00712277">
        <w:rPr>
          <w:spacing w:val="-7"/>
          <w:u w:color="FF0000"/>
        </w:rPr>
        <w:t xml:space="preserve"> </w:t>
      </w:r>
      <w:r w:rsidR="00C84F09" w:rsidRPr="00712277">
        <w:rPr>
          <w:spacing w:val="-2"/>
          <w:u w:color="FF0000"/>
        </w:rPr>
        <w:t>1069</w:t>
      </w:r>
      <w:r w:rsidR="00C84F09" w:rsidRPr="00712277">
        <w:rPr>
          <w:spacing w:val="-7"/>
          <w:u w:color="FF0000"/>
        </w:rPr>
        <w:t xml:space="preserve"> </w:t>
      </w:r>
      <w:r w:rsidR="00C84F09" w:rsidRPr="00712277">
        <w:rPr>
          <w:spacing w:val="-2"/>
          <w:u w:color="FF0000"/>
        </w:rPr>
        <w:t>(9th</w:t>
      </w:r>
      <w:r w:rsidR="00C84F09" w:rsidRPr="00712277">
        <w:rPr>
          <w:spacing w:val="-7"/>
          <w:u w:color="FF0000"/>
        </w:rPr>
        <w:t xml:space="preserve"> </w:t>
      </w:r>
      <w:r w:rsidR="00C84F09" w:rsidRPr="00712277">
        <w:rPr>
          <w:spacing w:val="-2"/>
          <w:u w:color="FF0000"/>
        </w:rPr>
        <w:t>Cir.</w:t>
      </w:r>
      <w:r w:rsidR="00C84F09" w:rsidRPr="00712277">
        <w:rPr>
          <w:spacing w:val="-8"/>
          <w:u w:color="FF0000"/>
        </w:rPr>
        <w:t xml:space="preserve"> </w:t>
      </w:r>
      <w:r w:rsidR="00C84F09" w:rsidRPr="00712277">
        <w:rPr>
          <w:spacing w:val="-2"/>
          <w:u w:color="FF0000"/>
        </w:rPr>
        <w:t>2025).</w:t>
      </w:r>
      <w:r w:rsidR="00C84F09" w:rsidRPr="00712277">
        <w:rPr>
          <w:spacing w:val="-12"/>
          <w:u w:color="FF0000"/>
        </w:rPr>
        <w:t xml:space="preserve"> </w:t>
      </w:r>
      <w:r w:rsidR="00C84F09" w:rsidRPr="00712277">
        <w:rPr>
          <w:spacing w:val="-2"/>
          <w:u w:color="FF0000"/>
        </w:rPr>
        <w:t>The</w:t>
      </w:r>
      <w:r w:rsidR="00C84F09" w:rsidRPr="00712277">
        <w:rPr>
          <w:spacing w:val="-7"/>
          <w:u w:color="FF0000"/>
        </w:rPr>
        <w:t xml:space="preserve"> </w:t>
      </w:r>
      <w:r w:rsidR="00C84F09" w:rsidRPr="00712277">
        <w:rPr>
          <w:spacing w:val="-2"/>
          <w:u w:color="FF0000"/>
        </w:rPr>
        <w:t>defendant</w:t>
      </w:r>
      <w:r w:rsidR="00C84F09" w:rsidRPr="00712277">
        <w:rPr>
          <w:spacing w:val="-6"/>
          <w:u w:color="FF0000"/>
        </w:rPr>
        <w:t xml:space="preserve"> </w:t>
      </w:r>
      <w:r w:rsidR="00C84F09" w:rsidRPr="00712277">
        <w:rPr>
          <w:spacing w:val="-2"/>
          <w:u w:color="FF0000"/>
        </w:rPr>
        <w:t>merely</w:t>
      </w:r>
      <w:r w:rsidR="00C84F09" w:rsidRPr="00712277">
        <w:rPr>
          <w:spacing w:val="-2"/>
        </w:rPr>
        <w:t xml:space="preserve"> </w:t>
      </w:r>
      <w:r w:rsidR="00C84F09" w:rsidRPr="00712277">
        <w:rPr>
          <w:u w:color="FF0000"/>
        </w:rPr>
        <w:t>needs to be able to identify that the conduct was potentially infringing and need not have</w:t>
      </w:r>
      <w:r w:rsidR="00C84F09" w:rsidRPr="00712277">
        <w:t xml:space="preserve"> </w:t>
      </w:r>
      <w:r w:rsidR="00C84F09" w:rsidRPr="00712277">
        <w:rPr>
          <w:u w:color="FF0000"/>
        </w:rPr>
        <w:t xml:space="preserve">constructive or actual knowledge of infringement to be liable. </w:t>
      </w:r>
      <w:r w:rsidR="00C84F09" w:rsidRPr="00712277">
        <w:rPr>
          <w:i/>
          <w:u w:color="FF0000"/>
        </w:rPr>
        <w:t xml:space="preserve">Id. </w:t>
      </w:r>
      <w:r w:rsidR="00C84F09" w:rsidRPr="00712277">
        <w:rPr>
          <w:u w:color="FF0000"/>
        </w:rPr>
        <w:t>at 107172.</w:t>
      </w:r>
      <w:r w:rsidR="00C84F09" w:rsidRPr="00712277">
        <w:rPr>
          <w:spacing w:val="-2"/>
        </w:rPr>
        <w:t xml:space="preserve"> </w:t>
      </w:r>
      <w:r w:rsidRPr="00842D3D">
        <w:rPr>
          <w:rFonts w:eastAsia="Calibri" w:cs="Times New Roman"/>
          <w:szCs w:val="24"/>
        </w:rPr>
        <w:t xml:space="preserve">The ability to exert an “indirect effect on the infringing activity” is not enough. </w:t>
      </w:r>
      <w:r w:rsidRPr="00842D3D">
        <w:rPr>
          <w:rFonts w:eastAsia="Calibri" w:cs="Times New Roman"/>
          <w:i/>
          <w:iCs/>
          <w:szCs w:val="24"/>
        </w:rPr>
        <w:t xml:space="preserve">Id. </w:t>
      </w:r>
    </w:p>
    <w:p w14:paraId="4A05723D" w14:textId="77777777" w:rsidR="00842D3D" w:rsidRPr="00842D3D" w:rsidRDefault="00842D3D" w:rsidP="00842D3D">
      <w:pPr>
        <w:autoSpaceDE w:val="0"/>
        <w:autoSpaceDN w:val="0"/>
        <w:adjustRightInd w:val="0"/>
        <w:rPr>
          <w:rFonts w:eastAsia="Calibri" w:cs="Times New Roman"/>
          <w:szCs w:val="24"/>
        </w:rPr>
      </w:pPr>
    </w:p>
    <w:p w14:paraId="4DFC6D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 xml:space="preserve">Direct Financial Benefit: </w:t>
      </w:r>
      <w:r w:rsidRPr="00842D3D">
        <w:rPr>
          <w:rFonts w:eastAsia="Calibri" w:cs="Times New Roman"/>
          <w:szCs w:val="24"/>
        </w:rPr>
        <w:t>“A financial benefit is not ‘direct’ unless there is a ‘causal</w:t>
      </w:r>
    </w:p>
    <w:p w14:paraId="67EF3101"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 xml:space="preserve">relationship between the infringing activity and [the] financial benefit.’” </w:t>
      </w:r>
      <w:r w:rsidRPr="00842D3D">
        <w:rPr>
          <w:rFonts w:eastAsia="Calibri" w:cs="Times New Roman"/>
          <w:i/>
          <w:iCs/>
          <w:szCs w:val="24"/>
        </w:rPr>
        <w:t>Erickson Prods., Inc. v.</w:t>
      </w:r>
    </w:p>
    <w:p w14:paraId="5E37EB8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Kast</w:t>
      </w:r>
      <w:r w:rsidRPr="00842D3D">
        <w:rPr>
          <w:rFonts w:eastAsia="Calibri" w:cs="Times New Roman"/>
          <w:szCs w:val="24"/>
        </w:rPr>
        <w:t xml:space="preserve">, 921 F.3d 822, 829-30 (9th Cir. 2019) (quoting </w:t>
      </w:r>
      <w:r w:rsidRPr="00842D3D">
        <w:rPr>
          <w:rFonts w:eastAsia="Calibri" w:cs="Times New Roman"/>
          <w:i/>
          <w:iCs/>
          <w:szCs w:val="24"/>
        </w:rPr>
        <w:t>Ellison</w:t>
      </w:r>
      <w:r w:rsidRPr="00842D3D">
        <w:rPr>
          <w:rFonts w:eastAsia="Calibri" w:cs="Times New Roman"/>
          <w:szCs w:val="24"/>
        </w:rPr>
        <w:t xml:space="preserve">, 357 F.3d at 1079 (9th Cir. 2004)). A direct infringer’s avoidance of licensing fees “alone” is not a “direct” financial benefit to the vicarious infringer. </w:t>
      </w:r>
      <w:r w:rsidRPr="00842D3D">
        <w:rPr>
          <w:rFonts w:eastAsia="Calibri" w:cs="Times New Roman"/>
          <w:i/>
          <w:iCs/>
          <w:szCs w:val="24"/>
        </w:rPr>
        <w:t>Id</w:t>
      </w:r>
      <w:r w:rsidRPr="00842D3D">
        <w:rPr>
          <w:rFonts w:eastAsia="Calibri" w:cs="Times New Roman"/>
          <w:szCs w:val="24"/>
        </w:rPr>
        <w:t>. at 840 (noting defendant benefitted only indirectly from website developer’s avoidance of licensing fees).</w:t>
      </w:r>
    </w:p>
    <w:p w14:paraId="22544130" w14:textId="77777777" w:rsidR="00842D3D" w:rsidRPr="00842D3D" w:rsidRDefault="00842D3D" w:rsidP="00842D3D">
      <w:pPr>
        <w:autoSpaceDE w:val="0"/>
        <w:autoSpaceDN w:val="0"/>
        <w:adjustRightInd w:val="0"/>
        <w:rPr>
          <w:rFonts w:eastAsia="Calibri" w:cs="Times New Roman"/>
          <w:szCs w:val="24"/>
        </w:rPr>
      </w:pPr>
    </w:p>
    <w:p w14:paraId="1555946C" w14:textId="77777777" w:rsidR="00842D3D" w:rsidRPr="00842D3D" w:rsidRDefault="00842D3D" w:rsidP="00842D3D">
      <w:pPr>
        <w:autoSpaceDE w:val="0"/>
        <w:autoSpaceDN w:val="0"/>
        <w:adjustRightInd w:val="0"/>
        <w:rPr>
          <w:rFonts w:eastAsia="Calibri" w:cs="Times New Roman"/>
          <w:szCs w:val="24"/>
        </w:rPr>
      </w:pPr>
    </w:p>
    <w:p w14:paraId="0F2BBFBD" w14:textId="292DD28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 xml:space="preserve">Revised </w:t>
      </w:r>
      <w:r w:rsidR="00C84F09">
        <w:rPr>
          <w:rFonts w:eastAsia="Calibri" w:cs="Times New Roman"/>
          <w:i/>
          <w:iCs/>
          <w:szCs w:val="24"/>
        </w:rPr>
        <w:t>December 2025</w:t>
      </w:r>
    </w:p>
    <w:p w14:paraId="1C677A99" w14:textId="77777777" w:rsidR="00842D3D" w:rsidRPr="00842D3D" w:rsidRDefault="00842D3D" w:rsidP="00842D3D">
      <w:pPr>
        <w:rPr>
          <w:rFonts w:eastAsia="Calibri" w:cs="Times New Roman"/>
          <w:szCs w:val="24"/>
        </w:rPr>
      </w:pPr>
    </w:p>
    <w:p w14:paraId="48D6F741" w14:textId="77777777" w:rsidR="00842D3D" w:rsidRPr="00842D3D" w:rsidRDefault="00842D3D" w:rsidP="00313A05">
      <w:pPr>
        <w:pStyle w:val="Heading2"/>
      </w:pPr>
      <w:r w:rsidRPr="00842D3D">
        <w:br w:type="page"/>
      </w:r>
      <w:bookmarkStart w:id="414" w:name="_Toc221525322"/>
      <w:r w:rsidRPr="00842D3D">
        <w:lastRenderedPageBreak/>
        <w:t>17.21 Secondary Liability—Contributory Infringement—Elements and Burden of Proof</w:t>
      </w:r>
      <w:bookmarkEnd w:id="414"/>
    </w:p>
    <w:p w14:paraId="79D850E0" w14:textId="77777777" w:rsidR="00842D3D" w:rsidRPr="00842D3D" w:rsidRDefault="00842D3D" w:rsidP="00842D3D">
      <w:pPr>
        <w:rPr>
          <w:rFonts w:eastAsia="Calibri" w:cs="Times New Roman"/>
          <w:szCs w:val="24"/>
        </w:rPr>
      </w:pPr>
    </w:p>
    <w:p w14:paraId="7AA3A086" w14:textId="77777777" w:rsidR="00842D3D" w:rsidRPr="00842D3D" w:rsidRDefault="00842D3D" w:rsidP="00842D3D">
      <w:pPr>
        <w:rPr>
          <w:rFonts w:eastAsia="Calibri" w:cs="Times New Roman"/>
          <w:szCs w:val="24"/>
        </w:rPr>
      </w:pPr>
      <w:r w:rsidRPr="00842D3D">
        <w:rPr>
          <w:rFonts w:eastAsia="Calibri" w:cs="Times New Roman"/>
          <w:szCs w:val="24"/>
        </w:rPr>
        <w:tab/>
        <w:t>A defendant [</w:t>
      </w:r>
      <w:r w:rsidRPr="00842D3D">
        <w:rPr>
          <w:rFonts w:eastAsia="Calibri" w:cs="Times New Roman"/>
          <w:i/>
          <w:iCs/>
          <w:szCs w:val="24"/>
          <w:u w:val="single"/>
        </w:rPr>
        <w:t>name</w:t>
      </w:r>
      <w:r w:rsidRPr="00842D3D">
        <w:rPr>
          <w:rFonts w:eastAsia="Calibri" w:cs="Times New Roman"/>
          <w:szCs w:val="24"/>
        </w:rPr>
        <w:t>] may be liable for copyright infringement engaged in by another if [he] [she] [</w:t>
      </w:r>
      <w:r w:rsidRPr="00842D3D">
        <w:rPr>
          <w:rFonts w:eastAsia="Calibri" w:cs="Times New Roman"/>
          <w:i/>
          <w:iCs/>
          <w:szCs w:val="24"/>
          <w:u w:val="single"/>
        </w:rPr>
        <w:t>other pronoun</w:t>
      </w:r>
      <w:r w:rsidRPr="00842D3D">
        <w:rPr>
          <w:rFonts w:eastAsia="Calibri" w:cs="Times New Roman"/>
          <w:szCs w:val="24"/>
        </w:rPr>
        <w:t>] knew or had reason to know of the infringing activity and intentionally [induced] [materially contributed to] that infringing activity.</w:t>
      </w:r>
    </w:p>
    <w:p w14:paraId="72523E52" w14:textId="77777777" w:rsidR="00842D3D" w:rsidRPr="00842D3D" w:rsidRDefault="00842D3D" w:rsidP="00842D3D">
      <w:pPr>
        <w:rPr>
          <w:rFonts w:eastAsia="Calibri" w:cs="Times New Roman"/>
          <w:szCs w:val="24"/>
        </w:rPr>
      </w:pPr>
    </w:p>
    <w:p w14:paraId="582DC38D" w14:textId="77777777" w:rsidR="00842D3D" w:rsidRPr="00842D3D" w:rsidRDefault="00842D3D" w:rsidP="00842D3D">
      <w:pPr>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rFonts w:eastAsia="Calibri" w:cs="Times New Roman"/>
          <w:i/>
          <w:iCs/>
          <w:szCs w:val="24"/>
          <w:u w:val="single"/>
        </w:rPr>
        <w:t>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contributory infringer</w:t>
      </w:r>
      <w:r w:rsidRPr="00842D3D">
        <w:rPr>
          <w:rFonts w:eastAsia="Calibri" w:cs="Times New Roman"/>
          <w:szCs w:val="24"/>
        </w:rPr>
        <w:t>] contributorily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both of the following elements by a preponderance of the evidence:</w:t>
      </w:r>
    </w:p>
    <w:p w14:paraId="6EB3EA7C" w14:textId="77777777" w:rsidR="00842D3D" w:rsidRPr="00842D3D" w:rsidRDefault="00842D3D" w:rsidP="00842D3D">
      <w:pPr>
        <w:rPr>
          <w:rFonts w:eastAsia="Calibri" w:cs="Times New Roman"/>
          <w:szCs w:val="24"/>
        </w:rPr>
      </w:pPr>
    </w:p>
    <w:p w14:paraId="07379754"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knew or had reason to know of the infringing activity of [</w:t>
      </w:r>
      <w:r w:rsidRPr="00842D3D">
        <w:rPr>
          <w:rFonts w:eastAsia="Calibri" w:cs="Times New Roman"/>
          <w:i/>
          <w:iCs/>
          <w:szCs w:val="24"/>
          <w:u w:val="single"/>
        </w:rPr>
        <w:t>name of direct infringer</w:t>
      </w:r>
      <w:r w:rsidRPr="00842D3D">
        <w:rPr>
          <w:rFonts w:eastAsia="Calibri" w:cs="Times New Roman"/>
          <w:szCs w:val="24"/>
        </w:rPr>
        <w:t>]; and</w:t>
      </w:r>
    </w:p>
    <w:p w14:paraId="7AB523CA" w14:textId="77777777" w:rsidR="00842D3D" w:rsidRPr="00842D3D" w:rsidRDefault="00842D3D" w:rsidP="00842D3D">
      <w:pPr>
        <w:ind w:firstLine="720"/>
        <w:contextualSpacing/>
        <w:rPr>
          <w:rFonts w:eastAsia="Calibri" w:cs="Times New Roman"/>
          <w:szCs w:val="24"/>
        </w:rPr>
      </w:pPr>
    </w:p>
    <w:p w14:paraId="122AF805"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intentionally [induced] [materially contributed to] [</w:t>
      </w:r>
      <w:r w:rsidRPr="00842D3D">
        <w:rPr>
          <w:rFonts w:eastAsia="Calibri" w:cs="Times New Roman"/>
          <w:i/>
          <w:iCs/>
          <w:szCs w:val="24"/>
          <w:u w:val="single"/>
        </w:rPr>
        <w:t>name of direct infringer’s</w:t>
      </w:r>
      <w:r w:rsidRPr="00842D3D">
        <w:rPr>
          <w:rFonts w:eastAsia="Calibri" w:cs="Times New Roman"/>
          <w:szCs w:val="24"/>
        </w:rPr>
        <w:t>] infringing activity.</w:t>
      </w:r>
    </w:p>
    <w:p w14:paraId="15798035" w14:textId="77777777" w:rsidR="00842D3D" w:rsidRPr="00842D3D" w:rsidRDefault="00842D3D" w:rsidP="00842D3D">
      <w:pPr>
        <w:ind w:firstLine="720"/>
        <w:rPr>
          <w:rFonts w:eastAsia="Calibri" w:cs="Times New Roman"/>
          <w:szCs w:val="24"/>
        </w:rPr>
      </w:pPr>
    </w:p>
    <w:p w14:paraId="7138210E" w14:textId="77777777" w:rsidR="00842D3D" w:rsidRPr="00842D3D" w:rsidRDefault="00842D3D" w:rsidP="00842D3D">
      <w:pPr>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]’s intent to induce the infringing activity must be shown by clear expression of that intent or other affirmative steps taken by the defendant [</w:t>
      </w:r>
      <w:r w:rsidRPr="00842D3D">
        <w:rPr>
          <w:rFonts w:eastAsia="Calibri" w:cs="Times New Roman"/>
          <w:i/>
          <w:iCs/>
          <w:szCs w:val="24"/>
          <w:u w:val="single"/>
        </w:rPr>
        <w:t>name</w:t>
      </w:r>
      <w:r w:rsidRPr="00842D3D">
        <w:rPr>
          <w:rFonts w:eastAsia="Calibri" w:cs="Times New Roman"/>
          <w:szCs w:val="24"/>
        </w:rPr>
        <w:t>] to encourage.]</w:t>
      </w:r>
    </w:p>
    <w:p w14:paraId="115911F2" w14:textId="77777777" w:rsidR="00842D3D" w:rsidRPr="00842D3D" w:rsidRDefault="00842D3D" w:rsidP="00842D3D">
      <w:pPr>
        <w:rPr>
          <w:rFonts w:eastAsia="Calibri" w:cs="Times New Roman"/>
          <w:szCs w:val="24"/>
        </w:rPr>
      </w:pPr>
    </w:p>
    <w:p w14:paraId="21122E22" w14:textId="77777777" w:rsidR="00842D3D" w:rsidRPr="00842D3D" w:rsidRDefault="00842D3D" w:rsidP="00842D3D">
      <w:pPr>
        <w:widowControl w:val="0"/>
        <w:autoSpaceDE w:val="0"/>
        <w:autoSpaceDN w:val="0"/>
        <w:ind w:left="119" w:right="136" w:firstLine="719"/>
        <w:rPr>
          <w:rFonts w:eastAsia="Times New Roman" w:cs="Times New Roman"/>
          <w:w w:val="105"/>
          <w:szCs w:val="24"/>
        </w:rPr>
      </w:pPr>
      <w:r w:rsidRPr="00842D3D">
        <w:rPr>
          <w:rFonts w:eastAsia="Times New Roman" w:cs="Times New Roman"/>
          <w:w w:val="105"/>
          <w:szCs w:val="24"/>
        </w:rPr>
        <w:t>If</w:t>
      </w:r>
      <w:r w:rsidRPr="00842D3D">
        <w:rPr>
          <w:rFonts w:eastAsia="Times New Roman" w:cs="Times New Roman"/>
          <w:spacing w:val="-8"/>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find</w:t>
      </w:r>
      <w:r w:rsidRPr="00842D3D">
        <w:rPr>
          <w:rFonts w:eastAsia="Times New Roman" w:cs="Times New Roman"/>
          <w:spacing w:val="-5"/>
          <w:w w:val="105"/>
          <w:szCs w:val="24"/>
        </w:rPr>
        <w:t xml:space="preserve"> </w:t>
      </w:r>
      <w:r w:rsidRPr="00842D3D">
        <w:rPr>
          <w:rFonts w:eastAsia="Times New Roman" w:cs="Times New Roman"/>
          <w:w w:val="105"/>
          <w:szCs w:val="24"/>
        </w:rPr>
        <w:t>that</w:t>
      </w:r>
      <w:r w:rsidRPr="00842D3D">
        <w:rPr>
          <w:rFonts w:eastAsia="Times New Roman" w:cs="Times New Roman"/>
          <w:spacing w:val="-9"/>
          <w:w w:val="105"/>
          <w:szCs w:val="24"/>
        </w:rPr>
        <w:t xml:space="preserve"> </w:t>
      </w:r>
      <w:r w:rsidRPr="00842D3D">
        <w:rPr>
          <w:rFonts w:eastAsia="Times New Roman" w:cs="Times New Roman"/>
          <w:w w:val="105"/>
          <w:szCs w:val="24"/>
        </w:rPr>
        <w:t>[</w:t>
      </w:r>
      <w:r w:rsidRPr="00842D3D">
        <w:rPr>
          <w:rFonts w:eastAsia="Times New Roman" w:cs="Times New Roman"/>
          <w:i/>
          <w:w w:val="105"/>
          <w:szCs w:val="24"/>
          <w:u w:val="single"/>
        </w:rPr>
        <w:t>name</w:t>
      </w:r>
      <w:r w:rsidRPr="00842D3D">
        <w:rPr>
          <w:rFonts w:eastAsia="Times New Roman" w:cs="Times New Roman"/>
          <w:i/>
          <w:spacing w:val="-6"/>
          <w:w w:val="105"/>
          <w:szCs w:val="24"/>
          <w:u w:val="single"/>
        </w:rPr>
        <w:t xml:space="preserve"> </w:t>
      </w:r>
      <w:r w:rsidRPr="00842D3D">
        <w:rPr>
          <w:rFonts w:eastAsia="Times New Roman" w:cs="Times New Roman"/>
          <w:i/>
          <w:w w:val="105"/>
          <w:szCs w:val="24"/>
          <w:u w:val="single"/>
        </w:rPr>
        <w:t>of</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direct</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infringer</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infringed</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’s</w:t>
      </w:r>
      <w:r w:rsidRPr="00842D3D">
        <w:rPr>
          <w:rFonts w:eastAsia="Times New Roman" w:cs="Times New Roman"/>
          <w:spacing w:val="-7"/>
          <w:w w:val="105"/>
          <w:szCs w:val="24"/>
        </w:rPr>
        <w:t xml:space="preserve"> </w:t>
      </w:r>
      <w:r w:rsidRPr="00842D3D">
        <w:rPr>
          <w:rFonts w:eastAsia="Times New Roman" w:cs="Times New Roman"/>
          <w:w w:val="105"/>
          <w:szCs w:val="24"/>
        </w:rPr>
        <w:t>copyright</w:t>
      </w:r>
      <w:r w:rsidRPr="00842D3D">
        <w:rPr>
          <w:rFonts w:eastAsia="Times New Roman" w:cs="Times New Roman"/>
          <w:spacing w:val="-16"/>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also find that</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plaintiff</w:t>
      </w:r>
      <w:r w:rsidRPr="00842D3D">
        <w:rPr>
          <w:rFonts w:eastAsia="Times New Roman" w:cs="Times New Roman"/>
          <w:spacing w:val="-3"/>
          <w:w w:val="10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has</w:t>
      </w:r>
      <w:r w:rsidRPr="00842D3D">
        <w:rPr>
          <w:rFonts w:eastAsia="Times New Roman" w:cs="Times New Roman"/>
          <w:spacing w:val="-2"/>
          <w:w w:val="105"/>
          <w:szCs w:val="24"/>
        </w:rPr>
        <w:t xml:space="preserve"> </w:t>
      </w:r>
      <w:r w:rsidRPr="00842D3D">
        <w:rPr>
          <w:rFonts w:eastAsia="Times New Roman" w:cs="Times New Roman"/>
          <w:w w:val="105"/>
          <w:szCs w:val="24"/>
        </w:rPr>
        <w:t>proved both of</w:t>
      </w:r>
      <w:r w:rsidRPr="00842D3D">
        <w:rPr>
          <w:rFonts w:eastAsia="Times New Roman" w:cs="Times New Roman"/>
          <w:spacing w:val="-3"/>
          <w:w w:val="105"/>
          <w:szCs w:val="24"/>
        </w:rPr>
        <w:t xml:space="preserve"> </w:t>
      </w:r>
      <w:r w:rsidRPr="00842D3D">
        <w:rPr>
          <w:rFonts w:eastAsia="Times New Roman" w:cs="Times New Roman"/>
          <w:w w:val="105"/>
          <w:szCs w:val="24"/>
        </w:rPr>
        <w:t>these</w:t>
      </w:r>
      <w:r w:rsidRPr="00842D3D">
        <w:rPr>
          <w:rFonts w:eastAsia="Times New Roman" w:cs="Times New Roman"/>
          <w:spacing w:val="-1"/>
          <w:w w:val="105"/>
          <w:szCs w:val="24"/>
        </w:rPr>
        <w:t xml:space="preserve"> </w:t>
      </w:r>
      <w:r w:rsidRPr="00842D3D">
        <w:rPr>
          <w:rFonts w:eastAsia="Times New Roman" w:cs="Times New Roman"/>
          <w:w w:val="105"/>
          <w:szCs w:val="24"/>
        </w:rPr>
        <w:t>elements,</w:t>
      </w:r>
      <w:r w:rsidRPr="00842D3D">
        <w:rPr>
          <w:rFonts w:eastAsia="Times New Roman" w:cs="Times New Roman"/>
          <w:spacing w:val="-5"/>
          <w:w w:val="105"/>
          <w:szCs w:val="24"/>
        </w:rPr>
        <w:t xml:space="preserve"> </w:t>
      </w:r>
      <w:r w:rsidRPr="00842D3D">
        <w:rPr>
          <w:rFonts w:eastAsia="Times New Roman" w:cs="Times New Roman"/>
          <w:w w:val="105"/>
          <w:szCs w:val="24"/>
        </w:rPr>
        <w:t>your</w:t>
      </w:r>
      <w:r w:rsidRPr="00842D3D">
        <w:rPr>
          <w:rFonts w:eastAsia="Times New Roman" w:cs="Times New Roman"/>
          <w:spacing w:val="-3"/>
          <w:w w:val="105"/>
          <w:szCs w:val="24"/>
        </w:rPr>
        <w:t xml:space="preserve"> </w:t>
      </w:r>
      <w:r w:rsidRPr="00842D3D">
        <w:rPr>
          <w:rFonts w:eastAsia="Times New Roman" w:cs="Times New Roman"/>
          <w:w w:val="105"/>
          <w:szCs w:val="24"/>
        </w:rPr>
        <w:t>verdict</w:t>
      </w:r>
      <w:r w:rsidRPr="00842D3D">
        <w:rPr>
          <w:rFonts w:eastAsia="Times New Roman" w:cs="Times New Roman"/>
          <w:spacing w:val="-5"/>
          <w:w w:val="105"/>
          <w:szCs w:val="24"/>
        </w:rPr>
        <w:t xml:space="preserve"> </w:t>
      </w:r>
      <w:r w:rsidRPr="00842D3D">
        <w:rPr>
          <w:rFonts w:eastAsia="Times New Roman" w:cs="Times New Roman"/>
          <w:w w:val="105"/>
          <w:szCs w:val="24"/>
        </w:rPr>
        <w:t>should be</w:t>
      </w:r>
      <w:r w:rsidRPr="00842D3D">
        <w:rPr>
          <w:rFonts w:eastAsia="Times New Roman" w:cs="Times New Roman"/>
          <w:spacing w:val="-1"/>
          <w:w w:val="105"/>
          <w:szCs w:val="24"/>
        </w:rPr>
        <w:t xml:space="preserve"> </w:t>
      </w:r>
      <w:r w:rsidRPr="00842D3D">
        <w:rPr>
          <w:rFonts w:eastAsia="Times New Roman" w:cs="Times New Roman"/>
          <w:w w:val="105"/>
          <w:szCs w:val="24"/>
        </w:rPr>
        <w:t>for</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 xml:space="preserve">. If, on the other hand, the 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 xml:space="preserve">has failed to prove either or both of these elements, your verdict should be for the defendant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w:t>
      </w:r>
    </w:p>
    <w:p w14:paraId="51809130" w14:textId="77777777" w:rsidR="00842D3D" w:rsidRPr="00842D3D" w:rsidRDefault="00842D3D" w:rsidP="00842D3D">
      <w:pPr>
        <w:rPr>
          <w:rFonts w:eastAsia="Calibri" w:cs="Times New Roman"/>
          <w:szCs w:val="24"/>
        </w:rPr>
      </w:pPr>
    </w:p>
    <w:p w14:paraId="4C4EB92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322CBEB" w14:textId="77777777" w:rsidR="00842D3D" w:rsidRPr="00842D3D" w:rsidRDefault="00842D3D" w:rsidP="00842D3D">
      <w:pPr>
        <w:jc w:val="center"/>
        <w:rPr>
          <w:rFonts w:eastAsia="Calibri" w:cs="Times New Roman"/>
          <w:b/>
          <w:bCs/>
          <w:szCs w:val="24"/>
        </w:rPr>
      </w:pPr>
    </w:p>
    <w:p w14:paraId="68F59E4E" w14:textId="77777777" w:rsidR="00842D3D" w:rsidRPr="00842D3D" w:rsidRDefault="00842D3D" w:rsidP="00842D3D">
      <w:pPr>
        <w:rPr>
          <w:rFonts w:eastAsia="Calibri" w:cs="Times New Roman"/>
          <w:strike/>
          <w:szCs w:val="24"/>
        </w:rPr>
      </w:pPr>
      <w:r w:rsidRPr="00842D3D">
        <w:rPr>
          <w:rFonts w:eastAsia="Calibri" w:cs="Times New Roman"/>
          <w:szCs w:val="24"/>
        </w:rPr>
        <w:tab/>
        <w:t xml:space="preserve">This instruction is based on </w:t>
      </w:r>
      <w:r w:rsidRPr="00842D3D">
        <w:rPr>
          <w:rFonts w:eastAsia="Calibri" w:cs="Times New Roman"/>
          <w:i/>
          <w:iCs/>
          <w:szCs w:val="24"/>
        </w:rPr>
        <w:t>Fonovisa, Inc. v. Cherry Auction, Inc</w:t>
      </w:r>
      <w:r w:rsidRPr="00842D3D">
        <w:rPr>
          <w:rFonts w:eastAsia="Calibri" w:cs="Times New Roman"/>
          <w:szCs w:val="24"/>
        </w:rPr>
        <w:t xml:space="preserve">., 76 F.3d 259, 261-63 (9th Cir. 1996), </w:t>
      </w:r>
      <w:r w:rsidRPr="00842D3D">
        <w:rPr>
          <w:rFonts w:eastAsia="Calibri" w:cs="Times New Roman"/>
          <w:i/>
          <w:iCs/>
          <w:szCs w:val="24"/>
        </w:rPr>
        <w:t>Ellison v. Robertson</w:t>
      </w:r>
      <w:r w:rsidRPr="00842D3D">
        <w:rPr>
          <w:rFonts w:eastAsia="Calibri" w:cs="Times New Roman"/>
          <w:szCs w:val="24"/>
        </w:rPr>
        <w:t xml:space="preserve">, 357 F.3d 1072, 1076 (9th Cir. 2004), and </w:t>
      </w:r>
      <w:r w:rsidRPr="00842D3D">
        <w:rPr>
          <w:rFonts w:eastAsia="Calibri" w:cs="Times New Roman"/>
          <w:i/>
          <w:iCs/>
          <w:szCs w:val="24"/>
        </w:rPr>
        <w:t>MDY Indus., LLC v. Blizzard Ent., Inc.</w:t>
      </w:r>
      <w:r w:rsidRPr="00842D3D">
        <w:rPr>
          <w:rFonts w:eastAsia="Calibri" w:cs="Times New Roman"/>
          <w:szCs w:val="24"/>
        </w:rPr>
        <w:t xml:space="preserve">, 629 F.3d 928, 937-38 (9th Cir. 2010), </w:t>
      </w:r>
      <w:r w:rsidRPr="00842D3D">
        <w:rPr>
          <w:rFonts w:eastAsia="Calibri" w:cs="Times New Roman"/>
          <w:i/>
          <w:iCs/>
          <w:szCs w:val="24"/>
        </w:rPr>
        <w:t xml:space="preserve">amended </w:t>
      </w:r>
      <w:r w:rsidRPr="00842D3D">
        <w:rPr>
          <w:rFonts w:eastAsia="Calibri" w:cs="Times New Roman"/>
          <w:szCs w:val="24"/>
        </w:rPr>
        <w:t>(Feb. 17, 2011).</w:t>
      </w:r>
      <w:r w:rsidRPr="00842D3D">
        <w:rPr>
          <w:rFonts w:eastAsia="Calibri" w:cs="Times New Roman"/>
          <w:strike/>
          <w:szCs w:val="24"/>
        </w:rPr>
        <w:t xml:space="preserve"> </w:t>
      </w:r>
    </w:p>
    <w:p w14:paraId="31C70F6C" w14:textId="77777777" w:rsidR="00842D3D" w:rsidRPr="00842D3D" w:rsidRDefault="00842D3D" w:rsidP="00842D3D">
      <w:pPr>
        <w:rPr>
          <w:rFonts w:eastAsia="Calibri" w:cs="Times New Roman"/>
          <w:szCs w:val="24"/>
        </w:rPr>
      </w:pPr>
    </w:p>
    <w:p w14:paraId="3CA78118" w14:textId="77777777" w:rsidR="00842D3D" w:rsidRPr="00842D3D" w:rsidRDefault="00842D3D" w:rsidP="00842D3D">
      <w:pPr>
        <w:rPr>
          <w:rFonts w:eastAsia="Calibri" w:cs="Times New Roman"/>
          <w:szCs w:val="24"/>
        </w:rPr>
      </w:pPr>
      <w:r w:rsidRPr="00842D3D">
        <w:rPr>
          <w:rFonts w:eastAsia="Calibri" w:cs="Times New Roman"/>
          <w:szCs w:val="24"/>
        </w:rPr>
        <w:tab/>
        <w:t>This instruction is also supported by the following cases:</w:t>
      </w:r>
      <w:r w:rsidRPr="00842D3D">
        <w:rPr>
          <w:rFonts w:eastAsia="Calibri" w:cs="Times New Roman"/>
          <w:i/>
          <w:iCs/>
          <w:szCs w:val="24"/>
        </w:rPr>
        <w:t xml:space="preserve"> Erickson Products, Inc. v. Kast</w:t>
      </w:r>
      <w:r w:rsidRPr="00842D3D">
        <w:rPr>
          <w:rFonts w:eastAsia="Calibri" w:cs="Times New Roman"/>
          <w:szCs w:val="24"/>
        </w:rPr>
        <w:t>,</w:t>
      </w:r>
      <w:r w:rsidRPr="00842D3D">
        <w:rPr>
          <w:rFonts w:eastAsia="Calibri" w:cs="Times New Roman"/>
          <w:i/>
          <w:iCs/>
          <w:szCs w:val="24"/>
          <w:u w:val="single"/>
        </w:rPr>
        <w:t xml:space="preserve"> </w:t>
      </w:r>
      <w:r w:rsidRPr="00842D3D">
        <w:rPr>
          <w:rFonts w:eastAsia="Calibri" w:cs="Times New Roman"/>
          <w:szCs w:val="24"/>
        </w:rPr>
        <w:t xml:space="preserve">921 F.3d 822, 831 (9th Cir. 2019) (“A party engages in contributory copyright infringement when it ‘(1) has knowledge of another’s infringement and (2) either (a) materially contributes to or (b) induces that infringement.’” (quoting </w:t>
      </w:r>
      <w:r w:rsidRPr="00842D3D">
        <w:rPr>
          <w:rFonts w:eastAsia="Calibri" w:cs="Times New Roman"/>
          <w:i/>
          <w:iCs/>
          <w:szCs w:val="24"/>
        </w:rPr>
        <w:t>VHT, Inc. v. Zillow Grp.</w:t>
      </w:r>
      <w:r w:rsidRPr="00842D3D">
        <w:rPr>
          <w:rFonts w:eastAsia="Calibri" w:cs="Times New Roman"/>
          <w:szCs w:val="24"/>
        </w:rPr>
        <w:t xml:space="preserve">, 918 F.3d 723, 745 (9th Cir. 2019))); </w:t>
      </w:r>
      <w:r w:rsidRPr="00842D3D">
        <w:rPr>
          <w:rFonts w:eastAsia="Calibri" w:cs="Times New Roman"/>
          <w:i/>
          <w:iCs/>
          <w:szCs w:val="24"/>
        </w:rPr>
        <w:t>Cobbler Nevada, LLC v. Gonzales</w:t>
      </w:r>
      <w:r w:rsidRPr="00842D3D">
        <w:rPr>
          <w:rFonts w:eastAsia="Calibri" w:cs="Times New Roman"/>
          <w:szCs w:val="24"/>
        </w:rPr>
        <w:t xml:space="preserve">, 901 F.3d 1142, 1147 (9th Cir. 2018) (“We have adopted the well-settled rule that ‘[o]ne infringes contributorily by intentionally inducing or encouraging direct infringement.’” </w:t>
      </w:r>
      <w:r w:rsidRPr="00842D3D">
        <w:rPr>
          <w:rFonts w:eastAsia="Calibri" w:cs="Times New Roman"/>
          <w:i/>
          <w:iCs/>
          <w:szCs w:val="24"/>
        </w:rPr>
        <w:t>Perfect 10, Inc. v. Amazon.com, Inc.</w:t>
      </w:r>
      <w:r w:rsidRPr="00842D3D">
        <w:rPr>
          <w:rFonts w:eastAsia="Calibri" w:cs="Times New Roman"/>
          <w:szCs w:val="24"/>
        </w:rPr>
        <w:t xml:space="preserve">, 508 F.3d 1146, 1170 (9th Cir. 2007) (alteration in original) (quoting </w:t>
      </w:r>
      <w:r w:rsidRPr="00842D3D">
        <w:rPr>
          <w:rFonts w:eastAsia="Calibri" w:cs="Times New Roman"/>
          <w:i/>
          <w:iCs/>
          <w:szCs w:val="24"/>
        </w:rPr>
        <w:t>Metro-Goldwyn-Mayer Studios, Inc. v. Grokster</w:t>
      </w:r>
      <w:r w:rsidRPr="00842D3D">
        <w:rPr>
          <w:rFonts w:eastAsia="Calibri" w:cs="Times New Roman"/>
          <w:szCs w:val="24"/>
        </w:rPr>
        <w:t xml:space="preserve">, </w:t>
      </w:r>
      <w:r w:rsidRPr="00842D3D">
        <w:rPr>
          <w:rFonts w:eastAsia="Calibri" w:cs="Times New Roman"/>
          <w:i/>
          <w:iCs/>
          <w:szCs w:val="24"/>
        </w:rPr>
        <w:t>Ltd.</w:t>
      </w:r>
      <w:r w:rsidRPr="00842D3D">
        <w:rPr>
          <w:rFonts w:eastAsia="Calibri" w:cs="Times New Roman"/>
          <w:szCs w:val="24"/>
        </w:rPr>
        <w:t xml:space="preserve">, 545 U.S. 913, 930 (2005)). </w:t>
      </w:r>
    </w:p>
    <w:p w14:paraId="01104DEA" w14:textId="77777777" w:rsidR="00842D3D" w:rsidRPr="00842D3D" w:rsidRDefault="00842D3D" w:rsidP="00842D3D">
      <w:pPr>
        <w:rPr>
          <w:rFonts w:eastAsia="Calibri" w:cs="Times New Roman"/>
          <w:szCs w:val="24"/>
        </w:rPr>
      </w:pPr>
    </w:p>
    <w:p w14:paraId="6989B577" w14:textId="77777777" w:rsidR="00842D3D" w:rsidRPr="00842D3D" w:rsidRDefault="00842D3D" w:rsidP="00842D3D">
      <w:pPr>
        <w:rPr>
          <w:rFonts w:eastAsia="Calibri" w:cs="Times New Roman"/>
          <w:i/>
          <w:iCs/>
          <w:szCs w:val="24"/>
        </w:rPr>
      </w:pPr>
      <w:r w:rsidRPr="00842D3D">
        <w:rPr>
          <w:rFonts w:eastAsia="Calibri" w:cs="Times New Roman"/>
          <w:szCs w:val="24"/>
        </w:rPr>
        <w:tab/>
        <w:t xml:space="preserve">In </w:t>
      </w:r>
      <w:r w:rsidRPr="00842D3D">
        <w:rPr>
          <w:rFonts w:eastAsia="Calibri" w:cs="Times New Roman"/>
          <w:i/>
          <w:iCs/>
          <w:szCs w:val="24"/>
        </w:rPr>
        <w:t>Metro-Goldwyn-Mayer Studios Inc. v. Grokster, Ltd.</w:t>
      </w:r>
      <w:r w:rsidRPr="00842D3D">
        <w:rPr>
          <w:rFonts w:eastAsia="Calibri" w:cs="Times New Roman"/>
          <w:szCs w:val="24"/>
        </w:rPr>
        <w:t xml:space="preserve">, 545 U.S. 913 (2005), the Supreme Court adopted “[t]he rule on inducement of infringement.” The Court held that “one who distributes a device with the object of promoting its use to infringe a copyright, as shown by clear expression or other affirmative steps to foster infringement, is liable for the resulting acts of infringement by third parties.” </w:t>
      </w:r>
      <w:r w:rsidRPr="00842D3D">
        <w:rPr>
          <w:rFonts w:eastAsia="Calibri" w:cs="Times New Roman"/>
          <w:i/>
          <w:iCs/>
          <w:szCs w:val="24"/>
        </w:rPr>
        <w:t>Id.</w:t>
      </w:r>
      <w:r w:rsidRPr="00842D3D">
        <w:rPr>
          <w:rFonts w:eastAsia="Calibri" w:cs="Times New Roman"/>
          <w:szCs w:val="24"/>
        </w:rPr>
        <w:t xml:space="preserve"> at 936-37. The Court clarified that, “in the absence of evidence </w:t>
      </w:r>
      <w:r w:rsidRPr="00842D3D">
        <w:rPr>
          <w:rFonts w:eastAsia="Calibri" w:cs="Times New Roman"/>
          <w:szCs w:val="24"/>
        </w:rPr>
        <w:lastRenderedPageBreak/>
        <w:t xml:space="preserve">of intent, a court would be unable to find contributory infringement liability merely based on a failure to take affirmative steps to prevent infringement, if the device were otherwise capable of substantial noninfringing uses.” </w:t>
      </w:r>
      <w:r w:rsidRPr="00842D3D">
        <w:rPr>
          <w:rFonts w:eastAsia="Calibri" w:cs="Times New Roman"/>
          <w:i/>
          <w:iCs/>
          <w:szCs w:val="24"/>
        </w:rPr>
        <w:t>Id.</w:t>
      </w:r>
      <w:r w:rsidRPr="00842D3D">
        <w:rPr>
          <w:rFonts w:eastAsia="Calibri" w:cs="Times New Roman"/>
          <w:szCs w:val="24"/>
        </w:rPr>
        <w:t xml:space="preserve"> at 940 n.12. </w:t>
      </w:r>
    </w:p>
    <w:p w14:paraId="63037D8E" w14:textId="77777777" w:rsidR="00842D3D" w:rsidRPr="00842D3D" w:rsidRDefault="00842D3D" w:rsidP="00842D3D">
      <w:pPr>
        <w:rPr>
          <w:rFonts w:eastAsia="Calibri" w:cs="Times New Roman"/>
          <w:szCs w:val="24"/>
        </w:rPr>
      </w:pPr>
    </w:p>
    <w:p w14:paraId="17F4A86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Columbia Pictures Industries, Inc. v. Fung</w:t>
      </w:r>
      <w:r w:rsidRPr="00842D3D">
        <w:rPr>
          <w:rFonts w:eastAsia="Calibri" w:cs="Times New Roman"/>
          <w:szCs w:val="24"/>
        </w:rPr>
        <w:t xml:space="preserve">, 710 F.3d 1020 (9th Cir. 2013), the Ninth Circuit recognized that, under </w:t>
      </w:r>
      <w:r w:rsidRPr="00842D3D">
        <w:rPr>
          <w:rFonts w:eastAsia="Calibri" w:cs="Times New Roman"/>
          <w:i/>
          <w:iCs/>
          <w:szCs w:val="24"/>
        </w:rPr>
        <w:t>Grokster</w:t>
      </w:r>
      <w:r w:rsidRPr="00842D3D">
        <w:rPr>
          <w:rFonts w:eastAsia="Calibri" w:cs="Times New Roman"/>
          <w:szCs w:val="24"/>
        </w:rPr>
        <w:t xml:space="preserve">, the inducement rule has four elements: “(1) the distribution of a device or product, (2) acts of infringement, (3) an object of promoting its use to infringe copyright, and (4) causation.” </w:t>
      </w:r>
      <w:r w:rsidRPr="00842D3D">
        <w:rPr>
          <w:rFonts w:eastAsia="Calibri" w:cs="Times New Roman"/>
          <w:i/>
          <w:iCs/>
          <w:szCs w:val="24"/>
        </w:rPr>
        <w:t>Id.</w:t>
      </w:r>
      <w:r w:rsidRPr="00842D3D">
        <w:rPr>
          <w:rFonts w:eastAsia="Calibri" w:cs="Times New Roman"/>
          <w:szCs w:val="24"/>
        </w:rPr>
        <w:t xml:space="preserve"> The court explained those elements and clarified that the inducement copyright rule “applies to services available on the internet as well as to devices or products.” </w:t>
      </w:r>
      <w:r w:rsidRPr="00842D3D">
        <w:rPr>
          <w:rFonts w:eastAsia="Calibri" w:cs="Times New Roman"/>
          <w:i/>
          <w:iCs/>
          <w:szCs w:val="24"/>
        </w:rPr>
        <w:t>Id.</w:t>
      </w:r>
      <w:r w:rsidRPr="00842D3D">
        <w:rPr>
          <w:rFonts w:eastAsia="Calibri" w:cs="Times New Roman"/>
          <w:szCs w:val="24"/>
        </w:rPr>
        <w:t xml:space="preserve"> at 1033-39; </w:t>
      </w:r>
      <w:r w:rsidRPr="00842D3D">
        <w:rPr>
          <w:rFonts w:eastAsia="Calibri" w:cs="Times New Roman"/>
          <w:i/>
          <w:iCs/>
          <w:szCs w:val="24"/>
        </w:rPr>
        <w:t>see also Perfect 10, Inc. v. Visa Int’l Serv. Ass’n</w:t>
      </w:r>
      <w:r w:rsidRPr="00842D3D">
        <w:rPr>
          <w:rFonts w:eastAsia="Calibri" w:cs="Times New Roman"/>
          <w:szCs w:val="24"/>
        </w:rPr>
        <w:t>, 494 F.3d 788, 795 (9th Cir. 2007) (describing inducement rule and material contribution test as “non-contradictory variations on the same basic test”).</w:t>
      </w:r>
    </w:p>
    <w:p w14:paraId="1FED158B" w14:textId="77777777" w:rsidR="00842D3D" w:rsidRPr="00842D3D" w:rsidRDefault="00842D3D" w:rsidP="00842D3D">
      <w:pPr>
        <w:rPr>
          <w:rFonts w:eastAsia="Calibri" w:cs="Times New Roman"/>
          <w:szCs w:val="24"/>
        </w:rPr>
      </w:pPr>
    </w:p>
    <w:p w14:paraId="656029B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Perfect 10, Inc. v. Giganews, Inc.</w:t>
      </w:r>
      <w:r w:rsidRPr="00842D3D">
        <w:rPr>
          <w:rFonts w:eastAsia="Calibri" w:cs="Times New Roman"/>
          <w:szCs w:val="24"/>
        </w:rPr>
        <w:t xml:space="preserve">, 847 F.3d 657, 671 (9th Cir. 2017), the court addressed material contribution to infringement in the online context and explained that “a computer system operator may be liable under a material contribution theory if it has actual knowledge that specific infringing material is available using its systems, and can take simple measures to prevent further” infringement, and yet fails to do so. </w:t>
      </w:r>
      <w:r w:rsidRPr="00842D3D">
        <w:rPr>
          <w:rFonts w:eastAsia="Calibri" w:cs="Times New Roman"/>
          <w:i/>
          <w:iCs/>
          <w:szCs w:val="24"/>
        </w:rPr>
        <w:t>Id</w:t>
      </w:r>
      <w:r w:rsidRPr="00842D3D">
        <w:rPr>
          <w:rFonts w:eastAsia="Calibri" w:cs="Times New Roman"/>
          <w:szCs w:val="24"/>
        </w:rPr>
        <w:t xml:space="preserve">. (internal quotation marks omitted); </w:t>
      </w:r>
      <w:r w:rsidRPr="00842D3D">
        <w:rPr>
          <w:rFonts w:eastAsia="Calibri" w:cs="Times New Roman"/>
          <w:i/>
          <w:iCs/>
          <w:szCs w:val="24"/>
        </w:rPr>
        <w:t>see also VHT, Inc. v. Zillow Grp.</w:t>
      </w:r>
      <w:r w:rsidRPr="00842D3D">
        <w:rPr>
          <w:rFonts w:eastAsia="Calibri" w:cs="Times New Roman"/>
          <w:szCs w:val="24"/>
        </w:rPr>
        <w:t>, 918 F.3d 723, 745 (9th Cir. 2019) (holding that Zillow’s actions did not constitute “material contribution or inducement” because it had no means to identify the allegedly infringing images uploaded by users and thus did not have “appropriately ‘specific’ information necessary to take ‘simple measures’ to remedy the violation”).</w:t>
      </w:r>
    </w:p>
    <w:p w14:paraId="352D68D6" w14:textId="77777777" w:rsidR="00842D3D" w:rsidRPr="00842D3D" w:rsidRDefault="00842D3D" w:rsidP="00842D3D">
      <w:pPr>
        <w:rPr>
          <w:rFonts w:eastAsia="Calibri" w:cs="Times New Roman"/>
          <w:szCs w:val="24"/>
        </w:rPr>
      </w:pPr>
    </w:p>
    <w:p w14:paraId="2A1BB049"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bracketed language in the jury instruction paraphrases the test for inducement set forth in </w:t>
      </w:r>
      <w:r w:rsidRPr="00842D3D">
        <w:rPr>
          <w:rFonts w:eastAsia="Calibri" w:cs="Times New Roman"/>
          <w:i/>
          <w:iCs/>
          <w:szCs w:val="24"/>
        </w:rPr>
        <w:t>Grokster</w:t>
      </w:r>
      <w:r w:rsidRPr="00842D3D">
        <w:rPr>
          <w:rFonts w:eastAsia="Calibri" w:cs="Times New Roman"/>
          <w:szCs w:val="24"/>
        </w:rPr>
        <w:t>, 545 U.S. at 919, 936-37, and reiterated in</w:t>
      </w:r>
      <w:r w:rsidRPr="00842D3D">
        <w:rPr>
          <w:rFonts w:eastAsia="Calibri" w:cs="Times New Roman"/>
          <w:i/>
          <w:iCs/>
          <w:szCs w:val="24"/>
        </w:rPr>
        <w:t xml:space="preserve"> Columbia Pictures</w:t>
      </w:r>
      <w:r w:rsidRPr="00842D3D">
        <w:rPr>
          <w:rFonts w:eastAsia="Calibri" w:cs="Times New Roman"/>
          <w:szCs w:val="24"/>
        </w:rPr>
        <w:t xml:space="preserve">, 710 F.3d at 1032. The court should include this language if there is a dispute regarding whether the defendant took sufficient action, or any action, demonstrating its intent to encourage infringement.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id.</w:t>
      </w:r>
      <w:r w:rsidRPr="00842D3D">
        <w:rPr>
          <w:rFonts w:eastAsia="Calibri" w:cs="Times New Roman"/>
          <w:szCs w:val="24"/>
        </w:rPr>
        <w:t xml:space="preserve"> at 1035-36 (“As for the necessary ‘clear expression or other affirmative steps’ evidence indicative of unlawful intent, the most important is Fung’s active encouragement of the uploading of torrent files concerning copyrighted content.”).</w:t>
      </w:r>
    </w:p>
    <w:p w14:paraId="0346B27F" w14:textId="77777777" w:rsidR="00842D3D" w:rsidRPr="00842D3D" w:rsidRDefault="00842D3D" w:rsidP="00842D3D">
      <w:pPr>
        <w:rPr>
          <w:rFonts w:eastAsia="Calibri" w:cs="Times New Roman"/>
          <w:szCs w:val="24"/>
        </w:rPr>
      </w:pPr>
    </w:p>
    <w:p w14:paraId="4A3A5AAC" w14:textId="77777777" w:rsidR="00842D3D" w:rsidRPr="00842D3D" w:rsidRDefault="00842D3D" w:rsidP="00842D3D">
      <w:pPr>
        <w:rPr>
          <w:rFonts w:eastAsia="Calibri" w:cs="Times New Roman"/>
          <w:szCs w:val="24"/>
        </w:rPr>
      </w:pPr>
    </w:p>
    <w:p w14:paraId="3BB55C97"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Dec. 2023</w:t>
      </w:r>
    </w:p>
    <w:p w14:paraId="37ADF11C" w14:textId="77777777" w:rsidR="00842D3D" w:rsidRPr="00842D3D" w:rsidRDefault="00842D3D" w:rsidP="00842D3D">
      <w:pPr>
        <w:rPr>
          <w:rFonts w:eastAsia="Calibri" w:cs="Times New Roman"/>
          <w:szCs w:val="24"/>
        </w:rPr>
      </w:pPr>
    </w:p>
    <w:p w14:paraId="27079A5D" w14:textId="77777777" w:rsidR="00842D3D" w:rsidRPr="00842D3D" w:rsidRDefault="00842D3D" w:rsidP="00842D3D">
      <w:pPr>
        <w:rPr>
          <w:rFonts w:eastAsia="Calibri" w:cs="Times New Roman"/>
          <w:szCs w:val="24"/>
        </w:rPr>
      </w:pPr>
      <w:r w:rsidRPr="00842D3D">
        <w:rPr>
          <w:rFonts w:eastAsia="Calibri" w:cs="Times New Roman"/>
          <w:szCs w:val="24"/>
        </w:rPr>
        <w:br w:type="page"/>
      </w:r>
    </w:p>
    <w:p w14:paraId="69B9976E" w14:textId="5B72AC9F" w:rsidR="00842D3D" w:rsidRPr="00842D3D" w:rsidRDefault="00842D3D" w:rsidP="00313A05">
      <w:pPr>
        <w:pStyle w:val="Heading2"/>
      </w:pPr>
      <w:bookmarkStart w:id="415" w:name="_Toc221525323"/>
      <w:r w:rsidRPr="00842D3D">
        <w:lastRenderedPageBreak/>
        <w:t>17.2</w:t>
      </w:r>
      <w:r w:rsidR="003B11C4">
        <w:t>2</w:t>
      </w:r>
      <w:r w:rsidRPr="00842D3D">
        <w:t xml:space="preserve"> Copyright—Useful Articles/Functional Elements</w:t>
      </w:r>
      <w:r w:rsidRPr="00842D3D">
        <w:br/>
        <w:t>(17 U.S.C. § 101)</w:t>
      </w:r>
      <w:bookmarkEnd w:id="415"/>
      <w:r w:rsidRPr="00842D3D">
        <w:t xml:space="preserve">  </w:t>
      </w:r>
    </w:p>
    <w:p w14:paraId="0FF35944" w14:textId="77777777" w:rsidR="00842D3D" w:rsidRPr="00842D3D" w:rsidRDefault="00842D3D" w:rsidP="00842D3D">
      <w:pPr>
        <w:rPr>
          <w:rFonts w:eastAsia="Calibri" w:cs="Times New Roman"/>
          <w:szCs w:val="24"/>
        </w:rPr>
      </w:pPr>
    </w:p>
    <w:p w14:paraId="05B43450" w14:textId="77777777" w:rsidR="00842D3D" w:rsidRPr="00842D3D" w:rsidRDefault="00842D3D" w:rsidP="00842D3D">
      <w:pPr>
        <w:rPr>
          <w:rFonts w:eastAsia="Calibri" w:cs="Times New Roman"/>
          <w:szCs w:val="24"/>
        </w:rPr>
      </w:pPr>
      <w:r w:rsidRPr="00842D3D">
        <w:rPr>
          <w:rFonts w:eastAsia="Calibri" w:cs="Times New Roman"/>
          <w:szCs w:val="24"/>
        </w:rPr>
        <w:tab/>
        <w:t>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w:t>
      </w:r>
    </w:p>
    <w:p w14:paraId="6D4793C9" w14:textId="77777777" w:rsidR="00842D3D" w:rsidRPr="00842D3D" w:rsidRDefault="00842D3D" w:rsidP="00842D3D">
      <w:pPr>
        <w:rPr>
          <w:rFonts w:eastAsia="Calibri" w:cs="Times New Roman"/>
          <w:szCs w:val="24"/>
        </w:rPr>
      </w:pPr>
    </w:p>
    <w:p w14:paraId="6DFD8518" w14:textId="77777777" w:rsidR="00842D3D" w:rsidRPr="00842D3D" w:rsidRDefault="00842D3D" w:rsidP="00842D3D">
      <w:pPr>
        <w:rPr>
          <w:rFonts w:eastAsia="Calibri" w:cs="Times New Roman"/>
          <w:szCs w:val="24"/>
        </w:rPr>
      </w:pPr>
      <w:r w:rsidRPr="00842D3D">
        <w:rPr>
          <w:rFonts w:eastAsia="Calibri" w:cs="Times New Roman"/>
          <w:szCs w:val="24"/>
        </w:rPr>
        <w:tab/>
        <w:t>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lamp and is capable of existing independently of the lamp.</w:t>
      </w:r>
    </w:p>
    <w:p w14:paraId="31E7EC52" w14:textId="77777777" w:rsidR="00842D3D" w:rsidRPr="00842D3D" w:rsidRDefault="00842D3D" w:rsidP="00842D3D">
      <w:pPr>
        <w:rPr>
          <w:rFonts w:eastAsia="Calibri" w:cs="Times New Roman"/>
          <w:szCs w:val="24"/>
        </w:rPr>
      </w:pPr>
    </w:p>
    <w:p w14:paraId="2961D058"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claims that the plaintiff [</w:t>
      </w:r>
      <w:r w:rsidRPr="00842D3D">
        <w:rPr>
          <w:rFonts w:eastAsia="Calibri" w:cs="Times New Roman"/>
          <w:i/>
          <w:iCs/>
          <w:szCs w:val="24"/>
          <w:u w:val="single"/>
        </w:rPr>
        <w:t>name</w:t>
      </w:r>
      <w:r w:rsidRPr="00842D3D">
        <w:rPr>
          <w:rFonts w:eastAsia="Calibri" w:cs="Times New Roman"/>
          <w:szCs w:val="24"/>
        </w:rPr>
        <w:t>]’s work is not copyrightable because it is a useful article. To prevail on this defense, the defendant [</w:t>
      </w:r>
      <w:r w:rsidRPr="00842D3D">
        <w:rPr>
          <w:rFonts w:eastAsia="Calibri" w:cs="Times New Roman"/>
          <w:i/>
          <w:iCs/>
          <w:szCs w:val="24"/>
          <w:u w:val="single"/>
        </w:rPr>
        <w:t>name</w:t>
      </w:r>
      <w:r w:rsidRPr="00842D3D">
        <w:rPr>
          <w:rFonts w:eastAsia="Calibri" w:cs="Times New Roman"/>
          <w:szCs w:val="24"/>
        </w:rPr>
        <w:t>] must prove by a preponderance of the evidence that the challenged article has an intrinsic use beyond displaying the appearance of the item or conveying useful information.</w:t>
      </w:r>
    </w:p>
    <w:p w14:paraId="28828F8B" w14:textId="77777777" w:rsidR="00842D3D" w:rsidRPr="00842D3D" w:rsidRDefault="00842D3D" w:rsidP="00842D3D">
      <w:pPr>
        <w:rPr>
          <w:rFonts w:eastAsia="Calibri" w:cs="Times New Roman"/>
          <w:szCs w:val="24"/>
        </w:rPr>
      </w:pPr>
    </w:p>
    <w:p w14:paraId="33C99D97" w14:textId="77777777" w:rsidR="00842D3D" w:rsidRPr="00842D3D" w:rsidRDefault="00842D3D" w:rsidP="00842D3D">
      <w:pPr>
        <w:rPr>
          <w:rFonts w:eastAsia="Calibri" w:cs="Times New Roman"/>
          <w:szCs w:val="24"/>
        </w:rPr>
      </w:pPr>
      <w:r w:rsidRPr="00842D3D">
        <w:rPr>
          <w:rFonts w:eastAsia="Calibri" w:cs="Times New Roman"/>
          <w:szCs w:val="24"/>
        </w:rPr>
        <w:tab/>
        <w:t>If the defendan t[</w:t>
      </w:r>
      <w:r w:rsidRPr="00842D3D">
        <w:rPr>
          <w:rFonts w:eastAsia="Calibri" w:cs="Times New Roman"/>
          <w:i/>
          <w:iCs/>
          <w:szCs w:val="24"/>
          <w:u w:val="single"/>
        </w:rPr>
        <w:t>name</w:t>
      </w:r>
      <w:r w:rsidRPr="00842D3D">
        <w:rPr>
          <w:rFonts w:eastAsia="Calibri" w:cs="Times New Roman"/>
          <w:szCs w:val="24"/>
        </w:rPr>
        <w:t>] proves this, you must find for the defendant [</w:t>
      </w:r>
      <w:r w:rsidRPr="00842D3D">
        <w:rPr>
          <w:rFonts w:eastAsia="Calibri" w:cs="Times New Roman"/>
          <w:i/>
          <w:iCs/>
          <w:szCs w:val="24"/>
          <w:u w:val="single"/>
        </w:rPr>
        <w:t>name</w:t>
      </w:r>
      <w:r w:rsidRPr="00842D3D">
        <w:rPr>
          <w:rFonts w:eastAsia="Calibri" w:cs="Times New Roman"/>
          <w:szCs w:val="24"/>
        </w:rPr>
        <w:t>] unless the plaintiff [</w:t>
      </w:r>
      <w:r w:rsidRPr="00842D3D">
        <w:rPr>
          <w:rFonts w:eastAsia="Calibri" w:cs="Times New Roman"/>
          <w:i/>
          <w:iCs/>
          <w:szCs w:val="24"/>
          <w:u w:val="single"/>
        </w:rPr>
        <w:t>name</w:t>
      </w:r>
      <w:r w:rsidRPr="00842D3D">
        <w:rPr>
          <w:rFonts w:eastAsia="Calibri" w:cs="Times New Roman"/>
          <w:szCs w:val="24"/>
        </w:rPr>
        <w:t>] proves that the work is copyrightable under the other instructions that I have given you, and proves that:</w:t>
      </w:r>
    </w:p>
    <w:p w14:paraId="58AF7861" w14:textId="77777777" w:rsidR="00842D3D" w:rsidRPr="00842D3D" w:rsidRDefault="00842D3D" w:rsidP="00842D3D">
      <w:pPr>
        <w:rPr>
          <w:rFonts w:eastAsia="Calibri" w:cs="Times New Roman"/>
          <w:szCs w:val="24"/>
        </w:rPr>
      </w:pPr>
    </w:p>
    <w:p w14:paraId="5EAA08DD"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]’s work can be imagined as a freestanding two- or three-dimensional pictorial, graphic, or sculptural work separate from the utilitarian aspects of the useful article; and</w:t>
      </w:r>
    </w:p>
    <w:p w14:paraId="3C22E824" w14:textId="77777777" w:rsidR="00842D3D" w:rsidRPr="00842D3D" w:rsidRDefault="00842D3D" w:rsidP="00842D3D">
      <w:pPr>
        <w:rPr>
          <w:rFonts w:eastAsia="Calibri" w:cs="Times New Roman"/>
          <w:szCs w:val="24"/>
        </w:rPr>
      </w:pPr>
    </w:p>
    <w:p w14:paraId="22308F76" w14:textId="77777777" w:rsidR="00842D3D" w:rsidRPr="00842D3D" w:rsidRDefault="00842D3D" w:rsidP="00842D3D">
      <w:pPr>
        <w:rPr>
          <w:rFonts w:eastAsia="Calibri" w:cs="Times New Roman"/>
          <w:szCs w:val="24"/>
        </w:rPr>
      </w:pPr>
      <w:r w:rsidRPr="00842D3D">
        <w:rPr>
          <w:rFonts w:eastAsia="Calibri" w:cs="Times New Roman"/>
          <w:szCs w:val="24"/>
        </w:rPr>
        <w:tab/>
        <w:t>Second, the plaintiff [</w:t>
      </w:r>
      <w:r w:rsidRPr="00842D3D">
        <w:rPr>
          <w:rFonts w:eastAsia="Calibri" w:cs="Times New Roman"/>
          <w:i/>
          <w:iCs/>
          <w:szCs w:val="24"/>
          <w:u w:val="single"/>
        </w:rPr>
        <w:t>name</w:t>
      </w:r>
      <w:r w:rsidRPr="00842D3D">
        <w:rPr>
          <w:rFonts w:eastAsia="Calibri" w:cs="Times New Roman"/>
          <w:szCs w:val="24"/>
        </w:rPr>
        <w:t>]’s work would be copyrightable under the other instructions I have given you if it were imagined separately from the useful article of which it is a part.</w:t>
      </w:r>
    </w:p>
    <w:p w14:paraId="3BFC684D" w14:textId="77777777" w:rsidR="00842D3D" w:rsidRPr="00842D3D" w:rsidRDefault="00842D3D" w:rsidP="00842D3D">
      <w:pPr>
        <w:rPr>
          <w:rFonts w:eastAsia="Calibri" w:cs="Times New Roman"/>
          <w:szCs w:val="24"/>
        </w:rPr>
      </w:pPr>
    </w:p>
    <w:p w14:paraId="5D3A21E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A342D4F" w14:textId="77777777" w:rsidR="00842D3D" w:rsidRPr="00842D3D" w:rsidRDefault="00842D3D" w:rsidP="00842D3D">
      <w:pPr>
        <w:jc w:val="center"/>
        <w:rPr>
          <w:rFonts w:eastAsia="Calibri" w:cs="Times New Roman"/>
          <w:b/>
          <w:bCs/>
          <w:szCs w:val="24"/>
        </w:rPr>
      </w:pPr>
    </w:p>
    <w:p w14:paraId="5EBAE99E"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elements of this instruction are based on the Supreme Court’s holding in </w:t>
      </w:r>
      <w:bookmarkStart w:id="416" w:name="_Hlk158157226"/>
      <w:r w:rsidRPr="00842D3D">
        <w:rPr>
          <w:rFonts w:eastAsia="Calibri" w:cs="Times New Roman"/>
          <w:i/>
          <w:iCs/>
          <w:szCs w:val="24"/>
        </w:rPr>
        <w:t>Star Athletica, L.L.C.</w:t>
      </w:r>
      <w:bookmarkEnd w:id="416"/>
      <w:r w:rsidRPr="00842D3D">
        <w:rPr>
          <w:rFonts w:eastAsia="Calibri" w:cs="Times New Roman"/>
          <w:i/>
          <w:iCs/>
          <w:szCs w:val="24"/>
        </w:rPr>
        <w:t xml:space="preserve"> v. Varsity Brands, Inc</w:t>
      </w:r>
      <w:r w:rsidRPr="00842D3D">
        <w:rPr>
          <w:rFonts w:eastAsia="Calibri" w:cs="Times New Roman"/>
          <w:szCs w:val="24"/>
        </w:rPr>
        <w:t xml:space="preserve">., 580 U.S. 405, 424 (2017). The example of the cat lamp is based on </w:t>
      </w:r>
      <w:r w:rsidRPr="00842D3D">
        <w:rPr>
          <w:rFonts w:eastAsia="Calibri" w:cs="Times New Roman"/>
          <w:i/>
          <w:iCs/>
          <w:szCs w:val="24"/>
        </w:rPr>
        <w:t>Mazer v. Stein</w:t>
      </w:r>
      <w:r w:rsidRPr="00842D3D">
        <w:rPr>
          <w:rFonts w:eastAsia="Calibri" w:cs="Times New Roman"/>
          <w:szCs w:val="24"/>
        </w:rPr>
        <w:t>, 347 U.S. 201, 202, 214 (1954).</w:t>
      </w:r>
    </w:p>
    <w:p w14:paraId="43A13BE6" w14:textId="77777777" w:rsidR="00842D3D" w:rsidRPr="00842D3D" w:rsidRDefault="00842D3D" w:rsidP="00842D3D">
      <w:pPr>
        <w:rPr>
          <w:rFonts w:eastAsia="Calibri" w:cs="Times New Roman"/>
          <w:szCs w:val="24"/>
        </w:rPr>
      </w:pPr>
    </w:p>
    <w:p w14:paraId="1B83B6CE" w14:textId="77777777" w:rsidR="00842D3D" w:rsidRPr="00842D3D" w:rsidRDefault="00842D3D" w:rsidP="00842D3D">
      <w:pPr>
        <w:rPr>
          <w:rFonts w:eastAsia="Calibri" w:cs="Times New Roman"/>
          <w:szCs w:val="24"/>
        </w:rPr>
      </w:pPr>
      <w:r w:rsidRPr="00842D3D">
        <w:rPr>
          <w:rFonts w:eastAsia="Calibri" w:cs="Times New Roman"/>
          <w:szCs w:val="24"/>
        </w:rPr>
        <w:tab/>
        <w:t xml:space="preserve">Once the jury has mentally separated the copyrightable from the uncopyrightable aspects of the useful article, the useful article that remains need not continue to be useful for its intended purpose., </w:t>
      </w:r>
      <w:r w:rsidRPr="00842D3D">
        <w:rPr>
          <w:rFonts w:eastAsia="Calibri" w:cs="Times New Roman"/>
          <w:i/>
          <w:iCs/>
          <w:szCs w:val="24"/>
        </w:rPr>
        <w:t>Star Athletica, L.L.C.</w:t>
      </w:r>
      <w:r w:rsidRPr="00842D3D">
        <w:rPr>
          <w:rFonts w:eastAsia="Calibri" w:cs="Times New Roman"/>
          <w:szCs w:val="24"/>
        </w:rPr>
        <w:t>, 580 U.S. at 420 (stating that “the statute does not require the imagined remainder to be a fully functioning useful article at all, much less an equally useful one”).</w:t>
      </w:r>
    </w:p>
    <w:p w14:paraId="2708C4EB" w14:textId="77777777" w:rsidR="00842D3D" w:rsidRPr="00842D3D" w:rsidRDefault="00842D3D" w:rsidP="00842D3D">
      <w:pPr>
        <w:rPr>
          <w:rFonts w:eastAsia="Calibri" w:cs="Times New Roman"/>
          <w:szCs w:val="24"/>
        </w:rPr>
      </w:pPr>
    </w:p>
    <w:p w14:paraId="16773B2C" w14:textId="77777777" w:rsidR="00842D3D" w:rsidRPr="00842D3D" w:rsidRDefault="00842D3D" w:rsidP="00842D3D">
      <w:pPr>
        <w:rPr>
          <w:rFonts w:eastAsia="Calibri" w:cs="Times New Roman"/>
          <w:szCs w:val="24"/>
        </w:rPr>
      </w:pPr>
    </w:p>
    <w:p w14:paraId="7725CB9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000154ED" w14:textId="77777777" w:rsidR="00842D3D" w:rsidRPr="00842D3D" w:rsidRDefault="00842D3D" w:rsidP="00842D3D">
      <w:pPr>
        <w:rPr>
          <w:rFonts w:eastAsia="Calibri" w:cs="Times New Roman"/>
          <w:szCs w:val="24"/>
        </w:rPr>
      </w:pPr>
    </w:p>
    <w:p w14:paraId="4E23CA8F" w14:textId="339145F6" w:rsidR="00842D3D" w:rsidRPr="00842D3D" w:rsidRDefault="00842D3D" w:rsidP="00313A05">
      <w:pPr>
        <w:pStyle w:val="Heading2"/>
        <w:rPr>
          <w:spacing w:val="-5"/>
        </w:rPr>
      </w:pPr>
      <w:r w:rsidRPr="00842D3D">
        <w:br w:type="page"/>
      </w:r>
      <w:bookmarkStart w:id="417" w:name="_Toc221525324"/>
      <w:bookmarkStart w:id="418" w:name="_Hlk147350407"/>
      <w:r w:rsidRPr="00842D3D">
        <w:lastRenderedPageBreak/>
        <w:t>17.2</w:t>
      </w:r>
      <w:r w:rsidR="003B11C4">
        <w:t>3</w:t>
      </w:r>
      <w:r w:rsidRPr="00842D3D">
        <w:t xml:space="preserve"> Copyright—Affirmative Defense—Fair </w:t>
      </w:r>
      <w:r w:rsidRPr="00842D3D">
        <w:rPr>
          <w:spacing w:val="-5"/>
        </w:rPr>
        <w:t xml:space="preserve">Use </w:t>
      </w:r>
      <w:r w:rsidRPr="00842D3D">
        <w:t>(17 U.S.C. §</w:t>
      </w:r>
      <w:r w:rsidRPr="00842D3D">
        <w:rPr>
          <w:spacing w:val="-1"/>
        </w:rPr>
        <w:t xml:space="preserve"> </w:t>
      </w:r>
      <w:r w:rsidRPr="00842D3D">
        <w:t>107)</w:t>
      </w:r>
      <w:bookmarkEnd w:id="417"/>
    </w:p>
    <w:bookmarkEnd w:id="418"/>
    <w:p w14:paraId="4E1EAE36" w14:textId="77777777" w:rsidR="00842D3D" w:rsidRPr="00842D3D" w:rsidRDefault="00842D3D" w:rsidP="00842D3D">
      <w:pPr>
        <w:widowControl w:val="0"/>
        <w:autoSpaceDE w:val="0"/>
        <w:autoSpaceDN w:val="0"/>
        <w:rPr>
          <w:rFonts w:eastAsia="Times New Roman" w:cs="Times New Roman"/>
          <w:b/>
          <w:szCs w:val="24"/>
        </w:rPr>
      </w:pPr>
    </w:p>
    <w:p w14:paraId="0A0E224A" w14:textId="77777777" w:rsidR="00842D3D" w:rsidRPr="00842D3D" w:rsidRDefault="00842D3D" w:rsidP="00842D3D">
      <w:pPr>
        <w:ind w:firstLine="720"/>
        <w:rPr>
          <w:rFonts w:eastAsia="Calibri" w:cs="Times New Roman"/>
        </w:rPr>
      </w:pPr>
      <w:r w:rsidRPr="00842D3D">
        <w:rPr>
          <w:rFonts w:eastAsia="Calibri" w:cs="Times New Roman"/>
          <w:szCs w:val="24"/>
        </w:rPr>
        <w:t xml:space="preserve">One who is not the owner of the </w:t>
      </w:r>
      <w:r w:rsidRPr="00842D3D">
        <w:rPr>
          <w:rFonts w:eastAsia="Calibri" w:cs="Times New Roman"/>
        </w:rPr>
        <w:t>copyright may nonetheless use the copyrighted work  certain circumstances without the consent of the copyright owner. Such use of a copyrighted work is called a fair use. The owner of a copyright cannot prevent others from making a fair use of the owner’s copyrighted work.</w:t>
      </w:r>
    </w:p>
    <w:p w14:paraId="5B462E19" w14:textId="77777777" w:rsidR="00842D3D" w:rsidRPr="00842D3D" w:rsidRDefault="00842D3D" w:rsidP="00842D3D">
      <w:pPr>
        <w:rPr>
          <w:rFonts w:eastAsia="Calibri" w:cs="Times New Roman"/>
        </w:rPr>
      </w:pPr>
    </w:p>
    <w:p w14:paraId="2E635E48" w14:textId="77777777" w:rsidR="00842D3D" w:rsidRPr="00842D3D" w:rsidRDefault="00842D3D" w:rsidP="00842D3D">
      <w:pPr>
        <w:rPr>
          <w:rFonts w:eastAsia="Calibri" w:cs="Times New Roman"/>
        </w:rPr>
      </w:pPr>
      <w:r w:rsidRPr="00842D3D">
        <w:rPr>
          <w:rFonts w:eastAsia="Calibri" w:cs="Times New Roman"/>
        </w:rPr>
        <w:tab/>
        <w:t>The defendant [</w:t>
      </w:r>
      <w:r w:rsidRPr="00842D3D">
        <w:rPr>
          <w:rFonts w:eastAsia="Calibri" w:cs="Times New Roman"/>
          <w:i/>
          <w:iCs/>
          <w:u w:val="single"/>
        </w:rPr>
        <w:t>name</w:t>
      </w:r>
      <w:r w:rsidRPr="00842D3D">
        <w:rPr>
          <w:rFonts w:eastAsia="Calibri" w:cs="Times New Roman"/>
        </w:rPr>
        <w:t>] contends that [he] [she] [</w:t>
      </w:r>
      <w:r w:rsidRPr="00842D3D">
        <w:rPr>
          <w:rFonts w:eastAsia="Calibri" w:cs="Times New Roman"/>
          <w:i/>
          <w:iCs/>
          <w:u w:val="single"/>
        </w:rPr>
        <w:t>other pronoun</w:t>
      </w:r>
      <w:r w:rsidRPr="00842D3D">
        <w:rPr>
          <w:rFonts w:eastAsia="Calibri" w:cs="Times New Roman"/>
        </w:rPr>
        <w:t>] made fair use of the copyrighted work for the purpose of [criticism] [comment] [news reporting] [teaching] [scholarship] [research] [other purpose alleged]. The defendant [</w:t>
      </w:r>
      <w:r w:rsidRPr="00842D3D">
        <w:rPr>
          <w:rFonts w:eastAsia="Calibri" w:cs="Times New Roman"/>
          <w:i/>
          <w:iCs/>
          <w:u w:val="single"/>
        </w:rPr>
        <w:t>name</w:t>
      </w:r>
      <w:r w:rsidRPr="00842D3D">
        <w:rPr>
          <w:rFonts w:eastAsia="Calibri" w:cs="Times New Roman"/>
        </w:rPr>
        <w:t>] has the burden of proving the defense by a preponderance of the evidence.</w:t>
      </w:r>
    </w:p>
    <w:p w14:paraId="3524CAE5" w14:textId="77777777" w:rsidR="00842D3D" w:rsidRPr="00842D3D" w:rsidRDefault="00842D3D" w:rsidP="00842D3D">
      <w:pPr>
        <w:rPr>
          <w:rFonts w:eastAsia="Calibri" w:cs="Times New Roman"/>
        </w:rPr>
      </w:pPr>
    </w:p>
    <w:p w14:paraId="5F888BC1" w14:textId="77777777" w:rsidR="00842D3D" w:rsidRPr="00842D3D" w:rsidRDefault="00842D3D" w:rsidP="00842D3D">
      <w:pPr>
        <w:rPr>
          <w:rFonts w:eastAsia="Calibri" w:cs="Times New Roman"/>
        </w:rPr>
      </w:pPr>
      <w:r w:rsidRPr="00842D3D">
        <w:rPr>
          <w:rFonts w:eastAsia="Calibri" w:cs="Times New Roman"/>
        </w:rPr>
        <w:tab/>
        <w:t>In determining whether the use made of the work was fair, you should consider the following factors:</w:t>
      </w:r>
    </w:p>
    <w:p w14:paraId="14665FC8" w14:textId="77777777" w:rsidR="00842D3D" w:rsidRPr="00842D3D" w:rsidRDefault="00842D3D" w:rsidP="00842D3D">
      <w:pPr>
        <w:rPr>
          <w:rFonts w:eastAsia="Calibri" w:cs="Times New Roman"/>
        </w:rPr>
      </w:pPr>
    </w:p>
    <w:p w14:paraId="36752804"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purpose and character of the use, including whether the use is of a commercial nature or is for nonprofit educational purposes;</w:t>
      </w:r>
    </w:p>
    <w:p w14:paraId="478CE94F" w14:textId="77777777" w:rsidR="00842D3D" w:rsidRPr="00842D3D" w:rsidRDefault="00842D3D" w:rsidP="00021D2C">
      <w:pPr>
        <w:ind w:firstLine="720"/>
        <w:rPr>
          <w:rFonts w:eastAsia="Calibri" w:cs="Times New Roman"/>
        </w:rPr>
      </w:pPr>
    </w:p>
    <w:p w14:paraId="03DF5CF6"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nature of the copyrighted work;</w:t>
      </w:r>
    </w:p>
    <w:p w14:paraId="2AFDF401" w14:textId="77777777" w:rsidR="00842D3D" w:rsidRPr="00842D3D" w:rsidRDefault="00842D3D" w:rsidP="00021D2C">
      <w:pPr>
        <w:ind w:firstLine="720"/>
        <w:rPr>
          <w:rFonts w:eastAsia="Calibri" w:cs="Times New Roman"/>
        </w:rPr>
      </w:pPr>
    </w:p>
    <w:p w14:paraId="6B868B66"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amount and substantiality of the portion used in relation to the copyrighted work as a whole;</w:t>
      </w:r>
    </w:p>
    <w:p w14:paraId="239EBB5F" w14:textId="77777777" w:rsidR="00842D3D" w:rsidRPr="00842D3D" w:rsidRDefault="00842D3D" w:rsidP="00021D2C">
      <w:pPr>
        <w:ind w:firstLine="720"/>
        <w:rPr>
          <w:rFonts w:eastAsia="Calibri" w:cs="Times New Roman"/>
        </w:rPr>
      </w:pPr>
    </w:p>
    <w:p w14:paraId="1B86F3F8"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effect of the use upon the potential market for or value of the copyrighted work; and</w:t>
      </w:r>
    </w:p>
    <w:p w14:paraId="234A3D5F" w14:textId="77777777" w:rsidR="00842D3D" w:rsidRPr="00842D3D" w:rsidRDefault="00842D3D" w:rsidP="00021D2C">
      <w:pPr>
        <w:ind w:firstLine="720"/>
        <w:rPr>
          <w:rFonts w:eastAsia="Calibri" w:cs="Times New Roman"/>
        </w:rPr>
      </w:pPr>
    </w:p>
    <w:p w14:paraId="72213BE7" w14:textId="77777777" w:rsidR="00842D3D" w:rsidRPr="00842D3D" w:rsidRDefault="00842D3D" w:rsidP="00021D2C">
      <w:pPr>
        <w:ind w:firstLine="720"/>
        <w:rPr>
          <w:rFonts w:eastAsia="Calibri" w:cs="Times New Roman"/>
        </w:rPr>
      </w:pPr>
      <w:r w:rsidRPr="00842D3D">
        <w:rPr>
          <w:rFonts w:eastAsia="Calibri" w:cs="Times New Roman"/>
        </w:rPr>
        <w:t>[(5)</w:t>
      </w:r>
      <w:r w:rsidRPr="00842D3D">
        <w:rPr>
          <w:rFonts w:eastAsia="Calibri" w:cs="Times New Roman"/>
        </w:rPr>
        <w:tab/>
        <w:t>[</w:t>
      </w:r>
      <w:r w:rsidRPr="00842D3D">
        <w:rPr>
          <w:rFonts w:eastAsia="Calibri" w:cs="Times New Roman"/>
          <w:i/>
          <w:iCs/>
          <w:u w:val="single"/>
        </w:rPr>
        <w:t>insert any other factor that bears on the issue of fair use</w:t>
      </w:r>
      <w:r w:rsidRPr="00842D3D">
        <w:rPr>
          <w:rFonts w:eastAsia="Calibri" w:cs="Times New Roman"/>
        </w:rPr>
        <w:t>].]</w:t>
      </w:r>
    </w:p>
    <w:p w14:paraId="0003F752" w14:textId="77777777" w:rsidR="00842D3D" w:rsidRPr="00842D3D" w:rsidRDefault="00842D3D" w:rsidP="00842D3D">
      <w:pPr>
        <w:rPr>
          <w:rFonts w:eastAsia="Calibri" w:cs="Times New Roman"/>
        </w:rPr>
      </w:pPr>
    </w:p>
    <w:p w14:paraId="3333B592" w14:textId="77777777" w:rsidR="00842D3D" w:rsidRPr="00842D3D" w:rsidRDefault="00842D3D" w:rsidP="00842D3D">
      <w:pPr>
        <w:rPr>
          <w:rFonts w:eastAsia="Calibri" w:cs="Times New Roman"/>
        </w:rPr>
      </w:pPr>
      <w:r w:rsidRPr="00842D3D">
        <w:rPr>
          <w:rFonts w:eastAsia="Calibri" w:cs="Times New Roman"/>
        </w:rPr>
        <w:tab/>
        <w:t>If you find that the defendant [</w:t>
      </w:r>
      <w:r w:rsidRPr="00842D3D">
        <w:rPr>
          <w:rFonts w:eastAsia="Calibri" w:cs="Times New Roman"/>
          <w:i/>
          <w:iCs/>
          <w:u w:val="single"/>
        </w:rPr>
        <w:t>name</w:t>
      </w:r>
      <w:r w:rsidRPr="00842D3D">
        <w:rPr>
          <w:rFonts w:eastAsia="Calibri" w:cs="Times New Roman"/>
        </w:rPr>
        <w:t>] has proved by a preponderance of the evidence that the defendant made a fair use of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61C95F08" w14:textId="77777777" w:rsidR="00842D3D" w:rsidRPr="00842D3D" w:rsidRDefault="00842D3D" w:rsidP="00842D3D">
      <w:pPr>
        <w:rPr>
          <w:rFonts w:eastAsia="Calibri" w:cs="Times New Roman"/>
        </w:rPr>
      </w:pPr>
    </w:p>
    <w:p w14:paraId="054F9807" w14:textId="77777777" w:rsidR="00842D3D" w:rsidRPr="00842D3D" w:rsidRDefault="00842D3D" w:rsidP="00842D3D">
      <w:pPr>
        <w:jc w:val="center"/>
        <w:rPr>
          <w:rFonts w:eastAsia="Calibri" w:cs="Times New Roman"/>
          <w:b/>
          <w:bCs/>
        </w:rPr>
      </w:pPr>
      <w:r w:rsidRPr="00842D3D">
        <w:rPr>
          <w:rFonts w:eastAsia="Calibri" w:cs="Times New Roman"/>
          <w:b/>
          <w:bCs/>
        </w:rPr>
        <w:t>Comment</w:t>
      </w:r>
    </w:p>
    <w:p w14:paraId="598805BB" w14:textId="77777777" w:rsidR="00842D3D" w:rsidRPr="00842D3D" w:rsidRDefault="00842D3D" w:rsidP="00842D3D">
      <w:pPr>
        <w:jc w:val="center"/>
        <w:rPr>
          <w:rFonts w:eastAsia="Calibri" w:cs="Times New Roman"/>
          <w:b/>
          <w:bCs/>
        </w:rPr>
      </w:pPr>
    </w:p>
    <w:p w14:paraId="5250B1D2" w14:textId="77777777" w:rsidR="00842D3D" w:rsidRPr="00842D3D" w:rsidRDefault="00842D3D" w:rsidP="00842D3D">
      <w:pPr>
        <w:rPr>
          <w:rFonts w:eastAsia="Calibri" w:cs="Times New Roman"/>
        </w:rPr>
      </w:pPr>
      <w:r w:rsidRPr="00842D3D">
        <w:rPr>
          <w:rFonts w:eastAsia="Calibri" w:cs="Times New Roman"/>
        </w:rPr>
        <w:tab/>
        <w:t xml:space="preserve">“[T]he ‘fair use’ doctrine . . .  [is] an ‘equitable rule of reason’ that ‘permits courts to avoid rigid application of the copyright statute when, on occasion, it would stifle the very creativity which that law is designed to foster.’” </w:t>
      </w:r>
      <w:r w:rsidRPr="00842D3D">
        <w:rPr>
          <w:rFonts w:eastAsia="Calibri" w:cs="Times New Roman"/>
          <w:i/>
          <w:iCs/>
        </w:rPr>
        <w:t>Google LLC v. Oracle Am., Inc.</w:t>
      </w:r>
      <w:r w:rsidRPr="00842D3D">
        <w:rPr>
          <w:rFonts w:eastAsia="Calibri" w:cs="Times New Roman"/>
        </w:rPr>
        <w:t>, 593 U.S. 1, 18 (2021) (quoting</w:t>
      </w:r>
      <w:r w:rsidRPr="00842D3D">
        <w:rPr>
          <w:rFonts w:eastAsia="Calibri" w:cs="Times New Roman"/>
          <w:i/>
          <w:iCs/>
        </w:rPr>
        <w:t xml:space="preserve"> Stewart v. Abend</w:t>
      </w:r>
      <w:r w:rsidRPr="00842D3D">
        <w:rPr>
          <w:rFonts w:eastAsia="Calibri" w:cs="Times New Roman"/>
        </w:rPr>
        <w:t xml:space="preserve">, 495 U.S. 207, 236 (1990)); </w:t>
      </w:r>
      <w:r w:rsidRPr="00842D3D">
        <w:rPr>
          <w:rFonts w:eastAsia="Calibri" w:cs="Times New Roman"/>
          <w:i/>
          <w:iCs/>
        </w:rPr>
        <w:t>see also McGucken v. Pub Ocean Ltd.</w:t>
      </w:r>
      <w:r w:rsidRPr="00842D3D">
        <w:rPr>
          <w:rFonts w:eastAsia="Calibri" w:cs="Times New Roman"/>
        </w:rPr>
        <w:t xml:space="preserve">, 42 F.4th 1149, 1157 (9th Cir. 2022) (citing </w:t>
      </w:r>
      <w:r w:rsidRPr="00842D3D">
        <w:rPr>
          <w:rFonts w:eastAsia="Calibri" w:cs="Times New Roman"/>
          <w:i/>
          <w:iCs/>
        </w:rPr>
        <w:t>id.</w:t>
      </w:r>
      <w:r w:rsidRPr="00842D3D">
        <w:rPr>
          <w:rFonts w:eastAsia="Calibri" w:cs="Times New Roman"/>
        </w:rPr>
        <w:t>). “[T]he fair use of a copyrighted work . . . is not an infringement of copyright.” 17 U.S.C. § 107. However, this instruction may be necessary if the parties consent to the jury determining the fair use question.</w:t>
      </w:r>
    </w:p>
    <w:p w14:paraId="7CC2ABCA" w14:textId="77777777" w:rsidR="00842D3D" w:rsidRPr="00842D3D" w:rsidRDefault="00842D3D" w:rsidP="00842D3D">
      <w:pPr>
        <w:rPr>
          <w:rFonts w:eastAsia="Calibri" w:cs="Times New Roman"/>
          <w:u w:val="single"/>
        </w:rPr>
      </w:pPr>
    </w:p>
    <w:p w14:paraId="534550CE" w14:textId="77777777" w:rsidR="00842D3D" w:rsidRPr="00842D3D" w:rsidRDefault="00842D3D" w:rsidP="00842D3D">
      <w:pPr>
        <w:rPr>
          <w:rFonts w:eastAsia="Calibri" w:cs="Times New Roman"/>
          <w:u w:val="single"/>
        </w:rPr>
      </w:pPr>
      <w:r w:rsidRPr="00842D3D">
        <w:rPr>
          <w:rFonts w:eastAsia="Calibri" w:cs="Times New Roman"/>
        </w:rPr>
        <w:tab/>
        <w:t xml:space="preserve">The Supreme Court has held that “[f]air use is a mixed question of law and fact.” </w:t>
      </w:r>
      <w:r w:rsidRPr="00842D3D">
        <w:rPr>
          <w:rFonts w:eastAsia="Calibri" w:cs="Times New Roman"/>
          <w:i/>
          <w:iCs/>
        </w:rPr>
        <w:t>Harper &amp; Row, Publishers, Inc. v. Nation Enters</w:t>
      </w:r>
      <w:r w:rsidRPr="00842D3D">
        <w:rPr>
          <w:rFonts w:eastAsia="Calibri" w:cs="Times New Roman"/>
        </w:rPr>
        <w:t xml:space="preserve">, 471 U.S. 539, 560 (1985). But “the ultimate question whether . . . facts show[ ] a ‘fair use’ is a legal question for judges to decide de novo.” </w:t>
      </w:r>
      <w:r w:rsidRPr="00842D3D">
        <w:rPr>
          <w:rFonts w:eastAsia="Calibri" w:cs="Times New Roman"/>
          <w:i/>
          <w:iCs/>
        </w:rPr>
        <w:t xml:space="preserve">Google, </w:t>
      </w:r>
      <w:r w:rsidRPr="00842D3D">
        <w:rPr>
          <w:rFonts w:eastAsia="Calibri" w:cs="Times New Roman"/>
          <w:i/>
          <w:iCs/>
        </w:rPr>
        <w:lastRenderedPageBreak/>
        <w:t>LLC</w:t>
      </w:r>
      <w:r w:rsidRPr="00842D3D">
        <w:rPr>
          <w:rFonts w:eastAsia="Calibri" w:cs="Times New Roman"/>
        </w:rPr>
        <w:t xml:space="preserve">, 593 U.S. at 2 (approving the Federal Circuit’s approach of “leaving factual determinations to the jury and reviewing the ultimate question, a legal question, de novo”). “Fair use may depend on factual findings, but the ultimate question of whether facts indicate fair use is legal in nature.” </w:t>
      </w:r>
      <w:r w:rsidRPr="00842D3D">
        <w:rPr>
          <w:rFonts w:eastAsia="Calibri" w:cs="Times New Roman"/>
          <w:i/>
          <w:iCs/>
        </w:rPr>
        <w:t>De Fontbrune v. Wofsy</w:t>
      </w:r>
      <w:r w:rsidRPr="00842D3D">
        <w:rPr>
          <w:rFonts w:eastAsia="Calibri" w:cs="Times New Roman"/>
        </w:rPr>
        <w:t xml:space="preserve">, </w:t>
      </w:r>
      <w:bookmarkStart w:id="419" w:name="_Hlk204077567"/>
      <w:r w:rsidRPr="00842D3D">
        <w:rPr>
          <w:rFonts w:eastAsia="Calibri" w:cs="Times New Roman"/>
        </w:rPr>
        <w:t>39 F.4th 1214</w:t>
      </w:r>
      <w:bookmarkEnd w:id="419"/>
      <w:r w:rsidRPr="00842D3D">
        <w:rPr>
          <w:rFonts w:eastAsia="Calibri" w:cs="Times New Roman"/>
        </w:rPr>
        <w:t xml:space="preserve">, 1226 (9th Cir. 2022) (citing </w:t>
      </w:r>
      <w:r w:rsidRPr="00842D3D">
        <w:rPr>
          <w:rFonts w:eastAsia="Calibri" w:cs="Times New Roman"/>
          <w:i/>
          <w:iCs/>
        </w:rPr>
        <w:t>Google LLC</w:t>
      </w:r>
      <w:r w:rsidRPr="00842D3D">
        <w:rPr>
          <w:rFonts w:eastAsia="Calibri" w:cs="Times New Roman"/>
        </w:rPr>
        <w:t xml:space="preserve">, 593 U.S. at 23-24); </w:t>
      </w:r>
      <w:r w:rsidRPr="00842D3D">
        <w:rPr>
          <w:rFonts w:eastAsia="Calibri" w:cs="Times New Roman"/>
          <w:i/>
          <w:iCs/>
        </w:rPr>
        <w:t>McGucke</w:t>
      </w:r>
      <w:r w:rsidRPr="00842D3D">
        <w:rPr>
          <w:rFonts w:eastAsia="Calibri" w:cs="Times New Roman"/>
        </w:rPr>
        <w:t xml:space="preserve">n, 42 F.4th at 1158 (noting that each of the statutory factors encompasses legal and factual questions, for example, how much of the copyrighted work was copied is a factual question (citation omitted)). “Fair use is . . . often resolved at summary judgment” because the parties “often dispute only the legal significance to be drawn from facts.” </w:t>
      </w:r>
      <w:r w:rsidRPr="00842D3D">
        <w:rPr>
          <w:rFonts w:eastAsia="Calibri" w:cs="Times New Roman"/>
          <w:i/>
          <w:iCs/>
        </w:rPr>
        <w:t>McGucken</w:t>
      </w:r>
      <w:r w:rsidRPr="00842D3D">
        <w:rPr>
          <w:rFonts w:eastAsia="Calibri" w:cs="Times New Roman"/>
        </w:rPr>
        <w:t>, 42 F.4th at 1158.</w:t>
      </w:r>
    </w:p>
    <w:p w14:paraId="2539C262" w14:textId="77777777" w:rsidR="00842D3D" w:rsidRPr="00842D3D" w:rsidRDefault="00842D3D" w:rsidP="00842D3D">
      <w:pPr>
        <w:rPr>
          <w:rFonts w:eastAsia="Calibri" w:cs="Times New Roman"/>
          <w:u w:val="single"/>
        </w:rPr>
      </w:pPr>
    </w:p>
    <w:p w14:paraId="33E2F162" w14:textId="3F3609F9" w:rsidR="00842D3D" w:rsidRPr="00842D3D" w:rsidRDefault="00842D3D" w:rsidP="00842D3D">
      <w:pPr>
        <w:rPr>
          <w:rFonts w:eastAsia="Calibri" w:cs="Times New Roman"/>
        </w:rPr>
      </w:pPr>
      <w:r w:rsidRPr="00842D3D">
        <w:rPr>
          <w:rFonts w:eastAsia="Calibri" w:cs="Times New Roman"/>
        </w:rPr>
        <w:tab/>
        <w:t xml:space="preserve">While fair use is generally an affirmative defense,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Tresóna Multimedia, LLC v. Burbank High Sch. Music Ass’n</w:t>
      </w:r>
      <w:r w:rsidRPr="00842D3D">
        <w:rPr>
          <w:rFonts w:eastAsia="Calibri" w:cs="Times New Roman"/>
        </w:rPr>
        <w:t xml:space="preserve">, 953 F.3d 638, 647-52 (9th Cir. 2020), it is treated differently in the context of “takedown cases under the Digital Millennium Copyright Act. </w:t>
      </w:r>
      <w:r w:rsidRPr="00842D3D">
        <w:rPr>
          <w:rFonts w:eastAsia="Calibri" w:cs="Times New Roman"/>
          <w:i/>
          <w:iCs/>
        </w:rPr>
        <w:t>Lenz v. Universal Music Corp.</w:t>
      </w:r>
      <w:r w:rsidRPr="00842D3D">
        <w:rPr>
          <w:rFonts w:eastAsia="Calibri" w:cs="Times New Roman"/>
        </w:rPr>
        <w:t xml:space="preserve">, 815 F.3d 1145, 1152-53 (9th Cir. 2016) (noting that in DMCA cases, the copyright holder must have a good faith belief that allegedly infringing use was not fair use before sending a “takedown” notice). </w:t>
      </w:r>
      <w:r w:rsidRPr="00842D3D">
        <w:rPr>
          <w:rFonts w:eastAsia="Calibri" w:cs="Times New Roman"/>
          <w:i/>
          <w:iCs/>
        </w:rPr>
        <w:t>See</w:t>
      </w:r>
      <w:r w:rsidRPr="00842D3D">
        <w:rPr>
          <w:rFonts w:eastAsia="Calibri" w:cs="Times New Roman"/>
        </w:rPr>
        <w:t xml:space="preserve"> Instruction 17.</w:t>
      </w:r>
      <w:r w:rsidR="009818E2">
        <w:rPr>
          <w:rFonts w:eastAsia="Calibri" w:cs="Times New Roman"/>
        </w:rPr>
        <w:t>31</w:t>
      </w:r>
      <w:r w:rsidRPr="00842D3D">
        <w:rPr>
          <w:rFonts w:eastAsia="Calibri" w:cs="Times New Roman"/>
        </w:rPr>
        <w:t xml:space="preserve">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842D3D">
        <w:rPr>
          <w:rFonts w:eastAsia="Calibri" w:cs="Times New Roman"/>
          <w:i/>
          <w:iCs/>
        </w:rPr>
        <w:t>Seltzer v. Green Day, Inc.</w:t>
      </w:r>
      <w:r w:rsidRPr="00842D3D">
        <w:rPr>
          <w:rFonts w:eastAsia="Calibri" w:cs="Times New Roman"/>
        </w:rPr>
        <w:t xml:space="preserve">, 725 F.3d 1170, 1175 (9th Cir. 2013) (quoting </w:t>
      </w:r>
      <w:r w:rsidRPr="00842D3D">
        <w:rPr>
          <w:rFonts w:eastAsia="Calibri" w:cs="Times New Roman"/>
          <w:i/>
          <w:iCs/>
        </w:rPr>
        <w:t>Campbell v. Acuff-Rose Music, Inc.</w:t>
      </w:r>
      <w:r w:rsidRPr="00842D3D">
        <w:rPr>
          <w:rFonts w:eastAsia="Calibri" w:cs="Times New Roman"/>
        </w:rPr>
        <w:t>, 510 U.S. 569, 577 (1994)).</w:t>
      </w:r>
    </w:p>
    <w:p w14:paraId="245316E4" w14:textId="77777777" w:rsidR="00842D3D" w:rsidRPr="00842D3D" w:rsidRDefault="00842D3D" w:rsidP="00842D3D">
      <w:pPr>
        <w:rPr>
          <w:rFonts w:eastAsia="Calibri" w:cs="Times New Roman"/>
          <w:strike/>
        </w:rPr>
      </w:pPr>
    </w:p>
    <w:p w14:paraId="22A1FDF3" w14:textId="77777777" w:rsidR="00842D3D" w:rsidRPr="00842D3D" w:rsidRDefault="00842D3D" w:rsidP="00842D3D">
      <w:pPr>
        <w:rPr>
          <w:rFonts w:eastAsia="Calibri" w:cs="Times New Roman"/>
        </w:rPr>
      </w:pPr>
      <w:r w:rsidRPr="00842D3D">
        <w:rPr>
          <w:rFonts w:eastAsia="Calibri" w:cs="Times New Roman"/>
        </w:rPr>
        <w:tab/>
        <w:t>The Supreme Court and the Ninth Circuit have applied the fair use doctrine and the statutory factors in the context of computer programs.</w:t>
      </w:r>
      <w:r w:rsidRPr="00842D3D">
        <w:rPr>
          <w:rFonts w:eastAsia="Calibri" w:cs="Times New Roman"/>
          <w:i/>
          <w:iCs/>
        </w:rPr>
        <w:t xml:space="preserve"> See Google LLC</w:t>
      </w:r>
      <w:r w:rsidRPr="00842D3D">
        <w:rPr>
          <w:rFonts w:eastAsia="Calibri" w:cs="Times New Roman"/>
        </w:rPr>
        <w:t>, 593 U.S. at 40 (holding that when “Google reimplemented a user interface, taking only what was needed to allow users to put their accrued talents to work in a new and transformative program, Google’s copying on Sun Java API was fair use of that material as a matter of law”); s</w:t>
      </w:r>
      <w:r w:rsidRPr="00842D3D">
        <w:rPr>
          <w:rFonts w:eastAsia="Calibri" w:cs="Times New Roman"/>
          <w:i/>
          <w:iCs/>
        </w:rPr>
        <w:t>ee also Sony Computer Ent., Inc. v. Connectix Corp.</w:t>
      </w:r>
      <w:r w:rsidRPr="00842D3D">
        <w:rPr>
          <w:rFonts w:eastAsia="Calibri" w:cs="Times New Roman"/>
        </w:rPr>
        <w:t>, 203 F.3d 596, 600 n1., 602-10 (9th Cir. 2000) (applying the § 107 fair use factors and holding that “Connectix’s reverse engineering of Sony’s BIOS extracted from a Sony PlayStation console purchased by Connectix engineers is protected as a fair use”).</w:t>
      </w:r>
    </w:p>
    <w:p w14:paraId="3B9813F1" w14:textId="77777777" w:rsidR="00842D3D" w:rsidRPr="00842D3D" w:rsidRDefault="00842D3D" w:rsidP="00842D3D">
      <w:pPr>
        <w:rPr>
          <w:rFonts w:eastAsia="Calibri" w:cs="Times New Roman"/>
          <w:u w:val="single"/>
        </w:rPr>
      </w:pPr>
    </w:p>
    <w:p w14:paraId="5441D506" w14:textId="77777777" w:rsidR="00842D3D" w:rsidRPr="00842D3D" w:rsidRDefault="00842D3D" w:rsidP="00842D3D">
      <w:pPr>
        <w:ind w:firstLine="720"/>
        <w:rPr>
          <w:rFonts w:eastAsia="Calibri" w:cs="Times New Roman"/>
        </w:rPr>
      </w:pPr>
      <w:r w:rsidRPr="00842D3D">
        <w:rPr>
          <w:rFonts w:eastAsia="Calibri" w:cs="Times New Roman"/>
        </w:rPr>
        <w:t xml:space="preserve">As codified in the Copyright Act of 1976, the court must analyze [four] non-exhaustive factors in determining whether fair use applies.” </w:t>
      </w:r>
      <w:r w:rsidRPr="00842D3D">
        <w:rPr>
          <w:rFonts w:eastAsia="Calibri" w:cs="Times New Roman"/>
          <w:i/>
          <w:iCs/>
        </w:rPr>
        <w:t>McGucken</w:t>
      </w:r>
      <w:r w:rsidRPr="00842D3D">
        <w:rPr>
          <w:rFonts w:eastAsia="Calibri" w:cs="Times New Roman"/>
        </w:rPr>
        <w:t xml:space="preserve">, 42 F.4th at 1157; 17 U.S.C. § 107. The fifth numbered paragraph of this instruction reflects that the elements set forth in the statutory test of fair use in 17 U.S.C. § 107 are not exhaustive or exclusive. </w:t>
      </w:r>
      <w:r w:rsidRPr="00842D3D">
        <w:rPr>
          <w:rFonts w:eastAsia="Calibri" w:cs="Times New Roman"/>
          <w:i/>
          <w:iCs/>
        </w:rPr>
        <w:t>See Elvis Presley Enters., Inc. v. Passport Video</w:t>
      </w:r>
      <w:r w:rsidRPr="00842D3D">
        <w:rPr>
          <w:rFonts w:eastAsia="Calibri" w:cs="Times New Roman"/>
        </w:rPr>
        <w:t xml:space="preserve">, 349 F.3d 622, 627 (9th Cir. 2003) (“[W]e may not treat the [fair use] factors in isolation from one another.”), </w:t>
      </w:r>
      <w:r w:rsidRPr="00842D3D">
        <w:rPr>
          <w:rFonts w:eastAsia="Calibri" w:cs="Times New Roman"/>
          <w:i/>
          <w:iCs/>
        </w:rPr>
        <w:t>overruling on other grounds recognized by Seltzer v. Green Day, Inc.,</w:t>
      </w:r>
      <w:r w:rsidRPr="00842D3D">
        <w:rPr>
          <w:rFonts w:eastAsia="Calibri" w:cs="Times New Roman"/>
        </w:rPr>
        <w:t xml:space="preserve"> 725 F.3d 1170, 1177 (9th Cir. 2013); </w:t>
      </w:r>
      <w:r w:rsidRPr="00842D3D">
        <w:rPr>
          <w:rFonts w:eastAsia="Calibri" w:cs="Times New Roman"/>
          <w:i/>
          <w:iCs/>
        </w:rPr>
        <w:t>Dr. Seuss Enters., L.P. v. Penguin Books USA, Inc.</w:t>
      </w:r>
      <w:r w:rsidRPr="00842D3D">
        <w:rPr>
          <w:rFonts w:eastAsia="Calibri" w:cs="Times New Roman"/>
        </w:rPr>
        <w:t xml:space="preserve">, 109 F.3d 1394, 1399 (9th Cir. 1997). In appropriate circumstances, the court may enumerate additional factors. </w:t>
      </w:r>
      <w:r w:rsidRPr="00842D3D">
        <w:rPr>
          <w:rFonts w:eastAsia="Calibri" w:cs="Times New Roman"/>
          <w:i/>
          <w:iCs/>
        </w:rPr>
        <w:t>See Campbell v. Acuff Rose Music, Inc</w:t>
      </w:r>
      <w:r w:rsidRPr="00842D3D">
        <w:rPr>
          <w:rFonts w:eastAsia="Calibri" w:cs="Times New Roman"/>
        </w:rPr>
        <w:t>., 510 U.S. 569, 585 n.18 (1994) (considering defendant’s state of mind/good faith as factor).</w:t>
      </w:r>
    </w:p>
    <w:p w14:paraId="7C96242A" w14:textId="77777777" w:rsidR="00842D3D" w:rsidRPr="00842D3D" w:rsidRDefault="00842D3D" w:rsidP="00842D3D">
      <w:pPr>
        <w:ind w:firstLine="720"/>
        <w:rPr>
          <w:rFonts w:eastAsia="Calibri" w:cs="Times New Roman"/>
          <w:u w:val="single"/>
        </w:rPr>
      </w:pPr>
    </w:p>
    <w:p w14:paraId="26F6490F" w14:textId="77777777" w:rsidR="00842D3D" w:rsidRPr="00842D3D" w:rsidRDefault="00842D3D" w:rsidP="00842D3D">
      <w:pPr>
        <w:rPr>
          <w:rFonts w:eastAsia="Calibri" w:cs="Times New Roman"/>
          <w:strike/>
        </w:rPr>
      </w:pPr>
      <w:r w:rsidRPr="00842D3D">
        <w:rPr>
          <w:rFonts w:eastAsia="Calibri" w:cs="Times New Roman"/>
        </w:rPr>
        <w:tab/>
        <w:t xml:space="preserve">For an analysis of the fair use factors,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Google LLC</w:t>
      </w:r>
      <w:r w:rsidRPr="00842D3D">
        <w:rPr>
          <w:rFonts w:eastAsia="Calibri" w:cs="Times New Roman"/>
        </w:rPr>
        <w:t xml:space="preserve">, 593 U.S at 26-37; </w:t>
      </w:r>
      <w:r w:rsidRPr="00842D3D">
        <w:rPr>
          <w:rFonts w:eastAsia="Calibri" w:cs="Times New Roman"/>
          <w:i/>
          <w:iCs/>
        </w:rPr>
        <w:t>Campbel</w:t>
      </w:r>
      <w:r w:rsidRPr="00842D3D">
        <w:rPr>
          <w:rFonts w:eastAsia="Calibri" w:cs="Times New Roman"/>
        </w:rPr>
        <w:t>, 510 U.S. at 578-94;</w:t>
      </w:r>
      <w:r w:rsidRPr="00842D3D">
        <w:rPr>
          <w:rFonts w:eastAsia="Calibri" w:cs="Times New Roman"/>
          <w:i/>
          <w:iCs/>
        </w:rPr>
        <w:t xml:space="preserve"> Harper &amp; Row</w:t>
      </w:r>
      <w:r w:rsidRPr="00842D3D">
        <w:rPr>
          <w:rFonts w:eastAsia="Calibri" w:cs="Times New Roman"/>
        </w:rPr>
        <w:t xml:space="preserve">, 471 U.S. at 560-69; </w:t>
      </w:r>
      <w:r w:rsidRPr="00842D3D">
        <w:rPr>
          <w:rFonts w:eastAsia="Calibri" w:cs="Times New Roman"/>
          <w:i/>
          <w:iCs/>
        </w:rPr>
        <w:t>Tresóna</w:t>
      </w:r>
      <w:r w:rsidRPr="00842D3D">
        <w:rPr>
          <w:rFonts w:eastAsia="Calibri" w:cs="Times New Roman"/>
        </w:rPr>
        <w:t>, 953 F.3d at 647-52</w:t>
      </w:r>
    </w:p>
    <w:p w14:paraId="515D8A35" w14:textId="77777777" w:rsidR="00842D3D" w:rsidRPr="00842D3D" w:rsidRDefault="00842D3D" w:rsidP="00842D3D">
      <w:pPr>
        <w:rPr>
          <w:rFonts w:eastAsia="Calibri" w:cs="Times New Roman"/>
          <w:strike/>
        </w:rPr>
      </w:pPr>
    </w:p>
    <w:p w14:paraId="0C8BF138" w14:textId="77777777" w:rsidR="00842D3D" w:rsidRPr="00842D3D" w:rsidRDefault="00842D3D" w:rsidP="00842D3D">
      <w:pPr>
        <w:rPr>
          <w:rFonts w:eastAsia="Calibri" w:cs="Times New Roman"/>
          <w:strike/>
        </w:rPr>
      </w:pPr>
      <w:r w:rsidRPr="00842D3D">
        <w:rPr>
          <w:rFonts w:eastAsia="Calibri" w:cs="Times New Roman"/>
        </w:rPr>
        <w:lastRenderedPageBreak/>
        <w:tab/>
        <w:t>The Supreme Court and the Ninth Circuit have considered the fair use factors in numerous cases. The following discussion includes a non-exhaustive list of cases that may help analyze the factors.</w:t>
      </w:r>
    </w:p>
    <w:p w14:paraId="6FB19C46" w14:textId="77777777" w:rsidR="00842D3D" w:rsidRPr="00842D3D" w:rsidRDefault="00842D3D" w:rsidP="00842D3D">
      <w:pPr>
        <w:rPr>
          <w:rFonts w:eastAsia="Calibri" w:cs="Times New Roman"/>
          <w:strike/>
        </w:rPr>
      </w:pPr>
    </w:p>
    <w:p w14:paraId="0BC52CB5" w14:textId="77777777" w:rsidR="00842D3D" w:rsidRPr="00842D3D" w:rsidRDefault="00842D3D" w:rsidP="00842D3D">
      <w:pPr>
        <w:numPr>
          <w:ilvl w:val="0"/>
          <w:numId w:val="19"/>
        </w:numPr>
        <w:spacing w:after="160" w:line="278" w:lineRule="auto"/>
        <w:ind w:left="720"/>
        <w:contextualSpacing/>
        <w:rPr>
          <w:rFonts w:eastAsia="Calibri" w:cs="Times New Roman"/>
        </w:rPr>
      </w:pPr>
      <w:r w:rsidRPr="00842D3D">
        <w:rPr>
          <w:rFonts w:eastAsia="Calibri" w:cs="Times New Roman"/>
          <w:b/>
          <w:bCs/>
        </w:rPr>
        <w:t>Purpose and Character of the Defendant’s Use:</w:t>
      </w:r>
      <w:r w:rsidRPr="00842D3D">
        <w:rPr>
          <w:rFonts w:eastAsia="Calibri" w:cs="Times New Roman"/>
        </w:rPr>
        <w:t xml:space="preserve"> The first factor focuses mainly on the degree to which the use is “transformative,” meaning “whether the new work merely supersedes the objects of the original creation, or instead adds something new, with a further purpose or different character, altering the first with new expression, meaning, or message.”</w:t>
      </w:r>
      <w:r w:rsidRPr="00842D3D">
        <w:rPr>
          <w:rFonts w:eastAsia="Calibri" w:cs="Times New Roman"/>
          <w:i/>
          <w:iCs/>
        </w:rPr>
        <w:t xml:space="preserve"> Campbell</w:t>
      </w:r>
      <w:r w:rsidRPr="00842D3D">
        <w:rPr>
          <w:rFonts w:eastAsia="Calibri" w:cs="Times New Roman"/>
        </w:rPr>
        <w:t xml:space="preserve">, 510 U.S. at 579 (internal quotation marks, brackets, and citations omitted); </w:t>
      </w:r>
      <w:r w:rsidRPr="00842D3D">
        <w:rPr>
          <w:rFonts w:eastAsia="Calibri" w:cs="Times New Roman"/>
          <w:i/>
          <w:iCs/>
        </w:rPr>
        <w:t>see also Google LLC</w:t>
      </w:r>
      <w:r w:rsidRPr="00842D3D">
        <w:rPr>
          <w:rFonts w:eastAsia="Calibri" w:cs="Times New Roman"/>
        </w:rPr>
        <w:t xml:space="preserve">, 593 U.S at 29 (explaining that “‘transformative’ . . . . describe[s] a copying use that adds something new and important”); </w:t>
      </w:r>
      <w:r w:rsidRPr="00842D3D">
        <w:rPr>
          <w:rFonts w:eastAsia="Calibri" w:cs="Times New Roman"/>
          <w:i/>
          <w:iCs/>
        </w:rPr>
        <w:t>Dr. Seuss, Enters., L.P. v. Comicmix LLC</w:t>
      </w:r>
      <w:r w:rsidRPr="00842D3D">
        <w:rPr>
          <w:rFonts w:eastAsia="Calibri" w:cs="Times New Roman"/>
        </w:rPr>
        <w:t xml:space="preserve">, 983 F.3d 443, 445 (9th Cir. 2020) (discussing the benchmarks of transformative use). “Adding informative captions does not necessarily transform copyrighted works.” </w:t>
      </w:r>
      <w:r w:rsidRPr="00842D3D">
        <w:rPr>
          <w:rFonts w:eastAsia="Calibri" w:cs="Times New Roman"/>
          <w:i/>
          <w:iCs/>
        </w:rPr>
        <w:t>De Fontbrune</w:t>
      </w:r>
      <w:r w:rsidRPr="00842D3D">
        <w:rPr>
          <w:rFonts w:eastAsia="Calibri" w:cs="Times New Roman"/>
        </w:rPr>
        <w:t xml:space="preserve">, 39 F.4th at 1225; </w:t>
      </w:r>
      <w:r w:rsidRPr="00842D3D">
        <w:rPr>
          <w:rFonts w:eastAsia="Calibri" w:cs="Times New Roman"/>
          <w:i/>
          <w:iCs/>
        </w:rPr>
        <w:t>see Monge v. Maya Magazines, Inc.</w:t>
      </w:r>
      <w:r w:rsidRPr="00842D3D">
        <w:rPr>
          <w:rFonts w:eastAsia="Calibri" w:cs="Times New Roman"/>
        </w:rPr>
        <w:t>, 688 F.3d 1164, 1176-77 (9th Cir. 2012) (concluding that publisher’s use of newsworthy wedding photographs of celebrities was not fair use because such use was, among other things, minimally transformative and indisputably commercial).</w:t>
      </w:r>
    </w:p>
    <w:p w14:paraId="2650D839" w14:textId="77777777" w:rsidR="00842D3D" w:rsidRPr="00842D3D" w:rsidRDefault="00842D3D" w:rsidP="00842D3D">
      <w:pPr>
        <w:contextualSpacing/>
        <w:rPr>
          <w:rFonts w:eastAsia="Calibri" w:cs="Times New Roman"/>
          <w:u w:val="single"/>
        </w:rPr>
      </w:pPr>
    </w:p>
    <w:p w14:paraId="0683CC97" w14:textId="77777777" w:rsidR="00842D3D" w:rsidRPr="00842D3D" w:rsidRDefault="00842D3D" w:rsidP="00842D3D">
      <w:pPr>
        <w:rPr>
          <w:rFonts w:eastAsia="Calibri" w:cs="Times New Roman"/>
        </w:rPr>
      </w:pPr>
      <w:r w:rsidRPr="00842D3D">
        <w:rPr>
          <w:rFonts w:eastAsia="Calibri" w:cs="Times New Roman"/>
        </w:rPr>
        <w:tab/>
        <w:t xml:space="preserve">Parody which “needs to mimic an original to make its point,” </w:t>
      </w:r>
      <w:r w:rsidRPr="00842D3D">
        <w:rPr>
          <w:rFonts w:eastAsia="Calibri" w:cs="Times New Roman"/>
          <w:i/>
          <w:iCs/>
        </w:rPr>
        <w:t>Campbell</w:t>
      </w:r>
      <w:r w:rsidRPr="00842D3D">
        <w:rPr>
          <w:rFonts w:eastAsia="Calibri" w:cs="Times New Roman"/>
        </w:rPr>
        <w:t xml:space="preserve">, 510 U.S. at 580-81, is regularly held transformative. </w:t>
      </w:r>
      <w:r w:rsidRPr="00842D3D">
        <w:rPr>
          <w:rFonts w:eastAsia="Calibri" w:cs="Times New Roman"/>
          <w:i/>
          <w:iCs/>
        </w:rPr>
        <w:t>See, e.g.</w:t>
      </w:r>
      <w:r w:rsidRPr="00842D3D">
        <w:rPr>
          <w:rFonts w:eastAsia="Calibri" w:cs="Times New Roman"/>
        </w:rPr>
        <w:t>,</w:t>
      </w:r>
      <w:r w:rsidRPr="00842D3D">
        <w:rPr>
          <w:rFonts w:eastAsia="Calibri" w:cs="Times New Roman"/>
          <w:i/>
          <w:iCs/>
        </w:rPr>
        <w:t xml:space="preserve"> Mattel, Inc. v. Walking Mountain Prods.</w:t>
      </w:r>
      <w:r w:rsidRPr="00842D3D">
        <w:rPr>
          <w:rFonts w:eastAsia="Calibri" w:cs="Times New Roman"/>
        </w:rPr>
        <w:t xml:space="preserve">, 353 F.3d 792, 803 (9th Cir. 2003) (concluding that “transform[ative] associations” with the Barbie doll constituted parody); </w:t>
      </w:r>
      <w:r w:rsidRPr="00842D3D">
        <w:rPr>
          <w:rFonts w:eastAsia="Calibri" w:cs="Times New Roman"/>
          <w:i/>
          <w:iCs/>
        </w:rPr>
        <w:t>but see Dr. Seuss</w:t>
      </w:r>
      <w:r w:rsidRPr="00842D3D">
        <w:rPr>
          <w:rFonts w:eastAsia="Calibri" w:cs="Times New Roman"/>
        </w:rPr>
        <w:t xml:space="preserve">, 983 F.3d at 452-53 (holding that infringing use was not parody and not transformative because it did not critique or ridicule the original). </w:t>
      </w:r>
    </w:p>
    <w:p w14:paraId="094C7415" w14:textId="77777777" w:rsidR="00842D3D" w:rsidRPr="00842D3D" w:rsidRDefault="00842D3D" w:rsidP="00842D3D">
      <w:pPr>
        <w:contextualSpacing/>
        <w:rPr>
          <w:rFonts w:eastAsia="Calibri" w:cs="Times New Roman"/>
          <w:u w:val="single"/>
        </w:rPr>
      </w:pPr>
    </w:p>
    <w:p w14:paraId="550DF815" w14:textId="77777777" w:rsidR="00842D3D" w:rsidRPr="00842D3D" w:rsidRDefault="00842D3D" w:rsidP="00842D3D">
      <w:pPr>
        <w:rPr>
          <w:rFonts w:eastAsia="Calibri" w:cs="Times New Roman"/>
        </w:rPr>
      </w:pPr>
      <w:r w:rsidRPr="00842D3D">
        <w:rPr>
          <w:rFonts w:eastAsia="Calibri" w:cs="Times New Roman"/>
        </w:rPr>
        <w:tab/>
        <w:t xml:space="preserve">The first factor also considers “whether the use is of a commercial nature or is for nonprofit educational purposes.” 17 U.S.C.§ 107(1). </w:t>
      </w:r>
      <w:bookmarkStart w:id="420" w:name="_Hlk153477330"/>
      <w:r w:rsidRPr="00842D3D">
        <w:rPr>
          <w:rFonts w:eastAsia="Calibri" w:cs="Times New Roman"/>
        </w:rPr>
        <w:t xml:space="preserve">“If an original work and a secondary use share the same or highly similar purposes, and the secondary use is of a commercial nature, the first factor is likely to weight against fair use, absent some other justification for copying.” </w:t>
      </w:r>
      <w:r w:rsidRPr="00842D3D">
        <w:rPr>
          <w:rFonts w:eastAsia="Calibri" w:cs="Times New Roman"/>
          <w:i/>
          <w:iCs/>
        </w:rPr>
        <w:t>Andy Warhol Found. for Visual Arts, Inc. v. Goldsmith</w:t>
      </w:r>
      <w:r w:rsidRPr="00842D3D">
        <w:rPr>
          <w:rFonts w:eastAsia="Calibri" w:cs="Times New Roman"/>
        </w:rPr>
        <w:t xml:space="preserve">, 598 U.S. 508, 540-42 (2023) (holding that commercial licensing to a magazine of an Andy Warhol silkscreen illustration derived from a copyrighted photo weighed against fair use under the “purpose and character” factor of the fair use defense). </w:t>
      </w:r>
      <w:bookmarkEnd w:id="420"/>
      <w:r w:rsidRPr="00842D3D">
        <w:rPr>
          <w:rFonts w:eastAsia="Calibri" w:cs="Times New Roman"/>
        </w:rPr>
        <w:t xml:space="preserve">“The crux of the profit/nonprofit distinction is . . . whether the user stands to profit from exploitation of the copyrighted material without paying the customary price.” </w:t>
      </w:r>
      <w:r w:rsidRPr="00842D3D">
        <w:rPr>
          <w:rFonts w:eastAsia="Calibri" w:cs="Times New Roman"/>
          <w:i/>
          <w:iCs/>
        </w:rPr>
        <w:t>Harper &amp; Row</w:t>
      </w:r>
      <w:r w:rsidRPr="00842D3D">
        <w:rPr>
          <w:rFonts w:eastAsia="Calibri" w:cs="Times New Roman"/>
        </w:rPr>
        <w:t xml:space="preserve">, 471 U.S. at 562; </w:t>
      </w:r>
      <w:r w:rsidRPr="00842D3D">
        <w:rPr>
          <w:rFonts w:eastAsia="Calibri" w:cs="Times New Roman"/>
          <w:i/>
          <w:iCs/>
        </w:rPr>
        <w:t>see A&amp;M Recs., Inc. v. Napster, Inc.</w:t>
      </w:r>
      <w:r w:rsidRPr="00842D3D">
        <w:rPr>
          <w:rFonts w:eastAsia="Calibri" w:cs="Times New Roman"/>
        </w:rPr>
        <w:t xml:space="preserve">, 239 F.3d 1004, 1015 (9th Cir. 2001) (“Commercial use does not require direct financial benefit, such use “weighs against a finding of fair use but is not conclusive”). “For-profit news articles are generally considered commercial uses.” </w:t>
      </w:r>
      <w:r w:rsidRPr="00842D3D">
        <w:rPr>
          <w:rFonts w:eastAsia="Calibri" w:cs="Times New Roman"/>
          <w:i/>
          <w:iCs/>
        </w:rPr>
        <w:t>McGucken</w:t>
      </w:r>
      <w:r w:rsidRPr="00842D3D">
        <w:rPr>
          <w:rFonts w:eastAsia="Calibri" w:cs="Times New Roman"/>
        </w:rPr>
        <w:t>, 42 F.4th at 1158.</w:t>
      </w:r>
    </w:p>
    <w:p w14:paraId="13F32F26" w14:textId="77777777" w:rsidR="00842D3D" w:rsidRPr="00842D3D" w:rsidRDefault="00842D3D" w:rsidP="00842D3D">
      <w:pPr>
        <w:rPr>
          <w:rFonts w:eastAsia="Calibri" w:cs="Times New Roman"/>
        </w:rPr>
      </w:pPr>
    </w:p>
    <w:p w14:paraId="73647F65" w14:textId="77777777" w:rsidR="00842D3D" w:rsidRPr="00842D3D" w:rsidRDefault="00842D3D" w:rsidP="00842D3D">
      <w:pPr>
        <w:rPr>
          <w:rFonts w:eastAsia="Calibri" w:cs="Times New Roman"/>
          <w:i/>
          <w:iCs/>
          <w:strike/>
        </w:rPr>
      </w:pPr>
      <w:r w:rsidRPr="00842D3D">
        <w:rPr>
          <w:rFonts w:eastAsia="Calibri" w:cs="Times New Roman"/>
          <w:i/>
          <w:iCs/>
        </w:rPr>
        <w:tab/>
      </w:r>
      <w:r w:rsidRPr="00842D3D">
        <w:rPr>
          <w:rFonts w:eastAsia="Calibri" w:cs="Times New Roman"/>
        </w:rPr>
        <w:t xml:space="preserve">Other cases that analyze the first factor include: </w:t>
      </w:r>
      <w:r w:rsidRPr="00842D3D">
        <w:rPr>
          <w:rFonts w:eastAsia="Calibri" w:cs="Times New Roman"/>
          <w:i/>
          <w:iCs/>
        </w:rPr>
        <w:t>VHT, Inc. v. Zillow Grp., Inc.</w:t>
      </w:r>
      <w:r w:rsidRPr="00842D3D">
        <w:rPr>
          <w:rFonts w:eastAsia="Calibri" w:cs="Times New Roman"/>
        </w:rPr>
        <w:t xml:space="preserve">, 918 F.3d 723, 743 (9th Cir. 2019) (concluding that website’s tagging of photos for searchable functionality was not transformative); </w:t>
      </w:r>
      <w:r w:rsidRPr="00842D3D">
        <w:rPr>
          <w:rFonts w:eastAsia="Calibri" w:cs="Times New Roman"/>
          <w:i/>
          <w:iCs/>
        </w:rPr>
        <w:t>Tresóna</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953 F.3d at 648 (observing that use of song in show was for “nonprofit educational purposes . . . and the resulting work was transformative”) (internal quotation marks and citation omitted); </w:t>
      </w:r>
      <w:r w:rsidRPr="00842D3D">
        <w:rPr>
          <w:rFonts w:eastAsia="Calibri" w:cs="Times New Roman"/>
          <w:i/>
          <w:iCs/>
        </w:rPr>
        <w:t>Disney Enters., Inc. v. VidAngel, Inc.</w:t>
      </w:r>
      <w:r w:rsidRPr="00842D3D">
        <w:rPr>
          <w:rFonts w:eastAsia="Calibri" w:cs="Times New Roman"/>
        </w:rPr>
        <w:t xml:space="preserve">, 869 F.3d 848 (9th Cir. 2017) (concluding that removing objectionable content from film for streaming to </w:t>
      </w:r>
      <w:r w:rsidRPr="00842D3D">
        <w:rPr>
          <w:rFonts w:eastAsia="Calibri" w:cs="Times New Roman"/>
        </w:rPr>
        <w:lastRenderedPageBreak/>
        <w:t xml:space="preserve">customers is not transformative); </w:t>
      </w:r>
      <w:r w:rsidRPr="00842D3D">
        <w:rPr>
          <w:rFonts w:eastAsia="Calibri" w:cs="Times New Roman"/>
          <w:i/>
          <w:iCs/>
        </w:rPr>
        <w:t>Seltzer</w:t>
      </w:r>
      <w:r w:rsidRPr="00842D3D">
        <w:rPr>
          <w:rFonts w:eastAsia="Calibri" w:cs="Times New Roman"/>
        </w:rPr>
        <w:t xml:space="preserve">, 725 F.3d at 1176-77 (holding that band’s use of artist’s original work in its four-minute concert video backdrop was transformative because original work took on new and different meaning in video); </w:t>
      </w:r>
      <w:r w:rsidRPr="00842D3D">
        <w:rPr>
          <w:rFonts w:eastAsia="Calibri" w:cs="Times New Roman"/>
          <w:i/>
          <w:iCs/>
        </w:rPr>
        <w:t>SOFA Entm’t, Inc. v. Dodger Prods., Inc.</w:t>
      </w:r>
      <w:r w:rsidRPr="00842D3D">
        <w:rPr>
          <w:rFonts w:eastAsia="Calibri" w:cs="Times New Roman"/>
        </w:rPr>
        <w:t>, 709 F.3d 1273, 1278 (9th Cir. 2013) (stating that use of seven-second television clip that introduces band as “biographical anchor” in musical about band supports finding of fair use);</w:t>
      </w:r>
      <w:r w:rsidRPr="00842D3D">
        <w:rPr>
          <w:rFonts w:eastAsia="Calibri" w:cs="Times New Roman"/>
          <w:i/>
          <w:iCs/>
        </w:rPr>
        <w:t xml:space="preserve"> Elvis Presley Enters.</w:t>
      </w:r>
      <w:r w:rsidRPr="00842D3D">
        <w:rPr>
          <w:rFonts w:eastAsia="Calibri" w:cs="Times New Roman"/>
        </w:rPr>
        <w:t>, 349 F.3d at 629 (“Courts have described new works as ‘transformative’ when works use copyrighted material for purposes distinct from the purpose of original material.”).</w:t>
      </w:r>
    </w:p>
    <w:p w14:paraId="7178478A" w14:textId="77777777" w:rsidR="00842D3D" w:rsidRPr="00842D3D" w:rsidRDefault="00842D3D" w:rsidP="00842D3D">
      <w:pPr>
        <w:rPr>
          <w:rFonts w:eastAsia="Calibri" w:cs="Times New Roman"/>
        </w:rPr>
      </w:pPr>
    </w:p>
    <w:p w14:paraId="2E5D7118" w14:textId="77777777" w:rsidR="00842D3D" w:rsidRPr="00842D3D" w:rsidRDefault="00842D3D" w:rsidP="00842D3D">
      <w:pPr>
        <w:rPr>
          <w:rFonts w:eastAsia="Calibri" w:cs="Times New Roman"/>
        </w:rPr>
      </w:pPr>
      <w:r w:rsidRPr="00842D3D">
        <w:rPr>
          <w:rFonts w:eastAsia="Calibri" w:cs="Times New Roman"/>
          <w:b/>
          <w:bCs/>
        </w:rPr>
        <w:t>2.</w:t>
      </w:r>
      <w:r w:rsidRPr="00842D3D">
        <w:rPr>
          <w:rFonts w:eastAsia="Calibri" w:cs="Times New Roman"/>
          <w:b/>
          <w:bCs/>
        </w:rPr>
        <w:tab/>
        <w:t xml:space="preserve">Nature of Copyrighted Work: </w:t>
      </w:r>
      <w:r w:rsidRPr="00842D3D">
        <w:rPr>
          <w:rFonts w:eastAsia="Calibri" w:cs="Times New Roman"/>
        </w:rPr>
        <w:t xml:space="preserve">The second factor considers “the nature of the copyrighted work.” 17 U.S.C. § 107. This factor “typically has not been terribly significant in the overall fair use balancing.” </w:t>
      </w:r>
      <w:r w:rsidRPr="00842D3D">
        <w:rPr>
          <w:rFonts w:eastAsia="Calibri" w:cs="Times New Roman"/>
          <w:i/>
          <w:iCs/>
        </w:rPr>
        <w:t>Dr. Seuss</w:t>
      </w:r>
      <w:r w:rsidRPr="00842D3D">
        <w:rPr>
          <w:rFonts w:eastAsia="Calibri" w:cs="Times New Roman"/>
        </w:rPr>
        <w:t xml:space="preserve">, 983 F.3d at 456 (citation omitted);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 (considering whether work is factual or creative in nature and whether it was published) (citation omitted); </w:t>
      </w:r>
      <w:r w:rsidRPr="00842D3D">
        <w:rPr>
          <w:rFonts w:eastAsia="Calibri" w:cs="Times New Roman"/>
          <w:i/>
          <w:iCs/>
        </w:rPr>
        <w:t>Seltzer</w:t>
      </w:r>
      <w:r w:rsidRPr="00842D3D">
        <w:rPr>
          <w:rFonts w:eastAsia="Calibri" w:cs="Times New Roman"/>
        </w:rPr>
        <w:t xml:space="preserve">, 725 F.3d at 1178 (noting that prior publication by original author tends to support finding of fair use); </w:t>
      </w:r>
      <w:r w:rsidRPr="00842D3D">
        <w:rPr>
          <w:rFonts w:eastAsia="Calibri" w:cs="Times New Roman"/>
          <w:i/>
          <w:iCs/>
        </w:rPr>
        <w:t>Napster</w:t>
      </w:r>
      <w:r w:rsidRPr="00842D3D">
        <w:rPr>
          <w:rFonts w:eastAsia="Calibri" w:cs="Times New Roman"/>
        </w:rPr>
        <w:t xml:space="preserve">, 239 F.3d at 1016 (stating that use of copyrighted creative work cuts against fair use finding); </w:t>
      </w:r>
      <w:r w:rsidRPr="00842D3D">
        <w:rPr>
          <w:rFonts w:eastAsia="Calibri" w:cs="Times New Roman"/>
          <w:i/>
          <w:iCs/>
        </w:rPr>
        <w:t>Sony Computer Ent. Am. Inc. v.</w:t>
      </w:r>
      <w:r w:rsidRPr="00842D3D">
        <w:rPr>
          <w:rFonts w:eastAsia="Calibri" w:cs="Times New Roman"/>
        </w:rPr>
        <w:t xml:space="preserve"> </w:t>
      </w:r>
      <w:r w:rsidRPr="00842D3D">
        <w:rPr>
          <w:rFonts w:eastAsia="Calibri" w:cs="Times New Roman"/>
          <w:i/>
          <w:iCs/>
        </w:rPr>
        <w:t>Bleem</w:t>
      </w:r>
      <w:r w:rsidRPr="00842D3D">
        <w:rPr>
          <w:rFonts w:eastAsia="Calibri" w:cs="Times New Roman"/>
        </w:rPr>
        <w:t>, 214 F.3d 1022, 1028 (9th Cir. 2000) (explaining that nature of copyrighted work is most relevant when “the original material and the copy are of a different nature”).</w:t>
      </w:r>
    </w:p>
    <w:p w14:paraId="51C87837" w14:textId="77777777" w:rsidR="00842D3D" w:rsidRPr="00842D3D" w:rsidRDefault="00842D3D" w:rsidP="00842D3D">
      <w:pPr>
        <w:rPr>
          <w:rFonts w:eastAsia="Calibri" w:cs="Times New Roman"/>
        </w:rPr>
      </w:pPr>
    </w:p>
    <w:p w14:paraId="12B8AF4C" w14:textId="77777777" w:rsidR="00842D3D" w:rsidRPr="00842D3D" w:rsidRDefault="00842D3D" w:rsidP="00842D3D">
      <w:pPr>
        <w:rPr>
          <w:rFonts w:eastAsia="Calibri" w:cs="Times New Roman"/>
        </w:rPr>
      </w:pPr>
      <w:r w:rsidRPr="00842D3D">
        <w:rPr>
          <w:rFonts w:eastAsia="Calibri" w:cs="Times New Roman"/>
          <w:b/>
          <w:bCs/>
        </w:rPr>
        <w:t>3.</w:t>
      </w:r>
      <w:r w:rsidRPr="00842D3D">
        <w:rPr>
          <w:rFonts w:eastAsia="Calibri" w:cs="Times New Roman"/>
          <w:b/>
          <w:bCs/>
        </w:rPr>
        <w:tab/>
        <w:t>Amount and Substantiality of the Portion Used:</w:t>
      </w:r>
      <w:r w:rsidRPr="00842D3D">
        <w:rPr>
          <w:rFonts w:eastAsia="Calibri" w:cs="Times New Roman"/>
        </w:rPr>
        <w:t xml:space="preserve"> The third factor concerns “the amount and substantiality of the portion used in relation to the copyrighted work as a whole.” 17 U.S.C. § 107(3). This factor considers “the quantitative amount and the qualitative value of the original work used in relation to the justification for that use.” </w:t>
      </w:r>
      <w:r w:rsidRPr="00842D3D">
        <w:rPr>
          <w:rFonts w:eastAsia="Calibri" w:cs="Times New Roman"/>
          <w:i/>
          <w:iCs/>
        </w:rPr>
        <w:t>Dr. Seuss</w:t>
      </w:r>
      <w:r w:rsidRPr="00842D3D">
        <w:rPr>
          <w:rFonts w:eastAsia="Calibri" w:cs="Times New Roman"/>
        </w:rPr>
        <w:t xml:space="preserve">, 983 F.3d at 456;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586-88 (explaining importance of quantity of materials used, as well as their quality and importance). “This factor weighs against fair use if the infringer published ‘the heart’ of an ‘individual copyrighted picture’ without justification.” </w:t>
      </w:r>
      <w:r w:rsidRPr="00842D3D">
        <w:rPr>
          <w:rFonts w:eastAsia="Calibri" w:cs="Times New Roman"/>
          <w:i/>
          <w:iCs/>
        </w:rPr>
        <w:t>McGucken</w:t>
      </w:r>
      <w:r w:rsidRPr="00842D3D">
        <w:rPr>
          <w:rFonts w:eastAsia="Calibri" w:cs="Times New Roman"/>
        </w:rPr>
        <w:t xml:space="preserve">, 42 F.4d at 1162 (quoting </w:t>
      </w:r>
      <w:r w:rsidRPr="00842D3D">
        <w:rPr>
          <w:rFonts w:eastAsia="Calibri" w:cs="Times New Roman"/>
          <w:i/>
          <w:iCs/>
        </w:rPr>
        <w:t>Monge</w:t>
      </w:r>
      <w:r w:rsidRPr="00842D3D">
        <w:rPr>
          <w:rFonts w:eastAsia="Calibri" w:cs="Times New Roman"/>
        </w:rPr>
        <w:t xml:space="preserve">, 688 F.3d at 1178);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Tresóna</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953 F.3d at 651 (noting that although “qualitatively significant” portion of original work was used, because of transformative nature of new material, this factor “did not weigh against fair use”); </w:t>
      </w:r>
      <w:r w:rsidRPr="00842D3D">
        <w:rPr>
          <w:rFonts w:eastAsia="Calibri" w:cs="Times New Roman"/>
          <w:i/>
          <w:iCs/>
        </w:rPr>
        <w:t>Seltzer</w:t>
      </w:r>
      <w:r w:rsidRPr="00842D3D">
        <w:rPr>
          <w:rFonts w:eastAsia="Calibri" w:cs="Times New Roman"/>
        </w:rPr>
        <w:t xml:space="preserve">, 725 F.3d at 1178-79 (addressing when original works are copied in full because they are “not meaningfully divisible”); </w:t>
      </w:r>
      <w:r w:rsidRPr="00842D3D">
        <w:rPr>
          <w:rFonts w:eastAsia="Calibri" w:cs="Times New Roman"/>
          <w:i/>
          <w:iCs/>
        </w:rPr>
        <w:t>Bleem</w:t>
      </w:r>
      <w:r w:rsidRPr="00842D3D">
        <w:rPr>
          <w:rFonts w:eastAsia="Calibri" w:cs="Times New Roman"/>
        </w:rPr>
        <w:t>, 214 F.3d at 1028 (noting that fair use finding is not likely when there is high degree of copying and “essence” of copyrighted work and copy are similar).</w:t>
      </w:r>
    </w:p>
    <w:p w14:paraId="5229BDDE" w14:textId="77777777" w:rsidR="00842D3D" w:rsidRPr="00842D3D" w:rsidRDefault="00842D3D" w:rsidP="00842D3D">
      <w:pPr>
        <w:rPr>
          <w:rFonts w:eastAsia="Calibri" w:cs="Times New Roman"/>
        </w:rPr>
      </w:pPr>
    </w:p>
    <w:p w14:paraId="2665BD86" w14:textId="77777777" w:rsidR="00842D3D" w:rsidRPr="00842D3D" w:rsidRDefault="00842D3D" w:rsidP="00842D3D">
      <w:pPr>
        <w:rPr>
          <w:rFonts w:eastAsia="Calibri" w:cs="Times New Roman"/>
        </w:rPr>
      </w:pPr>
      <w:r w:rsidRPr="00842D3D">
        <w:rPr>
          <w:rFonts w:eastAsia="Calibri" w:cs="Times New Roman"/>
          <w:b/>
          <w:bCs/>
        </w:rPr>
        <w:t>4.</w:t>
      </w:r>
      <w:r w:rsidRPr="00842D3D">
        <w:rPr>
          <w:rFonts w:eastAsia="Calibri" w:cs="Times New Roman"/>
        </w:rPr>
        <w:tab/>
      </w:r>
      <w:r w:rsidRPr="00842D3D">
        <w:rPr>
          <w:rFonts w:eastAsia="Calibri" w:cs="Times New Roman"/>
          <w:b/>
          <w:bCs/>
        </w:rPr>
        <w:t>The Market</w:t>
      </w:r>
      <w:r w:rsidRPr="00842D3D">
        <w:rPr>
          <w:rFonts w:eastAsia="Calibri" w:cs="Times New Roman"/>
        </w:rPr>
        <w:t xml:space="preserve"> </w:t>
      </w:r>
      <w:r w:rsidRPr="00842D3D">
        <w:rPr>
          <w:rFonts w:eastAsia="Calibri" w:cs="Times New Roman"/>
          <w:b/>
          <w:bCs/>
        </w:rPr>
        <w:t>Effect:</w:t>
      </w:r>
      <w:r w:rsidRPr="00842D3D">
        <w:rPr>
          <w:rFonts w:eastAsia="Calibri" w:cs="Times New Roman"/>
        </w:rPr>
        <w:t xml:space="preserve"> The fourth factor concerns the “effect of the use upon the potential market for or the value of the copyrighted work.” 17 U.S.C. § 107(4). This factor includes (1) the “extent of the market harm caused by the particular actions of the alleged infringer,” and (2) “whether unrestricted and widespread conduct of the sort engaged in by the defendant would result in a substantially adverse impact on the potential market for the original” and the “market for the derivative works.” </w:t>
      </w:r>
      <w:r w:rsidRPr="00842D3D">
        <w:rPr>
          <w:rFonts w:eastAsia="Calibri" w:cs="Times New Roman"/>
          <w:i/>
          <w:iCs/>
        </w:rPr>
        <w:t>Campbell</w:t>
      </w:r>
      <w:r w:rsidRPr="00842D3D">
        <w:rPr>
          <w:rFonts w:eastAsia="Calibri" w:cs="Times New Roman"/>
        </w:rPr>
        <w:t xml:space="preserve">, 510 U.S. at 590-91 (citations omitted). </w:t>
      </w:r>
    </w:p>
    <w:p w14:paraId="28248949" w14:textId="77777777" w:rsidR="00842D3D" w:rsidRPr="00842D3D" w:rsidRDefault="00842D3D" w:rsidP="00842D3D">
      <w:pPr>
        <w:rPr>
          <w:rFonts w:eastAsia="Calibri" w:cs="Times New Roman"/>
        </w:rPr>
      </w:pPr>
    </w:p>
    <w:p w14:paraId="1CB37390"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w w:val="105"/>
        </w:rPr>
        <w:t>The effect</w:t>
      </w:r>
      <w:r w:rsidRPr="00842D3D">
        <w:rPr>
          <w:rFonts w:eastAsia="Calibri" w:cs="Times New Roman"/>
          <w:spacing w:val="-5"/>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defendant’s</w:t>
      </w:r>
      <w:r w:rsidRPr="00842D3D">
        <w:rPr>
          <w:rFonts w:eastAsia="Calibri" w:cs="Times New Roman"/>
          <w:spacing w:val="-2"/>
          <w:w w:val="105"/>
        </w:rPr>
        <w:t xml:space="preserve"> </w:t>
      </w:r>
      <w:r w:rsidRPr="00842D3D">
        <w:rPr>
          <w:rFonts w:eastAsia="Calibri" w:cs="Times New Roman"/>
          <w:w w:val="105"/>
        </w:rPr>
        <w:t>infringing work on</w:t>
      </w:r>
      <w:r w:rsidRPr="00842D3D">
        <w:rPr>
          <w:rFonts w:eastAsia="Calibri" w:cs="Times New Roman"/>
          <w:spacing w:val="-1"/>
          <w:w w:val="105"/>
        </w:rPr>
        <w:t xml:space="preserve"> the </w:t>
      </w:r>
      <w:r w:rsidRPr="00842D3D">
        <w:rPr>
          <w:rFonts w:eastAsia="Calibri" w:cs="Times New Roman"/>
          <w:w w:val="105"/>
        </w:rPr>
        <w:t>market</w:t>
      </w:r>
      <w:r w:rsidRPr="00842D3D">
        <w:rPr>
          <w:rFonts w:eastAsia="Calibri" w:cs="Times New Roman"/>
          <w:spacing w:val="-5"/>
          <w:w w:val="105"/>
        </w:rPr>
        <w:t xml:space="preserve"> </w:t>
      </w:r>
      <w:r w:rsidRPr="00842D3D">
        <w:rPr>
          <w:rFonts w:eastAsia="Calibri" w:cs="Times New Roman"/>
          <w:w w:val="105"/>
        </w:rPr>
        <w:t>for,</w:t>
      </w:r>
      <w:r w:rsidRPr="00842D3D">
        <w:rPr>
          <w:rFonts w:eastAsia="Calibri" w:cs="Times New Roman"/>
          <w:spacing w:val="-3"/>
          <w:w w:val="105"/>
        </w:rPr>
        <w:t xml:space="preserve"> </w:t>
      </w:r>
      <w:r w:rsidRPr="00842D3D">
        <w:rPr>
          <w:rFonts w:eastAsia="Calibri" w:cs="Times New Roman"/>
          <w:w w:val="105"/>
        </w:rPr>
        <w:t>or</w:t>
      </w:r>
      <w:r w:rsidRPr="00842D3D">
        <w:rPr>
          <w:rFonts w:eastAsia="Calibri" w:cs="Times New Roman"/>
          <w:spacing w:val="-4"/>
          <w:w w:val="105"/>
        </w:rPr>
        <w:t xml:space="preserve"> </w:t>
      </w:r>
      <w:r w:rsidRPr="00842D3D">
        <w:rPr>
          <w:rFonts w:eastAsia="Calibri" w:cs="Times New Roman"/>
          <w:w w:val="105"/>
        </w:rPr>
        <w:t>value</w:t>
      </w:r>
      <w:r w:rsidRPr="00842D3D">
        <w:rPr>
          <w:rFonts w:eastAsia="Calibri" w:cs="Times New Roman"/>
          <w:spacing w:val="-2"/>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plaintiff’s</w:t>
      </w:r>
      <w:r w:rsidRPr="00842D3D">
        <w:rPr>
          <w:rFonts w:eastAsia="Calibri" w:cs="Times New Roman"/>
          <w:spacing w:val="-3"/>
          <w:w w:val="105"/>
        </w:rPr>
        <w:t xml:space="preserve"> copyrighted </w:t>
      </w:r>
      <w:r w:rsidRPr="00842D3D">
        <w:rPr>
          <w:rFonts w:eastAsia="Calibri" w:cs="Times New Roman"/>
          <w:w w:val="105"/>
        </w:rPr>
        <w:t>work</w:t>
      </w:r>
      <w:r w:rsidRPr="00842D3D">
        <w:rPr>
          <w:rFonts w:eastAsia="Calibri" w:cs="Times New Roman"/>
          <w:spacing w:val="-1"/>
          <w:w w:val="105"/>
        </w:rPr>
        <w:t xml:space="preserve"> </w:t>
      </w:r>
      <w:r w:rsidRPr="00842D3D">
        <w:rPr>
          <w:rFonts w:eastAsia="Calibri" w:cs="Times New Roman"/>
          <w:w w:val="105"/>
        </w:rPr>
        <w:t>is</w:t>
      </w:r>
      <w:r w:rsidRPr="00842D3D">
        <w:rPr>
          <w:rFonts w:eastAsia="Calibri" w:cs="Times New Roman"/>
          <w:spacing w:val="-2"/>
          <w:w w:val="105"/>
        </w:rPr>
        <w:t xml:space="preserve"> the </w:t>
      </w:r>
      <w:r w:rsidRPr="00842D3D">
        <w:rPr>
          <w:rFonts w:eastAsia="Calibri" w:cs="Times New Roman"/>
          <w:w w:val="105"/>
        </w:rPr>
        <w:t>most</w:t>
      </w:r>
      <w:r w:rsidRPr="00842D3D">
        <w:rPr>
          <w:rFonts w:eastAsia="Calibri" w:cs="Times New Roman"/>
          <w:spacing w:val="-6"/>
          <w:w w:val="105"/>
        </w:rPr>
        <w:t xml:space="preserve"> </w:t>
      </w:r>
      <w:r w:rsidRPr="00842D3D">
        <w:rPr>
          <w:rFonts w:eastAsia="Calibri" w:cs="Times New Roman"/>
          <w:w w:val="105"/>
        </w:rPr>
        <w:t>important</w:t>
      </w:r>
      <w:r w:rsidRPr="00842D3D">
        <w:rPr>
          <w:rFonts w:eastAsia="Calibri" w:cs="Times New Roman"/>
          <w:spacing w:val="-5"/>
          <w:w w:val="105"/>
        </w:rPr>
        <w:t xml:space="preserve"> </w:t>
      </w:r>
      <w:r w:rsidRPr="00842D3D">
        <w:rPr>
          <w:rFonts w:eastAsia="Calibri" w:cs="Times New Roman"/>
          <w:w w:val="105"/>
        </w:rPr>
        <w:t>fair</w:t>
      </w:r>
      <w:r w:rsidRPr="00842D3D">
        <w:rPr>
          <w:rFonts w:eastAsia="Calibri" w:cs="Times New Roman"/>
          <w:spacing w:val="-4"/>
          <w:w w:val="105"/>
        </w:rPr>
        <w:t xml:space="preserve"> </w:t>
      </w:r>
      <w:r w:rsidRPr="00842D3D">
        <w:rPr>
          <w:rFonts w:eastAsia="Calibri" w:cs="Times New Roman"/>
          <w:w w:val="105"/>
        </w:rPr>
        <w:t>use</w:t>
      </w:r>
      <w:r w:rsidRPr="00842D3D">
        <w:rPr>
          <w:rFonts w:eastAsia="Calibri" w:cs="Times New Roman"/>
          <w:spacing w:val="-2"/>
          <w:w w:val="105"/>
        </w:rPr>
        <w:t xml:space="preserve"> </w:t>
      </w:r>
      <w:r w:rsidRPr="00842D3D">
        <w:rPr>
          <w:rFonts w:eastAsia="Calibri" w:cs="Times New Roman"/>
          <w:w w:val="105"/>
        </w:rPr>
        <w:t xml:space="preserve">factor. </w:t>
      </w:r>
      <w:r w:rsidRPr="00842D3D">
        <w:rPr>
          <w:rFonts w:eastAsia="Calibri" w:cs="Times New Roman"/>
          <w:i/>
          <w:iCs/>
        </w:rPr>
        <w:t>Harper &amp; Row</w:t>
      </w:r>
      <w:r w:rsidRPr="00842D3D">
        <w:rPr>
          <w:rFonts w:eastAsia="Calibri" w:cs="Times New Roman"/>
        </w:rPr>
        <w:t xml:space="preserve">, 471 U.S. at 566; </w:t>
      </w:r>
      <w:r w:rsidRPr="00842D3D">
        <w:rPr>
          <w:rFonts w:eastAsia="Calibri" w:cs="Times New Roman"/>
          <w:i/>
          <w:iCs/>
        </w:rPr>
        <w:t>SOFA Ent., Inc.</w:t>
      </w:r>
      <w:r w:rsidRPr="00842D3D">
        <w:rPr>
          <w:rFonts w:eastAsia="Calibri" w:cs="Times New Roman"/>
        </w:rPr>
        <w:t xml:space="preserve">, 709 F.3d at 1280 (explaining that this factor favors finding of fair use when use “advances [the alleged infringers’] own original creation without any reasonable threat to [the original author’s] business model”); </w:t>
      </w:r>
      <w:r w:rsidRPr="00842D3D">
        <w:rPr>
          <w:rFonts w:eastAsia="Calibri" w:cs="Times New Roman"/>
          <w:i/>
          <w:iCs/>
        </w:rPr>
        <w:t>Monge</w:t>
      </w:r>
      <w:r w:rsidRPr="00842D3D">
        <w:rPr>
          <w:rFonts w:eastAsia="Calibri" w:cs="Times New Roman"/>
        </w:rPr>
        <w:t xml:space="preserve">, 688 F.3d at 1181 (emphasizing that potential market exists independent of the copyright owner’s present intent not to publish copyrighted </w:t>
      </w:r>
      <w:r w:rsidRPr="00842D3D">
        <w:rPr>
          <w:rFonts w:eastAsia="Calibri" w:cs="Times New Roman"/>
        </w:rPr>
        <w:lastRenderedPageBreak/>
        <w:t xml:space="preserve">work); </w:t>
      </w:r>
      <w:r w:rsidRPr="00842D3D">
        <w:rPr>
          <w:rFonts w:eastAsia="Calibri" w:cs="Times New Roman"/>
          <w:i/>
          <w:iCs/>
        </w:rPr>
        <w:t>Bleem</w:t>
      </w:r>
      <w:r w:rsidRPr="00842D3D">
        <w:rPr>
          <w:rFonts w:eastAsia="Calibri" w:cs="Times New Roman"/>
        </w:rPr>
        <w:t xml:space="preserve">, 214 F.3d at 1026-27 (noting that the market effect “factor may be the most important, [but] all factors must be considered, and the commercial nature of the copies is just one element”; use for comparative advertising can support first fair use factor but negate fourth fair use factor); </w:t>
      </w:r>
      <w:r w:rsidRPr="00842D3D">
        <w:rPr>
          <w:rFonts w:eastAsia="Calibri" w:cs="Times New Roman"/>
          <w:i/>
          <w:iCs/>
        </w:rPr>
        <w:t>Dr. Seuss</w:t>
      </w:r>
      <w:r w:rsidRPr="00842D3D">
        <w:rPr>
          <w:rFonts w:eastAsia="Calibri" w:cs="Times New Roman"/>
        </w:rPr>
        <w:t xml:space="preserve">, 109 F.3d at 1403 (balancing public benefit that will result from the defendant’s use against personal gain the copyright owner will receive if use is denied); </w:t>
      </w:r>
      <w:r w:rsidRPr="00842D3D">
        <w:rPr>
          <w:rFonts w:eastAsia="Calibri" w:cs="Times New Roman"/>
          <w:i/>
          <w:iCs/>
        </w:rPr>
        <w:t>Triad Sys. Corp.</w:t>
      </w:r>
      <w:r w:rsidRPr="00842D3D">
        <w:rPr>
          <w:rFonts w:eastAsia="Calibri" w:cs="Times New Roman"/>
        </w:rPr>
        <w:t>, 64 F.3d at 1336-37 (noting that when defendant’s work competes in same market it is less likely fair use).</w:t>
      </w:r>
    </w:p>
    <w:p w14:paraId="2B651E13" w14:textId="77777777" w:rsidR="00842D3D" w:rsidRPr="00842D3D" w:rsidRDefault="00842D3D" w:rsidP="00842D3D">
      <w:pPr>
        <w:rPr>
          <w:rFonts w:eastAsia="Calibri" w:cs="Times New Roman"/>
        </w:rPr>
      </w:pPr>
    </w:p>
    <w:p w14:paraId="613F92AC" w14:textId="77777777" w:rsidR="00842D3D" w:rsidRPr="00842D3D" w:rsidRDefault="00842D3D" w:rsidP="00842D3D">
      <w:pPr>
        <w:rPr>
          <w:rFonts w:eastAsia="Calibri" w:cs="Times New Roman"/>
          <w:strike/>
        </w:rPr>
      </w:pPr>
      <w:r w:rsidRPr="00842D3D">
        <w:rPr>
          <w:rFonts w:eastAsia="Calibri" w:cs="Times New Roman"/>
          <w:b/>
          <w:bCs/>
        </w:rPr>
        <w:t>5.</w:t>
      </w:r>
      <w:r w:rsidRPr="00842D3D">
        <w:rPr>
          <w:rFonts w:eastAsia="Calibri" w:cs="Times New Roman"/>
          <w:b/>
          <w:bCs/>
        </w:rPr>
        <w:tab/>
        <w:t>Additional Factors:</w:t>
      </w:r>
      <w:r w:rsidRPr="00842D3D">
        <w:rPr>
          <w:rFonts w:eastAsia="Calibri" w:cs="Times New Roman"/>
        </w:rPr>
        <w:t xml:space="preserv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Harper &amp; Row</w:t>
      </w:r>
      <w:r w:rsidRPr="00842D3D">
        <w:rPr>
          <w:rFonts w:eastAsia="Calibri" w:cs="Times New Roman"/>
        </w:rPr>
        <w:t xml:space="preserve">, 471 U.S. at 562 (explaining that the propriety of the defendant’s conduct is relevant to the character of the use because fair use presupposes good faith and fair dealing) (quotation marks and citation omitted); </w:t>
      </w:r>
      <w:r w:rsidRPr="00842D3D">
        <w:rPr>
          <w:rFonts w:eastAsia="Calibri" w:cs="Times New Roman"/>
          <w:i/>
          <w:iCs/>
        </w:rPr>
        <w:t>Fisher v. Dees</w:t>
      </w:r>
      <w:r w:rsidRPr="00842D3D">
        <w:rPr>
          <w:rFonts w:eastAsia="Calibri" w:cs="Times New Roman"/>
        </w:rPr>
        <w:t>, 794 F.2d 432, 437 (9th Cir. 1986) (stating that “courts may weigh ‘the propriety of the defendant’s conduct’ in the equitable balance of a fair use determination” (citation omitted)).</w:t>
      </w:r>
    </w:p>
    <w:p w14:paraId="5EEAAD2B" w14:textId="77777777" w:rsidR="00842D3D" w:rsidRPr="00842D3D" w:rsidRDefault="00842D3D" w:rsidP="00842D3D">
      <w:pPr>
        <w:rPr>
          <w:rFonts w:eastAsia="Calibri" w:cs="Times New Roman"/>
          <w:strike/>
        </w:rPr>
      </w:pPr>
    </w:p>
    <w:p w14:paraId="6C023EE8"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rPr>
        <w:t>Revised September 2025</w:t>
      </w:r>
    </w:p>
    <w:p w14:paraId="2D3446E3" w14:textId="77777777" w:rsidR="00842D3D" w:rsidRPr="00842D3D" w:rsidRDefault="00842D3D" w:rsidP="00842D3D">
      <w:pPr>
        <w:autoSpaceDE w:val="0"/>
        <w:autoSpaceDN w:val="0"/>
        <w:adjustRightInd w:val="0"/>
        <w:rPr>
          <w:rFonts w:eastAsia="Calibri" w:cs="Times New Roman"/>
          <w:szCs w:val="24"/>
        </w:rPr>
      </w:pPr>
    </w:p>
    <w:p w14:paraId="49904F00" w14:textId="1600A2E9" w:rsidR="00842D3D" w:rsidRPr="00842D3D" w:rsidRDefault="00842D3D" w:rsidP="00313A05">
      <w:pPr>
        <w:pStyle w:val="Heading2"/>
      </w:pPr>
      <w:r w:rsidRPr="00842D3D">
        <w:br w:type="page"/>
      </w:r>
      <w:bookmarkStart w:id="421" w:name="_Toc221525325"/>
      <w:r w:rsidRPr="00842D3D">
        <w:lastRenderedPageBreak/>
        <w:t>17.2</w:t>
      </w:r>
      <w:r w:rsidR="003B11C4">
        <w:t>4</w:t>
      </w:r>
      <w:r w:rsidRPr="00842D3D">
        <w:t xml:space="preserve"> Copyright—Affirmative Defense—Abandonment</w:t>
      </w:r>
      <w:bookmarkEnd w:id="421"/>
    </w:p>
    <w:p w14:paraId="4033995A" w14:textId="77777777" w:rsidR="00842D3D" w:rsidRPr="00842D3D" w:rsidRDefault="00842D3D" w:rsidP="00842D3D">
      <w:pPr>
        <w:autoSpaceDE w:val="0"/>
        <w:autoSpaceDN w:val="0"/>
        <w:adjustRightInd w:val="0"/>
        <w:rPr>
          <w:rFonts w:eastAsia="Calibri" w:cs="Times New Roman"/>
          <w:szCs w:val="24"/>
        </w:rPr>
      </w:pPr>
    </w:p>
    <w:p w14:paraId="168EF02F"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contends that a copyright does not exist in the plaintiff [</w:t>
      </w:r>
      <w:r w:rsidRPr="00842D3D">
        <w:rPr>
          <w:rFonts w:eastAsia="Calibri" w:cs="Times New Roman"/>
          <w:i/>
          <w:iCs/>
          <w:szCs w:val="24"/>
          <w:u w:val="single"/>
        </w:rPr>
        <w:t>name</w:t>
      </w:r>
      <w:r w:rsidRPr="00842D3D">
        <w:rPr>
          <w:rFonts w:eastAsia="Calibri" w:cs="Times New Roman"/>
          <w:szCs w:val="24"/>
        </w:rPr>
        <w:t>]’s work because the plaintiff [</w:t>
      </w:r>
      <w:r w:rsidRPr="00842D3D">
        <w:rPr>
          <w:rFonts w:eastAsia="Calibri" w:cs="Times New Roman"/>
          <w:i/>
          <w:iCs/>
          <w:szCs w:val="24"/>
          <w:u w:val="single"/>
        </w:rPr>
        <w:t>name</w:t>
      </w:r>
      <w:r w:rsidRPr="00842D3D">
        <w:rPr>
          <w:rFonts w:eastAsia="Calibri" w:cs="Times New Roman"/>
          <w:szCs w:val="24"/>
        </w:rPr>
        <w:t>] abandoned the copyright. The plaintiff [</w:t>
      </w:r>
      <w:r w:rsidRPr="00842D3D">
        <w:rPr>
          <w:rFonts w:eastAsia="Calibri" w:cs="Times New Roman"/>
          <w:i/>
          <w:iCs/>
          <w:szCs w:val="24"/>
          <w:u w:val="single"/>
        </w:rPr>
        <w:t>name</w:t>
      </w:r>
      <w:r w:rsidRPr="00842D3D">
        <w:rPr>
          <w:rFonts w:eastAsia="Calibri" w:cs="Times New Roman"/>
          <w:szCs w:val="24"/>
        </w:rPr>
        <w:t>] cannot claim ownership of the copyright if it was abandoned. To show abandonment, the defendant [</w:t>
      </w:r>
      <w:r w:rsidRPr="00842D3D">
        <w:rPr>
          <w:rFonts w:eastAsia="Calibri" w:cs="Times New Roman"/>
          <w:i/>
          <w:iCs/>
          <w:szCs w:val="24"/>
          <w:u w:val="single"/>
        </w:rPr>
        <w:t>name</w:t>
      </w:r>
      <w:r w:rsidRPr="00842D3D">
        <w:rPr>
          <w:rFonts w:eastAsia="Calibri" w:cs="Times New Roman"/>
          <w:szCs w:val="24"/>
        </w:rPr>
        <w:t>] has the burden of proving each of the following by a preponderance of the evidence:</w:t>
      </w:r>
    </w:p>
    <w:p w14:paraId="04A0F06D" w14:textId="77777777" w:rsidR="00842D3D" w:rsidRPr="00842D3D" w:rsidRDefault="00842D3D" w:rsidP="00842D3D">
      <w:pPr>
        <w:rPr>
          <w:rFonts w:eastAsia="Calibri" w:cs="Times New Roman"/>
          <w:szCs w:val="24"/>
        </w:rPr>
      </w:pPr>
    </w:p>
    <w:p w14:paraId="2D3445AA"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intended to surrender [ownership] rights in the work; and</w:t>
      </w:r>
    </w:p>
    <w:p w14:paraId="496149D9" w14:textId="77777777" w:rsidR="00842D3D" w:rsidRPr="00842D3D" w:rsidRDefault="00842D3D" w:rsidP="00842D3D">
      <w:pPr>
        <w:rPr>
          <w:rFonts w:eastAsia="Calibri" w:cs="Times New Roman"/>
          <w:szCs w:val="24"/>
        </w:rPr>
      </w:pPr>
    </w:p>
    <w:p w14:paraId="345AE16D" w14:textId="77777777" w:rsidR="00842D3D" w:rsidRPr="00842D3D" w:rsidRDefault="00842D3D" w:rsidP="00842D3D">
      <w:pPr>
        <w:rPr>
          <w:rFonts w:eastAsia="Calibri" w:cs="Times New Roman"/>
          <w:szCs w:val="24"/>
        </w:rPr>
      </w:pPr>
      <w:r w:rsidRPr="00842D3D">
        <w:rPr>
          <w:rFonts w:eastAsia="Calibri" w:cs="Times New Roman"/>
          <w:szCs w:val="24"/>
        </w:rPr>
        <w:tab/>
        <w:t>Second, an act by the plaintiff [</w:t>
      </w:r>
      <w:r w:rsidRPr="00842D3D">
        <w:rPr>
          <w:rFonts w:eastAsia="Calibri" w:cs="Times New Roman"/>
          <w:i/>
          <w:iCs/>
          <w:szCs w:val="24"/>
          <w:u w:val="single"/>
        </w:rPr>
        <w:t>name</w:t>
      </w:r>
      <w:r w:rsidRPr="00842D3D">
        <w:rPr>
          <w:rFonts w:eastAsia="Calibri" w:cs="Times New Roman"/>
          <w:szCs w:val="24"/>
        </w:rPr>
        <w:t>] evidencing that intent.</w:t>
      </w:r>
    </w:p>
    <w:p w14:paraId="1D86D30A" w14:textId="77777777" w:rsidR="00842D3D" w:rsidRPr="00842D3D" w:rsidRDefault="00842D3D" w:rsidP="00842D3D">
      <w:pPr>
        <w:rPr>
          <w:rFonts w:eastAsia="Calibri" w:cs="Times New Roman"/>
          <w:szCs w:val="24"/>
        </w:rPr>
      </w:pPr>
    </w:p>
    <w:p w14:paraId="585AE233" w14:textId="77777777" w:rsidR="00842D3D" w:rsidRPr="00842D3D" w:rsidRDefault="00842D3D" w:rsidP="00842D3D">
      <w:pPr>
        <w:rPr>
          <w:rFonts w:eastAsia="Calibri" w:cs="Times New Roman"/>
          <w:szCs w:val="24"/>
        </w:rPr>
      </w:pPr>
      <w:r w:rsidRPr="00842D3D">
        <w:rPr>
          <w:rFonts w:eastAsia="Calibri" w:cs="Times New Roman"/>
          <w:szCs w:val="24"/>
        </w:rPr>
        <w:tab/>
        <w:t>Mere inaction [or publication without a copyright notice] does not constitute abandonment of the copyright; however, [this may be a factor] [these may be factors] for you to consider in determining whether the plaintiff [</w:t>
      </w:r>
      <w:r w:rsidRPr="00842D3D">
        <w:rPr>
          <w:rFonts w:eastAsia="Calibri" w:cs="Times New Roman"/>
          <w:i/>
          <w:iCs/>
          <w:szCs w:val="24"/>
          <w:u w:val="single"/>
        </w:rPr>
        <w:t>name</w:t>
      </w:r>
      <w:r w:rsidRPr="00842D3D">
        <w:rPr>
          <w:rFonts w:eastAsia="Calibri" w:cs="Times New Roman"/>
          <w:szCs w:val="24"/>
        </w:rPr>
        <w:t>] has abandoned the copyright.</w:t>
      </w:r>
    </w:p>
    <w:p w14:paraId="31A4A7E1" w14:textId="77777777" w:rsidR="00842D3D" w:rsidRPr="00842D3D" w:rsidRDefault="00842D3D" w:rsidP="00842D3D">
      <w:pPr>
        <w:rPr>
          <w:rFonts w:eastAsia="Calibri" w:cs="Times New Roman"/>
          <w:szCs w:val="24"/>
        </w:rPr>
      </w:pPr>
    </w:p>
    <w:p w14:paraId="14C9250E" w14:textId="77777777" w:rsidR="00842D3D" w:rsidRPr="00842D3D" w:rsidRDefault="00842D3D" w:rsidP="00842D3D">
      <w:pPr>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[his] [her] [</w:t>
      </w:r>
      <w:r w:rsidRPr="00842D3D">
        <w:rPr>
          <w:rFonts w:eastAsia="Calibri" w:cs="Times New Roman"/>
          <w:i/>
          <w:iCs/>
          <w:szCs w:val="24"/>
          <w:u w:val="single"/>
        </w:rPr>
        <w:t>other pronoun</w:t>
      </w:r>
      <w:r w:rsidRPr="00842D3D">
        <w:rPr>
          <w:rFonts w:eastAsia="Calibri" w:cs="Times New Roman"/>
          <w:szCs w:val="24"/>
        </w:rPr>
        <w:t>] claim[s] in accordance with Instruction[s] [</w:t>
      </w:r>
      <w:r w:rsidRPr="00842D3D">
        <w:rPr>
          <w:rFonts w:eastAsia="Calibri" w:cs="Times New Roman"/>
          <w:i/>
          <w:iCs/>
          <w:szCs w:val="24"/>
          <w:u w:val="single"/>
        </w:rPr>
        <w:t>insert cross reference to the pertinent instructions on the plaintiff’s theory of infringement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unless you find that the defendant [</w:t>
      </w:r>
      <w:r w:rsidRPr="00842D3D">
        <w:rPr>
          <w:rFonts w:eastAsia="Calibri" w:cs="Times New Roman"/>
          <w:i/>
          <w:iCs/>
          <w:szCs w:val="24"/>
          <w:u w:val="single"/>
        </w:rPr>
        <w:t>name</w:t>
      </w:r>
      <w:r w:rsidRPr="00842D3D">
        <w:rPr>
          <w:rFonts w:eastAsia="Calibri" w:cs="Times New Roman"/>
          <w:szCs w:val="24"/>
        </w:rPr>
        <w:t>] has proved each of the elements of this affirmative defense, in which case your verdict should be for the defendant [</w:t>
      </w:r>
      <w:r w:rsidRPr="00842D3D">
        <w:rPr>
          <w:rFonts w:eastAsia="Calibri" w:cs="Times New Roman"/>
          <w:i/>
          <w:iCs/>
          <w:szCs w:val="24"/>
          <w:u w:val="single"/>
        </w:rPr>
        <w:t>name</w:t>
      </w:r>
      <w:r w:rsidRPr="00842D3D">
        <w:rPr>
          <w:rFonts w:eastAsia="Calibri" w:cs="Times New Roman"/>
          <w:szCs w:val="24"/>
        </w:rPr>
        <w:t>].</w:t>
      </w:r>
    </w:p>
    <w:p w14:paraId="039F340D" w14:textId="77777777" w:rsidR="00842D3D" w:rsidRPr="00842D3D" w:rsidRDefault="00842D3D" w:rsidP="00842D3D">
      <w:pPr>
        <w:rPr>
          <w:rFonts w:eastAsia="Calibri" w:cs="Times New Roman"/>
          <w:szCs w:val="24"/>
        </w:rPr>
      </w:pPr>
    </w:p>
    <w:p w14:paraId="0D9C7F6A"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47D0AAD2" w14:textId="77777777" w:rsidR="00842D3D" w:rsidRPr="00842D3D" w:rsidRDefault="00842D3D" w:rsidP="00842D3D">
      <w:pPr>
        <w:rPr>
          <w:rFonts w:eastAsia="Calibri" w:cs="Times New Roman"/>
          <w:szCs w:val="24"/>
        </w:rPr>
      </w:pPr>
    </w:p>
    <w:p w14:paraId="2B3625AA" w14:textId="77777777" w:rsidR="00842D3D" w:rsidRPr="00842D3D" w:rsidRDefault="00842D3D" w:rsidP="00842D3D">
      <w:pPr>
        <w:rPr>
          <w:rFonts w:eastAsia="Calibri" w:cs="Times New Roman"/>
          <w:szCs w:val="24"/>
        </w:rPr>
      </w:pPr>
      <w:r w:rsidRPr="00842D3D">
        <w:rPr>
          <w:rFonts w:eastAsia="Calibri" w:cs="Times New Roman"/>
          <w:szCs w:val="24"/>
        </w:rPr>
        <w:tab/>
        <w:t xml:space="preserve">Abandonment is an affirmative defense.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A&amp;M Records, Inc. v. Napster, Inc.</w:t>
      </w:r>
      <w:r w:rsidRPr="00842D3D">
        <w:rPr>
          <w:rFonts w:eastAsia="Calibri" w:cs="Times New Roman"/>
          <w:szCs w:val="24"/>
        </w:rPr>
        <w:t xml:space="preserve">, 239 F.3d 1004, 1026 (9th Cir. 2001); </w:t>
      </w:r>
      <w:r w:rsidRPr="00842D3D">
        <w:rPr>
          <w:rFonts w:eastAsia="Calibri" w:cs="Times New Roman"/>
          <w:i/>
          <w:iCs/>
          <w:szCs w:val="24"/>
        </w:rPr>
        <w:t>Abend v. MCA, Inc</w:t>
      </w:r>
      <w:r w:rsidRPr="00842D3D">
        <w:rPr>
          <w:rFonts w:eastAsia="Calibri" w:cs="Times New Roman"/>
          <w:szCs w:val="24"/>
        </w:rPr>
        <w:t xml:space="preserve">., 863 F.2d 1465, 1482 n.21 (9th Cir. 1988). The Ninth Circuit adopted the doctrine of copyright abandonment in </w:t>
      </w:r>
      <w:r w:rsidRPr="00842D3D">
        <w:rPr>
          <w:rFonts w:eastAsia="Calibri" w:cs="Times New Roman"/>
          <w:i/>
          <w:iCs/>
          <w:szCs w:val="24"/>
        </w:rPr>
        <w:t>Hampton v. Paramount Pictures Corp.</w:t>
      </w:r>
      <w:r w:rsidRPr="00842D3D">
        <w:rPr>
          <w:rFonts w:eastAsia="Calibri" w:cs="Times New Roman"/>
          <w:szCs w:val="24"/>
        </w:rPr>
        <w:t xml:space="preserve">, 279 F.2d 100, 104 (9th Cir. 1960). </w:t>
      </w:r>
      <w:r w:rsidRPr="00842D3D">
        <w:rPr>
          <w:rFonts w:eastAsia="Calibri" w:cs="Times New Roman"/>
          <w:i/>
          <w:iCs/>
          <w:szCs w:val="24"/>
        </w:rPr>
        <w:t>See Doc’s Dream, LLC v. Dolores Press, Inc.</w:t>
      </w:r>
      <w:r w:rsidRPr="00842D3D">
        <w:rPr>
          <w:rFonts w:eastAsia="Calibri" w:cs="Times New Roman"/>
          <w:szCs w:val="24"/>
        </w:rPr>
        <w:t>, 959 F.3d 357, 362 (9th Cir. 2020).</w:t>
      </w:r>
    </w:p>
    <w:p w14:paraId="574FA966" w14:textId="77777777" w:rsidR="00842D3D" w:rsidRPr="00842D3D" w:rsidRDefault="00842D3D" w:rsidP="00842D3D">
      <w:pPr>
        <w:rPr>
          <w:rFonts w:eastAsia="Calibri" w:cs="Times New Roman"/>
          <w:szCs w:val="24"/>
        </w:rPr>
      </w:pPr>
      <w:r w:rsidRPr="00842D3D">
        <w:rPr>
          <w:rFonts w:eastAsia="Calibri" w:cs="Times New Roman"/>
          <w:szCs w:val="24"/>
        </w:rPr>
        <w:tab/>
      </w:r>
    </w:p>
    <w:p w14:paraId="2622823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Abandonment of a right secured by the Copyright Act must be manifested by an overt act indicating an intention to abandon that right. </w:t>
      </w:r>
      <w:r w:rsidRPr="00842D3D">
        <w:rPr>
          <w:rFonts w:eastAsia="Calibri" w:cs="Times New Roman"/>
          <w:i/>
          <w:iCs/>
          <w:szCs w:val="24"/>
        </w:rPr>
        <w:t>Micro Star v. Formgen, Inc.</w:t>
      </w:r>
      <w:r w:rsidRPr="00842D3D">
        <w:rPr>
          <w:rFonts w:eastAsia="Calibri" w:cs="Times New Roman"/>
          <w:szCs w:val="24"/>
        </w:rPr>
        <w:t xml:space="preserve">, 154 F.3d 1107, 1114 (9th Cir. 1998). A copyright owner may abandon some rights and retain others. </w:t>
      </w:r>
      <w:r w:rsidRPr="00842D3D">
        <w:rPr>
          <w:rFonts w:eastAsia="Calibri" w:cs="Times New Roman"/>
          <w:i/>
          <w:iCs/>
          <w:szCs w:val="24"/>
        </w:rPr>
        <w:t>Id.</w:t>
      </w:r>
      <w:r w:rsidRPr="00842D3D">
        <w:rPr>
          <w:rFonts w:eastAsia="Calibri" w:cs="Times New Roman"/>
          <w:szCs w:val="24"/>
        </w:rPr>
        <w:t xml:space="preserve"> at 1114 (holding that a license permitting creation of derivative works from software, but also prohibiting the licensees from distributing derivative works commercially, did not abandon the copyright holder’s rights to profit commercially from derivative works).</w:t>
      </w:r>
    </w:p>
    <w:p w14:paraId="14E9B7B2" w14:textId="77777777" w:rsidR="00842D3D" w:rsidRPr="00842D3D" w:rsidRDefault="00842D3D" w:rsidP="00842D3D">
      <w:pPr>
        <w:rPr>
          <w:rFonts w:eastAsia="Calibri" w:cs="Times New Roman"/>
          <w:szCs w:val="24"/>
        </w:rPr>
      </w:pPr>
      <w:r w:rsidRPr="00842D3D">
        <w:rPr>
          <w:rFonts w:eastAsia="Calibri" w:cs="Times New Roman"/>
          <w:szCs w:val="24"/>
        </w:rPr>
        <w:tab/>
      </w:r>
    </w:p>
    <w:p w14:paraId="6538E0F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portion of the second paragraph pertaining to publication without copyright notice should be used if the copyright infringement action is brought under the 1909 Copyright Act. Under the Copyright Act of 1909, a federal copyright was secured by publishing a work with the proper notice. </w:t>
      </w:r>
      <w:r w:rsidRPr="00842D3D">
        <w:rPr>
          <w:rFonts w:eastAsia="Calibri" w:cs="Times New Roman"/>
          <w:i/>
          <w:iCs/>
          <w:szCs w:val="24"/>
        </w:rPr>
        <w:t>La Cienega Music Co. v. ZZ Top</w:t>
      </w:r>
      <w:r w:rsidRPr="00842D3D">
        <w:rPr>
          <w:rFonts w:eastAsia="Calibri" w:cs="Times New Roman"/>
          <w:szCs w:val="24"/>
        </w:rPr>
        <w:t xml:space="preserve">, 53 F.3d 950, 953 (9th Cir. 1995). Before publication, common law copyright protected a work from the time of its creation. </w:t>
      </w:r>
      <w:r w:rsidRPr="00842D3D">
        <w:rPr>
          <w:rFonts w:eastAsia="Calibri" w:cs="Times New Roman"/>
          <w:i/>
          <w:iCs/>
          <w:szCs w:val="24"/>
        </w:rPr>
        <w:t>Id.</w:t>
      </w:r>
    </w:p>
    <w:p w14:paraId="521BFBA9" w14:textId="77777777" w:rsidR="00842D3D" w:rsidRPr="00842D3D" w:rsidRDefault="00842D3D" w:rsidP="00842D3D">
      <w:pPr>
        <w:rPr>
          <w:rFonts w:eastAsia="Calibri" w:cs="Times New Roman"/>
          <w:szCs w:val="24"/>
          <w:u w:val="single"/>
        </w:rPr>
      </w:pPr>
    </w:p>
    <w:p w14:paraId="1692739D" w14:textId="77777777" w:rsidR="00842D3D" w:rsidRPr="00842D3D" w:rsidRDefault="00842D3D" w:rsidP="00842D3D">
      <w:pPr>
        <w:ind w:firstLine="720"/>
        <w:rPr>
          <w:rFonts w:eastAsia="Calibri" w:cs="Times New Roman"/>
          <w:szCs w:val="24"/>
          <w:u w:val="single"/>
        </w:rPr>
      </w:pPr>
      <w:r w:rsidRPr="00842D3D">
        <w:rPr>
          <w:rFonts w:eastAsia="Calibri" w:cs="Times New Roman"/>
          <w:szCs w:val="24"/>
        </w:rPr>
        <w:t xml:space="preserve">Under the 1909 Copyright Act, if a work was published without notice, the author (1) failed to obtain a federal copyright, and (2) lost the common law copyright. </w:t>
      </w:r>
      <w:r w:rsidRPr="00842D3D">
        <w:rPr>
          <w:rFonts w:eastAsia="Calibri" w:cs="Times New Roman"/>
          <w:i/>
          <w:iCs/>
          <w:szCs w:val="24"/>
        </w:rPr>
        <w:t>See Twin Books Corp. v. Walt Disney Co.</w:t>
      </w:r>
      <w:r w:rsidRPr="00842D3D">
        <w:rPr>
          <w:rFonts w:eastAsia="Calibri" w:cs="Times New Roman"/>
          <w:szCs w:val="24"/>
        </w:rPr>
        <w:t xml:space="preserve">, 83 F.3d 1162, 1165 (9th Cir. 1996). When a copyright owner loses its </w:t>
      </w:r>
      <w:r w:rsidRPr="00842D3D">
        <w:rPr>
          <w:rFonts w:eastAsia="Calibri" w:cs="Times New Roman"/>
          <w:szCs w:val="24"/>
        </w:rPr>
        <w:lastRenderedPageBreak/>
        <w:t xml:space="preserve">rights in its work by publication without proper notice, the resulting loss is an involuntary forfeiture as opposed to abandonment. </w:t>
      </w:r>
      <w:r w:rsidRPr="00842D3D">
        <w:rPr>
          <w:rFonts w:eastAsia="Calibri" w:cs="Times New Roman"/>
          <w:i/>
          <w:iCs/>
          <w:szCs w:val="24"/>
        </w:rPr>
        <w:t xml:space="preserve">See </w:t>
      </w:r>
      <w:r w:rsidRPr="00842D3D">
        <w:rPr>
          <w:rFonts w:eastAsia="Calibri" w:cs="Times New Roman"/>
          <w:szCs w:val="24"/>
        </w:rPr>
        <w:t xml:space="preserve">William F. Patry, 2 </w:t>
      </w:r>
      <w:r w:rsidRPr="00842D3D">
        <w:rPr>
          <w:rFonts w:eastAsia="Calibri" w:cs="Times New Roman"/>
          <w:i/>
          <w:iCs/>
          <w:szCs w:val="24"/>
        </w:rPr>
        <w:t>Patry on Copyright,</w:t>
      </w:r>
      <w:r w:rsidRPr="00842D3D">
        <w:rPr>
          <w:rFonts w:eastAsia="Calibri" w:cs="Times New Roman"/>
          <w:szCs w:val="24"/>
        </w:rPr>
        <w:t xml:space="preserve"> § 5:155 (2023) (“Abandonment refers to deliberate acts taken by the copyright owner to disclaim its interest in a protected work. . . . Forfeiture occurs by operation of law, without regard to the copyright owner’s intent.”); </w:t>
      </w:r>
      <w:r w:rsidRPr="00842D3D">
        <w:rPr>
          <w:rFonts w:eastAsia="Calibri" w:cs="Times New Roman"/>
          <w:i/>
          <w:iCs/>
          <w:szCs w:val="24"/>
        </w:rPr>
        <w:t>Am. Vitagraph, Inc. v. Levy</w:t>
      </w:r>
      <w:r w:rsidRPr="00842D3D">
        <w:rPr>
          <w:rFonts w:eastAsia="Calibri" w:cs="Times New Roman"/>
          <w:szCs w:val="24"/>
        </w:rPr>
        <w:t xml:space="preserve">, 659 F.2d 1023, 1026-27 (9th Cir. 1981) (citing </w:t>
      </w:r>
      <w:r w:rsidRPr="00842D3D">
        <w:rPr>
          <w:rFonts w:eastAsia="Calibri" w:cs="Times New Roman"/>
          <w:i/>
          <w:iCs/>
          <w:szCs w:val="24"/>
        </w:rPr>
        <w:t>Nat’l Comics Publ’ns, Inc. v. Fawcett Publ’ns</w:t>
      </w:r>
      <w:r w:rsidRPr="00842D3D">
        <w:rPr>
          <w:rFonts w:eastAsia="Calibri" w:cs="Times New Roman"/>
          <w:szCs w:val="24"/>
        </w:rPr>
        <w:t>, 191 F.2d 594, 599 (2d Cir. 1951),</w:t>
      </w:r>
      <w:r w:rsidRPr="00842D3D">
        <w:rPr>
          <w:rFonts w:eastAsia="Calibri" w:cs="Times New Roman"/>
          <w:i/>
          <w:iCs/>
          <w:szCs w:val="24"/>
        </w:rPr>
        <w:t xml:space="preserve"> supplemented sub nom. Nat’l Comics Publ’ns v. Fawcett Publ’ns</w:t>
      </w:r>
      <w:r w:rsidRPr="00842D3D">
        <w:rPr>
          <w:rFonts w:eastAsia="Calibri" w:cs="Times New Roman"/>
          <w:szCs w:val="24"/>
        </w:rPr>
        <w:t>, 198 F.2d 927 (2d Cir. 1952)).</w:t>
      </w:r>
    </w:p>
    <w:p w14:paraId="0B6A131F" w14:textId="77777777" w:rsidR="00842D3D" w:rsidRPr="00842D3D" w:rsidRDefault="00842D3D" w:rsidP="00842D3D">
      <w:pPr>
        <w:rPr>
          <w:rFonts w:eastAsia="Calibri" w:cs="Times New Roman"/>
          <w:szCs w:val="24"/>
        </w:rPr>
      </w:pPr>
    </w:p>
    <w:p w14:paraId="7F6C51D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98DA808" w14:textId="77777777" w:rsidR="00842D3D" w:rsidRPr="00842D3D" w:rsidRDefault="00842D3D" w:rsidP="00842D3D">
      <w:pPr>
        <w:autoSpaceDE w:val="0"/>
        <w:autoSpaceDN w:val="0"/>
        <w:adjustRightInd w:val="0"/>
        <w:rPr>
          <w:rFonts w:eastAsia="Calibri" w:cs="Times New Roman"/>
          <w:szCs w:val="24"/>
        </w:rPr>
      </w:pPr>
    </w:p>
    <w:p w14:paraId="4A743ACF" w14:textId="77777777" w:rsidR="00842D3D" w:rsidRPr="00842D3D" w:rsidRDefault="00842D3D" w:rsidP="00842D3D">
      <w:pPr>
        <w:autoSpaceDE w:val="0"/>
        <w:autoSpaceDN w:val="0"/>
        <w:adjustRightInd w:val="0"/>
        <w:rPr>
          <w:rFonts w:eastAsia="Calibri" w:cs="Times New Roman"/>
          <w:szCs w:val="24"/>
        </w:rPr>
      </w:pPr>
    </w:p>
    <w:p w14:paraId="6800F36F" w14:textId="2ACDF935" w:rsidR="00842D3D" w:rsidRPr="00842D3D" w:rsidRDefault="00842D3D" w:rsidP="00313A05">
      <w:pPr>
        <w:pStyle w:val="Heading2"/>
      </w:pPr>
      <w:r w:rsidRPr="00842D3D">
        <w:br w:type="page"/>
      </w:r>
      <w:bookmarkStart w:id="422" w:name="_Toc221525326"/>
      <w:r w:rsidRPr="00842D3D">
        <w:lastRenderedPageBreak/>
        <w:t>17.2</w:t>
      </w:r>
      <w:r w:rsidR="003B11C4">
        <w:t>5</w:t>
      </w:r>
      <w:r w:rsidRPr="00842D3D">
        <w:t xml:space="preserve"> Copyright—Affirmative Defense—Copyright Misuse</w:t>
      </w:r>
      <w:bookmarkEnd w:id="422"/>
    </w:p>
    <w:p w14:paraId="0787DA2C" w14:textId="77777777" w:rsidR="00842D3D" w:rsidRPr="00842D3D" w:rsidRDefault="00842D3D" w:rsidP="00842D3D">
      <w:pPr>
        <w:autoSpaceDE w:val="0"/>
        <w:autoSpaceDN w:val="0"/>
        <w:adjustRightInd w:val="0"/>
        <w:rPr>
          <w:rFonts w:eastAsia="Calibri" w:cs="Times New Roman"/>
          <w:szCs w:val="24"/>
        </w:rPr>
      </w:pPr>
    </w:p>
    <w:p w14:paraId="01C96C3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749C749" w14:textId="77777777" w:rsidR="00842D3D" w:rsidRPr="00842D3D" w:rsidRDefault="00842D3D" w:rsidP="00842D3D">
      <w:pPr>
        <w:autoSpaceDE w:val="0"/>
        <w:autoSpaceDN w:val="0"/>
        <w:adjustRightInd w:val="0"/>
        <w:rPr>
          <w:rFonts w:eastAsia="Calibri" w:cs="Times New Roman"/>
          <w:szCs w:val="24"/>
        </w:rPr>
      </w:pPr>
    </w:p>
    <w:p w14:paraId="546F09AC"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 xml:space="preserve">The Ninth Circuit explicitly adopted copyright misuse as a defense to copyright infringement in </w:t>
      </w:r>
      <w:r w:rsidRPr="00842D3D">
        <w:rPr>
          <w:rFonts w:eastAsia="Calibri" w:cs="Times New Roman"/>
          <w:i/>
          <w:iCs/>
          <w:szCs w:val="24"/>
        </w:rPr>
        <w:t>Practice Management Information Corp. v. American Medical Association</w:t>
      </w:r>
      <w:r w:rsidRPr="00842D3D">
        <w:rPr>
          <w:rFonts w:eastAsia="Calibri" w:cs="Times New Roman"/>
          <w:szCs w:val="24"/>
        </w:rPr>
        <w:t xml:space="preserve">, 121 F.3d 516, 520 (9th Cir. 1997), </w:t>
      </w:r>
      <w:r w:rsidRPr="00842D3D">
        <w:rPr>
          <w:rFonts w:eastAsia="Calibri" w:cs="Times New Roman"/>
          <w:i/>
          <w:iCs/>
          <w:szCs w:val="24"/>
        </w:rPr>
        <w:t xml:space="preserve">amended by </w:t>
      </w:r>
      <w:r w:rsidRPr="00842D3D">
        <w:rPr>
          <w:rFonts w:eastAsia="Calibri" w:cs="Times New Roman"/>
          <w:szCs w:val="24"/>
        </w:rPr>
        <w:t xml:space="preserve">133 F.3d 1140 (9th Cir. 1998). “Copyright misuse is an equitable defense to copyright infringement which precludes the copyright holder’s enforcement of its copyright during the misuse period.” </w:t>
      </w:r>
      <w:r w:rsidRPr="00842D3D">
        <w:rPr>
          <w:rFonts w:eastAsia="Calibri" w:cs="Times New Roman"/>
          <w:i/>
          <w:iCs/>
          <w:szCs w:val="24"/>
        </w:rPr>
        <w:t>Vernor v. Autodesk, Inc</w:t>
      </w:r>
      <w:r w:rsidRPr="00842D3D">
        <w:rPr>
          <w:rFonts w:eastAsia="Calibri" w:cs="Times New Roman"/>
          <w:i/>
          <w:szCs w:val="24"/>
        </w:rPr>
        <w:t>.</w:t>
      </w:r>
      <w:r w:rsidRPr="00842D3D">
        <w:rPr>
          <w:rFonts w:eastAsia="Calibri" w:cs="Times New Roman"/>
          <w:szCs w:val="24"/>
        </w:rPr>
        <w:t xml:space="preserve">, 621 F.3d 1102, 1115 (9th Cir. 2010). The defense applies only when there is an allegation of copyright infringement. </w:t>
      </w:r>
      <w:r w:rsidRPr="00842D3D">
        <w:rPr>
          <w:rFonts w:eastAsia="Calibri" w:cs="Times New Roman"/>
          <w:i/>
          <w:iCs/>
          <w:szCs w:val="24"/>
        </w:rPr>
        <w:t>Altera Corp. v. Clear Logic, Inc</w:t>
      </w:r>
      <w:r w:rsidRPr="00842D3D">
        <w:rPr>
          <w:rFonts w:eastAsia="Calibri" w:cs="Times New Roman"/>
          <w:szCs w:val="24"/>
        </w:rPr>
        <w:t xml:space="preserve">., 424 F.3d 1079, 1090 (9th Cir. 2005). Although copyright misuse precludes enforcement of a copyright during the period of misuse, it does not invalidate the copyright. </w:t>
      </w:r>
      <w:r w:rsidRPr="00842D3D">
        <w:rPr>
          <w:rFonts w:eastAsia="Calibri" w:cs="Times New Roman"/>
          <w:i/>
          <w:iCs/>
          <w:szCs w:val="24"/>
        </w:rPr>
        <w:t>Prac. Mgmt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121 F.3d at 520 n.9.</w:t>
      </w:r>
    </w:p>
    <w:p w14:paraId="42D2E746" w14:textId="77777777" w:rsidR="00842D3D" w:rsidRPr="00842D3D" w:rsidRDefault="00842D3D" w:rsidP="00842D3D">
      <w:pPr>
        <w:autoSpaceDE w:val="0"/>
        <w:autoSpaceDN w:val="0"/>
        <w:adjustRightInd w:val="0"/>
        <w:ind w:firstLine="720"/>
        <w:rPr>
          <w:rFonts w:eastAsia="Calibri" w:cs="Times New Roman"/>
          <w:szCs w:val="24"/>
        </w:rPr>
      </w:pPr>
    </w:p>
    <w:p w14:paraId="2FFF2F7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misuse doctrine “forbids the use of the copyright to secure an exclusive right or limited monopoly not granted by the Copyright Office.” </w:t>
      </w:r>
      <w:r w:rsidRPr="00842D3D">
        <w:rPr>
          <w:rFonts w:eastAsia="Calibri" w:cs="Times New Roman"/>
          <w:i/>
          <w:iCs/>
          <w:szCs w:val="24"/>
        </w:rPr>
        <w:t>Id</w:t>
      </w:r>
      <w:r w:rsidRPr="00842D3D">
        <w:rPr>
          <w:rFonts w:eastAsia="Calibri" w:cs="Times New Roman"/>
          <w:szCs w:val="24"/>
        </w:rPr>
        <w:t xml:space="preserve">. at 520 (quoting </w:t>
      </w:r>
      <w:r w:rsidRPr="00842D3D">
        <w:rPr>
          <w:rFonts w:eastAsia="Calibri" w:cs="Times New Roman"/>
          <w:i/>
          <w:iCs/>
          <w:szCs w:val="24"/>
        </w:rPr>
        <w:t>Lasercomb Am., Inc. v.</w:t>
      </w:r>
      <w:r w:rsidRPr="00842D3D">
        <w:rPr>
          <w:rFonts w:eastAsia="Calibri" w:cs="Times New Roman"/>
          <w:szCs w:val="24"/>
        </w:rPr>
        <w:t xml:space="preserve"> </w:t>
      </w:r>
      <w:r w:rsidRPr="00842D3D">
        <w:rPr>
          <w:rFonts w:eastAsia="Calibri" w:cs="Times New Roman"/>
          <w:i/>
          <w:iCs/>
          <w:szCs w:val="24"/>
        </w:rPr>
        <w:t>Reynolds</w:t>
      </w:r>
      <w:r w:rsidRPr="00842D3D">
        <w:rPr>
          <w:rFonts w:eastAsia="Calibri" w:cs="Times New Roman"/>
          <w:szCs w:val="24"/>
        </w:rPr>
        <w:t xml:space="preserve">, 911 F.2d 970, 977 (4th Cir. 1990)). The purpose of the defense is to prevent copyright holders “from leveraging their limited monopoly to allow them control of areas outside the monopoly.” </w:t>
      </w:r>
      <w:r w:rsidRPr="00842D3D">
        <w:rPr>
          <w:rFonts w:eastAsia="Calibri" w:cs="Times New Roman"/>
          <w:i/>
          <w:iCs/>
          <w:szCs w:val="24"/>
        </w:rPr>
        <w:t>Apple Inc. v. Psystar Corp</w:t>
      </w:r>
      <w:r w:rsidRPr="00842D3D">
        <w:rPr>
          <w:rFonts w:eastAsia="Calibri" w:cs="Times New Roman"/>
          <w:szCs w:val="24"/>
        </w:rPr>
        <w:t xml:space="preserve">., 658 F.3d 1150, 1157 (9th Cir. 2011) (quoting </w:t>
      </w:r>
      <w:r w:rsidRPr="00842D3D">
        <w:rPr>
          <w:rFonts w:eastAsia="Calibri" w:cs="Times New Roman"/>
          <w:i/>
          <w:iCs/>
          <w:szCs w:val="24"/>
        </w:rPr>
        <w:t>A&amp;M</w:t>
      </w:r>
      <w:r w:rsidRPr="00842D3D">
        <w:rPr>
          <w:rFonts w:eastAsia="Calibri" w:cs="Times New Roman"/>
          <w:szCs w:val="24"/>
        </w:rPr>
        <w:t xml:space="preserve"> </w:t>
      </w:r>
      <w:r w:rsidRPr="00842D3D">
        <w:rPr>
          <w:rFonts w:eastAsia="Calibri" w:cs="Times New Roman"/>
          <w:i/>
          <w:iCs/>
          <w:szCs w:val="24"/>
        </w:rPr>
        <w:t>Recs., Inc. v. Napster, Inc</w:t>
      </w:r>
      <w:r w:rsidRPr="00842D3D">
        <w:rPr>
          <w:rFonts w:eastAsia="Calibri" w:cs="Times New Roman"/>
          <w:szCs w:val="24"/>
        </w:rPr>
        <w:t xml:space="preserve">., 239 F.3d 1004, 1026 (9th Cir. 2001)); </w:t>
      </w:r>
      <w:r w:rsidRPr="00842D3D">
        <w:rPr>
          <w:rFonts w:eastAsia="Calibri" w:cs="Times New Roman"/>
          <w:i/>
          <w:iCs/>
          <w:szCs w:val="24"/>
        </w:rPr>
        <w:t>see also Prac. Mgmt</w:t>
      </w:r>
      <w:r w:rsidRPr="00842D3D">
        <w:rPr>
          <w:rFonts w:eastAsia="Calibri" w:cs="Times New Roman"/>
          <w:szCs w:val="24"/>
        </w:rPr>
        <w:t>., 121 F.3d at 520-21 (holding that a copyright holder misused its copyright when it required a licensee to exclusively use the copyright holder’s copyrighted coding system, because that gave the copyright holder a “substantial and unfair advantage over its competitors”).</w:t>
      </w:r>
    </w:p>
    <w:p w14:paraId="6BCCA332" w14:textId="77777777" w:rsidR="00842D3D" w:rsidRPr="00842D3D" w:rsidRDefault="00842D3D" w:rsidP="00842D3D">
      <w:pPr>
        <w:autoSpaceDE w:val="0"/>
        <w:autoSpaceDN w:val="0"/>
        <w:adjustRightInd w:val="0"/>
        <w:ind w:firstLine="720"/>
        <w:rPr>
          <w:rFonts w:eastAsia="Calibri" w:cs="Times New Roman"/>
          <w:szCs w:val="24"/>
        </w:rPr>
      </w:pPr>
    </w:p>
    <w:p w14:paraId="249DB37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contours of the copyright misuse defense are still being defined because courts often do not address the issue when the underlying copyright infringement claim is unsuccessful.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MDY Indus., LLC</w:t>
      </w:r>
      <w:r w:rsidRPr="00842D3D">
        <w:rPr>
          <w:rFonts w:eastAsia="Calibri" w:cs="Times New Roman"/>
          <w:szCs w:val="24"/>
        </w:rPr>
        <w:t xml:space="preserve"> </w:t>
      </w:r>
      <w:r w:rsidRPr="00842D3D">
        <w:rPr>
          <w:rFonts w:eastAsia="Calibri" w:cs="Times New Roman"/>
          <w:i/>
          <w:iCs/>
          <w:szCs w:val="24"/>
        </w:rPr>
        <w:t>v. Blizzard Ent., Inc</w:t>
      </w:r>
      <w:r w:rsidRPr="00842D3D">
        <w:rPr>
          <w:rFonts w:eastAsia="Calibri" w:cs="Times New Roman"/>
          <w:szCs w:val="24"/>
        </w:rPr>
        <w:t xml:space="preserve">., 629 F.3d 928, 941 (9th Cir. 2010) (declining to address copyright misuse issue because there was no infringement); </w:t>
      </w:r>
      <w:r w:rsidRPr="00842D3D">
        <w:rPr>
          <w:rFonts w:eastAsia="Calibri" w:cs="Times New Roman"/>
          <w:i/>
          <w:iCs/>
          <w:szCs w:val="24"/>
        </w:rPr>
        <w:t>Vernor</w:t>
      </w:r>
      <w:r w:rsidRPr="00842D3D">
        <w:rPr>
          <w:rFonts w:eastAsia="Calibri" w:cs="Times New Roman"/>
          <w:szCs w:val="24"/>
        </w:rPr>
        <w:t xml:space="preserve">, 621 F.3d at 1115 (noting that the district court did not decide copyright misuse because it found no infringement); </w:t>
      </w:r>
      <w:r w:rsidRPr="00842D3D">
        <w:rPr>
          <w:rFonts w:eastAsia="Calibri" w:cs="Times New Roman"/>
          <w:i/>
          <w:iCs/>
          <w:szCs w:val="24"/>
        </w:rPr>
        <w:t>Sony Comput. Ent., Inc. v.</w:t>
      </w:r>
      <w:r w:rsidRPr="00842D3D">
        <w:rPr>
          <w:rFonts w:eastAsia="Calibri" w:cs="Times New Roman"/>
          <w:szCs w:val="24"/>
        </w:rPr>
        <w:t xml:space="preserve"> </w:t>
      </w:r>
      <w:r w:rsidRPr="00842D3D">
        <w:rPr>
          <w:rFonts w:eastAsia="Calibri" w:cs="Times New Roman"/>
          <w:i/>
          <w:iCs/>
          <w:szCs w:val="24"/>
        </w:rPr>
        <w:t>Connectix Corp</w:t>
      </w:r>
      <w:r w:rsidRPr="00842D3D">
        <w:rPr>
          <w:rFonts w:eastAsia="Calibri" w:cs="Times New Roman"/>
          <w:szCs w:val="24"/>
        </w:rPr>
        <w:t xml:space="preserve">., 203 F.3d 596, 608 (9th Cir. 2000) (declining to consider copyright misuse defense when the plaintiff failed to show a likelihood of success on the merits of its copyright infringement claim). There is a useful discussion of this affirmative defense in the concurring opinion in </w:t>
      </w:r>
      <w:r w:rsidRPr="00842D3D">
        <w:rPr>
          <w:rFonts w:eastAsia="Calibri" w:cs="Times New Roman"/>
          <w:i/>
          <w:iCs/>
          <w:szCs w:val="24"/>
        </w:rPr>
        <w:t>Omega</w:t>
      </w:r>
      <w:r w:rsidRPr="00842D3D">
        <w:rPr>
          <w:rFonts w:eastAsia="Calibri" w:cs="Times New Roman"/>
          <w:szCs w:val="24"/>
        </w:rPr>
        <w:t xml:space="preserve"> </w:t>
      </w:r>
      <w:r w:rsidRPr="00842D3D">
        <w:rPr>
          <w:rFonts w:eastAsia="Calibri" w:cs="Times New Roman"/>
          <w:i/>
          <w:iCs/>
          <w:szCs w:val="24"/>
        </w:rPr>
        <w:t>S.A. v. Costco Wholesale Corp.</w:t>
      </w:r>
      <w:r w:rsidRPr="00842D3D">
        <w:rPr>
          <w:rFonts w:eastAsia="Calibri" w:cs="Times New Roman"/>
          <w:szCs w:val="24"/>
        </w:rPr>
        <w:t>, 776 F.3d 692, 699-706 (9th Cir. 2015) (Wardlaw, J., concurring).</w:t>
      </w:r>
    </w:p>
    <w:p w14:paraId="50FBCC34" w14:textId="77777777" w:rsidR="00842D3D" w:rsidRPr="00842D3D" w:rsidRDefault="00842D3D" w:rsidP="00842D3D">
      <w:pPr>
        <w:autoSpaceDE w:val="0"/>
        <w:autoSpaceDN w:val="0"/>
        <w:adjustRightInd w:val="0"/>
        <w:ind w:firstLine="720"/>
        <w:rPr>
          <w:rFonts w:eastAsia="Calibri" w:cs="Times New Roman"/>
          <w:szCs w:val="24"/>
        </w:rPr>
      </w:pPr>
    </w:p>
    <w:p w14:paraId="66D5C227"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not yet decided whether the equitable defense of copyright misuse should be submitted to a jury or is an issue for the court to decide. The Fifth Circuit appears to permit a jury to decide whether the defense applies.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Alcatel USA, Inc. v. DGI Techs., Inc.</w:t>
      </w:r>
      <w:r w:rsidRPr="00842D3D">
        <w:rPr>
          <w:rFonts w:eastAsia="Calibri" w:cs="Times New Roman"/>
          <w:szCs w:val="24"/>
        </w:rPr>
        <w:t>, 166 F.3d 772, 793-95 (5th Cir. 1999) (concluding that “the district court abused its discretion when it ignored the jury’s finding that [the plaintiff] misused its operating system copyright”).</w:t>
      </w:r>
    </w:p>
    <w:p w14:paraId="31863526" w14:textId="77777777" w:rsidR="00842D3D" w:rsidRPr="00842D3D" w:rsidRDefault="00842D3D" w:rsidP="00842D3D">
      <w:pPr>
        <w:rPr>
          <w:rFonts w:eastAsia="Calibri" w:cs="Times New Roman"/>
          <w:szCs w:val="24"/>
        </w:rPr>
      </w:pPr>
    </w:p>
    <w:p w14:paraId="04B1CAA0"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3B70B1B" w14:textId="7AF76E44" w:rsidR="00842D3D" w:rsidRPr="00842D3D" w:rsidRDefault="00842D3D" w:rsidP="00313A05">
      <w:pPr>
        <w:pStyle w:val="Heading2"/>
      </w:pPr>
      <w:r w:rsidRPr="00842D3D">
        <w:br w:type="page"/>
      </w:r>
      <w:bookmarkStart w:id="423" w:name="_Toc221525327"/>
      <w:r w:rsidRPr="00842D3D">
        <w:lastRenderedPageBreak/>
        <w:t>17.2</w:t>
      </w:r>
      <w:r w:rsidR="003B11C4">
        <w:t>6</w:t>
      </w:r>
      <w:r w:rsidRPr="00842D3D">
        <w:t xml:space="preserve"> Copyright—Affirmative Defense—Implied License</w:t>
      </w:r>
      <w:bookmarkEnd w:id="423"/>
    </w:p>
    <w:p w14:paraId="1031E061" w14:textId="77777777" w:rsidR="00842D3D" w:rsidRPr="00842D3D" w:rsidRDefault="00842D3D" w:rsidP="00842D3D">
      <w:pPr>
        <w:autoSpaceDE w:val="0"/>
        <w:autoSpaceDN w:val="0"/>
        <w:adjustRightInd w:val="0"/>
        <w:rPr>
          <w:rFonts w:eastAsia="Calibri" w:cs="Times New Roman"/>
          <w:szCs w:val="24"/>
        </w:rPr>
      </w:pPr>
    </w:p>
    <w:p w14:paraId="6479AD59"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implied license in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who [copies] [distributes] [uses] [modifies] [retains]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implied license to [copy] [distribute] [use] [modify] [retain] the work.</w:t>
      </w:r>
    </w:p>
    <w:p w14:paraId="2AFC0D72" w14:textId="77777777" w:rsidR="00842D3D" w:rsidRPr="00842D3D" w:rsidRDefault="00842D3D" w:rsidP="00842D3D">
      <w:pPr>
        <w:autoSpaceDE w:val="0"/>
        <w:autoSpaceDN w:val="0"/>
        <w:adjustRightInd w:val="0"/>
        <w:ind w:firstLine="720"/>
        <w:rPr>
          <w:rFonts w:eastAsia="Calibri" w:cs="Times New Roman"/>
          <w:szCs w:val="24"/>
        </w:rPr>
      </w:pPr>
    </w:p>
    <w:p w14:paraId="229C874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implied license, the defendant has the burden of proving that:</w:t>
      </w:r>
    </w:p>
    <w:p w14:paraId="69FED030" w14:textId="77777777" w:rsidR="00842D3D" w:rsidRPr="00842D3D" w:rsidRDefault="00842D3D" w:rsidP="00842D3D">
      <w:pPr>
        <w:autoSpaceDE w:val="0"/>
        <w:autoSpaceDN w:val="0"/>
        <w:adjustRightInd w:val="0"/>
        <w:rPr>
          <w:rFonts w:eastAsia="Calibri" w:cs="Times New Roman"/>
          <w:szCs w:val="24"/>
        </w:rPr>
      </w:pPr>
    </w:p>
    <w:p w14:paraId="6F85A50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requested that the plaintiff [</w:t>
      </w:r>
      <w:r w:rsidRPr="00842D3D">
        <w:rPr>
          <w:rFonts w:eastAsia="Calibri" w:cs="Times New Roman"/>
          <w:i/>
          <w:iCs/>
          <w:szCs w:val="24"/>
          <w:u w:val="single"/>
        </w:rPr>
        <w:t>name</w:t>
      </w:r>
      <w:r w:rsidRPr="00842D3D">
        <w:rPr>
          <w:rFonts w:eastAsia="Calibri" w:cs="Times New Roman"/>
          <w:szCs w:val="24"/>
        </w:rPr>
        <w:t>] create a work;</w:t>
      </w:r>
    </w:p>
    <w:p w14:paraId="751873A6" w14:textId="77777777" w:rsidR="00842D3D" w:rsidRPr="00842D3D" w:rsidRDefault="00842D3D" w:rsidP="00842D3D">
      <w:pPr>
        <w:autoSpaceDE w:val="0"/>
        <w:autoSpaceDN w:val="0"/>
        <w:adjustRightInd w:val="0"/>
        <w:ind w:firstLine="720"/>
        <w:rPr>
          <w:rFonts w:eastAsia="Calibri" w:cs="Times New Roman"/>
          <w:szCs w:val="24"/>
        </w:rPr>
      </w:pPr>
    </w:p>
    <w:p w14:paraId="4619A86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plaintiff [</w:t>
      </w:r>
      <w:r w:rsidRPr="00842D3D">
        <w:rPr>
          <w:rFonts w:eastAsia="Calibri" w:cs="Times New Roman"/>
          <w:i/>
          <w:iCs/>
          <w:szCs w:val="24"/>
          <w:u w:val="single"/>
        </w:rPr>
        <w:t>name</w:t>
      </w:r>
      <w:r w:rsidRPr="00842D3D">
        <w:rPr>
          <w:rFonts w:eastAsia="Calibri" w:cs="Times New Roman"/>
          <w:szCs w:val="24"/>
        </w:rPr>
        <w:t>] made that particular work and delivered it to the defendant; and</w:t>
      </w:r>
    </w:p>
    <w:p w14:paraId="615E766B" w14:textId="77777777" w:rsidR="00842D3D" w:rsidRPr="00842D3D" w:rsidRDefault="00842D3D" w:rsidP="00842D3D">
      <w:pPr>
        <w:autoSpaceDE w:val="0"/>
        <w:autoSpaceDN w:val="0"/>
        <w:adjustRightInd w:val="0"/>
        <w:ind w:firstLine="720"/>
        <w:contextualSpacing/>
        <w:rPr>
          <w:rFonts w:eastAsia="Calibri" w:cs="Times New Roman"/>
          <w:szCs w:val="24"/>
        </w:rPr>
      </w:pPr>
    </w:p>
    <w:p w14:paraId="7FF1E280"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 intended that the defendant [</w:t>
      </w:r>
      <w:r w:rsidRPr="00842D3D">
        <w:rPr>
          <w:rFonts w:eastAsia="Calibri" w:cs="Times New Roman"/>
          <w:i/>
          <w:iCs/>
          <w:szCs w:val="24"/>
          <w:u w:val="single"/>
        </w:rPr>
        <w:t>name</w:t>
      </w:r>
      <w:r w:rsidRPr="00842D3D">
        <w:rPr>
          <w:rFonts w:eastAsia="Calibri" w:cs="Times New Roman"/>
          <w:szCs w:val="24"/>
        </w:rPr>
        <w:t>] [[copy] [distribute] [use] [modify] [retain]] the plaintiff [</w:t>
      </w:r>
      <w:r w:rsidRPr="00842D3D">
        <w:rPr>
          <w:rFonts w:eastAsia="Calibri" w:cs="Times New Roman"/>
          <w:i/>
          <w:iCs/>
          <w:szCs w:val="24"/>
          <w:u w:val="single"/>
        </w:rPr>
        <w:t>name</w:t>
      </w:r>
      <w:r w:rsidRPr="00842D3D">
        <w:rPr>
          <w:rFonts w:eastAsia="Calibri" w:cs="Times New Roman"/>
          <w:szCs w:val="24"/>
        </w:rPr>
        <w:t>]’s work.</w:t>
      </w:r>
    </w:p>
    <w:p w14:paraId="7D8B3D76" w14:textId="77777777" w:rsidR="00842D3D" w:rsidRPr="00842D3D" w:rsidRDefault="00842D3D" w:rsidP="00842D3D">
      <w:pPr>
        <w:autoSpaceDE w:val="0"/>
        <w:autoSpaceDN w:val="0"/>
        <w:adjustRightInd w:val="0"/>
        <w:rPr>
          <w:rFonts w:eastAsia="Calibri" w:cs="Times New Roman"/>
          <w:szCs w:val="24"/>
        </w:rPr>
      </w:pPr>
    </w:p>
    <w:p w14:paraId="61C1C68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by a preponderance of the evidence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implied license to [copy] [distribute] [use] [modify] [retain] the copyrighted work, your verdict should be for the defendant [</w:t>
      </w:r>
      <w:r w:rsidRPr="00842D3D">
        <w:rPr>
          <w:rFonts w:eastAsia="Calibri" w:cs="Times New Roman"/>
          <w:i/>
          <w:iCs/>
          <w:szCs w:val="24"/>
          <w:u w:val="single"/>
        </w:rPr>
        <w:t>name</w:t>
      </w:r>
      <w:r w:rsidRPr="00842D3D">
        <w:rPr>
          <w:rFonts w:eastAsia="Calibri" w:cs="Times New Roman"/>
          <w:szCs w:val="24"/>
        </w:rPr>
        <w:t>]  [on that portion of the plaintiff [</w:t>
      </w:r>
      <w:r w:rsidRPr="00842D3D">
        <w:rPr>
          <w:rFonts w:eastAsia="Calibri" w:cs="Times New Roman"/>
          <w:i/>
          <w:iCs/>
          <w:szCs w:val="24"/>
          <w:u w:val="single"/>
        </w:rPr>
        <w:t>name</w:t>
      </w:r>
      <w:r w:rsidRPr="00842D3D">
        <w:rPr>
          <w:rFonts w:eastAsia="Calibri" w:cs="Times New Roman"/>
          <w:szCs w:val="24"/>
        </w:rPr>
        <w:t>]’s copyright infringement claim].</w:t>
      </w:r>
    </w:p>
    <w:p w14:paraId="61EA5A8C" w14:textId="77777777" w:rsidR="00842D3D" w:rsidRPr="00842D3D" w:rsidRDefault="00842D3D" w:rsidP="00842D3D">
      <w:pPr>
        <w:autoSpaceDE w:val="0"/>
        <w:autoSpaceDN w:val="0"/>
        <w:adjustRightInd w:val="0"/>
        <w:rPr>
          <w:rFonts w:eastAsia="Calibri" w:cs="Times New Roman"/>
          <w:b/>
          <w:bCs/>
          <w:szCs w:val="24"/>
        </w:rPr>
      </w:pPr>
    </w:p>
    <w:p w14:paraId="76A0927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091F9E66" w14:textId="77777777" w:rsidR="00842D3D" w:rsidRPr="00842D3D" w:rsidRDefault="00842D3D" w:rsidP="00842D3D">
      <w:pPr>
        <w:autoSpaceDE w:val="0"/>
        <w:autoSpaceDN w:val="0"/>
        <w:adjustRightInd w:val="0"/>
        <w:jc w:val="center"/>
        <w:rPr>
          <w:rFonts w:eastAsia="Calibri" w:cs="Times New Roman"/>
          <w:b/>
          <w:bCs/>
          <w:szCs w:val="24"/>
        </w:rPr>
      </w:pPr>
    </w:p>
    <w:p w14:paraId="1D0C675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w:t>
      </w:r>
      <w:r w:rsidRPr="00842D3D">
        <w:rPr>
          <w:rFonts w:eastAsia="Calibri" w:cs="Times New Roman"/>
          <w:i/>
          <w:iCs/>
          <w:szCs w:val="24"/>
        </w:rPr>
        <w:t>Effects Associates, Inc. v. Cohen</w:t>
      </w:r>
      <w:r w:rsidRPr="00842D3D">
        <w:rPr>
          <w:rFonts w:eastAsia="Calibri" w:cs="Times New Roman"/>
          <w:szCs w:val="24"/>
        </w:rPr>
        <w:t xml:space="preserve">, 908 F.2d 555, 558-59 (9th Cir. 1990), and </w:t>
      </w:r>
      <w:r w:rsidRPr="00842D3D">
        <w:rPr>
          <w:rFonts w:eastAsia="Calibri" w:cs="Times New Roman"/>
          <w:i/>
          <w:iCs/>
          <w:szCs w:val="24"/>
        </w:rPr>
        <w:t>Asset Marketing Systems, Inc. v. Gagnon</w:t>
      </w:r>
      <w:r w:rsidRPr="00842D3D">
        <w:rPr>
          <w:rFonts w:eastAsia="Calibri" w:cs="Times New Roman"/>
          <w:szCs w:val="24"/>
        </w:rPr>
        <w:t xml:space="preserve">, 542 F.3d 748, 754-57 (9th Cir. 2008). </w:t>
      </w:r>
      <w:r w:rsidRPr="00842D3D">
        <w:rPr>
          <w:rFonts w:eastAsia="Calibri" w:cs="Times New Roman"/>
          <w:i/>
          <w:iCs/>
          <w:szCs w:val="24"/>
        </w:rPr>
        <w:t>See also U.S. Auto Parts Network, Inc. v. Parts Geek,</w:t>
      </w:r>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692 F.3d 1009, 1019-20 (9th Cir. 2012) (reversing a grant of summary judgment because a reasonable jury could find an implied license).</w:t>
      </w:r>
    </w:p>
    <w:p w14:paraId="7FE4C4CC" w14:textId="77777777" w:rsidR="00842D3D" w:rsidRPr="00842D3D" w:rsidRDefault="00842D3D" w:rsidP="00842D3D">
      <w:pPr>
        <w:autoSpaceDE w:val="0"/>
        <w:autoSpaceDN w:val="0"/>
        <w:adjustRightInd w:val="0"/>
        <w:rPr>
          <w:rFonts w:eastAsia="Calibri" w:cs="Times New Roman"/>
          <w:szCs w:val="24"/>
        </w:rPr>
      </w:pPr>
    </w:p>
    <w:p w14:paraId="065ECAA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 defense will be different.</w:t>
      </w:r>
    </w:p>
    <w:p w14:paraId="7D91754E" w14:textId="77777777" w:rsidR="00842D3D" w:rsidRPr="00842D3D" w:rsidRDefault="00842D3D" w:rsidP="00842D3D">
      <w:pPr>
        <w:autoSpaceDE w:val="0"/>
        <w:autoSpaceDN w:val="0"/>
        <w:adjustRightInd w:val="0"/>
        <w:ind w:firstLine="720"/>
        <w:rPr>
          <w:rFonts w:eastAsia="Calibri" w:cs="Times New Roman"/>
          <w:szCs w:val="24"/>
        </w:rPr>
      </w:pPr>
    </w:p>
    <w:p w14:paraId="504E2F3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Implied license is an affirmative defense to copyright infringement. </w:t>
      </w:r>
      <w:r w:rsidRPr="00842D3D">
        <w:rPr>
          <w:rFonts w:eastAsia="Calibri" w:cs="Times New Roman"/>
          <w:i/>
          <w:iCs/>
          <w:szCs w:val="24"/>
        </w:rPr>
        <w:t>See Oracle Am., Inc. v. Hewlett Packard Enter. Co.</w:t>
      </w:r>
      <w:r w:rsidRPr="00842D3D">
        <w:rPr>
          <w:rFonts w:eastAsia="Calibri" w:cs="Times New Roman"/>
          <w:szCs w:val="24"/>
        </w:rPr>
        <w:t xml:space="preserve">, 971 F.3d 1042, 1047 (9th Cir. 2020). When a plaintiff contributes copyrightable work to the defendant in exchange for some benefit (such as a share in partnership profits, a fee, or a salary), a license for the defendant to use the plaintiff’s work may be implied. </w:t>
      </w:r>
      <w:r w:rsidRPr="00842D3D">
        <w:rPr>
          <w:rFonts w:eastAsia="Calibri" w:cs="Times New Roman"/>
          <w:i/>
          <w:iCs/>
          <w:szCs w:val="24"/>
        </w:rPr>
        <w:t>See U.S. Auto Parts</w:t>
      </w:r>
      <w:r w:rsidRPr="00842D3D">
        <w:rPr>
          <w:rFonts w:eastAsia="Calibri" w:cs="Times New Roman"/>
          <w:szCs w:val="24"/>
        </w:rPr>
        <w:t xml:space="preserve">, 692 F.3d at 1019-20 (discussing the existence of an implied license in the context of an employment relationship); </w:t>
      </w:r>
      <w:r w:rsidRPr="00842D3D">
        <w:rPr>
          <w:rFonts w:eastAsia="Calibri" w:cs="Times New Roman"/>
          <w:i/>
          <w:iCs/>
          <w:szCs w:val="24"/>
        </w:rPr>
        <w:t>Asset Mktg.</w:t>
      </w:r>
      <w:r w:rsidRPr="00842D3D">
        <w:rPr>
          <w:rFonts w:eastAsia="Calibri" w:cs="Times New Roman"/>
          <w:szCs w:val="24"/>
        </w:rPr>
        <w:t xml:space="preserve">, 542 F.3d at 750, 754-55 (involving an independent contractor relationship); </w:t>
      </w:r>
      <w:r w:rsidRPr="00842D3D">
        <w:rPr>
          <w:rFonts w:eastAsia="Calibri" w:cs="Times New Roman"/>
          <w:i/>
          <w:iCs/>
          <w:szCs w:val="24"/>
        </w:rPr>
        <w:t>Oddo v. Ries</w:t>
      </w:r>
      <w:r w:rsidRPr="00842D3D">
        <w:rPr>
          <w:rFonts w:eastAsia="Calibri" w:cs="Times New Roman"/>
          <w:szCs w:val="24"/>
        </w:rPr>
        <w:t xml:space="preserve">, 743 F.2d 630, 634 (9th Cir. 1984) (involving a partnership relationship). A license is often implied when “without such a license, [the </w:t>
      </w:r>
      <w:r w:rsidRPr="00842D3D">
        <w:rPr>
          <w:rFonts w:eastAsia="Calibri" w:cs="Times New Roman"/>
          <w:szCs w:val="24"/>
        </w:rPr>
        <w:lastRenderedPageBreak/>
        <w:t xml:space="preserve">plaintiff’s compensated] contribution . . . would have been of minimal value.” </w:t>
      </w:r>
      <w:r w:rsidRPr="00842D3D">
        <w:rPr>
          <w:rFonts w:eastAsia="Calibri" w:cs="Times New Roman"/>
          <w:i/>
          <w:iCs/>
          <w:szCs w:val="24"/>
        </w:rPr>
        <w:t>Oddo</w:t>
      </w:r>
      <w:r w:rsidRPr="00842D3D">
        <w:rPr>
          <w:rFonts w:eastAsia="Calibri" w:cs="Times New Roman"/>
          <w:szCs w:val="24"/>
        </w:rPr>
        <w:t>, 743 F.2d at 634.</w:t>
      </w:r>
    </w:p>
    <w:p w14:paraId="627630D0" w14:textId="77777777" w:rsidR="00842D3D" w:rsidRPr="00842D3D" w:rsidRDefault="00842D3D" w:rsidP="00842D3D">
      <w:pPr>
        <w:autoSpaceDE w:val="0"/>
        <w:autoSpaceDN w:val="0"/>
        <w:adjustRightInd w:val="0"/>
        <w:ind w:firstLine="720"/>
        <w:rPr>
          <w:rFonts w:eastAsia="Calibri" w:cs="Times New Roman"/>
          <w:szCs w:val="24"/>
        </w:rPr>
      </w:pPr>
    </w:p>
    <w:p w14:paraId="6B3B819D" w14:textId="77777777"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license may be implied by the parties’ conduct. </w:t>
      </w:r>
      <w:r w:rsidRPr="00842D3D">
        <w:rPr>
          <w:rFonts w:eastAsia="Calibri" w:cs="Times New Roman"/>
          <w:i/>
          <w:iCs/>
          <w:szCs w:val="24"/>
        </w:rPr>
        <w:t>See Foad Consulting Grp., Inc. v. Azzalino</w:t>
      </w:r>
      <w:r w:rsidRPr="00842D3D">
        <w:rPr>
          <w:rFonts w:eastAsia="Calibri" w:cs="Times New Roman"/>
          <w:szCs w:val="24"/>
        </w:rPr>
        <w:t xml:space="preserve">, 270 F.3d 821, 825 (9th Cir. 2001). An implied license may be unlimited in scope or restricted to certain rights. </w:t>
      </w:r>
      <w:r w:rsidRPr="00842D3D">
        <w:rPr>
          <w:rFonts w:eastAsia="Calibri" w:cs="Times New Roman"/>
          <w:i/>
          <w:iCs/>
          <w:szCs w:val="24"/>
        </w:rPr>
        <w:t>Compare Asset Mktg.</w:t>
      </w:r>
      <w:r w:rsidRPr="00842D3D">
        <w:rPr>
          <w:rFonts w:eastAsia="Calibri" w:cs="Times New Roman"/>
          <w:szCs w:val="24"/>
        </w:rPr>
        <w:t xml:space="preserve">, 542 F.3d at 757 (that plaintiff granted defendant “unlimited” implied license “to retain, use, and modify” work), </w:t>
      </w:r>
      <w:r w:rsidRPr="00842D3D">
        <w:rPr>
          <w:rFonts w:eastAsia="Calibri" w:cs="Times New Roman"/>
          <w:i/>
          <w:iCs/>
          <w:szCs w:val="24"/>
        </w:rPr>
        <w:t>with Oddo</w:t>
      </w:r>
      <w:r w:rsidRPr="00842D3D">
        <w:rPr>
          <w:rFonts w:eastAsia="Calibri" w:cs="Times New Roman"/>
          <w:szCs w:val="24"/>
        </w:rPr>
        <w:t xml:space="preserve">, 743 F.2d at 634 (plaintiff granted defendant implied license to use work in a manuscript, but not “in any work other than the manuscript itself”). The defendant bears the burden of proof as to the scope and existence of an implied license. </w:t>
      </w:r>
      <w:r w:rsidRPr="00842D3D">
        <w:rPr>
          <w:rFonts w:eastAsia="Calibri" w:cs="Times New Roman"/>
          <w:i/>
          <w:iCs/>
          <w:szCs w:val="24"/>
        </w:rPr>
        <w:t>See Oddo</w:t>
      </w:r>
      <w:r w:rsidRPr="00842D3D">
        <w:rPr>
          <w:rFonts w:eastAsia="Calibri" w:cs="Times New Roman"/>
          <w:szCs w:val="24"/>
        </w:rPr>
        <w:t>, 743 F.2d</w:t>
      </w:r>
      <w:r w:rsidRPr="00842D3D">
        <w:rPr>
          <w:rFonts w:eastAsia="Calibri" w:cs="Times New Roman"/>
          <w:i/>
          <w:iCs/>
          <w:szCs w:val="24"/>
        </w:rPr>
        <w:t xml:space="preserve"> </w:t>
      </w:r>
      <w:r w:rsidRPr="00842D3D">
        <w:rPr>
          <w:rFonts w:eastAsia="Calibri" w:cs="Times New Roman"/>
          <w:szCs w:val="24"/>
        </w:rPr>
        <w:t>at 634 &amp; n.6.</w:t>
      </w:r>
      <w:r w:rsidRPr="00842D3D">
        <w:rPr>
          <w:rFonts w:eastAsia="Calibri" w:cs="Times New Roman"/>
          <w:strike/>
          <w:szCs w:val="24"/>
        </w:rPr>
        <w:t xml:space="preserve"> </w:t>
      </w:r>
    </w:p>
    <w:p w14:paraId="64E84D02" w14:textId="77777777" w:rsidR="00842D3D" w:rsidRPr="00842D3D" w:rsidRDefault="00842D3D" w:rsidP="00842D3D">
      <w:pPr>
        <w:ind w:firstLine="720"/>
        <w:rPr>
          <w:rFonts w:eastAsia="Calibri" w:cs="Times New Roman"/>
          <w:strike/>
          <w:szCs w:val="24"/>
        </w:rPr>
      </w:pPr>
    </w:p>
    <w:p w14:paraId="3EDF3200"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Dec. 2023</w:t>
      </w:r>
      <w:r w:rsidRPr="00842D3D">
        <w:rPr>
          <w:rFonts w:eastAsia="Calibri" w:cs="Times New Roman"/>
          <w:szCs w:val="24"/>
        </w:rPr>
        <w:t xml:space="preserve">  </w:t>
      </w:r>
    </w:p>
    <w:p w14:paraId="138DEF8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72B23D3" w14:textId="7D18C850" w:rsidR="00842D3D" w:rsidRPr="00842D3D" w:rsidRDefault="00842D3D" w:rsidP="00313A05">
      <w:pPr>
        <w:pStyle w:val="Heading2"/>
      </w:pPr>
      <w:r w:rsidRPr="00842D3D">
        <w:br w:type="page"/>
      </w:r>
      <w:bookmarkStart w:id="424" w:name="_Toc221525328"/>
      <w:r w:rsidRPr="00842D3D">
        <w:lastRenderedPageBreak/>
        <w:t>17.2</w:t>
      </w:r>
      <w:r w:rsidR="003B11C4">
        <w:t>7</w:t>
      </w:r>
      <w:r w:rsidRPr="00842D3D">
        <w:t xml:space="preserve"> Copyright—Affirmative Defense—Express License</w:t>
      </w:r>
      <w:bookmarkEnd w:id="424"/>
    </w:p>
    <w:p w14:paraId="5D0A335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F5FD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who [copies] [distributes] [uses]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express license to [copy] [distribute] [use] the work.</w:t>
      </w:r>
    </w:p>
    <w:p w14:paraId="44ECF53A" w14:textId="77777777" w:rsidR="00842D3D" w:rsidRPr="00842D3D" w:rsidRDefault="00842D3D" w:rsidP="00842D3D">
      <w:pPr>
        <w:autoSpaceDE w:val="0"/>
        <w:autoSpaceDN w:val="0"/>
        <w:adjustRightInd w:val="0"/>
        <w:ind w:firstLine="720"/>
        <w:rPr>
          <w:rFonts w:eastAsia="Calibri" w:cs="Times New Roman"/>
          <w:szCs w:val="24"/>
        </w:rPr>
      </w:pPr>
    </w:p>
    <w:p w14:paraId="5188936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express license, the defendant [</w:t>
      </w:r>
      <w:r w:rsidRPr="00842D3D">
        <w:rPr>
          <w:rFonts w:eastAsia="Calibri" w:cs="Times New Roman"/>
          <w:i/>
          <w:iCs/>
          <w:szCs w:val="24"/>
          <w:u w:val="single"/>
        </w:rPr>
        <w:t>name</w:t>
      </w:r>
      <w:r w:rsidRPr="00842D3D">
        <w:rPr>
          <w:rFonts w:eastAsia="Calibri" w:cs="Times New Roman"/>
          <w:szCs w:val="24"/>
        </w:rPr>
        <w:t>] has the burden of proving that [he] [she] [</w:t>
      </w:r>
      <w:r w:rsidRPr="00842D3D">
        <w:rPr>
          <w:rFonts w:eastAsia="Calibri" w:cs="Times New Roman"/>
          <w:i/>
          <w:iCs/>
          <w:szCs w:val="24"/>
          <w:u w:val="single"/>
        </w:rPr>
        <w:t>other pronoun</w:t>
      </w:r>
      <w:r w:rsidRPr="00842D3D">
        <w:rPr>
          <w:rFonts w:eastAsia="Calibri" w:cs="Times New Roman"/>
          <w:szCs w:val="24"/>
        </w:rPr>
        <w:t>] received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w:t>
      </w:r>
    </w:p>
    <w:p w14:paraId="7F8BAE61" w14:textId="77777777" w:rsidR="00842D3D" w:rsidRPr="00842D3D" w:rsidRDefault="00842D3D" w:rsidP="00842D3D">
      <w:pPr>
        <w:autoSpaceDE w:val="0"/>
        <w:autoSpaceDN w:val="0"/>
        <w:adjustRightInd w:val="0"/>
        <w:ind w:firstLine="720"/>
        <w:rPr>
          <w:rFonts w:eastAsia="Calibri" w:cs="Times New Roman"/>
          <w:szCs w:val="24"/>
        </w:rPr>
      </w:pPr>
    </w:p>
    <w:p w14:paraId="2CADC8E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defendant [</w:t>
      </w:r>
      <w:r w:rsidRPr="00842D3D">
        <w:rPr>
          <w:rFonts w:eastAsia="Calibri" w:cs="Times New Roman"/>
          <w:i/>
          <w:iCs/>
          <w:szCs w:val="24"/>
          <w:u w:val="single"/>
        </w:rPr>
        <w:t>name</w:t>
      </w:r>
      <w:r w:rsidRPr="00842D3D">
        <w:rPr>
          <w:rFonts w:eastAsia="Calibri" w:cs="Times New Roman"/>
          <w:szCs w:val="24"/>
        </w:rPr>
        <w:t>] proves this, the burden shifts to the plaintiff [</w:t>
      </w:r>
      <w:r w:rsidRPr="00842D3D">
        <w:rPr>
          <w:rFonts w:eastAsia="Calibri" w:cs="Times New Roman"/>
          <w:i/>
          <w:iCs/>
          <w:szCs w:val="24"/>
          <w:u w:val="single"/>
        </w:rPr>
        <w:t>name</w:t>
      </w:r>
      <w:r w:rsidRPr="00842D3D">
        <w:rPr>
          <w:rFonts w:eastAsia="Calibri" w:cs="Times New Roman"/>
          <w:szCs w:val="24"/>
        </w:rPr>
        <w:t>] to show that the defendant [</w:t>
      </w:r>
      <w:r w:rsidRPr="00842D3D">
        <w:rPr>
          <w:rFonts w:eastAsia="Calibri" w:cs="Times New Roman"/>
          <w:i/>
          <w:iCs/>
          <w:szCs w:val="24"/>
          <w:u w:val="single"/>
        </w:rPr>
        <w:t>name</w:t>
      </w:r>
      <w:r w:rsidRPr="00842D3D">
        <w:rPr>
          <w:rFonts w:eastAsia="Calibri" w:cs="Times New Roman"/>
          <w:szCs w:val="24"/>
        </w:rPr>
        <w:t>]’s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w:t>
      </w:r>
    </w:p>
    <w:p w14:paraId="22005381" w14:textId="77777777" w:rsidR="00842D3D" w:rsidRPr="00842D3D" w:rsidRDefault="00842D3D" w:rsidP="00842D3D">
      <w:pPr>
        <w:autoSpaceDE w:val="0"/>
        <w:autoSpaceDN w:val="0"/>
        <w:adjustRightInd w:val="0"/>
        <w:ind w:firstLine="720"/>
        <w:rPr>
          <w:rFonts w:eastAsia="Calibri" w:cs="Times New Roman"/>
          <w:szCs w:val="24"/>
        </w:rPr>
      </w:pPr>
    </w:p>
    <w:p w14:paraId="019047B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 have separately instructed you on the scope of the license agreement between the parties.]</w:t>
      </w:r>
    </w:p>
    <w:p w14:paraId="171B2440" w14:textId="77777777" w:rsidR="00842D3D" w:rsidRPr="00842D3D" w:rsidRDefault="00842D3D" w:rsidP="00842D3D">
      <w:pPr>
        <w:autoSpaceDE w:val="0"/>
        <w:autoSpaceDN w:val="0"/>
        <w:adjustRightInd w:val="0"/>
        <w:ind w:firstLine="720"/>
        <w:rPr>
          <w:rFonts w:eastAsia="Calibri" w:cs="Times New Roman"/>
          <w:szCs w:val="24"/>
        </w:rPr>
      </w:pPr>
    </w:p>
    <w:p w14:paraId="074A61A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w:t>
      </w:r>
      <w:r w:rsidRPr="00842D3D" w:rsidDel="00385D27">
        <w:rPr>
          <w:rFonts w:eastAsia="Calibri" w:cs="Times New Roman"/>
          <w:szCs w:val="24"/>
        </w:rPr>
        <w:t xml:space="preserve"> </w:t>
      </w:r>
      <w:r w:rsidRPr="00842D3D">
        <w:rPr>
          <w:rFonts w:eastAsia="Calibri" w:cs="Times New Roman"/>
          <w:szCs w:val="24"/>
        </w:rPr>
        <w:t>an express license to [copy] [distribute] [use] the copyrighted work, your verdict should be for the defendant [</w:t>
      </w:r>
      <w:r w:rsidRPr="00842D3D">
        <w:rPr>
          <w:rFonts w:eastAsia="Calibri" w:cs="Times New Roman"/>
          <w:i/>
          <w:iCs/>
          <w:szCs w:val="24"/>
          <w:u w:val="single"/>
        </w:rPr>
        <w:t>name</w:t>
      </w:r>
      <w:r w:rsidRPr="00842D3D">
        <w:rPr>
          <w:rFonts w:eastAsia="Calibri" w:cs="Times New Roman"/>
          <w:szCs w:val="24"/>
        </w:rPr>
        <w:t>] [on that portion of the plaintiff’s copyright infringement claim], unless the plaintiff [</w:t>
      </w:r>
      <w:r w:rsidRPr="00842D3D">
        <w:rPr>
          <w:rFonts w:eastAsia="Calibri" w:cs="Times New Roman"/>
          <w:i/>
          <w:iCs/>
          <w:szCs w:val="24"/>
          <w:u w:val="single"/>
        </w:rPr>
        <w:t>name</w:t>
      </w:r>
      <w:r w:rsidRPr="00842D3D">
        <w:rPr>
          <w:rFonts w:eastAsia="Calibri" w:cs="Times New Roman"/>
          <w:szCs w:val="24"/>
        </w:rPr>
        <w:t>] proves the defendant [</w:t>
      </w:r>
      <w:r w:rsidRPr="00842D3D">
        <w:rPr>
          <w:rFonts w:eastAsia="Calibri" w:cs="Times New Roman"/>
          <w:i/>
          <w:iCs/>
          <w:szCs w:val="24"/>
          <w:u w:val="single"/>
        </w:rPr>
        <w:t>name</w:t>
      </w:r>
      <w:r w:rsidRPr="00842D3D">
        <w:rPr>
          <w:rFonts w:eastAsia="Calibri" w:cs="Times New Roman"/>
          <w:szCs w:val="24"/>
        </w:rPr>
        <w:t>]’s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 If the plaintiff [</w:t>
      </w:r>
      <w:r w:rsidRPr="00842D3D">
        <w:rPr>
          <w:rFonts w:eastAsia="Calibri" w:cs="Times New Roman"/>
          <w:i/>
          <w:iCs/>
          <w:szCs w:val="24"/>
          <w:u w:val="single"/>
        </w:rPr>
        <w:t>name</w:t>
      </w:r>
      <w:r w:rsidRPr="00842D3D">
        <w:rPr>
          <w:rFonts w:eastAsia="Calibri" w:cs="Times New Roman"/>
          <w:szCs w:val="24"/>
        </w:rPr>
        <w:t>] proves this, your verdict must be for the plaintiff [</w:t>
      </w:r>
      <w:r w:rsidRPr="00842D3D">
        <w:rPr>
          <w:rFonts w:eastAsia="Calibri" w:cs="Times New Roman"/>
          <w:i/>
          <w:iCs/>
          <w:szCs w:val="24"/>
          <w:u w:val="single"/>
        </w:rPr>
        <w:t>name</w:t>
      </w:r>
      <w:r w:rsidRPr="00842D3D">
        <w:rPr>
          <w:rFonts w:eastAsia="Calibri" w:cs="Times New Roman"/>
          <w:szCs w:val="24"/>
        </w:rPr>
        <w:t>].</w:t>
      </w:r>
    </w:p>
    <w:p w14:paraId="4B90FDB3" w14:textId="77777777" w:rsidR="00842D3D" w:rsidRPr="00842D3D" w:rsidRDefault="00842D3D" w:rsidP="00842D3D">
      <w:pPr>
        <w:autoSpaceDE w:val="0"/>
        <w:autoSpaceDN w:val="0"/>
        <w:adjustRightInd w:val="0"/>
        <w:rPr>
          <w:rFonts w:eastAsia="Calibri" w:cs="Times New Roman"/>
          <w:szCs w:val="24"/>
        </w:rPr>
      </w:pPr>
    </w:p>
    <w:p w14:paraId="14619CCD"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FC91B51" w14:textId="77777777" w:rsidR="00842D3D" w:rsidRPr="00842D3D" w:rsidRDefault="00842D3D" w:rsidP="00842D3D">
      <w:pPr>
        <w:autoSpaceDE w:val="0"/>
        <w:autoSpaceDN w:val="0"/>
        <w:adjustRightInd w:val="0"/>
        <w:jc w:val="center"/>
        <w:rPr>
          <w:rFonts w:eastAsia="Calibri" w:cs="Times New Roman"/>
          <w:szCs w:val="24"/>
        </w:rPr>
      </w:pPr>
    </w:p>
    <w:p w14:paraId="6129F12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“An applicable license may be dispositive of an infringement claim.” </w:t>
      </w:r>
      <w:r w:rsidRPr="00842D3D">
        <w:rPr>
          <w:rFonts w:eastAsia="Calibri" w:cs="Times New Roman"/>
          <w:i/>
          <w:iCs/>
          <w:szCs w:val="24"/>
        </w:rPr>
        <w:t>Oracle Am., Inc. v. Hewlett Packard Enter. Co.</w:t>
      </w:r>
      <w:r w:rsidRPr="00842D3D">
        <w:rPr>
          <w:rFonts w:eastAsia="Calibri" w:cs="Times New Roman"/>
          <w:szCs w:val="24"/>
        </w:rPr>
        <w:t xml:space="preserve">, 971 F.3d 1042, 1051 (9th Cir. 2020). “Anyone who is authorized by the copyright owner to use the copyrighted work in a way specified in [the Copyright Act] . . . is not an infringer of the copyright with respect to such use.” </w:t>
      </w:r>
      <w:r w:rsidRPr="00842D3D">
        <w:rPr>
          <w:rFonts w:eastAsia="Calibri" w:cs="Times New Roman"/>
          <w:i/>
          <w:iCs/>
          <w:szCs w:val="24"/>
        </w:rPr>
        <w:t xml:space="preserve">Id. </w:t>
      </w:r>
      <w:r w:rsidRPr="00842D3D">
        <w:rPr>
          <w:rFonts w:eastAsia="Calibri" w:cs="Times New Roman"/>
          <w:szCs w:val="24"/>
        </w:rPr>
        <w:t>(alterations in original) (quoting</w:t>
      </w:r>
      <w:r w:rsidRPr="00842D3D">
        <w:rPr>
          <w:rFonts w:eastAsia="Calibri" w:cs="Times New Roman"/>
          <w:i/>
          <w:iCs/>
          <w:szCs w:val="24"/>
        </w:rPr>
        <w:t xml:space="preserve"> Sony Corp. of Am. v. Universal City Studios, Inc</w:t>
      </w:r>
      <w:r w:rsidRPr="00842D3D">
        <w:rPr>
          <w:rFonts w:eastAsia="Calibri" w:cs="Times New Roman"/>
          <w:szCs w:val="24"/>
        </w:rPr>
        <w:t xml:space="preserve">., 464 U.S. 417, 433 (1984)). “Thus, ‘[t]he existence of a license creates an affirmative defense to a claim of copyright infringement.’” </w:t>
      </w:r>
      <w:r w:rsidRPr="00842D3D">
        <w:rPr>
          <w:rFonts w:eastAsia="Calibri" w:cs="Times New Roman"/>
          <w:i/>
          <w:iCs/>
          <w:szCs w:val="24"/>
        </w:rPr>
        <w:t>Oracle USA, Inc. v. Rimini St., Inc</w:t>
      </w:r>
      <w:r w:rsidRPr="00842D3D">
        <w:rPr>
          <w:rFonts w:eastAsia="Calibri" w:cs="Times New Roman"/>
          <w:szCs w:val="24"/>
        </w:rPr>
        <w:t xml:space="preserve">., 879 F.3d 948, 954 (9th Cir. 2018) (alteration in original) (quoting </w:t>
      </w:r>
      <w:r w:rsidRPr="00842D3D">
        <w:rPr>
          <w:rFonts w:eastAsia="Calibri" w:cs="Times New Roman"/>
          <w:i/>
          <w:iCs/>
          <w:szCs w:val="24"/>
        </w:rPr>
        <w:t>Worldwide Church of God v. Phila. Church of God, Inc</w:t>
      </w:r>
      <w:r w:rsidRPr="00842D3D">
        <w:rPr>
          <w:rFonts w:eastAsia="Calibri" w:cs="Times New Roman"/>
          <w:szCs w:val="24"/>
        </w:rPr>
        <w:t xml:space="preserve">., 227 F.3d 1110, 1114 (9th Cir. 2000)), </w:t>
      </w:r>
      <w:r w:rsidRPr="00842D3D">
        <w:rPr>
          <w:rFonts w:eastAsia="Calibri" w:cs="Times New Roman"/>
          <w:i/>
          <w:iCs/>
          <w:szCs w:val="24"/>
        </w:rPr>
        <w:t>rev’d on other grounds</w:t>
      </w:r>
      <w:r w:rsidRPr="00842D3D">
        <w:rPr>
          <w:rFonts w:eastAsia="Calibri" w:cs="Times New Roman"/>
          <w:szCs w:val="24"/>
        </w:rPr>
        <w:t xml:space="preserve">, 586 U.S. 334 (2019). A claim for copyright infringement fails “if the challenged use of the work falls within the scope of a valid license.” </w:t>
      </w:r>
      <w:r w:rsidRPr="00842D3D">
        <w:rPr>
          <w:rFonts w:eastAsia="Calibri" w:cs="Times New Roman"/>
          <w:i/>
          <w:iCs/>
          <w:szCs w:val="24"/>
        </w:rPr>
        <w:t>Great Minds v. Off. Depot, Inc.</w:t>
      </w:r>
      <w:r w:rsidRPr="00842D3D">
        <w:rPr>
          <w:rFonts w:eastAsia="Calibri" w:cs="Times New Roman"/>
          <w:szCs w:val="24"/>
        </w:rPr>
        <w:t xml:space="preserve">, 945 F.3d 1106, 1110 (9th Cir. 2019). But a licensee is liable for infringement if its use of the work “exceeds the scope of the license granted by the copyright holder.” </w:t>
      </w:r>
      <w:r w:rsidRPr="00842D3D">
        <w:rPr>
          <w:rFonts w:eastAsia="Calibri" w:cs="Times New Roman"/>
          <w:i/>
          <w:iCs/>
          <w:szCs w:val="24"/>
        </w:rPr>
        <w:t>Oracle USA, Inc</w:t>
      </w:r>
      <w:r w:rsidRPr="00842D3D">
        <w:rPr>
          <w:rFonts w:eastAsia="Calibri" w:cs="Times New Roman"/>
          <w:szCs w:val="24"/>
        </w:rPr>
        <w:t xml:space="preserve">., 879 F.3d at 954 (quoting </w:t>
      </w:r>
      <w:r w:rsidRPr="00842D3D">
        <w:rPr>
          <w:rFonts w:eastAsia="Calibri" w:cs="Times New Roman"/>
          <w:i/>
          <w:iCs/>
          <w:szCs w:val="24"/>
        </w:rPr>
        <w:t>LGS Architects, Inc. v. Concordia Homes of Nev</w:t>
      </w:r>
      <w:r w:rsidRPr="00842D3D">
        <w:rPr>
          <w:rFonts w:eastAsia="Calibri" w:cs="Times New Roman"/>
          <w:szCs w:val="24"/>
        </w:rPr>
        <w:t>., 434 F.3d 1150, 1156 (9th Cir. 2006)).</w:t>
      </w:r>
    </w:p>
    <w:p w14:paraId="21145ED3" w14:textId="77777777" w:rsidR="00842D3D" w:rsidRPr="00842D3D" w:rsidRDefault="00842D3D" w:rsidP="00842D3D">
      <w:pPr>
        <w:autoSpaceDE w:val="0"/>
        <w:autoSpaceDN w:val="0"/>
        <w:adjustRightInd w:val="0"/>
        <w:ind w:firstLine="720"/>
        <w:rPr>
          <w:rFonts w:eastAsia="Calibri" w:cs="Times New Roman"/>
          <w:szCs w:val="24"/>
        </w:rPr>
      </w:pPr>
    </w:p>
    <w:p w14:paraId="25868458" w14:textId="77777777" w:rsidR="00842D3D" w:rsidRPr="00842D3D" w:rsidRDefault="00842D3D" w:rsidP="00842D3D">
      <w:pPr>
        <w:autoSpaceDE w:val="0"/>
        <w:autoSpaceDN w:val="0"/>
        <w:adjustRightInd w:val="0"/>
        <w:ind w:firstLine="720"/>
        <w:rPr>
          <w:rFonts w:eastAsia="Calibri" w:cs="Times New Roman"/>
          <w:strike/>
          <w:szCs w:val="24"/>
        </w:rPr>
      </w:pPr>
      <w:r w:rsidRPr="00842D3D">
        <w:rPr>
          <w:rFonts w:eastAsia="Calibri" w:cs="Times New Roman"/>
          <w:szCs w:val="24"/>
        </w:rPr>
        <w:t>The trial court should modify this instruction as necessary to reflect the nature of the</w:t>
      </w:r>
      <w:r w:rsidRPr="00842D3D">
        <w:rPr>
          <w:rFonts w:eastAsia="Calibri" w:cs="Times New Roman"/>
          <w:i/>
          <w:iCs/>
          <w:szCs w:val="24"/>
        </w:rPr>
        <w:t xml:space="preserve"> </w:t>
      </w:r>
      <w:r w:rsidRPr="00842D3D">
        <w:rPr>
          <w:rFonts w:eastAsia="Calibri" w:cs="Times New Roman"/>
          <w:szCs w:val="24"/>
        </w:rPr>
        <w:t>defendant’s alleged copyright infringement. In a case in which the defendant claims to have</w:t>
      </w:r>
      <w:r w:rsidRPr="00842D3D">
        <w:rPr>
          <w:rFonts w:eastAsia="Calibri" w:cs="Times New Roman"/>
          <w:i/>
          <w:iCs/>
          <w:szCs w:val="24"/>
        </w:rPr>
        <w:t xml:space="preserve"> </w:t>
      </w:r>
      <w:r w:rsidRPr="00842D3D">
        <w:rPr>
          <w:rFonts w:eastAsia="Calibri" w:cs="Times New Roman"/>
          <w:szCs w:val="24"/>
        </w:rPr>
        <w:lastRenderedPageBreak/>
        <w:t>acted under an express license, it is likely that the trial court will need to construe the terms of</w:t>
      </w:r>
      <w:r w:rsidRPr="00842D3D">
        <w:rPr>
          <w:rFonts w:eastAsia="Calibri" w:cs="Times New Roman"/>
          <w:i/>
          <w:iCs/>
          <w:szCs w:val="24"/>
        </w:rPr>
        <w:t xml:space="preserve"> </w:t>
      </w:r>
      <w:r w:rsidRPr="00842D3D">
        <w:rPr>
          <w:rFonts w:eastAsia="Calibri" w:cs="Times New Roman"/>
          <w:szCs w:val="24"/>
        </w:rPr>
        <w:t xml:space="preserve">the license for the jury.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 at 955, 958. “Federal courts ‘rely on state law to provide the</w:t>
      </w:r>
      <w:r w:rsidRPr="00842D3D">
        <w:rPr>
          <w:rFonts w:eastAsia="Calibri" w:cs="Times New Roman"/>
          <w:i/>
          <w:iCs/>
          <w:szCs w:val="24"/>
        </w:rPr>
        <w:t xml:space="preserve"> </w:t>
      </w:r>
      <w:r w:rsidRPr="00842D3D">
        <w:rPr>
          <w:rFonts w:eastAsia="Calibri" w:cs="Times New Roman"/>
          <w:szCs w:val="24"/>
        </w:rPr>
        <w:t xml:space="preserve">canons of contractual construction, but only to the extent such rules do not interfere with federal copyright law or policy.’” </w:t>
      </w:r>
      <w:r w:rsidRPr="00842D3D">
        <w:rPr>
          <w:rFonts w:eastAsia="Calibri" w:cs="Times New Roman"/>
          <w:i/>
          <w:iCs/>
          <w:szCs w:val="24"/>
        </w:rPr>
        <w:t>Great Minds</w:t>
      </w:r>
      <w:r w:rsidRPr="00842D3D">
        <w:rPr>
          <w:rFonts w:eastAsia="Calibri" w:cs="Times New Roman"/>
          <w:szCs w:val="24"/>
        </w:rPr>
        <w:t xml:space="preserve">, 945 F.3d at 1110 (quoting </w:t>
      </w:r>
      <w:r w:rsidRPr="00842D3D">
        <w:rPr>
          <w:rFonts w:eastAsia="Calibri" w:cs="Times New Roman"/>
          <w:i/>
          <w:iCs/>
          <w:szCs w:val="24"/>
        </w:rPr>
        <w:t>S.O.S., Inc. v. Payday, Inc.</w:t>
      </w:r>
      <w:r w:rsidRPr="00842D3D">
        <w:rPr>
          <w:rFonts w:eastAsia="Calibri" w:cs="Times New Roman"/>
          <w:szCs w:val="24"/>
        </w:rPr>
        <w:t>, 886 F.2d 1081, 1088 (9th Cir. 1989)).</w:t>
      </w:r>
    </w:p>
    <w:p w14:paraId="348FE695" w14:textId="77777777" w:rsidR="00842D3D" w:rsidRPr="00842D3D" w:rsidRDefault="00842D3D" w:rsidP="00842D3D">
      <w:pPr>
        <w:rPr>
          <w:rFonts w:eastAsia="Calibri" w:cs="Times New Roman"/>
          <w:szCs w:val="24"/>
        </w:rPr>
      </w:pPr>
    </w:p>
    <w:p w14:paraId="0F8DA7F7"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48716D4C"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27AC9C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B9C014D" w14:textId="56A077B5" w:rsidR="00842D3D" w:rsidRPr="00842D3D" w:rsidRDefault="00842D3D" w:rsidP="00313A05">
      <w:pPr>
        <w:pStyle w:val="Heading2"/>
      </w:pPr>
      <w:r w:rsidRPr="00842D3D">
        <w:br w:type="page"/>
      </w:r>
      <w:bookmarkStart w:id="425" w:name="_Toc221525329"/>
      <w:r w:rsidRPr="00842D3D">
        <w:lastRenderedPageBreak/>
        <w:t>17.2</w:t>
      </w:r>
      <w:r w:rsidR="003B11C4">
        <w:t>8</w:t>
      </w:r>
      <w:r w:rsidRPr="00842D3D">
        <w:t xml:space="preserve"> Copyright—Affirmative Defense—First Sale </w:t>
      </w:r>
      <w:r w:rsidRPr="00842D3D">
        <w:br/>
        <w:t>(17 U.S.C. § 109(a))</w:t>
      </w:r>
      <w:bookmarkEnd w:id="425"/>
    </w:p>
    <w:p w14:paraId="2AEAECA5"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1185519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for [reselling] [redistributing] a particular copy of the plaintiff [</w:t>
      </w:r>
      <w:r w:rsidRPr="00842D3D">
        <w:rPr>
          <w:rFonts w:eastAsia="Calibri" w:cs="Times New Roman"/>
          <w:i/>
          <w:iCs/>
          <w:szCs w:val="24"/>
          <w:u w:val="single"/>
        </w:rPr>
        <w:t>name</w:t>
      </w:r>
      <w:r w:rsidRPr="00842D3D">
        <w:rPr>
          <w:rFonts w:eastAsia="Calibri" w:cs="Times New Roman"/>
          <w:szCs w:val="24"/>
        </w:rPr>
        <w:t>]’s copyrighted work because the plaintiff [</w:t>
      </w:r>
      <w:r w:rsidRPr="00842D3D">
        <w:rPr>
          <w:rFonts w:eastAsia="Calibri" w:cs="Times New Roman"/>
          <w:i/>
          <w:iCs/>
          <w:szCs w:val="24"/>
          <w:u w:val="single"/>
        </w:rPr>
        <w:t>name</w:t>
      </w:r>
      <w:r w:rsidRPr="00842D3D">
        <w:rPr>
          <w:rFonts w:eastAsia="Calibri" w:cs="Times New Roman"/>
          <w:szCs w:val="24"/>
        </w:rPr>
        <w:t>] sold or otherwise transferred ownership of that copy. The plaintiff [</w:t>
      </w:r>
      <w:r w:rsidRPr="00842D3D">
        <w:rPr>
          <w:rFonts w:eastAsia="Calibri" w:cs="Times New Roman"/>
          <w:i/>
          <w:iCs/>
          <w:szCs w:val="24"/>
          <w:u w:val="single"/>
        </w:rPr>
        <w:t>name</w:t>
      </w:r>
      <w:r w:rsidRPr="00842D3D">
        <w:rPr>
          <w:rFonts w:eastAsia="Calibri" w:cs="Times New Roman"/>
          <w:szCs w:val="24"/>
        </w:rPr>
        <w:t>] may not claim copyright infringement for subsequent distributions of a copy that it sold or otherwise transferred ownership of. [The defendant [</w:t>
      </w:r>
      <w:r w:rsidRPr="00842D3D">
        <w:rPr>
          <w:rFonts w:eastAsia="Calibri" w:cs="Times New Roman"/>
          <w:i/>
          <w:iCs/>
          <w:szCs w:val="24"/>
          <w:u w:val="single"/>
        </w:rPr>
        <w:t>name</w:t>
      </w:r>
      <w:r w:rsidRPr="00842D3D">
        <w:rPr>
          <w:rFonts w:eastAsia="Calibri" w:cs="Times New Roman"/>
          <w:szCs w:val="24"/>
        </w:rPr>
        <w:t>] may invoke this [“first sale”] defense only if [he] [she] [</w:t>
      </w:r>
      <w:r w:rsidRPr="00842D3D">
        <w:rPr>
          <w:rFonts w:eastAsia="Calibri" w:cs="Times New Roman"/>
          <w:i/>
          <w:iCs/>
          <w:szCs w:val="24"/>
          <w:u w:val="single"/>
        </w:rPr>
        <w:t>other pronoun</w:t>
      </w:r>
      <w:r w:rsidRPr="00842D3D">
        <w:rPr>
          <w:rFonts w:eastAsia="Calibri" w:cs="Times New Roman"/>
          <w:szCs w:val="24"/>
        </w:rPr>
        <w:t>] is an owner of a particular copy of the plaintiff [</w:t>
      </w:r>
      <w:r w:rsidRPr="00842D3D">
        <w:rPr>
          <w:rFonts w:eastAsia="Calibri" w:cs="Times New Roman"/>
          <w:i/>
          <w:iCs/>
          <w:szCs w:val="24"/>
          <w:u w:val="single"/>
        </w:rPr>
        <w:t>name</w:t>
      </w:r>
      <w:r w:rsidRPr="00842D3D">
        <w:rPr>
          <w:rFonts w:eastAsia="Calibri" w:cs="Times New Roman"/>
          <w:szCs w:val="24"/>
        </w:rPr>
        <w:t>]’s copyrighted work, and not a licensee.]</w:t>
      </w:r>
    </w:p>
    <w:p w14:paraId="42977A39" w14:textId="77777777" w:rsidR="00842D3D" w:rsidRPr="00842D3D" w:rsidRDefault="00842D3D" w:rsidP="00842D3D">
      <w:pPr>
        <w:autoSpaceDE w:val="0"/>
        <w:autoSpaceDN w:val="0"/>
        <w:adjustRightInd w:val="0"/>
        <w:ind w:firstLine="720"/>
        <w:rPr>
          <w:rFonts w:eastAsia="Calibri" w:cs="Times New Roman"/>
          <w:szCs w:val="24"/>
        </w:rPr>
      </w:pPr>
    </w:p>
    <w:p w14:paraId="4838C64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was an owner of a particular copy of the plaintiff [</w:t>
      </w:r>
      <w:r w:rsidRPr="00842D3D">
        <w:rPr>
          <w:rFonts w:eastAsia="Calibri" w:cs="Times New Roman"/>
          <w:i/>
          <w:iCs/>
          <w:szCs w:val="24"/>
          <w:u w:val="single"/>
        </w:rPr>
        <w:t>name</w:t>
      </w:r>
      <w:r w:rsidRPr="00842D3D">
        <w:rPr>
          <w:rFonts w:eastAsia="Calibri" w:cs="Times New Roman"/>
          <w:szCs w:val="24"/>
        </w:rPr>
        <w:t>]’s copyrighted work and that the plaintiff [</w:t>
      </w:r>
      <w:r w:rsidRPr="00842D3D">
        <w:rPr>
          <w:rFonts w:eastAsia="Calibri" w:cs="Times New Roman"/>
          <w:i/>
          <w:iCs/>
          <w:szCs w:val="24"/>
          <w:u w:val="single"/>
        </w:rPr>
        <w:t>name</w:t>
      </w:r>
      <w:r w:rsidRPr="00842D3D">
        <w:rPr>
          <w:rFonts w:eastAsia="Calibri" w:cs="Times New Roman"/>
          <w:szCs w:val="24"/>
        </w:rPr>
        <w:t>] sold or otherwise transferred ownership of that particular copy, your verdict should be for the defendant [</w:t>
      </w:r>
      <w:r w:rsidRPr="00842D3D">
        <w:rPr>
          <w:rFonts w:eastAsia="Calibri" w:cs="Times New Roman"/>
          <w:i/>
          <w:iCs/>
          <w:szCs w:val="24"/>
          <w:u w:val="single"/>
        </w:rPr>
        <w:t>name</w:t>
      </w:r>
      <w:r w:rsidRPr="00842D3D">
        <w:rPr>
          <w:rFonts w:eastAsia="Calibri" w:cs="Times New Roman"/>
          <w:szCs w:val="24"/>
        </w:rPr>
        <w:t>] on the plaintiff [</w:t>
      </w:r>
      <w:r w:rsidRPr="00842D3D">
        <w:rPr>
          <w:rFonts w:eastAsia="Calibri" w:cs="Times New Roman"/>
          <w:i/>
          <w:iCs/>
          <w:szCs w:val="24"/>
          <w:u w:val="single"/>
        </w:rPr>
        <w:t>name</w:t>
      </w:r>
      <w:r w:rsidRPr="00842D3D">
        <w:rPr>
          <w:rFonts w:eastAsia="Calibri" w:cs="Times New Roman"/>
          <w:szCs w:val="24"/>
        </w:rPr>
        <w:t>]’s copyright infringement claim.</w:t>
      </w:r>
    </w:p>
    <w:p w14:paraId="451B8F5F" w14:textId="77777777" w:rsidR="00842D3D" w:rsidRPr="00842D3D" w:rsidRDefault="00842D3D" w:rsidP="00842D3D">
      <w:pPr>
        <w:autoSpaceDE w:val="0"/>
        <w:autoSpaceDN w:val="0"/>
        <w:adjustRightInd w:val="0"/>
        <w:rPr>
          <w:rFonts w:eastAsia="Calibri" w:cs="Times New Roman"/>
          <w:szCs w:val="24"/>
        </w:rPr>
      </w:pPr>
    </w:p>
    <w:p w14:paraId="4D5819D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47E3F6EA" w14:textId="77777777" w:rsidR="00842D3D" w:rsidRPr="00842D3D" w:rsidRDefault="00842D3D" w:rsidP="00842D3D">
      <w:pPr>
        <w:autoSpaceDE w:val="0"/>
        <w:autoSpaceDN w:val="0"/>
        <w:adjustRightInd w:val="0"/>
        <w:jc w:val="center"/>
        <w:rPr>
          <w:rFonts w:eastAsia="Calibri" w:cs="Times New Roman"/>
          <w:szCs w:val="24"/>
        </w:rPr>
      </w:pPr>
    </w:p>
    <w:p w14:paraId="0F84567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first sale doctrine is an affirmative defense to copyright infringement. </w:t>
      </w:r>
      <w:r w:rsidRPr="00842D3D">
        <w:rPr>
          <w:rFonts w:eastAsia="Calibri" w:cs="Times New Roman"/>
          <w:i/>
          <w:iCs/>
          <w:szCs w:val="24"/>
        </w:rPr>
        <w:t>Bobbs-Merrill Co. v. Straus</w:t>
      </w:r>
      <w:r w:rsidRPr="00842D3D">
        <w:rPr>
          <w:rFonts w:eastAsia="Calibri" w:cs="Times New Roman"/>
          <w:szCs w:val="24"/>
        </w:rPr>
        <w:t xml:space="preserve">, 210 U.S. 339, 350-51 (1908) (articulating first sale doctrine); </w:t>
      </w:r>
      <w:r w:rsidRPr="00842D3D">
        <w:rPr>
          <w:rFonts w:eastAsia="Calibri" w:cs="Times New Roman"/>
          <w:i/>
          <w:iCs/>
          <w:szCs w:val="24"/>
        </w:rPr>
        <w:t>Vernor v. Autodesk, Inc.</w:t>
      </w:r>
      <w:r w:rsidRPr="00842D3D">
        <w:rPr>
          <w:rFonts w:eastAsia="Calibri" w:cs="Times New Roman"/>
          <w:szCs w:val="24"/>
        </w:rPr>
        <w:t>, 621 F.3d 1102, 1107 (9th Cir. 2010). The doctrine “allows owners of copies of copyrighted</w:t>
      </w:r>
      <w:r w:rsidRPr="00842D3D">
        <w:rPr>
          <w:rFonts w:eastAsia="Calibri" w:cs="Times New Roman"/>
          <w:i/>
          <w:iCs/>
          <w:szCs w:val="24"/>
        </w:rPr>
        <w:t xml:space="preserve"> </w:t>
      </w:r>
      <w:r w:rsidRPr="00842D3D">
        <w:rPr>
          <w:rFonts w:eastAsia="Calibri" w:cs="Times New Roman"/>
          <w:szCs w:val="24"/>
        </w:rPr>
        <w:t>works to resell those copies,” including copies lawfully made abroad, by limiting the copyright</w:t>
      </w:r>
      <w:r w:rsidRPr="00842D3D">
        <w:rPr>
          <w:rFonts w:eastAsia="Calibri" w:cs="Times New Roman"/>
          <w:i/>
          <w:iCs/>
          <w:szCs w:val="24"/>
        </w:rPr>
        <w:t xml:space="preserve"> </w:t>
      </w:r>
      <w:r w:rsidRPr="00842D3D">
        <w:rPr>
          <w:rFonts w:eastAsia="Calibri" w:cs="Times New Roman"/>
          <w:szCs w:val="24"/>
        </w:rPr>
        <w:t xml:space="preserve">holder’s exclusive distribution right to the first sale. </w:t>
      </w:r>
      <w:r w:rsidRPr="00842D3D">
        <w:rPr>
          <w:rFonts w:eastAsia="Calibri" w:cs="Times New Roman"/>
          <w:i/>
          <w:iCs/>
          <w:szCs w:val="24"/>
        </w:rPr>
        <w:t>Vernor</w:t>
      </w:r>
      <w:r w:rsidRPr="00842D3D">
        <w:rPr>
          <w:rFonts w:eastAsia="Calibri" w:cs="Times New Roman"/>
          <w:szCs w:val="24"/>
        </w:rPr>
        <w:t>, 621 F.d</w:t>
      </w:r>
      <w:r w:rsidRPr="00842D3D">
        <w:rPr>
          <w:rFonts w:eastAsia="Calibri" w:cs="Times New Roman"/>
          <w:i/>
          <w:iCs/>
          <w:szCs w:val="24"/>
        </w:rPr>
        <w:t xml:space="preserve"> </w:t>
      </w:r>
      <w:r w:rsidRPr="00842D3D">
        <w:rPr>
          <w:rFonts w:eastAsia="Calibri" w:cs="Times New Roman"/>
          <w:szCs w:val="24"/>
        </w:rPr>
        <w:t xml:space="preserve">at 1106-07; </w:t>
      </w:r>
      <w:r w:rsidRPr="00842D3D">
        <w:rPr>
          <w:rFonts w:eastAsia="Calibri" w:cs="Times New Roman"/>
          <w:i/>
          <w:iCs/>
          <w:szCs w:val="24"/>
        </w:rPr>
        <w:t>Kirtsaeng v. John Wiley &amp; Sons</w:t>
      </w:r>
      <w:r w:rsidRPr="00842D3D">
        <w:rPr>
          <w:rFonts w:eastAsia="Calibri" w:cs="Times New Roman"/>
          <w:szCs w:val="24"/>
        </w:rPr>
        <w:t xml:space="preserve">, </w:t>
      </w:r>
      <w:r w:rsidRPr="00842D3D">
        <w:rPr>
          <w:rFonts w:eastAsia="Calibri" w:cs="Times New Roman"/>
          <w:i/>
          <w:iCs/>
          <w:szCs w:val="24"/>
        </w:rPr>
        <w:t>Inc.</w:t>
      </w:r>
      <w:r w:rsidRPr="00842D3D">
        <w:rPr>
          <w:rFonts w:eastAsia="Calibri" w:cs="Times New Roman"/>
          <w:szCs w:val="24"/>
        </w:rPr>
        <w:t>, 568 U.S. 519, 529-30 (2013);</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Omega S.A. v. Costco Wholesale Corp.</w:t>
      </w:r>
      <w:r w:rsidRPr="00842D3D">
        <w:rPr>
          <w:rFonts w:eastAsia="Calibri" w:cs="Times New Roman"/>
          <w:szCs w:val="24"/>
        </w:rPr>
        <w:t>, 776 F.3d</w:t>
      </w:r>
      <w:r w:rsidRPr="00842D3D">
        <w:rPr>
          <w:rFonts w:eastAsia="Calibri" w:cs="Times New Roman"/>
          <w:i/>
          <w:iCs/>
          <w:szCs w:val="24"/>
        </w:rPr>
        <w:t xml:space="preserve"> </w:t>
      </w:r>
      <w:r w:rsidRPr="00842D3D">
        <w:rPr>
          <w:rFonts w:eastAsia="Calibri" w:cs="Times New Roman"/>
          <w:szCs w:val="24"/>
        </w:rPr>
        <w:t>692, 695 (9th Cir. 2015) (holding that watch manufacturer had no infringement cause of action</w:t>
      </w:r>
      <w:r w:rsidRPr="00842D3D">
        <w:rPr>
          <w:rFonts w:eastAsia="Calibri" w:cs="Times New Roman"/>
          <w:i/>
          <w:iCs/>
          <w:szCs w:val="24"/>
        </w:rPr>
        <w:t xml:space="preserve"> </w:t>
      </w:r>
      <w:r w:rsidRPr="00842D3D">
        <w:rPr>
          <w:rFonts w:eastAsia="Calibri" w:cs="Times New Roman"/>
          <w:szCs w:val="24"/>
        </w:rPr>
        <w:t xml:space="preserve">because its rights to control importation and distribution of its copyrighted work expired after the authorized first sale); </w:t>
      </w:r>
      <w:r w:rsidRPr="00842D3D">
        <w:rPr>
          <w:rFonts w:eastAsia="Calibri" w:cs="Times New Roman"/>
          <w:i/>
          <w:iCs/>
          <w:szCs w:val="24"/>
        </w:rPr>
        <w:t>UMG Recordings, Inc. v. Augusto</w:t>
      </w:r>
      <w:r w:rsidRPr="00842D3D">
        <w:rPr>
          <w:rFonts w:eastAsia="Calibri" w:cs="Times New Roman"/>
          <w:szCs w:val="24"/>
        </w:rPr>
        <w:t>, 628 F.3d 1175, 1179 (9th Cir. 2011) (“Notwithstanding its distinctive name, the [first sale] doctrine applies not only when a copy is first sold, but when a copy is given away or title is otherwise transferred without the accouterments of a sale.”).</w:t>
      </w:r>
    </w:p>
    <w:p w14:paraId="62F6A6F7" w14:textId="77777777" w:rsidR="00842D3D" w:rsidRPr="00842D3D" w:rsidRDefault="00842D3D" w:rsidP="00842D3D">
      <w:pPr>
        <w:autoSpaceDE w:val="0"/>
        <w:autoSpaceDN w:val="0"/>
        <w:adjustRightInd w:val="0"/>
        <w:ind w:firstLine="720"/>
        <w:rPr>
          <w:rFonts w:eastAsia="Calibri" w:cs="Times New Roman"/>
          <w:szCs w:val="24"/>
        </w:rPr>
      </w:pPr>
    </w:p>
    <w:p w14:paraId="2B703C5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first sale defense is unavailable to those who have only a license to use the copyrighted work. </w:t>
      </w:r>
      <w:r w:rsidRPr="00842D3D">
        <w:rPr>
          <w:rFonts w:eastAsia="Calibri" w:cs="Times New Roman"/>
          <w:i/>
          <w:iCs/>
          <w:szCs w:val="24"/>
        </w:rPr>
        <w:t>Vernor</w:t>
      </w:r>
      <w:r w:rsidRPr="00842D3D">
        <w:rPr>
          <w:rFonts w:eastAsia="Calibri" w:cs="Times New Roman"/>
          <w:szCs w:val="24"/>
        </w:rPr>
        <w:t xml:space="preserve">, 621 F.3d at 1107. For an analysis of the owner versus licensee distinction, see </w:t>
      </w:r>
      <w:r w:rsidRPr="00842D3D">
        <w:rPr>
          <w:rFonts w:eastAsia="Calibri" w:cs="Times New Roman"/>
          <w:i/>
          <w:iCs/>
          <w:szCs w:val="24"/>
        </w:rPr>
        <w:t>Adobe Systems Inc. v. Christenson</w:t>
      </w:r>
      <w:r w:rsidRPr="00842D3D">
        <w:rPr>
          <w:rFonts w:eastAsia="Calibri" w:cs="Times New Roman"/>
          <w:szCs w:val="24"/>
        </w:rPr>
        <w:t xml:space="preserve">, 809 F.3d 1071, 1078 (9th Cir. 2015) (analyzing distinction with respect to computer software); </w:t>
      </w:r>
      <w:r w:rsidRPr="00842D3D">
        <w:rPr>
          <w:rFonts w:eastAsia="Calibri" w:cs="Times New Roman"/>
          <w:i/>
          <w:iCs/>
          <w:szCs w:val="24"/>
        </w:rPr>
        <w:t>UMG Recordings</w:t>
      </w:r>
      <w:r w:rsidRPr="00842D3D">
        <w:rPr>
          <w:rFonts w:eastAsia="Calibri" w:cs="Times New Roman"/>
          <w:szCs w:val="24"/>
        </w:rPr>
        <w:t xml:space="preserve">, 628 F.3d at 1180-83 (analyzing distinction with respect to recipients of promotional music CDs); </w:t>
      </w:r>
      <w:r w:rsidRPr="00842D3D">
        <w:rPr>
          <w:rFonts w:eastAsia="Calibri" w:cs="Times New Roman"/>
          <w:i/>
          <w:iCs/>
          <w:szCs w:val="24"/>
        </w:rPr>
        <w:t>Apple Inc. v. Psystar Corp.</w:t>
      </w:r>
      <w:r w:rsidRPr="00842D3D">
        <w:rPr>
          <w:rFonts w:eastAsia="Calibri" w:cs="Times New Roman"/>
          <w:szCs w:val="24"/>
        </w:rPr>
        <w:t>, 658 F.3d 1150, 1155-56 (9th Cir. 2011) (involving computer software);</w:t>
      </w:r>
      <w:r w:rsidRPr="00842D3D">
        <w:rPr>
          <w:rFonts w:eastAsia="Calibri" w:cs="Times New Roman"/>
          <w:i/>
          <w:iCs/>
          <w:szCs w:val="24"/>
        </w:rPr>
        <w:t xml:space="preserve"> Vernor</w:t>
      </w:r>
      <w:r w:rsidRPr="00842D3D">
        <w:rPr>
          <w:rFonts w:eastAsia="Calibri" w:cs="Times New Roman"/>
          <w:szCs w:val="24"/>
        </w:rPr>
        <w:t xml:space="preserve">, 621 F.3d at 1111-12 (involving computer software); and </w:t>
      </w:r>
      <w:r w:rsidRPr="00842D3D">
        <w:rPr>
          <w:rFonts w:eastAsia="Calibri" w:cs="Times New Roman"/>
          <w:i/>
          <w:iCs/>
          <w:szCs w:val="24"/>
        </w:rPr>
        <w:t>United States v. Wise</w:t>
      </w:r>
      <w:r w:rsidRPr="00842D3D">
        <w:rPr>
          <w:rFonts w:eastAsia="Calibri" w:cs="Times New Roman"/>
          <w:szCs w:val="24"/>
        </w:rPr>
        <w:t>, 550 F.2d</w:t>
      </w:r>
      <w:r w:rsidRPr="00842D3D">
        <w:rPr>
          <w:rFonts w:eastAsia="Calibri" w:cs="Times New Roman"/>
          <w:i/>
          <w:iCs/>
          <w:szCs w:val="24"/>
        </w:rPr>
        <w:t xml:space="preserve"> </w:t>
      </w:r>
      <w:r w:rsidRPr="00842D3D">
        <w:rPr>
          <w:rFonts w:eastAsia="Calibri" w:cs="Times New Roman"/>
          <w:szCs w:val="24"/>
        </w:rPr>
        <w:t xml:space="preserve">1180, 1190-92 (9th Cir. 1977) (involving motion pictures in the criminal context). The party asserting the first sale defense has the initial burden of proving “ownership through lawful acquisition.” </w:t>
      </w:r>
      <w:r w:rsidRPr="00842D3D">
        <w:rPr>
          <w:rFonts w:eastAsia="Calibri" w:cs="Times New Roman"/>
          <w:i/>
          <w:iCs/>
          <w:szCs w:val="24"/>
        </w:rPr>
        <w:t>Adobe</w:t>
      </w:r>
      <w:r w:rsidRPr="00842D3D">
        <w:rPr>
          <w:rFonts w:eastAsia="Calibri" w:cs="Times New Roman"/>
          <w:szCs w:val="24"/>
        </w:rPr>
        <w:t xml:space="preserve">, 809 F.3d at 1078-79. If the plaintiff contends that the defendant could not have owned the work, then the plaintiff must prove “a license or the absence of a sale.” </w:t>
      </w:r>
      <w:r w:rsidRPr="00842D3D">
        <w:rPr>
          <w:rFonts w:eastAsia="Calibri" w:cs="Times New Roman"/>
          <w:i/>
          <w:iCs/>
          <w:szCs w:val="24"/>
        </w:rPr>
        <w:t>Id</w:t>
      </w:r>
      <w:r w:rsidRPr="00842D3D">
        <w:rPr>
          <w:rFonts w:eastAsia="Calibri" w:cs="Times New Roman"/>
          <w:szCs w:val="24"/>
        </w:rPr>
        <w:t>.</w:t>
      </w:r>
    </w:p>
    <w:p w14:paraId="0BC834BF" w14:textId="77777777" w:rsidR="00842D3D" w:rsidRPr="00842D3D" w:rsidRDefault="00842D3D" w:rsidP="00842D3D">
      <w:pPr>
        <w:ind w:firstLine="720"/>
        <w:rPr>
          <w:rFonts w:eastAsia="Calibri" w:cs="Times New Roman"/>
          <w:szCs w:val="24"/>
          <w:u w:val="single"/>
        </w:rPr>
      </w:pPr>
    </w:p>
    <w:p w14:paraId="1A9C3405"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58452DE" w14:textId="77777777" w:rsidR="00842D3D" w:rsidRPr="00842D3D" w:rsidRDefault="00842D3D" w:rsidP="00842D3D">
      <w:pPr>
        <w:numPr>
          <w:ilvl w:val="12"/>
          <w:numId w:val="0"/>
        </w:numPr>
        <w:autoSpaceDE w:val="0"/>
        <w:autoSpaceDN w:val="0"/>
        <w:adjustRightInd w:val="0"/>
        <w:rPr>
          <w:rFonts w:eastAsia="Calibri" w:cs="Times New Roman"/>
          <w:b/>
          <w:bCs/>
          <w:szCs w:val="24"/>
        </w:rPr>
      </w:pPr>
      <w:r w:rsidRPr="00842D3D">
        <w:rPr>
          <w:rFonts w:eastAsia="Calibri" w:cs="Times New Roman"/>
          <w:b/>
          <w:bCs/>
          <w:szCs w:val="24"/>
        </w:rPr>
        <w:t xml:space="preserve"> </w:t>
      </w:r>
    </w:p>
    <w:p w14:paraId="706C118C"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7CEA0E48" w14:textId="5947A89D" w:rsidR="00842D3D" w:rsidRPr="00842D3D" w:rsidRDefault="00842D3D" w:rsidP="00313A05">
      <w:pPr>
        <w:pStyle w:val="Heading2"/>
      </w:pPr>
      <w:r w:rsidRPr="00842D3D">
        <w:br w:type="page"/>
      </w:r>
      <w:bookmarkStart w:id="426" w:name="_Toc221525330"/>
      <w:r w:rsidRPr="00842D3D">
        <w:lastRenderedPageBreak/>
        <w:t>17.2</w:t>
      </w:r>
      <w:r w:rsidR="003B11C4">
        <w:t>9</w:t>
      </w:r>
      <w:r w:rsidRPr="00842D3D">
        <w:t xml:space="preserve"> Copyright—Affirmative Defense—Service Provider </w:t>
      </w:r>
      <w:r w:rsidRPr="00842D3D">
        <w:br/>
        <w:t xml:space="preserve">of Network Communications Services Defined </w:t>
      </w:r>
      <w:r w:rsidRPr="00842D3D">
        <w:br/>
        <w:t>(17 U.S.C. §</w:t>
      </w:r>
      <w:r w:rsidR="003B11C4">
        <w:t>§</w:t>
      </w:r>
      <w:r w:rsidRPr="00842D3D">
        <w:t xml:space="preserve"> 512(i), (k))</w:t>
      </w:r>
      <w:bookmarkEnd w:id="426"/>
    </w:p>
    <w:p w14:paraId="3A32EC0C" w14:textId="77777777" w:rsidR="00842D3D" w:rsidRPr="00842D3D" w:rsidRDefault="00842D3D" w:rsidP="00842D3D">
      <w:pPr>
        <w:rPr>
          <w:rFonts w:eastAsia="Calibri" w:cs="Times New Roman"/>
          <w:szCs w:val="24"/>
        </w:rPr>
      </w:pPr>
    </w:p>
    <w:p w14:paraId="4E9666FE"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It is an affirmative defense to copyright infringement if the defendant [</w:t>
      </w:r>
      <w:r w:rsidRPr="00842D3D">
        <w:rPr>
          <w:rFonts w:eastAsia="Calibri" w:cs="Times New Roman"/>
          <w:i/>
          <w:iCs/>
          <w:u w:val="single"/>
        </w:rPr>
        <w:t>name</w:t>
      </w:r>
      <w:r w:rsidRPr="00842D3D">
        <w:rPr>
          <w:rFonts w:eastAsia="Calibri" w:cs="Times New Roman"/>
        </w:rPr>
        <w:t xml:space="preserve">] is a service provider of network communications services that qualifies for safe harbor protection. </w:t>
      </w:r>
    </w:p>
    <w:p w14:paraId="7AFA07EB" w14:textId="77777777" w:rsidR="00842D3D" w:rsidRPr="00842D3D" w:rsidRDefault="00842D3D" w:rsidP="00842D3D">
      <w:pPr>
        <w:autoSpaceDE w:val="0"/>
        <w:autoSpaceDN w:val="0"/>
        <w:adjustRightInd w:val="0"/>
        <w:ind w:firstLine="720"/>
        <w:rPr>
          <w:rFonts w:eastAsia="Calibri" w:cs="Times New Roman"/>
        </w:rPr>
      </w:pPr>
    </w:p>
    <w:p w14:paraId="650EC6EB"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defendant is a service provider if it engaged in transmitting, routing, or providing connections for online communication, between points specified by a user, of material of the user’s choosing, without modification to the content of the material.</w:t>
      </w:r>
    </w:p>
    <w:p w14:paraId="02F20BA7" w14:textId="77777777" w:rsidR="00842D3D" w:rsidRPr="00842D3D" w:rsidRDefault="00842D3D" w:rsidP="00842D3D">
      <w:pPr>
        <w:autoSpaceDE w:val="0"/>
        <w:autoSpaceDN w:val="0"/>
        <w:adjustRightInd w:val="0"/>
        <w:ind w:firstLine="720"/>
        <w:rPr>
          <w:rFonts w:eastAsia="Calibri" w:cs="Times New Roman"/>
        </w:rPr>
      </w:pPr>
    </w:p>
    <w:p w14:paraId="1AB5B6D3"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The defendant qualifies for safe harbor protection if it:</w:t>
      </w:r>
    </w:p>
    <w:p w14:paraId="48337620" w14:textId="77777777" w:rsidR="00842D3D" w:rsidRPr="00842D3D" w:rsidRDefault="00842D3D" w:rsidP="00842D3D">
      <w:pPr>
        <w:autoSpaceDE w:val="0"/>
        <w:autoSpaceDN w:val="0"/>
        <w:adjustRightInd w:val="0"/>
        <w:ind w:firstLine="720"/>
        <w:contextualSpacing/>
        <w:rPr>
          <w:rFonts w:eastAsia="Calibri" w:cs="Times New Roman"/>
        </w:rPr>
      </w:pPr>
    </w:p>
    <w:p w14:paraId="79478050"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First, adopted, reasonably implemented, and informed users of a policy to terminate users who are repeat copyright infringers; and</w:t>
      </w:r>
    </w:p>
    <w:p w14:paraId="47128355" w14:textId="77777777" w:rsidR="00842D3D" w:rsidRPr="00842D3D" w:rsidRDefault="00842D3D" w:rsidP="00842D3D">
      <w:pPr>
        <w:autoSpaceDE w:val="0"/>
        <w:autoSpaceDN w:val="0"/>
        <w:adjustRightInd w:val="0"/>
        <w:ind w:firstLine="720"/>
        <w:rPr>
          <w:rFonts w:eastAsia="Calibri" w:cs="Times New Roman"/>
        </w:rPr>
      </w:pPr>
    </w:p>
    <w:p w14:paraId="2C4540E7"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Second, accommodated and did not interfere with standard technical measures used to identify or protect copyrighted works.</w:t>
      </w:r>
    </w:p>
    <w:p w14:paraId="77D79C68" w14:textId="77777777" w:rsidR="00842D3D" w:rsidRPr="00842D3D" w:rsidRDefault="00842D3D" w:rsidP="00842D3D">
      <w:pPr>
        <w:autoSpaceDE w:val="0"/>
        <w:autoSpaceDN w:val="0"/>
        <w:adjustRightInd w:val="0"/>
        <w:ind w:firstLine="720"/>
        <w:rPr>
          <w:rFonts w:eastAsia="Calibri" w:cs="Times New Roman"/>
        </w:rPr>
      </w:pPr>
    </w:p>
    <w:p w14:paraId="25982E5B"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A37142D" w14:textId="77777777" w:rsidR="00842D3D" w:rsidRPr="00842D3D" w:rsidRDefault="00842D3D" w:rsidP="00842D3D">
      <w:pPr>
        <w:autoSpaceDE w:val="0"/>
        <w:autoSpaceDN w:val="0"/>
        <w:adjustRightInd w:val="0"/>
        <w:ind w:firstLine="720"/>
        <w:rPr>
          <w:rFonts w:eastAsia="Calibri" w:cs="Times New Roman"/>
        </w:rPr>
      </w:pPr>
    </w:p>
    <w:p w14:paraId="0E0DE84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Service providers of network communication services are defendants “who act only as ‘conduits’ for the transmission of information,” and do not “select which users will communicate with each other” or perform nonconduit functions. </w:t>
      </w:r>
      <w:r w:rsidRPr="00842D3D">
        <w:rPr>
          <w:rFonts w:eastAsia="Calibri" w:cs="Times New Roman"/>
          <w:i/>
          <w:iCs/>
        </w:rPr>
        <w:t>Columbia Pictures Indus., Inc. v. Fung</w:t>
      </w:r>
      <w:r w:rsidRPr="00842D3D">
        <w:rPr>
          <w:rFonts w:eastAsia="Calibri" w:cs="Times New Roman"/>
        </w:rPr>
        <w:t xml:space="preserve">, 710 F.3d 1020, 1041 (9th Cir. 2013) (citation omitted). This limitation applies whether the nonconduit functions are “automatic or humanly controlled.” </w:t>
      </w:r>
      <w:r w:rsidRPr="00842D3D">
        <w:rPr>
          <w:rFonts w:eastAsia="Calibri" w:cs="Times New Roman"/>
          <w:i/>
          <w:iCs/>
        </w:rPr>
        <w:t>Id.</w:t>
      </w:r>
      <w:r w:rsidRPr="00842D3D">
        <w:rPr>
          <w:rFonts w:eastAsia="Calibri" w:cs="Times New Roman"/>
        </w:rPr>
        <w:t xml:space="preserve"> at 1042.</w:t>
      </w:r>
    </w:p>
    <w:p w14:paraId="4693BA4A" w14:textId="77777777" w:rsidR="00842D3D" w:rsidRPr="00842D3D" w:rsidRDefault="00842D3D" w:rsidP="00842D3D">
      <w:pPr>
        <w:autoSpaceDE w:val="0"/>
        <w:autoSpaceDN w:val="0"/>
        <w:adjustRightInd w:val="0"/>
        <w:ind w:firstLine="720"/>
        <w:rPr>
          <w:rFonts w:eastAsia="Calibri" w:cs="Times New Roman"/>
        </w:rPr>
      </w:pPr>
    </w:p>
    <w:p w14:paraId="2C5E76F6"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b/>
          <w:bCs/>
        </w:rPr>
        <w:t xml:space="preserve">Reasonably Implemented Policy for the Termination of Users Who Are Repeat Infringers: </w:t>
      </w:r>
      <w:r w:rsidRPr="00842D3D">
        <w:rPr>
          <w:rFonts w:eastAsia="Calibri" w:cs="Times New Roman"/>
        </w:rPr>
        <w:t xml:space="preserve">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842D3D">
        <w:rPr>
          <w:rFonts w:eastAsia="Calibri" w:cs="Times New Roman"/>
          <w:i/>
          <w:iCs/>
        </w:rPr>
        <w:t>Perfect 10, Inc. v. CCBill LLC</w:t>
      </w:r>
      <w:r w:rsidRPr="00842D3D">
        <w:rPr>
          <w:rFonts w:eastAsia="Calibri" w:cs="Times New Roman"/>
        </w:rPr>
        <w:t xml:space="preserve">, 488 F.3d 1102, 1109 (9th Cir. 2007) (collecting cases). However, the notification system does not have to be perfect. </w:t>
      </w:r>
      <w:r w:rsidRPr="00842D3D">
        <w:rPr>
          <w:rFonts w:eastAsia="Calibri" w:cs="Times New Roman"/>
          <w:i/>
          <w:iCs/>
        </w:rPr>
        <w:t xml:space="preserve">Id. </w:t>
      </w:r>
      <w:r w:rsidRPr="00842D3D">
        <w:rPr>
          <w:rFonts w:eastAsia="Calibri" w:cs="Times New Roman"/>
        </w:rPr>
        <w:t xml:space="preserve">at 1110 (concluding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842D3D">
        <w:rPr>
          <w:rFonts w:eastAsia="Calibri" w:cs="Times New Roman"/>
          <w:i/>
          <w:iCs/>
        </w:rPr>
        <w:t xml:space="preserve">Id. </w:t>
      </w:r>
      <w:r w:rsidRPr="00842D3D">
        <w:rPr>
          <w:rFonts w:eastAsia="Calibri" w:cs="Times New Roman"/>
        </w:rPr>
        <w:t xml:space="preserve">at 1112-13; </w:t>
      </w:r>
      <w:r w:rsidRPr="00842D3D">
        <w:rPr>
          <w:rFonts w:eastAsia="Calibri" w:cs="Times New Roman"/>
          <w:i/>
          <w:iCs/>
        </w:rPr>
        <w:t>see also Ventura Content, Ltd. v. Motherless, Inc</w:t>
      </w:r>
      <w:r w:rsidRPr="00842D3D">
        <w:rPr>
          <w:rFonts w:eastAsia="Calibri" w:cs="Times New Roman"/>
        </w:rPr>
        <w:t>., 885 F.3d 597, 617-19 (9th Cir. 2018) (holding that the jury could not reasonably conclude the website operator failed to reasonably implement repeat infringer policy when the operator terminated over 1,320 users for alleged infringement and only nine alleged repeat infringers “slipped through”).</w:t>
      </w:r>
    </w:p>
    <w:p w14:paraId="3F06792F" w14:textId="77777777" w:rsidR="00842D3D" w:rsidRPr="00842D3D" w:rsidRDefault="00842D3D" w:rsidP="00842D3D">
      <w:pPr>
        <w:rPr>
          <w:rFonts w:eastAsia="Calibri" w:cs="Times New Roman"/>
        </w:rPr>
      </w:pPr>
    </w:p>
    <w:p w14:paraId="7663D44A"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6ED42160" w14:textId="77777777" w:rsidR="00842D3D" w:rsidRPr="00842D3D" w:rsidRDefault="00842D3D" w:rsidP="00842D3D">
      <w:pPr>
        <w:rPr>
          <w:rFonts w:eastAsia="Calibri" w:cs="Times New Roman"/>
          <w:szCs w:val="24"/>
        </w:rPr>
      </w:pPr>
    </w:p>
    <w:p w14:paraId="5B1161E0" w14:textId="2D0D9D78" w:rsidR="00842D3D" w:rsidRPr="00842D3D" w:rsidRDefault="00842D3D" w:rsidP="00313A05">
      <w:pPr>
        <w:pStyle w:val="Heading2"/>
      </w:pPr>
      <w:r w:rsidRPr="00842D3D">
        <w:br w:type="page"/>
      </w:r>
      <w:bookmarkStart w:id="427" w:name="_Toc221525331"/>
      <w:r w:rsidRPr="00842D3D">
        <w:lastRenderedPageBreak/>
        <w:t>17.</w:t>
      </w:r>
      <w:r w:rsidR="003B11C4">
        <w:t>30</w:t>
      </w:r>
      <w:r w:rsidRPr="00842D3D">
        <w:t xml:space="preserve"> Copyright—Affirmative Defense—Limitation on Liability for </w:t>
      </w:r>
      <w:r w:rsidRPr="00842D3D">
        <w:br/>
        <w:t>Transitory Digital Network Communications (17 U.S.C. § 512(a))</w:t>
      </w:r>
      <w:bookmarkEnd w:id="427"/>
    </w:p>
    <w:p w14:paraId="44E4ADE9" w14:textId="77777777" w:rsidR="00842D3D" w:rsidRPr="00842D3D" w:rsidRDefault="00842D3D" w:rsidP="00842D3D">
      <w:pPr>
        <w:rPr>
          <w:rFonts w:eastAsia="Calibri" w:cs="Times New Roman"/>
          <w:szCs w:val="24"/>
        </w:rPr>
      </w:pPr>
    </w:p>
    <w:p w14:paraId="13F08DD4"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 and therefore is not liable for copyright infringement because the infringement occurred in the context of transitory digital communications. The defendant [</w:t>
      </w:r>
      <w:r w:rsidRPr="00842D3D">
        <w:rPr>
          <w:rFonts w:eastAsia="Calibri" w:cs="Times New Roman"/>
          <w:i/>
          <w:iCs/>
          <w:szCs w:val="24"/>
          <w:u w:val="single"/>
        </w:rPr>
        <w:t>name</w:t>
      </w:r>
      <w:r w:rsidRPr="00842D3D">
        <w:rPr>
          <w:rFonts w:eastAsia="Calibri" w:cs="Times New Roman"/>
          <w:szCs w:val="24"/>
        </w:rPr>
        <w:t>] has the burden of proving the following elements of this defense by a preponderance of the evidence:</w:t>
      </w:r>
    </w:p>
    <w:p w14:paraId="0E7DAAC0" w14:textId="77777777" w:rsidR="00842D3D" w:rsidRPr="00842D3D" w:rsidRDefault="00842D3D" w:rsidP="00842D3D">
      <w:pPr>
        <w:autoSpaceDE w:val="0"/>
        <w:autoSpaceDN w:val="0"/>
        <w:adjustRightInd w:val="0"/>
        <w:rPr>
          <w:rFonts w:eastAsia="Calibri" w:cs="Times New Roman"/>
          <w:szCs w:val="24"/>
        </w:rPr>
      </w:pPr>
    </w:p>
    <w:p w14:paraId="060C4C17"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w:t>
      </w:r>
    </w:p>
    <w:p w14:paraId="20CFB4A5" w14:textId="77777777" w:rsidR="00842D3D" w:rsidRPr="00842D3D" w:rsidRDefault="00842D3D" w:rsidP="00842D3D">
      <w:pPr>
        <w:autoSpaceDE w:val="0"/>
        <w:autoSpaceDN w:val="0"/>
        <w:adjustRightInd w:val="0"/>
        <w:ind w:firstLine="720"/>
        <w:contextualSpacing/>
        <w:rPr>
          <w:rFonts w:eastAsia="Calibri" w:cs="Times New Roman"/>
          <w:szCs w:val="24"/>
        </w:rPr>
      </w:pPr>
    </w:p>
    <w:p w14:paraId="5B51F0D0"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did not initiate or direct the transmission of the material;</w:t>
      </w:r>
    </w:p>
    <w:p w14:paraId="7190315A" w14:textId="77777777" w:rsidR="00842D3D" w:rsidRPr="00842D3D" w:rsidRDefault="00842D3D" w:rsidP="00842D3D">
      <w:pPr>
        <w:autoSpaceDE w:val="0"/>
        <w:autoSpaceDN w:val="0"/>
        <w:adjustRightInd w:val="0"/>
        <w:ind w:firstLine="720"/>
        <w:rPr>
          <w:rFonts w:eastAsia="Calibri" w:cs="Times New Roman"/>
          <w:szCs w:val="24"/>
        </w:rPr>
      </w:pPr>
    </w:p>
    <w:p w14:paraId="43C24913"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Third, the transmission, routing, provision of connections, or storage of the copyrighted material was carried out through an automatic technical process, and the defendant [</w:t>
      </w:r>
      <w:r w:rsidRPr="00842D3D">
        <w:rPr>
          <w:rFonts w:eastAsia="Calibri" w:cs="Times New Roman"/>
          <w:i/>
          <w:iCs/>
          <w:szCs w:val="24"/>
          <w:u w:val="single"/>
        </w:rPr>
        <w:t>name</w:t>
      </w:r>
      <w:r w:rsidRPr="00842D3D">
        <w:rPr>
          <w:rFonts w:eastAsia="Calibri" w:cs="Times New Roman"/>
          <w:szCs w:val="24"/>
        </w:rPr>
        <w:t>] did not select the material;</w:t>
      </w:r>
    </w:p>
    <w:p w14:paraId="0F7A2FA7" w14:textId="77777777" w:rsidR="00842D3D" w:rsidRPr="00842D3D" w:rsidRDefault="00842D3D" w:rsidP="00842D3D">
      <w:pPr>
        <w:ind w:firstLine="720"/>
        <w:contextualSpacing/>
        <w:rPr>
          <w:rFonts w:eastAsia="Calibri" w:cs="Times New Roman"/>
          <w:szCs w:val="24"/>
        </w:rPr>
      </w:pPr>
    </w:p>
    <w:p w14:paraId="5D82D3A9"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w:t>
      </w:r>
      <w:r w:rsidRPr="00842D3D">
        <w:rPr>
          <w:rFonts w:eastAsia="Calibri" w:cs="Times New Roman"/>
          <w:szCs w:val="24"/>
        </w:rPr>
        <w:t>] did not select the recipients of the material except as an automatic response to a request of another person;</w:t>
      </w:r>
    </w:p>
    <w:p w14:paraId="7EFEEADC" w14:textId="77777777" w:rsidR="00842D3D" w:rsidRPr="00842D3D" w:rsidRDefault="00842D3D" w:rsidP="00842D3D">
      <w:pPr>
        <w:ind w:firstLine="720"/>
        <w:contextualSpacing/>
        <w:rPr>
          <w:rFonts w:eastAsia="Calibri" w:cs="Times New Roman"/>
          <w:szCs w:val="24"/>
        </w:rPr>
      </w:pPr>
    </w:p>
    <w:p w14:paraId="1484EC6A"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Fifth, the defendant [</w:t>
      </w:r>
      <w:r w:rsidRPr="00842D3D">
        <w:rPr>
          <w:rFonts w:eastAsia="Calibri" w:cs="Times New Roman"/>
          <w:i/>
          <w:iCs/>
          <w:szCs w:val="24"/>
          <w:u w:val="single"/>
        </w:rPr>
        <w:t>name</w:t>
      </w:r>
      <w:r w:rsidRPr="00842D3D">
        <w:rPr>
          <w:rFonts w:eastAsia="Calibri" w:cs="Times New Roman"/>
          <w:szCs w:val="24"/>
        </w:rPr>
        <w:t>] did not make the material accessible to anyone other than to anticipated recipients;</w:t>
      </w:r>
    </w:p>
    <w:p w14:paraId="4A6E66F7" w14:textId="77777777" w:rsidR="00842D3D" w:rsidRPr="00842D3D" w:rsidRDefault="00842D3D" w:rsidP="00842D3D">
      <w:pPr>
        <w:ind w:firstLine="720"/>
        <w:contextualSpacing/>
        <w:rPr>
          <w:rFonts w:eastAsia="Calibri" w:cs="Times New Roman"/>
          <w:szCs w:val="24"/>
        </w:rPr>
      </w:pPr>
    </w:p>
    <w:p w14:paraId="0870DE03"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Sixth, the defendant [</w:t>
      </w:r>
      <w:r w:rsidRPr="00842D3D">
        <w:rPr>
          <w:rFonts w:eastAsia="Calibri" w:cs="Times New Roman"/>
          <w:i/>
          <w:iCs/>
          <w:szCs w:val="24"/>
          <w:u w:val="single"/>
        </w:rPr>
        <w:t>name</w:t>
      </w:r>
      <w:r w:rsidRPr="00842D3D">
        <w:rPr>
          <w:rFonts w:eastAsia="Calibri" w:cs="Times New Roman"/>
          <w:szCs w:val="24"/>
        </w:rPr>
        <w:t>] did not keep the copyrighted material for longer than is reasonably necessary for the transmission, routing, or provision of connections; and</w:t>
      </w:r>
    </w:p>
    <w:p w14:paraId="6D01C91E" w14:textId="77777777" w:rsidR="00842D3D" w:rsidRPr="00842D3D" w:rsidRDefault="00842D3D" w:rsidP="00842D3D">
      <w:pPr>
        <w:ind w:firstLine="720"/>
        <w:contextualSpacing/>
        <w:rPr>
          <w:rFonts w:eastAsia="Calibri" w:cs="Times New Roman"/>
          <w:szCs w:val="24"/>
        </w:rPr>
      </w:pPr>
    </w:p>
    <w:p w14:paraId="788D6E4B"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Seventh, the defendant [</w:t>
      </w:r>
      <w:r w:rsidRPr="00842D3D">
        <w:rPr>
          <w:rFonts w:eastAsia="Calibri" w:cs="Times New Roman"/>
          <w:i/>
          <w:iCs/>
          <w:szCs w:val="24"/>
          <w:u w:val="single"/>
        </w:rPr>
        <w:t>name</w:t>
      </w:r>
      <w:r w:rsidRPr="00842D3D">
        <w:rPr>
          <w:rFonts w:eastAsia="Calibri" w:cs="Times New Roman"/>
          <w:szCs w:val="24"/>
        </w:rPr>
        <w:t>] transmitted the material through the system or network without modifying the content.</w:t>
      </w:r>
    </w:p>
    <w:p w14:paraId="64CD30C0" w14:textId="77777777" w:rsidR="00842D3D" w:rsidRPr="00842D3D" w:rsidRDefault="00842D3D" w:rsidP="00842D3D">
      <w:pPr>
        <w:autoSpaceDE w:val="0"/>
        <w:autoSpaceDN w:val="0"/>
        <w:adjustRightInd w:val="0"/>
        <w:rPr>
          <w:rFonts w:eastAsia="Calibri" w:cs="Times New Roman"/>
          <w:szCs w:val="24"/>
        </w:rPr>
      </w:pPr>
    </w:p>
    <w:p w14:paraId="2ED4192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19D6D4FA" w14:textId="77777777" w:rsidR="00842D3D" w:rsidRPr="00842D3D" w:rsidRDefault="00842D3D" w:rsidP="00842D3D">
      <w:pPr>
        <w:autoSpaceDE w:val="0"/>
        <w:autoSpaceDN w:val="0"/>
        <w:adjustRightInd w:val="0"/>
        <w:ind w:firstLine="720"/>
        <w:rPr>
          <w:rFonts w:eastAsia="Calibri" w:cs="Times New Roman"/>
          <w:szCs w:val="24"/>
        </w:rPr>
      </w:pPr>
    </w:p>
    <w:p w14:paraId="61B5377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C9B82" w14:textId="77777777" w:rsidR="00842D3D" w:rsidRPr="00842D3D" w:rsidRDefault="00842D3D" w:rsidP="00842D3D">
      <w:pPr>
        <w:autoSpaceDE w:val="0"/>
        <w:autoSpaceDN w:val="0"/>
        <w:adjustRightInd w:val="0"/>
        <w:jc w:val="center"/>
        <w:rPr>
          <w:rFonts w:eastAsia="Calibri" w:cs="Times New Roman"/>
          <w:szCs w:val="24"/>
        </w:rPr>
      </w:pPr>
    </w:p>
    <w:p w14:paraId="6486793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the Digital Millennium Copyright Act’s (“DMCA”) safe harbor provision for transitory digital network communications. </w:t>
      </w:r>
      <w:r w:rsidRPr="00842D3D">
        <w:rPr>
          <w:rFonts w:eastAsia="Calibri" w:cs="Times New Roman"/>
          <w:i/>
          <w:iCs/>
          <w:szCs w:val="24"/>
        </w:rPr>
        <w:t xml:space="preserve">See </w:t>
      </w:r>
      <w:r w:rsidRPr="00842D3D">
        <w:rPr>
          <w:rFonts w:eastAsia="Calibri" w:cs="Times New Roman"/>
          <w:szCs w:val="24"/>
        </w:rPr>
        <w:t xml:space="preserve">17 U.S.C. §§ 512(a), (k). The DMCA safe harbor provisions are affirmative defenses to copyright infringement. </w:t>
      </w:r>
      <w:bookmarkStart w:id="428" w:name="_Hlk149816978"/>
      <w:r w:rsidRPr="00842D3D">
        <w:rPr>
          <w:rFonts w:eastAsia="Calibri" w:cs="Times New Roman"/>
          <w:i/>
          <w:iCs/>
          <w:szCs w:val="24"/>
        </w:rPr>
        <w:t>See Mavrix Photographs, LLC v. LiveJournal, Inc.</w:t>
      </w:r>
      <w:r w:rsidRPr="00842D3D">
        <w:rPr>
          <w:rFonts w:eastAsia="Calibri" w:cs="Times New Roman"/>
          <w:szCs w:val="24"/>
        </w:rPr>
        <w:t>, 873 F.3d 1045,</w:t>
      </w:r>
      <w:r w:rsidRPr="00842D3D">
        <w:rPr>
          <w:rFonts w:eastAsia="Calibri" w:cs="Times New Roman"/>
          <w:i/>
          <w:iCs/>
          <w:szCs w:val="24"/>
        </w:rPr>
        <w:t xml:space="preserve"> </w:t>
      </w:r>
      <w:r w:rsidRPr="00842D3D">
        <w:rPr>
          <w:rFonts w:eastAsia="Calibri" w:cs="Times New Roman"/>
          <w:szCs w:val="24"/>
        </w:rPr>
        <w:t>1052 (9th Cir. 2017</w:t>
      </w:r>
      <w:bookmarkEnd w:id="428"/>
      <w:r w:rsidRPr="00842D3D">
        <w:rPr>
          <w:rFonts w:eastAsia="Calibri" w:cs="Times New Roman"/>
          <w:szCs w:val="24"/>
        </w:rPr>
        <w:t xml:space="preserve">); </w:t>
      </w:r>
      <w:r w:rsidRPr="00842D3D">
        <w:rPr>
          <w:rFonts w:eastAsia="Calibri" w:cs="Times New Roman"/>
          <w:i/>
          <w:iCs/>
          <w:szCs w:val="24"/>
        </w:rPr>
        <w:t>Columbia Pictures Indus., Inc. v. Fung</w:t>
      </w:r>
      <w:r w:rsidRPr="00842D3D">
        <w:rPr>
          <w:rFonts w:eastAsia="Calibri" w:cs="Times New Roman"/>
          <w:szCs w:val="24"/>
        </w:rPr>
        <w:t xml:space="preserve">, 710 F.3d 1020, 1039 (9th Cir. 2013). They “provide protection from liability for: (1) transitory digital network communications; (2) system caching; (3) information residing on systems or networks at the direction of users; and (4) information location tools.” </w:t>
      </w:r>
      <w:r w:rsidRPr="00842D3D">
        <w:rPr>
          <w:rFonts w:eastAsia="Calibri" w:cs="Times New Roman"/>
          <w:i/>
          <w:iCs/>
          <w:szCs w:val="24"/>
        </w:rPr>
        <w:t>Ellison v. Robertson</w:t>
      </w:r>
      <w:r w:rsidRPr="00842D3D">
        <w:rPr>
          <w:rFonts w:eastAsia="Calibri" w:cs="Times New Roman"/>
          <w:szCs w:val="24"/>
        </w:rPr>
        <w:t>, 357 F.3d 1072, 1076-77 (9th Cir. 2004) (footnotes omitted).</w:t>
      </w:r>
    </w:p>
    <w:p w14:paraId="15E4BBD4" w14:textId="77777777" w:rsidR="00842D3D" w:rsidRPr="00842D3D" w:rsidRDefault="00842D3D" w:rsidP="00842D3D">
      <w:pPr>
        <w:autoSpaceDE w:val="0"/>
        <w:autoSpaceDN w:val="0"/>
        <w:adjustRightInd w:val="0"/>
        <w:rPr>
          <w:rFonts w:eastAsia="Calibri" w:cs="Times New Roman"/>
          <w:szCs w:val="24"/>
        </w:rPr>
      </w:pPr>
    </w:p>
    <w:p w14:paraId="0306602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lastRenderedPageBreak/>
        <w:t xml:space="preserve">The DMCA was “enacted to foster cooperation among copyright holders and service providers in dealing with infringement on the Internet.” </w:t>
      </w:r>
      <w:r w:rsidRPr="00842D3D">
        <w:rPr>
          <w:rFonts w:eastAsia="Calibri" w:cs="Times New Roman"/>
          <w:i/>
          <w:iCs/>
          <w:szCs w:val="24"/>
        </w:rPr>
        <w:t>UMG Recordings, Inc. v. Shelter Cap. Partners LLC</w:t>
      </w:r>
      <w:r w:rsidRPr="00842D3D">
        <w:rPr>
          <w:rFonts w:eastAsia="Calibri" w:cs="Times New Roman"/>
          <w:szCs w:val="24"/>
        </w:rPr>
        <w:t xml:space="preserve">, 718 F.3d 1006, 1021-22 (9th Cir. 2013) (citing congressional legislative history). It is intended to mediate “competing interests in protecting intellectual property interests and in encouraging creative development of devices for using the Internet to make information available.” </w:t>
      </w:r>
      <w:r w:rsidRPr="00842D3D">
        <w:rPr>
          <w:rFonts w:eastAsia="Calibri" w:cs="Times New Roman"/>
          <w:i/>
          <w:iCs/>
          <w:szCs w:val="24"/>
        </w:rPr>
        <w:t>Columbia Pictures</w:t>
      </w:r>
      <w:r w:rsidRPr="00842D3D">
        <w:rPr>
          <w:rFonts w:eastAsia="Calibri" w:cs="Times New Roman"/>
          <w:szCs w:val="24"/>
        </w:rPr>
        <w:t xml:space="preserve">, 710 F.3d at 1024. </w:t>
      </w:r>
      <w:bookmarkStart w:id="429" w:name="_Hlk149817662"/>
      <w:r w:rsidRPr="00842D3D">
        <w:rPr>
          <w:rFonts w:eastAsia="Calibri" w:cs="Times New Roman"/>
          <w:szCs w:val="24"/>
        </w:rPr>
        <w:t xml:space="preserve">This defense can be used by a service provider of network communication services when “the service provider merely acts as a conduit for infringing material without storing, caching, or providing links to copyrighted material.” </w:t>
      </w:r>
      <w:bookmarkStart w:id="430" w:name="_Hlk149817719"/>
      <w:bookmarkEnd w:id="429"/>
      <w:r w:rsidRPr="00842D3D">
        <w:rPr>
          <w:rFonts w:eastAsia="Calibri" w:cs="Times New Roman"/>
          <w:i/>
          <w:iCs/>
          <w:szCs w:val="24"/>
        </w:rPr>
        <w:t>UMG Recordings, Inc.</w:t>
      </w:r>
      <w:r w:rsidRPr="00842D3D">
        <w:rPr>
          <w:rFonts w:eastAsia="Calibri" w:cs="Times New Roman"/>
          <w:szCs w:val="24"/>
        </w:rPr>
        <w:t>, 718 F.3d at 1019 n.10 (internal quotation marks and citations omitted).</w:t>
      </w:r>
      <w:bookmarkEnd w:id="430"/>
    </w:p>
    <w:p w14:paraId="26A36B1F" w14:textId="77777777" w:rsidR="00842D3D" w:rsidRPr="00842D3D" w:rsidRDefault="00842D3D" w:rsidP="00842D3D">
      <w:pPr>
        <w:autoSpaceDE w:val="0"/>
        <w:autoSpaceDN w:val="0"/>
        <w:adjustRightInd w:val="0"/>
        <w:rPr>
          <w:rFonts w:eastAsia="Calibri" w:cs="Times New Roman"/>
          <w:szCs w:val="24"/>
        </w:rPr>
      </w:pPr>
    </w:p>
    <w:p w14:paraId="66514B85" w14:textId="05D6D1E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a definition of a service provider of network communication services, see</w:t>
      </w:r>
      <w:r w:rsidRPr="00842D3D">
        <w:rPr>
          <w:rFonts w:eastAsia="Calibri" w:cs="Times New Roman"/>
          <w:i/>
          <w:iCs/>
          <w:szCs w:val="24"/>
        </w:rPr>
        <w:t xml:space="preserve"> </w:t>
      </w:r>
      <w:r w:rsidRPr="00842D3D">
        <w:rPr>
          <w:rFonts w:eastAsia="Calibri" w:cs="Times New Roman"/>
          <w:szCs w:val="24"/>
        </w:rPr>
        <w:t>Instruction 17.2</w:t>
      </w:r>
      <w:r w:rsidR="009818E2">
        <w:rPr>
          <w:rFonts w:eastAsia="Calibri" w:cs="Times New Roman"/>
          <w:szCs w:val="24"/>
        </w:rPr>
        <w:t>9</w:t>
      </w:r>
      <w:r w:rsidRPr="00842D3D">
        <w:rPr>
          <w:rFonts w:eastAsia="Calibri" w:cs="Times New Roman"/>
          <w:szCs w:val="24"/>
        </w:rPr>
        <w:t xml:space="preserve"> (Copyright—Affirmative Defense—Service Provider of Network Communications Services Defined (17 U.S.C. § 512(a))). </w:t>
      </w:r>
      <w:bookmarkStart w:id="431" w:name="_Hlk149816601"/>
      <w:r w:rsidRPr="00842D3D">
        <w:rPr>
          <w:rFonts w:eastAsia="Calibri" w:cs="Times New Roman"/>
          <w:szCs w:val="24"/>
        </w:rPr>
        <w:t xml:space="preserve">For commentary on a </w:t>
      </w:r>
      <w:bookmarkStart w:id="432" w:name="_Hlk149816382"/>
      <w:r w:rsidRPr="00842D3D">
        <w:rPr>
          <w:rFonts w:eastAsia="Calibri" w:cs="Times New Roman"/>
          <w:szCs w:val="24"/>
        </w:rPr>
        <w:t>reasonably implemented policy for the termination of users who are repeat infringers</w:t>
      </w:r>
      <w:bookmarkEnd w:id="432"/>
      <w:r w:rsidRPr="00842D3D">
        <w:rPr>
          <w:rFonts w:eastAsia="Calibri" w:cs="Times New Roman"/>
          <w:szCs w:val="24"/>
        </w:rPr>
        <w:t>, see Instruction 17.2</w:t>
      </w:r>
      <w:r w:rsidR="009818E2">
        <w:rPr>
          <w:rFonts w:eastAsia="Calibri" w:cs="Times New Roman"/>
          <w:szCs w:val="24"/>
        </w:rPr>
        <w:t xml:space="preserve">9 </w:t>
      </w:r>
      <w:r w:rsidRPr="00842D3D">
        <w:rPr>
          <w:rFonts w:eastAsia="Calibri" w:cs="Times New Roman"/>
          <w:szCs w:val="24"/>
        </w:rPr>
        <w:t>(Copyright—Affirmative Defense—Service Provider of Network Communications Services Defined (17 U.S.C. § 512(a))).</w:t>
      </w:r>
      <w:bookmarkEnd w:id="431"/>
    </w:p>
    <w:p w14:paraId="57CB14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4D284B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Kept for No Longer Than Reasonably Necessary for Transmission: </w:t>
      </w:r>
      <w:r w:rsidRPr="00842D3D">
        <w:rPr>
          <w:rFonts w:eastAsia="Calibri" w:cs="Times New Roman"/>
          <w:szCs w:val="24"/>
        </w:rPr>
        <w:t xml:space="preserve">A period of fourteen days of temporary storage can qualify as storage for no longer than is reasonably necessary for transmission. </w:t>
      </w:r>
      <w:r w:rsidRPr="00842D3D">
        <w:rPr>
          <w:rFonts w:eastAsia="Calibri" w:cs="Times New Roman"/>
          <w:i/>
          <w:iCs/>
          <w:szCs w:val="24"/>
        </w:rPr>
        <w:t>Ellison</w:t>
      </w:r>
      <w:r w:rsidRPr="00842D3D">
        <w:rPr>
          <w:rFonts w:eastAsia="Calibri" w:cs="Times New Roman"/>
          <w:szCs w:val="24"/>
        </w:rPr>
        <w:t>, 357 F.3d at 1081.</w:t>
      </w:r>
    </w:p>
    <w:p w14:paraId="3B39AC42" w14:textId="77777777" w:rsidR="00842D3D" w:rsidRPr="00842D3D" w:rsidRDefault="00842D3D" w:rsidP="00842D3D">
      <w:pPr>
        <w:autoSpaceDE w:val="0"/>
        <w:autoSpaceDN w:val="0"/>
        <w:adjustRightInd w:val="0"/>
        <w:ind w:firstLine="720"/>
        <w:rPr>
          <w:rFonts w:eastAsia="Calibri" w:cs="Times New Roman"/>
          <w:szCs w:val="24"/>
        </w:rPr>
      </w:pPr>
    </w:p>
    <w:p w14:paraId="2E9222AA"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748A08F"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8446EC1" w14:textId="1098B1D0" w:rsidR="00842D3D" w:rsidRPr="00842D3D" w:rsidRDefault="00842D3D" w:rsidP="00313A05">
      <w:pPr>
        <w:pStyle w:val="Heading2"/>
      </w:pPr>
      <w:r w:rsidRPr="00842D3D">
        <w:br w:type="page"/>
      </w:r>
      <w:bookmarkStart w:id="433" w:name="_Toc221525332"/>
      <w:r w:rsidRPr="00842D3D">
        <w:lastRenderedPageBreak/>
        <w:t>17.</w:t>
      </w:r>
      <w:r w:rsidR="003B11C4">
        <w:t>31</w:t>
      </w:r>
      <w:r w:rsidRPr="00842D3D">
        <w:t xml:space="preserve"> Copyright—Affirmative Defense—Limitation on Liability for System Caching (17 U.S.C. § 512(b))</w:t>
      </w:r>
      <w:bookmarkEnd w:id="433"/>
    </w:p>
    <w:p w14:paraId="7459D60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3574A46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If the defendant is a service provider and is facing liability for copyright infringement based on system caching of copyrighted material, the defendant is not liable for money damages.</w:t>
      </w:r>
    </w:p>
    <w:p w14:paraId="56D31559" w14:textId="77777777" w:rsidR="00842D3D" w:rsidRPr="00842D3D" w:rsidRDefault="00842D3D" w:rsidP="00842D3D">
      <w:pPr>
        <w:widowControl w:val="0"/>
        <w:autoSpaceDE w:val="0"/>
        <w:autoSpaceDN w:val="0"/>
        <w:ind w:firstLine="720"/>
        <w:rPr>
          <w:rFonts w:eastAsia="Times New Roman" w:cs="Times New Roman"/>
          <w:szCs w:val="24"/>
        </w:rPr>
      </w:pPr>
    </w:p>
    <w:p w14:paraId="7AE6D7B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is not liable for copyright infringement because the intermediate and temporary storage of copyrighted material occurred during system caching.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by a preponderance of the evidence that the defendant is eligible to use this defense and that the defense applies.</w:t>
      </w:r>
    </w:p>
    <w:p w14:paraId="04ED6B69" w14:textId="77777777" w:rsidR="00842D3D" w:rsidRPr="00842D3D" w:rsidRDefault="00842D3D" w:rsidP="00842D3D">
      <w:pPr>
        <w:widowControl w:val="0"/>
        <w:autoSpaceDE w:val="0"/>
        <w:autoSpaceDN w:val="0"/>
        <w:ind w:firstLine="720"/>
        <w:rPr>
          <w:rFonts w:eastAsia="Times New Roman" w:cs="Times New Roman"/>
          <w:szCs w:val="24"/>
        </w:rPr>
      </w:pPr>
    </w:p>
    <w:p w14:paraId="233E40FC"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is eligible to use the defense of system caching if the defendant:</w:t>
      </w:r>
    </w:p>
    <w:p w14:paraId="264FD2F9" w14:textId="77777777" w:rsidR="00842D3D" w:rsidRPr="00842D3D" w:rsidRDefault="00842D3D" w:rsidP="00842D3D">
      <w:pPr>
        <w:widowControl w:val="0"/>
        <w:autoSpaceDE w:val="0"/>
        <w:autoSpaceDN w:val="0"/>
        <w:ind w:firstLine="720"/>
        <w:rPr>
          <w:rFonts w:eastAsia="Times New Roman" w:cs="Times New Roman"/>
          <w:szCs w:val="24"/>
        </w:rPr>
      </w:pPr>
    </w:p>
    <w:p w14:paraId="5F5D629D"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First, is a service provider of network communication services, online services, or network access;</w:t>
      </w:r>
    </w:p>
    <w:p w14:paraId="1C9CF7CE" w14:textId="77777777" w:rsidR="00842D3D" w:rsidRPr="00842D3D" w:rsidRDefault="00842D3D" w:rsidP="00842D3D">
      <w:pPr>
        <w:widowControl w:val="0"/>
        <w:autoSpaceDE w:val="0"/>
        <w:autoSpaceDN w:val="0"/>
        <w:ind w:right="720" w:firstLine="720"/>
        <w:rPr>
          <w:rFonts w:eastAsia="Times New Roman" w:cs="Times New Roman"/>
          <w:szCs w:val="24"/>
        </w:rPr>
      </w:pPr>
    </w:p>
    <w:p w14:paraId="4CDB5A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Second, adopted, reasonably implemented, and informed users of a policy to terminate users who are repeat copyright infringers;</w:t>
      </w:r>
    </w:p>
    <w:p w14:paraId="1625F13C" w14:textId="77777777" w:rsidR="00842D3D" w:rsidRPr="00842D3D" w:rsidRDefault="00842D3D" w:rsidP="00842D3D">
      <w:pPr>
        <w:widowControl w:val="0"/>
        <w:autoSpaceDE w:val="0"/>
        <w:autoSpaceDN w:val="0"/>
        <w:ind w:right="720" w:firstLine="720"/>
        <w:rPr>
          <w:rFonts w:eastAsia="Times New Roman" w:cs="Times New Roman"/>
          <w:szCs w:val="24"/>
        </w:rPr>
      </w:pPr>
    </w:p>
    <w:p w14:paraId="48A449A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accommodated and did not interfere with standard technical measures used to identify or protect copyrighted works; and</w:t>
      </w:r>
    </w:p>
    <w:p w14:paraId="61AAC171" w14:textId="77777777" w:rsidR="00842D3D" w:rsidRPr="00842D3D" w:rsidRDefault="00842D3D" w:rsidP="00842D3D">
      <w:pPr>
        <w:widowControl w:val="0"/>
        <w:autoSpaceDE w:val="0"/>
        <w:autoSpaceDN w:val="0"/>
        <w:ind w:right="720" w:firstLine="720"/>
        <w:rPr>
          <w:rFonts w:eastAsia="Times New Roman" w:cs="Times New Roman"/>
          <w:szCs w:val="24"/>
        </w:rPr>
      </w:pPr>
    </w:p>
    <w:p w14:paraId="6ECBFF3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designated an agent to receive notifications of claimed infringement, and made the agent’s name, phone number, and email address available on its website and to the Copyright Office.</w:t>
      </w:r>
    </w:p>
    <w:p w14:paraId="230AC1CA"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6EB92FEE"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Calibri" w:cs="Times New Roman"/>
          <w:szCs w:val="24"/>
        </w:rPr>
        <w:t>The defense of system caching applies if:</w:t>
      </w:r>
    </w:p>
    <w:p w14:paraId="5170BD96" w14:textId="77777777" w:rsidR="00842D3D" w:rsidRPr="00842D3D" w:rsidRDefault="00842D3D" w:rsidP="00842D3D">
      <w:pPr>
        <w:widowControl w:val="0"/>
        <w:autoSpaceDE w:val="0"/>
        <w:autoSpaceDN w:val="0"/>
        <w:ind w:right="720" w:firstLine="720"/>
        <w:rPr>
          <w:rFonts w:eastAsia="Times New Roman" w:cs="Times New Roman"/>
          <w:szCs w:val="24"/>
        </w:rPr>
      </w:pPr>
    </w:p>
    <w:p w14:paraId="6D2614B5"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First, the material was made available online by a person other than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68F54F33" w14:textId="77777777" w:rsidR="00842D3D" w:rsidRPr="00842D3D" w:rsidRDefault="00842D3D" w:rsidP="00842D3D">
      <w:pPr>
        <w:widowControl w:val="0"/>
        <w:autoSpaceDE w:val="0"/>
        <w:autoSpaceDN w:val="0"/>
        <w:ind w:right="720" w:firstLine="720"/>
        <w:rPr>
          <w:rFonts w:eastAsia="Times New Roman" w:cs="Times New Roman"/>
          <w:szCs w:val="24"/>
        </w:rPr>
      </w:pPr>
    </w:p>
    <w:p w14:paraId="25EC43A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Second, the material was not transmitted to, from, or at the request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73EC1543" w14:textId="77777777" w:rsidR="00842D3D" w:rsidRPr="00842D3D" w:rsidRDefault="00842D3D" w:rsidP="00842D3D">
      <w:pPr>
        <w:widowControl w:val="0"/>
        <w:autoSpaceDE w:val="0"/>
        <w:autoSpaceDN w:val="0"/>
        <w:ind w:right="720" w:firstLine="720"/>
        <w:rPr>
          <w:rFonts w:eastAsia="Times New Roman" w:cs="Times New Roman"/>
          <w:szCs w:val="24"/>
        </w:rPr>
      </w:pPr>
    </w:p>
    <w:p w14:paraId="42F8A300"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the storage of the copyrighted material occurred through an automatic technical process;</w:t>
      </w:r>
    </w:p>
    <w:p w14:paraId="579213FC" w14:textId="77777777" w:rsidR="00842D3D" w:rsidRPr="00842D3D" w:rsidRDefault="00842D3D" w:rsidP="00842D3D">
      <w:pPr>
        <w:widowControl w:val="0"/>
        <w:autoSpaceDE w:val="0"/>
        <w:autoSpaceDN w:val="0"/>
        <w:ind w:right="720" w:firstLine="720"/>
        <w:rPr>
          <w:rFonts w:eastAsia="Times New Roman" w:cs="Times New Roman"/>
          <w:szCs w:val="24"/>
        </w:rPr>
      </w:pPr>
    </w:p>
    <w:p w14:paraId="1A1594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the system caching did not modify the content of the material;</w:t>
      </w:r>
    </w:p>
    <w:p w14:paraId="48E8E017" w14:textId="77777777" w:rsidR="00842D3D" w:rsidRPr="00842D3D" w:rsidRDefault="00842D3D" w:rsidP="00842D3D">
      <w:pPr>
        <w:widowControl w:val="0"/>
        <w:autoSpaceDE w:val="0"/>
        <w:autoSpaceDN w:val="0"/>
        <w:ind w:right="720" w:firstLine="720"/>
        <w:rPr>
          <w:rFonts w:eastAsia="Times New Roman" w:cs="Times New Roman"/>
          <w:szCs w:val="24"/>
        </w:rPr>
      </w:pPr>
    </w:p>
    <w:p w14:paraId="28E9B051"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Fifth,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complied with the generally accepted rules concerning refreshing, reloading, or other updating of the material if specified by the person making material available online, unless the rules were used to prevent or unreasonably impair system caching;</w:t>
      </w:r>
    </w:p>
    <w:p w14:paraId="281DE4BA" w14:textId="77777777" w:rsidR="00842D3D" w:rsidRPr="00842D3D" w:rsidRDefault="00842D3D" w:rsidP="00842D3D">
      <w:pPr>
        <w:widowControl w:val="0"/>
        <w:autoSpaceDE w:val="0"/>
        <w:autoSpaceDN w:val="0"/>
        <w:ind w:right="720" w:firstLine="720"/>
        <w:rPr>
          <w:rFonts w:eastAsia="Times New Roman" w:cs="Times New Roman"/>
          <w:szCs w:val="24"/>
        </w:rPr>
      </w:pPr>
    </w:p>
    <w:p w14:paraId="1DDC6A1F"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Sixth,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did not interfere with the ability for the material to </w:t>
      </w:r>
      <w:r w:rsidRPr="00842D3D">
        <w:rPr>
          <w:rFonts w:eastAsia="Times New Roman" w:cs="Times New Roman"/>
          <w:szCs w:val="24"/>
        </w:rPr>
        <w:lastRenderedPageBreak/>
        <w:t>return to the original provider of the information;</w:t>
      </w:r>
    </w:p>
    <w:p w14:paraId="2BDFE3BB" w14:textId="77777777" w:rsidR="00842D3D" w:rsidRPr="00842D3D" w:rsidRDefault="00842D3D" w:rsidP="00842D3D">
      <w:pPr>
        <w:widowControl w:val="0"/>
        <w:autoSpaceDE w:val="0"/>
        <w:autoSpaceDN w:val="0"/>
        <w:ind w:right="720" w:firstLine="720"/>
        <w:rPr>
          <w:rFonts w:eastAsia="Times New Roman" w:cs="Times New Roman"/>
          <w:szCs w:val="24"/>
        </w:rPr>
      </w:pPr>
    </w:p>
    <w:p w14:paraId="473046D0" w14:textId="77777777" w:rsidR="00842D3D" w:rsidRPr="00842D3D" w:rsidRDefault="00842D3D" w:rsidP="00842D3D">
      <w:pPr>
        <w:widowControl w:val="0"/>
        <w:tabs>
          <w:tab w:val="left" w:pos="1620"/>
        </w:tabs>
        <w:autoSpaceDE w:val="0"/>
        <w:autoSpaceDN w:val="0"/>
        <w:ind w:right="720" w:firstLine="720"/>
        <w:rPr>
          <w:rFonts w:eastAsia="Times New Roman" w:cs="Times New Roman"/>
          <w:szCs w:val="24"/>
        </w:rPr>
      </w:pPr>
      <w:r w:rsidRPr="00842D3D">
        <w:rPr>
          <w:rFonts w:eastAsia="Times New Roman" w:cs="Times New Roman"/>
          <w:szCs w:val="24"/>
        </w:rPr>
        <w:t xml:space="preserve">Seventh, if access to the material was limited by a condition,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did not allow access to the material unless the requester satisfied that condition. </w:t>
      </w:r>
    </w:p>
    <w:p w14:paraId="22197726"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45FCC1A0"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0C9CE248" w14:textId="77777777" w:rsidR="00842D3D" w:rsidRPr="00842D3D" w:rsidRDefault="00842D3D" w:rsidP="00842D3D">
      <w:pPr>
        <w:widowControl w:val="0"/>
        <w:autoSpaceDE w:val="0"/>
        <w:autoSpaceDN w:val="0"/>
        <w:adjustRightInd w:val="0"/>
        <w:rPr>
          <w:rFonts w:eastAsia="Calibri" w:cs="Times New Roman"/>
          <w:szCs w:val="24"/>
        </w:rPr>
      </w:pPr>
    </w:p>
    <w:p w14:paraId="79A19EBF"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4854073D" w14:textId="77777777" w:rsidR="00842D3D" w:rsidRPr="00842D3D" w:rsidRDefault="00842D3D" w:rsidP="00842D3D">
      <w:pPr>
        <w:autoSpaceDE w:val="0"/>
        <w:autoSpaceDN w:val="0"/>
        <w:adjustRightInd w:val="0"/>
        <w:rPr>
          <w:rFonts w:eastAsia="Calibri" w:cs="Times New Roman"/>
          <w:szCs w:val="24"/>
        </w:rPr>
      </w:pPr>
    </w:p>
    <w:p w14:paraId="5AA680C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instruction is based on 17 U.S.C. §§ 512(b), (c)(3), (i), and (k).</w:t>
      </w:r>
    </w:p>
    <w:p w14:paraId="40A664E6" w14:textId="77777777" w:rsidR="00842D3D" w:rsidRPr="00842D3D" w:rsidRDefault="00842D3D" w:rsidP="00842D3D">
      <w:pPr>
        <w:autoSpaceDE w:val="0"/>
        <w:autoSpaceDN w:val="0"/>
        <w:adjustRightInd w:val="0"/>
        <w:ind w:firstLine="720"/>
        <w:rPr>
          <w:rFonts w:eastAsia="Calibri" w:cs="Times New Roman"/>
          <w:szCs w:val="24"/>
        </w:rPr>
      </w:pPr>
    </w:p>
    <w:p w14:paraId="4A799DE7"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The seventh requirement for valid notification applies only to the system caching affirmative defense. </w:t>
      </w:r>
      <w:r w:rsidRPr="00842D3D">
        <w:rPr>
          <w:rFonts w:eastAsia="Calibri" w:cs="Times New Roman"/>
          <w:i/>
          <w:iCs/>
          <w:szCs w:val="24"/>
        </w:rPr>
        <w:t xml:space="preserve">See </w:t>
      </w:r>
      <w:r w:rsidRPr="00842D3D">
        <w:rPr>
          <w:rFonts w:eastAsia="Calibri" w:cs="Times New Roman"/>
          <w:szCs w:val="24"/>
        </w:rPr>
        <w:t xml:space="preserve">17 U.S.C.A. § 512(b)(2)(E). The requirement that the defendant expeditiously remove or disable access to the infringing material upon valid notification applies only if “(i) the material has previously been removed from the originating site or access to it has been disabled, or a court has ordered that the material be removed from the originating site or that access to the material on the originating site be disabled; and (ii)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w:t>
      </w:r>
      <w:r w:rsidRPr="00842D3D">
        <w:rPr>
          <w:rFonts w:eastAsia="Calibri" w:cs="Times New Roman"/>
          <w:i/>
          <w:iCs/>
          <w:szCs w:val="24"/>
        </w:rPr>
        <w:t>Id.</w:t>
      </w:r>
    </w:p>
    <w:p w14:paraId="36AB724C" w14:textId="77777777" w:rsidR="00842D3D" w:rsidRPr="00842D3D" w:rsidRDefault="00842D3D" w:rsidP="00842D3D">
      <w:pPr>
        <w:autoSpaceDE w:val="0"/>
        <w:autoSpaceDN w:val="0"/>
        <w:adjustRightInd w:val="0"/>
        <w:ind w:firstLine="720"/>
        <w:rPr>
          <w:rFonts w:eastAsia="Calibri" w:cs="Times New Roman"/>
          <w:szCs w:val="24"/>
        </w:rPr>
      </w:pPr>
    </w:p>
    <w:p w14:paraId="6A4C9D1B" w14:textId="31ECF82C"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17.27 (Copyright—Affirmative Defense—Service Provider of Network Communications Services Defined). For commentary on a reasonably implemented policy for the termination of users who are repeat infringers, see Instruction 17.2</w:t>
      </w:r>
      <w:r w:rsidR="009818E2">
        <w:rPr>
          <w:rFonts w:eastAsia="Calibri" w:cs="Times New Roman"/>
          <w:szCs w:val="24"/>
        </w:rPr>
        <w:t>9</w:t>
      </w:r>
      <w:r w:rsidRPr="00842D3D">
        <w:rPr>
          <w:rFonts w:eastAsia="Calibri" w:cs="Times New Roman"/>
          <w:szCs w:val="24"/>
        </w:rPr>
        <w:t xml:space="preserve"> (Copyright—Affirmative Defense—Limitation on Liability for Transitory Digital Network Communications).</w:t>
      </w:r>
    </w:p>
    <w:p w14:paraId="18340A4D" w14:textId="77777777" w:rsidR="00842D3D" w:rsidRPr="00842D3D" w:rsidRDefault="00842D3D" w:rsidP="00842D3D">
      <w:pPr>
        <w:widowControl w:val="0"/>
        <w:autoSpaceDE w:val="0"/>
        <w:autoSpaceDN w:val="0"/>
        <w:adjustRightInd w:val="0"/>
        <w:rPr>
          <w:rFonts w:eastAsia="Calibri" w:cs="Times New Roman"/>
          <w:szCs w:val="24"/>
        </w:rPr>
      </w:pPr>
    </w:p>
    <w:p w14:paraId="1F7BD84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w:t>
      </w:r>
      <w:r w:rsidRPr="00842D3D">
        <w:rPr>
          <w:rFonts w:eastAsia="Calibri" w:cs="Times New Roman"/>
          <w:i/>
          <w:iCs/>
          <w:szCs w:val="24"/>
          <w:u w:val="single"/>
        </w:rPr>
        <w:t>If the defendant received notice of claimed infringement, insert the following before the final paragraph of the instruction.</w:t>
      </w:r>
      <w:r w:rsidRPr="00842D3D">
        <w:rPr>
          <w:rFonts w:eastAsia="Calibri" w:cs="Times New Roman"/>
          <w:szCs w:val="24"/>
        </w:rPr>
        <w:t>]</w:t>
      </w:r>
    </w:p>
    <w:p w14:paraId="6D241CDD" w14:textId="77777777" w:rsidR="00842D3D" w:rsidRPr="00842D3D" w:rsidRDefault="00842D3D" w:rsidP="00842D3D">
      <w:pPr>
        <w:widowControl w:val="0"/>
        <w:autoSpaceDE w:val="0"/>
        <w:autoSpaceDN w:val="0"/>
        <w:adjustRightInd w:val="0"/>
        <w:rPr>
          <w:rFonts w:eastAsia="Calibri" w:cs="Times New Roman"/>
          <w:i/>
          <w:iCs/>
          <w:szCs w:val="24"/>
          <w:u w:val="single"/>
        </w:rPr>
      </w:pPr>
    </w:p>
    <w:p w14:paraId="1D742FAA" w14:textId="77777777" w:rsidR="00842D3D" w:rsidRPr="00842D3D" w:rsidRDefault="00842D3D" w:rsidP="00842D3D">
      <w:pPr>
        <w:widowControl w:val="0"/>
        <w:tabs>
          <w:tab w:val="left" w:pos="1620"/>
        </w:tabs>
        <w:autoSpaceDE w:val="0"/>
        <w:autoSpaceDN w:val="0"/>
        <w:ind w:left="720" w:right="720"/>
        <w:rPr>
          <w:rFonts w:eastAsia="Times New Roman" w:cs="Times New Roman"/>
          <w:szCs w:val="24"/>
        </w:rPr>
      </w:pPr>
      <w:r w:rsidRPr="00842D3D">
        <w:rPr>
          <w:rFonts w:eastAsia="Times New Roman" w:cs="Times New Roman"/>
          <w:szCs w:val="24"/>
        </w:rPr>
        <w:t xml:space="preserve">[Eighth,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expeditiously removed or disabled access to the infringing material or activity upon receipt of a valid notification of claimed infringement].</w:t>
      </w:r>
    </w:p>
    <w:p w14:paraId="0D555D76" w14:textId="77777777" w:rsidR="00842D3D" w:rsidRPr="00842D3D" w:rsidRDefault="00842D3D" w:rsidP="00842D3D">
      <w:pPr>
        <w:widowControl w:val="0"/>
        <w:autoSpaceDE w:val="0"/>
        <w:autoSpaceDN w:val="0"/>
        <w:adjustRightInd w:val="0"/>
        <w:rPr>
          <w:rFonts w:eastAsia="Calibri" w:cs="Times New Roman"/>
          <w:szCs w:val="24"/>
        </w:rPr>
      </w:pPr>
    </w:p>
    <w:p w14:paraId="1EEF1D0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A valid notification of claimed infringement is a written communication provided to the defendant’s designated agent and must include:</w:t>
      </w:r>
    </w:p>
    <w:p w14:paraId="56399957" w14:textId="77777777" w:rsidR="00842D3D" w:rsidRPr="00842D3D" w:rsidRDefault="00842D3D" w:rsidP="00842D3D">
      <w:pPr>
        <w:widowControl w:val="0"/>
        <w:autoSpaceDE w:val="0"/>
        <w:autoSpaceDN w:val="0"/>
        <w:adjustRightInd w:val="0"/>
        <w:rPr>
          <w:rFonts w:eastAsia="Calibri" w:cs="Times New Roman"/>
          <w:szCs w:val="24"/>
        </w:rPr>
      </w:pPr>
    </w:p>
    <w:p w14:paraId="7ABC8BD9"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First, a physical or electronic signature of a person authorized to act on behalf of the copyright owner;</w:t>
      </w:r>
    </w:p>
    <w:p w14:paraId="2E4DFD98" w14:textId="77777777" w:rsidR="00842D3D" w:rsidRPr="00842D3D" w:rsidRDefault="00842D3D" w:rsidP="00842D3D">
      <w:pPr>
        <w:widowControl w:val="0"/>
        <w:tabs>
          <w:tab w:val="left" w:pos="8640"/>
        </w:tabs>
        <w:autoSpaceDE w:val="0"/>
        <w:autoSpaceDN w:val="0"/>
        <w:adjustRightInd w:val="0"/>
        <w:ind w:left="1440" w:right="720" w:hanging="720"/>
        <w:rPr>
          <w:rFonts w:eastAsia="Calibri" w:cs="Times New Roman"/>
          <w:szCs w:val="24"/>
        </w:rPr>
      </w:pPr>
    </w:p>
    <w:p w14:paraId="01066A24"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 xml:space="preserve">Second, identification of the infringed copyrighted work or a representative list of infringed copyrighted works if there are multiple infringed works at a single </w:t>
      </w:r>
      <w:r w:rsidRPr="00842D3D">
        <w:rPr>
          <w:rFonts w:eastAsia="Calibri" w:cs="Times New Roman"/>
          <w:szCs w:val="24"/>
        </w:rPr>
        <w:lastRenderedPageBreak/>
        <w:t>online site;</w:t>
      </w:r>
    </w:p>
    <w:p w14:paraId="6E22AA3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42E8D03B"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Third, identification of the infringing material or activity, and information reasonably sufficient to permit the defendant to locate the material;</w:t>
      </w:r>
    </w:p>
    <w:p w14:paraId="78893B20" w14:textId="77777777" w:rsidR="00842D3D" w:rsidRPr="00842D3D" w:rsidRDefault="00842D3D" w:rsidP="00842D3D">
      <w:pPr>
        <w:widowControl w:val="0"/>
        <w:autoSpaceDE w:val="0"/>
        <w:autoSpaceDN w:val="0"/>
        <w:adjustRightInd w:val="0"/>
        <w:ind w:left="720" w:right="720"/>
        <w:rPr>
          <w:rFonts w:eastAsia="Calibri" w:cs="Times New Roman"/>
          <w:szCs w:val="24"/>
        </w:rPr>
      </w:pPr>
    </w:p>
    <w:p w14:paraId="43AE36B5"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Fourth, information reasonably sufficient to permit the defendant to contact the complaining party;</w:t>
      </w:r>
    </w:p>
    <w:p w14:paraId="0D758FCE"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721A8156"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Fifth, a statement that the complaining party has a good faith belief that the material infringed a copyright;</w:t>
      </w:r>
    </w:p>
    <w:p w14:paraId="7DE0C69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332F5C8F"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Sixth, a statement that the information in the notification is accurate and, under penalty of perjury, that the complaining party is authorized to act on behalf of the copyright owner; and</w:t>
      </w:r>
    </w:p>
    <w:p w14:paraId="3AFE9B5D" w14:textId="77777777" w:rsidR="00842D3D" w:rsidRPr="00842D3D" w:rsidRDefault="00842D3D" w:rsidP="00842D3D">
      <w:pPr>
        <w:widowControl w:val="0"/>
        <w:tabs>
          <w:tab w:val="left" w:pos="8640"/>
        </w:tabs>
        <w:autoSpaceDE w:val="0"/>
        <w:autoSpaceDN w:val="0"/>
        <w:adjustRightInd w:val="0"/>
        <w:ind w:left="720"/>
        <w:rPr>
          <w:rFonts w:eastAsia="Calibri" w:cs="Times New Roman"/>
          <w:szCs w:val="24"/>
        </w:rPr>
      </w:pPr>
    </w:p>
    <w:p w14:paraId="549B0837"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Seventh, a statement confirming that the infringing material has previously been removed from the originating site, or access to it has been disabled, or a court has ordered removal or disabling of access.</w:t>
      </w:r>
    </w:p>
    <w:p w14:paraId="5A97001E" w14:textId="77777777" w:rsidR="00842D3D" w:rsidRPr="00842D3D" w:rsidRDefault="00842D3D" w:rsidP="00842D3D">
      <w:pPr>
        <w:tabs>
          <w:tab w:val="left" w:pos="8640"/>
        </w:tabs>
        <w:autoSpaceDE w:val="0"/>
        <w:autoSpaceDN w:val="0"/>
        <w:adjustRightInd w:val="0"/>
        <w:ind w:left="1440" w:hanging="720"/>
        <w:rPr>
          <w:rFonts w:eastAsia="Calibri" w:cs="Times New Roman"/>
          <w:szCs w:val="24"/>
        </w:rPr>
      </w:pPr>
    </w:p>
    <w:p w14:paraId="6DEC6C7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the notification does not meet all the above requirements, then it is invalid and cannot be used as evidence of the defendant’s knowledge of specific infringing activity. The defendant does not have a duty to expeditiously remove or disable access to infringing material or activity if the notice of claimed infringement is invalid.</w:t>
      </w:r>
    </w:p>
    <w:p w14:paraId="22091A52" w14:textId="77777777" w:rsidR="00842D3D" w:rsidRPr="00842D3D" w:rsidRDefault="00842D3D" w:rsidP="00842D3D">
      <w:pPr>
        <w:autoSpaceDE w:val="0"/>
        <w:autoSpaceDN w:val="0"/>
        <w:adjustRightInd w:val="0"/>
        <w:ind w:firstLine="720"/>
        <w:rPr>
          <w:rFonts w:eastAsia="Calibri" w:cs="Times New Roman"/>
          <w:szCs w:val="24"/>
        </w:rPr>
      </w:pPr>
    </w:p>
    <w:p w14:paraId="52438B9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copyright holder must meet these formal notification requirements for the notice of infringement to constitute evidence of either subjective or objective knowledge. </w:t>
      </w:r>
      <w:r w:rsidRPr="00842D3D">
        <w:rPr>
          <w:rFonts w:eastAsia="Calibri" w:cs="Times New Roman"/>
          <w:i/>
          <w:iCs/>
          <w:szCs w:val="24"/>
        </w:rPr>
        <w:t>UMG Recordings, Inc. v. Shelter Cap. Partners LLC</w:t>
      </w:r>
      <w:r w:rsidRPr="00842D3D">
        <w:rPr>
          <w:rFonts w:eastAsia="Calibri" w:cs="Times New Roman"/>
          <w:szCs w:val="24"/>
        </w:rPr>
        <w:t xml:space="preserve">, 718 F.3d 1006, 1025 (9th Cir. 2013). </w:t>
      </w:r>
      <w:bookmarkStart w:id="434" w:name="_Hlk147929901"/>
      <w:r w:rsidRPr="00842D3D">
        <w:rPr>
          <w:rFonts w:eastAsia="Calibri" w:cs="Times New Roman"/>
          <w:szCs w:val="24"/>
        </w:rPr>
        <w:t xml:space="preserve">A valid notification is a single written communication that substantially complies “with </w:t>
      </w:r>
      <w:r w:rsidRPr="00842D3D">
        <w:rPr>
          <w:rFonts w:eastAsia="Calibri" w:cs="Times New Roman"/>
          <w:i/>
          <w:iCs/>
          <w:szCs w:val="24"/>
        </w:rPr>
        <w:t xml:space="preserve">all </w:t>
      </w:r>
      <w:r w:rsidRPr="00842D3D">
        <w:rPr>
          <w:rFonts w:eastAsia="Calibri" w:cs="Times New Roman"/>
          <w:szCs w:val="24"/>
        </w:rPr>
        <w:t>of § 512(c)(3)’s clauses, not just some of them.”</w:t>
      </w:r>
      <w:bookmarkEnd w:id="434"/>
      <w:r w:rsidRPr="00842D3D">
        <w:rPr>
          <w:rFonts w:eastAsia="Calibri" w:cs="Times New Roman"/>
          <w:szCs w:val="24"/>
        </w:rPr>
        <w:t xml:space="preserve"> </w:t>
      </w:r>
      <w:r w:rsidRPr="00842D3D">
        <w:rPr>
          <w:rFonts w:eastAsia="Calibri" w:cs="Times New Roman"/>
          <w:i/>
          <w:iCs/>
          <w:szCs w:val="24"/>
        </w:rPr>
        <w:t>Perfect 10, Inc. v. CCBill</w:t>
      </w:r>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xml:space="preserve">, 488 F.3d 1102, 1112-13 (9th Cir. 2007) (citations omitted) (stating that three separate notices, each of which was deficient in some way, cannot be combined to form one valid notice); </w:t>
      </w:r>
      <w:r w:rsidRPr="00842D3D">
        <w:rPr>
          <w:rFonts w:eastAsia="Calibri" w:cs="Times New Roman"/>
          <w:i/>
          <w:iCs/>
          <w:szCs w:val="24"/>
        </w:rPr>
        <w:t>Luvdarts, LLC v. AT&amp;T</w:t>
      </w:r>
      <w:r w:rsidRPr="00842D3D">
        <w:rPr>
          <w:rFonts w:eastAsia="Calibri" w:cs="Times New Roman"/>
          <w:szCs w:val="24"/>
        </w:rPr>
        <w:t xml:space="preserve"> </w:t>
      </w:r>
      <w:r w:rsidRPr="00842D3D">
        <w:rPr>
          <w:rFonts w:eastAsia="Calibri" w:cs="Times New Roman"/>
          <w:i/>
          <w:iCs/>
          <w:szCs w:val="24"/>
        </w:rPr>
        <w:t>Mobility, LLC</w:t>
      </w:r>
      <w:r w:rsidRPr="00842D3D">
        <w:rPr>
          <w:rFonts w:eastAsia="Calibri" w:cs="Times New Roman"/>
          <w:szCs w:val="24"/>
        </w:rPr>
        <w:t xml:space="preserve">, 710 F.3d 1068, 1072-73 (9th Cir. 2013) (holding that a mere list of the plaintiff’s copyrighted works without any further information is not valid notification). The burden of identifying and documenting infringing material rests with the copyright holder, not the defendant. </w:t>
      </w:r>
      <w:r w:rsidRPr="00842D3D">
        <w:rPr>
          <w:rFonts w:eastAsia="Calibri" w:cs="Times New Roman"/>
          <w:i/>
          <w:iCs/>
          <w:szCs w:val="24"/>
        </w:rPr>
        <w:t>Perfect 10</w:t>
      </w:r>
      <w:r w:rsidRPr="00842D3D">
        <w:rPr>
          <w:rFonts w:eastAsia="Calibri" w:cs="Times New Roman"/>
          <w:szCs w:val="24"/>
        </w:rPr>
        <w:t xml:space="preserve">, 488 F.3d at 1113. The requirement that the complaining party have a good faith belief that the material infringed a copyright only requires “subjective good faith.” </w:t>
      </w:r>
      <w:r w:rsidRPr="00842D3D">
        <w:rPr>
          <w:rFonts w:eastAsia="Calibri" w:cs="Times New Roman"/>
          <w:i/>
          <w:iCs/>
          <w:szCs w:val="24"/>
        </w:rPr>
        <w:t>Rossi v. Motion Picture</w:t>
      </w:r>
      <w:r w:rsidRPr="00842D3D">
        <w:rPr>
          <w:rFonts w:eastAsia="Calibri" w:cs="Times New Roman"/>
          <w:szCs w:val="24"/>
        </w:rPr>
        <w:t xml:space="preserve"> </w:t>
      </w:r>
      <w:r w:rsidRPr="00842D3D">
        <w:rPr>
          <w:rFonts w:eastAsia="Calibri" w:cs="Times New Roman"/>
          <w:i/>
          <w:iCs/>
          <w:szCs w:val="24"/>
        </w:rPr>
        <w:t>Ass’n of Am. Inc.</w:t>
      </w:r>
      <w:r w:rsidRPr="00842D3D">
        <w:rPr>
          <w:rFonts w:eastAsia="Calibri" w:cs="Times New Roman"/>
          <w:szCs w:val="24"/>
        </w:rPr>
        <w:t xml:space="preserve">, 391 F.3d 1000, 1005 (9th Cir. 2004). It does not require a copyright owner to “conduct a reasonable investigation into the allegedly offending website.” </w:t>
      </w:r>
      <w:r w:rsidRPr="00842D3D">
        <w:rPr>
          <w:rFonts w:eastAsia="Calibri" w:cs="Times New Roman"/>
          <w:i/>
          <w:iCs/>
          <w:szCs w:val="24"/>
        </w:rPr>
        <w:t>Id</w:t>
      </w:r>
      <w:r w:rsidRPr="00842D3D">
        <w:rPr>
          <w:rFonts w:eastAsia="Calibri" w:cs="Times New Roman"/>
          <w:szCs w:val="24"/>
        </w:rPr>
        <w:t>. at 1003.</w:t>
      </w:r>
    </w:p>
    <w:p w14:paraId="044EE47E" w14:textId="77777777" w:rsidR="00842D3D" w:rsidRPr="00842D3D" w:rsidRDefault="00842D3D" w:rsidP="00842D3D">
      <w:pPr>
        <w:autoSpaceDE w:val="0"/>
        <w:autoSpaceDN w:val="0"/>
        <w:adjustRightInd w:val="0"/>
        <w:ind w:firstLine="720"/>
        <w:rPr>
          <w:rFonts w:eastAsia="Calibri" w:cs="Times New Roman"/>
          <w:szCs w:val="24"/>
        </w:rPr>
      </w:pPr>
    </w:p>
    <w:p w14:paraId="61A077EF" w14:textId="02C74E3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“[B]efore sending a takedown notification under § 512(c),” “a copyright holder must consider the existence of fair use.” </w:t>
      </w:r>
      <w:r w:rsidRPr="00842D3D">
        <w:rPr>
          <w:rFonts w:eastAsia="Calibri" w:cs="Times New Roman"/>
          <w:i/>
          <w:iCs/>
          <w:szCs w:val="24"/>
        </w:rPr>
        <w:t>Lenz v. Universal Music Corp</w:t>
      </w:r>
      <w:r w:rsidRPr="00842D3D">
        <w:rPr>
          <w:rFonts w:eastAsia="Calibri" w:cs="Times New Roman"/>
          <w:szCs w:val="24"/>
        </w:rPr>
        <w:t xml:space="preserve">., 815 F.3d 1145, 1153 (9th Cir. 2016); </w:t>
      </w:r>
      <w:r w:rsidRPr="00842D3D">
        <w:rPr>
          <w:rFonts w:eastAsia="Calibri" w:cs="Times New Roman"/>
          <w:i/>
          <w:iCs/>
          <w:szCs w:val="24"/>
        </w:rPr>
        <w:t xml:space="preserve">see </w:t>
      </w:r>
      <w:r w:rsidRPr="00842D3D">
        <w:rPr>
          <w:rFonts w:eastAsia="Calibri" w:cs="Times New Roman"/>
          <w:szCs w:val="24"/>
        </w:rPr>
        <w:t>Instruction 17.2</w:t>
      </w:r>
      <w:r w:rsidR="009818E2">
        <w:rPr>
          <w:rFonts w:eastAsia="Calibri" w:cs="Times New Roman"/>
          <w:szCs w:val="24"/>
        </w:rPr>
        <w:t>3</w:t>
      </w:r>
      <w:r w:rsidRPr="00842D3D">
        <w:rPr>
          <w:rFonts w:eastAsia="Calibri" w:cs="Times New Roman"/>
          <w:szCs w:val="24"/>
        </w:rPr>
        <w:t xml:space="preserve"> (Copyright—Affirmative Defense—Fair Use).</w:t>
      </w:r>
    </w:p>
    <w:p w14:paraId="6425F492" w14:textId="77777777" w:rsidR="00842D3D" w:rsidRPr="00842D3D" w:rsidRDefault="00842D3D" w:rsidP="00842D3D">
      <w:pPr>
        <w:autoSpaceDE w:val="0"/>
        <w:autoSpaceDN w:val="0"/>
        <w:adjustRightInd w:val="0"/>
        <w:ind w:firstLine="720"/>
        <w:rPr>
          <w:rFonts w:eastAsia="Calibri" w:cs="Times New Roman"/>
          <w:szCs w:val="24"/>
        </w:rPr>
      </w:pPr>
    </w:p>
    <w:p w14:paraId="1F2482B2" w14:textId="77777777" w:rsidR="00842D3D" w:rsidRPr="00842D3D" w:rsidRDefault="00842D3D" w:rsidP="00842D3D">
      <w:pPr>
        <w:keepNext/>
        <w:keepLines/>
        <w:autoSpaceDE w:val="0"/>
        <w:autoSpaceDN w:val="0"/>
        <w:adjustRightInd w:val="0"/>
        <w:ind w:firstLine="720"/>
        <w:jc w:val="right"/>
        <w:rPr>
          <w:rFonts w:eastAsia="Calibri" w:cs="Times New Roman"/>
          <w:szCs w:val="24"/>
        </w:rPr>
      </w:pPr>
      <w:r w:rsidRPr="00842D3D">
        <w:rPr>
          <w:rFonts w:eastAsia="Calibri" w:cs="Times New Roman"/>
          <w:i/>
          <w:iCs/>
          <w:szCs w:val="24"/>
        </w:rPr>
        <w:t>Revised March 2024</w:t>
      </w:r>
    </w:p>
    <w:p w14:paraId="56B6B197" w14:textId="50183CC0" w:rsidR="00842D3D" w:rsidRPr="00842D3D" w:rsidRDefault="00842D3D" w:rsidP="00313A05">
      <w:pPr>
        <w:pStyle w:val="Heading2"/>
      </w:pPr>
      <w:r w:rsidRPr="00842D3D">
        <w:br w:type="page"/>
      </w:r>
      <w:bookmarkStart w:id="435" w:name="_Toc221525333"/>
      <w:r w:rsidRPr="00842D3D">
        <w:lastRenderedPageBreak/>
        <w:t>17.3</w:t>
      </w:r>
      <w:r w:rsidR="003B11C4">
        <w:t>2</w:t>
      </w:r>
      <w:r w:rsidRPr="00842D3D">
        <w:t xml:space="preserve"> Copyright—Affirmative Defense—Limitation on Liability for Information Residing on Systems or Networks at Direction of Users (17 U.S.C. § 512(c))</w:t>
      </w:r>
      <w:bookmarkEnd w:id="435"/>
    </w:p>
    <w:p w14:paraId="39C7E04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3F39EE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therefore is not liable for copyright infringement because the infringement was caused by information residing on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’s systems or networks at the direction of users.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each element of this defense by a preponderance of the evidence.</w:t>
      </w:r>
    </w:p>
    <w:p w14:paraId="74246DC4" w14:textId="77777777" w:rsidR="00842D3D" w:rsidRPr="00842D3D" w:rsidRDefault="00842D3D" w:rsidP="00842D3D">
      <w:pPr>
        <w:widowControl w:val="0"/>
        <w:rPr>
          <w:rFonts w:eastAsia="Calibri" w:cs="Times New Roman"/>
          <w:szCs w:val="24"/>
        </w:rPr>
      </w:pPr>
    </w:p>
    <w:p w14:paraId="3493F49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is eligible to use this defense if the defendant [</w:t>
      </w:r>
      <w:r w:rsidRPr="00842D3D">
        <w:rPr>
          <w:rFonts w:eastAsia="Calibri" w:cs="Times New Roman"/>
          <w:i/>
          <w:iCs/>
          <w:szCs w:val="24"/>
          <w:u w:val="single"/>
        </w:rPr>
        <w:t>name</w:t>
      </w:r>
      <w:r w:rsidRPr="00842D3D">
        <w:rPr>
          <w:rFonts w:eastAsia="Calibri" w:cs="Times New Roman"/>
          <w:szCs w:val="24"/>
        </w:rPr>
        <w:t>]:</w:t>
      </w:r>
    </w:p>
    <w:p w14:paraId="2B1AE60D" w14:textId="77777777" w:rsidR="00842D3D" w:rsidRPr="00842D3D" w:rsidRDefault="00842D3D" w:rsidP="00842D3D">
      <w:pPr>
        <w:widowControl w:val="0"/>
        <w:rPr>
          <w:rFonts w:eastAsia="Calibri" w:cs="Times New Roman"/>
          <w:szCs w:val="24"/>
        </w:rPr>
      </w:pPr>
    </w:p>
    <w:p w14:paraId="41F8461B"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First, is a service provider of network communication services, online services, or network access;</w:t>
      </w:r>
    </w:p>
    <w:p w14:paraId="6CA65B4A" w14:textId="77777777" w:rsidR="00842D3D" w:rsidRPr="00842D3D" w:rsidRDefault="00842D3D" w:rsidP="00842D3D">
      <w:pPr>
        <w:autoSpaceDE w:val="0"/>
        <w:autoSpaceDN w:val="0"/>
        <w:adjustRightInd w:val="0"/>
        <w:ind w:right="720" w:firstLine="720"/>
        <w:contextualSpacing/>
        <w:rPr>
          <w:rFonts w:eastAsia="Calibri" w:cs="Times New Roman"/>
          <w:szCs w:val="24"/>
        </w:rPr>
      </w:pPr>
    </w:p>
    <w:p w14:paraId="45090BC9"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Second, adopted, reasonably implemented, and informed users of a policy to terminate users who are repeat copyright infringers;</w:t>
      </w:r>
    </w:p>
    <w:p w14:paraId="0715F910" w14:textId="77777777" w:rsidR="00842D3D" w:rsidRPr="00842D3D" w:rsidRDefault="00842D3D" w:rsidP="00842D3D">
      <w:pPr>
        <w:ind w:firstLine="720"/>
        <w:contextualSpacing/>
        <w:rPr>
          <w:rFonts w:eastAsia="Calibri" w:cs="Times New Roman"/>
          <w:szCs w:val="24"/>
        </w:rPr>
      </w:pPr>
    </w:p>
    <w:p w14:paraId="71008286"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Third, accommodated and did not interfere with standard technical measures used to identify or protect copyrighted works;</w:t>
      </w:r>
    </w:p>
    <w:p w14:paraId="3B9C32DC" w14:textId="77777777" w:rsidR="00842D3D" w:rsidRPr="00842D3D" w:rsidRDefault="00842D3D" w:rsidP="00842D3D">
      <w:pPr>
        <w:ind w:firstLine="720"/>
        <w:contextualSpacing/>
        <w:rPr>
          <w:rFonts w:eastAsia="Calibri" w:cs="Times New Roman"/>
          <w:szCs w:val="24"/>
        </w:rPr>
      </w:pPr>
    </w:p>
    <w:p w14:paraId="7257F637"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338D8315" w14:textId="77777777" w:rsidR="00842D3D" w:rsidRPr="00842D3D" w:rsidRDefault="00842D3D" w:rsidP="00842D3D">
      <w:pPr>
        <w:autoSpaceDE w:val="0"/>
        <w:autoSpaceDN w:val="0"/>
        <w:adjustRightInd w:val="0"/>
        <w:ind w:right="720" w:firstLine="720"/>
        <w:rPr>
          <w:rFonts w:eastAsia="Calibri" w:cs="Times New Roman"/>
          <w:szCs w:val="24"/>
        </w:rPr>
      </w:pPr>
    </w:p>
    <w:p w14:paraId="56EA9412" w14:textId="77777777" w:rsidR="00842D3D" w:rsidRPr="00842D3D" w:rsidRDefault="00842D3D" w:rsidP="00842D3D">
      <w:pPr>
        <w:autoSpaceDE w:val="0"/>
        <w:autoSpaceDN w:val="0"/>
        <w:adjustRightInd w:val="0"/>
        <w:ind w:right="720" w:firstLine="720"/>
        <w:rPr>
          <w:rFonts w:eastAsia="Calibri" w:cs="Times New Roman"/>
          <w:szCs w:val="24"/>
        </w:rPr>
      </w:pPr>
      <w:r w:rsidRPr="00842D3D">
        <w:rPr>
          <w:rFonts w:eastAsia="Calibri" w:cs="Times New Roman"/>
          <w:szCs w:val="24"/>
        </w:rPr>
        <w:t>Fifth, is facing liability for copyright infringement based on information residing on the defendant [</w:t>
      </w:r>
      <w:r w:rsidRPr="00842D3D">
        <w:rPr>
          <w:rFonts w:eastAsia="Calibri" w:cs="Times New Roman"/>
          <w:i/>
          <w:iCs/>
          <w:szCs w:val="24"/>
          <w:u w:val="single"/>
        </w:rPr>
        <w:t>name</w:t>
      </w:r>
      <w:r w:rsidRPr="00842D3D">
        <w:rPr>
          <w:rFonts w:eastAsia="Calibri" w:cs="Times New Roman"/>
          <w:szCs w:val="24"/>
        </w:rPr>
        <w:t>]’s systems or networks at the direction of users.</w:t>
      </w:r>
    </w:p>
    <w:p w14:paraId="003F4F69" w14:textId="77777777" w:rsidR="00842D3D" w:rsidRPr="00842D3D" w:rsidRDefault="00842D3D" w:rsidP="00842D3D">
      <w:pPr>
        <w:autoSpaceDE w:val="0"/>
        <w:autoSpaceDN w:val="0"/>
        <w:adjustRightInd w:val="0"/>
        <w:ind w:right="720"/>
        <w:rPr>
          <w:rFonts w:eastAsia="Calibri" w:cs="Times New Roman"/>
          <w:szCs w:val="24"/>
        </w:rPr>
      </w:pPr>
    </w:p>
    <w:p w14:paraId="17D60C98"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defense applies if the defendant [</w:t>
      </w:r>
      <w:r w:rsidRPr="00842D3D">
        <w:rPr>
          <w:rFonts w:eastAsia="Calibri" w:cs="Times New Roman"/>
          <w:i/>
          <w:iCs/>
          <w:szCs w:val="24"/>
          <w:u w:val="single"/>
        </w:rPr>
        <w:t>name</w:t>
      </w:r>
      <w:r w:rsidRPr="00842D3D">
        <w:rPr>
          <w:rFonts w:eastAsia="Calibri" w:cs="Times New Roman"/>
          <w:szCs w:val="24"/>
        </w:rPr>
        <w:t>]:</w:t>
      </w:r>
    </w:p>
    <w:p w14:paraId="09ADE576" w14:textId="77777777" w:rsidR="00842D3D" w:rsidRPr="00842D3D" w:rsidRDefault="00842D3D" w:rsidP="00842D3D">
      <w:pPr>
        <w:widowControl w:val="0"/>
        <w:autoSpaceDE w:val="0"/>
        <w:autoSpaceDN w:val="0"/>
        <w:adjustRightInd w:val="0"/>
        <w:rPr>
          <w:rFonts w:eastAsia="Calibri" w:cs="Times New Roman"/>
          <w:szCs w:val="24"/>
        </w:rPr>
      </w:pPr>
    </w:p>
    <w:p w14:paraId="6F489139"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First, either (a) lacked actual knowledge that the material or activity on the system or network was infringing, or (b) was not aware of facts or circumstances from which specific infringing activity was apparent, or (c) upon obtaining knowledge or awareness acted expeditiously to remove or disable access to the material;</w:t>
      </w:r>
    </w:p>
    <w:p w14:paraId="4DF8344B" w14:textId="77777777" w:rsidR="00842D3D" w:rsidRPr="00842D3D" w:rsidRDefault="00842D3D" w:rsidP="00842D3D">
      <w:pPr>
        <w:ind w:firstLine="720"/>
        <w:contextualSpacing/>
        <w:rPr>
          <w:rFonts w:eastAsia="Calibri" w:cs="Times New Roman"/>
          <w:szCs w:val="24"/>
        </w:rPr>
      </w:pPr>
    </w:p>
    <w:p w14:paraId="45FB0593"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Second, while having the right and ability to control the infringing activity, did not receive a financial benefit directly attributable to the infringing activity; and</w:t>
      </w:r>
    </w:p>
    <w:p w14:paraId="4A11BA8F" w14:textId="77777777" w:rsidR="00842D3D" w:rsidRPr="00842D3D" w:rsidRDefault="00842D3D" w:rsidP="00842D3D">
      <w:pPr>
        <w:ind w:firstLine="720"/>
        <w:contextualSpacing/>
        <w:rPr>
          <w:rFonts w:eastAsia="Calibri" w:cs="Times New Roman"/>
          <w:szCs w:val="24"/>
        </w:rPr>
      </w:pPr>
    </w:p>
    <w:p w14:paraId="252ED7D8"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Third, upon receiving a valid notification of claimed infringement, acted expeditiously to remove or disable access to the material.</w:t>
      </w:r>
    </w:p>
    <w:p w14:paraId="111B2F6C" w14:textId="77777777" w:rsidR="00842D3D" w:rsidRPr="00842D3D" w:rsidRDefault="00842D3D" w:rsidP="00842D3D">
      <w:pPr>
        <w:widowControl w:val="0"/>
        <w:autoSpaceDE w:val="0"/>
        <w:autoSpaceDN w:val="0"/>
        <w:adjustRightInd w:val="0"/>
        <w:rPr>
          <w:rFonts w:eastAsia="Calibri" w:cs="Times New Roman"/>
          <w:szCs w:val="24"/>
        </w:rPr>
      </w:pPr>
    </w:p>
    <w:p w14:paraId="5AF6ED5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the defendant [</w:t>
      </w:r>
      <w:r w:rsidRPr="00842D3D">
        <w:rPr>
          <w:rFonts w:eastAsia="Calibri" w:cs="Times New Roman"/>
          <w:i/>
          <w:iCs/>
          <w:szCs w:val="24"/>
          <w:u w:val="single"/>
        </w:rPr>
        <w:t>name</w:t>
      </w:r>
      <w:r w:rsidRPr="00842D3D">
        <w:rPr>
          <w:rFonts w:eastAsia="Calibri" w:cs="Times New Roman"/>
          <w:szCs w:val="24"/>
        </w:rPr>
        <w:t>] has proved all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4DFB2746"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71E8305" w14:textId="77777777" w:rsidR="00842D3D" w:rsidRPr="00842D3D" w:rsidRDefault="00842D3D" w:rsidP="00842D3D">
      <w:pPr>
        <w:widowControl w:val="0"/>
        <w:autoSpaceDE w:val="0"/>
        <w:autoSpaceDN w:val="0"/>
        <w:adjustRightInd w:val="0"/>
        <w:rPr>
          <w:rFonts w:eastAsia="Calibri" w:cs="Times New Roman"/>
          <w:szCs w:val="24"/>
        </w:rPr>
      </w:pPr>
    </w:p>
    <w:p w14:paraId="28952172"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lastRenderedPageBreak/>
        <w:t>Comment</w:t>
      </w:r>
    </w:p>
    <w:p w14:paraId="7C30E8F4" w14:textId="77777777" w:rsidR="00842D3D" w:rsidRPr="00842D3D" w:rsidRDefault="00842D3D" w:rsidP="00842D3D">
      <w:pPr>
        <w:widowControl w:val="0"/>
        <w:autoSpaceDE w:val="0"/>
        <w:autoSpaceDN w:val="0"/>
        <w:adjustRightInd w:val="0"/>
        <w:rPr>
          <w:rFonts w:eastAsia="Calibri" w:cs="Times New Roman"/>
          <w:szCs w:val="24"/>
        </w:rPr>
      </w:pPr>
    </w:p>
    <w:p w14:paraId="7B65D0F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instruction is based on 17 U.S.C. §§ 512(c), (i), and (k).</w:t>
      </w:r>
    </w:p>
    <w:p w14:paraId="0C0ED5E0" w14:textId="77777777" w:rsidR="00842D3D" w:rsidRPr="00842D3D" w:rsidRDefault="00842D3D" w:rsidP="00842D3D">
      <w:pPr>
        <w:widowControl w:val="0"/>
        <w:autoSpaceDE w:val="0"/>
        <w:autoSpaceDN w:val="0"/>
        <w:adjustRightInd w:val="0"/>
        <w:rPr>
          <w:rFonts w:eastAsia="Calibri" w:cs="Times New Roman"/>
          <w:szCs w:val="24"/>
        </w:rPr>
      </w:pPr>
    </w:p>
    <w:p w14:paraId="302F97C4" w14:textId="64219C2A"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w:t>
      </w:r>
      <w:r w:rsidR="009818E2">
        <w:rPr>
          <w:rFonts w:eastAsia="Calibri" w:cs="Times New Roman"/>
          <w:szCs w:val="24"/>
        </w:rPr>
        <w:t>9</w:t>
      </w:r>
      <w:r w:rsidRPr="00842D3D">
        <w:rPr>
          <w:rFonts w:eastAsia="Calibri" w:cs="Times New Roman"/>
          <w:szCs w:val="24"/>
        </w:rPr>
        <w:t xml:space="preserve"> (Copyright—Affirmative Defense—Service Provider of Network Communications Services Defined). For commentary on a reasonably implemented policy for the termination of users who are repeat infringers, see Instruction 17.</w:t>
      </w:r>
      <w:r w:rsidR="009818E2">
        <w:rPr>
          <w:rFonts w:eastAsia="Calibri" w:cs="Times New Roman"/>
          <w:szCs w:val="24"/>
        </w:rPr>
        <w:t>30</w:t>
      </w:r>
      <w:r w:rsidRPr="00842D3D">
        <w:rPr>
          <w:rFonts w:eastAsia="Calibri" w:cs="Times New Roman"/>
          <w:szCs w:val="24"/>
        </w:rPr>
        <w:t xml:space="preserve"> (Copyright—Affirmative Defense—Limitation on Liability for Transitory Digital Network Communications). For an instruction on the requirements for a valid notice of claimed infringement, see Instruction 17.</w:t>
      </w:r>
      <w:r w:rsidR="009818E2">
        <w:rPr>
          <w:rFonts w:eastAsia="Calibri" w:cs="Times New Roman"/>
          <w:szCs w:val="24"/>
        </w:rPr>
        <w:t>31</w:t>
      </w:r>
      <w:r w:rsidRPr="00842D3D">
        <w:rPr>
          <w:rFonts w:eastAsia="Calibri" w:cs="Times New Roman"/>
          <w:szCs w:val="24"/>
        </w:rPr>
        <w:t xml:space="preserve"> (Copyright—Affirmative Defense—Limitation on Liability for System Caching).</w:t>
      </w:r>
    </w:p>
    <w:p w14:paraId="2CDE062F"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C9FF398"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 xml:space="preserve">Liability for Acts of Moderators or Similar Persons: </w:t>
      </w:r>
      <w:r w:rsidRPr="00842D3D">
        <w:rPr>
          <w:rFonts w:eastAsia="Calibri" w:cs="Times New Roman"/>
          <w:szCs w:val="24"/>
        </w:rPr>
        <w:t xml:space="preserve">Applying the common law of agency, a website may be liable for the acts of its unpaid moderators or other third parties who select, screen, or curate the site’s content. </w:t>
      </w:r>
      <w:r w:rsidRPr="00842D3D">
        <w:rPr>
          <w:rFonts w:eastAsia="Calibri" w:cs="Times New Roman"/>
          <w:i/>
          <w:iCs/>
          <w:szCs w:val="24"/>
        </w:rPr>
        <w:t>Mavrix Photographs, LLC v. LiveJournal, Inc.</w:t>
      </w:r>
      <w:r w:rsidRPr="00842D3D">
        <w:rPr>
          <w:rFonts w:eastAsia="Calibri" w:cs="Times New Roman"/>
          <w:szCs w:val="24"/>
        </w:rPr>
        <w:t>, 873 F.3d 1045, 1054</w:t>
      </w:r>
      <w:r w:rsidRPr="00842D3D">
        <w:rPr>
          <w:rFonts w:eastAsia="Calibri" w:cs="Times New Roman"/>
          <w:szCs w:val="24"/>
          <w:vertAlign w:val="superscript"/>
        </w:rPr>
        <w:t xml:space="preserve"> </w:t>
      </w:r>
      <w:r w:rsidRPr="00842D3D">
        <w:rPr>
          <w:rFonts w:eastAsia="Calibri" w:cs="Times New Roman"/>
          <w:szCs w:val="24"/>
        </w:rPr>
        <w:t>(9th Cir. 2017) (holding that “common law agency principles apply to the analysis of whether a service provider like LiveJournal is liable for the acts of [its] moderators”).</w:t>
      </w:r>
    </w:p>
    <w:p w14:paraId="7F50E2BC"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D17424D"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Information Residing on Systems or Networks at the Direction of Users:</w:t>
      </w:r>
      <w:r w:rsidRPr="00842D3D">
        <w:rPr>
          <w:rFonts w:eastAsia="Calibri" w:cs="Times New Roman"/>
          <w:szCs w:val="24"/>
        </w:rPr>
        <w:t xml:space="preserve"> Information residing on systems or networks need “not actually reside on [the defendant’s] servers.” </w:t>
      </w:r>
      <w:r w:rsidRPr="00842D3D">
        <w:rPr>
          <w:rFonts w:eastAsia="Calibri" w:cs="Times New Roman"/>
          <w:i/>
          <w:iCs/>
          <w:szCs w:val="24"/>
        </w:rPr>
        <w:t>Columbia Pictures Indus., Inc. v. Fung</w:t>
      </w:r>
      <w:r w:rsidRPr="00842D3D">
        <w:rPr>
          <w:rFonts w:eastAsia="Calibri" w:cs="Times New Roman"/>
          <w:szCs w:val="24"/>
        </w:rPr>
        <w:t>, 710 F.3d 1020, 1042-43</w:t>
      </w:r>
      <w:r w:rsidRPr="00842D3D">
        <w:rPr>
          <w:rFonts w:eastAsia="Calibri" w:cs="Times New Roman"/>
          <w:szCs w:val="24"/>
          <w:vertAlign w:val="superscript"/>
        </w:rPr>
        <w:t xml:space="preserve"> </w:t>
      </w:r>
      <w:r w:rsidRPr="00842D3D">
        <w:rPr>
          <w:rFonts w:eastAsia="Calibri" w:cs="Times New Roman"/>
          <w:szCs w:val="24"/>
        </w:rPr>
        <w:t>(9th Cir. 2013) (concluding that storage of “torrent[]” files that do not contain infringing content themselves, but are used to facilitate copyright infringement, would be “facially eligible for the safe harbor”).</w:t>
      </w:r>
    </w:p>
    <w:p w14:paraId="6057757D"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6431D5F"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Actual Knowledge of Infringement:</w:t>
      </w:r>
      <w:r w:rsidRPr="00842D3D">
        <w:rPr>
          <w:rFonts w:eastAsia="Calibri" w:cs="Times New Roman"/>
          <w:szCs w:val="24"/>
        </w:rPr>
        <w:t xml:space="preserve"> Actual knowledge of the specific infringing material is required; general knowledge that the defendant’s services could be used for copyright infringement is insufficient. </w:t>
      </w:r>
      <w:r w:rsidRPr="00842D3D">
        <w:rPr>
          <w:rFonts w:eastAsia="Calibri" w:cs="Times New Roman"/>
          <w:i/>
          <w:iCs/>
          <w:szCs w:val="24"/>
        </w:rPr>
        <w:t>UMG Recordings, Inc. v. Shelter Cap. Partners, LLC</w:t>
      </w:r>
      <w:r w:rsidRPr="00842D3D">
        <w:rPr>
          <w:rFonts w:eastAsia="Calibri" w:cs="Times New Roman"/>
          <w:szCs w:val="24"/>
        </w:rPr>
        <w:t>, 718 F.3d 1006, 1022</w:t>
      </w:r>
      <w:r w:rsidRPr="00842D3D">
        <w:rPr>
          <w:rFonts w:eastAsia="Calibri" w:cs="Times New Roman"/>
          <w:szCs w:val="24"/>
          <w:vertAlign w:val="superscript"/>
        </w:rPr>
        <w:t xml:space="preserve"> </w:t>
      </w:r>
      <w:r w:rsidRPr="00842D3D">
        <w:rPr>
          <w:rFonts w:eastAsia="Calibri" w:cs="Times New Roman"/>
          <w:szCs w:val="24"/>
        </w:rPr>
        <w:t xml:space="preserve">(9th Cir. 2013). Notifications about copyright infringement from a party who is not the copyright holder do not provide actual knowledge of infringement under § 512(c)(1)(A)(i). </w:t>
      </w:r>
      <w:r w:rsidRPr="00842D3D">
        <w:rPr>
          <w:rFonts w:eastAsia="Calibri" w:cs="Times New Roman"/>
          <w:i/>
          <w:iCs/>
          <w:szCs w:val="24"/>
        </w:rPr>
        <w:t>Id.</w:t>
      </w:r>
      <w:r w:rsidRPr="00842D3D">
        <w:rPr>
          <w:rFonts w:eastAsia="Calibri" w:cs="Times New Roman"/>
          <w:szCs w:val="24"/>
        </w:rPr>
        <w:t xml:space="preserve"> at 1025.</w:t>
      </w:r>
    </w:p>
    <w:p w14:paraId="27CA7AA3"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DCF90B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Awareness of Facts or Circumstances from which Specific Infringing Activity Is Apparent (Also Known As “Red Flag” Knowledge): </w:t>
      </w:r>
      <w:r w:rsidRPr="00842D3D">
        <w:rPr>
          <w:rFonts w:eastAsia="Calibri" w:cs="Times New Roman"/>
          <w:szCs w:val="24"/>
        </w:rPr>
        <w:t>“Red flag knowledge arises when a</w:t>
      </w:r>
      <w:r w:rsidRPr="00842D3D">
        <w:rPr>
          <w:rFonts w:eastAsia="Calibri" w:cs="Times New Roman"/>
          <w:b/>
          <w:bCs/>
          <w:szCs w:val="24"/>
        </w:rPr>
        <w:t xml:space="preserve"> </w:t>
      </w:r>
      <w:r w:rsidRPr="00842D3D">
        <w:rPr>
          <w:rFonts w:eastAsia="Calibri" w:cs="Times New Roman"/>
          <w:szCs w:val="24"/>
        </w:rPr>
        <w:t>service provider is aware of facts that would have made the specific infringement objectively</w:t>
      </w:r>
      <w:r w:rsidRPr="00842D3D">
        <w:rPr>
          <w:rFonts w:eastAsia="Calibri" w:cs="Times New Roman"/>
          <w:b/>
          <w:bCs/>
          <w:szCs w:val="24"/>
        </w:rPr>
        <w:t xml:space="preserve"> </w:t>
      </w:r>
      <w:r w:rsidRPr="00842D3D">
        <w:rPr>
          <w:rFonts w:eastAsia="Calibri" w:cs="Times New Roman"/>
          <w:szCs w:val="24"/>
        </w:rPr>
        <w:t xml:space="preserve">obvious to a reasonable person.” </w:t>
      </w:r>
      <w:r w:rsidRPr="00842D3D">
        <w:rPr>
          <w:rFonts w:eastAsia="Calibri" w:cs="Times New Roman"/>
          <w:i/>
          <w:iCs/>
          <w:szCs w:val="24"/>
        </w:rPr>
        <w:t>Mavrix</w:t>
      </w:r>
      <w:r w:rsidRPr="00842D3D">
        <w:rPr>
          <w:rFonts w:eastAsia="Calibri" w:cs="Times New Roman"/>
          <w:szCs w:val="24"/>
        </w:rPr>
        <w:t>, 873 F.3d at 1057 (internal quotation marks and citation omitted). A fact or</w:t>
      </w:r>
      <w:r w:rsidRPr="00842D3D">
        <w:rPr>
          <w:rFonts w:eastAsia="Calibri" w:cs="Times New Roman"/>
          <w:b/>
          <w:bCs/>
          <w:szCs w:val="24"/>
        </w:rPr>
        <w:t xml:space="preserve"> </w:t>
      </w:r>
      <w:r w:rsidRPr="00842D3D">
        <w:rPr>
          <w:rFonts w:eastAsia="Calibri" w:cs="Times New Roman"/>
          <w:szCs w:val="24"/>
        </w:rPr>
        <w:t>circumstance from which infringing activity is apparent must be about a specific instance of</w:t>
      </w:r>
      <w:r w:rsidRPr="00842D3D">
        <w:rPr>
          <w:rFonts w:eastAsia="Calibri" w:cs="Times New Roman"/>
          <w:b/>
          <w:bCs/>
          <w:szCs w:val="24"/>
        </w:rPr>
        <w:t xml:space="preserve"> </w:t>
      </w:r>
      <w:r w:rsidRPr="00842D3D">
        <w:rPr>
          <w:rFonts w:eastAsia="Calibri" w:cs="Times New Roman"/>
          <w:szCs w:val="24"/>
        </w:rPr>
        <w:t xml:space="preserve">copyright infringement.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UMG Recordings, Inc.</w:t>
      </w:r>
      <w:r w:rsidRPr="00842D3D">
        <w:rPr>
          <w:rFonts w:eastAsia="Calibri" w:cs="Times New Roman"/>
          <w:szCs w:val="24"/>
        </w:rPr>
        <w:t>, 718 F.3d at 1024</w:t>
      </w:r>
      <w:r w:rsidRPr="00842D3D">
        <w:rPr>
          <w:rFonts w:eastAsia="Calibri" w:cs="Times New Roman"/>
          <w:i/>
          <w:iCs/>
          <w:szCs w:val="24"/>
        </w:rPr>
        <w:t xml:space="preserve"> </w:t>
      </w:r>
      <w:r w:rsidRPr="00842D3D">
        <w:rPr>
          <w:rFonts w:eastAsia="Calibri" w:cs="Times New Roman"/>
          <w:szCs w:val="24"/>
        </w:rPr>
        <w:t>(concluding that news reports discussing the general problem of copyright</w:t>
      </w:r>
      <w:r w:rsidRPr="00842D3D">
        <w:rPr>
          <w:rFonts w:eastAsia="Calibri" w:cs="Times New Roman"/>
          <w:b/>
          <w:bCs/>
          <w:szCs w:val="24"/>
        </w:rPr>
        <w:t xml:space="preserve"> </w:t>
      </w:r>
      <w:r w:rsidRPr="00842D3D">
        <w:rPr>
          <w:rFonts w:eastAsia="Calibri" w:cs="Times New Roman"/>
          <w:szCs w:val="24"/>
        </w:rPr>
        <w:t>infringement on a website and CEO’s acknowledgment of this general problem were not enough to</w:t>
      </w:r>
      <w:r w:rsidRPr="00842D3D">
        <w:rPr>
          <w:rFonts w:eastAsia="Calibri" w:cs="Times New Roman"/>
          <w:b/>
          <w:bCs/>
          <w:szCs w:val="24"/>
        </w:rPr>
        <w:t xml:space="preserve"> </w:t>
      </w:r>
      <w:r w:rsidRPr="00842D3D">
        <w:rPr>
          <w:rFonts w:eastAsia="Calibri" w:cs="Times New Roman"/>
          <w:szCs w:val="24"/>
        </w:rPr>
        <w:t>meet the knowledge requirements under § 512(c)(1)(A)). However, evidence that the defendant actually knew about specific infringing</w:t>
      </w:r>
      <w:r w:rsidRPr="00842D3D">
        <w:rPr>
          <w:rFonts w:eastAsia="Calibri" w:cs="Times New Roman"/>
          <w:b/>
          <w:bCs/>
          <w:szCs w:val="24"/>
        </w:rPr>
        <w:t xml:space="preserve"> </w:t>
      </w:r>
      <w:r w:rsidRPr="00842D3D">
        <w:rPr>
          <w:rFonts w:eastAsia="Calibri" w:cs="Times New Roman"/>
          <w:szCs w:val="24"/>
        </w:rPr>
        <w:t>activity could suffice to make that infringing activity apparent</w:t>
      </w:r>
      <w:r w:rsidRPr="00842D3D">
        <w:rPr>
          <w:rFonts w:eastAsia="Calibri" w:cs="Times New Roman"/>
          <w:i/>
          <w:iCs/>
          <w:szCs w:val="24"/>
        </w:rPr>
        <w:t>. Columbia Pictures Indus.,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710 F.3d at 1043 (holding that evidence that defendant encouraged and assisted users who</w:t>
      </w:r>
      <w:r w:rsidRPr="00842D3D">
        <w:rPr>
          <w:rFonts w:eastAsia="Calibri" w:cs="Times New Roman"/>
          <w:b/>
          <w:bCs/>
          <w:szCs w:val="24"/>
        </w:rPr>
        <w:t xml:space="preserve"> </w:t>
      </w:r>
      <w:r w:rsidRPr="00842D3D">
        <w:rPr>
          <w:rFonts w:eastAsia="Calibri" w:cs="Times New Roman"/>
          <w:szCs w:val="24"/>
        </w:rPr>
        <w:t>were infringing copyright in “current and well-known” works created “red flag” knowledge of</w:t>
      </w:r>
      <w:r w:rsidRPr="00842D3D">
        <w:rPr>
          <w:rFonts w:eastAsia="Calibri" w:cs="Times New Roman"/>
          <w:b/>
          <w:bCs/>
          <w:szCs w:val="24"/>
        </w:rPr>
        <w:t xml:space="preserve"> </w:t>
      </w:r>
      <w:r w:rsidRPr="00842D3D">
        <w:rPr>
          <w:rFonts w:eastAsia="Calibri" w:cs="Times New Roman"/>
          <w:szCs w:val="24"/>
        </w:rPr>
        <w:t>infringement). A characteristic of the website itself must be very apparent to qualify as a fact or</w:t>
      </w:r>
      <w:r w:rsidRPr="00842D3D">
        <w:rPr>
          <w:rFonts w:eastAsia="Calibri" w:cs="Times New Roman"/>
          <w:b/>
          <w:bCs/>
          <w:szCs w:val="24"/>
        </w:rPr>
        <w:t xml:space="preserve"> </w:t>
      </w:r>
      <w:r w:rsidRPr="00842D3D">
        <w:rPr>
          <w:rFonts w:eastAsia="Calibri" w:cs="Times New Roman"/>
          <w:szCs w:val="24"/>
        </w:rPr>
        <w:t xml:space="preserve">circumstance from which infringing activity is apparent. </w:t>
      </w:r>
      <w:r w:rsidRPr="00842D3D">
        <w:rPr>
          <w:rFonts w:eastAsia="Calibri" w:cs="Times New Roman"/>
          <w:i/>
          <w:iCs/>
          <w:szCs w:val="24"/>
        </w:rPr>
        <w:t>Perfect 10, Inc. v. CCBill LLC</w:t>
      </w:r>
      <w:r w:rsidRPr="00842D3D">
        <w:rPr>
          <w:rFonts w:eastAsia="Calibri" w:cs="Times New Roman"/>
          <w:szCs w:val="24"/>
        </w:rPr>
        <w:t>, 488</w:t>
      </w:r>
      <w:r w:rsidRPr="00842D3D">
        <w:rPr>
          <w:rFonts w:eastAsia="Calibri" w:cs="Times New Roman"/>
          <w:b/>
          <w:bCs/>
          <w:szCs w:val="24"/>
        </w:rPr>
        <w:t xml:space="preserve"> </w:t>
      </w:r>
      <w:r w:rsidRPr="00842D3D">
        <w:rPr>
          <w:rFonts w:eastAsia="Calibri" w:cs="Times New Roman"/>
          <w:szCs w:val="24"/>
        </w:rPr>
        <w:t xml:space="preserve">F.3d 1102, 1114 (9th Cir. 2007) (holding that website names such as </w:t>
      </w:r>
      <w:r w:rsidRPr="00842D3D">
        <w:rPr>
          <w:rFonts w:eastAsia="Calibri" w:cs="Times New Roman"/>
          <w:szCs w:val="24"/>
        </w:rPr>
        <w:lastRenderedPageBreak/>
        <w:t>“illegal.net” or</w:t>
      </w:r>
      <w:r w:rsidRPr="00842D3D">
        <w:rPr>
          <w:rFonts w:eastAsia="Calibri" w:cs="Times New Roman"/>
          <w:b/>
          <w:bCs/>
          <w:szCs w:val="24"/>
        </w:rPr>
        <w:t xml:space="preserve"> </w:t>
      </w:r>
      <w:r w:rsidRPr="00842D3D">
        <w:rPr>
          <w:rFonts w:eastAsia="Calibri" w:cs="Times New Roman"/>
          <w:szCs w:val="24"/>
        </w:rPr>
        <w:t xml:space="preserve">“stolencelebritypics.com” do not automatically function as red flags signaling infringement); </w:t>
      </w:r>
      <w:r w:rsidRPr="00842D3D">
        <w:rPr>
          <w:rFonts w:eastAsia="Calibri" w:cs="Times New Roman"/>
          <w:i/>
          <w:iCs/>
          <w:szCs w:val="24"/>
        </w:rPr>
        <w:t>see</w:t>
      </w:r>
      <w:r w:rsidRPr="00842D3D">
        <w:rPr>
          <w:rFonts w:eastAsia="Calibri" w:cs="Times New Roman"/>
          <w:b/>
          <w:bCs/>
          <w:szCs w:val="24"/>
        </w:rPr>
        <w:t xml:space="preserve"> </w:t>
      </w:r>
      <w:r w:rsidRPr="00842D3D">
        <w:rPr>
          <w:rFonts w:eastAsia="Calibri" w:cs="Times New Roman"/>
          <w:i/>
          <w:iCs/>
          <w:szCs w:val="24"/>
        </w:rPr>
        <w:t>also UMG Recordings, Inc.</w:t>
      </w:r>
      <w:r w:rsidRPr="00842D3D">
        <w:rPr>
          <w:rFonts w:eastAsia="Calibri" w:cs="Times New Roman"/>
          <w:szCs w:val="24"/>
        </w:rPr>
        <w:t>, 718 F.3d at 1022-23 (holding that “hosting a category of copyrightable content”</w:t>
      </w:r>
      <w:r w:rsidRPr="00842D3D">
        <w:rPr>
          <w:rFonts w:eastAsia="Calibri" w:cs="Times New Roman"/>
          <w:b/>
          <w:bCs/>
          <w:szCs w:val="24"/>
        </w:rPr>
        <w:t xml:space="preserve"> </w:t>
      </w:r>
      <w:r w:rsidRPr="00842D3D">
        <w:rPr>
          <w:rFonts w:eastAsia="Calibri" w:cs="Times New Roman"/>
          <w:szCs w:val="24"/>
        </w:rPr>
        <w:t>with knowledge that “services could be used for infringement is insufficient to constitute a red flag.”). Although notices from noncopyright holders do not convey actual knowledge of</w:t>
      </w:r>
      <w:r w:rsidRPr="00842D3D">
        <w:rPr>
          <w:rFonts w:eastAsia="Calibri" w:cs="Times New Roman"/>
          <w:b/>
          <w:bCs/>
          <w:szCs w:val="24"/>
        </w:rPr>
        <w:t xml:space="preserve"> </w:t>
      </w:r>
      <w:r w:rsidRPr="00842D3D">
        <w:rPr>
          <w:rFonts w:eastAsia="Calibri" w:cs="Times New Roman"/>
          <w:szCs w:val="24"/>
        </w:rPr>
        <w:t xml:space="preserve">infringement, they can serve as red flags that make infringing activity apparent. </w:t>
      </w:r>
      <w:r w:rsidRPr="00842D3D">
        <w:rPr>
          <w:rFonts w:eastAsia="Calibri" w:cs="Times New Roman"/>
          <w:i/>
          <w:iCs/>
          <w:szCs w:val="24"/>
        </w:rPr>
        <w:t xml:space="preserve">Id. </w:t>
      </w:r>
      <w:r w:rsidRPr="00842D3D">
        <w:rPr>
          <w:rFonts w:eastAsia="Calibri" w:cs="Times New Roman"/>
          <w:szCs w:val="24"/>
        </w:rPr>
        <w:t>at 1025.</w:t>
      </w:r>
    </w:p>
    <w:p w14:paraId="3EF06E1D" w14:textId="77777777" w:rsidR="00842D3D" w:rsidRPr="00842D3D" w:rsidRDefault="00842D3D" w:rsidP="00842D3D">
      <w:pPr>
        <w:autoSpaceDE w:val="0"/>
        <w:autoSpaceDN w:val="0"/>
        <w:adjustRightInd w:val="0"/>
        <w:ind w:firstLine="720"/>
        <w:rPr>
          <w:rFonts w:eastAsia="Calibri" w:cs="Times New Roman"/>
          <w:szCs w:val="24"/>
        </w:rPr>
      </w:pPr>
    </w:p>
    <w:p w14:paraId="28BD25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Financial Benefit Directly Attributable to Infringing Activity/Right and Ability to Control: </w:t>
      </w:r>
      <w:r w:rsidRPr="00842D3D">
        <w:rPr>
          <w:rFonts w:eastAsia="Calibri" w:cs="Times New Roman"/>
          <w:szCs w:val="24"/>
        </w:rPr>
        <w:t>The requirement that the service provider have not received a financial benefit directly</w:t>
      </w:r>
      <w:r w:rsidRPr="00842D3D">
        <w:rPr>
          <w:rFonts w:eastAsia="Calibri" w:cs="Times New Roman"/>
          <w:b/>
          <w:bCs/>
          <w:szCs w:val="24"/>
        </w:rPr>
        <w:t xml:space="preserve"> </w:t>
      </w:r>
      <w:r w:rsidRPr="00842D3D">
        <w:rPr>
          <w:rFonts w:eastAsia="Calibri" w:cs="Times New Roman"/>
          <w:szCs w:val="24"/>
        </w:rPr>
        <w:t>attributable to the infringement activity applies “in a case in which the service provider has the right and ability to control such activity.” 17 U.S.C. § 512(c)(1)(B). To have “the right and ability to</w:t>
      </w:r>
      <w:r w:rsidRPr="00842D3D">
        <w:rPr>
          <w:rFonts w:eastAsia="Calibri" w:cs="Times New Roman"/>
          <w:b/>
          <w:bCs/>
          <w:szCs w:val="24"/>
        </w:rPr>
        <w:t xml:space="preserve"> </w:t>
      </w:r>
      <w:r w:rsidRPr="00842D3D">
        <w:rPr>
          <w:rFonts w:eastAsia="Calibri" w:cs="Times New Roman"/>
          <w:szCs w:val="24"/>
        </w:rPr>
        <w:t xml:space="preserve">control,” the service provider must exert “substantial influence on the activities of users.” </w:t>
      </w:r>
      <w:r w:rsidRPr="00842D3D">
        <w:rPr>
          <w:rFonts w:eastAsia="Calibri" w:cs="Times New Roman"/>
          <w:i/>
          <w:iCs/>
          <w:szCs w:val="24"/>
        </w:rPr>
        <w:t>UMG</w:t>
      </w:r>
      <w:r w:rsidRPr="00842D3D">
        <w:rPr>
          <w:rFonts w:eastAsia="Calibri" w:cs="Times New Roman"/>
          <w:b/>
          <w:bCs/>
          <w:szCs w:val="24"/>
        </w:rPr>
        <w:t xml:space="preserve"> </w:t>
      </w:r>
      <w:r w:rsidRPr="00842D3D">
        <w:rPr>
          <w:rFonts w:eastAsia="Calibri" w:cs="Times New Roman"/>
          <w:i/>
          <w:iCs/>
          <w:szCs w:val="24"/>
        </w:rPr>
        <w:t>Recordings, Inc.</w:t>
      </w:r>
      <w:r w:rsidRPr="00842D3D">
        <w:rPr>
          <w:rFonts w:eastAsia="Calibri" w:cs="Times New Roman"/>
          <w:szCs w:val="24"/>
        </w:rPr>
        <w:t>, 718 F.3d at 1030 (citation omitted). “Substantial influence” may include high levels of control</w:t>
      </w:r>
      <w:r w:rsidRPr="00842D3D">
        <w:rPr>
          <w:rFonts w:eastAsia="Calibri" w:cs="Times New Roman"/>
          <w:b/>
          <w:bCs/>
          <w:szCs w:val="24"/>
        </w:rPr>
        <w:t xml:space="preserve"> </w:t>
      </w:r>
      <w:r w:rsidRPr="00842D3D">
        <w:rPr>
          <w:rFonts w:eastAsia="Calibri" w:cs="Times New Roman"/>
          <w:szCs w:val="24"/>
        </w:rPr>
        <w:t>over the activities of users; “purposeful, culpable expression and conduct”; active involvement</w:t>
      </w:r>
      <w:r w:rsidRPr="00842D3D">
        <w:rPr>
          <w:rFonts w:eastAsia="Calibri" w:cs="Times New Roman"/>
          <w:b/>
          <w:bCs/>
          <w:szCs w:val="24"/>
        </w:rPr>
        <w:t xml:space="preserve"> </w:t>
      </w:r>
      <w:r w:rsidRPr="00842D3D">
        <w:rPr>
          <w:rFonts w:eastAsia="Calibri" w:cs="Times New Roman"/>
          <w:szCs w:val="24"/>
        </w:rPr>
        <w:t>by the service provider in the listing, bidding, sale and delivery of items offered for sale; or</w:t>
      </w:r>
      <w:r w:rsidRPr="00842D3D">
        <w:rPr>
          <w:rFonts w:eastAsia="Calibri" w:cs="Times New Roman"/>
          <w:b/>
          <w:bCs/>
          <w:szCs w:val="24"/>
        </w:rPr>
        <w:t xml:space="preserve"> </w:t>
      </w:r>
      <w:r w:rsidRPr="00842D3D">
        <w:rPr>
          <w:rFonts w:eastAsia="Calibri" w:cs="Times New Roman"/>
          <w:szCs w:val="24"/>
        </w:rPr>
        <w:t>control of vendor sales through the previewing of products prior to their listing, the editing of</w:t>
      </w:r>
      <w:r w:rsidRPr="00842D3D">
        <w:rPr>
          <w:rFonts w:eastAsia="Calibri" w:cs="Times New Roman"/>
          <w:b/>
          <w:bCs/>
          <w:szCs w:val="24"/>
        </w:rPr>
        <w:t xml:space="preserve"> </w:t>
      </w:r>
      <w:r w:rsidRPr="00842D3D">
        <w:rPr>
          <w:rFonts w:eastAsia="Calibri" w:cs="Times New Roman"/>
          <w:szCs w:val="24"/>
        </w:rPr>
        <w:t xml:space="preserve">product descriptions, or the suggesting of prices.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Viacom Int’l, Inc. v. YouTube,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676 F.3d 19, 38 (2d Cir. 2012)).</w:t>
      </w:r>
    </w:p>
    <w:p w14:paraId="7B41625D" w14:textId="77777777" w:rsidR="00842D3D" w:rsidRPr="00842D3D" w:rsidRDefault="00842D3D" w:rsidP="00842D3D">
      <w:pPr>
        <w:autoSpaceDE w:val="0"/>
        <w:autoSpaceDN w:val="0"/>
        <w:adjustRightInd w:val="0"/>
        <w:ind w:firstLine="720"/>
        <w:rPr>
          <w:rFonts w:eastAsia="Calibri" w:cs="Times New Roman"/>
          <w:b/>
          <w:bCs/>
          <w:szCs w:val="24"/>
        </w:rPr>
      </w:pPr>
    </w:p>
    <w:p w14:paraId="1667832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determining whether the financial benefit criterion is satisfied, courts should take a common-sense, fact-based approach, not a formalistic one.” </w:t>
      </w:r>
      <w:r w:rsidRPr="00842D3D">
        <w:rPr>
          <w:rFonts w:eastAsia="Calibri" w:cs="Times New Roman"/>
          <w:i/>
          <w:iCs/>
          <w:szCs w:val="24"/>
        </w:rPr>
        <w:t>Mavrix</w:t>
      </w:r>
      <w:r w:rsidRPr="00842D3D">
        <w:rPr>
          <w:rFonts w:eastAsia="Calibri" w:cs="Times New Roman"/>
          <w:szCs w:val="24"/>
        </w:rPr>
        <w:t xml:space="preserve">, 873 F.3d at (quoting S. Rep. No. 105-190, at 44 (1998)). The relevant inquiry regarding direct financial benefit is “whether the infringing activity constitutes a draw for subscribers, not just an added benefit.” </w:t>
      </w:r>
      <w:r w:rsidRPr="00842D3D">
        <w:rPr>
          <w:rFonts w:eastAsia="Calibri" w:cs="Times New Roman"/>
          <w:i/>
          <w:iCs/>
          <w:szCs w:val="24"/>
        </w:rPr>
        <w:t>Perfect 10</w:t>
      </w:r>
      <w:r w:rsidRPr="00842D3D">
        <w:rPr>
          <w:rFonts w:eastAsia="Calibri" w:cs="Times New Roman"/>
          <w:szCs w:val="24"/>
        </w:rPr>
        <w:t xml:space="preserve">, 488 F.3d at 1117 (quoting </w:t>
      </w:r>
      <w:r w:rsidRPr="00842D3D">
        <w:rPr>
          <w:rFonts w:eastAsia="Calibri" w:cs="Times New Roman"/>
          <w:i/>
          <w:iCs/>
          <w:szCs w:val="24"/>
        </w:rPr>
        <w:t>Ellison v. Robertson</w:t>
      </w:r>
      <w:r w:rsidRPr="00842D3D">
        <w:rPr>
          <w:rFonts w:eastAsia="Calibri" w:cs="Times New Roman"/>
          <w:szCs w:val="24"/>
        </w:rPr>
        <w:t xml:space="preserve">, 357 F.3d 1072, 1079 (9th Cir. 2004)). A “one-time set-up fee [or] flat, periodic payments” for the service provided does not qualify. </w:t>
      </w:r>
      <w:r w:rsidRPr="00842D3D">
        <w:rPr>
          <w:rFonts w:eastAsia="Calibri" w:cs="Times New Roman"/>
          <w:i/>
          <w:iCs/>
          <w:szCs w:val="24"/>
        </w:rPr>
        <w:t xml:space="preserve">Id. </w:t>
      </w:r>
      <w:r w:rsidRPr="00842D3D">
        <w:rPr>
          <w:rFonts w:eastAsia="Calibri" w:cs="Times New Roman"/>
          <w:szCs w:val="24"/>
        </w:rPr>
        <w:t xml:space="preserve">at 1118 (citation omitted). “The financial benefit need not be substantial or a large proportion of the service provider’s revenue.” </w:t>
      </w:r>
      <w:r w:rsidRPr="00842D3D">
        <w:rPr>
          <w:rFonts w:eastAsia="Calibri" w:cs="Times New Roman"/>
          <w:i/>
          <w:iCs/>
          <w:szCs w:val="24"/>
        </w:rPr>
        <w:t>Mavrix</w:t>
      </w:r>
      <w:r w:rsidRPr="00842D3D">
        <w:rPr>
          <w:rFonts w:eastAsia="Calibri" w:cs="Times New Roman"/>
          <w:szCs w:val="24"/>
        </w:rPr>
        <w:t>, 873 F.3d at 1059 (citation omitted).</w:t>
      </w:r>
    </w:p>
    <w:p w14:paraId="1C1FEC5A"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0FBB0979"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15671318" w14:textId="77777777" w:rsidR="00842D3D" w:rsidRPr="00842D3D" w:rsidRDefault="00842D3D" w:rsidP="00842D3D">
      <w:pPr>
        <w:numPr>
          <w:ilvl w:val="12"/>
          <w:numId w:val="0"/>
        </w:num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2E5432AC" w14:textId="338E01C0" w:rsidR="00842D3D" w:rsidRPr="00842D3D" w:rsidRDefault="00842D3D" w:rsidP="00313A05">
      <w:pPr>
        <w:pStyle w:val="Heading2"/>
      </w:pPr>
      <w:r w:rsidRPr="00842D3D">
        <w:br w:type="page"/>
      </w:r>
      <w:bookmarkStart w:id="436" w:name="_Toc221525334"/>
      <w:r w:rsidRPr="00842D3D">
        <w:lastRenderedPageBreak/>
        <w:t>17.3</w:t>
      </w:r>
      <w:r w:rsidR="003B11C4">
        <w:t>3</w:t>
      </w:r>
      <w:r w:rsidRPr="00842D3D">
        <w:t xml:space="preserve"> Copyright—Affirmative Defense—Limitation on Liability for Information Location Tools (17 U.S.C. § 512(d))</w:t>
      </w:r>
      <w:bookmarkEnd w:id="436"/>
    </w:p>
    <w:p w14:paraId="6F28B7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81DC3E7"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 is a service provider and therefore not liable for copyright infringement because the infringement occurred in the context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’s provision of information location tools, such as a directory, index, reference, pointer, or hypertext link, to refer or link users to infringing material or activity.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this defense by a preponderance of the evidence.</w:t>
      </w:r>
    </w:p>
    <w:p w14:paraId="78F11A4E" w14:textId="77777777" w:rsidR="00842D3D" w:rsidRPr="00842D3D" w:rsidRDefault="00842D3D" w:rsidP="00842D3D">
      <w:pPr>
        <w:widowControl w:val="0"/>
        <w:autoSpaceDE w:val="0"/>
        <w:autoSpaceDN w:val="0"/>
        <w:ind w:firstLine="720"/>
        <w:rPr>
          <w:rFonts w:eastAsia="Times New Roman" w:cs="Times New Roman"/>
          <w:szCs w:val="24"/>
        </w:rPr>
      </w:pPr>
    </w:p>
    <w:p w14:paraId="548B14AD"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is eligible to use this defense if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76A511E0" w14:textId="77777777" w:rsidR="00842D3D" w:rsidRPr="00842D3D" w:rsidRDefault="00842D3D" w:rsidP="00842D3D">
      <w:pPr>
        <w:widowControl w:val="0"/>
        <w:autoSpaceDE w:val="0"/>
        <w:autoSpaceDN w:val="0"/>
        <w:ind w:left="720"/>
        <w:rPr>
          <w:rFonts w:eastAsia="Times New Roman" w:cs="Times New Roman"/>
          <w:szCs w:val="24"/>
        </w:rPr>
      </w:pPr>
    </w:p>
    <w:p w14:paraId="35ABC73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First, is a service provider of network communication services, online services, or network access;</w:t>
      </w:r>
    </w:p>
    <w:p w14:paraId="1A0596B8" w14:textId="77777777" w:rsidR="00842D3D" w:rsidRPr="00842D3D" w:rsidRDefault="00842D3D" w:rsidP="00842D3D">
      <w:pPr>
        <w:widowControl w:val="0"/>
        <w:autoSpaceDE w:val="0"/>
        <w:autoSpaceDN w:val="0"/>
        <w:adjustRightInd w:val="0"/>
        <w:ind w:firstLine="720"/>
        <w:rPr>
          <w:rFonts w:eastAsia="Calibri" w:cs="Times New Roman"/>
          <w:szCs w:val="24"/>
        </w:rPr>
      </w:pPr>
    </w:p>
    <w:p w14:paraId="6373C43E"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Second, adopted, reasonably implemented, and informed users of a policy to terminate users who are repeat copyright infringers;</w:t>
      </w:r>
    </w:p>
    <w:p w14:paraId="6B3C6F97" w14:textId="77777777" w:rsidR="00842D3D" w:rsidRPr="00842D3D" w:rsidRDefault="00842D3D" w:rsidP="00842D3D">
      <w:pPr>
        <w:widowControl w:val="0"/>
        <w:autoSpaceDE w:val="0"/>
        <w:autoSpaceDN w:val="0"/>
        <w:adjustRightInd w:val="0"/>
        <w:ind w:firstLine="720"/>
        <w:rPr>
          <w:rFonts w:eastAsia="Calibri" w:cs="Times New Roman"/>
          <w:szCs w:val="24"/>
        </w:rPr>
      </w:pPr>
    </w:p>
    <w:p w14:paraId="0891D15F"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Third, accommodated and did not interfere with standard technical measures used to identify or protect copyrighted works;</w:t>
      </w:r>
    </w:p>
    <w:p w14:paraId="5D19D0FF" w14:textId="77777777" w:rsidR="00842D3D" w:rsidRPr="00842D3D" w:rsidRDefault="00842D3D" w:rsidP="00842D3D">
      <w:pPr>
        <w:widowControl w:val="0"/>
        <w:autoSpaceDE w:val="0"/>
        <w:autoSpaceDN w:val="0"/>
        <w:adjustRightInd w:val="0"/>
        <w:ind w:firstLine="720"/>
        <w:rPr>
          <w:rFonts w:eastAsia="Calibri" w:cs="Times New Roman"/>
          <w:szCs w:val="24"/>
        </w:rPr>
      </w:pPr>
    </w:p>
    <w:p w14:paraId="4273BC46"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6D0AAA03" w14:textId="77777777" w:rsidR="00842D3D" w:rsidRPr="00842D3D" w:rsidRDefault="00842D3D" w:rsidP="00842D3D">
      <w:pPr>
        <w:widowControl w:val="0"/>
        <w:autoSpaceDE w:val="0"/>
        <w:autoSpaceDN w:val="0"/>
        <w:adjustRightInd w:val="0"/>
        <w:ind w:firstLine="720"/>
        <w:rPr>
          <w:rFonts w:eastAsia="Calibri" w:cs="Times New Roman"/>
          <w:szCs w:val="24"/>
        </w:rPr>
      </w:pPr>
    </w:p>
    <w:p w14:paraId="4D29141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Fifth, is facing liability for copyright infringement for providing information location tools or services.</w:t>
      </w:r>
    </w:p>
    <w:p w14:paraId="3BF4E936" w14:textId="77777777" w:rsidR="00842D3D" w:rsidRPr="00842D3D" w:rsidRDefault="00842D3D" w:rsidP="00842D3D">
      <w:pPr>
        <w:widowControl w:val="0"/>
        <w:autoSpaceDE w:val="0"/>
        <w:autoSpaceDN w:val="0"/>
        <w:adjustRightInd w:val="0"/>
        <w:ind w:left="720" w:right="720"/>
        <w:rPr>
          <w:rFonts w:eastAsia="Calibri" w:cs="Times New Roman"/>
          <w:szCs w:val="24"/>
        </w:rPr>
      </w:pPr>
    </w:p>
    <w:p w14:paraId="3DA38632" w14:textId="77777777" w:rsidR="00842D3D" w:rsidRPr="00842D3D" w:rsidRDefault="00842D3D" w:rsidP="00842D3D">
      <w:pPr>
        <w:widowControl w:val="0"/>
        <w:autoSpaceDE w:val="0"/>
        <w:autoSpaceDN w:val="0"/>
        <w:adjustRightInd w:val="0"/>
        <w:ind w:left="720"/>
        <w:rPr>
          <w:rFonts w:eastAsia="Calibri" w:cs="Times New Roman"/>
          <w:szCs w:val="24"/>
        </w:rPr>
      </w:pPr>
      <w:r w:rsidRPr="00842D3D">
        <w:rPr>
          <w:rFonts w:eastAsia="Calibri" w:cs="Times New Roman"/>
          <w:szCs w:val="24"/>
        </w:rPr>
        <w:t>The defense applies if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p>
    <w:p w14:paraId="4560143D" w14:textId="77777777" w:rsidR="00842D3D" w:rsidRPr="00842D3D" w:rsidRDefault="00842D3D" w:rsidP="00842D3D">
      <w:pPr>
        <w:widowControl w:val="0"/>
        <w:autoSpaceDE w:val="0"/>
        <w:autoSpaceDN w:val="0"/>
        <w:adjustRightInd w:val="0"/>
        <w:ind w:left="720"/>
        <w:rPr>
          <w:rFonts w:eastAsia="Calibri" w:cs="Times New Roman"/>
          <w:szCs w:val="24"/>
        </w:rPr>
      </w:pPr>
    </w:p>
    <w:p w14:paraId="11F54D77"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First, lacked actual knowledge that the material or activity was infringing;</w:t>
      </w:r>
    </w:p>
    <w:p w14:paraId="0AA997E3"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p>
    <w:p w14:paraId="2734A826"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Second, was either (a) not aware of facts or circumstances from which specific infringing activity was apparent, or (b) upon obtaining knowledge or awareness or upon receiving a valid notification of claimed infringement, acted expeditiously to remove or disable access to the material; and</w:t>
      </w:r>
    </w:p>
    <w:p w14:paraId="2A2374A0"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p>
    <w:p w14:paraId="2D3DE828"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Third, while having the right and ability to control the infringing activity, did not receive a financial benefit directly attributable to the infringing activity.</w:t>
      </w:r>
    </w:p>
    <w:p w14:paraId="3B000BB1" w14:textId="77777777" w:rsidR="00842D3D" w:rsidRPr="00842D3D" w:rsidRDefault="00842D3D" w:rsidP="00842D3D">
      <w:pPr>
        <w:widowControl w:val="0"/>
        <w:autoSpaceDE w:val="0"/>
        <w:autoSpaceDN w:val="0"/>
        <w:adjustRightInd w:val="0"/>
        <w:ind w:firstLine="720"/>
        <w:rPr>
          <w:rFonts w:eastAsia="Calibri" w:cs="Times New Roman"/>
          <w:szCs w:val="24"/>
        </w:rPr>
      </w:pPr>
    </w:p>
    <w:p w14:paraId="0BCD51E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satisfied these requirements,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 but may assert other defenses.</w:t>
      </w:r>
    </w:p>
    <w:p w14:paraId="5ECAF0A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2A7E9D7E"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566CC36A" w14:textId="77777777" w:rsidR="00842D3D" w:rsidRPr="00842D3D" w:rsidRDefault="00842D3D" w:rsidP="00842D3D">
      <w:pPr>
        <w:widowControl w:val="0"/>
        <w:autoSpaceDE w:val="0"/>
        <w:autoSpaceDN w:val="0"/>
        <w:adjustRightInd w:val="0"/>
        <w:rPr>
          <w:rFonts w:eastAsia="Calibri" w:cs="Times New Roman"/>
          <w:szCs w:val="24"/>
        </w:rPr>
      </w:pPr>
    </w:p>
    <w:p w14:paraId="25918EC7"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lastRenderedPageBreak/>
        <w:t>This instruction is based on 17 U.S.C. § 512(d), as well as §§ 512(c)(2)-(3), (i), and (k).</w:t>
      </w:r>
    </w:p>
    <w:p w14:paraId="5C1F36E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489B76C" w14:textId="5BE778FA"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17.27 (Copyright—Affirmative Defense—Service Provider of Network Communications Services Defined). For commentary on a reasonably implemented policy for the termination of users who are repeat infringers, see Instruction 17.28 (Copyright—Affirmative Defense—Limitation on Liability for Transitory Digital Network Communications). For an instruction on the requirements for a valid notice of claimed infringement, see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see Instruction 17.</w:t>
      </w:r>
      <w:r w:rsidR="009818E2">
        <w:rPr>
          <w:rFonts w:eastAsia="Calibri" w:cs="Times New Roman"/>
          <w:szCs w:val="24"/>
        </w:rPr>
        <w:t>32</w:t>
      </w:r>
      <w:r w:rsidRPr="00842D3D">
        <w:rPr>
          <w:rFonts w:eastAsia="Calibri" w:cs="Times New Roman"/>
          <w:szCs w:val="24"/>
        </w:rPr>
        <w:t xml:space="preserve"> (Copyright—Affirmative Defense—Limitation on Liability for Information Residing on Systems or Networks at Direction of Users).</w:t>
      </w:r>
    </w:p>
    <w:p w14:paraId="224E87F9"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9C317DA" w14:textId="77777777" w:rsidR="00842D3D" w:rsidRPr="00842D3D" w:rsidRDefault="00842D3D" w:rsidP="00842D3D">
      <w:pPr>
        <w:rPr>
          <w:rFonts w:eastAsia="Calibri" w:cs="Times New Roman"/>
          <w:szCs w:val="24"/>
        </w:rPr>
      </w:pPr>
      <w:r w:rsidRPr="00842D3D">
        <w:rPr>
          <w:rFonts w:eastAsia="Calibri" w:cs="Times New Roman"/>
          <w:b/>
          <w:bCs/>
          <w:szCs w:val="24"/>
        </w:rPr>
        <w:t>Information Location Tools:</w:t>
      </w:r>
      <w:r w:rsidRPr="00842D3D">
        <w:rPr>
          <w:rFonts w:eastAsia="Calibri" w:cs="Times New Roman"/>
          <w:szCs w:val="24"/>
        </w:rPr>
        <w:t xml:space="preserve"> This defense applies only to “infringement of copyright </w:t>
      </w:r>
      <w:r w:rsidRPr="00842D3D">
        <w:rPr>
          <w:rFonts w:eastAsia="Calibri" w:cs="Times New Roman"/>
          <w:i/>
          <w:iCs/>
          <w:szCs w:val="24"/>
        </w:rPr>
        <w:t>by reason of</w:t>
      </w:r>
      <w:r w:rsidRPr="00842D3D">
        <w:rPr>
          <w:rFonts w:eastAsia="Calibri" w:cs="Times New Roman"/>
          <w:szCs w:val="24"/>
        </w:rPr>
        <w:t xml:space="preserve"> the provider referring or linking users to an online location containing infringing material or infringing activity.” </w:t>
      </w:r>
      <w:r w:rsidRPr="00842D3D">
        <w:rPr>
          <w:rFonts w:eastAsia="Calibri" w:cs="Times New Roman"/>
          <w:i/>
          <w:iCs/>
          <w:szCs w:val="24"/>
        </w:rPr>
        <w:t>Perfect 10, Inc. v. CCBill LLC</w:t>
      </w:r>
      <w:r w:rsidRPr="00842D3D">
        <w:rPr>
          <w:rFonts w:eastAsia="Calibri" w:cs="Times New Roman"/>
          <w:szCs w:val="24"/>
        </w:rPr>
        <w:t>, 488 F.3d 1102, 1116-17 (9th Cir. 2007) (quoting § 512(d)) (explaining that § 512(d) did not create “blanket immunity” when a defendant provided users with a hyperlink to infringing material but also engaged in other infringing activity).</w:t>
      </w:r>
    </w:p>
    <w:p w14:paraId="0C76C91C" w14:textId="77777777" w:rsidR="00842D3D" w:rsidRPr="00842D3D" w:rsidRDefault="00842D3D" w:rsidP="00842D3D">
      <w:pPr>
        <w:rPr>
          <w:rFonts w:eastAsia="Calibri" w:cs="Times New Roman"/>
          <w:szCs w:val="24"/>
        </w:rPr>
      </w:pPr>
    </w:p>
    <w:p w14:paraId="440DF284"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661D8665" w14:textId="77777777" w:rsidR="00842D3D" w:rsidRPr="00842D3D" w:rsidRDefault="00842D3D" w:rsidP="00842D3D">
      <w:pPr>
        <w:numPr>
          <w:ilvl w:val="12"/>
          <w:numId w:val="0"/>
        </w:numPr>
        <w:autoSpaceDE w:val="0"/>
        <w:autoSpaceDN w:val="0"/>
        <w:adjustRightInd w:val="0"/>
        <w:rPr>
          <w:rFonts w:eastAsia="Calibri" w:cs="Times New Roman"/>
          <w:szCs w:val="24"/>
        </w:rPr>
      </w:pPr>
      <w:r w:rsidRPr="00842D3D">
        <w:rPr>
          <w:rFonts w:eastAsia="Calibri" w:cs="Times New Roman"/>
          <w:szCs w:val="24"/>
        </w:rPr>
        <w:t xml:space="preserve"> </w:t>
      </w:r>
    </w:p>
    <w:p w14:paraId="15B9C5BB"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12E36623" w14:textId="366B864A" w:rsidR="00842D3D" w:rsidRPr="00842D3D" w:rsidRDefault="00842D3D" w:rsidP="00313A05">
      <w:pPr>
        <w:pStyle w:val="Heading2"/>
      </w:pPr>
      <w:r w:rsidRPr="00842D3D">
        <w:br w:type="page"/>
      </w:r>
      <w:bookmarkStart w:id="437" w:name="_Toc221525335"/>
      <w:r w:rsidRPr="00842D3D">
        <w:lastRenderedPageBreak/>
        <w:t>17.3</w:t>
      </w:r>
      <w:r w:rsidR="003B11C4">
        <w:t>4</w:t>
      </w:r>
      <w:r w:rsidRPr="00842D3D">
        <w:t xml:space="preserve"> Copyright—Damages (17 U.S.C. § 504)</w:t>
      </w:r>
      <w:bookmarkEnd w:id="437"/>
    </w:p>
    <w:p w14:paraId="38D1FFF7"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589DC"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 xml:space="preserve">If you find for </w:t>
      </w:r>
      <w:r w:rsidRPr="00842D3D">
        <w:rPr>
          <w:rFonts w:eastAsia="Times New Roman" w:cs="Times New Roman"/>
          <w:w w:val="105"/>
        </w:rPr>
        <w:t>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Times New Roman" w:cs="Times New Roman"/>
          <w:w w:val="105"/>
        </w:rPr>
        <w:t>on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copyright infringement claim, you must determine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damages.</w:t>
      </w:r>
      <w:r w:rsidRPr="00842D3D">
        <w:rPr>
          <w:rFonts w:eastAsia="Times New Roman" w:cs="Times New Roman"/>
          <w:spacing w:val="40"/>
          <w:w w:val="105"/>
        </w:rPr>
        <w:t xml:space="preserve"> </w:t>
      </w:r>
      <w:r w:rsidRPr="00842D3D">
        <w:rPr>
          <w:rFonts w:eastAsia="Times New Roman" w:cs="Times New Roman"/>
          <w:w w:val="105"/>
        </w:rPr>
        <w:t>The plaintiff is entitled to recover the actual damages suffered as a result</w:t>
      </w:r>
      <w:r w:rsidRPr="00842D3D">
        <w:rPr>
          <w:rFonts w:eastAsia="Times New Roman" w:cs="Times New Roman"/>
          <w:spacing w:val="-3"/>
          <w:w w:val="105"/>
        </w:rPr>
        <w:t xml:space="preserve"> </w:t>
      </w:r>
      <w:r w:rsidRPr="00842D3D">
        <w:rPr>
          <w:rFonts w:eastAsia="Times New Roman" w:cs="Times New Roman"/>
          <w:w w:val="105"/>
        </w:rPr>
        <w:t>of</w:t>
      </w:r>
      <w:r w:rsidRPr="00842D3D">
        <w:rPr>
          <w:rFonts w:eastAsia="Times New Roman" w:cs="Times New Roman"/>
          <w:spacing w:val="-1"/>
          <w:w w:val="105"/>
        </w:rPr>
        <w:t xml:space="preserve"> </w:t>
      </w:r>
      <w:r w:rsidRPr="00842D3D">
        <w:rPr>
          <w:rFonts w:eastAsia="Times New Roman" w:cs="Times New Roman"/>
          <w:w w:val="105"/>
        </w:rPr>
        <w:t>the infringement.</w:t>
      </w:r>
      <w:r w:rsidRPr="00842D3D">
        <w:rPr>
          <w:rFonts w:eastAsia="Times New Roman" w:cs="Times New Roman"/>
          <w:spacing w:val="40"/>
          <w:w w:val="105"/>
        </w:rPr>
        <w:t xml:space="preserve"> </w:t>
      </w:r>
      <w:r w:rsidRPr="00842D3D">
        <w:rPr>
          <w:rFonts w:eastAsia="Times New Roman" w:cs="Times New Roman"/>
          <w:w w:val="105"/>
        </w:rPr>
        <w:t>In addition,</w:t>
      </w:r>
      <w:r w:rsidRPr="00842D3D">
        <w:rPr>
          <w:rFonts w:eastAsia="Times New Roman" w:cs="Times New Roman"/>
          <w:spacing w:val="-3"/>
          <w:w w:val="105"/>
        </w:rPr>
        <w:t xml:space="preserve"> </w:t>
      </w:r>
      <w:r w:rsidRPr="00842D3D">
        <w:rPr>
          <w:rFonts w:eastAsia="Times New Roman" w:cs="Times New Roman"/>
          <w:w w:val="105"/>
        </w:rPr>
        <w:t>the plaintiff</w:t>
      </w:r>
      <w:r w:rsidRPr="00842D3D">
        <w:rPr>
          <w:rFonts w:eastAsia="Times New Roman" w:cs="Times New Roman"/>
          <w:spacing w:val="-1"/>
          <w:w w:val="105"/>
        </w:rPr>
        <w:t xml:space="preserve"> </w:t>
      </w:r>
      <w:r w:rsidRPr="00842D3D">
        <w:rPr>
          <w:rFonts w:eastAsia="Times New Roman" w:cs="Times New Roman"/>
          <w:w w:val="105"/>
        </w:rPr>
        <w:t>is also entitled to recover</w:t>
      </w:r>
      <w:r w:rsidRPr="00842D3D">
        <w:rPr>
          <w:rFonts w:eastAsia="Times New Roman" w:cs="Times New Roman"/>
          <w:spacing w:val="-1"/>
          <w:w w:val="105"/>
        </w:rPr>
        <w:t xml:space="preserve"> </w:t>
      </w:r>
      <w:r w:rsidRPr="00842D3D">
        <w:rPr>
          <w:rFonts w:eastAsia="Times New Roman" w:cs="Times New Roman"/>
          <w:w w:val="105"/>
        </w:rPr>
        <w:t>any profits</w:t>
      </w:r>
      <w:r w:rsidRPr="00842D3D">
        <w:rPr>
          <w:rFonts w:eastAsia="Times New Roman" w:cs="Times New Roman"/>
          <w:spacing w:val="-8"/>
          <w:w w:val="105"/>
        </w:rPr>
        <w:t xml:space="preserve"> </w:t>
      </w:r>
      <w:r w:rsidRPr="00842D3D">
        <w:rPr>
          <w:rFonts w:eastAsia="Times New Roman" w:cs="Times New Roman"/>
          <w:w w:val="105"/>
        </w:rPr>
        <w:t>of</w:t>
      </w:r>
      <w:r w:rsidRPr="00842D3D">
        <w:rPr>
          <w:rFonts w:eastAsia="Times New Roman" w:cs="Times New Roman"/>
          <w:spacing w:val="-9"/>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defendant</w:t>
      </w:r>
      <w:r w:rsidRPr="00842D3D">
        <w:rPr>
          <w:rFonts w:eastAsia="Times New Roman" w:cs="Times New Roman"/>
          <w:spacing w:val="-10"/>
          <w:w w:val="105"/>
        </w:rPr>
        <w:t xml:space="preserve"> </w:t>
      </w:r>
      <w:r w:rsidRPr="00842D3D">
        <w:rPr>
          <w:rFonts w:eastAsia="Times New Roman" w:cs="Times New Roman"/>
          <w:w w:val="105"/>
        </w:rPr>
        <w:t>attributable</w:t>
      </w:r>
      <w:r w:rsidRPr="00842D3D">
        <w:rPr>
          <w:rFonts w:eastAsia="Times New Roman" w:cs="Times New Roman"/>
          <w:spacing w:val="-7"/>
          <w:w w:val="105"/>
        </w:rPr>
        <w:t xml:space="preserve"> </w:t>
      </w:r>
      <w:r w:rsidRPr="00842D3D">
        <w:rPr>
          <w:rFonts w:eastAsia="Times New Roman" w:cs="Times New Roman"/>
          <w:w w:val="105"/>
        </w:rPr>
        <w:t>to</w:t>
      </w:r>
      <w:r w:rsidRPr="00842D3D">
        <w:rPr>
          <w:rFonts w:eastAsia="Times New Roman" w:cs="Times New Roman"/>
          <w:spacing w:val="-6"/>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infringement</w:t>
      </w:r>
      <w:r w:rsidRPr="00842D3D">
        <w:rPr>
          <w:rFonts w:eastAsia="Calibri" w:cs="Times New Roman"/>
        </w:rPr>
        <w:t xml:space="preserve"> </w:t>
      </w:r>
      <w:r w:rsidRPr="00842D3D">
        <w:rPr>
          <w:rFonts w:eastAsia="Times New Roman" w:cs="Times New Roman"/>
          <w:w w:val="105"/>
        </w:rPr>
        <w:t>and not taken into account in [computing the actual damages] [the calculation of damages].</w:t>
      </w:r>
      <w:r w:rsidRPr="00842D3D">
        <w:rPr>
          <w:rFonts w:eastAsia="Times New Roman" w:cs="Times New Roman"/>
          <w:spacing w:val="40"/>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plaintiff</w:t>
      </w:r>
      <w:r w:rsidRPr="00842D3D">
        <w:rPr>
          <w:rFonts w:eastAsia="Times New Roman" w:cs="Times New Roman"/>
          <w:spacing w:val="-2"/>
          <w:w w:val="105"/>
        </w:rPr>
        <w:t xml:space="preserve"> </w:t>
      </w:r>
      <w:r w:rsidRPr="00842D3D">
        <w:rPr>
          <w:rFonts w:eastAsia="Times New Roman" w:cs="Times New Roman"/>
          <w:w w:val="105"/>
        </w:rPr>
        <w:t>must</w:t>
      </w:r>
      <w:r w:rsidRPr="00842D3D">
        <w:rPr>
          <w:rFonts w:eastAsia="Times New Roman" w:cs="Times New Roman"/>
          <w:spacing w:val="-3"/>
          <w:w w:val="105"/>
        </w:rPr>
        <w:t xml:space="preserve"> </w:t>
      </w:r>
      <w:r w:rsidRPr="00842D3D">
        <w:rPr>
          <w:rFonts w:eastAsia="Times New Roman" w:cs="Times New Roman"/>
          <w:w w:val="105"/>
        </w:rPr>
        <w:t>prove</w:t>
      </w:r>
      <w:r w:rsidRPr="00842D3D">
        <w:rPr>
          <w:rFonts w:eastAsia="Times New Roman" w:cs="Times New Roman"/>
          <w:spacing w:val="-7"/>
          <w:w w:val="105"/>
        </w:rPr>
        <w:t xml:space="preserve"> </w:t>
      </w:r>
      <w:r w:rsidRPr="00842D3D">
        <w:rPr>
          <w:rFonts w:eastAsia="Times New Roman" w:cs="Times New Roman"/>
          <w:w w:val="105"/>
        </w:rPr>
        <w:t>damages</w:t>
      </w:r>
      <w:r w:rsidRPr="00842D3D">
        <w:rPr>
          <w:rFonts w:eastAsia="Times New Roman" w:cs="Times New Roman"/>
          <w:spacing w:val="-8"/>
          <w:w w:val="105"/>
        </w:rPr>
        <w:t xml:space="preserve"> </w:t>
      </w:r>
      <w:r w:rsidRPr="00842D3D">
        <w:rPr>
          <w:rFonts w:eastAsia="Times New Roman" w:cs="Times New Roman"/>
          <w:w w:val="105"/>
        </w:rPr>
        <w:t>by</w:t>
      </w:r>
      <w:r w:rsidRPr="00842D3D">
        <w:rPr>
          <w:rFonts w:eastAsia="Times New Roman" w:cs="Times New Roman"/>
          <w:spacing w:val="-6"/>
          <w:w w:val="105"/>
        </w:rPr>
        <w:t xml:space="preserve"> </w:t>
      </w:r>
      <w:r w:rsidRPr="00842D3D">
        <w:rPr>
          <w:rFonts w:eastAsia="Times New Roman" w:cs="Times New Roman"/>
          <w:w w:val="105"/>
        </w:rPr>
        <w:t>a preponderance of the evidence.</w:t>
      </w:r>
    </w:p>
    <w:p w14:paraId="4B96A2AD" w14:textId="77777777" w:rsidR="00842D3D" w:rsidRPr="00842D3D" w:rsidRDefault="00842D3D" w:rsidP="00842D3D">
      <w:pPr>
        <w:widowControl w:val="0"/>
        <w:autoSpaceDE w:val="0"/>
        <w:autoSpaceDN w:val="0"/>
        <w:rPr>
          <w:rFonts w:eastAsia="Times New Roman" w:cs="Times New Roman"/>
          <w:w w:val="105"/>
          <w:szCs w:val="24"/>
        </w:rPr>
      </w:pPr>
    </w:p>
    <w:p w14:paraId="6CEB9419"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249D6757" w14:textId="77777777" w:rsidR="00842D3D" w:rsidRPr="00842D3D" w:rsidRDefault="00842D3D" w:rsidP="00842D3D">
      <w:pPr>
        <w:widowControl w:val="0"/>
        <w:autoSpaceDE w:val="0"/>
        <w:autoSpaceDN w:val="0"/>
        <w:rPr>
          <w:rFonts w:eastAsia="Times New Roman" w:cs="Times New Roman"/>
          <w:b/>
          <w:szCs w:val="24"/>
        </w:rPr>
      </w:pPr>
    </w:p>
    <w:p w14:paraId="45922994" w14:textId="0A34DAF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Give</w:t>
      </w:r>
      <w:r w:rsidRPr="00842D3D">
        <w:rPr>
          <w:rFonts w:eastAsia="Times New Roman" w:cs="Times New Roman"/>
          <w:spacing w:val="-10"/>
          <w:w w:val="105"/>
          <w:szCs w:val="24"/>
        </w:rPr>
        <w:t xml:space="preserve"> </w:t>
      </w:r>
      <w:r w:rsidRPr="00842D3D">
        <w:rPr>
          <w:rFonts w:eastAsia="Times New Roman" w:cs="Times New Roman"/>
          <w:w w:val="105"/>
          <w:szCs w:val="24"/>
        </w:rPr>
        <w:t>this</w:t>
      </w:r>
      <w:r w:rsidRPr="00842D3D">
        <w:rPr>
          <w:rFonts w:eastAsia="Times New Roman" w:cs="Times New Roman"/>
          <w:spacing w:val="-11"/>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along</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Instructions</w:t>
      </w:r>
      <w:r w:rsidRPr="00842D3D">
        <w:rPr>
          <w:rFonts w:eastAsia="Times New Roman" w:cs="Times New Roman"/>
          <w:spacing w:val="-11"/>
          <w:w w:val="105"/>
          <w:szCs w:val="24"/>
        </w:rPr>
        <w:t xml:space="preserve"> </w:t>
      </w:r>
      <w:r w:rsidRPr="00842D3D">
        <w:rPr>
          <w:rFonts w:eastAsia="Times New Roman" w:cs="Times New Roman"/>
          <w:w w:val="105"/>
          <w:szCs w:val="24"/>
        </w:rPr>
        <w:t>5.1</w:t>
      </w:r>
      <w:r w:rsidRPr="00842D3D">
        <w:rPr>
          <w:rFonts w:eastAsia="Times New Roman" w:cs="Times New Roman"/>
          <w:spacing w:val="-9"/>
          <w:w w:val="105"/>
          <w:szCs w:val="24"/>
        </w:rPr>
        <w:t xml:space="preserve"> </w:t>
      </w:r>
      <w:r w:rsidRPr="00842D3D">
        <w:rPr>
          <w:rFonts w:eastAsia="Times New Roman" w:cs="Times New Roman"/>
          <w:w w:val="105"/>
          <w:szCs w:val="24"/>
        </w:rPr>
        <w:t>(Damages—Proof),</w:t>
      </w:r>
      <w:r w:rsidRPr="00842D3D">
        <w:rPr>
          <w:rFonts w:eastAsia="Times New Roman" w:cs="Times New Roman"/>
          <w:spacing w:val="-13"/>
          <w:w w:val="105"/>
          <w:szCs w:val="24"/>
        </w:rPr>
        <w:t xml:space="preserve"> </w:t>
      </w:r>
      <w:r w:rsidRPr="00842D3D">
        <w:rPr>
          <w:rFonts w:eastAsia="Times New Roman" w:cs="Times New Roman"/>
          <w:w w:val="105"/>
          <w:szCs w:val="24"/>
        </w:rPr>
        <w:t>17.33</w:t>
      </w:r>
      <w:r w:rsidRPr="00842D3D">
        <w:rPr>
          <w:rFonts w:eastAsia="Times New Roman" w:cs="Times New Roman"/>
          <w:spacing w:val="-9"/>
          <w:w w:val="105"/>
          <w:szCs w:val="24"/>
        </w:rPr>
        <w:t xml:space="preserve"> </w:t>
      </w:r>
      <w:r w:rsidRPr="00842D3D">
        <w:rPr>
          <w:rFonts w:eastAsia="Times New Roman" w:cs="Times New Roman"/>
          <w:w w:val="105"/>
          <w:szCs w:val="24"/>
        </w:rPr>
        <w:t>(Copyright—Damages—Actual Damages), and 17.3</w:t>
      </w:r>
      <w:r w:rsidR="009818E2">
        <w:rPr>
          <w:rFonts w:eastAsia="Times New Roman" w:cs="Times New Roman"/>
          <w:w w:val="105"/>
          <w:szCs w:val="24"/>
        </w:rPr>
        <w:t>6</w:t>
      </w:r>
      <w:r w:rsidRPr="00842D3D">
        <w:rPr>
          <w:rFonts w:eastAsia="Times New Roman" w:cs="Times New Roman"/>
          <w:w w:val="105"/>
          <w:szCs w:val="24"/>
        </w:rPr>
        <w:t xml:space="preserve"> (Copyright—Damages—Defendant’s Profits).</w:t>
      </w:r>
    </w:p>
    <w:p w14:paraId="1351FCB8" w14:textId="77777777" w:rsidR="00842D3D" w:rsidRPr="00842D3D" w:rsidRDefault="00842D3D" w:rsidP="00842D3D">
      <w:pPr>
        <w:widowControl w:val="0"/>
        <w:autoSpaceDE w:val="0"/>
        <w:autoSpaceDN w:val="0"/>
        <w:rPr>
          <w:rFonts w:eastAsia="Times New Roman" w:cs="Times New Roman"/>
          <w:szCs w:val="24"/>
        </w:rPr>
      </w:pPr>
    </w:p>
    <w:p w14:paraId="4B58CC2D"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Under</w:t>
      </w:r>
      <w:r w:rsidRPr="00842D3D">
        <w:rPr>
          <w:rFonts w:eastAsia="Times New Roman" w:cs="Times New Roman"/>
          <w:spacing w:val="-8"/>
          <w:w w:val="105"/>
          <w:szCs w:val="24"/>
        </w:rPr>
        <w:t xml:space="preserve"> </w:t>
      </w:r>
      <w:r w:rsidRPr="00842D3D">
        <w:rPr>
          <w:rFonts w:eastAsia="Times New Roman" w:cs="Times New Roman"/>
          <w:w w:val="105"/>
          <w:szCs w:val="24"/>
        </w:rPr>
        <w:t>17</w:t>
      </w:r>
      <w:r w:rsidRPr="00842D3D">
        <w:rPr>
          <w:rFonts w:eastAsia="Times New Roman" w:cs="Times New Roman"/>
          <w:spacing w:val="-5"/>
          <w:w w:val="105"/>
          <w:szCs w:val="24"/>
        </w:rPr>
        <w:t xml:space="preserve"> </w:t>
      </w:r>
      <w:r w:rsidRPr="00842D3D">
        <w:rPr>
          <w:rFonts w:eastAsia="Times New Roman" w:cs="Times New Roman"/>
          <w:w w:val="105"/>
          <w:szCs w:val="24"/>
        </w:rPr>
        <w:t>U.S.C.</w:t>
      </w:r>
      <w:r w:rsidRPr="00842D3D">
        <w:rPr>
          <w:rFonts w:eastAsia="Times New Roman" w:cs="Times New Roman"/>
          <w:spacing w:val="-10"/>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w:t>
      </w:r>
      <w:r w:rsidRPr="00842D3D">
        <w:rPr>
          <w:rFonts w:eastAsia="Times New Roman" w:cs="Times New Roman"/>
          <w:w w:val="105"/>
          <w:szCs w:val="24"/>
        </w:rPr>
        <w:t>504(b),</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copyright</w:t>
      </w:r>
      <w:r w:rsidRPr="00842D3D">
        <w:rPr>
          <w:rFonts w:eastAsia="Times New Roman" w:cs="Times New Roman"/>
          <w:spacing w:val="-10"/>
          <w:w w:val="105"/>
          <w:szCs w:val="24"/>
        </w:rPr>
        <w:t xml:space="preserve"> </w:t>
      </w:r>
      <w:r w:rsidRPr="00842D3D">
        <w:rPr>
          <w:rFonts w:eastAsia="Times New Roman" w:cs="Times New Roman"/>
          <w:w w:val="105"/>
          <w:szCs w:val="24"/>
        </w:rPr>
        <w:t>owner</w:t>
      </w:r>
      <w:r w:rsidRPr="00842D3D">
        <w:rPr>
          <w:rFonts w:eastAsia="Times New Roman" w:cs="Times New Roman"/>
          <w:spacing w:val="-8"/>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recover</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actual</w:t>
      </w:r>
      <w:r w:rsidRPr="00842D3D">
        <w:rPr>
          <w:rFonts w:eastAsia="Times New Roman" w:cs="Times New Roman"/>
          <w:spacing w:val="-10"/>
          <w:w w:val="105"/>
          <w:szCs w:val="24"/>
        </w:rPr>
        <w:t xml:space="preserve"> </w:t>
      </w:r>
      <w:r w:rsidRPr="00842D3D">
        <w:rPr>
          <w:rFonts w:eastAsia="Times New Roman" w:cs="Times New Roman"/>
          <w:w w:val="105"/>
          <w:szCs w:val="24"/>
        </w:rPr>
        <w:t>damages suffered as a result</w:t>
      </w:r>
      <w:r w:rsidRPr="00842D3D">
        <w:rPr>
          <w:rFonts w:eastAsia="Times New Roman" w:cs="Times New Roman"/>
          <w:spacing w:val="-1"/>
          <w:w w:val="105"/>
          <w:szCs w:val="24"/>
        </w:rPr>
        <w:t xml:space="preserve"> </w:t>
      </w:r>
      <w:r w:rsidRPr="00842D3D">
        <w:rPr>
          <w:rFonts w:eastAsia="Times New Roman" w:cs="Times New Roman"/>
          <w:w w:val="105"/>
          <w:szCs w:val="24"/>
        </w:rPr>
        <w:t>of the infringement,</w:t>
      </w:r>
      <w:r w:rsidRPr="00842D3D">
        <w:rPr>
          <w:rFonts w:eastAsia="Times New Roman" w:cs="Times New Roman"/>
          <w:spacing w:val="-1"/>
          <w:w w:val="105"/>
          <w:szCs w:val="24"/>
        </w:rPr>
        <w:t xml:space="preserve"> </w:t>
      </w:r>
      <w:r w:rsidRPr="00842D3D">
        <w:rPr>
          <w:rFonts w:eastAsia="Times New Roman" w:cs="Times New Roman"/>
          <w:w w:val="105"/>
          <w:szCs w:val="24"/>
        </w:rPr>
        <w:t>as well</w:t>
      </w:r>
      <w:r w:rsidRPr="00842D3D">
        <w:rPr>
          <w:rFonts w:eastAsia="Times New Roman" w:cs="Times New Roman"/>
          <w:spacing w:val="-1"/>
          <w:w w:val="105"/>
          <w:szCs w:val="24"/>
        </w:rPr>
        <w:t xml:space="preserve"> </w:t>
      </w:r>
      <w:r w:rsidRPr="00842D3D">
        <w:rPr>
          <w:rFonts w:eastAsia="Times New Roman" w:cs="Times New Roman"/>
          <w:w w:val="105"/>
          <w:szCs w:val="24"/>
        </w:rPr>
        <w:t>as any profits of the infringer that are attributable to the infringement and that are not taken into account in computing the actual damages.</w:t>
      </w:r>
      <w:r w:rsidRPr="00842D3D">
        <w:rPr>
          <w:rFonts w:eastAsia="Times New Roman" w:cs="Times New Roman"/>
          <w:spacing w:val="40"/>
          <w:w w:val="105"/>
          <w:szCs w:val="24"/>
        </w:rPr>
        <w:t xml:space="preserve"> </w:t>
      </w:r>
      <w:r w:rsidRPr="00842D3D">
        <w:rPr>
          <w:rFonts w:eastAsia="Times New Roman" w:cs="Times New Roman"/>
          <w:i/>
          <w:w w:val="105"/>
          <w:szCs w:val="24"/>
        </w:rPr>
        <w:t>See Polar Bear Prods., Inc. v. Timex Corp</w:t>
      </w:r>
      <w:r w:rsidRPr="00842D3D">
        <w:rPr>
          <w:rFonts w:eastAsia="Times New Roman" w:cs="Times New Roman"/>
          <w:w w:val="105"/>
          <w:szCs w:val="24"/>
        </w:rPr>
        <w:t>., 384 F.3d 700, 708 (9th Cir.</w:t>
      </w:r>
      <w:r w:rsidRPr="00842D3D">
        <w:rPr>
          <w:rFonts w:eastAsia="Times New Roman" w:cs="Times New Roman"/>
          <w:spacing w:val="-2"/>
          <w:w w:val="105"/>
          <w:szCs w:val="24"/>
        </w:rPr>
        <w:t xml:space="preserve"> </w:t>
      </w:r>
      <w:r w:rsidRPr="00842D3D">
        <w:rPr>
          <w:rFonts w:eastAsia="Times New Roman" w:cs="Times New Roman"/>
          <w:w w:val="105"/>
          <w:szCs w:val="24"/>
        </w:rPr>
        <w:t>2004) (noting additionally that</w:t>
      </w:r>
      <w:r w:rsidRPr="00842D3D">
        <w:rPr>
          <w:rFonts w:eastAsia="Times New Roman" w:cs="Times New Roman"/>
          <w:spacing w:val="-2"/>
          <w:w w:val="105"/>
          <w:szCs w:val="24"/>
        </w:rPr>
        <w:t xml:space="preserve"> </w:t>
      </w:r>
      <w:r w:rsidRPr="00842D3D">
        <w:rPr>
          <w:rFonts w:eastAsia="Times New Roman" w:cs="Times New Roman"/>
          <w:w w:val="105"/>
          <w:szCs w:val="24"/>
        </w:rPr>
        <w:t>“actual</w:t>
      </w:r>
      <w:r w:rsidRPr="00842D3D">
        <w:rPr>
          <w:rFonts w:eastAsia="Times New Roman" w:cs="Times New Roman"/>
          <w:spacing w:val="-2"/>
          <w:w w:val="105"/>
          <w:szCs w:val="24"/>
        </w:rPr>
        <w:t xml:space="preserve"> </w:t>
      </w:r>
      <w:r w:rsidRPr="00842D3D">
        <w:rPr>
          <w:rFonts w:eastAsia="Times New Roman" w:cs="Times New Roman"/>
          <w:w w:val="105"/>
          <w:szCs w:val="24"/>
        </w:rPr>
        <w:t>damages must</w:t>
      </w:r>
      <w:r w:rsidRPr="00842D3D">
        <w:rPr>
          <w:rFonts w:eastAsia="Times New Roman" w:cs="Times New Roman"/>
          <w:spacing w:val="-2"/>
          <w:w w:val="105"/>
          <w:szCs w:val="24"/>
        </w:rPr>
        <w:t xml:space="preserve"> </w:t>
      </w:r>
      <w:r w:rsidRPr="00842D3D">
        <w:rPr>
          <w:rFonts w:eastAsia="Times New Roman" w:cs="Times New Roman"/>
          <w:w w:val="105"/>
          <w:szCs w:val="24"/>
        </w:rPr>
        <w:t>be suffered ‘as a result</w:t>
      </w:r>
      <w:r w:rsidRPr="00842D3D">
        <w:rPr>
          <w:rFonts w:eastAsia="Times New Roman" w:cs="Times New Roman"/>
          <w:spacing w:val="-2"/>
          <w:w w:val="105"/>
          <w:szCs w:val="24"/>
        </w:rPr>
        <w:t xml:space="preserve"> </w:t>
      </w:r>
      <w:r w:rsidRPr="00842D3D">
        <w:rPr>
          <w:rFonts w:eastAsia="Times New Roman" w:cs="Times New Roman"/>
          <w:w w:val="105"/>
          <w:szCs w:val="24"/>
        </w:rPr>
        <w:t>of the infringement,’ and recoverable profits must</w:t>
      </w:r>
      <w:r w:rsidRPr="00842D3D">
        <w:rPr>
          <w:rFonts w:eastAsia="Times New Roman" w:cs="Times New Roman"/>
          <w:spacing w:val="-1"/>
          <w:w w:val="105"/>
          <w:szCs w:val="24"/>
        </w:rPr>
        <w:t xml:space="preserve"> </w:t>
      </w:r>
      <w:r w:rsidRPr="00842D3D">
        <w:rPr>
          <w:rFonts w:eastAsia="Times New Roman" w:cs="Times New Roman"/>
          <w:w w:val="105"/>
          <w:szCs w:val="24"/>
        </w:rPr>
        <w:t>be ‘attributable to the infringement’” (quoting § 504(b));</w:t>
      </w:r>
      <w:r w:rsidRPr="00842D3D">
        <w:rPr>
          <w:rFonts w:eastAsia="Times New Roman" w:cs="Times New Roman"/>
          <w:spacing w:val="-1"/>
          <w:w w:val="105"/>
          <w:szCs w:val="24"/>
        </w:rPr>
        <w:t xml:space="preserve"> </w:t>
      </w:r>
      <w:r w:rsidRPr="00842D3D">
        <w:rPr>
          <w:rFonts w:eastAsia="Times New Roman" w:cs="Times New Roman"/>
          <w:i/>
          <w:w w:val="105"/>
          <w:szCs w:val="24"/>
        </w:rPr>
        <w:t>Frank Music Corp. v. Metro-Goldwyn-Mayer, Inc.</w:t>
      </w:r>
      <w:r w:rsidRPr="00842D3D">
        <w:rPr>
          <w:rFonts w:eastAsia="Times New Roman" w:cs="Times New Roman"/>
          <w:w w:val="105"/>
          <w:szCs w:val="24"/>
        </w:rPr>
        <w:t>, 772 F.2d 505, 512 n.5 (9th Cir. 1985).</w:t>
      </w:r>
    </w:p>
    <w:p w14:paraId="289DB011" w14:textId="77777777" w:rsidR="00842D3D" w:rsidRPr="00842D3D" w:rsidRDefault="00842D3D" w:rsidP="00842D3D">
      <w:pPr>
        <w:widowControl w:val="0"/>
        <w:autoSpaceDE w:val="0"/>
        <w:autoSpaceDN w:val="0"/>
        <w:rPr>
          <w:rFonts w:eastAsia="Times New Roman" w:cs="Times New Roman"/>
          <w:szCs w:val="24"/>
        </w:rPr>
      </w:pPr>
    </w:p>
    <w:p w14:paraId="44784E39" w14:textId="0B74AB4B" w:rsidR="00842D3D" w:rsidRPr="00842D3D" w:rsidRDefault="00842D3D" w:rsidP="00842D3D">
      <w:pPr>
        <w:widowControl w:val="0"/>
        <w:autoSpaceDE w:val="0"/>
        <w:autoSpaceDN w:val="0"/>
        <w:ind w:right="118" w:firstLine="720"/>
        <w:rPr>
          <w:rFonts w:eastAsia="Times New Roman" w:cs="Times New Roman"/>
          <w:szCs w:val="24"/>
        </w:rPr>
      </w:pPr>
      <w:r w:rsidRPr="00842D3D">
        <w:rPr>
          <w:rFonts w:eastAsia="Calibri" w:cs="Times New Roman"/>
          <w:spacing w:val="-5"/>
          <w:w w:val="105"/>
          <w:szCs w:val="24"/>
        </w:rPr>
        <w:t xml:space="preserve">Section </w:t>
      </w:r>
      <w:r w:rsidRPr="00842D3D">
        <w:rPr>
          <w:rFonts w:eastAsia="Calibri" w:cs="Times New Roman"/>
          <w:w w:val="105"/>
          <w:szCs w:val="24"/>
        </w:rPr>
        <w:t>504(c)(1)</w:t>
      </w:r>
      <w:r w:rsidRPr="00842D3D">
        <w:rPr>
          <w:rFonts w:eastAsia="Calibri" w:cs="Times New Roman"/>
          <w:spacing w:val="-8"/>
          <w:w w:val="105"/>
          <w:szCs w:val="24"/>
        </w:rPr>
        <w:t xml:space="preserve"> provides that </w:t>
      </w:r>
      <w:r w:rsidRPr="00842D3D">
        <w:rPr>
          <w:rFonts w:eastAsia="Calibri" w:cs="Times New Roman"/>
          <w:w w:val="105"/>
          <w:szCs w:val="24"/>
        </w:rPr>
        <w:t>the</w:t>
      </w:r>
      <w:r w:rsidRPr="00842D3D">
        <w:rPr>
          <w:rFonts w:eastAsia="Calibri" w:cs="Times New Roman"/>
          <w:spacing w:val="-6"/>
          <w:w w:val="105"/>
          <w:szCs w:val="24"/>
        </w:rPr>
        <w:t xml:space="preserve"> </w:t>
      </w:r>
      <w:r w:rsidRPr="00842D3D">
        <w:rPr>
          <w:rFonts w:eastAsia="Calibri" w:cs="Times New Roman"/>
          <w:w w:val="105"/>
          <w:szCs w:val="24"/>
        </w:rPr>
        <w:t>plaintiff</w:t>
      </w:r>
      <w:r w:rsidRPr="00842D3D">
        <w:rPr>
          <w:rFonts w:eastAsia="Calibri" w:cs="Times New Roman"/>
          <w:spacing w:val="-8"/>
          <w:w w:val="105"/>
          <w:szCs w:val="24"/>
        </w:rPr>
        <w:t xml:space="preserve"> </w:t>
      </w:r>
      <w:r w:rsidRPr="00842D3D">
        <w:rPr>
          <w:rFonts w:eastAsia="Calibri" w:cs="Times New Roman"/>
          <w:w w:val="105"/>
          <w:szCs w:val="24"/>
        </w:rPr>
        <w:t>may</w:t>
      </w:r>
      <w:r w:rsidRPr="00842D3D">
        <w:rPr>
          <w:rFonts w:eastAsia="Calibri" w:cs="Times New Roman"/>
          <w:spacing w:val="-5"/>
          <w:w w:val="105"/>
          <w:szCs w:val="24"/>
        </w:rPr>
        <w:t xml:space="preserve"> </w:t>
      </w:r>
      <w:r w:rsidRPr="00842D3D">
        <w:rPr>
          <w:rFonts w:eastAsia="Calibri" w:cs="Times New Roman"/>
          <w:w w:val="105"/>
          <w:szCs w:val="24"/>
        </w:rPr>
        <w:t>“elect,</w:t>
      </w:r>
      <w:r w:rsidRPr="00842D3D">
        <w:rPr>
          <w:rFonts w:eastAsia="Calibri" w:cs="Times New Roman"/>
          <w:spacing w:val="-10"/>
          <w:w w:val="105"/>
          <w:szCs w:val="24"/>
        </w:rPr>
        <w:t xml:space="preserve"> </w:t>
      </w:r>
      <w:r w:rsidRPr="00842D3D">
        <w:rPr>
          <w:rFonts w:eastAsia="Calibri" w:cs="Times New Roman"/>
          <w:i/>
          <w:w w:val="105"/>
          <w:szCs w:val="24"/>
        </w:rPr>
        <w:t>at</w:t>
      </w:r>
      <w:r w:rsidRPr="00842D3D">
        <w:rPr>
          <w:rFonts w:eastAsia="Calibri" w:cs="Times New Roman"/>
          <w:i/>
          <w:spacing w:val="-3"/>
          <w:w w:val="105"/>
          <w:szCs w:val="24"/>
        </w:rPr>
        <w:t xml:space="preserve"> </w:t>
      </w:r>
      <w:r w:rsidRPr="00842D3D">
        <w:rPr>
          <w:rFonts w:eastAsia="Calibri" w:cs="Times New Roman"/>
          <w:i/>
          <w:w w:val="105"/>
          <w:szCs w:val="24"/>
        </w:rPr>
        <w:t>any</w:t>
      </w:r>
      <w:r w:rsidRPr="00842D3D">
        <w:rPr>
          <w:rFonts w:eastAsia="Calibri" w:cs="Times New Roman"/>
          <w:i/>
          <w:spacing w:val="-6"/>
          <w:w w:val="105"/>
          <w:szCs w:val="24"/>
        </w:rPr>
        <w:t xml:space="preserve"> </w:t>
      </w:r>
      <w:r w:rsidRPr="00842D3D">
        <w:rPr>
          <w:rFonts w:eastAsia="Calibri" w:cs="Times New Roman"/>
          <w:i/>
          <w:w w:val="105"/>
          <w:szCs w:val="24"/>
        </w:rPr>
        <w:t>time</w:t>
      </w:r>
      <w:r w:rsidRPr="00842D3D">
        <w:rPr>
          <w:rFonts w:eastAsia="Calibri" w:cs="Times New Roman"/>
          <w:i/>
          <w:spacing w:val="-3"/>
          <w:w w:val="105"/>
          <w:szCs w:val="24"/>
        </w:rPr>
        <w:t xml:space="preserve"> </w:t>
      </w:r>
      <w:r w:rsidRPr="00842D3D">
        <w:rPr>
          <w:rFonts w:eastAsia="Calibri" w:cs="Times New Roman"/>
          <w:w w:val="105"/>
          <w:szCs w:val="24"/>
        </w:rPr>
        <w:t>before</w:t>
      </w:r>
      <w:r w:rsidRPr="00842D3D">
        <w:rPr>
          <w:rFonts w:eastAsia="Calibri" w:cs="Times New Roman"/>
          <w:spacing w:val="-6"/>
          <w:w w:val="105"/>
          <w:szCs w:val="24"/>
        </w:rPr>
        <w:t xml:space="preserve"> </w:t>
      </w:r>
      <w:r w:rsidRPr="00842D3D">
        <w:rPr>
          <w:rFonts w:eastAsia="Calibri" w:cs="Times New Roman"/>
          <w:w w:val="105"/>
          <w:szCs w:val="24"/>
        </w:rPr>
        <w:t>final</w:t>
      </w:r>
      <w:r w:rsidRPr="00842D3D">
        <w:rPr>
          <w:rFonts w:eastAsia="Calibri" w:cs="Times New Roman"/>
          <w:spacing w:val="-10"/>
          <w:w w:val="105"/>
          <w:szCs w:val="24"/>
        </w:rPr>
        <w:t xml:space="preserve"> </w:t>
      </w:r>
      <w:r w:rsidRPr="00842D3D">
        <w:rPr>
          <w:rFonts w:eastAsia="Calibri" w:cs="Times New Roman"/>
          <w:w w:val="105"/>
          <w:szCs w:val="24"/>
        </w:rPr>
        <w:t>judgment</w:t>
      </w:r>
      <w:r w:rsidRPr="00842D3D">
        <w:rPr>
          <w:rFonts w:eastAsia="Calibri" w:cs="Times New Roman"/>
          <w:spacing w:val="-10"/>
          <w:w w:val="105"/>
          <w:szCs w:val="24"/>
        </w:rPr>
        <w:t xml:space="preserve"> </w:t>
      </w:r>
      <w:r w:rsidRPr="00842D3D">
        <w:rPr>
          <w:rFonts w:eastAsia="Calibri" w:cs="Times New Roman"/>
          <w:w w:val="105"/>
          <w:szCs w:val="24"/>
        </w:rPr>
        <w:t>is rendered” whether to seek actual or statutory damages.</w:t>
      </w:r>
      <w:r w:rsidRPr="00842D3D">
        <w:rPr>
          <w:rFonts w:ascii="Aptos" w:eastAsia="Aptos" w:hAnsi="Aptos" w:cs="Times New Roman"/>
          <w:kern w:val="2"/>
          <w:szCs w:val="24"/>
          <w14:ligatures w14:val="standardContextual"/>
        </w:rPr>
        <w:t xml:space="preserve"> </w:t>
      </w:r>
      <w:r w:rsidRPr="00842D3D">
        <w:rPr>
          <w:rFonts w:eastAsia="Calibri" w:cs="Times New Roman"/>
          <w:w w:val="105"/>
          <w:szCs w:val="24"/>
        </w:rPr>
        <w:t xml:space="preserve">§ 504(c) (emphasis added); </w:t>
      </w:r>
      <w:r w:rsidRPr="00842D3D">
        <w:rPr>
          <w:rFonts w:eastAsia="Calibri" w:cs="Times New Roman"/>
          <w:i/>
          <w:w w:val="105"/>
          <w:szCs w:val="24"/>
        </w:rPr>
        <w:t>see Derek Andrew, Inc. v. Poof Apparel Corp.</w:t>
      </w:r>
      <w:r w:rsidRPr="00842D3D">
        <w:rPr>
          <w:rFonts w:eastAsia="Calibri" w:cs="Times New Roman"/>
          <w:w w:val="105"/>
          <w:szCs w:val="24"/>
        </w:rPr>
        <w:t xml:space="preserve">, 528 F.3d 696, 699 (9th Cir. 2008); </w:t>
      </w:r>
      <w:r w:rsidRPr="00842D3D">
        <w:rPr>
          <w:rFonts w:eastAsia="Calibri" w:cs="Times New Roman"/>
          <w:i/>
          <w:w w:val="105"/>
          <w:szCs w:val="24"/>
        </w:rPr>
        <w:t>L.A. News Serv. v. Reuters Television Int’l, Ltd.</w:t>
      </w:r>
      <w:r w:rsidRPr="00842D3D">
        <w:rPr>
          <w:rFonts w:eastAsia="Calibri" w:cs="Times New Roman"/>
          <w:w w:val="105"/>
          <w:szCs w:val="24"/>
        </w:rPr>
        <w:t>, 149 F.3d 987, 995 (9th Cir. 1998).</w:t>
      </w:r>
      <w:r w:rsidRPr="00842D3D">
        <w:rPr>
          <w:rFonts w:eastAsia="Calibri" w:cs="Times New Roman"/>
          <w:spacing w:val="40"/>
          <w:w w:val="105"/>
          <w:szCs w:val="24"/>
        </w:rPr>
        <w:t xml:space="preserve"> </w:t>
      </w:r>
      <w:r w:rsidRPr="00842D3D">
        <w:rPr>
          <w:rFonts w:eastAsia="Calibri" w:cs="Times New Roman"/>
          <w:w w:val="105"/>
          <w:szCs w:val="24"/>
        </w:rPr>
        <w:t>If the copyright owner elects to recover statutory damages, the owner cannot also recover actual damages.</w:t>
      </w:r>
      <w:r w:rsidRPr="00842D3D">
        <w:rPr>
          <w:rFonts w:eastAsia="Calibri" w:cs="Times New Roman"/>
          <w:spacing w:val="40"/>
          <w:w w:val="105"/>
          <w:szCs w:val="24"/>
        </w:rPr>
        <w:t xml:space="preserve"> </w:t>
      </w:r>
      <w:r w:rsidRPr="00842D3D">
        <w:rPr>
          <w:rFonts w:eastAsia="Calibri" w:cs="Times New Roman"/>
          <w:w w:val="105"/>
          <w:szCs w:val="24"/>
        </w:rPr>
        <w:t xml:space="preserve">§ 504(c)(1); </w:t>
      </w:r>
      <w:r w:rsidRPr="00842D3D">
        <w:rPr>
          <w:rFonts w:eastAsia="Calibri" w:cs="Times New Roman"/>
          <w:i/>
          <w:w w:val="105"/>
          <w:szCs w:val="24"/>
        </w:rPr>
        <w:t>see</w:t>
      </w:r>
      <w:r w:rsidRPr="00842D3D">
        <w:rPr>
          <w:rFonts w:eastAsia="Calibri" w:cs="Times New Roman"/>
          <w:i/>
          <w:spacing w:val="-11"/>
          <w:w w:val="105"/>
          <w:szCs w:val="24"/>
        </w:rPr>
        <w:t xml:space="preserve"> </w:t>
      </w:r>
      <w:r w:rsidRPr="00842D3D">
        <w:rPr>
          <w:rFonts w:eastAsia="Calibri" w:cs="Times New Roman"/>
          <w:i/>
          <w:w w:val="105"/>
          <w:szCs w:val="24"/>
        </w:rPr>
        <w:t>also</w:t>
      </w:r>
      <w:r w:rsidRPr="00842D3D">
        <w:rPr>
          <w:rFonts w:eastAsia="Calibri" w:cs="Times New Roman"/>
          <w:i/>
          <w:spacing w:val="-10"/>
          <w:w w:val="105"/>
          <w:szCs w:val="24"/>
        </w:rPr>
        <w:t xml:space="preserve"> </w:t>
      </w:r>
      <w:r w:rsidRPr="00842D3D">
        <w:rPr>
          <w:rFonts w:eastAsia="Calibri" w:cs="Times New Roman"/>
          <w:w w:val="105"/>
          <w:szCs w:val="24"/>
        </w:rPr>
        <w:t>Instruction</w:t>
      </w:r>
      <w:r w:rsidRPr="00842D3D">
        <w:rPr>
          <w:rFonts w:eastAsia="Calibri" w:cs="Times New Roman"/>
          <w:spacing w:val="-10"/>
          <w:w w:val="105"/>
          <w:szCs w:val="24"/>
        </w:rPr>
        <w:t xml:space="preserve"> </w:t>
      </w:r>
      <w:r w:rsidRPr="00842D3D">
        <w:rPr>
          <w:rFonts w:eastAsia="Calibri" w:cs="Times New Roman"/>
          <w:w w:val="105"/>
          <w:szCs w:val="24"/>
        </w:rPr>
        <w:t>17.3</w:t>
      </w:r>
      <w:r w:rsidR="009818E2">
        <w:rPr>
          <w:rFonts w:eastAsia="Calibri" w:cs="Times New Roman"/>
          <w:w w:val="105"/>
          <w:szCs w:val="24"/>
        </w:rPr>
        <w:t>7</w:t>
      </w:r>
      <w:r w:rsidRPr="00842D3D">
        <w:rPr>
          <w:rFonts w:eastAsia="Calibri" w:cs="Times New Roman"/>
          <w:spacing w:val="-10"/>
          <w:w w:val="105"/>
          <w:szCs w:val="24"/>
        </w:rPr>
        <w:t xml:space="preserve"> </w:t>
      </w:r>
      <w:r w:rsidRPr="00842D3D">
        <w:rPr>
          <w:rFonts w:eastAsia="Calibri" w:cs="Times New Roman"/>
          <w:w w:val="105"/>
          <w:szCs w:val="24"/>
        </w:rPr>
        <w:t>(Copyright—Damages—Statutory</w:t>
      </w:r>
      <w:r w:rsidRPr="00842D3D">
        <w:rPr>
          <w:rFonts w:eastAsia="Calibri" w:cs="Times New Roman"/>
          <w:spacing w:val="-10"/>
          <w:w w:val="105"/>
          <w:szCs w:val="24"/>
        </w:rPr>
        <w:t xml:space="preserve"> </w:t>
      </w:r>
      <w:r w:rsidRPr="00842D3D">
        <w:rPr>
          <w:rFonts w:eastAsia="Calibri" w:cs="Times New Roman"/>
          <w:w w:val="105"/>
          <w:szCs w:val="24"/>
        </w:rPr>
        <w:t>Damages);</w:t>
      </w:r>
      <w:r w:rsidRPr="00842D3D">
        <w:rPr>
          <w:rFonts w:eastAsia="Calibri" w:cs="Times New Roman"/>
          <w:spacing w:val="-14"/>
          <w:w w:val="105"/>
          <w:szCs w:val="24"/>
        </w:rPr>
        <w:t xml:space="preserve"> </w:t>
      </w:r>
      <w:r w:rsidRPr="00842D3D">
        <w:rPr>
          <w:rFonts w:eastAsia="Calibri" w:cs="Times New Roman"/>
          <w:i/>
          <w:w w:val="105"/>
          <w:szCs w:val="24"/>
        </w:rPr>
        <w:t>Derek</w:t>
      </w:r>
      <w:r w:rsidRPr="00842D3D">
        <w:rPr>
          <w:rFonts w:eastAsia="Calibri" w:cs="Times New Roman"/>
          <w:i/>
          <w:spacing w:val="-11"/>
          <w:w w:val="105"/>
          <w:szCs w:val="24"/>
        </w:rPr>
        <w:t xml:space="preserve"> </w:t>
      </w:r>
      <w:r w:rsidRPr="00842D3D">
        <w:rPr>
          <w:rFonts w:eastAsia="Calibri" w:cs="Times New Roman"/>
          <w:i/>
          <w:w w:val="105"/>
          <w:szCs w:val="24"/>
        </w:rPr>
        <w:t>Andrew</w:t>
      </w:r>
      <w:r w:rsidRPr="00842D3D">
        <w:rPr>
          <w:rFonts w:eastAsia="Calibri" w:cs="Times New Roman"/>
          <w:w w:val="105"/>
          <w:szCs w:val="24"/>
        </w:rPr>
        <w:t>,</w:t>
      </w:r>
      <w:r w:rsidRPr="00842D3D">
        <w:rPr>
          <w:rFonts w:eastAsia="Calibri" w:cs="Times New Roman"/>
          <w:spacing w:val="-14"/>
          <w:w w:val="105"/>
          <w:szCs w:val="24"/>
        </w:rPr>
        <w:t xml:space="preserve"> </w:t>
      </w:r>
      <w:r w:rsidRPr="00842D3D">
        <w:rPr>
          <w:rFonts w:eastAsia="Calibri" w:cs="Times New Roman"/>
          <w:w w:val="105"/>
          <w:szCs w:val="24"/>
        </w:rPr>
        <w:t>528</w:t>
      </w:r>
      <w:r w:rsidRPr="00842D3D">
        <w:rPr>
          <w:rFonts w:eastAsia="Calibri" w:cs="Times New Roman"/>
          <w:spacing w:val="-10"/>
          <w:w w:val="105"/>
          <w:szCs w:val="24"/>
        </w:rPr>
        <w:t xml:space="preserve"> </w:t>
      </w:r>
      <w:r w:rsidRPr="00842D3D">
        <w:rPr>
          <w:rFonts w:eastAsia="Calibri" w:cs="Times New Roman"/>
          <w:w w:val="105"/>
          <w:szCs w:val="24"/>
        </w:rPr>
        <w:t xml:space="preserve">F.3d at 699; </w:t>
      </w:r>
      <w:r w:rsidRPr="00842D3D">
        <w:rPr>
          <w:rFonts w:eastAsia="Calibri" w:cs="Times New Roman"/>
          <w:i/>
          <w:w w:val="105"/>
          <w:szCs w:val="24"/>
        </w:rPr>
        <w:t>Nintendo of Am., Inc. v. Dragon Pac. Int’l</w:t>
      </w:r>
      <w:r w:rsidRPr="00842D3D">
        <w:rPr>
          <w:rFonts w:eastAsia="Calibri" w:cs="Times New Roman"/>
          <w:w w:val="105"/>
          <w:szCs w:val="24"/>
        </w:rPr>
        <w:t xml:space="preserve">, 40 F.3d 1007, 1010-11 (9th Cir. 1994) (explaining the punitive purpose of statutory damages and the compensatory purpose of actual </w:t>
      </w:r>
      <w:r w:rsidRPr="00842D3D">
        <w:rPr>
          <w:rFonts w:eastAsia="Calibri" w:cs="Times New Roman"/>
          <w:spacing w:val="-2"/>
          <w:w w:val="105"/>
          <w:szCs w:val="24"/>
        </w:rPr>
        <w:t>damages).</w:t>
      </w:r>
    </w:p>
    <w:p w14:paraId="565DB693" w14:textId="77777777" w:rsidR="00842D3D" w:rsidRPr="00842D3D" w:rsidRDefault="00842D3D" w:rsidP="00842D3D">
      <w:pPr>
        <w:widowControl w:val="0"/>
        <w:autoSpaceDE w:val="0"/>
        <w:autoSpaceDN w:val="0"/>
        <w:ind w:firstLine="720"/>
        <w:rPr>
          <w:rFonts w:eastAsia="Times New Roman" w:cs="Times New Roman"/>
          <w:szCs w:val="24"/>
        </w:rPr>
      </w:pPr>
    </w:p>
    <w:p w14:paraId="64320562" w14:textId="77777777" w:rsidR="00842D3D" w:rsidRPr="00842D3D" w:rsidRDefault="00842D3D" w:rsidP="00842D3D">
      <w:pPr>
        <w:ind w:firstLine="720"/>
        <w:rPr>
          <w:rFonts w:eastAsia="Times New Roman" w:cs="Times New Roman"/>
          <w:w w:val="105"/>
          <w:szCs w:val="24"/>
        </w:rPr>
      </w:pPr>
      <w:r w:rsidRPr="00842D3D">
        <w:rPr>
          <w:rFonts w:eastAsia="Times New Roman" w:cs="Times New Roman"/>
          <w:w w:val="105"/>
          <w:szCs w:val="24"/>
        </w:rPr>
        <w:t>When</w:t>
      </w:r>
      <w:r w:rsidRPr="00842D3D">
        <w:rPr>
          <w:rFonts w:eastAsia="Times New Roman" w:cs="Times New Roman"/>
          <w:spacing w:val="-5"/>
          <w:w w:val="105"/>
          <w:szCs w:val="24"/>
        </w:rPr>
        <w:t xml:space="preserve"> </w:t>
      </w:r>
      <w:r w:rsidRPr="00842D3D">
        <w:rPr>
          <w:rFonts w:eastAsia="Times New Roman" w:cs="Times New Roman"/>
          <w:w w:val="105"/>
          <w:szCs w:val="24"/>
        </w:rPr>
        <w:t>injury</w:t>
      </w:r>
      <w:r w:rsidRPr="00842D3D">
        <w:rPr>
          <w:rFonts w:eastAsia="Times New Roman" w:cs="Times New Roman"/>
          <w:spacing w:val="-5"/>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shown,</w:t>
      </w:r>
      <w:r w:rsidRPr="00842D3D">
        <w:rPr>
          <w:rFonts w:eastAsia="Times New Roman" w:cs="Times New Roman"/>
          <w:spacing w:val="-10"/>
          <w:w w:val="105"/>
          <w:szCs w:val="24"/>
        </w:rPr>
        <w:t xml:space="preserve"> </w:t>
      </w:r>
      <w:r w:rsidRPr="00842D3D">
        <w:rPr>
          <w:rFonts w:eastAsia="Times New Roman" w:cs="Times New Roman"/>
          <w:w w:val="105"/>
          <w:szCs w:val="24"/>
        </w:rPr>
        <w:t>but</w:t>
      </w:r>
      <w:r w:rsidRPr="00842D3D">
        <w:rPr>
          <w:rFonts w:eastAsia="Times New Roman" w:cs="Times New Roman"/>
          <w:spacing w:val="-10"/>
          <w:w w:val="105"/>
          <w:szCs w:val="24"/>
        </w:rPr>
        <w:t xml:space="preserve"> </w:t>
      </w:r>
      <w:r w:rsidRPr="00842D3D">
        <w:rPr>
          <w:rFonts w:eastAsia="Times New Roman" w:cs="Times New Roman"/>
          <w:w w:val="105"/>
          <w:szCs w:val="24"/>
        </w:rPr>
        <w:t>neither</w:t>
      </w:r>
      <w:r w:rsidRPr="00842D3D">
        <w:rPr>
          <w:rFonts w:eastAsia="Times New Roman" w:cs="Times New Roman"/>
          <w:spacing w:val="-8"/>
          <w:w w:val="105"/>
          <w:szCs w:val="24"/>
        </w:rPr>
        <w:t xml:space="preserve"> </w:t>
      </w:r>
      <w:r w:rsidRPr="00842D3D">
        <w:rPr>
          <w:rFonts w:eastAsia="Times New Roman" w:cs="Times New Roman"/>
          <w:w w:val="105"/>
          <w:szCs w:val="24"/>
        </w:rPr>
        <w:t>profits</w:t>
      </w:r>
      <w:r w:rsidRPr="00842D3D">
        <w:rPr>
          <w:rFonts w:eastAsia="Times New Roman" w:cs="Times New Roman"/>
          <w:spacing w:val="-7"/>
          <w:w w:val="105"/>
          <w:szCs w:val="24"/>
        </w:rPr>
        <w:t xml:space="preserve"> </w:t>
      </w:r>
      <w:r w:rsidRPr="00842D3D">
        <w:rPr>
          <w:rFonts w:eastAsia="Times New Roman" w:cs="Times New Roman"/>
          <w:w w:val="105"/>
          <w:szCs w:val="24"/>
        </w:rPr>
        <w:t>nor</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can</w:t>
      </w:r>
      <w:r w:rsidRPr="00842D3D">
        <w:rPr>
          <w:rFonts w:eastAsia="Times New Roman" w:cs="Times New Roman"/>
          <w:spacing w:val="-5"/>
          <w:w w:val="105"/>
          <w:szCs w:val="24"/>
        </w:rPr>
        <w:t xml:space="preserve"> </w:t>
      </w:r>
      <w:r w:rsidRPr="00842D3D">
        <w:rPr>
          <w:rFonts w:eastAsia="Times New Roman" w:cs="Times New Roman"/>
          <w:w w:val="105"/>
          <w:szCs w:val="24"/>
        </w:rPr>
        <w:t>be</w:t>
      </w:r>
      <w:r w:rsidRPr="00842D3D">
        <w:rPr>
          <w:rFonts w:eastAsia="Times New Roman" w:cs="Times New Roman"/>
          <w:spacing w:val="-6"/>
          <w:w w:val="105"/>
          <w:szCs w:val="24"/>
        </w:rPr>
        <w:t xml:space="preserve"> </w:t>
      </w:r>
      <w:r w:rsidRPr="00842D3D">
        <w:rPr>
          <w:rFonts w:eastAsia="Times New Roman" w:cs="Times New Roman"/>
          <w:w w:val="105"/>
          <w:szCs w:val="24"/>
        </w:rPr>
        <w:t>proved,</w:t>
      </w:r>
      <w:r w:rsidRPr="00842D3D">
        <w:rPr>
          <w:rFonts w:eastAsia="Times New Roman" w:cs="Times New Roman"/>
          <w:spacing w:val="-10"/>
          <w:w w:val="105"/>
          <w:szCs w:val="24"/>
        </w:rPr>
        <w:t xml:space="preserve"> </w:t>
      </w:r>
      <w:r w:rsidRPr="00842D3D">
        <w:rPr>
          <w:rFonts w:eastAsia="Times New Roman" w:cs="Times New Roman"/>
          <w:w w:val="105"/>
          <w:szCs w:val="24"/>
        </w:rPr>
        <w:t>statutory</w:t>
      </w:r>
      <w:r w:rsidRPr="00842D3D">
        <w:rPr>
          <w:rFonts w:eastAsia="Times New Roman" w:cs="Times New Roman"/>
          <w:spacing w:val="-5"/>
          <w:w w:val="105"/>
          <w:szCs w:val="24"/>
        </w:rPr>
        <w:t xml:space="preserve"> </w:t>
      </w:r>
      <w:r w:rsidRPr="00842D3D">
        <w:rPr>
          <w:rFonts w:eastAsia="Times New Roman" w:cs="Times New Roman"/>
          <w:w w:val="105"/>
          <w:szCs w:val="24"/>
        </w:rPr>
        <w:t>damages are mandatory.</w:t>
      </w:r>
      <w:r w:rsidRPr="00842D3D">
        <w:rPr>
          <w:rFonts w:eastAsia="Times New Roman" w:cs="Times New Roman"/>
          <w:spacing w:val="40"/>
          <w:w w:val="105"/>
          <w:szCs w:val="24"/>
        </w:rPr>
        <w:t xml:space="preserve"> </w:t>
      </w:r>
      <w:r w:rsidRPr="00842D3D">
        <w:rPr>
          <w:rFonts w:eastAsia="Times New Roman" w:cs="Times New Roman"/>
          <w:i/>
          <w:w w:val="105"/>
          <w:szCs w:val="24"/>
        </w:rPr>
        <w:t>Russell v. Price</w:t>
      </w:r>
      <w:r w:rsidRPr="00842D3D">
        <w:rPr>
          <w:rFonts w:eastAsia="Times New Roman" w:cs="Times New Roman"/>
          <w:w w:val="105"/>
          <w:szCs w:val="24"/>
        </w:rPr>
        <w:t xml:space="preserve">, 612 F.2d 1123, 1129-30 (9th Cir. 1979); </w:t>
      </w:r>
      <w:r w:rsidRPr="00842D3D">
        <w:rPr>
          <w:rFonts w:eastAsia="Times New Roman" w:cs="Times New Roman"/>
          <w:i/>
          <w:w w:val="105"/>
          <w:szCs w:val="24"/>
        </w:rPr>
        <w:t>Pye v. Mitchell</w:t>
      </w:r>
      <w:r w:rsidRPr="00842D3D">
        <w:rPr>
          <w:rFonts w:eastAsia="Times New Roman" w:cs="Times New Roman"/>
          <w:w w:val="105"/>
          <w:szCs w:val="24"/>
        </w:rPr>
        <w:t>, 574 F.2d 476, 481 (9th Cir. 1978).</w:t>
      </w:r>
      <w:r w:rsidRPr="00842D3D">
        <w:rPr>
          <w:rFonts w:eastAsia="Times New Roman" w:cs="Times New Roman"/>
          <w:spacing w:val="40"/>
          <w:w w:val="105"/>
          <w:szCs w:val="24"/>
        </w:rPr>
        <w:t xml:space="preserve"> </w:t>
      </w:r>
      <w:r w:rsidRPr="00842D3D">
        <w:rPr>
          <w:rFonts w:eastAsia="Times New Roman" w:cs="Times New Roman"/>
          <w:w w:val="105"/>
          <w:szCs w:val="24"/>
        </w:rPr>
        <w:t>When the copyright owner fails to register its copyright before commencement of the infringement, it can recover only actual damages and profits and cannot seek statutory damages.</w:t>
      </w:r>
      <w:r w:rsidRPr="00842D3D">
        <w:rPr>
          <w:rFonts w:eastAsia="Times New Roman" w:cs="Times New Roman"/>
          <w:spacing w:val="40"/>
          <w:w w:val="105"/>
          <w:szCs w:val="24"/>
        </w:rPr>
        <w:t xml:space="preserve"> </w:t>
      </w:r>
      <w:r w:rsidRPr="00842D3D">
        <w:rPr>
          <w:rFonts w:eastAsia="Times New Roman" w:cs="Times New Roman"/>
          <w:i/>
          <w:w w:val="105"/>
          <w:szCs w:val="24"/>
        </w:rPr>
        <w:t>Derek Andrew</w:t>
      </w:r>
      <w:r w:rsidRPr="00842D3D">
        <w:rPr>
          <w:rFonts w:eastAsia="Times New Roman" w:cs="Times New Roman"/>
          <w:w w:val="105"/>
          <w:szCs w:val="24"/>
        </w:rPr>
        <w:t xml:space="preserve">, 528 F.3d at 699; </w:t>
      </w:r>
      <w:r w:rsidRPr="00842D3D">
        <w:rPr>
          <w:rFonts w:eastAsia="Times New Roman" w:cs="Times New Roman"/>
          <w:i/>
          <w:w w:val="105"/>
          <w:szCs w:val="24"/>
        </w:rPr>
        <w:t>Polar Bear Prods.</w:t>
      </w:r>
      <w:r w:rsidRPr="00842D3D">
        <w:rPr>
          <w:rFonts w:eastAsia="Times New Roman" w:cs="Times New Roman"/>
          <w:w w:val="105"/>
          <w:szCs w:val="24"/>
        </w:rPr>
        <w:t>, 384 F.3d at 707 n.5.</w:t>
      </w:r>
    </w:p>
    <w:p w14:paraId="6E057497" w14:textId="77777777" w:rsidR="00842D3D" w:rsidRPr="00842D3D" w:rsidRDefault="00842D3D" w:rsidP="00842D3D">
      <w:pPr>
        <w:ind w:firstLine="720"/>
        <w:rPr>
          <w:rFonts w:eastAsia="Calibri" w:cs="Times New Roman"/>
          <w:szCs w:val="24"/>
        </w:rPr>
      </w:pPr>
    </w:p>
    <w:p w14:paraId="6256A596"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September 2025</w:t>
      </w:r>
    </w:p>
    <w:p w14:paraId="311B5884"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011F7E73" w14:textId="13935663" w:rsidR="00842D3D" w:rsidRPr="00842D3D" w:rsidRDefault="00842D3D" w:rsidP="00313A05">
      <w:pPr>
        <w:pStyle w:val="Heading2"/>
      </w:pPr>
      <w:r w:rsidRPr="00842D3D">
        <w:br w:type="page"/>
      </w:r>
      <w:bookmarkStart w:id="438" w:name="_Toc221525336"/>
      <w:r w:rsidRPr="00842D3D">
        <w:lastRenderedPageBreak/>
        <w:t>17.3</w:t>
      </w:r>
      <w:r w:rsidR="003B11C4">
        <w:t>5</w:t>
      </w:r>
      <w:r w:rsidRPr="00842D3D">
        <w:t xml:space="preserve"> Copyright—Damages—Actual Damages </w:t>
      </w:r>
      <w:r w:rsidRPr="00842D3D">
        <w:br/>
        <w:t>(17 U.S.C. § 504(b))</w:t>
      </w:r>
      <w:bookmarkEnd w:id="438"/>
    </w:p>
    <w:p w14:paraId="3042A1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3F322C"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pacing w:val="-5"/>
          <w:w w:val="105"/>
          <w:szCs w:val="24"/>
        </w:rPr>
        <w:t xml:space="preserve">is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actual</w:t>
      </w:r>
      <w:r w:rsidRPr="00842D3D">
        <w:rPr>
          <w:rFonts w:eastAsia="Times New Roman" w:cs="Times New Roman"/>
          <w:spacing w:val="-5"/>
          <w:w w:val="105"/>
          <w:szCs w:val="24"/>
        </w:rPr>
        <w:t xml:space="preserve"> </w:t>
      </w:r>
      <w:r w:rsidRPr="00842D3D">
        <w:rPr>
          <w:rFonts w:eastAsia="Times New Roman" w:cs="Times New Roman"/>
          <w:w w:val="105"/>
          <w:szCs w:val="24"/>
        </w:rPr>
        <w:t>damages</w:t>
      </w:r>
      <w:r w:rsidRPr="00842D3D">
        <w:rPr>
          <w:rFonts w:eastAsia="Times New Roman" w:cs="Times New Roman"/>
          <w:spacing w:val="-5"/>
          <w:w w:val="105"/>
          <w:szCs w:val="24"/>
        </w:rPr>
        <w:t xml:space="preserve"> </w:t>
      </w:r>
      <w:r w:rsidRPr="00842D3D">
        <w:rPr>
          <w:rFonts w:eastAsia="Times New Roman" w:cs="Times New Roman"/>
          <w:w w:val="105"/>
          <w:szCs w:val="24"/>
        </w:rPr>
        <w:t>suffered</w:t>
      </w:r>
      <w:r w:rsidRPr="00842D3D">
        <w:rPr>
          <w:rFonts w:eastAsia="Times New Roman" w:cs="Times New Roman"/>
          <w:spacing w:val="-5"/>
          <w:w w:val="105"/>
          <w:szCs w:val="24"/>
        </w:rPr>
        <w:t xml:space="preserve"> </w:t>
      </w:r>
      <w:r w:rsidRPr="00842D3D">
        <w:rPr>
          <w:rFonts w:eastAsia="Times New Roman" w:cs="Times New Roman"/>
          <w:w w:val="105"/>
          <w:szCs w:val="24"/>
        </w:rPr>
        <w:t>as a result of the infringement.</w:t>
      </w:r>
      <w:r w:rsidRPr="00842D3D">
        <w:rPr>
          <w:rFonts w:eastAsia="Times New Roman" w:cs="Times New Roman"/>
          <w:spacing w:val="40"/>
          <w:w w:val="105"/>
          <w:szCs w:val="24"/>
        </w:rPr>
        <w:t xml:space="preserve"> </w:t>
      </w:r>
      <w:r w:rsidRPr="00842D3D">
        <w:rPr>
          <w:rFonts w:eastAsia="Times New Roman" w:cs="Times New Roman"/>
          <w:w w:val="105"/>
          <w:szCs w:val="24"/>
        </w:rPr>
        <w:t>Actual damages means the amount of money adequate to compensate the copyright owner for the reduction of the fair market value of the copyrighted work caused by the infringement.</w:t>
      </w:r>
      <w:r w:rsidRPr="00842D3D">
        <w:rPr>
          <w:rFonts w:eastAsia="Times New Roman" w:cs="Times New Roman"/>
          <w:szCs w:val="24"/>
        </w:rPr>
        <w:t xml:space="preserve"> In determining actual damages, you should consider the</w:t>
      </w:r>
      <w:r w:rsidRPr="00842D3D">
        <w:rPr>
          <w:rFonts w:eastAsia="Times New Roman" w:cs="Times New Roman"/>
          <w:spacing w:val="40"/>
          <w:w w:val="105"/>
          <w:szCs w:val="24"/>
        </w:rPr>
        <w:t xml:space="preserve"> </w:t>
      </w:r>
      <w:r w:rsidRPr="00842D3D">
        <w:rPr>
          <w:rFonts w:eastAsia="Times New Roman" w:cs="Times New Roman"/>
          <w:spacing w:val="-2"/>
          <w:w w:val="105"/>
          <w:szCs w:val="24"/>
        </w:rPr>
        <w:t>following:</w:t>
      </w:r>
    </w:p>
    <w:p w14:paraId="1E74860F" w14:textId="77777777" w:rsidR="00842D3D" w:rsidRPr="00842D3D" w:rsidRDefault="00842D3D" w:rsidP="00842D3D">
      <w:pPr>
        <w:widowControl w:val="0"/>
        <w:autoSpaceDE w:val="0"/>
        <w:autoSpaceDN w:val="0"/>
        <w:rPr>
          <w:rFonts w:eastAsia="Times New Roman" w:cs="Times New Roman"/>
          <w:szCs w:val="24"/>
        </w:rPr>
      </w:pPr>
    </w:p>
    <w:p w14:paraId="7747B4E4" w14:textId="77777777"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amount</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willing</w:t>
      </w:r>
      <w:r w:rsidRPr="00842D3D">
        <w:rPr>
          <w:rFonts w:eastAsia="Calibri" w:cs="Times New Roman"/>
          <w:spacing w:val="-4"/>
          <w:szCs w:val="24"/>
        </w:rPr>
        <w:t xml:space="preserve"> </w:t>
      </w:r>
      <w:r w:rsidRPr="00842D3D">
        <w:rPr>
          <w:rFonts w:eastAsia="Calibri" w:cs="Times New Roman"/>
          <w:szCs w:val="24"/>
        </w:rPr>
        <w:t>buyer</w:t>
      </w:r>
      <w:r w:rsidRPr="00842D3D">
        <w:rPr>
          <w:rFonts w:eastAsia="Calibri" w:cs="Times New Roman"/>
          <w:spacing w:val="-4"/>
          <w:szCs w:val="24"/>
        </w:rPr>
        <w:t xml:space="preserve"> </w:t>
      </w:r>
      <w:r w:rsidRPr="00842D3D">
        <w:rPr>
          <w:rFonts w:eastAsia="Calibri" w:cs="Times New Roman"/>
          <w:szCs w:val="24"/>
        </w:rPr>
        <w:t>would</w:t>
      </w:r>
      <w:r w:rsidRPr="00842D3D">
        <w:rPr>
          <w:rFonts w:eastAsia="Calibri" w:cs="Times New Roman"/>
          <w:spacing w:val="-4"/>
          <w:szCs w:val="24"/>
        </w:rPr>
        <w:t xml:space="preserve"> </w:t>
      </w:r>
      <w:r w:rsidRPr="00842D3D">
        <w:rPr>
          <w:rFonts w:eastAsia="Calibri" w:cs="Times New Roman"/>
          <w:szCs w:val="24"/>
        </w:rPr>
        <w:t>have</w:t>
      </w:r>
      <w:r w:rsidRPr="00842D3D">
        <w:rPr>
          <w:rFonts w:eastAsia="Calibri" w:cs="Times New Roman"/>
          <w:spacing w:val="-4"/>
          <w:szCs w:val="24"/>
        </w:rPr>
        <w:t xml:space="preserve"> </w:t>
      </w:r>
      <w:r w:rsidRPr="00842D3D">
        <w:rPr>
          <w:rFonts w:eastAsia="Calibri" w:cs="Times New Roman"/>
          <w:szCs w:val="24"/>
        </w:rPr>
        <w:t>been</w:t>
      </w:r>
      <w:r w:rsidRPr="00842D3D">
        <w:rPr>
          <w:rFonts w:eastAsia="Calibri" w:cs="Times New Roman"/>
          <w:spacing w:val="-4"/>
          <w:szCs w:val="24"/>
        </w:rPr>
        <w:t xml:space="preserve"> </w:t>
      </w:r>
      <w:r w:rsidRPr="00842D3D">
        <w:rPr>
          <w:rFonts w:eastAsia="Calibri" w:cs="Times New Roman"/>
          <w:szCs w:val="24"/>
        </w:rPr>
        <w:t>reasonably</w:t>
      </w:r>
      <w:r w:rsidRPr="00842D3D">
        <w:rPr>
          <w:rFonts w:eastAsia="Calibri" w:cs="Times New Roman"/>
          <w:spacing w:val="-4"/>
          <w:szCs w:val="24"/>
        </w:rPr>
        <w:t xml:space="preserve"> </w:t>
      </w:r>
      <w:r w:rsidRPr="00842D3D">
        <w:rPr>
          <w:rFonts w:eastAsia="Calibri" w:cs="Times New Roman"/>
          <w:szCs w:val="24"/>
        </w:rPr>
        <w:t>required</w:t>
      </w:r>
      <w:r w:rsidRPr="00842D3D">
        <w:rPr>
          <w:rFonts w:eastAsia="Calibri" w:cs="Times New Roman"/>
          <w:spacing w:val="-4"/>
          <w:szCs w:val="24"/>
        </w:rPr>
        <w:t xml:space="preserve"> </w:t>
      </w:r>
      <w:r w:rsidRPr="00842D3D">
        <w:rPr>
          <w:rFonts w:eastAsia="Calibri" w:cs="Times New Roman"/>
          <w:szCs w:val="24"/>
        </w:rPr>
        <w:t>to pay a willing seller at the time of the infringement for the actual use made by the defendant [</w:t>
      </w:r>
      <w:r w:rsidRPr="00842D3D">
        <w:rPr>
          <w:rFonts w:eastAsia="Calibri" w:cs="Times New Roman"/>
          <w:i/>
          <w:iCs/>
          <w:szCs w:val="24"/>
          <w:u w:val="single"/>
        </w:rPr>
        <w:t>name</w:t>
      </w:r>
      <w:r w:rsidRPr="00842D3D">
        <w:rPr>
          <w:rFonts w:eastAsia="Calibri" w:cs="Times New Roman"/>
          <w:szCs w:val="24"/>
        </w:rPr>
        <w:t>] of the plaintiff [</w:t>
      </w:r>
      <w:r w:rsidRPr="00842D3D">
        <w:rPr>
          <w:rFonts w:eastAsia="Calibri" w:cs="Times New Roman"/>
          <w:i/>
          <w:iCs/>
          <w:szCs w:val="24"/>
          <w:u w:val="single"/>
        </w:rPr>
        <w:t>name</w:t>
      </w:r>
      <w:r w:rsidRPr="00842D3D">
        <w:rPr>
          <w:rFonts w:eastAsia="Calibri" w:cs="Times New Roman"/>
          <w:szCs w:val="24"/>
        </w:rPr>
        <w:t>]’s work] [;] [and]</w:t>
      </w:r>
    </w:p>
    <w:p w14:paraId="14F3834F"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
    </w:p>
    <w:p w14:paraId="5D011BEE" w14:textId="77777777"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 profits the plaintiff [</w:t>
      </w:r>
      <w:r w:rsidRPr="00842D3D">
        <w:rPr>
          <w:rFonts w:eastAsia="Calibri" w:cs="Times New Roman"/>
          <w:i/>
          <w:iCs/>
          <w:szCs w:val="24"/>
          <w:u w:val="single"/>
        </w:rPr>
        <w:t>name</w:t>
      </w:r>
      <w:r w:rsidRPr="00842D3D">
        <w:rPr>
          <w:rFonts w:eastAsia="Calibri" w:cs="Times New Roman"/>
          <w:szCs w:val="24"/>
        </w:rPr>
        <w:t>] should have received for any sales lost because</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infringement.</w:t>
      </w:r>
      <w:r w:rsidRPr="00842D3D">
        <w:rPr>
          <w:rFonts w:eastAsia="Calibri" w:cs="Times New Roman"/>
          <w:spacing w:val="-4"/>
          <w:szCs w:val="24"/>
        </w:rPr>
        <w:t xml:space="preserve"> </w:t>
      </w:r>
      <w:r w:rsidRPr="00842D3D">
        <w:rPr>
          <w:rFonts w:eastAsia="Calibri" w:cs="Times New Roman"/>
          <w:szCs w:val="24"/>
        </w:rPr>
        <w:t>Profits</w:t>
      </w:r>
      <w:r w:rsidRPr="00842D3D">
        <w:rPr>
          <w:rFonts w:eastAsia="Calibri" w:cs="Times New Roman"/>
          <w:spacing w:val="-3"/>
          <w:szCs w:val="24"/>
        </w:rPr>
        <w:t xml:space="preserve"> </w:t>
      </w:r>
      <w:r w:rsidRPr="00842D3D">
        <w:rPr>
          <w:rFonts w:eastAsia="Calibri" w:cs="Times New Roman"/>
          <w:szCs w:val="24"/>
        </w:rPr>
        <w:t>are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gross</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 would have made on sales that did not occur because of the infringement minus additional expenses the plaintiff [</w:t>
      </w:r>
      <w:r w:rsidRPr="00842D3D">
        <w:rPr>
          <w:rFonts w:eastAsia="Calibri" w:cs="Times New Roman"/>
          <w:i/>
          <w:iCs/>
          <w:szCs w:val="24"/>
          <w:u w:val="single"/>
        </w:rPr>
        <w:t>name</w:t>
      </w:r>
      <w:r w:rsidRPr="00842D3D">
        <w:rPr>
          <w:rFonts w:eastAsia="Calibri" w:cs="Times New Roman"/>
          <w:szCs w:val="24"/>
        </w:rPr>
        <w:t>] would have incurred in making those sales] [;] [and]</w:t>
      </w:r>
    </w:p>
    <w:p w14:paraId="0E995613"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
    </w:p>
    <w:p w14:paraId="2B87DDDC" w14:textId="77777777" w:rsidR="00842D3D" w:rsidRPr="00842D3D" w:rsidRDefault="00842D3D" w:rsidP="00021D2C">
      <w:pPr>
        <w:widowControl w:val="0"/>
        <w:numPr>
          <w:ilvl w:val="0"/>
          <w:numId w:val="28"/>
        </w:numPr>
        <w:tabs>
          <w:tab w:val="left" w:pos="1350"/>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w:t>
      </w:r>
      <w:r w:rsidRPr="00842D3D">
        <w:rPr>
          <w:rFonts w:eastAsia="Calibri" w:cs="Times New Roman"/>
          <w:i/>
          <w:szCs w:val="24"/>
          <w:u w:val="single"/>
        </w:rPr>
        <w:t>Insert</w:t>
      </w:r>
      <w:r w:rsidRPr="00842D3D">
        <w:rPr>
          <w:rFonts w:eastAsia="Calibri" w:cs="Times New Roman"/>
          <w:i/>
          <w:spacing w:val="-14"/>
          <w:szCs w:val="24"/>
          <w:u w:val="single"/>
        </w:rPr>
        <w:t xml:space="preserve"> </w:t>
      </w:r>
      <w:r w:rsidRPr="00842D3D">
        <w:rPr>
          <w:rFonts w:eastAsia="Calibri" w:cs="Times New Roman"/>
          <w:i/>
          <w:szCs w:val="24"/>
          <w:u w:val="single"/>
        </w:rPr>
        <w:t>any</w:t>
      </w:r>
      <w:r w:rsidRPr="00842D3D">
        <w:rPr>
          <w:rFonts w:eastAsia="Calibri" w:cs="Times New Roman"/>
          <w:i/>
          <w:spacing w:val="-13"/>
          <w:szCs w:val="24"/>
          <w:u w:val="single"/>
        </w:rPr>
        <w:t xml:space="preserve"> </w:t>
      </w:r>
      <w:r w:rsidRPr="00842D3D">
        <w:rPr>
          <w:rFonts w:eastAsia="Calibri" w:cs="Times New Roman"/>
          <w:i/>
          <w:szCs w:val="24"/>
          <w:u w:val="single"/>
        </w:rPr>
        <w:t>other</w:t>
      </w:r>
      <w:r w:rsidRPr="00842D3D">
        <w:rPr>
          <w:rFonts w:eastAsia="Calibri" w:cs="Times New Roman"/>
          <w:i/>
          <w:spacing w:val="-10"/>
          <w:szCs w:val="24"/>
          <w:u w:val="single"/>
        </w:rPr>
        <w:t xml:space="preserve"> </w:t>
      </w:r>
      <w:r w:rsidRPr="00842D3D">
        <w:rPr>
          <w:rFonts w:eastAsia="Calibri" w:cs="Times New Roman"/>
          <w:i/>
          <w:szCs w:val="24"/>
          <w:u w:val="single"/>
        </w:rPr>
        <w:t>factors</w:t>
      </w:r>
      <w:r w:rsidRPr="00842D3D">
        <w:rPr>
          <w:rFonts w:eastAsia="Calibri" w:cs="Times New Roman"/>
          <w:i/>
          <w:spacing w:val="-11"/>
          <w:szCs w:val="24"/>
          <w:u w:val="single"/>
        </w:rPr>
        <w:t xml:space="preserve"> </w:t>
      </w:r>
      <w:r w:rsidRPr="00842D3D">
        <w:rPr>
          <w:rFonts w:eastAsia="Calibri" w:cs="Times New Roman"/>
          <w:i/>
          <w:szCs w:val="24"/>
          <w:u w:val="single"/>
        </w:rPr>
        <w:t>that</w:t>
      </w:r>
      <w:r w:rsidRPr="00842D3D">
        <w:rPr>
          <w:rFonts w:eastAsia="Calibri" w:cs="Times New Roman"/>
          <w:i/>
          <w:spacing w:val="-10"/>
          <w:szCs w:val="24"/>
          <w:u w:val="single"/>
        </w:rPr>
        <w:t xml:space="preserve"> </w:t>
      </w:r>
      <w:r w:rsidRPr="00842D3D">
        <w:rPr>
          <w:rFonts w:eastAsia="Calibri" w:cs="Times New Roman"/>
          <w:i/>
          <w:szCs w:val="24"/>
          <w:u w:val="single"/>
        </w:rPr>
        <w:t>bear</w:t>
      </w:r>
      <w:r w:rsidRPr="00842D3D">
        <w:rPr>
          <w:rFonts w:eastAsia="Calibri" w:cs="Times New Roman"/>
          <w:i/>
          <w:spacing w:val="-10"/>
          <w:szCs w:val="24"/>
          <w:u w:val="single"/>
        </w:rPr>
        <w:t xml:space="preserve"> </w:t>
      </w:r>
      <w:r w:rsidRPr="00842D3D">
        <w:rPr>
          <w:rFonts w:eastAsia="Calibri" w:cs="Times New Roman"/>
          <w:i/>
          <w:szCs w:val="24"/>
          <w:u w:val="single"/>
        </w:rPr>
        <w:t>on</w:t>
      </w:r>
      <w:r w:rsidRPr="00842D3D">
        <w:rPr>
          <w:rFonts w:eastAsia="Calibri" w:cs="Times New Roman"/>
          <w:i/>
          <w:spacing w:val="-11"/>
          <w:szCs w:val="24"/>
          <w:u w:val="single"/>
        </w:rPr>
        <w:t xml:space="preserve"> </w:t>
      </w:r>
      <w:r w:rsidRPr="00842D3D">
        <w:rPr>
          <w:rFonts w:eastAsia="Calibri" w:cs="Times New Roman"/>
          <w:i/>
          <w:szCs w:val="24"/>
          <w:u w:val="single"/>
        </w:rPr>
        <w:t>the</w:t>
      </w:r>
      <w:r w:rsidRPr="00842D3D">
        <w:rPr>
          <w:rFonts w:eastAsia="Calibri" w:cs="Times New Roman"/>
          <w:i/>
          <w:spacing w:val="-10"/>
          <w:szCs w:val="24"/>
          <w:u w:val="single"/>
        </w:rPr>
        <w:t xml:space="preserve"> </w:t>
      </w:r>
      <w:r w:rsidRPr="00842D3D">
        <w:rPr>
          <w:rFonts w:eastAsia="Calibri" w:cs="Times New Roman"/>
          <w:i/>
          <w:szCs w:val="24"/>
          <w:u w:val="single"/>
        </w:rPr>
        <w:t>plaintiff</w:t>
      </w:r>
      <w:r w:rsidRPr="00842D3D">
        <w:rPr>
          <w:rFonts w:eastAsia="Calibri" w:cs="Times New Roman"/>
          <w:i/>
          <w:spacing w:val="-45"/>
          <w:szCs w:val="24"/>
          <w:u w:val="single"/>
        </w:rPr>
        <w:t xml:space="preserve"> </w:t>
      </w:r>
      <w:r w:rsidRPr="00842D3D">
        <w:rPr>
          <w:rFonts w:eastAsia="Calibri" w:cs="Times New Roman"/>
          <w:i/>
          <w:szCs w:val="24"/>
          <w:u w:val="single"/>
        </w:rPr>
        <w:t>’s</w:t>
      </w:r>
      <w:r w:rsidRPr="00842D3D">
        <w:rPr>
          <w:rFonts w:eastAsia="Calibri" w:cs="Times New Roman"/>
          <w:i/>
          <w:spacing w:val="-11"/>
          <w:szCs w:val="24"/>
          <w:u w:val="single"/>
        </w:rPr>
        <w:t xml:space="preserve"> </w:t>
      </w:r>
      <w:r w:rsidRPr="00842D3D">
        <w:rPr>
          <w:rFonts w:eastAsia="Calibri" w:cs="Times New Roman"/>
          <w:i/>
          <w:szCs w:val="24"/>
          <w:u w:val="single"/>
        </w:rPr>
        <w:t>actual</w:t>
      </w:r>
      <w:r w:rsidRPr="00842D3D">
        <w:rPr>
          <w:rFonts w:eastAsia="Calibri" w:cs="Times New Roman"/>
          <w:i/>
          <w:spacing w:val="-10"/>
          <w:szCs w:val="24"/>
          <w:u w:val="single"/>
        </w:rPr>
        <w:t xml:space="preserve"> </w:t>
      </w:r>
      <w:r w:rsidRPr="00842D3D">
        <w:rPr>
          <w:rFonts w:eastAsia="Calibri" w:cs="Times New Roman"/>
          <w:i/>
          <w:spacing w:val="-2"/>
          <w:szCs w:val="24"/>
          <w:u w:val="single"/>
        </w:rPr>
        <w:t>damages</w:t>
      </w:r>
      <w:r w:rsidRPr="00842D3D">
        <w:rPr>
          <w:rFonts w:eastAsia="Calibri" w:cs="Times New Roman"/>
          <w:spacing w:val="-2"/>
          <w:szCs w:val="24"/>
          <w:u w:val="single"/>
        </w:rPr>
        <w:t>]</w:t>
      </w:r>
      <w:r w:rsidRPr="00842D3D">
        <w:rPr>
          <w:rFonts w:eastAsia="Calibri" w:cs="Times New Roman"/>
          <w:spacing w:val="-2"/>
          <w:szCs w:val="24"/>
        </w:rPr>
        <w:t>.</w:t>
      </w:r>
    </w:p>
    <w:p w14:paraId="16571B4A" w14:textId="77777777" w:rsidR="00842D3D" w:rsidRPr="00842D3D" w:rsidRDefault="00842D3D" w:rsidP="00842D3D">
      <w:pPr>
        <w:widowControl w:val="0"/>
        <w:autoSpaceDE w:val="0"/>
        <w:autoSpaceDN w:val="0"/>
        <w:rPr>
          <w:rFonts w:eastAsia="Times New Roman" w:cs="Times New Roman"/>
          <w:szCs w:val="24"/>
        </w:rPr>
      </w:pPr>
    </w:p>
    <w:p w14:paraId="26BE9B9C" w14:textId="77777777" w:rsidR="00842D3D" w:rsidRPr="00842D3D" w:rsidRDefault="00842D3D" w:rsidP="00842D3D">
      <w:pPr>
        <w:widowControl w:val="0"/>
        <w:autoSpaceDE w:val="0"/>
        <w:autoSpaceDN w:val="0"/>
        <w:jc w:val="center"/>
        <w:rPr>
          <w:rFonts w:eastAsia="Times New Roman" w:cs="Times New Roman"/>
          <w:b/>
          <w:szCs w:val="24"/>
        </w:rPr>
      </w:pPr>
      <w:r w:rsidRPr="00842D3D">
        <w:rPr>
          <w:rFonts w:eastAsia="Times New Roman" w:cs="Times New Roman"/>
          <w:b/>
          <w:szCs w:val="24"/>
        </w:rPr>
        <w:t>Comment</w:t>
      </w:r>
    </w:p>
    <w:p w14:paraId="79646C36" w14:textId="77777777" w:rsidR="00842D3D" w:rsidRPr="00842D3D" w:rsidRDefault="00842D3D" w:rsidP="00842D3D">
      <w:pPr>
        <w:widowControl w:val="0"/>
        <w:autoSpaceDE w:val="0"/>
        <w:autoSpaceDN w:val="0"/>
        <w:rPr>
          <w:rFonts w:eastAsia="Times New Roman" w:cs="Times New Roman"/>
          <w:szCs w:val="24"/>
        </w:rPr>
      </w:pPr>
    </w:p>
    <w:p w14:paraId="1C984AD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In a multi-defendant case, this instruction may need to be tailored according to the defendant to whom it applies. Where there are multiple infringers of a copyright, all infringers are jointly and severally liable for the plaintiff’s actual damages, but each defendant is severally liable for the defendant’s own illegal profits. </w:t>
      </w:r>
      <w:r w:rsidRPr="00842D3D">
        <w:rPr>
          <w:rFonts w:eastAsia="Times New Roman" w:cs="Times New Roman"/>
          <w:i/>
          <w:szCs w:val="24"/>
        </w:rPr>
        <w:t>See Frank Music Corp. v. Metro-Goldwyn-Mayer, Inc.</w:t>
      </w:r>
      <w:r w:rsidRPr="00842D3D">
        <w:rPr>
          <w:rFonts w:eastAsia="Times New Roman" w:cs="Times New Roman"/>
          <w:szCs w:val="24"/>
        </w:rPr>
        <w:t>, 772 F.2d 505, 519 (9th Cir. 1985) (citations omitted).</w:t>
      </w:r>
    </w:p>
    <w:p w14:paraId="197B808F" w14:textId="77777777" w:rsidR="00842D3D" w:rsidRPr="00842D3D" w:rsidRDefault="00842D3D" w:rsidP="00842D3D">
      <w:pPr>
        <w:widowControl w:val="0"/>
        <w:autoSpaceDE w:val="0"/>
        <w:autoSpaceDN w:val="0"/>
        <w:rPr>
          <w:rFonts w:eastAsia="Times New Roman" w:cs="Times New Roman"/>
          <w:szCs w:val="24"/>
        </w:rPr>
      </w:pPr>
    </w:p>
    <w:p w14:paraId="31FFA3C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In the Ninth Circuit, the calculation of actual damages under the 1909 Copyright Act differed from that under the 1976 Copyright Act. The Ninth Circuit interpreted the 1909 Copyright Act as allowing recovery of only the higher of actual damages or infringer profits. This differed from other circuits, where recovery of both actual damages and the infringer’s profits was allowed. However, under the 1976 Copyright Act, Congress explicitly allowed recovery of both actual damages and the infringer’s profits. </w:t>
      </w:r>
      <w:r w:rsidRPr="00842D3D">
        <w:rPr>
          <w:rFonts w:eastAsia="Times New Roman" w:cs="Times New Roman"/>
          <w:i/>
          <w:szCs w:val="24"/>
        </w:rPr>
        <w:t>See Frank Music Corp.</w:t>
      </w:r>
      <w:r w:rsidRPr="00842D3D">
        <w:rPr>
          <w:rFonts w:eastAsia="Times New Roman" w:cs="Times New Roman"/>
          <w:szCs w:val="24"/>
        </w:rPr>
        <w:t>, 772 F.2d at 512 &amp; n.5.</w:t>
      </w:r>
    </w:p>
    <w:p w14:paraId="3739C043" w14:textId="77777777" w:rsidR="00842D3D" w:rsidRPr="00842D3D" w:rsidRDefault="00842D3D" w:rsidP="00842D3D">
      <w:pPr>
        <w:widowControl w:val="0"/>
        <w:autoSpaceDE w:val="0"/>
        <w:autoSpaceDN w:val="0"/>
        <w:rPr>
          <w:rFonts w:eastAsia="Times New Roman" w:cs="Times New Roman"/>
          <w:szCs w:val="24"/>
        </w:rPr>
      </w:pPr>
    </w:p>
    <w:p w14:paraId="3D919711" w14:textId="77777777" w:rsidR="00842D3D" w:rsidRPr="00842D3D" w:rsidRDefault="00842D3D" w:rsidP="00842D3D">
      <w:pPr>
        <w:widowControl w:val="0"/>
        <w:autoSpaceDE w:val="0"/>
        <w:autoSpaceDN w:val="0"/>
        <w:ind w:firstLine="720"/>
        <w:rPr>
          <w:rFonts w:eastAsia="Times New Roman" w:cs="Times New Roman"/>
          <w:i/>
          <w:szCs w:val="24"/>
        </w:rPr>
      </w:pP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based</w:t>
      </w:r>
      <w:r w:rsidRPr="00842D3D">
        <w:rPr>
          <w:rFonts w:eastAsia="Times New Roman" w:cs="Times New Roman"/>
          <w:spacing w:val="-4"/>
          <w:w w:val="105"/>
          <w:szCs w:val="24"/>
        </w:rPr>
        <w:t xml:space="preserve"> </w:t>
      </w:r>
      <w:r w:rsidRPr="00842D3D">
        <w:rPr>
          <w:rFonts w:eastAsia="Times New Roman" w:cs="Times New Roman"/>
          <w:w w:val="105"/>
          <w:szCs w:val="24"/>
        </w:rPr>
        <w:t>upon</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jury</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3"/>
          <w:w w:val="105"/>
          <w:szCs w:val="24"/>
        </w:rPr>
        <w:t xml:space="preserve"> </w:t>
      </w:r>
      <w:r w:rsidRPr="00842D3D">
        <w:rPr>
          <w:rFonts w:eastAsia="Times New Roman" w:cs="Times New Roman"/>
          <w:w w:val="105"/>
          <w:szCs w:val="24"/>
        </w:rPr>
        <w:t>approved</w:t>
      </w:r>
      <w:r w:rsidRPr="00842D3D">
        <w:rPr>
          <w:rFonts w:eastAsia="Times New Roman" w:cs="Times New Roman"/>
          <w:spacing w:val="-3"/>
          <w:w w:val="105"/>
          <w:szCs w:val="24"/>
        </w:rPr>
        <w:t xml:space="preserve"> </w:t>
      </w:r>
      <w:r w:rsidRPr="00842D3D">
        <w:rPr>
          <w:rFonts w:eastAsia="Times New Roman" w:cs="Times New Roman"/>
          <w:w w:val="105"/>
          <w:szCs w:val="24"/>
        </w:rPr>
        <w:t>by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Ninth Circuit</w:t>
      </w:r>
      <w:r w:rsidRPr="00842D3D">
        <w:rPr>
          <w:rFonts w:eastAsia="Times New Roman" w:cs="Times New Roman"/>
          <w:spacing w:val="-3"/>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“properly</w:t>
      </w:r>
      <w:r w:rsidRPr="00842D3D">
        <w:rPr>
          <w:rFonts w:eastAsia="Times New Roman" w:cs="Times New Roman"/>
          <w:spacing w:val="-3"/>
          <w:w w:val="105"/>
          <w:szCs w:val="24"/>
        </w:rPr>
        <w:t xml:space="preserve"> </w:t>
      </w:r>
      <w:r w:rsidRPr="00842D3D">
        <w:rPr>
          <w:rFonts w:eastAsia="Times New Roman" w:cs="Times New Roman"/>
          <w:w w:val="105"/>
          <w:szCs w:val="24"/>
        </w:rPr>
        <w:t>stat[ing]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law</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infringement suit” and “in line with our circuit’s caselaw.”</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Wall Data Inc. v. L.A. Cnty. </w:t>
      </w:r>
      <w:r w:rsidRPr="00842D3D">
        <w:rPr>
          <w:rFonts w:eastAsia="Times New Roman" w:cs="Times New Roman"/>
          <w:i/>
          <w:szCs w:val="24"/>
        </w:rPr>
        <w:t>Sheriff’s Dep’t</w:t>
      </w:r>
      <w:r w:rsidRPr="00842D3D">
        <w:rPr>
          <w:rFonts w:eastAsia="Times New Roman" w:cs="Times New Roman"/>
          <w:szCs w:val="24"/>
        </w:rPr>
        <w:t>, 447 F.3d 769, 787 (9th Cir. 2006). The circuit has noted that actual</w:t>
      </w:r>
      <w:r w:rsidRPr="00842D3D">
        <w:rPr>
          <w:rFonts w:eastAsia="Times New Roman" w:cs="Times New Roman"/>
          <w:spacing w:val="-6"/>
          <w:szCs w:val="24"/>
        </w:rPr>
        <w:t xml:space="preserve"> </w:t>
      </w:r>
      <w:r w:rsidRPr="00842D3D">
        <w:rPr>
          <w:rFonts w:eastAsia="Times New Roman" w:cs="Times New Roman"/>
          <w:szCs w:val="24"/>
        </w:rPr>
        <w:t>damages</w:t>
      </w:r>
      <w:r w:rsidRPr="00842D3D">
        <w:rPr>
          <w:rFonts w:eastAsia="Times New Roman" w:cs="Times New Roman"/>
          <w:spacing w:val="-5"/>
          <w:szCs w:val="24"/>
        </w:rPr>
        <w:t xml:space="preserve"> </w:t>
      </w:r>
      <w:r w:rsidRPr="00842D3D">
        <w:rPr>
          <w:rFonts w:eastAsia="Times New Roman" w:cs="Times New Roman"/>
          <w:szCs w:val="24"/>
        </w:rPr>
        <w:t>may</w:t>
      </w:r>
      <w:r w:rsidRPr="00842D3D">
        <w:rPr>
          <w:rFonts w:eastAsia="Times New Roman" w:cs="Times New Roman"/>
          <w:spacing w:val="-5"/>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zCs w:val="24"/>
        </w:rPr>
        <w:t>“awarded</w:t>
      </w:r>
      <w:r w:rsidRPr="00842D3D">
        <w:rPr>
          <w:rFonts w:eastAsia="Times New Roman" w:cs="Times New Roman"/>
          <w:spacing w:val="-6"/>
          <w:szCs w:val="24"/>
        </w:rPr>
        <w:t xml:space="preserve"> </w:t>
      </w:r>
      <w:r w:rsidRPr="00842D3D">
        <w:rPr>
          <w:rFonts w:eastAsia="Times New Roman" w:cs="Times New Roman"/>
          <w:szCs w:val="24"/>
        </w:rPr>
        <w:t>in</w:t>
      </w:r>
      <w:r w:rsidRPr="00842D3D">
        <w:rPr>
          <w:rFonts w:eastAsia="Times New Roman" w:cs="Times New Roman"/>
          <w:spacing w:val="-6"/>
          <w:szCs w:val="24"/>
        </w:rPr>
        <w:t xml:space="preserve"> </w:t>
      </w:r>
      <w:r w:rsidRPr="00842D3D">
        <w:rPr>
          <w:rFonts w:eastAsia="Times New Roman" w:cs="Times New Roman"/>
          <w:szCs w:val="24"/>
        </w:rPr>
        <w:t>the</w:t>
      </w:r>
      <w:r w:rsidRPr="00842D3D">
        <w:rPr>
          <w:rFonts w:eastAsia="Times New Roman" w:cs="Times New Roman"/>
          <w:spacing w:val="-6"/>
          <w:szCs w:val="24"/>
        </w:rPr>
        <w:t xml:space="preserve"> </w:t>
      </w:r>
      <w:r w:rsidRPr="00842D3D">
        <w:rPr>
          <w:rFonts w:eastAsia="Times New Roman" w:cs="Times New Roman"/>
          <w:szCs w:val="24"/>
        </w:rPr>
        <w:t>form</w:t>
      </w:r>
      <w:r w:rsidRPr="00842D3D">
        <w:rPr>
          <w:rFonts w:eastAsia="Times New Roman" w:cs="Times New Roman"/>
          <w:spacing w:val="-6"/>
          <w:szCs w:val="24"/>
        </w:rPr>
        <w:t xml:space="preserve"> </w:t>
      </w:r>
      <w:r w:rsidRPr="00842D3D">
        <w:rPr>
          <w:rFonts w:eastAsia="Times New Roman" w:cs="Times New Roman"/>
          <w:szCs w:val="24"/>
        </w:rPr>
        <w:t>of</w:t>
      </w:r>
      <w:r w:rsidRPr="00842D3D">
        <w:rPr>
          <w:rFonts w:eastAsia="Times New Roman" w:cs="Times New Roman"/>
          <w:spacing w:val="-6"/>
          <w:szCs w:val="24"/>
        </w:rPr>
        <w:t xml:space="preserve"> </w:t>
      </w:r>
      <w:r w:rsidRPr="00842D3D">
        <w:rPr>
          <w:rFonts w:eastAsia="Times New Roman" w:cs="Times New Roman"/>
          <w:szCs w:val="24"/>
        </w:rPr>
        <w:t>lost</w:t>
      </w:r>
      <w:r w:rsidRPr="00842D3D">
        <w:rPr>
          <w:rFonts w:eastAsia="Times New Roman" w:cs="Times New Roman"/>
          <w:spacing w:val="-7"/>
          <w:szCs w:val="24"/>
        </w:rPr>
        <w:t xml:space="preserve"> </w:t>
      </w:r>
      <w:r w:rsidRPr="00842D3D">
        <w:rPr>
          <w:rFonts w:eastAsia="Times New Roman" w:cs="Times New Roman"/>
          <w:szCs w:val="24"/>
        </w:rPr>
        <w:t>profits”</w:t>
      </w:r>
      <w:r w:rsidRPr="00842D3D">
        <w:rPr>
          <w:rFonts w:eastAsia="Times New Roman" w:cs="Times New Roman"/>
          <w:spacing w:val="-6"/>
          <w:szCs w:val="24"/>
        </w:rPr>
        <w:t xml:space="preserve"> </w:t>
      </w:r>
      <w:r w:rsidRPr="00842D3D">
        <w:rPr>
          <w:rFonts w:eastAsia="Times New Roman" w:cs="Times New Roman"/>
          <w:szCs w:val="24"/>
        </w:rPr>
        <w:t>or</w:t>
      </w:r>
      <w:r w:rsidRPr="00842D3D">
        <w:rPr>
          <w:rFonts w:eastAsia="Times New Roman" w:cs="Times New Roman"/>
          <w:spacing w:val="-6"/>
          <w:szCs w:val="24"/>
        </w:rPr>
        <w:t xml:space="preserve"> </w:t>
      </w:r>
      <w:r w:rsidRPr="00842D3D">
        <w:rPr>
          <w:rFonts w:eastAsia="Times New Roman" w:cs="Times New Roman"/>
          <w:szCs w:val="24"/>
        </w:rPr>
        <w:t>may</w:t>
      </w:r>
      <w:r w:rsidRPr="00842D3D">
        <w:rPr>
          <w:rFonts w:eastAsia="Times New Roman" w:cs="Times New Roman"/>
          <w:spacing w:val="-6"/>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pacing w:val="-2"/>
          <w:szCs w:val="24"/>
        </w:rPr>
        <w:t xml:space="preserve">awarded </w:t>
      </w:r>
      <w:r w:rsidRPr="00842D3D">
        <w:rPr>
          <w:rFonts w:eastAsia="Times New Roman" w:cs="Times New Roman"/>
          <w:szCs w:val="24"/>
        </w:rPr>
        <w:t xml:space="preserve">based on “hypothetical-license damages,” </w:t>
      </w:r>
      <w:r w:rsidRPr="00842D3D">
        <w:rPr>
          <w:rFonts w:eastAsia="Times New Roman" w:cs="Times New Roman"/>
          <w:i/>
          <w:szCs w:val="24"/>
        </w:rPr>
        <w:t>Oracle Corp. v. SAP AG</w:t>
      </w:r>
      <w:r w:rsidRPr="00842D3D">
        <w:rPr>
          <w:rFonts w:eastAsia="Times New Roman" w:cs="Times New Roman"/>
          <w:szCs w:val="24"/>
        </w:rPr>
        <w:t xml:space="preserve">, 765 F.3d 1081, 1087 (9th Cir. 2014), which are determined by “the amount a willing buyer would have been reasonably required to pay a willing seller at the time of the infringement for the actual use made by [the infringer] of the plaintiff’s work,” </w:t>
      </w:r>
      <w:r w:rsidRPr="00842D3D">
        <w:rPr>
          <w:rFonts w:eastAsia="Times New Roman" w:cs="Times New Roman"/>
          <w:i/>
          <w:iCs/>
          <w:szCs w:val="24"/>
        </w:rPr>
        <w:t>id</w:t>
      </w:r>
      <w:r w:rsidRPr="00842D3D">
        <w:rPr>
          <w:rFonts w:eastAsia="Times New Roman" w:cs="Times New Roman"/>
          <w:szCs w:val="24"/>
        </w:rPr>
        <w:t xml:space="preserve">. (alteration in original) (quoting </w:t>
      </w:r>
      <w:r w:rsidRPr="00842D3D">
        <w:rPr>
          <w:rFonts w:eastAsia="Times New Roman" w:cs="Times New Roman"/>
          <w:i/>
          <w:iCs/>
          <w:szCs w:val="24"/>
        </w:rPr>
        <w:t>Wall Data</w:t>
      </w:r>
      <w:r w:rsidRPr="00842D3D">
        <w:rPr>
          <w:rFonts w:eastAsia="Times New Roman" w:cs="Times New Roman"/>
          <w:szCs w:val="24"/>
        </w:rPr>
        <w:t xml:space="preserve">, 447 F.3d at 786). </w:t>
      </w:r>
      <w:r w:rsidRPr="00842D3D">
        <w:rPr>
          <w:rFonts w:eastAsia="Times New Roman" w:cs="Times New Roman"/>
          <w:i/>
          <w:szCs w:val="24"/>
        </w:rPr>
        <w:t xml:space="preserve">See also id. </w:t>
      </w:r>
      <w:r w:rsidRPr="00842D3D">
        <w:rPr>
          <w:rFonts w:eastAsia="Times New Roman" w:cs="Times New Roman"/>
          <w:szCs w:val="24"/>
        </w:rPr>
        <w:t xml:space="preserve">at 1088 (explaining that a rule disallowing “hypothetical-license </w:t>
      </w:r>
      <w:r w:rsidRPr="00842D3D">
        <w:rPr>
          <w:rFonts w:eastAsia="Times New Roman" w:cs="Times New Roman"/>
          <w:szCs w:val="24"/>
        </w:rPr>
        <w:lastRenderedPageBreak/>
        <w:t>damages . . . could operate unfairly, given the difficulty the [copyright owner] might face in meeting the burden of proof for lost profits and</w:t>
      </w:r>
      <w:r w:rsidRPr="00842D3D">
        <w:rPr>
          <w:rFonts w:eastAsia="Times New Roman" w:cs="Times New Roman"/>
          <w:spacing w:val="-3"/>
          <w:szCs w:val="24"/>
        </w:rPr>
        <w:t xml:space="preserve"> </w:t>
      </w:r>
      <w:r w:rsidRPr="00842D3D">
        <w:rPr>
          <w:rFonts w:eastAsia="Times New Roman" w:cs="Times New Roman"/>
          <w:szCs w:val="24"/>
        </w:rPr>
        <w:t>infringer’s</w:t>
      </w:r>
      <w:r w:rsidRPr="00842D3D">
        <w:rPr>
          <w:rFonts w:eastAsia="Times New Roman" w:cs="Times New Roman"/>
          <w:spacing w:val="-3"/>
          <w:szCs w:val="24"/>
        </w:rPr>
        <w:t xml:space="preserve"> </w:t>
      </w:r>
      <w:r w:rsidRPr="00842D3D">
        <w:rPr>
          <w:rFonts w:eastAsia="Times New Roman" w:cs="Times New Roman"/>
          <w:szCs w:val="24"/>
        </w:rPr>
        <w:t>profits”</w:t>
      </w:r>
      <w:r w:rsidRPr="00842D3D">
        <w:rPr>
          <w:rFonts w:eastAsia="Times New Roman" w:cs="Times New Roman"/>
          <w:spacing w:val="-3"/>
          <w:szCs w:val="24"/>
        </w:rPr>
        <w:t xml:space="preserve"> </w:t>
      </w:r>
      <w:r w:rsidRPr="00842D3D">
        <w:rPr>
          <w:rFonts w:eastAsia="Times New Roman" w:cs="Times New Roman"/>
          <w:szCs w:val="24"/>
        </w:rPr>
        <w:t>(citing</w:t>
      </w:r>
      <w:r w:rsidRPr="00842D3D">
        <w:rPr>
          <w:rFonts w:eastAsia="Times New Roman" w:cs="Times New Roman"/>
          <w:spacing w:val="-2"/>
          <w:szCs w:val="24"/>
        </w:rPr>
        <w:t xml:space="preserve"> </w:t>
      </w:r>
      <w:r w:rsidRPr="00842D3D">
        <w:rPr>
          <w:rFonts w:eastAsia="Times New Roman" w:cs="Times New Roman"/>
          <w:i/>
          <w:szCs w:val="24"/>
        </w:rPr>
        <w:t>On</w:t>
      </w:r>
      <w:r w:rsidRPr="00842D3D">
        <w:rPr>
          <w:rFonts w:eastAsia="Times New Roman" w:cs="Times New Roman"/>
          <w:i/>
          <w:spacing w:val="-3"/>
          <w:szCs w:val="24"/>
        </w:rPr>
        <w:t xml:space="preserve"> </w:t>
      </w:r>
      <w:r w:rsidRPr="00842D3D">
        <w:rPr>
          <w:rFonts w:eastAsia="Times New Roman" w:cs="Times New Roman"/>
          <w:i/>
          <w:szCs w:val="24"/>
        </w:rPr>
        <w:t>Davis</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The</w:t>
      </w:r>
      <w:r w:rsidRPr="00842D3D">
        <w:rPr>
          <w:rFonts w:eastAsia="Times New Roman" w:cs="Times New Roman"/>
          <w:i/>
          <w:spacing w:val="-3"/>
          <w:szCs w:val="24"/>
        </w:rPr>
        <w:t xml:space="preserve"> </w:t>
      </w:r>
      <w:r w:rsidRPr="00842D3D">
        <w:rPr>
          <w:rFonts w:eastAsia="Times New Roman" w:cs="Times New Roman"/>
          <w:i/>
          <w:szCs w:val="24"/>
        </w:rPr>
        <w:t>Gap,</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246</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152,</w:t>
      </w:r>
      <w:r w:rsidRPr="00842D3D">
        <w:rPr>
          <w:rFonts w:eastAsia="Times New Roman" w:cs="Times New Roman"/>
          <w:spacing w:val="-3"/>
          <w:szCs w:val="24"/>
        </w:rPr>
        <w:t xml:space="preserve"> </w:t>
      </w:r>
      <w:r w:rsidRPr="00842D3D">
        <w:rPr>
          <w:rFonts w:eastAsia="Times New Roman" w:cs="Times New Roman"/>
          <w:szCs w:val="24"/>
        </w:rPr>
        <w:t>166</w:t>
      </w:r>
      <w:r w:rsidRPr="00842D3D">
        <w:rPr>
          <w:rFonts w:eastAsia="Times New Roman" w:cs="Times New Roman"/>
          <w:spacing w:val="-3"/>
          <w:szCs w:val="24"/>
        </w:rPr>
        <w:t xml:space="preserve"> </w:t>
      </w:r>
      <w:r w:rsidRPr="00842D3D">
        <w:rPr>
          <w:rFonts w:eastAsia="Times New Roman" w:cs="Times New Roman"/>
          <w:szCs w:val="24"/>
        </w:rPr>
        <w:t>(2d Cir.</w:t>
      </w:r>
      <w:r w:rsidRPr="00842D3D">
        <w:rPr>
          <w:rFonts w:eastAsia="Times New Roman" w:cs="Times New Roman"/>
          <w:spacing w:val="40"/>
          <w:szCs w:val="24"/>
        </w:rPr>
        <w:t xml:space="preserve"> </w:t>
      </w:r>
      <w:r w:rsidRPr="00842D3D">
        <w:rPr>
          <w:rFonts w:eastAsia="Times New Roman" w:cs="Times New Roman"/>
          <w:szCs w:val="24"/>
        </w:rPr>
        <w:t>2001)).</w:t>
      </w:r>
      <w:r w:rsidRPr="00842D3D">
        <w:rPr>
          <w:rFonts w:eastAsia="Times New Roman" w:cs="Times New Roman"/>
          <w:spacing w:val="8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market</w:t>
      </w:r>
      <w:r w:rsidRPr="00842D3D">
        <w:rPr>
          <w:rFonts w:eastAsia="Times New Roman" w:cs="Times New Roman"/>
          <w:spacing w:val="40"/>
          <w:szCs w:val="24"/>
        </w:rPr>
        <w:t xml:space="preserve"> </w:t>
      </w:r>
      <w:r w:rsidRPr="00842D3D">
        <w:rPr>
          <w:rFonts w:eastAsia="Times New Roman" w:cs="Times New Roman"/>
          <w:szCs w:val="24"/>
        </w:rPr>
        <w:t>value</w:t>
      </w:r>
      <w:r w:rsidRPr="00842D3D">
        <w:rPr>
          <w:rFonts w:eastAsia="Times New Roman" w:cs="Times New Roman"/>
          <w:spacing w:val="40"/>
          <w:szCs w:val="24"/>
        </w:rPr>
        <w:t xml:space="preserve"> </w:t>
      </w:r>
      <w:r w:rsidRPr="00842D3D">
        <w:rPr>
          <w:rFonts w:eastAsia="Times New Roman" w:cs="Times New Roman"/>
          <w:szCs w:val="24"/>
        </w:rPr>
        <w:t>approach is</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objective,</w:t>
      </w:r>
      <w:r w:rsidRPr="00842D3D">
        <w:rPr>
          <w:rFonts w:eastAsia="Times New Roman" w:cs="Times New Roman"/>
          <w:spacing w:val="40"/>
          <w:szCs w:val="24"/>
        </w:rPr>
        <w:t xml:space="preserve"> </w:t>
      </w:r>
      <w:r w:rsidRPr="00842D3D">
        <w:rPr>
          <w:rFonts w:eastAsia="Times New Roman" w:cs="Times New Roman"/>
          <w:szCs w:val="24"/>
        </w:rPr>
        <w:t>not</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subjective,</w:t>
      </w:r>
      <w:r w:rsidRPr="00842D3D">
        <w:rPr>
          <w:rFonts w:eastAsia="Times New Roman" w:cs="Times New Roman"/>
          <w:spacing w:val="40"/>
          <w:szCs w:val="24"/>
        </w:rPr>
        <w:t xml:space="preserve"> </w:t>
      </w:r>
      <w:r w:rsidRPr="00842D3D">
        <w:rPr>
          <w:rFonts w:eastAsia="Times New Roman" w:cs="Times New Roman"/>
          <w:szCs w:val="24"/>
        </w:rPr>
        <w:t>analysis.’”</w:t>
      </w:r>
      <w:r w:rsidRPr="00842D3D">
        <w:rPr>
          <w:rFonts w:eastAsia="Times New Roman" w:cs="Times New Roman"/>
          <w:spacing w:val="80"/>
          <w:szCs w:val="24"/>
        </w:rPr>
        <w:t xml:space="preserve"> </w:t>
      </w:r>
      <w:r w:rsidRPr="00842D3D">
        <w:rPr>
          <w:rFonts w:eastAsia="Times New Roman" w:cs="Times New Roman"/>
          <w:i/>
          <w:szCs w:val="24"/>
        </w:rPr>
        <w:t>Jarvis</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39"/>
          <w:szCs w:val="24"/>
        </w:rPr>
        <w:t xml:space="preserve"> </w:t>
      </w:r>
      <w:r w:rsidRPr="00842D3D">
        <w:rPr>
          <w:rFonts w:eastAsia="Times New Roman" w:cs="Times New Roman"/>
          <w:i/>
          <w:szCs w:val="24"/>
        </w:rPr>
        <w:t>K2</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486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526, 534</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2007)</w:t>
      </w:r>
      <w:r w:rsidRPr="00842D3D">
        <w:rPr>
          <w:rFonts w:eastAsia="Times New Roman" w:cs="Times New Roman"/>
          <w:spacing w:val="40"/>
          <w:szCs w:val="24"/>
        </w:rPr>
        <w:t xml:space="preserve"> </w:t>
      </w:r>
      <w:r w:rsidRPr="00842D3D">
        <w:rPr>
          <w:rFonts w:eastAsia="Times New Roman" w:cs="Times New Roman"/>
          <w:szCs w:val="24"/>
        </w:rPr>
        <w:t>(quoting</w:t>
      </w:r>
      <w:r w:rsidRPr="00842D3D">
        <w:rPr>
          <w:rFonts w:eastAsia="Times New Roman" w:cs="Times New Roman"/>
          <w:spacing w:val="40"/>
          <w:szCs w:val="24"/>
        </w:rPr>
        <w:t xml:space="preserve"> </w:t>
      </w:r>
      <w:r w:rsidRPr="00842D3D">
        <w:rPr>
          <w:rFonts w:eastAsia="Times New Roman" w:cs="Times New Roman"/>
          <w:i/>
          <w:szCs w:val="24"/>
        </w:rPr>
        <w:t>Mackie</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Rieser</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296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909,</w:t>
      </w:r>
      <w:r w:rsidRPr="00842D3D">
        <w:rPr>
          <w:rFonts w:eastAsia="Times New Roman" w:cs="Times New Roman"/>
          <w:spacing w:val="40"/>
          <w:szCs w:val="24"/>
        </w:rPr>
        <w:t xml:space="preserve"> </w:t>
      </w:r>
      <w:r w:rsidRPr="00842D3D">
        <w:rPr>
          <w:rFonts w:eastAsia="Times New Roman" w:cs="Times New Roman"/>
          <w:szCs w:val="24"/>
        </w:rPr>
        <w:t>917</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 xml:space="preserve">Cir. </w:t>
      </w:r>
      <w:r w:rsidRPr="00842D3D">
        <w:rPr>
          <w:rFonts w:eastAsia="Times New Roman" w:cs="Times New Roman"/>
          <w:w w:val="105"/>
          <w:szCs w:val="24"/>
        </w:rPr>
        <w:t>2002)).</w:t>
      </w:r>
      <w:r w:rsidRPr="00842D3D">
        <w:rPr>
          <w:rFonts w:eastAsia="Times New Roman" w:cs="Times New Roman"/>
          <w:spacing w:val="27"/>
          <w:w w:val="105"/>
          <w:szCs w:val="24"/>
        </w:rPr>
        <w:t xml:space="preserve"> </w:t>
      </w:r>
      <w:r w:rsidRPr="00842D3D">
        <w:rPr>
          <w:rFonts w:eastAsia="Times New Roman" w:cs="Times New Roman"/>
          <w:w w:val="105"/>
          <w:szCs w:val="24"/>
        </w:rPr>
        <w:t>Therefore,</w:t>
      </w:r>
      <w:r w:rsidRPr="00842D3D">
        <w:rPr>
          <w:rFonts w:eastAsia="Times New Roman" w:cs="Times New Roman"/>
          <w:spacing w:val="-7"/>
          <w:w w:val="105"/>
          <w:szCs w:val="24"/>
        </w:rPr>
        <w:t xml:space="preserve"> </w:t>
      </w:r>
      <w:r w:rsidRPr="00842D3D">
        <w:rPr>
          <w:rFonts w:eastAsia="Times New Roman" w:cs="Times New Roman"/>
          <w:w w:val="105"/>
          <w:szCs w:val="24"/>
        </w:rPr>
        <w:t>“[e]xcessively</w:t>
      </w:r>
      <w:r w:rsidRPr="00842D3D">
        <w:rPr>
          <w:rFonts w:eastAsia="Times New Roman" w:cs="Times New Roman"/>
          <w:spacing w:val="-8"/>
          <w:w w:val="105"/>
          <w:szCs w:val="24"/>
        </w:rPr>
        <w:t xml:space="preserve"> </w:t>
      </w:r>
      <w:r w:rsidRPr="00842D3D">
        <w:rPr>
          <w:rFonts w:eastAsia="Times New Roman" w:cs="Times New Roman"/>
          <w:w w:val="105"/>
          <w:szCs w:val="24"/>
        </w:rPr>
        <w:t>speculative</w:t>
      </w:r>
      <w:r w:rsidRPr="00842D3D">
        <w:rPr>
          <w:rFonts w:eastAsia="Times New Roman" w:cs="Times New Roman"/>
          <w:spacing w:val="-8"/>
          <w:w w:val="105"/>
          <w:szCs w:val="24"/>
        </w:rPr>
        <w:t xml:space="preserve"> </w:t>
      </w:r>
      <w:r w:rsidRPr="00842D3D">
        <w:rPr>
          <w:rFonts w:eastAsia="Times New Roman" w:cs="Times New Roman"/>
          <w:w w:val="105"/>
          <w:szCs w:val="24"/>
        </w:rPr>
        <w:t>claims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7"/>
          <w:w w:val="105"/>
          <w:szCs w:val="24"/>
        </w:rPr>
        <w:t xml:space="preserve"> </w:t>
      </w:r>
      <w:r w:rsidRPr="00842D3D">
        <w:rPr>
          <w:rFonts w:eastAsia="Times New Roman" w:cs="Times New Roman"/>
          <w:spacing w:val="-5"/>
          <w:w w:val="105"/>
          <w:szCs w:val="24"/>
        </w:rPr>
        <w:t xml:space="preserve">be </w:t>
      </w:r>
      <w:r w:rsidRPr="00842D3D">
        <w:rPr>
          <w:rFonts w:eastAsia="Times New Roman" w:cs="Times New Roman"/>
          <w:w w:val="105"/>
          <w:szCs w:val="24"/>
        </w:rPr>
        <w:t>rejected.”</w:t>
      </w:r>
      <w:r w:rsidRPr="00842D3D">
        <w:rPr>
          <w:rFonts w:eastAsia="Times New Roman" w:cs="Times New Roman"/>
          <w:spacing w:val="28"/>
          <w:w w:val="105"/>
          <w:szCs w:val="24"/>
        </w:rPr>
        <w:t xml:space="preserve"> </w:t>
      </w:r>
      <w:r w:rsidRPr="00842D3D">
        <w:rPr>
          <w:rFonts w:eastAsia="Times New Roman" w:cs="Times New Roman"/>
          <w:i/>
          <w:spacing w:val="-5"/>
          <w:w w:val="105"/>
          <w:szCs w:val="24"/>
        </w:rPr>
        <w:t>Id.</w:t>
      </w:r>
    </w:p>
    <w:p w14:paraId="155D4105" w14:textId="77777777" w:rsidR="00842D3D" w:rsidRPr="00842D3D" w:rsidRDefault="00842D3D" w:rsidP="00842D3D">
      <w:pPr>
        <w:widowControl w:val="0"/>
        <w:autoSpaceDE w:val="0"/>
        <w:autoSpaceDN w:val="0"/>
        <w:rPr>
          <w:rFonts w:eastAsia="Times New Roman" w:cs="Times New Roman"/>
          <w:i/>
          <w:szCs w:val="24"/>
        </w:rPr>
      </w:pPr>
    </w:p>
    <w:p w14:paraId="35940820"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This instruction does not address whether the measures of actual</w:t>
      </w:r>
      <w:r w:rsidRPr="00842D3D">
        <w:rPr>
          <w:rFonts w:eastAsia="Times New Roman" w:cs="Times New Roman"/>
          <w:spacing w:val="80"/>
          <w:szCs w:val="24"/>
        </w:rPr>
        <w:t xml:space="preserve"> </w:t>
      </w:r>
      <w:r w:rsidRPr="00842D3D">
        <w:rPr>
          <w:rFonts w:eastAsia="Times New Roman" w:cs="Times New Roman"/>
          <w:szCs w:val="24"/>
        </w:rPr>
        <w:t>damages (as either the plaintiff’s lost profits or the fair market value of the use illegally appropriated by the infringer) are</w:t>
      </w:r>
      <w:r w:rsidRPr="00842D3D">
        <w:rPr>
          <w:rFonts w:eastAsia="Times New Roman" w:cs="Times New Roman"/>
          <w:spacing w:val="40"/>
          <w:szCs w:val="24"/>
        </w:rPr>
        <w:t xml:space="preserve"> </w:t>
      </w:r>
      <w:r w:rsidRPr="00842D3D">
        <w:rPr>
          <w:rFonts w:eastAsia="Times New Roman" w:cs="Times New Roman"/>
          <w:szCs w:val="24"/>
        </w:rPr>
        <w:t>mutually</w:t>
      </w:r>
      <w:r w:rsidRPr="00842D3D">
        <w:rPr>
          <w:rFonts w:eastAsia="Times New Roman" w:cs="Times New Roman"/>
          <w:spacing w:val="40"/>
          <w:szCs w:val="24"/>
        </w:rPr>
        <w:t xml:space="preserve"> </w:t>
      </w:r>
      <w:r w:rsidRPr="00842D3D">
        <w:rPr>
          <w:rFonts w:eastAsia="Times New Roman" w:cs="Times New Roman"/>
          <w:szCs w:val="24"/>
        </w:rPr>
        <w:t>exclusive</w:t>
      </w:r>
      <w:r w:rsidRPr="00842D3D">
        <w:rPr>
          <w:rFonts w:eastAsia="Times New Roman" w:cs="Times New Roman"/>
          <w:spacing w:val="40"/>
          <w:szCs w:val="24"/>
        </w:rPr>
        <w:t xml:space="preserve"> </w:t>
      </w:r>
      <w:r w:rsidRPr="00842D3D">
        <w:rPr>
          <w:rFonts w:eastAsia="Times New Roman" w:cs="Times New Roman"/>
          <w:szCs w:val="24"/>
        </w:rPr>
        <w:t>or</w:t>
      </w:r>
      <w:r w:rsidRPr="00842D3D">
        <w:rPr>
          <w:rFonts w:eastAsia="Times New Roman" w:cs="Times New Roman"/>
          <w:spacing w:val="40"/>
          <w:szCs w:val="24"/>
        </w:rPr>
        <w:t xml:space="preserve"> </w:t>
      </w:r>
      <w:r w:rsidRPr="00842D3D">
        <w:rPr>
          <w:rFonts w:eastAsia="Times New Roman" w:cs="Times New Roman"/>
          <w:szCs w:val="24"/>
        </w:rPr>
        <w:t>additive,</w:t>
      </w:r>
      <w:r w:rsidRPr="00842D3D">
        <w:rPr>
          <w:rFonts w:eastAsia="Times New Roman" w:cs="Times New Roman"/>
          <w:spacing w:val="40"/>
          <w:szCs w:val="24"/>
        </w:rPr>
        <w:t xml:space="preserve"> </w:t>
      </w:r>
      <w:r w:rsidRPr="00842D3D">
        <w:rPr>
          <w:rFonts w:eastAsia="Times New Roman" w:cs="Times New Roman"/>
          <w:szCs w:val="24"/>
        </w:rPr>
        <w:t>nor</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danger</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double recovery</w:t>
      </w:r>
      <w:r w:rsidRPr="00842D3D">
        <w:rPr>
          <w:rFonts w:eastAsia="Times New Roman" w:cs="Times New Roman"/>
          <w:spacing w:val="40"/>
          <w:szCs w:val="24"/>
        </w:rPr>
        <w:t xml:space="preserve"> </w:t>
      </w:r>
      <w:r w:rsidRPr="00842D3D">
        <w:rPr>
          <w:rFonts w:eastAsia="Times New Roman" w:cs="Times New Roman"/>
          <w:szCs w:val="24"/>
        </w:rPr>
        <w:t>if</w:t>
      </w:r>
      <w:r w:rsidRPr="00842D3D">
        <w:rPr>
          <w:rFonts w:eastAsia="Times New Roman" w:cs="Times New Roman"/>
          <w:spacing w:val="40"/>
          <w:szCs w:val="24"/>
        </w:rPr>
        <w:t xml:space="preserve"> </w:t>
      </w:r>
      <w:r w:rsidRPr="00842D3D">
        <w:rPr>
          <w:rFonts w:eastAsia="Times New Roman" w:cs="Times New Roman"/>
          <w:szCs w:val="24"/>
        </w:rPr>
        <w:t>both</w:t>
      </w:r>
      <w:r w:rsidRPr="00842D3D">
        <w:rPr>
          <w:rFonts w:eastAsia="Times New Roman" w:cs="Times New Roman"/>
          <w:spacing w:val="40"/>
          <w:szCs w:val="24"/>
        </w:rPr>
        <w:t xml:space="preserve"> </w:t>
      </w:r>
      <w:r w:rsidRPr="00842D3D">
        <w:rPr>
          <w:rFonts w:eastAsia="Times New Roman" w:cs="Times New Roman"/>
          <w:szCs w:val="24"/>
        </w:rPr>
        <w:t>measures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presented</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jury.</w:t>
      </w:r>
    </w:p>
    <w:p w14:paraId="0B088D05" w14:textId="77777777" w:rsidR="00842D3D" w:rsidRPr="00842D3D" w:rsidRDefault="00842D3D" w:rsidP="00842D3D">
      <w:pPr>
        <w:widowControl w:val="0"/>
        <w:autoSpaceDE w:val="0"/>
        <w:autoSpaceDN w:val="0"/>
        <w:rPr>
          <w:rFonts w:eastAsia="Times New Roman" w:cs="Times New Roman"/>
          <w:szCs w:val="24"/>
        </w:rPr>
      </w:pPr>
    </w:p>
    <w:p w14:paraId="6216A0AD" w14:textId="35120C5D"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For commentary on the plaintiff’s right to elect to recover statutory damages instead actual damages and the defendant’s profits, see</w:t>
      </w:r>
      <w:r w:rsidRPr="00842D3D">
        <w:rPr>
          <w:rFonts w:eastAsia="Times New Roman" w:cs="Times New Roman"/>
          <w:i/>
          <w:iCs/>
          <w:szCs w:val="24"/>
        </w:rPr>
        <w:t xml:space="preserve"> </w:t>
      </w:r>
      <w:r w:rsidRPr="00842D3D">
        <w:rPr>
          <w:rFonts w:eastAsia="Times New Roman" w:cs="Times New Roman"/>
          <w:szCs w:val="24"/>
        </w:rPr>
        <w:t>Instruction 17.3</w:t>
      </w:r>
      <w:r w:rsidR="009818E2">
        <w:rPr>
          <w:rFonts w:eastAsia="Times New Roman" w:cs="Times New Roman"/>
          <w:szCs w:val="24"/>
        </w:rPr>
        <w:t>7</w:t>
      </w:r>
      <w:r w:rsidRPr="00842D3D">
        <w:rPr>
          <w:rFonts w:eastAsia="Times New Roman" w:cs="Times New Roman"/>
          <w:szCs w:val="24"/>
        </w:rPr>
        <w:t xml:space="preserve"> (Copyright—Damages—Statutory Damages).</w:t>
      </w:r>
    </w:p>
    <w:p w14:paraId="191EFEF7" w14:textId="77777777" w:rsidR="00842D3D" w:rsidRPr="00842D3D" w:rsidRDefault="00842D3D" w:rsidP="00842D3D">
      <w:pPr>
        <w:widowControl w:val="0"/>
        <w:autoSpaceDE w:val="0"/>
        <w:autoSpaceDN w:val="0"/>
        <w:ind w:firstLine="718"/>
        <w:rPr>
          <w:rFonts w:eastAsia="Times New Roman" w:cs="Times New Roman"/>
          <w:szCs w:val="24"/>
        </w:rPr>
      </w:pPr>
    </w:p>
    <w:p w14:paraId="552815B5"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DD5A1A2"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A6BE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22F007F1" w14:textId="5A700269" w:rsidR="00842D3D" w:rsidRPr="00842D3D" w:rsidRDefault="00842D3D" w:rsidP="00313A05">
      <w:pPr>
        <w:pStyle w:val="Heading2"/>
      </w:pPr>
      <w:r w:rsidRPr="00842D3D">
        <w:br w:type="page"/>
      </w:r>
      <w:bookmarkStart w:id="439" w:name="_Toc221525337"/>
      <w:r w:rsidRPr="00842D3D">
        <w:lastRenderedPageBreak/>
        <w:t>17.3</w:t>
      </w:r>
      <w:r w:rsidR="003B11C4">
        <w:t>6</w:t>
      </w:r>
      <w:r w:rsidRPr="00842D3D">
        <w:t xml:space="preserve"> Copyright—Damages—Defendant’s Profits </w:t>
      </w:r>
      <w:r w:rsidRPr="00842D3D">
        <w:br/>
        <w:t>(17 U.S.C. § 504(b))</w:t>
      </w:r>
      <w:bookmarkEnd w:id="439"/>
    </w:p>
    <w:p w14:paraId="6D6D73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1AF9C17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addition</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actual</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2"/>
          <w:w w:val="105"/>
          <w:szCs w:val="24"/>
        </w:rPr>
        <w:t xml:space="preserve"> </w:t>
      </w:r>
      <w:r w:rsidRPr="00842D3D">
        <w:rPr>
          <w:rFonts w:eastAsia="Times New Roman" w:cs="Times New Roman"/>
          <w:w w:val="105"/>
          <w:szCs w:val="24"/>
        </w:rPr>
        <w:t>plaintiff</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entitled</w:t>
      </w:r>
      <w:r w:rsidRPr="00842D3D">
        <w:rPr>
          <w:rFonts w:eastAsia="Times New Roman" w:cs="Times New Roman"/>
          <w:spacing w:val="-4"/>
          <w:w w:val="105"/>
          <w:szCs w:val="24"/>
        </w:rPr>
        <w:t xml:space="preserve"> </w:t>
      </w:r>
      <w:r w:rsidRPr="00842D3D">
        <w:rPr>
          <w:rFonts w:eastAsia="Times New Roman" w:cs="Times New Roman"/>
          <w:w w:val="105"/>
          <w:szCs w:val="24"/>
        </w:rPr>
        <w:t xml:space="preserve">to any profits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attributable to the infringement. You may not include in an award</w:t>
      </w:r>
      <w:r w:rsidRPr="00842D3D">
        <w:rPr>
          <w:rFonts w:eastAsia="Times New Roman" w:cs="Times New Roman"/>
          <w:spacing w:val="-3"/>
          <w:w w:val="105"/>
          <w:szCs w:val="24"/>
        </w:rPr>
        <w:t xml:space="preserve"> </w:t>
      </w:r>
      <w:r w:rsidRPr="00842D3D">
        <w:rPr>
          <w:rFonts w:eastAsia="Times New Roman" w:cs="Times New Roman"/>
          <w:w w:val="105"/>
          <w:szCs w:val="24"/>
        </w:rPr>
        <w:t>of profits any amount that you took into account in determining actual damages.</w:t>
      </w:r>
    </w:p>
    <w:p w14:paraId="7A804500" w14:textId="77777777" w:rsidR="00842D3D" w:rsidRPr="00842D3D" w:rsidRDefault="00842D3D" w:rsidP="00842D3D">
      <w:pPr>
        <w:widowControl w:val="0"/>
        <w:autoSpaceDE w:val="0"/>
        <w:autoSpaceDN w:val="0"/>
        <w:rPr>
          <w:rFonts w:eastAsia="Times New Roman" w:cs="Times New Roman"/>
          <w:szCs w:val="24"/>
        </w:rPr>
      </w:pPr>
    </w:p>
    <w:p w14:paraId="25E40F7B" w14:textId="77777777" w:rsidR="00842D3D" w:rsidRPr="00842D3D" w:rsidRDefault="00842D3D" w:rsidP="00842D3D">
      <w:pPr>
        <w:widowControl w:val="0"/>
        <w:autoSpaceDE w:val="0"/>
        <w:autoSpaceDN w:val="0"/>
        <w:ind w:firstLine="720"/>
        <w:jc w:val="both"/>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7"/>
          <w:w w:val="105"/>
          <w:szCs w:val="24"/>
        </w:rPr>
        <w:t xml:space="preserve"> </w:t>
      </w:r>
      <w:r w:rsidRPr="00842D3D">
        <w:rPr>
          <w:rFonts w:eastAsia="Times New Roman" w:cs="Times New Roman"/>
          <w:w w:val="105"/>
          <w:szCs w:val="24"/>
        </w:rPr>
        <w:t>may</w:t>
      </w:r>
      <w:r w:rsidRPr="00842D3D">
        <w:rPr>
          <w:rFonts w:eastAsia="Times New Roman" w:cs="Times New Roman"/>
          <w:spacing w:val="-15"/>
          <w:w w:val="105"/>
          <w:szCs w:val="24"/>
        </w:rPr>
        <w:t xml:space="preserve"> </w:t>
      </w:r>
      <w:r w:rsidRPr="00842D3D">
        <w:rPr>
          <w:rFonts w:eastAsia="Times New Roman" w:cs="Times New Roman"/>
          <w:w w:val="105"/>
          <w:szCs w:val="24"/>
        </w:rPr>
        <w:t>make</w:t>
      </w:r>
      <w:r w:rsidRPr="00842D3D">
        <w:rPr>
          <w:rFonts w:eastAsia="Times New Roman" w:cs="Times New Roman"/>
          <w:spacing w:val="-15"/>
          <w:w w:val="105"/>
          <w:szCs w:val="24"/>
        </w:rPr>
        <w:t xml:space="preserve"> </w:t>
      </w:r>
      <w:r w:rsidRPr="00842D3D">
        <w:rPr>
          <w:rFonts w:eastAsia="Times New Roman" w:cs="Times New Roman"/>
          <w:w w:val="105"/>
          <w:szCs w:val="24"/>
        </w:rPr>
        <w:t>an</w:t>
      </w:r>
      <w:r w:rsidRPr="00842D3D">
        <w:rPr>
          <w:rFonts w:eastAsia="Times New Roman" w:cs="Times New Roman"/>
          <w:spacing w:val="-15"/>
          <w:w w:val="105"/>
          <w:szCs w:val="24"/>
        </w:rPr>
        <w:t xml:space="preserve"> </w:t>
      </w:r>
      <w:r w:rsidRPr="00842D3D">
        <w:rPr>
          <w:rFonts w:eastAsia="Times New Roman" w:cs="Times New Roman"/>
          <w:w w:val="105"/>
          <w:szCs w:val="24"/>
        </w:rPr>
        <w:t>award</w:t>
      </w:r>
      <w:r w:rsidRPr="00842D3D">
        <w:rPr>
          <w:rFonts w:eastAsia="Times New Roman" w:cs="Times New Roman"/>
          <w:spacing w:val="-15"/>
          <w:w w:val="105"/>
          <w:szCs w:val="24"/>
        </w:rPr>
        <w:t xml:space="preserve"> </w:t>
      </w:r>
      <w:r w:rsidRPr="00842D3D">
        <w:rPr>
          <w:rFonts w:eastAsia="Times New Roman" w:cs="Times New Roman"/>
          <w:w w:val="105"/>
          <w:szCs w:val="24"/>
        </w:rPr>
        <w:t>of</w:t>
      </w:r>
      <w:r w:rsidRPr="00842D3D">
        <w:rPr>
          <w:rFonts w:eastAsia="Times New Roman" w:cs="Times New Roman"/>
          <w:spacing w:val="-18"/>
          <w:w w:val="105"/>
          <w:szCs w:val="24"/>
        </w:rPr>
        <w:t xml:space="preserve"> </w:t>
      </w:r>
      <w:r w:rsidRPr="00842D3D">
        <w:rPr>
          <w:rFonts w:eastAsia="Times New Roman" w:cs="Times New Roman"/>
          <w:w w:val="105"/>
          <w:szCs w:val="24"/>
        </w:rPr>
        <w:t>the</w:t>
      </w:r>
      <w:r w:rsidRPr="00842D3D">
        <w:rPr>
          <w:rFonts w:eastAsia="Times New Roman" w:cs="Times New Roman"/>
          <w:spacing w:val="-17"/>
          <w:w w:val="105"/>
          <w:szCs w:val="24"/>
        </w:rPr>
        <w:t xml:space="preserve"> </w:t>
      </w:r>
      <w:r w:rsidRPr="00842D3D">
        <w:rPr>
          <w:rFonts w:eastAsia="Times New Roman" w:cs="Times New Roman"/>
          <w:w w:val="105"/>
          <w:szCs w:val="24"/>
        </w:rPr>
        <w:t>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6"/>
          <w:w w:val="105"/>
          <w:szCs w:val="24"/>
        </w:rPr>
        <w:t xml:space="preserve"> </w:t>
      </w:r>
      <w:r w:rsidRPr="00842D3D">
        <w:rPr>
          <w:rFonts w:eastAsia="Times New Roman" w:cs="Times New Roman"/>
          <w:w w:val="105"/>
          <w:szCs w:val="24"/>
        </w:rPr>
        <w:t>profits</w:t>
      </w:r>
      <w:r w:rsidRPr="00842D3D">
        <w:rPr>
          <w:rFonts w:eastAsia="Times New Roman" w:cs="Times New Roman"/>
          <w:spacing w:val="-16"/>
          <w:w w:val="105"/>
          <w:szCs w:val="24"/>
        </w:rPr>
        <w:t xml:space="preserve"> </w:t>
      </w:r>
      <w:r w:rsidRPr="00842D3D">
        <w:rPr>
          <w:rFonts w:eastAsia="Times New Roman" w:cs="Times New Roman"/>
          <w:w w:val="105"/>
          <w:szCs w:val="24"/>
        </w:rPr>
        <w:t>only</w:t>
      </w:r>
      <w:r w:rsidRPr="00842D3D">
        <w:rPr>
          <w:rFonts w:eastAsia="Times New Roman" w:cs="Times New Roman"/>
          <w:spacing w:val="-16"/>
          <w:w w:val="105"/>
          <w:szCs w:val="24"/>
        </w:rPr>
        <w:t xml:space="preserve"> </w:t>
      </w:r>
      <w:r w:rsidRPr="00842D3D">
        <w:rPr>
          <w:rFonts w:eastAsia="Times New Roman" w:cs="Times New Roman"/>
          <w:w w:val="105"/>
          <w:szCs w:val="24"/>
        </w:rPr>
        <w:t>if</w:t>
      </w:r>
      <w:r w:rsidRPr="00842D3D">
        <w:rPr>
          <w:rFonts w:eastAsia="Times New Roman" w:cs="Times New Roman"/>
          <w:spacing w:val="-17"/>
          <w:w w:val="105"/>
          <w:szCs w:val="24"/>
        </w:rPr>
        <w:t xml:space="preserve"> </w:t>
      </w:r>
      <w:r w:rsidRPr="00842D3D">
        <w:rPr>
          <w:rFonts w:eastAsia="Times New Roman" w:cs="Times New Roman"/>
          <w:w w:val="105"/>
          <w:szCs w:val="24"/>
        </w:rPr>
        <w:t>you</w:t>
      </w:r>
      <w:r w:rsidRPr="00842D3D">
        <w:rPr>
          <w:rFonts w:eastAsia="Times New Roman" w:cs="Times New Roman"/>
          <w:spacing w:val="-16"/>
          <w:w w:val="105"/>
          <w:szCs w:val="24"/>
        </w:rPr>
        <w:t xml:space="preserve"> </w:t>
      </w:r>
      <w:r w:rsidRPr="00842D3D">
        <w:rPr>
          <w:rFonts w:eastAsia="Times New Roman" w:cs="Times New Roman"/>
          <w:w w:val="105"/>
          <w:szCs w:val="24"/>
        </w:rPr>
        <w:t>find</w:t>
      </w:r>
      <w:r w:rsidRPr="00842D3D">
        <w:rPr>
          <w:rFonts w:eastAsia="Times New Roman" w:cs="Times New Roman"/>
          <w:spacing w:val="-16"/>
          <w:w w:val="105"/>
          <w:szCs w:val="24"/>
        </w:rPr>
        <w:t xml:space="preserve"> </w:t>
      </w:r>
      <w:r w:rsidRPr="00842D3D">
        <w:rPr>
          <w:rFonts w:eastAsia="Times New Roman" w:cs="Times New Roman"/>
          <w:w w:val="105"/>
          <w:szCs w:val="24"/>
        </w:rPr>
        <w:t>that</w:t>
      </w:r>
      <w:r w:rsidRPr="00842D3D">
        <w:rPr>
          <w:rFonts w:eastAsia="Times New Roman" w:cs="Times New Roman"/>
          <w:spacing w:val="-19"/>
          <w:w w:val="105"/>
          <w:szCs w:val="24"/>
        </w:rPr>
        <w:t xml:space="preserve"> </w:t>
      </w:r>
      <w:r w:rsidRPr="00842D3D">
        <w:rPr>
          <w:rFonts w:eastAsia="Times New Roman" w:cs="Times New Roman"/>
          <w:w w:val="105"/>
          <w:szCs w:val="24"/>
        </w:rPr>
        <w:t xml:space="preserve">the </w:t>
      </w:r>
      <w:r w:rsidRPr="00842D3D">
        <w:rPr>
          <w:rFonts w:eastAsia="Times New Roman" w:cs="Times New Roman"/>
          <w:szCs w:val="24"/>
        </w:rPr>
        <w:t xml:space="preserve">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showed a causal [relationship] [nexus] between the infringement and the [profits</w:t>
      </w:r>
      <w:r w:rsidRPr="00842D3D">
        <w:rPr>
          <w:rFonts w:eastAsia="Times New Roman" w:cs="Times New Roman"/>
          <w:spacing w:val="21"/>
          <w:szCs w:val="24"/>
        </w:rPr>
        <w:t xml:space="preserve"> </w:t>
      </w:r>
      <w:r w:rsidRPr="00842D3D">
        <w:rPr>
          <w:rFonts w:eastAsia="Times New Roman" w:cs="Times New Roman"/>
          <w:szCs w:val="24"/>
        </w:rPr>
        <w:t>generated</w:t>
      </w:r>
      <w:r w:rsidRPr="00842D3D">
        <w:rPr>
          <w:rFonts w:eastAsia="Times New Roman" w:cs="Times New Roman"/>
          <w:spacing w:val="29"/>
          <w:szCs w:val="24"/>
        </w:rPr>
        <w:t xml:space="preserve"> </w:t>
      </w:r>
      <w:r w:rsidRPr="00842D3D">
        <w:rPr>
          <w:rFonts w:eastAsia="Times New Roman" w:cs="Times New Roman"/>
          <w:szCs w:val="24"/>
        </w:rPr>
        <w:t>indirectly</w:t>
      </w:r>
      <w:r w:rsidRPr="00842D3D">
        <w:rPr>
          <w:rFonts w:eastAsia="Times New Roman" w:cs="Times New Roman"/>
          <w:spacing w:val="28"/>
          <w:szCs w:val="24"/>
        </w:rPr>
        <w:t xml:space="preserve"> </w:t>
      </w:r>
      <w:r w:rsidRPr="00842D3D">
        <w:rPr>
          <w:rFonts w:eastAsia="Times New Roman" w:cs="Times New Roman"/>
          <w:szCs w:val="24"/>
        </w:rPr>
        <w:t>from</w:t>
      </w:r>
      <w:r w:rsidRPr="00842D3D">
        <w:rPr>
          <w:rFonts w:eastAsia="Times New Roman" w:cs="Times New Roman"/>
          <w:spacing w:val="29"/>
          <w:szCs w:val="24"/>
        </w:rPr>
        <w:t xml:space="preserve"> </w:t>
      </w:r>
      <w:r w:rsidRPr="00842D3D">
        <w:rPr>
          <w:rFonts w:eastAsia="Times New Roman" w:cs="Times New Roman"/>
          <w:szCs w:val="24"/>
        </w:rPr>
        <w:t>the</w:t>
      </w:r>
      <w:r w:rsidRPr="00842D3D">
        <w:rPr>
          <w:rFonts w:eastAsia="Times New Roman" w:cs="Times New Roman"/>
          <w:spacing w:val="28"/>
          <w:szCs w:val="24"/>
        </w:rPr>
        <w:t xml:space="preserve"> </w:t>
      </w:r>
      <w:r w:rsidRPr="00842D3D">
        <w:rPr>
          <w:rFonts w:eastAsia="Times New Roman" w:cs="Times New Roman"/>
          <w:szCs w:val="24"/>
        </w:rPr>
        <w:t>infringement]</w:t>
      </w:r>
      <w:r w:rsidRPr="00842D3D">
        <w:rPr>
          <w:rFonts w:eastAsia="Times New Roman" w:cs="Times New Roman"/>
          <w:spacing w:val="29"/>
          <w:szCs w:val="24"/>
        </w:rPr>
        <w:t xml:space="preserve"> </w:t>
      </w:r>
      <w:r w:rsidRPr="00842D3D">
        <w:rPr>
          <w:rFonts w:eastAsia="Times New Roman" w:cs="Times New Roman"/>
          <w:szCs w:val="24"/>
        </w:rPr>
        <w:t>[defendant’s</w:t>
      </w:r>
      <w:r w:rsidRPr="00842D3D">
        <w:rPr>
          <w:rFonts w:eastAsia="Times New Roman" w:cs="Times New Roman"/>
          <w:spacing w:val="29"/>
          <w:szCs w:val="24"/>
        </w:rPr>
        <w:t xml:space="preserve"> </w:t>
      </w:r>
      <w:r w:rsidRPr="00842D3D">
        <w:rPr>
          <w:rFonts w:eastAsia="Times New Roman" w:cs="Times New Roman"/>
          <w:szCs w:val="24"/>
        </w:rPr>
        <w:t>gross</w:t>
      </w:r>
      <w:r w:rsidRPr="00842D3D">
        <w:rPr>
          <w:rFonts w:eastAsia="Times New Roman" w:cs="Times New Roman"/>
          <w:spacing w:val="29"/>
          <w:szCs w:val="24"/>
        </w:rPr>
        <w:t xml:space="preserve"> </w:t>
      </w:r>
      <w:r w:rsidRPr="00842D3D">
        <w:rPr>
          <w:rFonts w:eastAsia="Times New Roman" w:cs="Times New Roman"/>
          <w:spacing w:val="-2"/>
          <w:szCs w:val="24"/>
        </w:rPr>
        <w:t>revenue].</w:t>
      </w:r>
    </w:p>
    <w:p w14:paraId="3932AC8A" w14:textId="77777777" w:rsidR="00842D3D" w:rsidRPr="00842D3D" w:rsidRDefault="00842D3D" w:rsidP="00842D3D">
      <w:pPr>
        <w:widowControl w:val="0"/>
        <w:autoSpaceDE w:val="0"/>
        <w:autoSpaceDN w:val="0"/>
        <w:rPr>
          <w:rFonts w:eastAsia="Times New Roman" w:cs="Times New Roman"/>
          <w:szCs w:val="24"/>
        </w:rPr>
      </w:pPr>
    </w:p>
    <w:p w14:paraId="6811EF37"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The</w:t>
      </w:r>
      <w:r w:rsidRPr="00842D3D">
        <w:rPr>
          <w:rFonts w:eastAsia="Times New Roman" w:cs="Times New Roman"/>
          <w:spacing w:val="-14"/>
          <w:w w:val="105"/>
          <w:szCs w:val="24"/>
        </w:rPr>
        <w:t xml:space="preserve"> </w:t>
      </w:r>
      <w:r w:rsidRPr="00842D3D">
        <w:rPr>
          <w:rFonts w:eastAsia="Times New Roman" w:cs="Times New Roman"/>
          <w:w w:val="105"/>
          <w:szCs w:val="24"/>
        </w:rPr>
        <w:t xml:space="preserve">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3"/>
          <w:w w:val="105"/>
          <w:szCs w:val="24"/>
        </w:rPr>
        <w:t xml:space="preserve"> </w:t>
      </w:r>
      <w:r w:rsidRPr="00842D3D">
        <w:rPr>
          <w:rFonts w:eastAsia="Times New Roman" w:cs="Times New Roman"/>
          <w:w w:val="105"/>
          <w:szCs w:val="24"/>
        </w:rPr>
        <w:t>profit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determined</w:t>
      </w:r>
      <w:r w:rsidRPr="00842D3D">
        <w:rPr>
          <w:rFonts w:eastAsia="Times New Roman" w:cs="Times New Roman"/>
          <w:spacing w:val="-11"/>
          <w:w w:val="105"/>
          <w:szCs w:val="24"/>
        </w:rPr>
        <w:t xml:space="preserve"> </w:t>
      </w:r>
      <w:r w:rsidRPr="00842D3D">
        <w:rPr>
          <w:rFonts w:eastAsia="Times New Roman" w:cs="Times New Roman"/>
          <w:w w:val="105"/>
          <w:szCs w:val="24"/>
        </w:rPr>
        <w:t>by</w:t>
      </w:r>
      <w:r w:rsidRPr="00842D3D">
        <w:rPr>
          <w:rFonts w:eastAsia="Times New Roman" w:cs="Times New Roman"/>
          <w:spacing w:val="-10"/>
          <w:w w:val="105"/>
          <w:szCs w:val="24"/>
        </w:rPr>
        <w:t xml:space="preserve"> </w:t>
      </w:r>
      <w:r w:rsidRPr="00842D3D">
        <w:rPr>
          <w:rFonts w:eastAsia="Times New Roman" w:cs="Times New Roman"/>
          <w:w w:val="105"/>
          <w:szCs w:val="24"/>
        </w:rPr>
        <w:t>[deducting]</w:t>
      </w:r>
      <w:r w:rsidRPr="00842D3D">
        <w:rPr>
          <w:rFonts w:eastAsia="Times New Roman" w:cs="Times New Roman"/>
          <w:spacing w:val="-13"/>
          <w:w w:val="105"/>
          <w:szCs w:val="24"/>
        </w:rPr>
        <w:t xml:space="preserve"> </w:t>
      </w:r>
      <w:r w:rsidRPr="00842D3D">
        <w:rPr>
          <w:rFonts w:eastAsia="Times New Roman" w:cs="Times New Roman"/>
          <w:w w:val="105"/>
          <w:szCs w:val="24"/>
        </w:rPr>
        <w:t>[subtracting]</w:t>
      </w:r>
      <w:r w:rsidRPr="00842D3D">
        <w:rPr>
          <w:rFonts w:eastAsia="Times New Roman" w:cs="Times New Roman"/>
          <w:spacing w:val="-13"/>
          <w:w w:val="105"/>
          <w:szCs w:val="24"/>
        </w:rPr>
        <w:t xml:space="preserve"> </w:t>
      </w:r>
      <w:r w:rsidRPr="00842D3D">
        <w:rPr>
          <w:rFonts w:eastAsia="Times New Roman" w:cs="Times New Roman"/>
          <w:w w:val="105"/>
          <w:szCs w:val="24"/>
        </w:rPr>
        <w:t>all expenses from the defendant’s gross revenue.</w:t>
      </w:r>
    </w:p>
    <w:p w14:paraId="1312FCF5" w14:textId="77777777" w:rsidR="00842D3D" w:rsidRPr="00842D3D" w:rsidRDefault="00842D3D" w:rsidP="00842D3D">
      <w:pPr>
        <w:widowControl w:val="0"/>
        <w:autoSpaceDE w:val="0"/>
        <w:autoSpaceDN w:val="0"/>
        <w:ind w:firstLine="720"/>
        <w:rPr>
          <w:rFonts w:eastAsia="Times New Roman" w:cs="Times New Roman"/>
          <w:szCs w:val="24"/>
        </w:rPr>
      </w:pPr>
    </w:p>
    <w:p w14:paraId="5A7EECA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is all of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receipts from the [use]</w:t>
      </w:r>
      <w:r w:rsidRPr="00842D3D">
        <w:rPr>
          <w:rFonts w:eastAsia="Times New Roman" w:cs="Times New Roman"/>
          <w:spacing w:val="-8"/>
          <w:w w:val="105"/>
          <w:szCs w:val="24"/>
        </w:rPr>
        <w:t xml:space="preserve"> </w:t>
      </w:r>
      <w:r w:rsidRPr="00842D3D">
        <w:rPr>
          <w:rFonts w:eastAsia="Times New Roman" w:cs="Times New Roman"/>
          <w:w w:val="105"/>
          <w:szCs w:val="24"/>
        </w:rPr>
        <w:t>[sale]</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1"/>
          <w:w w:val="105"/>
          <w:szCs w:val="24"/>
        </w:rPr>
        <w:t xml:space="preserve"> </w:t>
      </w:r>
      <w:r w:rsidRPr="00842D3D">
        <w:rPr>
          <w:rFonts w:eastAsia="Times New Roman" w:cs="Times New Roman"/>
          <w:w w:val="105"/>
          <w:szCs w:val="24"/>
        </w:rPr>
        <w:t>[[product] [work]] [[containing or using the</w:t>
      </w:r>
      <w:r w:rsidRPr="00842D3D">
        <w:rPr>
          <w:rFonts w:eastAsia="Times New Roman" w:cs="Times New Roman"/>
          <w:spacing w:val="-1"/>
          <w:w w:val="105"/>
          <w:szCs w:val="24"/>
        </w:rPr>
        <w:t xml:space="preserve"> </w:t>
      </w:r>
      <w:r w:rsidRPr="00842D3D">
        <w:rPr>
          <w:rFonts w:eastAsia="Times New Roman" w:cs="Times New Roman"/>
          <w:w w:val="105"/>
          <w:szCs w:val="24"/>
        </w:rPr>
        <w:t>copyrighted work] [associated</w:t>
      </w:r>
      <w:r w:rsidRPr="00842D3D">
        <w:rPr>
          <w:rFonts w:eastAsia="Times New Roman" w:cs="Times New Roman"/>
          <w:spacing w:val="-4"/>
          <w:w w:val="105"/>
          <w:szCs w:val="24"/>
        </w:rPr>
        <w:t xml:space="preserve"> </w:t>
      </w:r>
      <w:r w:rsidRPr="00842D3D">
        <w:rPr>
          <w:rFonts w:eastAsia="Times New Roman" w:cs="Times New Roman"/>
          <w:w w:val="105"/>
          <w:szCs w:val="24"/>
        </w:rPr>
        <w:t>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burden</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proving</w:t>
      </w:r>
      <w:r w:rsidRPr="00842D3D">
        <w:rPr>
          <w:rFonts w:eastAsia="Times New Roman" w:cs="Times New Roman"/>
          <w:spacing w:val="-4"/>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by a preponderance of the evidence.</w:t>
      </w:r>
    </w:p>
    <w:p w14:paraId="524A0F4C" w14:textId="77777777" w:rsidR="00842D3D" w:rsidRPr="00842D3D" w:rsidRDefault="00842D3D" w:rsidP="00842D3D">
      <w:pPr>
        <w:widowControl w:val="0"/>
        <w:autoSpaceDE w:val="0"/>
        <w:autoSpaceDN w:val="0"/>
        <w:rPr>
          <w:rFonts w:eastAsia="Times New Roman" w:cs="Times New Roman"/>
          <w:szCs w:val="24"/>
        </w:rPr>
      </w:pPr>
    </w:p>
    <w:p w14:paraId="7E39B2C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Expenses</w:t>
      </w:r>
      <w:r w:rsidRPr="00842D3D">
        <w:rPr>
          <w:rFonts w:eastAsia="Times New Roman" w:cs="Times New Roman"/>
          <w:spacing w:val="-12"/>
          <w:w w:val="105"/>
          <w:szCs w:val="24"/>
        </w:rPr>
        <w:t xml:space="preserve"> </w:t>
      </w:r>
      <w:r w:rsidRPr="00842D3D">
        <w:rPr>
          <w:rFonts w:eastAsia="Times New Roman" w:cs="Times New Roman"/>
          <w:w w:val="105"/>
          <w:szCs w:val="24"/>
        </w:rPr>
        <w:t>are</w:t>
      </w:r>
      <w:r w:rsidRPr="00842D3D">
        <w:rPr>
          <w:rFonts w:eastAsia="Times New Roman" w:cs="Times New Roman"/>
          <w:spacing w:val="-13"/>
          <w:w w:val="105"/>
          <w:szCs w:val="24"/>
        </w:rPr>
        <w:t xml:space="preserve"> </w:t>
      </w:r>
      <w:r w:rsidRPr="00842D3D">
        <w:rPr>
          <w:rFonts w:eastAsia="Times New Roman" w:cs="Times New Roman"/>
          <w:w w:val="105"/>
          <w:szCs w:val="24"/>
        </w:rPr>
        <w:t>all</w:t>
      </w:r>
      <w:r w:rsidRPr="00842D3D">
        <w:rPr>
          <w:rFonts w:eastAsia="Times New Roman" w:cs="Times New Roman"/>
          <w:spacing w:val="-17"/>
          <w:w w:val="105"/>
          <w:szCs w:val="24"/>
        </w:rPr>
        <w:t xml:space="preserve"> </w:t>
      </w:r>
      <w:r w:rsidRPr="00842D3D">
        <w:rPr>
          <w:rFonts w:eastAsia="Times New Roman" w:cs="Times New Roman"/>
          <w:w w:val="105"/>
          <w:szCs w:val="24"/>
        </w:rPr>
        <w:t>[operating</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[overhead</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[and]</w:t>
      </w:r>
      <w:r w:rsidRPr="00842D3D">
        <w:rPr>
          <w:rFonts w:eastAsia="Times New Roman" w:cs="Times New Roman"/>
          <w:spacing w:val="-15"/>
          <w:w w:val="105"/>
          <w:szCs w:val="24"/>
        </w:rPr>
        <w:t xml:space="preserve"> </w:t>
      </w:r>
      <w:r w:rsidRPr="00842D3D">
        <w:rPr>
          <w:rFonts w:eastAsia="Times New Roman" w:cs="Times New Roman"/>
          <w:w w:val="105"/>
          <w:szCs w:val="24"/>
        </w:rPr>
        <w:t>production</w:t>
      </w:r>
      <w:r w:rsidRPr="00842D3D">
        <w:rPr>
          <w:rFonts w:eastAsia="Times New Roman" w:cs="Times New Roman"/>
          <w:spacing w:val="-12"/>
          <w:w w:val="105"/>
          <w:szCs w:val="24"/>
        </w:rPr>
        <w:t xml:space="preserve"> </w:t>
      </w:r>
      <w:r w:rsidRPr="00842D3D">
        <w:rPr>
          <w:rFonts w:eastAsia="Times New Roman" w:cs="Times New Roman"/>
          <w:w w:val="105"/>
          <w:szCs w:val="24"/>
        </w:rPr>
        <w:t xml:space="preserve">costs incurred in producing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w:t>
      </w:r>
      <w:r w:rsidRPr="00842D3D">
        <w:rPr>
          <w:rFonts w:eastAsia="Times New Roman" w:cs="Times New Roman"/>
          <w:spacing w:val="40"/>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 xml:space="preserve">has the burden of proving the defendant’s expenses by a preponderance of the </w:t>
      </w:r>
      <w:r w:rsidRPr="00842D3D">
        <w:rPr>
          <w:rFonts w:eastAsia="Times New Roman" w:cs="Times New Roman"/>
          <w:spacing w:val="-2"/>
          <w:w w:val="105"/>
          <w:szCs w:val="24"/>
        </w:rPr>
        <w:t>evidence.</w:t>
      </w:r>
    </w:p>
    <w:p w14:paraId="068C1972" w14:textId="77777777" w:rsidR="00842D3D" w:rsidRPr="00842D3D" w:rsidRDefault="00842D3D" w:rsidP="00842D3D">
      <w:pPr>
        <w:widowControl w:val="0"/>
        <w:autoSpaceDE w:val="0"/>
        <w:autoSpaceDN w:val="0"/>
        <w:rPr>
          <w:rFonts w:eastAsia="Times New Roman" w:cs="Times New Roman"/>
          <w:szCs w:val="24"/>
        </w:rPr>
      </w:pPr>
    </w:p>
    <w:p w14:paraId="47B8D0DA"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Unless you find that a portion of the profit from the [use] [sale] of a [product]</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5"/>
          <w:w w:val="105"/>
          <w:szCs w:val="24"/>
        </w:rPr>
        <w:t xml:space="preserve"> </w:t>
      </w:r>
      <w:r w:rsidRPr="00842D3D">
        <w:rPr>
          <w:rFonts w:eastAsia="Times New Roman" w:cs="Times New Roman"/>
          <w:w w:val="105"/>
          <w:szCs w:val="24"/>
        </w:rPr>
        <w:t>containing</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5"/>
          <w:w w:val="105"/>
          <w:szCs w:val="24"/>
        </w:rPr>
        <w:t xml:space="preserve"> </w:t>
      </w:r>
      <w:r w:rsidRPr="00842D3D">
        <w:rPr>
          <w:rFonts w:eastAsia="Times New Roman" w:cs="Times New Roman"/>
          <w:w w:val="105"/>
          <w:szCs w:val="24"/>
        </w:rPr>
        <w:t>using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copyrighted</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attributable</w:t>
      </w:r>
      <w:r w:rsidRPr="00842D3D">
        <w:rPr>
          <w:rFonts w:eastAsia="Times New Roman" w:cs="Times New Roman"/>
          <w:spacing w:val="-6"/>
          <w:w w:val="105"/>
          <w:szCs w:val="24"/>
        </w:rPr>
        <w:t xml:space="preserve"> </w:t>
      </w:r>
      <w:r w:rsidRPr="00842D3D">
        <w:rPr>
          <w:rFonts w:eastAsia="Times New Roman" w:cs="Times New Roman"/>
          <w:w w:val="105"/>
          <w:szCs w:val="24"/>
        </w:rPr>
        <w:t>to factors other than use of the copyrighted work, all of the profit is to be attributed to the infringement.</w:t>
      </w:r>
      <w:r w:rsidRPr="00842D3D">
        <w:rPr>
          <w:rFonts w:eastAsia="Times New Roman" w:cs="Times New Roman"/>
          <w:spacing w:val="39"/>
          <w:w w:val="105"/>
          <w:szCs w:val="24"/>
        </w:rPr>
        <w:t xml:space="preserve"> </w:t>
      </w:r>
      <w:r w:rsidRPr="00842D3D">
        <w:rPr>
          <w:rFonts w:eastAsia="Times New Roman" w:cs="Times New Roman"/>
          <w:w w:val="105"/>
          <w:szCs w:val="24"/>
        </w:rPr>
        <w:t>The defendant</w:t>
      </w:r>
      <w:r w:rsidRPr="00842D3D">
        <w:rPr>
          <w:rFonts w:eastAsia="Times New Roman" w:cs="Times New Roman"/>
          <w:spacing w:val="-1"/>
          <w:w w:val="105"/>
          <w:szCs w:val="24"/>
        </w:rPr>
        <w:t xml:space="preserve"> </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 the</w:t>
      </w:r>
      <w:r w:rsidRPr="00842D3D">
        <w:rPr>
          <w:rFonts w:eastAsia="Times New Roman" w:cs="Times New Roman"/>
          <w:spacing w:val="-1"/>
          <w:w w:val="105"/>
          <w:szCs w:val="24"/>
        </w:rPr>
        <w:t xml:space="preserve"> </w:t>
      </w:r>
      <w:r w:rsidRPr="00842D3D">
        <w:rPr>
          <w:rFonts w:eastAsia="Times New Roman" w:cs="Times New Roman"/>
          <w:w w:val="105"/>
          <w:szCs w:val="24"/>
        </w:rPr>
        <w:t>burden</w:t>
      </w:r>
      <w:r w:rsidRPr="00842D3D">
        <w:rPr>
          <w:rFonts w:eastAsia="Times New Roman" w:cs="Times New Roman"/>
          <w:spacing w:val="-6"/>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proving</w:t>
      </w:r>
      <w:r w:rsidRPr="00842D3D">
        <w:rPr>
          <w:rFonts w:eastAsia="Times New Roman" w:cs="Times New Roman"/>
          <w:spacing w:val="-6"/>
          <w:w w:val="105"/>
          <w:szCs w:val="24"/>
        </w:rPr>
        <w:t xml:space="preserve"> </w:t>
      </w:r>
      <w:r w:rsidRPr="00842D3D">
        <w:rPr>
          <w:rFonts w:eastAsia="Times New Roman" w:cs="Times New Roman"/>
          <w:w w:val="105"/>
          <w:szCs w:val="24"/>
        </w:rPr>
        <w:t>the [portion] [percentage] of the profit,</w:t>
      </w:r>
      <w:r w:rsidRPr="00842D3D">
        <w:rPr>
          <w:rFonts w:eastAsia="Times New Roman" w:cs="Times New Roman"/>
          <w:spacing w:val="-1"/>
          <w:w w:val="105"/>
          <w:szCs w:val="24"/>
        </w:rPr>
        <w:t xml:space="preserve"> </w:t>
      </w:r>
      <w:r w:rsidRPr="00842D3D">
        <w:rPr>
          <w:rFonts w:eastAsia="Times New Roman" w:cs="Times New Roman"/>
          <w:w w:val="105"/>
          <w:szCs w:val="24"/>
        </w:rPr>
        <w:t>if any, attributable to factors other than [copying] [infringing] the copyrighted work.</w:t>
      </w:r>
    </w:p>
    <w:p w14:paraId="18311C01" w14:textId="77777777" w:rsidR="00842D3D" w:rsidRPr="00842D3D" w:rsidRDefault="00842D3D" w:rsidP="00842D3D">
      <w:pPr>
        <w:widowControl w:val="0"/>
        <w:autoSpaceDE w:val="0"/>
        <w:autoSpaceDN w:val="0"/>
        <w:rPr>
          <w:rFonts w:eastAsia="Times New Roman" w:cs="Times New Roman"/>
          <w:b/>
          <w:bCs/>
          <w:szCs w:val="24"/>
        </w:rPr>
      </w:pPr>
    </w:p>
    <w:p w14:paraId="2F0C1FEA"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7F312DC5" w14:textId="77777777" w:rsidR="00842D3D" w:rsidRPr="00842D3D" w:rsidRDefault="00842D3D" w:rsidP="00842D3D">
      <w:pPr>
        <w:widowControl w:val="0"/>
        <w:autoSpaceDE w:val="0"/>
        <w:autoSpaceDN w:val="0"/>
        <w:rPr>
          <w:rFonts w:eastAsia="Times New Roman" w:cs="Times New Roman"/>
          <w:b/>
          <w:szCs w:val="24"/>
        </w:rPr>
      </w:pPr>
    </w:p>
    <w:p w14:paraId="1CB5CFA3"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 a multi-defendant case, this instruction may need to be tailored according to the defendant to whom it applies.</w:t>
      </w:r>
      <w:r w:rsidRPr="00842D3D">
        <w:rPr>
          <w:rFonts w:eastAsia="Times New Roman" w:cs="Times New Roman"/>
          <w:spacing w:val="40"/>
          <w:w w:val="105"/>
          <w:szCs w:val="24"/>
        </w:rPr>
        <w:t xml:space="preserve"> </w:t>
      </w:r>
      <w:r w:rsidRPr="00842D3D">
        <w:rPr>
          <w:rFonts w:eastAsia="Times New Roman" w:cs="Times New Roman"/>
          <w:w w:val="105"/>
          <w:szCs w:val="24"/>
        </w:rPr>
        <w:t>Where there are multiple infringers</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5"/>
          <w:w w:val="105"/>
          <w:szCs w:val="24"/>
        </w:rPr>
        <w:t xml:space="preserve"> </w:t>
      </w:r>
      <w:r w:rsidRPr="00842D3D">
        <w:rPr>
          <w:rFonts w:eastAsia="Times New Roman" w:cs="Times New Roman"/>
          <w:w w:val="105"/>
          <w:szCs w:val="24"/>
        </w:rPr>
        <w:t>all</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5"/>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jointly</w:t>
      </w:r>
      <w:r w:rsidRPr="00842D3D">
        <w:rPr>
          <w:rFonts w:eastAsia="Times New Roman" w:cs="Times New Roman"/>
          <w:spacing w:val="-7"/>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severally</w:t>
      </w:r>
      <w:r w:rsidRPr="00842D3D">
        <w:rPr>
          <w:rFonts w:eastAsia="Times New Roman" w:cs="Times New Roman"/>
          <w:spacing w:val="-9"/>
          <w:w w:val="105"/>
          <w:szCs w:val="24"/>
        </w:rPr>
        <w:t xml:space="preserve"> </w:t>
      </w:r>
      <w:r w:rsidRPr="00842D3D">
        <w:rPr>
          <w:rFonts w:eastAsia="Times New Roman" w:cs="Times New Roman"/>
          <w:w w:val="105"/>
          <w:szCs w:val="24"/>
        </w:rPr>
        <w:t>liable</w:t>
      </w:r>
      <w:r w:rsidRPr="00842D3D">
        <w:rPr>
          <w:rFonts w:eastAsia="Times New Roman" w:cs="Times New Roman"/>
          <w:spacing w:val="-9"/>
          <w:w w:val="105"/>
          <w:szCs w:val="24"/>
        </w:rPr>
        <w:t xml:space="preserve"> </w:t>
      </w:r>
      <w:r w:rsidRPr="00842D3D">
        <w:rPr>
          <w:rFonts w:eastAsia="Times New Roman" w:cs="Times New Roman"/>
          <w:w w:val="105"/>
          <w:szCs w:val="24"/>
        </w:rPr>
        <w:t>for</w:t>
      </w:r>
      <w:r w:rsidRPr="00842D3D">
        <w:rPr>
          <w:rFonts w:eastAsia="Times New Roman" w:cs="Times New Roman"/>
          <w:spacing w:val="-11"/>
          <w:w w:val="105"/>
          <w:szCs w:val="24"/>
        </w:rPr>
        <w:t xml:space="preserve"> </w:t>
      </w:r>
      <w:r w:rsidRPr="00842D3D">
        <w:rPr>
          <w:rFonts w:eastAsia="Times New Roman" w:cs="Times New Roman"/>
          <w:w w:val="105"/>
          <w:szCs w:val="24"/>
        </w:rPr>
        <w:t>the plaintiff’s actual damages, but each defendant is severally liable for the defendant’s</w:t>
      </w:r>
      <w:r w:rsidRPr="00842D3D">
        <w:rPr>
          <w:rFonts w:eastAsia="Times New Roman" w:cs="Times New Roman"/>
          <w:spacing w:val="-10"/>
          <w:w w:val="105"/>
          <w:szCs w:val="24"/>
        </w:rPr>
        <w:t xml:space="preserve"> </w:t>
      </w:r>
      <w:r w:rsidRPr="00842D3D">
        <w:rPr>
          <w:rFonts w:eastAsia="Times New Roman" w:cs="Times New Roman"/>
          <w:w w:val="105"/>
          <w:szCs w:val="24"/>
        </w:rPr>
        <w:t>own</w:t>
      </w:r>
      <w:r w:rsidRPr="00842D3D">
        <w:rPr>
          <w:rFonts w:eastAsia="Times New Roman" w:cs="Times New Roman"/>
          <w:spacing w:val="-10"/>
          <w:w w:val="105"/>
          <w:szCs w:val="24"/>
        </w:rPr>
        <w:t xml:space="preserve"> </w:t>
      </w:r>
      <w:r w:rsidRPr="00842D3D">
        <w:rPr>
          <w:rFonts w:eastAsia="Times New Roman" w:cs="Times New Roman"/>
          <w:w w:val="105"/>
          <w:szCs w:val="24"/>
        </w:rPr>
        <w:t>illegal</w:t>
      </w:r>
      <w:r w:rsidRPr="00842D3D">
        <w:rPr>
          <w:rFonts w:eastAsia="Times New Roman" w:cs="Times New Roman"/>
          <w:spacing w:val="-13"/>
          <w:w w:val="105"/>
          <w:szCs w:val="24"/>
        </w:rPr>
        <w:t xml:space="preserve"> </w:t>
      </w:r>
      <w:r w:rsidRPr="00842D3D">
        <w:rPr>
          <w:rFonts w:eastAsia="Times New Roman" w:cs="Times New Roman"/>
          <w:w w:val="105"/>
          <w:szCs w:val="24"/>
        </w:rPr>
        <w:t>profits.</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Frank</w:t>
      </w:r>
      <w:r w:rsidRPr="00842D3D">
        <w:rPr>
          <w:rFonts w:eastAsia="Times New Roman" w:cs="Times New Roman"/>
          <w:i/>
          <w:spacing w:val="-11"/>
          <w:w w:val="105"/>
          <w:szCs w:val="24"/>
        </w:rPr>
        <w:t xml:space="preserve"> </w:t>
      </w:r>
      <w:r w:rsidRPr="00842D3D">
        <w:rPr>
          <w:rFonts w:eastAsia="Times New Roman" w:cs="Times New Roman"/>
          <w:i/>
          <w:w w:val="105"/>
          <w:szCs w:val="24"/>
        </w:rPr>
        <w:t>Music</w:t>
      </w:r>
      <w:r w:rsidRPr="00842D3D">
        <w:rPr>
          <w:rFonts w:eastAsia="Times New Roman" w:cs="Times New Roman"/>
          <w:i/>
          <w:spacing w:val="-11"/>
          <w:w w:val="105"/>
          <w:szCs w:val="24"/>
        </w:rPr>
        <w:t xml:space="preserve"> </w:t>
      </w:r>
      <w:r w:rsidRPr="00842D3D">
        <w:rPr>
          <w:rFonts w:eastAsia="Times New Roman" w:cs="Times New Roman"/>
          <w:i/>
          <w:w w:val="105"/>
          <w:szCs w:val="24"/>
        </w:rPr>
        <w:t>Corp.</w:t>
      </w:r>
      <w:r w:rsidRPr="00842D3D">
        <w:rPr>
          <w:rFonts w:eastAsia="Times New Roman" w:cs="Times New Roman"/>
          <w:i/>
          <w:spacing w:val="-14"/>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Metro-Goldwyn-Mayer, Inc.</w:t>
      </w:r>
      <w:r w:rsidRPr="00842D3D">
        <w:rPr>
          <w:rFonts w:eastAsia="Times New Roman" w:cs="Times New Roman"/>
          <w:iCs/>
          <w:color w:val="EE0000"/>
          <w:w w:val="105"/>
          <w:szCs w:val="24"/>
        </w:rPr>
        <w:t xml:space="preserve"> </w:t>
      </w:r>
      <w:r w:rsidRPr="00842D3D">
        <w:rPr>
          <w:rFonts w:eastAsia="Times New Roman" w:cs="Times New Roman"/>
          <w:i/>
          <w:iCs/>
          <w:w w:val="105"/>
          <w:szCs w:val="24"/>
        </w:rPr>
        <w:t>(</w:t>
      </w:r>
      <w:r w:rsidRPr="00842D3D">
        <w:rPr>
          <w:rFonts w:eastAsia="Times New Roman" w:cs="Times New Roman"/>
          <w:i/>
          <w:w w:val="105"/>
          <w:szCs w:val="24"/>
        </w:rPr>
        <w:t>Frank Music I</w:t>
      </w:r>
      <w:r w:rsidRPr="00842D3D">
        <w:rPr>
          <w:rFonts w:eastAsia="Times New Roman" w:cs="Times New Roman"/>
          <w:i/>
          <w:iCs/>
          <w:w w:val="105"/>
          <w:szCs w:val="24"/>
        </w:rPr>
        <w:t>)</w:t>
      </w:r>
      <w:r w:rsidRPr="00842D3D">
        <w:rPr>
          <w:rFonts w:eastAsia="Times New Roman" w:cs="Times New Roman"/>
          <w:w w:val="105"/>
          <w:szCs w:val="24"/>
        </w:rPr>
        <w:t>, 772 F.2d 505, 519 (9th Cir. 1985) (citations</w:t>
      </w:r>
      <w:r w:rsidRPr="00842D3D">
        <w:rPr>
          <w:rFonts w:eastAsia="Times New Roman" w:cs="Times New Roman"/>
          <w:spacing w:val="-1"/>
          <w:w w:val="105"/>
          <w:szCs w:val="24"/>
        </w:rPr>
        <w:t xml:space="preserve"> </w:t>
      </w:r>
      <w:r w:rsidRPr="00842D3D">
        <w:rPr>
          <w:rFonts w:eastAsia="Times New Roman" w:cs="Times New Roman"/>
          <w:w w:val="105"/>
          <w:szCs w:val="24"/>
        </w:rPr>
        <w:t>omitted).</w:t>
      </w:r>
    </w:p>
    <w:p w14:paraId="05EB5771" w14:textId="77777777" w:rsidR="00842D3D" w:rsidRPr="00842D3D" w:rsidRDefault="00842D3D" w:rsidP="00842D3D">
      <w:pPr>
        <w:widowControl w:val="0"/>
        <w:autoSpaceDE w:val="0"/>
        <w:autoSpaceDN w:val="0"/>
        <w:rPr>
          <w:rFonts w:eastAsia="Times New Roman" w:cs="Times New Roman"/>
          <w:szCs w:val="24"/>
        </w:rPr>
      </w:pPr>
    </w:p>
    <w:p w14:paraId="30863882" w14:textId="77777777" w:rsidR="00842D3D" w:rsidRPr="00842D3D" w:rsidRDefault="00842D3D" w:rsidP="00842D3D">
      <w:pPr>
        <w:autoSpaceDE w:val="0"/>
        <w:autoSpaceDN w:val="0"/>
        <w:ind w:firstLine="720"/>
        <w:rPr>
          <w:rFonts w:eastAsia="Times New Roman" w:cs="Times New Roman"/>
          <w:szCs w:val="24"/>
        </w:rPr>
      </w:pPr>
      <w:r w:rsidRPr="00842D3D">
        <w:rPr>
          <w:rFonts w:eastAsia="Times New Roman" w:cs="Times New Roman"/>
          <w:w w:val="105"/>
          <w:szCs w:val="24"/>
        </w:rPr>
        <w:t>“In establishing the infringer’s profits, the copyright</w:t>
      </w:r>
      <w:r w:rsidRPr="00842D3D">
        <w:rPr>
          <w:rFonts w:eastAsia="Times New Roman" w:cs="Times New Roman"/>
          <w:spacing w:val="-1"/>
          <w:w w:val="105"/>
          <w:szCs w:val="24"/>
        </w:rPr>
        <w:t xml:space="preserve"> </w:t>
      </w:r>
      <w:r w:rsidRPr="00842D3D">
        <w:rPr>
          <w:rFonts w:eastAsia="Times New Roman" w:cs="Times New Roman"/>
          <w:w w:val="105"/>
          <w:szCs w:val="24"/>
        </w:rPr>
        <w:t>owner</w:t>
      </w:r>
      <w:r w:rsidRPr="00842D3D">
        <w:rPr>
          <w:rFonts w:eastAsia="Times New Roman" w:cs="Times New Roman"/>
          <w:spacing w:val="-1"/>
          <w:w w:val="105"/>
          <w:szCs w:val="24"/>
        </w:rPr>
        <w:t xml:space="preserve"> </w:t>
      </w:r>
      <w:r w:rsidRPr="00842D3D">
        <w:rPr>
          <w:rFonts w:eastAsia="Times New Roman" w:cs="Times New Roman"/>
          <w:w w:val="105"/>
          <w:szCs w:val="24"/>
        </w:rPr>
        <w:t>is</w:t>
      </w:r>
      <w:r w:rsidRPr="00842D3D">
        <w:rPr>
          <w:rFonts w:eastAsia="Times New Roman" w:cs="Times New Roman"/>
          <w:spacing w:val="-1"/>
          <w:w w:val="105"/>
          <w:szCs w:val="24"/>
        </w:rPr>
        <w:t xml:space="preserve"> </w:t>
      </w:r>
      <w:r w:rsidRPr="00842D3D">
        <w:rPr>
          <w:rFonts w:eastAsia="Times New Roman" w:cs="Times New Roman"/>
          <w:w w:val="105"/>
          <w:szCs w:val="24"/>
        </w:rPr>
        <w:t>required to present proof only</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gross</w:t>
      </w:r>
      <w:r w:rsidRPr="00842D3D">
        <w:rPr>
          <w:rFonts w:eastAsia="Times New Roman" w:cs="Times New Roman"/>
          <w:spacing w:val="-4"/>
          <w:w w:val="105"/>
          <w:szCs w:val="24"/>
        </w:rPr>
        <w:t xml:space="preserve"> </w:t>
      </w:r>
      <w:r w:rsidRPr="00842D3D">
        <w:rPr>
          <w:rFonts w:eastAsia="Times New Roman" w:cs="Times New Roman"/>
          <w:w w:val="105"/>
          <w:szCs w:val="24"/>
        </w:rPr>
        <w:t>revenue,</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w:t>
      </w:r>
      <w:r w:rsidRPr="00842D3D">
        <w:rPr>
          <w:rFonts w:eastAsia="Times New Roman" w:cs="Times New Roman"/>
          <w:spacing w:val="-7"/>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required to</w:t>
      </w:r>
      <w:r w:rsidRPr="00842D3D">
        <w:rPr>
          <w:rFonts w:eastAsia="Times New Roman" w:cs="Times New Roman"/>
          <w:spacing w:val="-5"/>
          <w:w w:val="105"/>
          <w:szCs w:val="24"/>
        </w:rPr>
        <w:t xml:space="preserve"> </w:t>
      </w:r>
      <w:r w:rsidRPr="00842D3D">
        <w:rPr>
          <w:rFonts w:eastAsia="Times New Roman" w:cs="Times New Roman"/>
          <w:w w:val="105"/>
          <w:szCs w:val="24"/>
        </w:rPr>
        <w:t>prove</w:t>
      </w:r>
      <w:r w:rsidRPr="00842D3D">
        <w:rPr>
          <w:rFonts w:eastAsia="Times New Roman" w:cs="Times New Roman"/>
          <w:spacing w:val="-7"/>
          <w:w w:val="105"/>
          <w:szCs w:val="24"/>
        </w:rPr>
        <w:t xml:space="preserve"> </w:t>
      </w:r>
      <w:r w:rsidRPr="00842D3D">
        <w:rPr>
          <w:rFonts w:eastAsia="Times New Roman" w:cs="Times New Roman"/>
          <w:w w:val="105"/>
          <w:szCs w:val="24"/>
        </w:rPr>
        <w:t>his</w:t>
      </w:r>
      <w:r w:rsidRPr="00842D3D">
        <w:rPr>
          <w:rFonts w:eastAsia="Times New Roman" w:cs="Times New Roman"/>
          <w:spacing w:val="-8"/>
          <w:w w:val="105"/>
          <w:szCs w:val="24"/>
        </w:rPr>
        <w:t xml:space="preserve"> </w:t>
      </w:r>
      <w:r w:rsidRPr="00842D3D">
        <w:rPr>
          <w:rFonts w:eastAsia="Times New Roman" w:cs="Times New Roman"/>
          <w:w w:val="105"/>
          <w:szCs w:val="24"/>
        </w:rPr>
        <w:t>or</w:t>
      </w:r>
      <w:r w:rsidRPr="00842D3D">
        <w:rPr>
          <w:rFonts w:eastAsia="Times New Roman" w:cs="Times New Roman"/>
          <w:spacing w:val="-8"/>
          <w:w w:val="105"/>
          <w:szCs w:val="24"/>
        </w:rPr>
        <w:t xml:space="preserve"> </w:t>
      </w:r>
      <w:r w:rsidRPr="00842D3D">
        <w:rPr>
          <w:rFonts w:eastAsia="Times New Roman" w:cs="Times New Roman"/>
          <w:w w:val="105"/>
          <w:szCs w:val="24"/>
        </w:rPr>
        <w:t>her</w:t>
      </w:r>
      <w:r w:rsidRPr="00842D3D">
        <w:rPr>
          <w:rFonts w:eastAsia="Times New Roman" w:cs="Times New Roman"/>
          <w:spacing w:val="-8"/>
          <w:w w:val="105"/>
          <w:szCs w:val="24"/>
        </w:rPr>
        <w:t xml:space="preserve"> </w:t>
      </w:r>
      <w:r w:rsidRPr="00842D3D">
        <w:rPr>
          <w:rFonts w:eastAsia="Times New Roman" w:cs="Times New Roman"/>
          <w:w w:val="105"/>
          <w:szCs w:val="24"/>
        </w:rPr>
        <w:t>deductible expenses</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elements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profit</w:t>
      </w:r>
      <w:r w:rsidRPr="00842D3D">
        <w:rPr>
          <w:rFonts w:eastAsia="Times New Roman" w:cs="Times New Roman"/>
          <w:spacing w:val="-10"/>
          <w:w w:val="105"/>
          <w:szCs w:val="24"/>
        </w:rPr>
        <w:t xml:space="preserve"> </w:t>
      </w:r>
      <w:r w:rsidRPr="00842D3D">
        <w:rPr>
          <w:rFonts w:eastAsia="Times New Roman" w:cs="Times New Roman"/>
          <w:w w:val="105"/>
          <w:szCs w:val="24"/>
        </w:rPr>
        <w:t>attributable</w:t>
      </w:r>
      <w:r w:rsidRPr="00842D3D">
        <w:rPr>
          <w:rFonts w:eastAsia="Times New Roman" w:cs="Times New Roman"/>
          <w:spacing w:val="-9"/>
          <w:w w:val="105"/>
          <w:szCs w:val="24"/>
        </w:rPr>
        <w:t xml:space="preserve"> </w:t>
      </w:r>
      <w:r w:rsidRPr="00842D3D">
        <w:rPr>
          <w:rFonts w:eastAsia="Times New Roman" w:cs="Times New Roman"/>
          <w:w w:val="105"/>
          <w:szCs w:val="24"/>
        </w:rPr>
        <w:t>to factors other than the copyrighted work.”</w:t>
      </w:r>
      <w:r w:rsidRPr="00842D3D">
        <w:rPr>
          <w:rFonts w:eastAsia="Times New Roman" w:cs="Times New Roman"/>
          <w:spacing w:val="40"/>
          <w:w w:val="105"/>
          <w:szCs w:val="24"/>
        </w:rPr>
        <w:t xml:space="preserve"> </w:t>
      </w:r>
      <w:r w:rsidRPr="00842D3D">
        <w:rPr>
          <w:rFonts w:eastAsia="Times New Roman" w:cs="Times New Roman"/>
          <w:w w:val="105"/>
          <w:szCs w:val="24"/>
        </w:rPr>
        <w:t>17 U.S.C. § 504(b).</w:t>
      </w:r>
      <w:r w:rsidRPr="00842D3D">
        <w:rPr>
          <w:rFonts w:eastAsia="Times New Roman" w:cs="Times New Roman"/>
          <w:spacing w:val="40"/>
          <w:w w:val="105"/>
          <w:szCs w:val="24"/>
        </w:rPr>
        <w:t xml:space="preserve"> </w:t>
      </w:r>
      <w:r w:rsidRPr="00842D3D">
        <w:rPr>
          <w:rFonts w:eastAsia="Times New Roman" w:cs="Times New Roman"/>
          <w:w w:val="105"/>
          <w:szCs w:val="24"/>
        </w:rPr>
        <w:t>The statute “creates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6"/>
          <w:w w:val="105"/>
          <w:szCs w:val="24"/>
        </w:rPr>
        <w:t xml:space="preserve"> </w:t>
      </w:r>
      <w:r w:rsidRPr="00842D3D">
        <w:rPr>
          <w:rFonts w:eastAsia="Times New Roman" w:cs="Times New Roman"/>
          <w:w w:val="105"/>
          <w:szCs w:val="24"/>
        </w:rPr>
        <w:t>two-step</w:t>
      </w:r>
      <w:r w:rsidRPr="00842D3D">
        <w:rPr>
          <w:rFonts w:eastAsia="Times New Roman" w:cs="Times New Roman"/>
          <w:spacing w:val="-5"/>
          <w:w w:val="105"/>
          <w:szCs w:val="24"/>
        </w:rPr>
        <w:t xml:space="preserve"> </w:t>
      </w:r>
      <w:r w:rsidRPr="00842D3D">
        <w:rPr>
          <w:rFonts w:eastAsia="Times New Roman" w:cs="Times New Roman"/>
          <w:w w:val="105"/>
          <w:szCs w:val="24"/>
        </w:rPr>
        <w:t>framework</w:t>
      </w:r>
      <w:r w:rsidRPr="00842D3D">
        <w:rPr>
          <w:rFonts w:eastAsia="Times New Roman" w:cs="Times New Roman"/>
          <w:spacing w:val="-5"/>
          <w:w w:val="105"/>
          <w:szCs w:val="24"/>
        </w:rPr>
        <w:t xml:space="preserve"> </w:t>
      </w:r>
      <w:r w:rsidRPr="00842D3D">
        <w:rPr>
          <w:rFonts w:eastAsia="Times New Roman" w:cs="Times New Roman"/>
          <w:w w:val="105"/>
          <w:szCs w:val="24"/>
        </w:rPr>
        <w:t>for</w:t>
      </w:r>
      <w:r w:rsidRPr="00842D3D">
        <w:rPr>
          <w:rFonts w:eastAsia="Times New Roman" w:cs="Times New Roman"/>
          <w:spacing w:val="-8"/>
          <w:w w:val="105"/>
          <w:szCs w:val="24"/>
        </w:rPr>
        <w:t xml:space="preserve"> </w:t>
      </w:r>
      <w:r w:rsidRPr="00842D3D">
        <w:rPr>
          <w:rFonts w:eastAsia="Times New Roman" w:cs="Times New Roman"/>
          <w:w w:val="105"/>
          <w:szCs w:val="24"/>
        </w:rPr>
        <w:t>recovery</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16"/>
          <w:w w:val="105"/>
          <w:szCs w:val="24"/>
        </w:rPr>
        <w:t xml:space="preserve"> </w:t>
      </w:r>
      <w:r w:rsidRPr="00842D3D">
        <w:rPr>
          <w:rFonts w:eastAsia="Times New Roman" w:cs="Times New Roman"/>
          <w:w w:val="105"/>
          <w:szCs w:val="24"/>
        </w:rPr>
        <w:t>indirect</w:t>
      </w:r>
      <w:r w:rsidRPr="00842D3D">
        <w:rPr>
          <w:rFonts w:eastAsia="Times New Roman" w:cs="Times New Roman"/>
          <w:spacing w:val="-10"/>
          <w:w w:val="105"/>
          <w:szCs w:val="24"/>
        </w:rPr>
        <w:t xml:space="preserve"> </w:t>
      </w:r>
      <w:r w:rsidRPr="00842D3D">
        <w:rPr>
          <w:rFonts w:eastAsia="Times New Roman" w:cs="Times New Roman"/>
          <w:w w:val="105"/>
          <w:szCs w:val="24"/>
        </w:rPr>
        <w:t>profits:</w:t>
      </w:r>
      <w:r w:rsidRPr="00842D3D">
        <w:rPr>
          <w:rFonts w:eastAsia="Times New Roman" w:cs="Times New Roman"/>
          <w:spacing w:val="-11"/>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copyright claimant must first show a causal nexus between the infringement and the [infringer’s] gross revenue; and 2) once the causal nexus is shown, the infringer bears the burden of apportioning the profits</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were not</w:t>
      </w:r>
      <w:r w:rsidRPr="00842D3D">
        <w:rPr>
          <w:rFonts w:eastAsia="Times New Roman" w:cs="Times New Roman"/>
          <w:spacing w:val="-6"/>
          <w:w w:val="105"/>
          <w:szCs w:val="24"/>
        </w:rPr>
        <w:t xml:space="preserve"> </w:t>
      </w:r>
      <w:r w:rsidRPr="00842D3D">
        <w:rPr>
          <w:rFonts w:eastAsia="Times New Roman" w:cs="Times New Roman"/>
          <w:w w:val="105"/>
          <w:szCs w:val="24"/>
        </w:rPr>
        <w:t>the result</w:t>
      </w:r>
      <w:r w:rsidRPr="00842D3D">
        <w:rPr>
          <w:rFonts w:eastAsia="Times New Roman" w:cs="Times New Roman"/>
          <w:spacing w:val="-5"/>
          <w:w w:val="105"/>
          <w:szCs w:val="24"/>
        </w:rPr>
        <w:t xml:space="preserve"> </w:t>
      </w:r>
      <w:r w:rsidRPr="00842D3D">
        <w:rPr>
          <w:rFonts w:eastAsia="Times New Roman" w:cs="Times New Roman"/>
          <w:w w:val="105"/>
          <w:szCs w:val="24"/>
        </w:rPr>
        <w:t>of infringement.”</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 Inc. v. Timex Corp</w:t>
      </w:r>
      <w:r w:rsidRPr="00842D3D">
        <w:rPr>
          <w:rFonts w:eastAsia="Times New Roman" w:cs="Times New Roman"/>
          <w:w w:val="105"/>
          <w:szCs w:val="24"/>
        </w:rPr>
        <w:t>., 384 F.3d 700,</w:t>
      </w:r>
      <w:r w:rsidRPr="00842D3D">
        <w:rPr>
          <w:rFonts w:eastAsia="Times New Roman" w:cs="Times New Roman"/>
          <w:spacing w:val="-1"/>
          <w:w w:val="105"/>
          <w:szCs w:val="24"/>
        </w:rPr>
        <w:t xml:space="preserve"> </w:t>
      </w:r>
      <w:r w:rsidRPr="00842D3D">
        <w:rPr>
          <w:rFonts w:eastAsia="Times New Roman" w:cs="Times New Roman"/>
          <w:w w:val="105"/>
          <w:szCs w:val="24"/>
        </w:rPr>
        <w:t>711 (9th Cir.</w:t>
      </w:r>
      <w:r w:rsidRPr="00842D3D">
        <w:rPr>
          <w:rFonts w:eastAsia="Times New Roman" w:cs="Times New Roman"/>
          <w:spacing w:val="-8"/>
          <w:w w:val="105"/>
          <w:szCs w:val="24"/>
        </w:rPr>
        <w:t xml:space="preserve"> </w:t>
      </w:r>
      <w:r w:rsidRPr="00842D3D">
        <w:rPr>
          <w:rFonts w:eastAsia="Times New Roman" w:cs="Times New Roman"/>
          <w:w w:val="105"/>
          <w:szCs w:val="24"/>
        </w:rPr>
        <w:t>2004);</w:t>
      </w:r>
      <w:r w:rsidRPr="00842D3D">
        <w:rPr>
          <w:rFonts w:eastAsia="Times New Roman" w:cs="Times New Roman"/>
          <w:spacing w:val="-9"/>
          <w:w w:val="105"/>
          <w:szCs w:val="24"/>
        </w:rPr>
        <w:t xml:space="preserve"> </w:t>
      </w:r>
      <w:r w:rsidRPr="00842D3D">
        <w:rPr>
          <w:rFonts w:eastAsia="Times New Roman" w:cs="Times New Roman"/>
          <w:i/>
          <w:w w:val="105"/>
          <w:szCs w:val="24"/>
        </w:rPr>
        <w:lastRenderedPageBreak/>
        <w:t>see</w:t>
      </w:r>
      <w:r w:rsidRPr="00842D3D">
        <w:rPr>
          <w:rFonts w:eastAsia="Times New Roman" w:cs="Times New Roman"/>
          <w:i/>
          <w:spacing w:val="-6"/>
          <w:w w:val="105"/>
          <w:szCs w:val="24"/>
        </w:rPr>
        <w:t xml:space="preserve"> </w:t>
      </w:r>
      <w:r w:rsidRPr="00842D3D">
        <w:rPr>
          <w:rFonts w:eastAsia="Times New Roman" w:cs="Times New Roman"/>
          <w:i/>
          <w:w w:val="105"/>
          <w:szCs w:val="24"/>
        </w:rPr>
        <w:t>also</w:t>
      </w:r>
      <w:r w:rsidRPr="00842D3D">
        <w:rPr>
          <w:rFonts w:eastAsia="Times New Roman" w:cs="Times New Roman"/>
          <w:i/>
          <w:spacing w:val="-5"/>
          <w:w w:val="105"/>
          <w:szCs w:val="24"/>
        </w:rPr>
        <w:t xml:space="preserve"> </w:t>
      </w:r>
      <w:r w:rsidRPr="00842D3D">
        <w:rPr>
          <w:rFonts w:eastAsia="Times New Roman" w:cs="Times New Roman"/>
          <w:i/>
          <w:w w:val="105"/>
          <w:szCs w:val="24"/>
        </w:rPr>
        <w:t>id.</w:t>
      </w:r>
      <w:r w:rsidRPr="00842D3D">
        <w:rPr>
          <w:rFonts w:eastAsia="Times New Roman" w:cs="Times New Roman"/>
          <w:i/>
          <w:spacing w:val="-7"/>
          <w:w w:val="105"/>
          <w:szCs w:val="24"/>
        </w:rPr>
        <w:t xml:space="preserve"> </w:t>
      </w:r>
      <w:r w:rsidRPr="00842D3D">
        <w:rPr>
          <w:rFonts w:eastAsia="Times New Roman" w:cs="Times New Roman"/>
          <w:w w:val="105"/>
          <w:szCs w:val="24"/>
        </w:rPr>
        <w:t>at</w:t>
      </w:r>
      <w:r w:rsidRPr="00842D3D">
        <w:rPr>
          <w:rFonts w:eastAsia="Times New Roman" w:cs="Times New Roman"/>
          <w:spacing w:val="-8"/>
          <w:w w:val="105"/>
          <w:szCs w:val="24"/>
        </w:rPr>
        <w:t xml:space="preserve"> </w:t>
      </w:r>
      <w:r w:rsidRPr="00842D3D">
        <w:rPr>
          <w:rFonts w:eastAsia="Times New Roman" w:cs="Times New Roman"/>
          <w:w w:val="105"/>
          <w:szCs w:val="24"/>
        </w:rPr>
        <w:t>714</w:t>
      </w:r>
      <w:r w:rsidRPr="00842D3D">
        <w:rPr>
          <w:rFonts w:eastAsia="Times New Roman" w:cs="Times New Roman"/>
          <w:spacing w:val="-4"/>
          <w:w w:val="105"/>
          <w:szCs w:val="24"/>
        </w:rPr>
        <w:t xml:space="preserve"> </w:t>
      </w:r>
      <w:r w:rsidRPr="00842D3D">
        <w:rPr>
          <w:rFonts w:eastAsia="Times New Roman" w:cs="Times New Roman"/>
          <w:w w:val="105"/>
          <w:szCs w:val="24"/>
        </w:rPr>
        <w:t>n.10</w:t>
      </w:r>
      <w:r w:rsidRPr="00842D3D">
        <w:rPr>
          <w:rFonts w:eastAsia="Times New Roman" w:cs="Times New Roman"/>
          <w:spacing w:val="-4"/>
          <w:w w:val="105"/>
          <w:szCs w:val="24"/>
        </w:rPr>
        <w:t xml:space="preserve"> </w:t>
      </w:r>
      <w:r w:rsidRPr="00842D3D">
        <w:rPr>
          <w:rFonts w:eastAsia="Times New Roman" w:cs="Times New Roman"/>
          <w:w w:val="105"/>
          <w:szCs w:val="24"/>
        </w:rPr>
        <w:t>(approving</w:t>
      </w:r>
      <w:r w:rsidRPr="00842D3D">
        <w:rPr>
          <w:rFonts w:eastAsia="Times New Roman" w:cs="Times New Roman"/>
          <w:spacing w:val="-4"/>
          <w:w w:val="105"/>
          <w:szCs w:val="24"/>
        </w:rPr>
        <w:t xml:space="preserve"> a </w:t>
      </w:r>
      <w:r w:rsidRPr="00842D3D">
        <w:rPr>
          <w:rFonts w:eastAsia="Times New Roman" w:cs="Times New Roman"/>
          <w:w w:val="105"/>
          <w:szCs w:val="24"/>
        </w:rPr>
        <w:t>jury</w:t>
      </w:r>
      <w:r w:rsidRPr="00842D3D">
        <w:rPr>
          <w:rFonts w:eastAsia="Times New Roman" w:cs="Times New Roman"/>
          <w:spacing w:val="-4"/>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stating:</w:t>
      </w:r>
      <w:r w:rsidRPr="00842D3D">
        <w:rPr>
          <w:rFonts w:eastAsia="Times New Roman" w:cs="Times New Roman"/>
          <w:spacing w:val="-4"/>
          <w:w w:val="105"/>
          <w:szCs w:val="24"/>
        </w:rPr>
        <w:t xml:space="preserve"> </w:t>
      </w:r>
      <w:r w:rsidRPr="00842D3D">
        <w:rPr>
          <w:rFonts w:eastAsia="Times New Roman" w:cs="Times New Roman"/>
          <w:w w:val="105"/>
          <w:szCs w:val="24"/>
        </w:rPr>
        <w:t>“Indirect profits have a less direct connection or link to the infringement. Plaintiff seeks indirect</w:t>
      </w:r>
      <w:r w:rsidRPr="00842D3D">
        <w:rPr>
          <w:rFonts w:eastAsia="Times New Roman" w:cs="Times New Roman"/>
          <w:spacing w:val="-1"/>
          <w:w w:val="105"/>
          <w:szCs w:val="24"/>
        </w:rPr>
        <w:t xml:space="preserve"> </w:t>
      </w:r>
      <w:r w:rsidRPr="00842D3D">
        <w:rPr>
          <w:rFonts w:eastAsia="Times New Roman" w:cs="Times New Roman"/>
          <w:w w:val="105"/>
          <w:szCs w:val="24"/>
        </w:rPr>
        <w:t>profits in this case.</w:t>
      </w:r>
      <w:r w:rsidRPr="00842D3D">
        <w:rPr>
          <w:rFonts w:eastAsia="Times New Roman" w:cs="Times New Roman"/>
          <w:spacing w:val="40"/>
          <w:w w:val="105"/>
          <w:szCs w:val="24"/>
        </w:rPr>
        <w:t xml:space="preserve"> </w:t>
      </w:r>
      <w:r w:rsidRPr="00842D3D">
        <w:rPr>
          <w:rFonts w:eastAsia="Times New Roman" w:cs="Times New Roman"/>
          <w:w w:val="105"/>
          <w:szCs w:val="24"/>
        </w:rPr>
        <w:t>To recover</w:t>
      </w:r>
      <w:r w:rsidRPr="00842D3D">
        <w:rPr>
          <w:rFonts w:eastAsia="Times New Roman" w:cs="Times New Roman"/>
          <w:spacing w:val="-1"/>
          <w:w w:val="105"/>
          <w:szCs w:val="24"/>
        </w:rPr>
        <w:t xml:space="preserve"> </w:t>
      </w:r>
      <w:r w:rsidRPr="00842D3D">
        <w:rPr>
          <w:rFonts w:eastAsia="Times New Roman" w:cs="Times New Roman"/>
          <w:w w:val="105"/>
          <w:szCs w:val="24"/>
        </w:rPr>
        <w:t>indirect</w:t>
      </w:r>
      <w:r w:rsidRPr="00842D3D">
        <w:rPr>
          <w:rFonts w:eastAsia="Times New Roman" w:cs="Times New Roman"/>
          <w:spacing w:val="-1"/>
          <w:w w:val="105"/>
          <w:szCs w:val="24"/>
        </w:rPr>
        <w:t xml:space="preserve"> </w:t>
      </w:r>
      <w:r w:rsidRPr="00842D3D">
        <w:rPr>
          <w:rFonts w:eastAsia="Times New Roman" w:cs="Times New Roman"/>
          <w:w w:val="105"/>
          <w:szCs w:val="24"/>
        </w:rPr>
        <w:t>profits, Plaintiff must establish a causal relationship between the infringement and the profits generated indirectly from such infringement.”).</w:t>
      </w:r>
    </w:p>
    <w:p w14:paraId="28329E62" w14:textId="77777777" w:rsidR="00842D3D" w:rsidRPr="00842D3D" w:rsidRDefault="00842D3D" w:rsidP="00842D3D">
      <w:pPr>
        <w:widowControl w:val="0"/>
        <w:autoSpaceDE w:val="0"/>
        <w:autoSpaceDN w:val="0"/>
        <w:rPr>
          <w:rFonts w:eastAsia="Times New Roman" w:cs="Times New Roman"/>
          <w:szCs w:val="24"/>
        </w:rPr>
      </w:pPr>
    </w:p>
    <w:p w14:paraId="38F2D03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“fundamental standard” for whether a causal nexus is shown as required</w:t>
      </w:r>
      <w:r w:rsidRPr="00842D3D">
        <w:rPr>
          <w:rFonts w:eastAsia="Times New Roman" w:cs="Times New Roman"/>
          <w:spacing w:val="-7"/>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 xml:space="preserve">an award of indirect profits is that the plaintiff “must proffer some evidence . . . [that] the infringement at least partially caused the profits that the infringer generated as a result of the infringement.” </w:t>
      </w:r>
      <w:r w:rsidRPr="00842D3D">
        <w:rPr>
          <w:rFonts w:eastAsia="Times New Roman" w:cs="Times New Roman"/>
          <w:i/>
          <w:w w:val="105"/>
          <w:szCs w:val="24"/>
        </w:rPr>
        <w:t>Polar Bear Prods.</w:t>
      </w:r>
      <w:r w:rsidRPr="00842D3D">
        <w:rPr>
          <w:rFonts w:eastAsia="Times New Roman" w:cs="Times New Roman"/>
          <w:w w:val="105"/>
          <w:szCs w:val="24"/>
        </w:rPr>
        <w:t>, 384 F.3d</w:t>
      </w:r>
      <w:r w:rsidRPr="00842D3D">
        <w:rPr>
          <w:rFonts w:eastAsia="Times New Roman" w:cs="Times New Roman"/>
          <w:spacing w:val="-3"/>
          <w:w w:val="105"/>
          <w:szCs w:val="24"/>
        </w:rPr>
        <w:t xml:space="preserve"> </w:t>
      </w:r>
      <w:r w:rsidRPr="00842D3D">
        <w:rPr>
          <w:rFonts w:eastAsia="Times New Roman" w:cs="Times New Roman"/>
          <w:w w:val="105"/>
          <w:szCs w:val="24"/>
        </w:rPr>
        <w:t>at</w:t>
      </w:r>
      <w:r w:rsidRPr="00842D3D">
        <w:rPr>
          <w:rFonts w:eastAsia="Times New Roman" w:cs="Times New Roman"/>
          <w:spacing w:val="-4"/>
          <w:w w:val="105"/>
          <w:szCs w:val="24"/>
        </w:rPr>
        <w:t xml:space="preserve"> </w:t>
      </w:r>
      <w:r w:rsidRPr="00842D3D">
        <w:rPr>
          <w:rFonts w:eastAsia="Times New Roman" w:cs="Times New Roman"/>
          <w:w w:val="105"/>
          <w:szCs w:val="24"/>
        </w:rPr>
        <w:t>711</w:t>
      </w:r>
      <w:r w:rsidRPr="00842D3D">
        <w:rPr>
          <w:rFonts w:eastAsia="Times New Roman" w:cs="Times New Roman"/>
          <w:spacing w:val="-3"/>
          <w:w w:val="105"/>
          <w:szCs w:val="24"/>
        </w:rPr>
        <w:t xml:space="preserve"> </w:t>
      </w:r>
      <w:r w:rsidRPr="00842D3D">
        <w:rPr>
          <w:rFonts w:eastAsia="Times New Roman" w:cs="Times New Roman"/>
          <w:w w:val="105"/>
          <w:szCs w:val="24"/>
        </w:rPr>
        <w:t>(alteration</w:t>
      </w:r>
      <w:r w:rsidRPr="00842D3D">
        <w:rPr>
          <w:rFonts w:eastAsia="Times New Roman" w:cs="Times New Roman"/>
          <w:spacing w:val="-4"/>
          <w:w w:val="105"/>
          <w:szCs w:val="24"/>
        </w:rPr>
        <w:t xml:space="preserve"> </w:t>
      </w: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original)</w:t>
      </w:r>
      <w:r w:rsidRPr="00842D3D">
        <w:rPr>
          <w:rFonts w:eastAsia="Times New Roman" w:cs="Times New Roman"/>
          <w:spacing w:val="-4"/>
          <w:w w:val="105"/>
          <w:szCs w:val="24"/>
        </w:rPr>
        <w:t xml:space="preserve"> </w:t>
      </w:r>
      <w:r w:rsidRPr="00842D3D">
        <w:rPr>
          <w:rFonts w:eastAsia="Times New Roman" w:cs="Times New Roman"/>
          <w:w w:val="105"/>
          <w:szCs w:val="24"/>
        </w:rPr>
        <w:t>(quoting</w:t>
      </w:r>
      <w:r w:rsidRPr="00842D3D">
        <w:rPr>
          <w:rFonts w:eastAsia="Times New Roman" w:cs="Times New Roman"/>
          <w:spacing w:val="-3"/>
          <w:w w:val="105"/>
          <w:szCs w:val="24"/>
        </w:rPr>
        <w:t xml:space="preserve"> </w:t>
      </w:r>
      <w:r w:rsidRPr="00842D3D">
        <w:rPr>
          <w:rFonts w:eastAsia="Times New Roman" w:cs="Times New Roman"/>
          <w:i/>
          <w:w w:val="105"/>
          <w:szCs w:val="24"/>
        </w:rPr>
        <w:t>Mackie</w:t>
      </w:r>
      <w:r w:rsidRPr="00842D3D">
        <w:rPr>
          <w:rFonts w:eastAsia="Times New Roman" w:cs="Times New Roman"/>
          <w:i/>
          <w:spacing w:val="-4"/>
          <w:w w:val="105"/>
          <w:szCs w:val="24"/>
        </w:rPr>
        <w:t xml:space="preserve"> </w:t>
      </w:r>
      <w:r w:rsidRPr="00842D3D">
        <w:rPr>
          <w:rFonts w:eastAsia="Times New Roman" w:cs="Times New Roman"/>
          <w:i/>
          <w:w w:val="105"/>
          <w:szCs w:val="24"/>
        </w:rPr>
        <w:t>v.</w:t>
      </w:r>
      <w:r w:rsidRPr="00842D3D">
        <w:rPr>
          <w:rFonts w:eastAsia="Times New Roman" w:cs="Times New Roman"/>
          <w:i/>
          <w:spacing w:val="-4"/>
          <w:w w:val="105"/>
          <w:szCs w:val="24"/>
        </w:rPr>
        <w:t xml:space="preserve"> </w:t>
      </w:r>
      <w:r w:rsidRPr="00842D3D">
        <w:rPr>
          <w:rFonts w:eastAsia="Times New Roman" w:cs="Times New Roman"/>
          <w:i/>
          <w:w w:val="105"/>
          <w:szCs w:val="24"/>
        </w:rPr>
        <w:t>Rieser</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296 F.3d 909, 911 (9th Cir. 2002)) (holding that a plaintiff seeking to recover indirect profits must “formulate the initial evidence of gross revenue duly apportioned to relate to the infringement” (citation omitted));</w:t>
      </w:r>
      <w:r w:rsidRPr="00842D3D">
        <w:rPr>
          <w:rFonts w:eastAsia="Times New Roman" w:cs="Times New Roman"/>
          <w:spacing w:val="-1"/>
          <w:w w:val="105"/>
          <w:szCs w:val="24"/>
        </w:rPr>
        <w:t xml:space="preserve"> </w:t>
      </w:r>
      <w:r w:rsidRPr="00842D3D">
        <w:rPr>
          <w:rFonts w:eastAsia="Times New Roman" w:cs="Times New Roman"/>
          <w:i/>
          <w:w w:val="105"/>
          <w:szCs w:val="24"/>
        </w:rPr>
        <w:t>see also Mackie</w:t>
      </w:r>
      <w:r w:rsidRPr="00842D3D">
        <w:rPr>
          <w:rFonts w:eastAsia="Times New Roman" w:cs="Times New Roman"/>
          <w:w w:val="105"/>
          <w:szCs w:val="24"/>
        </w:rPr>
        <w:t>, 296 F.3d at</w:t>
      </w:r>
      <w:r w:rsidRPr="00842D3D">
        <w:rPr>
          <w:rFonts w:eastAsia="Times New Roman" w:cs="Times New Roman"/>
          <w:spacing w:val="-4"/>
          <w:w w:val="105"/>
          <w:szCs w:val="24"/>
        </w:rPr>
        <w:t xml:space="preserve"> </w:t>
      </w:r>
      <w:r w:rsidRPr="00842D3D">
        <w:rPr>
          <w:rFonts w:eastAsia="Times New Roman" w:cs="Times New Roman"/>
          <w:w w:val="105"/>
          <w:szCs w:val="24"/>
        </w:rPr>
        <w:t>916 (holding that</w:t>
      </w:r>
      <w:r w:rsidRPr="00842D3D">
        <w:rPr>
          <w:rFonts w:eastAsia="Times New Roman" w:cs="Times New Roman"/>
          <w:spacing w:val="-4"/>
          <w:w w:val="105"/>
          <w:szCs w:val="24"/>
        </w:rPr>
        <w:t xml:space="preserve"> an </w:t>
      </w:r>
      <w:r w:rsidRPr="00842D3D">
        <w:rPr>
          <w:rFonts w:eastAsia="Times New Roman" w:cs="Times New Roman"/>
          <w:w w:val="105"/>
          <w:szCs w:val="24"/>
        </w:rPr>
        <w:t>artist</w:t>
      </w:r>
      <w:r w:rsidRPr="00842D3D">
        <w:rPr>
          <w:rFonts w:eastAsia="Times New Roman" w:cs="Times New Roman"/>
          <w:spacing w:val="-3"/>
          <w:w w:val="105"/>
          <w:szCs w:val="24"/>
        </w:rPr>
        <w:t xml:space="preserve"> </w:t>
      </w:r>
      <w:r w:rsidRPr="00842D3D">
        <w:rPr>
          <w:rFonts w:eastAsia="Times New Roman" w:cs="Times New Roman"/>
          <w:w w:val="105"/>
          <w:szCs w:val="24"/>
        </w:rPr>
        <w:t>could not</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3"/>
          <w:w w:val="105"/>
          <w:szCs w:val="24"/>
        </w:rPr>
        <w:t xml:space="preserve"> </w:t>
      </w:r>
      <w:r w:rsidRPr="00842D3D">
        <w:rPr>
          <w:rFonts w:eastAsia="Times New Roman" w:cs="Times New Roman"/>
          <w:w w:val="105"/>
          <w:szCs w:val="24"/>
        </w:rPr>
        <w:t>indirect profits unless he demonstrated with “non-speculative evidence” a causal link between the infringement and subsequent indirect profits, such as how many individuals subscribed to the symphony because the artist’s work appeared on one page of the symphony brochure).</w:t>
      </w:r>
    </w:p>
    <w:p w14:paraId="5629E9A7" w14:textId="77777777" w:rsidR="00842D3D" w:rsidRPr="00842D3D" w:rsidRDefault="00842D3D" w:rsidP="00842D3D">
      <w:pPr>
        <w:widowControl w:val="0"/>
        <w:autoSpaceDE w:val="0"/>
        <w:autoSpaceDN w:val="0"/>
        <w:rPr>
          <w:rFonts w:eastAsia="Times New Roman" w:cs="Times New Roman"/>
          <w:szCs w:val="24"/>
        </w:rPr>
      </w:pPr>
    </w:p>
    <w:p w14:paraId="20F57D31"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 the Ninth Circuit, the calculation of actual damages under the 1909 Copyright Act differed from that under the 1976 Copyright Act.</w:t>
      </w:r>
      <w:r w:rsidRPr="00842D3D">
        <w:rPr>
          <w:rFonts w:eastAsia="Times New Roman" w:cs="Times New Roman"/>
          <w:spacing w:val="40"/>
          <w:w w:val="105"/>
          <w:szCs w:val="24"/>
        </w:rPr>
        <w:t xml:space="preserve"> </w:t>
      </w:r>
      <w:r w:rsidRPr="00842D3D">
        <w:rPr>
          <w:rFonts w:eastAsia="Times New Roman" w:cs="Times New Roman"/>
          <w:w w:val="105"/>
          <w:szCs w:val="24"/>
        </w:rPr>
        <w:t>The Ninth Circuit interpreted the 1909 Copyright Act as allowing recovery of only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higher</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actual</w:t>
      </w:r>
      <w:r w:rsidRPr="00842D3D">
        <w:rPr>
          <w:rFonts w:eastAsia="Times New Roman" w:cs="Times New Roman"/>
          <w:spacing w:val="-3"/>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or</w:t>
      </w:r>
      <w:r w:rsidRPr="00842D3D">
        <w:rPr>
          <w:rFonts w:eastAsia="Times New Roman" w:cs="Times New Roman"/>
          <w:spacing w:val="-3"/>
          <w:w w:val="105"/>
          <w:szCs w:val="24"/>
        </w:rPr>
        <w:t xml:space="preserve"> </w:t>
      </w:r>
      <w:r w:rsidRPr="00842D3D">
        <w:rPr>
          <w:rFonts w:eastAsia="Times New Roman" w:cs="Times New Roman"/>
          <w:w w:val="105"/>
          <w:szCs w:val="24"/>
        </w:rPr>
        <w:t>infringer</w:t>
      </w:r>
      <w:r w:rsidRPr="00842D3D">
        <w:rPr>
          <w:rFonts w:eastAsia="Times New Roman" w:cs="Times New Roman"/>
          <w:spacing w:val="-4"/>
          <w:w w:val="105"/>
          <w:szCs w:val="24"/>
        </w:rPr>
        <w:t xml:space="preserve"> </w:t>
      </w:r>
      <w:r w:rsidRPr="00842D3D">
        <w:rPr>
          <w:rFonts w:eastAsia="Times New Roman" w:cs="Times New Roman"/>
          <w:w w:val="105"/>
          <w:szCs w:val="24"/>
        </w:rPr>
        <w:t>profits.</w:t>
      </w:r>
      <w:r w:rsidRPr="00842D3D">
        <w:rPr>
          <w:rFonts w:eastAsia="Times New Roman" w:cs="Times New Roman"/>
          <w:spacing w:val="34"/>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differed</w:t>
      </w:r>
      <w:r w:rsidRPr="00842D3D">
        <w:rPr>
          <w:rFonts w:eastAsia="Times New Roman" w:cs="Times New Roman"/>
          <w:spacing w:val="-3"/>
          <w:w w:val="105"/>
          <w:szCs w:val="24"/>
        </w:rPr>
        <w:t xml:space="preserve"> </w:t>
      </w:r>
      <w:r w:rsidRPr="00842D3D">
        <w:rPr>
          <w:rFonts w:eastAsia="Times New Roman" w:cs="Times New Roman"/>
          <w:w w:val="105"/>
          <w:szCs w:val="24"/>
        </w:rPr>
        <w:t>from</w:t>
      </w:r>
      <w:r w:rsidRPr="00842D3D">
        <w:rPr>
          <w:rFonts w:eastAsia="Times New Roman" w:cs="Times New Roman"/>
          <w:spacing w:val="-3"/>
          <w:w w:val="105"/>
          <w:szCs w:val="24"/>
        </w:rPr>
        <w:t xml:space="preserve"> </w:t>
      </w:r>
      <w:r w:rsidRPr="00842D3D">
        <w:rPr>
          <w:rFonts w:eastAsia="Times New Roman" w:cs="Times New Roman"/>
          <w:w w:val="105"/>
          <w:szCs w:val="24"/>
        </w:rPr>
        <w:t>other circuits,</w:t>
      </w:r>
      <w:r w:rsidRPr="00842D3D">
        <w:rPr>
          <w:rFonts w:eastAsia="Times New Roman" w:cs="Times New Roman"/>
          <w:spacing w:val="-2"/>
          <w:w w:val="105"/>
          <w:szCs w:val="24"/>
        </w:rPr>
        <w:t xml:space="preserve"> </w:t>
      </w:r>
      <w:r w:rsidRPr="00842D3D">
        <w:rPr>
          <w:rFonts w:eastAsia="Times New Roman" w:cs="Times New Roman"/>
          <w:w w:val="105"/>
          <w:szCs w:val="24"/>
        </w:rPr>
        <w:t>where</w:t>
      </w:r>
      <w:r w:rsidRPr="00842D3D">
        <w:rPr>
          <w:rFonts w:eastAsia="Times New Roman" w:cs="Times New Roman"/>
          <w:spacing w:val="-2"/>
          <w:w w:val="105"/>
          <w:szCs w:val="24"/>
        </w:rPr>
        <w:t xml:space="preserve"> </w:t>
      </w:r>
      <w:r w:rsidRPr="00842D3D">
        <w:rPr>
          <w:rFonts w:eastAsia="Times New Roman" w:cs="Times New Roman"/>
          <w:w w:val="105"/>
          <w:szCs w:val="24"/>
        </w:rPr>
        <w:t>recovery of both actual damages and the</w:t>
      </w:r>
      <w:r w:rsidRPr="00842D3D">
        <w:rPr>
          <w:rFonts w:eastAsia="Times New Roman" w:cs="Times New Roman"/>
          <w:spacing w:val="-2"/>
          <w:w w:val="105"/>
          <w:szCs w:val="24"/>
        </w:rPr>
        <w:t xml:space="preserve"> </w:t>
      </w:r>
      <w:r w:rsidRPr="00842D3D">
        <w:rPr>
          <w:rFonts w:eastAsia="Times New Roman" w:cs="Times New Roman"/>
          <w:w w:val="105"/>
          <w:szCs w:val="24"/>
        </w:rPr>
        <w:t>infringer’s profits was allowed.</w:t>
      </w:r>
      <w:r w:rsidRPr="00842D3D">
        <w:rPr>
          <w:rFonts w:eastAsia="Times New Roman" w:cs="Times New Roman"/>
          <w:spacing w:val="40"/>
          <w:w w:val="105"/>
          <w:szCs w:val="24"/>
        </w:rPr>
        <w:t xml:space="preserve"> </w:t>
      </w:r>
      <w:r w:rsidRPr="00842D3D">
        <w:rPr>
          <w:rFonts w:eastAsia="Times New Roman" w:cs="Times New Roman"/>
          <w:w w:val="105"/>
          <w:szCs w:val="24"/>
        </w:rPr>
        <w:t>However, under the 1976 Copyright Act, Congress explicitly allowed</w:t>
      </w:r>
      <w:r w:rsidRPr="00842D3D">
        <w:rPr>
          <w:rFonts w:eastAsia="Times New Roman" w:cs="Times New Roman"/>
          <w:spacing w:val="-11"/>
          <w:w w:val="105"/>
          <w:szCs w:val="24"/>
        </w:rPr>
        <w:t xml:space="preserve"> </w:t>
      </w:r>
      <w:r w:rsidRPr="00842D3D">
        <w:rPr>
          <w:rFonts w:eastAsia="Times New Roman" w:cs="Times New Roman"/>
          <w:w w:val="105"/>
          <w:szCs w:val="24"/>
        </w:rPr>
        <w:t>recovery</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4"/>
          <w:w w:val="105"/>
          <w:szCs w:val="24"/>
        </w:rPr>
        <w:t xml:space="preserve"> </w:t>
      </w:r>
      <w:r w:rsidRPr="00842D3D">
        <w:rPr>
          <w:rFonts w:eastAsia="Times New Roman" w:cs="Times New Roman"/>
          <w:w w:val="105"/>
          <w:szCs w:val="24"/>
        </w:rPr>
        <w:t>both</w:t>
      </w:r>
      <w:r w:rsidRPr="00842D3D">
        <w:rPr>
          <w:rFonts w:eastAsia="Times New Roman" w:cs="Times New Roman"/>
          <w:spacing w:val="-11"/>
          <w:w w:val="105"/>
          <w:szCs w:val="24"/>
        </w:rPr>
        <w:t xml:space="preserve"> </w:t>
      </w:r>
      <w:r w:rsidRPr="00842D3D">
        <w:rPr>
          <w:rFonts w:eastAsia="Times New Roman" w:cs="Times New Roman"/>
          <w:w w:val="105"/>
          <w:szCs w:val="24"/>
        </w:rPr>
        <w:t>actual</w:t>
      </w:r>
      <w:r w:rsidRPr="00842D3D">
        <w:rPr>
          <w:rFonts w:eastAsia="Times New Roman" w:cs="Times New Roman"/>
          <w:spacing w:val="-16"/>
          <w:w w:val="105"/>
          <w:szCs w:val="24"/>
        </w:rPr>
        <w:t xml:space="preserve"> </w:t>
      </w:r>
      <w:r w:rsidRPr="00842D3D">
        <w:rPr>
          <w:rFonts w:eastAsia="Times New Roman" w:cs="Times New Roman"/>
          <w:w w:val="105"/>
          <w:szCs w:val="24"/>
        </w:rPr>
        <w:t>damages</w:t>
      </w:r>
      <w:r w:rsidRPr="00842D3D">
        <w:rPr>
          <w:rFonts w:eastAsia="Times New Roman" w:cs="Times New Roman"/>
          <w:spacing w:val="-11"/>
          <w:w w:val="105"/>
          <w:szCs w:val="24"/>
        </w:rPr>
        <w:t xml:space="preserve"> </w:t>
      </w:r>
      <w:r w:rsidRPr="00842D3D">
        <w:rPr>
          <w:rFonts w:eastAsia="Times New Roman" w:cs="Times New Roman"/>
          <w:w w:val="105"/>
          <w:szCs w:val="24"/>
        </w:rPr>
        <w:t>and</w:t>
      </w:r>
      <w:r w:rsidRPr="00842D3D">
        <w:rPr>
          <w:rFonts w:eastAsia="Times New Roman" w:cs="Times New Roman"/>
          <w:spacing w:val="-11"/>
          <w:w w:val="105"/>
          <w:szCs w:val="24"/>
        </w:rPr>
        <w:t xml:space="preserve"> </w:t>
      </w:r>
      <w:r w:rsidRPr="00842D3D">
        <w:rPr>
          <w:rFonts w:eastAsia="Times New Roman" w:cs="Times New Roman"/>
          <w:w w:val="105"/>
          <w:szCs w:val="24"/>
        </w:rPr>
        <w:t>the infringer’s profits.</w:t>
      </w:r>
      <w:r w:rsidRPr="00842D3D">
        <w:rPr>
          <w:rFonts w:eastAsia="Times New Roman" w:cs="Times New Roman"/>
          <w:spacing w:val="40"/>
          <w:w w:val="105"/>
          <w:szCs w:val="24"/>
        </w:rPr>
        <w:t xml:space="preserve"> </w:t>
      </w:r>
      <w:r w:rsidRPr="00842D3D">
        <w:rPr>
          <w:rFonts w:eastAsia="Times New Roman" w:cs="Times New Roman"/>
          <w:i/>
          <w:w w:val="105"/>
          <w:szCs w:val="24"/>
        </w:rPr>
        <w:t>See Frank Music I</w:t>
      </w:r>
      <w:r w:rsidRPr="00842D3D">
        <w:rPr>
          <w:rFonts w:eastAsia="Times New Roman" w:cs="Times New Roman"/>
          <w:w w:val="105"/>
          <w:szCs w:val="24"/>
        </w:rPr>
        <w:t>, 772 F.2d at 512 &amp; n.5.</w:t>
      </w:r>
    </w:p>
    <w:p w14:paraId="04D08C42" w14:textId="77777777" w:rsidR="00842D3D" w:rsidRPr="00842D3D" w:rsidRDefault="00842D3D" w:rsidP="00842D3D">
      <w:pPr>
        <w:widowControl w:val="0"/>
        <w:autoSpaceDE w:val="0"/>
        <w:autoSpaceDN w:val="0"/>
        <w:rPr>
          <w:rFonts w:eastAsia="Times New Roman" w:cs="Times New Roman"/>
          <w:szCs w:val="24"/>
        </w:rPr>
      </w:pPr>
    </w:p>
    <w:p w14:paraId="4FA17014"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9"/>
          <w:w w:val="105"/>
          <w:szCs w:val="24"/>
        </w:rPr>
        <w:t xml:space="preserve"> </w:t>
      </w:r>
      <w:r w:rsidRPr="00842D3D">
        <w:rPr>
          <w:rFonts w:eastAsia="Times New Roman" w:cs="Times New Roman"/>
          <w:w w:val="105"/>
          <w:szCs w:val="24"/>
        </w:rPr>
        <w:t>jury</w:t>
      </w:r>
      <w:r w:rsidRPr="00842D3D">
        <w:rPr>
          <w:rFonts w:eastAsia="Times New Roman" w:cs="Times New Roman"/>
          <w:spacing w:val="-9"/>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defendant’s</w:t>
      </w:r>
      <w:r w:rsidRPr="00842D3D">
        <w:rPr>
          <w:rFonts w:eastAsia="Times New Roman" w:cs="Times New Roman"/>
          <w:spacing w:val="-9"/>
          <w:w w:val="105"/>
          <w:szCs w:val="24"/>
        </w:rPr>
        <w:t xml:space="preserve"> </w:t>
      </w:r>
      <w:r w:rsidRPr="00842D3D">
        <w:rPr>
          <w:rFonts w:eastAsia="Times New Roman" w:cs="Times New Roman"/>
          <w:w w:val="105"/>
          <w:szCs w:val="24"/>
        </w:rPr>
        <w:t>profits</w:t>
      </w:r>
      <w:r w:rsidRPr="00842D3D">
        <w:rPr>
          <w:rFonts w:eastAsia="Times New Roman" w:cs="Times New Roman"/>
          <w:spacing w:val="-8"/>
          <w:w w:val="105"/>
          <w:szCs w:val="24"/>
        </w:rPr>
        <w:t xml:space="preserve"> </w:t>
      </w:r>
      <w:r w:rsidRPr="00842D3D">
        <w:rPr>
          <w:rFonts w:eastAsia="Times New Roman" w:cs="Times New Roman"/>
          <w:w w:val="105"/>
          <w:szCs w:val="24"/>
        </w:rPr>
        <w:t>must</w:t>
      </w:r>
      <w:r w:rsidRPr="00842D3D">
        <w:rPr>
          <w:rFonts w:eastAsia="Times New Roman" w:cs="Times New Roman"/>
          <w:spacing w:val="-12"/>
          <w:w w:val="105"/>
          <w:szCs w:val="24"/>
        </w:rPr>
        <w:t xml:space="preserve"> </w:t>
      </w:r>
      <w:r w:rsidRPr="00842D3D">
        <w:rPr>
          <w:rFonts w:eastAsia="Times New Roman" w:cs="Times New Roman"/>
          <w:w w:val="105"/>
          <w:szCs w:val="24"/>
        </w:rPr>
        <w:t>adequately</w:t>
      </w:r>
      <w:r w:rsidRPr="00842D3D">
        <w:rPr>
          <w:rFonts w:eastAsia="Times New Roman" w:cs="Times New Roman"/>
          <w:spacing w:val="-8"/>
          <w:w w:val="105"/>
          <w:szCs w:val="24"/>
        </w:rPr>
        <w:t xml:space="preserve"> </w:t>
      </w:r>
      <w:r w:rsidRPr="00842D3D">
        <w:rPr>
          <w:rFonts w:eastAsia="Times New Roman" w:cs="Times New Roman"/>
          <w:w w:val="105"/>
          <w:szCs w:val="24"/>
        </w:rPr>
        <w:t>convey</w:t>
      </w:r>
      <w:r w:rsidRPr="00842D3D">
        <w:rPr>
          <w:rFonts w:eastAsia="Times New Roman" w:cs="Times New Roman"/>
          <w:spacing w:val="-8"/>
          <w:w w:val="105"/>
          <w:szCs w:val="24"/>
        </w:rPr>
        <w:t xml:space="preserve"> </w:t>
      </w:r>
      <w:r w:rsidRPr="00842D3D">
        <w:rPr>
          <w:rFonts w:eastAsia="Times New Roman" w:cs="Times New Roman"/>
          <w:w w:val="105"/>
          <w:szCs w:val="24"/>
        </w:rPr>
        <w:t>the burden of proof on attribution of profit.</w:t>
      </w:r>
      <w:r w:rsidRPr="00842D3D">
        <w:rPr>
          <w:rFonts w:eastAsia="Times New Roman" w:cs="Times New Roman"/>
          <w:spacing w:val="40"/>
          <w:w w:val="105"/>
          <w:szCs w:val="24"/>
        </w:rPr>
        <w:t xml:space="preserve"> </w:t>
      </w:r>
      <w:r w:rsidRPr="00842D3D">
        <w:rPr>
          <w:rFonts w:eastAsia="Times New Roman" w:cs="Times New Roman"/>
          <w:w w:val="105"/>
          <w:szCs w:val="24"/>
        </w:rPr>
        <w:t>[T]he copyright</w:t>
      </w:r>
      <w:r w:rsidRPr="00842D3D">
        <w:rPr>
          <w:rFonts w:eastAsia="Times New Roman" w:cs="Times New Roman"/>
          <w:spacing w:val="-1"/>
          <w:w w:val="105"/>
          <w:szCs w:val="24"/>
        </w:rPr>
        <w:t xml:space="preserve"> </w:t>
      </w:r>
      <w:r w:rsidRPr="00842D3D">
        <w:rPr>
          <w:rFonts w:eastAsia="Times New Roman" w:cs="Times New Roman"/>
          <w:w w:val="105"/>
          <w:szCs w:val="24"/>
        </w:rPr>
        <w:t xml:space="preserve">owner is required to present proof only of the infringer’s gross revenue, and the infringer is required to prove . . . deductible expenses,” </w:t>
      </w:r>
      <w:r w:rsidRPr="00842D3D">
        <w:rPr>
          <w:rFonts w:eastAsia="Times New Roman" w:cs="Times New Roman"/>
          <w:i/>
          <w:w w:val="105"/>
          <w:szCs w:val="24"/>
        </w:rPr>
        <w:t>Three Boys Music Corp. v. Bolton</w:t>
      </w:r>
      <w:r w:rsidRPr="00842D3D">
        <w:rPr>
          <w:rFonts w:eastAsia="Times New Roman" w:cs="Times New Roman"/>
          <w:w w:val="105"/>
          <w:szCs w:val="24"/>
        </w:rPr>
        <w:t xml:space="preserve">, 212 F.3d 477, 487 (9th Cir. 2000) (quoting 17 U.S.C. § 504(b)), and “what percentage of </w:t>
      </w:r>
      <w:r w:rsidRPr="00842D3D">
        <w:rPr>
          <w:rFonts w:eastAsia="Times New Roman" w:cs="Times New Roman"/>
          <w:w w:val="105"/>
          <w:szCs w:val="24"/>
          <w:u w:color="B5072D"/>
        </w:rPr>
        <w:t>[</w:t>
      </w:r>
      <w:r w:rsidRPr="00842D3D">
        <w:rPr>
          <w:rFonts w:eastAsia="Times New Roman" w:cs="Times New Roman"/>
          <w:w w:val="105"/>
          <w:szCs w:val="24"/>
        </w:rPr>
        <w:t>the infringer’s</w:t>
      </w:r>
      <w:r w:rsidRPr="00842D3D">
        <w:rPr>
          <w:rFonts w:eastAsia="Times New Roman" w:cs="Times New Roman"/>
          <w:w w:val="105"/>
          <w:szCs w:val="24"/>
          <w:u w:color="B5072D"/>
        </w:rPr>
        <w:t>]</w:t>
      </w:r>
      <w:r w:rsidRPr="00842D3D">
        <w:rPr>
          <w:rFonts w:eastAsia="Times New Roman" w:cs="Times New Roman"/>
          <w:w w:val="105"/>
          <w:szCs w:val="24"/>
        </w:rPr>
        <w:t xml:space="preserve"> profits were not attributable to copying the [infringed work],” </w:t>
      </w:r>
      <w:r w:rsidRPr="00842D3D">
        <w:rPr>
          <w:rFonts w:eastAsia="Times New Roman" w:cs="Times New Roman"/>
          <w:i/>
          <w:iCs/>
          <w:w w:val="105"/>
          <w:szCs w:val="24"/>
        </w:rPr>
        <w:t>id.</w:t>
      </w:r>
      <w:r w:rsidRPr="00842D3D">
        <w:rPr>
          <w:rFonts w:eastAsia="Times New Roman" w:cs="Times New Roman"/>
          <w:w w:val="105"/>
          <w:szCs w:val="24"/>
        </w:rPr>
        <w:t xml:space="preserve"> However, “gross revenue” for purposes of determining indirect profits means “the gross revenue associated 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9"/>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opposed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overall</w:t>
      </w:r>
      <w:r w:rsidRPr="00842D3D">
        <w:rPr>
          <w:rFonts w:eastAsia="Times New Roman" w:cs="Times New Roman"/>
          <w:spacing w:val="-8"/>
          <w:w w:val="105"/>
          <w:szCs w:val="24"/>
        </w:rPr>
        <w:t xml:space="preserve"> </w:t>
      </w:r>
      <w:r w:rsidRPr="00842D3D">
        <w:rPr>
          <w:rFonts w:eastAsia="Times New Roman" w:cs="Times New Roman"/>
          <w:w w:val="105"/>
          <w:szCs w:val="24"/>
        </w:rPr>
        <w:t>gross</w:t>
      </w:r>
      <w:r w:rsidRPr="00842D3D">
        <w:rPr>
          <w:rFonts w:eastAsia="Times New Roman" w:cs="Times New Roman"/>
          <w:spacing w:val="-13"/>
          <w:w w:val="105"/>
          <w:szCs w:val="24"/>
        </w:rPr>
        <w:t xml:space="preserve"> </w:t>
      </w:r>
      <w:r w:rsidRPr="00842D3D">
        <w:rPr>
          <w:rFonts w:eastAsia="Times New Roman" w:cs="Times New Roman"/>
          <w:w w:val="105"/>
          <w:szCs w:val="24"/>
        </w:rPr>
        <w:t>sales</w:t>
      </w:r>
      <w:r w:rsidRPr="00842D3D">
        <w:rPr>
          <w:rFonts w:eastAsia="Times New Roman" w:cs="Times New Roman"/>
          <w:spacing w:val="-4"/>
          <w:w w:val="105"/>
          <w:szCs w:val="24"/>
        </w:rPr>
        <w:t xml:space="preserve"> </w:t>
      </w:r>
      <w:r w:rsidRPr="00842D3D">
        <w:rPr>
          <w:rFonts w:eastAsia="Times New Roman" w:cs="Times New Roman"/>
          <w:w w:val="105"/>
          <w:szCs w:val="24"/>
        </w:rPr>
        <w:t>resulting from all</w:t>
      </w:r>
      <w:r w:rsidRPr="00842D3D">
        <w:rPr>
          <w:rFonts w:eastAsia="Times New Roman" w:cs="Times New Roman"/>
          <w:spacing w:val="-2"/>
          <w:w w:val="105"/>
          <w:szCs w:val="24"/>
        </w:rPr>
        <w:t xml:space="preserve"> </w:t>
      </w:r>
      <w:r w:rsidRPr="00842D3D">
        <w:rPr>
          <w:rFonts w:eastAsia="Times New Roman" w:cs="Times New Roman"/>
          <w:w w:val="105"/>
          <w:szCs w:val="24"/>
        </w:rPr>
        <w:t>streams of</w:t>
      </w:r>
      <w:r w:rsidRPr="00842D3D">
        <w:rPr>
          <w:rFonts w:eastAsia="Times New Roman" w:cs="Times New Roman"/>
          <w:spacing w:val="-1"/>
          <w:w w:val="105"/>
          <w:szCs w:val="24"/>
        </w:rPr>
        <w:t xml:space="preserve"> </w:t>
      </w:r>
      <w:r w:rsidRPr="00842D3D">
        <w:rPr>
          <w:rFonts w:eastAsia="Times New Roman" w:cs="Times New Roman"/>
          <w:w w:val="105"/>
          <w:szCs w:val="24"/>
        </w:rPr>
        <w:t>revenue.”</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384 F.3d at</w:t>
      </w:r>
      <w:r w:rsidRPr="00842D3D">
        <w:rPr>
          <w:rFonts w:eastAsia="Times New Roman" w:cs="Times New Roman"/>
          <w:spacing w:val="-3"/>
          <w:w w:val="105"/>
          <w:szCs w:val="24"/>
        </w:rPr>
        <w:t xml:space="preserve"> </w:t>
      </w:r>
      <w:r w:rsidRPr="00842D3D">
        <w:rPr>
          <w:rFonts w:eastAsia="Times New Roman" w:cs="Times New Roman"/>
          <w:w w:val="105"/>
          <w:szCs w:val="24"/>
        </w:rPr>
        <w:t>711 n.8</w:t>
      </w:r>
      <w:r w:rsidRPr="00842D3D">
        <w:rPr>
          <w:rFonts w:eastAsia="Times New Roman" w:cs="Times New Roman"/>
          <w:spacing w:val="-1"/>
          <w:w w:val="105"/>
          <w:szCs w:val="24"/>
        </w:rPr>
        <w:t xml:space="preserve"> </w:t>
      </w:r>
      <w:r w:rsidRPr="00842D3D">
        <w:rPr>
          <w:rFonts w:eastAsia="Times New Roman" w:cs="Times New Roman"/>
          <w:w w:val="105"/>
          <w:szCs w:val="24"/>
        </w:rPr>
        <w:t>(citations omitted);</w:t>
      </w:r>
      <w:r w:rsidRPr="00842D3D">
        <w:rPr>
          <w:rFonts w:eastAsia="Times New Roman" w:cs="Times New Roman"/>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also</w:t>
      </w:r>
      <w:r w:rsidRPr="00842D3D">
        <w:rPr>
          <w:rFonts w:eastAsia="Times New Roman" w:cs="Times New Roman"/>
          <w:i/>
          <w:spacing w:val="-3"/>
          <w:w w:val="105"/>
          <w:szCs w:val="24"/>
        </w:rPr>
        <w:t xml:space="preserve"> </w:t>
      </w:r>
      <w:r w:rsidRPr="00842D3D">
        <w:rPr>
          <w:rFonts w:eastAsia="Times New Roman" w:cs="Times New Roman"/>
          <w:i/>
          <w:w w:val="105"/>
          <w:szCs w:val="24"/>
        </w:rPr>
        <w:t>id.</w:t>
      </w:r>
      <w:r w:rsidRPr="00842D3D">
        <w:rPr>
          <w:rFonts w:eastAsia="Times New Roman" w:cs="Times New Roman"/>
          <w:i/>
          <w:spacing w:val="-5"/>
          <w:w w:val="105"/>
          <w:szCs w:val="24"/>
        </w:rPr>
        <w:t xml:space="preserve"> </w:t>
      </w:r>
      <w:r w:rsidRPr="00842D3D">
        <w:rPr>
          <w:rFonts w:eastAsia="Times New Roman" w:cs="Times New Roman"/>
          <w:w w:val="105"/>
          <w:szCs w:val="24"/>
        </w:rPr>
        <w:t>at</w:t>
      </w:r>
      <w:r w:rsidRPr="00842D3D">
        <w:rPr>
          <w:rFonts w:eastAsia="Times New Roman" w:cs="Times New Roman"/>
          <w:spacing w:val="-7"/>
          <w:w w:val="105"/>
          <w:szCs w:val="24"/>
        </w:rPr>
        <w:t xml:space="preserve"> </w:t>
      </w:r>
      <w:r w:rsidRPr="00842D3D">
        <w:rPr>
          <w:rFonts w:eastAsia="Times New Roman" w:cs="Times New Roman"/>
          <w:w w:val="105"/>
          <w:szCs w:val="24"/>
        </w:rPr>
        <w:t>711</w:t>
      </w:r>
      <w:r w:rsidRPr="00842D3D">
        <w:rPr>
          <w:rFonts w:eastAsia="Times New Roman" w:cs="Times New Roman"/>
          <w:spacing w:val="-2"/>
          <w:w w:val="105"/>
          <w:szCs w:val="24"/>
        </w:rPr>
        <w:t xml:space="preserve"> </w:t>
      </w:r>
      <w:r w:rsidRPr="00842D3D">
        <w:rPr>
          <w:rFonts w:eastAsia="Times New Roman" w:cs="Times New Roman"/>
          <w:w w:val="105"/>
          <w:szCs w:val="24"/>
        </w:rPr>
        <w:t>(noting</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6"/>
          <w:w w:val="105"/>
          <w:szCs w:val="24"/>
        </w:rPr>
        <w:t xml:space="preserve"> the </w:t>
      </w:r>
      <w:r w:rsidRPr="00842D3D">
        <w:rPr>
          <w:rFonts w:eastAsia="Times New Roman" w:cs="Times New Roman"/>
          <w:w w:val="105"/>
          <w:szCs w:val="24"/>
        </w:rPr>
        <w:t>Ninth</w:t>
      </w:r>
      <w:r w:rsidRPr="00842D3D">
        <w:rPr>
          <w:rFonts w:eastAsia="Times New Roman" w:cs="Times New Roman"/>
          <w:spacing w:val="-6"/>
          <w:w w:val="105"/>
          <w:szCs w:val="24"/>
        </w:rPr>
        <w:t xml:space="preserve"> </w:t>
      </w:r>
      <w:r w:rsidRPr="00842D3D">
        <w:rPr>
          <w:rFonts w:eastAsia="Times New Roman" w:cs="Times New Roman"/>
          <w:w w:val="105"/>
          <w:szCs w:val="24"/>
        </w:rPr>
        <w:t>Circuit</w:t>
      </w:r>
      <w:r w:rsidRPr="00842D3D">
        <w:rPr>
          <w:rFonts w:eastAsia="Times New Roman" w:cs="Times New Roman"/>
          <w:spacing w:val="-12"/>
          <w:w w:val="105"/>
          <w:szCs w:val="24"/>
        </w:rPr>
        <w:t xml:space="preserve"> </w:t>
      </w:r>
      <w:r w:rsidRPr="00842D3D">
        <w:rPr>
          <w:rFonts w:eastAsia="Times New Roman" w:cs="Times New Roman"/>
          <w:w w:val="105"/>
          <w:szCs w:val="24"/>
        </w:rPr>
        <w:t>applies a</w:t>
      </w:r>
      <w:r w:rsidRPr="00842D3D">
        <w:rPr>
          <w:rFonts w:eastAsia="Times New Roman" w:cs="Times New Roman"/>
          <w:spacing w:val="-2"/>
          <w:w w:val="105"/>
          <w:szCs w:val="24"/>
        </w:rPr>
        <w:t xml:space="preserve"> </w:t>
      </w:r>
      <w:r w:rsidRPr="00842D3D">
        <w:rPr>
          <w:rFonts w:eastAsia="Times New Roman" w:cs="Times New Roman"/>
          <w:w w:val="105"/>
          <w:szCs w:val="24"/>
        </w:rPr>
        <w:t>“rule of reason” so that “the causation element . . . serves as a logical parameter to the range of gross profits a copyright plaintiff may seek”).</w:t>
      </w:r>
    </w:p>
    <w:p w14:paraId="7F55A0A1" w14:textId="77777777" w:rsidR="00842D3D" w:rsidRPr="00842D3D" w:rsidRDefault="00842D3D" w:rsidP="00842D3D">
      <w:pPr>
        <w:widowControl w:val="0"/>
        <w:autoSpaceDE w:val="0"/>
        <w:autoSpaceDN w:val="0"/>
        <w:rPr>
          <w:rFonts w:eastAsia="Times New Roman" w:cs="Times New Roman"/>
          <w:szCs w:val="24"/>
        </w:rPr>
      </w:pPr>
    </w:p>
    <w:p w14:paraId="130039E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Where the defendant’s profits are derived from both infringing and noninfringing activities, not all of the defendant’s profits can be attributed to the</w:t>
      </w:r>
      <w:r w:rsidRPr="00842D3D">
        <w:rPr>
          <w:rFonts w:eastAsia="Times New Roman" w:cs="Times New Roman"/>
          <w:spacing w:val="-5"/>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Accordingly,</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profits</w:t>
      </w:r>
      <w:r w:rsidRPr="00842D3D">
        <w:rPr>
          <w:rFonts w:eastAsia="Times New Roman" w:cs="Times New Roman"/>
          <w:spacing w:val="-3"/>
          <w:w w:val="105"/>
          <w:szCs w:val="24"/>
        </w:rPr>
        <w:t xml:space="preserve"> </w:t>
      </w:r>
      <w:r w:rsidRPr="00842D3D">
        <w:rPr>
          <w:rFonts w:eastAsia="Times New Roman" w:cs="Times New Roman"/>
          <w:w w:val="105"/>
          <w:szCs w:val="24"/>
        </w:rPr>
        <w:t>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5"/>
          <w:w w:val="105"/>
          <w:szCs w:val="24"/>
        </w:rPr>
        <w:t xml:space="preserve"> </w:t>
      </w:r>
      <w:r w:rsidRPr="00842D3D">
        <w:rPr>
          <w:rFonts w:eastAsia="Times New Roman" w:cs="Times New Roman"/>
          <w:w w:val="105"/>
          <w:szCs w:val="24"/>
        </w:rPr>
        <w:t>apportioned.</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Cream Records, Inc. v. Joseph Schlitz Brewing Co.</w:t>
      </w:r>
      <w:r w:rsidRPr="00842D3D">
        <w:rPr>
          <w:rFonts w:eastAsia="Times New Roman" w:cs="Times New Roman"/>
          <w:w w:val="105"/>
          <w:szCs w:val="24"/>
        </w:rPr>
        <w:t xml:space="preserve">, 754 F.2d 826, 828-29 (9th Cir. 1985); </w:t>
      </w:r>
      <w:r w:rsidRPr="00842D3D">
        <w:rPr>
          <w:rFonts w:eastAsia="Times New Roman" w:cs="Times New Roman"/>
          <w:i/>
          <w:w w:val="105"/>
          <w:szCs w:val="24"/>
        </w:rPr>
        <w:t>Polar Bear Prods.</w:t>
      </w:r>
      <w:r w:rsidRPr="00842D3D">
        <w:rPr>
          <w:rFonts w:eastAsia="Times New Roman" w:cs="Times New Roman"/>
          <w:w w:val="105"/>
          <w:szCs w:val="24"/>
        </w:rPr>
        <w:t>, 384 F.3d at 711-12 (“[T]o conclude that a copyright plaintiff</w:t>
      </w:r>
      <w:r w:rsidRPr="00842D3D">
        <w:rPr>
          <w:rFonts w:eastAsia="Times New Roman" w:cs="Times New Roman"/>
          <w:spacing w:val="-9"/>
          <w:w w:val="105"/>
          <w:szCs w:val="24"/>
        </w:rPr>
        <w:t xml:space="preserve"> </w:t>
      </w:r>
      <w:r w:rsidRPr="00842D3D">
        <w:rPr>
          <w:rFonts w:eastAsia="Times New Roman" w:cs="Times New Roman"/>
          <w:w w:val="105"/>
          <w:szCs w:val="24"/>
        </w:rPr>
        <w:t>need</w:t>
      </w:r>
      <w:r w:rsidRPr="00842D3D">
        <w:rPr>
          <w:rFonts w:eastAsia="Times New Roman" w:cs="Times New Roman"/>
          <w:spacing w:val="-6"/>
          <w:w w:val="105"/>
          <w:szCs w:val="24"/>
        </w:rPr>
        <w:t xml:space="preserve"> </w:t>
      </w:r>
      <w:r w:rsidRPr="00842D3D">
        <w:rPr>
          <w:rFonts w:eastAsia="Times New Roman" w:cs="Times New Roman"/>
          <w:w w:val="105"/>
          <w:szCs w:val="24"/>
        </w:rPr>
        <w:t>only</w:t>
      </w:r>
      <w:r w:rsidRPr="00842D3D">
        <w:rPr>
          <w:rFonts w:eastAsia="Times New Roman" w:cs="Times New Roman"/>
          <w:spacing w:val="-7"/>
          <w:w w:val="105"/>
          <w:szCs w:val="24"/>
        </w:rPr>
        <w:t xml:space="preserve"> </w:t>
      </w:r>
      <w:r w:rsidRPr="00842D3D">
        <w:rPr>
          <w:rFonts w:eastAsia="Times New Roman" w:cs="Times New Roman"/>
          <w:w w:val="105"/>
          <w:szCs w:val="24"/>
        </w:rPr>
        <w:t>provide</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7"/>
          <w:w w:val="105"/>
          <w:szCs w:val="24"/>
        </w:rPr>
        <w:t xml:space="preserve"> </w:t>
      </w:r>
      <w:r w:rsidRPr="00842D3D">
        <w:rPr>
          <w:rFonts w:eastAsia="Times New Roman" w:cs="Times New Roman"/>
          <w:w w:val="105"/>
          <w:szCs w:val="24"/>
        </w:rPr>
        <w:t>company’s</w:t>
      </w:r>
      <w:r w:rsidRPr="00842D3D">
        <w:rPr>
          <w:rFonts w:eastAsia="Times New Roman" w:cs="Times New Roman"/>
          <w:spacing w:val="-7"/>
          <w:w w:val="105"/>
          <w:szCs w:val="24"/>
        </w:rPr>
        <w:t xml:space="preserve"> </w:t>
      </w:r>
      <w:r w:rsidRPr="00842D3D">
        <w:rPr>
          <w:rFonts w:eastAsia="Times New Roman" w:cs="Times New Roman"/>
          <w:w w:val="105"/>
          <w:szCs w:val="24"/>
        </w:rPr>
        <w:t>overall</w:t>
      </w:r>
      <w:r w:rsidRPr="00842D3D">
        <w:rPr>
          <w:rFonts w:eastAsia="Times New Roman" w:cs="Times New Roman"/>
          <w:spacing w:val="-10"/>
          <w:w w:val="105"/>
          <w:szCs w:val="24"/>
        </w:rPr>
        <w:t xml:space="preserve"> </w:t>
      </w:r>
      <w:r w:rsidRPr="00842D3D">
        <w:rPr>
          <w:rFonts w:eastAsia="Times New Roman" w:cs="Times New Roman"/>
          <w:w w:val="105"/>
          <w:szCs w:val="24"/>
        </w:rPr>
        <w:t>gross</w:t>
      </w:r>
      <w:r w:rsidRPr="00842D3D">
        <w:rPr>
          <w:rFonts w:eastAsia="Times New Roman" w:cs="Times New Roman"/>
          <w:spacing w:val="-7"/>
          <w:w w:val="105"/>
          <w:szCs w:val="24"/>
        </w:rPr>
        <w:t xml:space="preserve"> </w:t>
      </w:r>
      <w:r w:rsidRPr="00842D3D">
        <w:rPr>
          <w:rFonts w:eastAsia="Times New Roman" w:cs="Times New Roman"/>
          <w:w w:val="105"/>
          <w:szCs w:val="24"/>
        </w:rPr>
        <w:t>revenue,</w:t>
      </w:r>
      <w:r w:rsidRPr="00842D3D">
        <w:rPr>
          <w:rFonts w:eastAsia="Times New Roman" w:cs="Times New Roman"/>
          <w:spacing w:val="-11"/>
          <w:w w:val="105"/>
          <w:szCs w:val="24"/>
        </w:rPr>
        <w:t xml:space="preserve"> </w:t>
      </w:r>
      <w:r w:rsidRPr="00842D3D">
        <w:rPr>
          <w:rFonts w:eastAsia="Times New Roman" w:cs="Times New Roman"/>
          <w:w w:val="105"/>
          <w:szCs w:val="24"/>
        </w:rPr>
        <w:t>without</w:t>
      </w:r>
      <w:r w:rsidRPr="00842D3D">
        <w:rPr>
          <w:rFonts w:eastAsia="Times New Roman" w:cs="Times New Roman"/>
          <w:spacing w:val="-10"/>
          <w:w w:val="105"/>
          <w:szCs w:val="24"/>
        </w:rPr>
        <w:t xml:space="preserve"> </w:t>
      </w:r>
      <w:r w:rsidRPr="00842D3D">
        <w:rPr>
          <w:rFonts w:eastAsia="Times New Roman" w:cs="Times New Roman"/>
          <w:w w:val="105"/>
          <w:szCs w:val="24"/>
        </w:rPr>
        <w:t>regard to the infringement, would make little practical or legal sense.”).</w:t>
      </w:r>
      <w:r w:rsidRPr="00842D3D">
        <w:rPr>
          <w:rFonts w:eastAsia="Times New Roman" w:cs="Times New Roman"/>
          <w:spacing w:val="40"/>
          <w:w w:val="105"/>
          <w:szCs w:val="24"/>
        </w:rPr>
        <w:t xml:space="preserve"> </w:t>
      </w:r>
      <w:r w:rsidRPr="00842D3D">
        <w:rPr>
          <w:rFonts w:eastAsia="Times New Roman" w:cs="Times New Roman"/>
          <w:w w:val="105"/>
          <w:szCs w:val="24"/>
        </w:rPr>
        <w:t>However, the benefit of the doubt in apportioning profits is given to the plaintiff.</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See Frank Music Corp. v. Metro-Goldwyn-Mayer, Inc. </w:t>
      </w:r>
      <w:r w:rsidRPr="00842D3D">
        <w:rPr>
          <w:rFonts w:eastAsia="Times New Roman" w:cs="Times New Roman"/>
          <w:i/>
          <w:iCs/>
          <w:w w:val="105"/>
          <w:szCs w:val="24"/>
        </w:rPr>
        <w:t>(</w:t>
      </w:r>
      <w:r w:rsidRPr="00842D3D">
        <w:rPr>
          <w:rFonts w:eastAsia="Times New Roman" w:cs="Times New Roman"/>
          <w:i/>
          <w:w w:val="105"/>
          <w:szCs w:val="24"/>
        </w:rPr>
        <w:t>Frank Music II</w:t>
      </w:r>
      <w:r w:rsidRPr="00842D3D">
        <w:rPr>
          <w:rFonts w:eastAsia="Times New Roman" w:cs="Times New Roman"/>
          <w:i/>
          <w:iCs/>
          <w:w w:val="105"/>
          <w:szCs w:val="24"/>
        </w:rPr>
        <w:t>)</w:t>
      </w:r>
      <w:r w:rsidRPr="00842D3D">
        <w:rPr>
          <w:rFonts w:eastAsia="Times New Roman" w:cs="Times New Roman"/>
          <w:w w:val="105"/>
          <w:szCs w:val="24"/>
        </w:rPr>
        <w:t>, 886 F.2d 1545, 1549 (9th Cir. 1989) (appeal after remand).</w:t>
      </w:r>
      <w:r w:rsidRPr="00842D3D">
        <w:rPr>
          <w:rFonts w:eastAsia="Times New Roman" w:cs="Times New Roman"/>
          <w:spacing w:val="40"/>
          <w:w w:val="105"/>
          <w:szCs w:val="24"/>
        </w:rPr>
        <w:t xml:space="preserve"> </w:t>
      </w:r>
      <w:r w:rsidRPr="00842D3D">
        <w:rPr>
          <w:rFonts w:eastAsia="Times New Roman" w:cs="Times New Roman"/>
          <w:w w:val="105"/>
          <w:szCs w:val="24"/>
        </w:rPr>
        <w:t>Precision is not</w:t>
      </w:r>
      <w:r w:rsidRPr="00842D3D">
        <w:rPr>
          <w:rFonts w:eastAsia="Times New Roman" w:cs="Times New Roman"/>
          <w:spacing w:val="-1"/>
          <w:w w:val="105"/>
          <w:szCs w:val="24"/>
        </w:rPr>
        <w:t xml:space="preserve"> </w:t>
      </w:r>
      <w:r w:rsidRPr="00842D3D">
        <w:rPr>
          <w:rFonts w:eastAsia="Times New Roman" w:cs="Times New Roman"/>
          <w:w w:val="105"/>
          <w:szCs w:val="24"/>
        </w:rPr>
        <w:t>required,</w:t>
      </w:r>
      <w:r w:rsidRPr="00842D3D">
        <w:rPr>
          <w:rFonts w:eastAsia="Times New Roman" w:cs="Times New Roman"/>
          <w:spacing w:val="-1"/>
          <w:w w:val="105"/>
          <w:szCs w:val="24"/>
        </w:rPr>
        <w:t xml:space="preserve"> </w:t>
      </w:r>
      <w:r w:rsidRPr="00842D3D">
        <w:rPr>
          <w:rFonts w:eastAsia="Times New Roman" w:cs="Times New Roman"/>
          <w:w w:val="105"/>
          <w:szCs w:val="24"/>
        </w:rPr>
        <w:t>as long</w:t>
      </w:r>
      <w:r w:rsidRPr="00842D3D">
        <w:rPr>
          <w:rFonts w:eastAsia="Times New Roman" w:cs="Times New Roman"/>
          <w:spacing w:val="-2"/>
          <w:w w:val="105"/>
          <w:szCs w:val="24"/>
        </w:rPr>
        <w:t xml:space="preserve"> </w:t>
      </w:r>
      <w:r w:rsidRPr="00842D3D">
        <w:rPr>
          <w:rFonts w:eastAsia="Times New Roman" w:cs="Times New Roman"/>
          <w:w w:val="105"/>
          <w:szCs w:val="24"/>
        </w:rPr>
        <w:t>as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 xml:space="preserve">“reasonable and just </w:t>
      </w:r>
      <w:r w:rsidRPr="00842D3D">
        <w:rPr>
          <w:rFonts w:eastAsia="Times New Roman" w:cs="Times New Roman"/>
          <w:w w:val="105"/>
          <w:szCs w:val="24"/>
        </w:rPr>
        <w:lastRenderedPageBreak/>
        <w:t>apportionment” of profits is reached.</w:t>
      </w:r>
      <w:r w:rsidRPr="00842D3D">
        <w:rPr>
          <w:rFonts w:eastAsia="Times New Roman" w:cs="Times New Roman"/>
          <w:spacing w:val="40"/>
          <w:w w:val="105"/>
          <w:szCs w:val="24"/>
        </w:rPr>
        <w:t xml:space="preserve"> </w:t>
      </w:r>
      <w:r w:rsidRPr="00842D3D">
        <w:rPr>
          <w:rFonts w:eastAsia="Times New Roman" w:cs="Times New Roman"/>
          <w:i/>
          <w:w w:val="105"/>
          <w:szCs w:val="24"/>
        </w:rPr>
        <w:t>See Frank Music I</w:t>
      </w:r>
      <w:r w:rsidRPr="00842D3D">
        <w:rPr>
          <w:rFonts w:eastAsia="Times New Roman" w:cs="Times New Roman"/>
          <w:w w:val="105"/>
          <w:szCs w:val="24"/>
        </w:rPr>
        <w:t>,</w:t>
      </w:r>
      <w:r w:rsidRPr="00842D3D">
        <w:rPr>
          <w:rFonts w:eastAsia="Times New Roman" w:cs="Times New Roman"/>
          <w:i/>
          <w:w w:val="105"/>
          <w:szCs w:val="24"/>
        </w:rPr>
        <w:t xml:space="preserve"> </w:t>
      </w:r>
      <w:r w:rsidRPr="00842D3D">
        <w:rPr>
          <w:rFonts w:eastAsia="Times New Roman" w:cs="Times New Roman"/>
          <w:w w:val="105"/>
          <w:szCs w:val="24"/>
        </w:rPr>
        <w:t>772 F.2d at 518.</w:t>
      </w:r>
      <w:r w:rsidRPr="00842D3D">
        <w:rPr>
          <w:rFonts w:eastAsia="Times New Roman" w:cs="Times New Roman"/>
          <w:spacing w:val="40"/>
          <w:w w:val="105"/>
          <w:szCs w:val="24"/>
        </w:rPr>
        <w:t xml:space="preserve"> </w:t>
      </w:r>
      <w:r w:rsidRPr="00842D3D">
        <w:rPr>
          <w:rFonts w:eastAsia="Times New Roman" w:cs="Times New Roman"/>
          <w:w w:val="105"/>
          <w:szCs w:val="24"/>
        </w:rPr>
        <w:t>In the final analysis, “where infringing and noninfringing</w:t>
      </w:r>
      <w:r w:rsidRPr="00842D3D">
        <w:rPr>
          <w:rFonts w:eastAsia="Times New Roman" w:cs="Times New Roman"/>
          <w:spacing w:val="40"/>
          <w:w w:val="105"/>
          <w:szCs w:val="24"/>
        </w:rPr>
        <w:t xml:space="preserve"> </w:t>
      </w:r>
      <w:r w:rsidRPr="00842D3D">
        <w:rPr>
          <w:rFonts w:eastAsia="Times New Roman" w:cs="Times New Roman"/>
          <w:w w:val="105"/>
          <w:szCs w:val="24"/>
        </w:rPr>
        <w:t>elements of a work cannot be readily separated, all of a defendant’s profits 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4"/>
          <w:w w:val="105"/>
          <w:szCs w:val="24"/>
        </w:rPr>
        <w:t xml:space="preserve"> </w:t>
      </w:r>
      <w:r w:rsidRPr="00842D3D">
        <w:rPr>
          <w:rFonts w:eastAsia="Times New Roman" w:cs="Times New Roman"/>
          <w:w w:val="105"/>
          <w:szCs w:val="24"/>
        </w:rPr>
        <w:t>awarded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Times New Roman" w:cs="Times New Roman"/>
          <w:i/>
          <w:w w:val="105"/>
          <w:szCs w:val="24"/>
        </w:rPr>
        <w:t>Nintendo</w:t>
      </w:r>
      <w:r w:rsidRPr="00842D3D">
        <w:rPr>
          <w:rFonts w:eastAsia="Times New Roman" w:cs="Times New Roman"/>
          <w:i/>
          <w:spacing w:val="-8"/>
          <w:w w:val="105"/>
          <w:szCs w:val="24"/>
        </w:rPr>
        <w:t xml:space="preserve"> </w:t>
      </w:r>
      <w:r w:rsidRPr="00842D3D">
        <w:rPr>
          <w:rFonts w:eastAsia="Times New Roman" w:cs="Times New Roman"/>
          <w:i/>
          <w:w w:val="105"/>
          <w:szCs w:val="24"/>
        </w:rPr>
        <w:t>of</w:t>
      </w:r>
      <w:r w:rsidRPr="00842D3D">
        <w:rPr>
          <w:rFonts w:eastAsia="Times New Roman" w:cs="Times New Roman"/>
          <w:i/>
          <w:spacing w:val="-13"/>
          <w:w w:val="105"/>
          <w:szCs w:val="24"/>
        </w:rPr>
        <w:t xml:space="preserve"> </w:t>
      </w:r>
      <w:r w:rsidRPr="00842D3D">
        <w:rPr>
          <w:rFonts w:eastAsia="Times New Roman" w:cs="Times New Roman"/>
          <w:i/>
          <w:w w:val="105"/>
          <w:szCs w:val="24"/>
        </w:rPr>
        <w:t>Am.,</w:t>
      </w:r>
      <w:r w:rsidRPr="00842D3D">
        <w:rPr>
          <w:rFonts w:eastAsia="Times New Roman" w:cs="Times New Roman"/>
          <w:i/>
          <w:spacing w:val="-13"/>
          <w:w w:val="105"/>
          <w:szCs w:val="24"/>
        </w:rPr>
        <w:t xml:space="preserve"> </w:t>
      </w:r>
      <w:r w:rsidRPr="00842D3D">
        <w:rPr>
          <w:rFonts w:eastAsia="Times New Roman" w:cs="Times New Roman"/>
          <w:i/>
          <w:w w:val="105"/>
          <w:szCs w:val="24"/>
        </w:rPr>
        <w:t>Inc.</w:t>
      </w:r>
      <w:r w:rsidRPr="00842D3D">
        <w:rPr>
          <w:rFonts w:eastAsia="Times New Roman" w:cs="Times New Roman"/>
          <w:i/>
          <w:spacing w:val="-12"/>
          <w:w w:val="105"/>
          <w:szCs w:val="24"/>
        </w:rPr>
        <w:t xml:space="preserve"> </w:t>
      </w:r>
      <w:r w:rsidRPr="00842D3D">
        <w:rPr>
          <w:rFonts w:eastAsia="Times New Roman" w:cs="Times New Roman"/>
          <w:i/>
          <w:w w:val="105"/>
          <w:szCs w:val="24"/>
        </w:rPr>
        <w:t>v.</w:t>
      </w:r>
      <w:r w:rsidRPr="00842D3D">
        <w:rPr>
          <w:rFonts w:eastAsia="Times New Roman" w:cs="Times New Roman"/>
          <w:i/>
          <w:spacing w:val="-13"/>
          <w:w w:val="105"/>
          <w:szCs w:val="24"/>
        </w:rPr>
        <w:t xml:space="preserve"> </w:t>
      </w:r>
      <w:r w:rsidRPr="00842D3D">
        <w:rPr>
          <w:rFonts w:eastAsia="Times New Roman" w:cs="Times New Roman"/>
          <w:i/>
          <w:w w:val="105"/>
          <w:szCs w:val="24"/>
        </w:rPr>
        <w:t>Dragon</w:t>
      </w:r>
      <w:r w:rsidRPr="00842D3D">
        <w:rPr>
          <w:rFonts w:eastAsia="Times New Roman" w:cs="Times New Roman"/>
          <w:i/>
          <w:spacing w:val="-7"/>
          <w:w w:val="105"/>
          <w:szCs w:val="24"/>
        </w:rPr>
        <w:t xml:space="preserve"> </w:t>
      </w:r>
      <w:r w:rsidRPr="00842D3D">
        <w:rPr>
          <w:rFonts w:eastAsia="Times New Roman" w:cs="Times New Roman"/>
          <w:i/>
          <w:w w:val="105"/>
          <w:szCs w:val="24"/>
        </w:rPr>
        <w:t>Pac.</w:t>
      </w:r>
      <w:r w:rsidRPr="00842D3D">
        <w:rPr>
          <w:rFonts w:eastAsia="Times New Roman" w:cs="Times New Roman"/>
          <w:i/>
          <w:spacing w:val="-13"/>
          <w:w w:val="105"/>
          <w:szCs w:val="24"/>
        </w:rPr>
        <w:t xml:space="preserve"> </w:t>
      </w:r>
      <w:r w:rsidRPr="00842D3D">
        <w:rPr>
          <w:rFonts w:eastAsia="Times New Roman" w:cs="Times New Roman"/>
          <w:i/>
          <w:w w:val="105"/>
          <w:szCs w:val="24"/>
        </w:rPr>
        <w:t>Int’l</w:t>
      </w:r>
      <w:r w:rsidRPr="00842D3D">
        <w:rPr>
          <w:rFonts w:eastAsia="Times New Roman" w:cs="Times New Roman"/>
          <w:w w:val="105"/>
          <w:szCs w:val="24"/>
        </w:rPr>
        <w:t>,</w:t>
      </w:r>
      <w:r w:rsidRPr="00842D3D">
        <w:rPr>
          <w:rFonts w:eastAsia="Times New Roman" w:cs="Times New Roman"/>
          <w:spacing w:val="-12"/>
          <w:w w:val="105"/>
          <w:szCs w:val="24"/>
        </w:rPr>
        <w:t xml:space="preserve"> </w:t>
      </w:r>
      <w:r w:rsidRPr="00842D3D">
        <w:rPr>
          <w:rFonts w:eastAsia="Times New Roman" w:cs="Times New Roman"/>
          <w:w w:val="105"/>
          <w:szCs w:val="24"/>
        </w:rPr>
        <w:t>40 F.3d 1007, 1012 (9th Cir. 1994) (citation omitted).</w:t>
      </w:r>
    </w:p>
    <w:p w14:paraId="0AB903BF" w14:textId="77777777" w:rsidR="00842D3D" w:rsidRPr="00842D3D" w:rsidRDefault="00842D3D" w:rsidP="00842D3D">
      <w:pPr>
        <w:widowControl w:val="0"/>
        <w:autoSpaceDE w:val="0"/>
        <w:autoSpaceDN w:val="0"/>
        <w:rPr>
          <w:rFonts w:eastAsia="Times New Roman" w:cs="Times New Roman"/>
          <w:szCs w:val="24"/>
        </w:rPr>
      </w:pPr>
    </w:p>
    <w:p w14:paraId="76D160C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 xml:space="preserve">For cases providing examples of the calculation of profits, </w:t>
      </w:r>
      <w:r w:rsidRPr="00842D3D">
        <w:rPr>
          <w:rFonts w:eastAsia="Times New Roman" w:cs="Times New Roman"/>
          <w:iCs/>
          <w:w w:val="105"/>
          <w:szCs w:val="24"/>
        </w:rPr>
        <w:t>see</w:t>
      </w:r>
      <w:r w:rsidRPr="00842D3D">
        <w:rPr>
          <w:rFonts w:eastAsia="Times New Roman" w:cs="Times New Roman"/>
          <w:i/>
          <w:w w:val="105"/>
          <w:szCs w:val="24"/>
        </w:rPr>
        <w:t xml:space="preserve"> Polar Bear</w:t>
      </w:r>
      <w:r w:rsidRPr="00842D3D">
        <w:rPr>
          <w:rFonts w:eastAsia="Times New Roman" w:cs="Times New Roman"/>
          <w:i/>
          <w:spacing w:val="-6"/>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384</w:t>
      </w:r>
      <w:r w:rsidRPr="00842D3D">
        <w:rPr>
          <w:rFonts w:eastAsia="Times New Roman" w:cs="Times New Roman"/>
          <w:spacing w:val="-4"/>
          <w:w w:val="105"/>
          <w:szCs w:val="24"/>
        </w:rPr>
        <w:t xml:space="preserve"> </w:t>
      </w:r>
      <w:r w:rsidRPr="00842D3D">
        <w:rPr>
          <w:rFonts w:eastAsia="Times New Roman" w:cs="Times New Roman"/>
          <w:w w:val="105"/>
          <w:szCs w:val="24"/>
        </w:rPr>
        <w:t>F.3d</w:t>
      </w:r>
      <w:r w:rsidRPr="00842D3D">
        <w:rPr>
          <w:rFonts w:eastAsia="Times New Roman" w:cs="Times New Roman"/>
          <w:spacing w:val="-9"/>
          <w:w w:val="105"/>
          <w:szCs w:val="24"/>
        </w:rPr>
        <w:t xml:space="preserve"> </w:t>
      </w:r>
      <w:r w:rsidRPr="00842D3D">
        <w:rPr>
          <w:rFonts w:eastAsia="Times New Roman" w:cs="Times New Roman"/>
          <w:w w:val="105"/>
          <w:szCs w:val="24"/>
        </w:rPr>
        <w:t>at</w:t>
      </w:r>
      <w:r w:rsidRPr="00842D3D">
        <w:rPr>
          <w:rFonts w:eastAsia="Times New Roman" w:cs="Times New Roman"/>
          <w:spacing w:val="-14"/>
          <w:w w:val="105"/>
          <w:szCs w:val="24"/>
        </w:rPr>
        <w:t xml:space="preserve"> </w:t>
      </w:r>
      <w:r w:rsidRPr="00842D3D">
        <w:rPr>
          <w:rFonts w:eastAsia="Times New Roman" w:cs="Times New Roman"/>
          <w:w w:val="105"/>
          <w:szCs w:val="24"/>
        </w:rPr>
        <w:t>712-16</w:t>
      </w:r>
      <w:r w:rsidRPr="00842D3D">
        <w:rPr>
          <w:rFonts w:eastAsia="Times New Roman" w:cs="Times New Roman"/>
          <w:spacing w:val="-9"/>
          <w:w w:val="105"/>
          <w:szCs w:val="24"/>
        </w:rPr>
        <w:t xml:space="preserve"> </w:t>
      </w:r>
      <w:r w:rsidRPr="00842D3D">
        <w:rPr>
          <w:rFonts w:eastAsia="Times New Roman" w:cs="Times New Roman"/>
          <w:w w:val="105"/>
          <w:szCs w:val="24"/>
        </w:rPr>
        <w:t>(upholding</w:t>
      </w:r>
      <w:r w:rsidRPr="00842D3D">
        <w:rPr>
          <w:rFonts w:eastAsia="Times New Roman" w:cs="Times New Roman"/>
          <w:spacing w:val="-10"/>
          <w:w w:val="105"/>
          <w:szCs w:val="24"/>
        </w:rPr>
        <w:t xml:space="preserve"> an </w:t>
      </w:r>
      <w:r w:rsidRPr="00842D3D">
        <w:rPr>
          <w:rFonts w:eastAsia="Times New Roman" w:cs="Times New Roman"/>
          <w:w w:val="105"/>
          <w:szCs w:val="24"/>
        </w:rPr>
        <w:t>award</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2"/>
          <w:w w:val="105"/>
          <w:szCs w:val="24"/>
        </w:rPr>
        <w:t xml:space="preserve"> </w:t>
      </w:r>
      <w:r w:rsidRPr="00842D3D">
        <w:rPr>
          <w:rFonts w:eastAsia="Times New Roman" w:cs="Times New Roman"/>
          <w:w w:val="105"/>
          <w:szCs w:val="24"/>
        </w:rPr>
        <w:t>profits</w:t>
      </w:r>
      <w:r w:rsidRPr="00842D3D">
        <w:rPr>
          <w:rFonts w:eastAsia="Times New Roman" w:cs="Times New Roman"/>
          <w:spacing w:val="-9"/>
          <w:w w:val="105"/>
          <w:szCs w:val="24"/>
        </w:rPr>
        <w:t xml:space="preserve"> </w:t>
      </w:r>
      <w:r w:rsidRPr="00842D3D">
        <w:rPr>
          <w:rFonts w:eastAsia="Times New Roman" w:cs="Times New Roman"/>
          <w:w w:val="105"/>
          <w:szCs w:val="24"/>
        </w:rPr>
        <w:t>based</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 xml:space="preserve">expert testimony of certain sales figures but rejecting an award for enhanced brand prestige); </w:t>
      </w:r>
      <w:r w:rsidRPr="00842D3D">
        <w:rPr>
          <w:rFonts w:eastAsia="Times New Roman" w:cs="Times New Roman"/>
          <w:i/>
          <w:w w:val="105"/>
          <w:szCs w:val="24"/>
        </w:rPr>
        <w:t>Frank Music I</w:t>
      </w:r>
      <w:r w:rsidRPr="00842D3D">
        <w:rPr>
          <w:rFonts w:eastAsia="Times New Roman" w:cs="Times New Roman"/>
          <w:w w:val="105"/>
          <w:szCs w:val="24"/>
        </w:rPr>
        <w:t xml:space="preserve">, 772 F.2d at 518-19 (discussing the calculation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proof</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profits</w:t>
      </w:r>
      <w:r w:rsidRPr="00842D3D">
        <w:rPr>
          <w:rFonts w:eastAsia="Times New Roman" w:cs="Times New Roman"/>
          <w:spacing w:val="40"/>
          <w:szCs w:val="24"/>
        </w:rPr>
        <w:t xml:space="preserve"> </w:t>
      </w:r>
      <w:r w:rsidRPr="00842D3D">
        <w:rPr>
          <w:rFonts w:eastAsia="Times New Roman" w:cs="Times New Roman"/>
          <w:szCs w:val="24"/>
        </w:rPr>
        <w:t>attributable</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an </w:t>
      </w:r>
      <w:r w:rsidRPr="00842D3D">
        <w:rPr>
          <w:rFonts w:eastAsia="Times New Roman" w:cs="Times New Roman"/>
          <w:szCs w:val="24"/>
        </w:rPr>
        <w:t>infringement</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that</w:t>
      </w:r>
      <w:r w:rsidRPr="00842D3D">
        <w:rPr>
          <w:rFonts w:eastAsia="Times New Roman" w:cs="Times New Roman"/>
          <w:spacing w:val="40"/>
          <w:szCs w:val="24"/>
        </w:rPr>
        <w:t xml:space="preserve"> </w:t>
      </w:r>
      <w:r w:rsidRPr="00842D3D">
        <w:rPr>
          <w:rFonts w:eastAsia="Times New Roman" w:cs="Times New Roman"/>
          <w:szCs w:val="24"/>
        </w:rPr>
        <w:t>indirect profits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recoverable if they are ascertainable; e.g., the plaintiff could</w:t>
      </w:r>
      <w:r w:rsidRPr="00842D3D">
        <w:rPr>
          <w:rFonts w:eastAsia="Times New Roman" w:cs="Times New Roman"/>
          <w:spacing w:val="40"/>
          <w:szCs w:val="24"/>
        </w:rPr>
        <w:t xml:space="preserve"> </w:t>
      </w:r>
      <w:r w:rsidRPr="00842D3D">
        <w:rPr>
          <w:rFonts w:eastAsia="Times New Roman" w:cs="Times New Roman"/>
          <w:szCs w:val="24"/>
        </w:rPr>
        <w:t>claim profits that resulted</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hotel</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gambling</w:t>
      </w:r>
      <w:r w:rsidRPr="00842D3D">
        <w:rPr>
          <w:rFonts w:eastAsia="Times New Roman" w:cs="Times New Roman"/>
          <w:spacing w:val="40"/>
          <w:szCs w:val="24"/>
        </w:rPr>
        <w:t xml:space="preserve"> </w:t>
      </w:r>
      <w:r w:rsidRPr="00842D3D">
        <w:rPr>
          <w:rFonts w:eastAsia="Times New Roman" w:cs="Times New Roman"/>
          <w:szCs w:val="24"/>
        </w:rPr>
        <w:t>operations if those profits were attributable to</w:t>
      </w:r>
      <w:r w:rsidRPr="00842D3D">
        <w:rPr>
          <w:rFonts w:eastAsia="Times New Roman" w:cs="Times New Roman"/>
          <w:spacing w:val="40"/>
          <w:szCs w:val="24"/>
        </w:rPr>
        <w:t xml:space="preserve"> an</w:t>
      </w:r>
      <w:r w:rsidRPr="00842D3D">
        <w:rPr>
          <w:rFonts w:eastAsia="Times New Roman" w:cs="Times New Roman"/>
          <w:szCs w:val="24"/>
        </w:rPr>
        <w:t xml:space="preserve"> infringing</w:t>
      </w:r>
      <w:r w:rsidRPr="00842D3D">
        <w:rPr>
          <w:rFonts w:eastAsia="Times New Roman" w:cs="Times New Roman"/>
          <w:spacing w:val="40"/>
          <w:szCs w:val="24"/>
        </w:rPr>
        <w:t xml:space="preserve"> </w:t>
      </w:r>
      <w:r w:rsidRPr="00842D3D">
        <w:rPr>
          <w:rFonts w:eastAsia="Times New Roman" w:cs="Times New Roman"/>
          <w:szCs w:val="24"/>
        </w:rPr>
        <w:t xml:space="preserve">stage show); </w:t>
      </w:r>
      <w:r w:rsidRPr="00842D3D">
        <w:rPr>
          <w:rFonts w:eastAsia="Times New Roman" w:cs="Times New Roman"/>
          <w:i/>
          <w:szCs w:val="24"/>
        </w:rPr>
        <w:t>Cream Records</w:t>
      </w:r>
      <w:r w:rsidRPr="00842D3D">
        <w:rPr>
          <w:rFonts w:eastAsia="Times New Roman" w:cs="Times New Roman"/>
          <w:szCs w:val="24"/>
        </w:rPr>
        <w:t>, 754</w:t>
      </w:r>
      <w:r w:rsidRPr="00842D3D">
        <w:rPr>
          <w:rFonts w:eastAsia="Times New Roman" w:cs="Times New Roman"/>
          <w:spacing w:val="40"/>
          <w:szCs w:val="24"/>
        </w:rPr>
        <w:t xml:space="preserve"> </w:t>
      </w:r>
      <w:r w:rsidRPr="00842D3D">
        <w:rPr>
          <w:rFonts w:eastAsia="Times New Roman" w:cs="Times New Roman"/>
          <w:szCs w:val="24"/>
        </w:rPr>
        <w:t>F.2d</w:t>
      </w:r>
      <w:r w:rsidRPr="00842D3D">
        <w:rPr>
          <w:rFonts w:eastAsia="Times New Roman" w:cs="Times New Roman"/>
          <w:spacing w:val="40"/>
          <w:szCs w:val="24"/>
        </w:rPr>
        <w:t xml:space="preserve"> </w:t>
      </w:r>
      <w:r w:rsidRPr="00842D3D">
        <w:rPr>
          <w:rFonts w:eastAsia="Times New Roman" w:cs="Times New Roman"/>
          <w:szCs w:val="24"/>
        </w:rPr>
        <w:t>at 828-29</w:t>
      </w:r>
      <w:r w:rsidRPr="00842D3D">
        <w:rPr>
          <w:rFonts w:eastAsia="Times New Roman" w:cs="Times New Roman"/>
          <w:spacing w:val="40"/>
          <w:szCs w:val="24"/>
        </w:rPr>
        <w:t xml:space="preserve"> </w:t>
      </w:r>
      <w:r w:rsidRPr="00842D3D">
        <w:rPr>
          <w:rFonts w:eastAsia="Times New Roman" w:cs="Times New Roman"/>
          <w:szCs w:val="24"/>
        </w:rPr>
        <w:t>(awarding</w:t>
      </w:r>
      <w:r w:rsidRPr="00842D3D">
        <w:rPr>
          <w:rFonts w:eastAsia="Times New Roman" w:cs="Times New Roman"/>
          <w:spacing w:val="40"/>
          <w:szCs w:val="24"/>
        </w:rPr>
        <w:t xml:space="preserve"> </w:t>
      </w:r>
      <w:r w:rsidRPr="00842D3D">
        <w:rPr>
          <w:rFonts w:eastAsia="Times New Roman" w:cs="Times New Roman"/>
          <w:szCs w:val="24"/>
        </w:rPr>
        <w:t>profits from</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sale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beverage</w:t>
      </w:r>
      <w:r w:rsidRPr="00842D3D">
        <w:rPr>
          <w:rFonts w:eastAsia="Times New Roman" w:cs="Times New Roman"/>
          <w:spacing w:val="40"/>
          <w:szCs w:val="24"/>
        </w:rPr>
        <w:t xml:space="preserve"> </w:t>
      </w:r>
      <w:r w:rsidRPr="00842D3D">
        <w:rPr>
          <w:rFonts w:eastAsia="Times New Roman" w:cs="Times New Roman"/>
          <w:szCs w:val="24"/>
        </w:rPr>
        <w:t>following</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use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plaintiff’s</w:t>
      </w:r>
      <w:r w:rsidRPr="00842D3D">
        <w:rPr>
          <w:rFonts w:eastAsia="Times New Roman" w:cs="Times New Roman"/>
          <w:spacing w:val="32"/>
          <w:szCs w:val="24"/>
        </w:rPr>
        <w:t xml:space="preserve"> </w:t>
      </w:r>
      <w:r w:rsidRPr="00842D3D">
        <w:rPr>
          <w:rFonts w:eastAsia="Times New Roman" w:cs="Times New Roman"/>
          <w:szCs w:val="24"/>
        </w:rPr>
        <w:t>song</w:t>
      </w:r>
      <w:r w:rsidRPr="00842D3D">
        <w:rPr>
          <w:rFonts w:eastAsia="Times New Roman" w:cs="Times New Roman"/>
          <w:spacing w:val="32"/>
          <w:szCs w:val="24"/>
        </w:rPr>
        <w:t xml:space="preserve"> </w:t>
      </w:r>
      <w:r w:rsidRPr="00842D3D">
        <w:rPr>
          <w:rFonts w:eastAsia="Times New Roman" w:cs="Times New Roman"/>
          <w:szCs w:val="24"/>
        </w:rPr>
        <w:t>in</w:t>
      </w:r>
      <w:r w:rsidRPr="00842D3D">
        <w:rPr>
          <w:rFonts w:eastAsia="Times New Roman" w:cs="Times New Roman"/>
          <w:spacing w:val="32"/>
          <w:szCs w:val="24"/>
        </w:rPr>
        <w:t xml:space="preserve"> a </w:t>
      </w:r>
      <w:r w:rsidRPr="00842D3D">
        <w:rPr>
          <w:rFonts w:eastAsia="Times New Roman" w:cs="Times New Roman"/>
          <w:szCs w:val="24"/>
        </w:rPr>
        <w:t xml:space="preserve">commercial); </w:t>
      </w:r>
      <w:r w:rsidRPr="00842D3D">
        <w:rPr>
          <w:rFonts w:eastAsia="Times New Roman" w:cs="Times New Roman"/>
          <w:i/>
          <w:szCs w:val="24"/>
        </w:rPr>
        <w:t xml:space="preserve"> Williams v. Gaye</w:t>
      </w:r>
      <w:r w:rsidRPr="00842D3D">
        <w:rPr>
          <w:rFonts w:eastAsia="Times New Roman" w:cs="Times New Roman"/>
          <w:szCs w:val="24"/>
        </w:rPr>
        <w:t xml:space="preserve">, 895 F.3d 1106, 1129-30 (9th Cir. 2018) (explaining that the defendants “bore the burden of proof” and that the jury was free to apportion more than the percentage estimates of the defendant’s expert, but less than the percentage estimates of the plaintiff’s expert (citation omitted)); and </w:t>
      </w:r>
      <w:r w:rsidRPr="00842D3D">
        <w:rPr>
          <w:rFonts w:eastAsia="Times New Roman" w:cs="Times New Roman"/>
          <w:i/>
          <w:szCs w:val="24"/>
        </w:rPr>
        <w:t>Unicolors,</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H&amp;M</w:t>
      </w:r>
      <w:r w:rsidRPr="00842D3D">
        <w:rPr>
          <w:rFonts w:eastAsia="Times New Roman" w:cs="Times New Roman"/>
          <w:i/>
          <w:spacing w:val="-3"/>
          <w:szCs w:val="24"/>
        </w:rPr>
        <w:t xml:space="preserve"> </w:t>
      </w:r>
      <w:r w:rsidRPr="00842D3D">
        <w:rPr>
          <w:rFonts w:eastAsia="Times New Roman" w:cs="Times New Roman"/>
          <w:i/>
          <w:szCs w:val="24"/>
        </w:rPr>
        <w:t>Hennes</w:t>
      </w:r>
      <w:r w:rsidRPr="00842D3D">
        <w:rPr>
          <w:rFonts w:eastAsia="Times New Roman" w:cs="Times New Roman"/>
          <w:i/>
          <w:spacing w:val="-3"/>
          <w:szCs w:val="24"/>
        </w:rPr>
        <w:t xml:space="preserve"> </w:t>
      </w:r>
      <w:r w:rsidRPr="00842D3D">
        <w:rPr>
          <w:rFonts w:eastAsia="Times New Roman" w:cs="Times New Roman"/>
          <w:i/>
          <w:szCs w:val="24"/>
        </w:rPr>
        <w:t>&amp;</w:t>
      </w:r>
      <w:r w:rsidRPr="00842D3D">
        <w:rPr>
          <w:rFonts w:eastAsia="Times New Roman" w:cs="Times New Roman"/>
          <w:i/>
          <w:spacing w:val="-3"/>
          <w:szCs w:val="24"/>
        </w:rPr>
        <w:t xml:space="preserve"> </w:t>
      </w:r>
      <w:r w:rsidRPr="00842D3D">
        <w:rPr>
          <w:rFonts w:eastAsia="Times New Roman" w:cs="Times New Roman"/>
          <w:i/>
          <w:szCs w:val="24"/>
        </w:rPr>
        <w:t>Mauritz,</w:t>
      </w:r>
      <w:r w:rsidRPr="00842D3D">
        <w:rPr>
          <w:rFonts w:eastAsia="Times New Roman" w:cs="Times New Roman"/>
          <w:i/>
          <w:spacing w:val="-3"/>
          <w:szCs w:val="24"/>
        </w:rPr>
        <w:t xml:space="preserve"> </w:t>
      </w:r>
      <w:r w:rsidRPr="00842D3D">
        <w:rPr>
          <w:rFonts w:eastAsia="Times New Roman" w:cs="Times New Roman"/>
          <w:i/>
          <w:szCs w:val="24"/>
        </w:rPr>
        <w:t>L.P.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52</w:t>
      </w:r>
      <w:r w:rsidRPr="00842D3D">
        <w:rPr>
          <w:rFonts w:eastAsia="Times New Roman" w:cs="Times New Roman"/>
          <w:spacing w:val="-4"/>
          <w:szCs w:val="24"/>
        </w:rPr>
        <w:t xml:space="preserve"> </w:t>
      </w:r>
      <w:r w:rsidRPr="00842D3D">
        <w:rPr>
          <w:rFonts w:eastAsia="Times New Roman" w:cs="Times New Roman"/>
          <w:szCs w:val="24"/>
        </w:rPr>
        <w:t>F.4th</w:t>
      </w:r>
      <w:r w:rsidRPr="00842D3D">
        <w:rPr>
          <w:rFonts w:eastAsia="Times New Roman" w:cs="Times New Roman"/>
          <w:spacing w:val="-4"/>
          <w:szCs w:val="24"/>
        </w:rPr>
        <w:t xml:space="preserve"> </w:t>
      </w:r>
      <w:r w:rsidRPr="00842D3D">
        <w:rPr>
          <w:rFonts w:eastAsia="Times New Roman" w:cs="Times New Roman"/>
          <w:szCs w:val="24"/>
        </w:rPr>
        <w:t>1054,</w:t>
      </w:r>
      <w:r w:rsidRPr="00842D3D">
        <w:rPr>
          <w:rFonts w:eastAsia="Times New Roman" w:cs="Times New Roman"/>
          <w:spacing w:val="-4"/>
          <w:szCs w:val="24"/>
        </w:rPr>
        <w:t xml:space="preserve"> </w:t>
      </w:r>
      <w:r w:rsidRPr="00842D3D">
        <w:rPr>
          <w:rFonts w:eastAsia="Times New Roman" w:cs="Times New Roman"/>
          <w:szCs w:val="24"/>
        </w:rPr>
        <w:t>1075</w:t>
      </w:r>
      <w:r w:rsidRPr="00842D3D">
        <w:rPr>
          <w:rFonts w:eastAsia="Times New Roman" w:cs="Times New Roman"/>
          <w:spacing w:val="-4"/>
          <w:szCs w:val="24"/>
        </w:rPr>
        <w:t xml:space="preserve"> </w:t>
      </w:r>
      <w:r w:rsidRPr="00842D3D">
        <w:rPr>
          <w:rFonts w:eastAsia="Times New Roman" w:cs="Times New Roman"/>
          <w:szCs w:val="24"/>
        </w:rPr>
        <w:t>n.9</w:t>
      </w:r>
      <w:r w:rsidRPr="00842D3D">
        <w:rPr>
          <w:rFonts w:eastAsia="Times New Roman" w:cs="Times New Roman"/>
          <w:spacing w:val="-4"/>
          <w:szCs w:val="24"/>
        </w:rPr>
        <w:t xml:space="preserve"> </w:t>
      </w:r>
      <w:r w:rsidRPr="00842D3D">
        <w:rPr>
          <w:rFonts w:eastAsia="Times New Roman" w:cs="Times New Roman"/>
          <w:szCs w:val="24"/>
        </w:rPr>
        <w:t>(9th</w:t>
      </w:r>
      <w:r w:rsidRPr="00842D3D">
        <w:rPr>
          <w:rFonts w:eastAsia="Times New Roman" w:cs="Times New Roman"/>
          <w:spacing w:val="-4"/>
          <w:szCs w:val="24"/>
        </w:rPr>
        <w:t xml:space="preserve"> </w:t>
      </w:r>
      <w:r w:rsidRPr="00842D3D">
        <w:rPr>
          <w:rFonts w:eastAsia="Times New Roman" w:cs="Times New Roman"/>
          <w:szCs w:val="24"/>
        </w:rPr>
        <w:t>Cir. 2022) (accepting that the plaintiff “satisfied its burden in proving disgorgement damages, even without placing an expert damages witness on the stand” because the “sales price” and “number of units sold” could be used to calculate the infringer’s “gross revenue”).</w:t>
      </w:r>
    </w:p>
    <w:p w14:paraId="597B449B" w14:textId="77777777" w:rsidR="00842D3D" w:rsidRPr="00842D3D" w:rsidRDefault="00842D3D" w:rsidP="00842D3D">
      <w:pPr>
        <w:widowControl w:val="0"/>
        <w:autoSpaceDE w:val="0"/>
        <w:autoSpaceDN w:val="0"/>
        <w:rPr>
          <w:rFonts w:eastAsia="Times New Roman" w:cs="Times New Roman"/>
          <w:szCs w:val="24"/>
        </w:rPr>
      </w:pPr>
    </w:p>
    <w:p w14:paraId="6903C7B2" w14:textId="77777777" w:rsidR="00842D3D" w:rsidRPr="00842D3D" w:rsidRDefault="00842D3D" w:rsidP="00842D3D">
      <w:pPr>
        <w:ind w:firstLine="720"/>
        <w:rPr>
          <w:rFonts w:eastAsia="Times New Roman" w:cs="Times New Roman"/>
          <w:w w:val="105"/>
          <w:szCs w:val="24"/>
        </w:rPr>
      </w:pPr>
      <w:r w:rsidRPr="00842D3D">
        <w:rPr>
          <w:rFonts w:eastAsia="Times New Roman" w:cs="Times New Roman"/>
          <w:w w:val="105"/>
          <w:szCs w:val="24"/>
        </w:rPr>
        <w:t>For cases providing examples of the deductions from the defendant’s gross</w:t>
      </w:r>
      <w:r w:rsidRPr="00842D3D">
        <w:rPr>
          <w:rFonts w:eastAsia="Times New Roman" w:cs="Times New Roman"/>
          <w:spacing w:val="-4"/>
          <w:w w:val="105"/>
          <w:szCs w:val="24"/>
        </w:rPr>
        <w:t xml:space="preserve"> </w:t>
      </w:r>
      <w:r w:rsidRPr="00842D3D">
        <w:rPr>
          <w:rFonts w:eastAsia="Times New Roman" w:cs="Times New Roman"/>
          <w:w w:val="105"/>
          <w:szCs w:val="24"/>
        </w:rPr>
        <w:t>revenue,</w:t>
      </w:r>
      <w:r w:rsidRPr="00842D3D">
        <w:rPr>
          <w:rFonts w:eastAsia="Times New Roman" w:cs="Times New Roman"/>
          <w:spacing w:val="-4"/>
          <w:w w:val="105"/>
          <w:szCs w:val="24"/>
        </w:rPr>
        <w:t xml:space="preserve"> </w:t>
      </w:r>
      <w:r w:rsidRPr="00842D3D">
        <w:rPr>
          <w:rFonts w:eastAsia="Times New Roman" w:cs="Times New Roman"/>
          <w:iCs/>
          <w:w w:val="105"/>
          <w:szCs w:val="24"/>
        </w:rPr>
        <w:t>see</w:t>
      </w:r>
      <w:r w:rsidRPr="00842D3D">
        <w:rPr>
          <w:rFonts w:eastAsia="Times New Roman" w:cs="Times New Roman"/>
          <w:i/>
          <w:spacing w:val="-5"/>
          <w:w w:val="105"/>
          <w:szCs w:val="24"/>
        </w:rPr>
        <w:t xml:space="preserve"> </w:t>
      </w:r>
      <w:r w:rsidRPr="00842D3D">
        <w:rPr>
          <w:rFonts w:eastAsia="Times New Roman" w:cs="Times New Roman"/>
          <w:i/>
          <w:w w:val="105"/>
          <w:szCs w:val="24"/>
        </w:rPr>
        <w:t>Frank</w:t>
      </w:r>
      <w:r w:rsidRPr="00842D3D">
        <w:rPr>
          <w:rFonts w:eastAsia="Times New Roman" w:cs="Times New Roman"/>
          <w:i/>
          <w:spacing w:val="-5"/>
          <w:w w:val="105"/>
          <w:szCs w:val="24"/>
        </w:rPr>
        <w:t xml:space="preserve"> </w:t>
      </w:r>
      <w:r w:rsidRPr="00842D3D">
        <w:rPr>
          <w:rFonts w:eastAsia="Times New Roman" w:cs="Times New Roman"/>
          <w:i/>
          <w:w w:val="105"/>
          <w:szCs w:val="24"/>
        </w:rPr>
        <w:t>Music</w:t>
      </w:r>
      <w:r w:rsidRPr="00842D3D">
        <w:rPr>
          <w:rFonts w:eastAsia="Times New Roman" w:cs="Times New Roman"/>
          <w:i/>
          <w:spacing w:val="-5"/>
          <w:w w:val="105"/>
          <w:szCs w:val="24"/>
        </w:rPr>
        <w:t xml:space="preserve"> II</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886</w:t>
      </w:r>
      <w:r w:rsidRPr="00842D3D">
        <w:rPr>
          <w:rFonts w:eastAsia="Times New Roman" w:cs="Times New Roman"/>
          <w:spacing w:val="-4"/>
          <w:w w:val="105"/>
          <w:szCs w:val="24"/>
        </w:rPr>
        <w:t xml:space="preserve"> </w:t>
      </w:r>
      <w:r w:rsidRPr="00842D3D">
        <w:rPr>
          <w:rFonts w:eastAsia="Times New Roman" w:cs="Times New Roman"/>
          <w:w w:val="105"/>
          <w:szCs w:val="24"/>
        </w:rPr>
        <w:t>F.2d</w:t>
      </w:r>
      <w:r w:rsidRPr="00842D3D">
        <w:rPr>
          <w:rFonts w:eastAsia="Times New Roman" w:cs="Times New Roman"/>
          <w:spacing w:val="-4"/>
          <w:w w:val="105"/>
          <w:szCs w:val="24"/>
        </w:rPr>
        <w:t xml:space="preserve"> </w:t>
      </w:r>
      <w:r w:rsidRPr="00842D3D">
        <w:rPr>
          <w:rFonts w:eastAsia="Times New Roman" w:cs="Times New Roman"/>
          <w:w w:val="105"/>
          <w:szCs w:val="24"/>
        </w:rPr>
        <w:t>at</w:t>
      </w:r>
      <w:r w:rsidRPr="00842D3D">
        <w:rPr>
          <w:rFonts w:eastAsia="Times New Roman" w:cs="Times New Roman"/>
          <w:spacing w:val="-3"/>
          <w:w w:val="105"/>
          <w:szCs w:val="24"/>
        </w:rPr>
        <w:t xml:space="preserve"> </w:t>
      </w:r>
      <w:r w:rsidRPr="00842D3D">
        <w:rPr>
          <w:rFonts w:eastAsia="Times New Roman" w:cs="Times New Roman"/>
          <w:w w:val="105"/>
          <w:szCs w:val="24"/>
        </w:rPr>
        <w:t>1548</w:t>
      </w:r>
      <w:r w:rsidRPr="00842D3D">
        <w:rPr>
          <w:rFonts w:eastAsia="Times New Roman" w:cs="Times New Roman"/>
          <w:spacing w:val="-4"/>
          <w:w w:val="105"/>
          <w:szCs w:val="24"/>
        </w:rPr>
        <w:t xml:space="preserve"> </w:t>
      </w:r>
      <w:r w:rsidRPr="00842D3D">
        <w:rPr>
          <w:rFonts w:eastAsia="Times New Roman" w:cs="Times New Roman"/>
          <w:w w:val="105"/>
          <w:szCs w:val="24"/>
        </w:rPr>
        <w:t>(deducting</w:t>
      </w:r>
      <w:r w:rsidRPr="00842D3D">
        <w:rPr>
          <w:rFonts w:eastAsia="Times New Roman" w:cs="Times New Roman"/>
          <w:spacing w:val="-4"/>
          <w:w w:val="105"/>
          <w:szCs w:val="24"/>
        </w:rPr>
        <w:t xml:space="preserve"> </w:t>
      </w:r>
      <w:r w:rsidRPr="00842D3D">
        <w:rPr>
          <w:rFonts w:eastAsia="Times New Roman" w:cs="Times New Roman"/>
          <w:w w:val="105"/>
          <w:szCs w:val="24"/>
        </w:rPr>
        <w:t>direct</w:t>
      </w:r>
      <w:r w:rsidRPr="00842D3D">
        <w:rPr>
          <w:rFonts w:eastAsia="Times New Roman" w:cs="Times New Roman"/>
          <w:spacing w:val="-3"/>
          <w:w w:val="105"/>
          <w:szCs w:val="24"/>
        </w:rPr>
        <w:t xml:space="preserve"> </w:t>
      </w:r>
      <w:r w:rsidRPr="00842D3D">
        <w:rPr>
          <w:rFonts w:eastAsia="Times New Roman" w:cs="Times New Roman"/>
          <w:w w:val="105"/>
          <w:szCs w:val="24"/>
        </w:rPr>
        <w:t xml:space="preserve">costs of production from the defendant’s gross profit); </w:t>
      </w:r>
      <w:r w:rsidRPr="00842D3D">
        <w:rPr>
          <w:rFonts w:eastAsia="Times New Roman" w:cs="Times New Roman"/>
          <w:i/>
          <w:w w:val="105"/>
          <w:szCs w:val="24"/>
        </w:rPr>
        <w:t>Kamar Int’l, Inc. v. Russ Berrie &amp; Co</w:t>
      </w:r>
      <w:r w:rsidRPr="00842D3D">
        <w:rPr>
          <w:rFonts w:eastAsia="Times New Roman" w:cs="Times New Roman"/>
          <w:w w:val="105"/>
          <w:szCs w:val="24"/>
        </w:rPr>
        <w:t xml:space="preserve">., 752 F.2d 1326, 1332 (9th Cir. 1984) (allowing deduction of overhead when the infringer demonstrated that it actually assisted production, distribution, or sale of the infringing product); </w:t>
      </w:r>
      <w:r w:rsidRPr="00842D3D">
        <w:rPr>
          <w:rFonts w:eastAsia="Times New Roman" w:cs="Times New Roman"/>
          <w:i/>
          <w:w w:val="105"/>
          <w:szCs w:val="24"/>
        </w:rPr>
        <w:t>Three Boys Music</w:t>
      </w:r>
      <w:r w:rsidRPr="00842D3D">
        <w:rPr>
          <w:rFonts w:eastAsia="Times New Roman" w:cs="Times New Roman"/>
          <w:w w:val="105"/>
          <w:szCs w:val="24"/>
        </w:rPr>
        <w:t>,</w:t>
      </w:r>
      <w:r w:rsidRPr="00842D3D">
        <w:rPr>
          <w:rFonts w:eastAsia="Times New Roman" w:cs="Times New Roman"/>
          <w:spacing w:val="-3"/>
          <w:w w:val="105"/>
          <w:szCs w:val="24"/>
        </w:rPr>
        <w:t xml:space="preserve"> </w:t>
      </w:r>
      <w:r w:rsidRPr="00842D3D">
        <w:rPr>
          <w:rFonts w:eastAsia="Times New Roman" w:cs="Times New Roman"/>
          <w:w w:val="105"/>
          <w:szCs w:val="24"/>
        </w:rPr>
        <w:t>212</w:t>
      </w:r>
      <w:r w:rsidRPr="00842D3D">
        <w:rPr>
          <w:rFonts w:eastAsia="Times New Roman" w:cs="Times New Roman"/>
          <w:spacing w:val="-1"/>
          <w:w w:val="105"/>
          <w:szCs w:val="24"/>
        </w:rPr>
        <w:t xml:space="preserve"> </w:t>
      </w:r>
      <w:r w:rsidRPr="00842D3D">
        <w:rPr>
          <w:rFonts w:eastAsia="Times New Roman" w:cs="Times New Roman"/>
          <w:w w:val="105"/>
          <w:szCs w:val="24"/>
        </w:rPr>
        <w:t>F.3d</w:t>
      </w:r>
      <w:r w:rsidRPr="00842D3D">
        <w:rPr>
          <w:rFonts w:eastAsia="Times New Roman" w:cs="Times New Roman"/>
          <w:spacing w:val="-1"/>
          <w:w w:val="105"/>
          <w:szCs w:val="24"/>
        </w:rPr>
        <w:t xml:space="preserve"> </w:t>
      </w:r>
      <w:r w:rsidRPr="00842D3D">
        <w:rPr>
          <w:rFonts w:eastAsia="Times New Roman" w:cs="Times New Roman"/>
          <w:w w:val="105"/>
          <w:szCs w:val="24"/>
        </w:rPr>
        <w:t>at</w:t>
      </w:r>
      <w:r w:rsidRPr="00842D3D">
        <w:rPr>
          <w:rFonts w:eastAsia="Times New Roman" w:cs="Times New Roman"/>
          <w:spacing w:val="-1"/>
          <w:w w:val="105"/>
          <w:szCs w:val="24"/>
        </w:rPr>
        <w:t xml:space="preserve"> </w:t>
      </w:r>
      <w:r w:rsidRPr="00842D3D">
        <w:rPr>
          <w:rFonts w:eastAsia="Times New Roman" w:cs="Times New Roman"/>
          <w:w w:val="105"/>
          <w:szCs w:val="24"/>
        </w:rPr>
        <w:t>487</w:t>
      </w:r>
      <w:r w:rsidRPr="00842D3D">
        <w:rPr>
          <w:rFonts w:eastAsia="Times New Roman" w:cs="Times New Roman"/>
          <w:spacing w:val="-1"/>
          <w:w w:val="105"/>
          <w:szCs w:val="24"/>
        </w:rPr>
        <w:t xml:space="preserve"> </w:t>
      </w:r>
      <w:r w:rsidRPr="00842D3D">
        <w:rPr>
          <w:rFonts w:eastAsia="Times New Roman" w:cs="Times New Roman"/>
          <w:w w:val="105"/>
          <w:szCs w:val="24"/>
        </w:rPr>
        <w:t>(adopting</w:t>
      </w:r>
      <w:r w:rsidRPr="00842D3D">
        <w:rPr>
          <w:rFonts w:eastAsia="Times New Roman" w:cs="Times New Roman"/>
          <w:spacing w:val="-11"/>
          <w:w w:val="105"/>
          <w:szCs w:val="24"/>
        </w:rPr>
        <w:t xml:space="preserve"> the </w:t>
      </w:r>
      <w:r w:rsidRPr="00842D3D">
        <w:rPr>
          <w:rFonts w:eastAsia="Times New Roman" w:cs="Times New Roman"/>
          <w:w w:val="105"/>
          <w:szCs w:val="24"/>
        </w:rPr>
        <w:t>special</w:t>
      </w:r>
      <w:r w:rsidRPr="00842D3D">
        <w:rPr>
          <w:rFonts w:eastAsia="Times New Roman" w:cs="Times New Roman"/>
          <w:spacing w:val="-14"/>
          <w:w w:val="105"/>
          <w:szCs w:val="24"/>
        </w:rPr>
        <w:t xml:space="preserve"> </w:t>
      </w:r>
      <w:r w:rsidRPr="00842D3D">
        <w:rPr>
          <w:rFonts w:eastAsia="Times New Roman" w:cs="Times New Roman"/>
          <w:w w:val="105"/>
          <w:szCs w:val="24"/>
        </w:rPr>
        <w:t>master’s</w:t>
      </w:r>
      <w:r w:rsidRPr="00842D3D">
        <w:rPr>
          <w:rFonts w:eastAsia="Times New Roman" w:cs="Times New Roman"/>
          <w:spacing w:val="-10"/>
          <w:w w:val="105"/>
          <w:szCs w:val="24"/>
        </w:rPr>
        <w:t xml:space="preserve"> </w:t>
      </w:r>
      <w:r w:rsidRPr="00842D3D">
        <w:rPr>
          <w:rFonts w:eastAsia="Times New Roman" w:cs="Times New Roman"/>
          <w:w w:val="105"/>
          <w:szCs w:val="24"/>
        </w:rPr>
        <w:t>recommendation</w:t>
      </w:r>
      <w:r w:rsidRPr="00842D3D">
        <w:rPr>
          <w:rFonts w:eastAsia="Times New Roman" w:cs="Times New Roman"/>
          <w:spacing w:val="-10"/>
          <w:w w:val="105"/>
          <w:szCs w:val="24"/>
        </w:rPr>
        <w:t xml:space="preserve"> </w:t>
      </w:r>
      <w:r w:rsidRPr="00842D3D">
        <w:rPr>
          <w:rFonts w:eastAsia="Times New Roman" w:cs="Times New Roman"/>
          <w:w w:val="105"/>
          <w:szCs w:val="24"/>
        </w:rPr>
        <w:t>to</w:t>
      </w:r>
      <w:r w:rsidRPr="00842D3D">
        <w:rPr>
          <w:rFonts w:eastAsia="Times New Roman" w:cs="Times New Roman"/>
          <w:spacing w:val="-10"/>
          <w:w w:val="105"/>
          <w:szCs w:val="24"/>
        </w:rPr>
        <w:t xml:space="preserve"> </w:t>
      </w:r>
      <w:r w:rsidRPr="00842D3D">
        <w:rPr>
          <w:rFonts w:eastAsia="Times New Roman" w:cs="Times New Roman"/>
          <w:w w:val="105"/>
          <w:szCs w:val="24"/>
        </w:rPr>
        <w:t>allow nonwillful infringers to deduct income taxes and management fees actually paid on infringing profits, but not on Net Operating Loss Carry-forward (NOL) because NOL did not have a “concrete financial impact”).</w:t>
      </w:r>
    </w:p>
    <w:p w14:paraId="5110EC40" w14:textId="77777777" w:rsidR="00842D3D" w:rsidRPr="00842D3D" w:rsidRDefault="00842D3D" w:rsidP="00842D3D">
      <w:pPr>
        <w:ind w:firstLine="720"/>
        <w:rPr>
          <w:rFonts w:eastAsia="Times New Roman" w:cs="Times New Roman"/>
          <w:w w:val="105"/>
          <w:szCs w:val="24"/>
        </w:rPr>
      </w:pPr>
    </w:p>
    <w:p w14:paraId="1144455E" w14:textId="77777777" w:rsidR="00842D3D" w:rsidRPr="00842D3D" w:rsidRDefault="00842D3D" w:rsidP="00842D3D">
      <w:pPr>
        <w:jc w:val="right"/>
        <w:rPr>
          <w:rFonts w:eastAsia="Calibri" w:cs="Times New Roman"/>
          <w:i/>
          <w:iCs/>
          <w:szCs w:val="24"/>
        </w:rPr>
      </w:pPr>
      <w:r w:rsidRPr="00842D3D">
        <w:rPr>
          <w:rFonts w:eastAsia="Times New Roman" w:cs="Times New Roman"/>
          <w:i/>
          <w:iCs/>
          <w:w w:val="105"/>
          <w:szCs w:val="24"/>
        </w:rPr>
        <w:t>Revised Dec. 2023</w:t>
      </w:r>
    </w:p>
    <w:p w14:paraId="0325F3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1ECF38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A4696BF" w14:textId="558139FE" w:rsidR="00842D3D" w:rsidRPr="00842D3D" w:rsidRDefault="00842D3D" w:rsidP="00313A05">
      <w:pPr>
        <w:pStyle w:val="Heading2"/>
      </w:pPr>
      <w:r w:rsidRPr="00842D3D">
        <w:br w:type="page"/>
      </w:r>
      <w:bookmarkStart w:id="440" w:name="_Toc221525338"/>
      <w:r w:rsidRPr="00842D3D">
        <w:lastRenderedPageBreak/>
        <w:t>17.3</w:t>
      </w:r>
      <w:r w:rsidR="003B11C4">
        <w:t>7</w:t>
      </w:r>
      <w:r w:rsidR="00826E77">
        <w:t xml:space="preserve"> </w:t>
      </w:r>
      <w:r w:rsidRPr="00842D3D">
        <w:t xml:space="preserve">Copyright—Damages—Statutory </w:t>
      </w:r>
      <w:r w:rsidRPr="00842D3D">
        <w:rPr>
          <w:spacing w:val="-4"/>
        </w:rPr>
        <w:t xml:space="preserve">Damages </w:t>
      </w:r>
      <w:r w:rsidRPr="00842D3D">
        <w:t>(17 U.S.C. § 504(c))</w:t>
      </w:r>
      <w:bookmarkEnd w:id="440"/>
    </w:p>
    <w:p w14:paraId="61120A08" w14:textId="77777777" w:rsidR="00842D3D" w:rsidRPr="00842D3D" w:rsidRDefault="00842D3D" w:rsidP="00842D3D">
      <w:pPr>
        <w:widowControl w:val="0"/>
        <w:autoSpaceDE w:val="0"/>
        <w:autoSpaceDN w:val="0"/>
        <w:rPr>
          <w:rFonts w:eastAsia="Times New Roman" w:cs="Times New Roman"/>
          <w:b/>
          <w:szCs w:val="24"/>
        </w:rPr>
      </w:pPr>
    </w:p>
    <w:p w14:paraId="0C17BD49"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w:t>
      </w:r>
      <w:r w:rsidRPr="00842D3D">
        <w:rPr>
          <w:rFonts w:eastAsia="Times New Roman" w:cs="Times New Roman"/>
          <w:spacing w:val="-4"/>
          <w:w w:val="105"/>
          <w:szCs w:val="24"/>
        </w:rPr>
        <w:t xml:space="preserve"> [</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r w:rsidRPr="00842D3D">
        <w:rPr>
          <w:rFonts w:eastAsia="Times New Roman" w:cs="Times New Roman"/>
          <w:w w:val="105"/>
          <w:szCs w:val="24"/>
        </w:rPr>
        <w:t>is entitled to [statutory] damages for each work infringed. In determining [statutory] damages, you may consider the following factors:</w:t>
      </w:r>
    </w:p>
    <w:p w14:paraId="05C54DF9" w14:textId="77777777" w:rsidR="00842D3D" w:rsidRPr="00842D3D" w:rsidRDefault="00842D3D" w:rsidP="00842D3D">
      <w:pPr>
        <w:widowControl w:val="0"/>
        <w:autoSpaceDE w:val="0"/>
        <w:autoSpaceDN w:val="0"/>
        <w:rPr>
          <w:rFonts w:eastAsia="Times New Roman" w:cs="Times New Roman"/>
          <w:szCs w:val="24"/>
        </w:rPr>
      </w:pPr>
    </w:p>
    <w:p w14:paraId="7D4D02A0"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lost</w:t>
      </w:r>
      <w:r w:rsidRPr="00842D3D">
        <w:rPr>
          <w:rFonts w:eastAsia="Calibri" w:cs="Times New Roman"/>
          <w:spacing w:val="-4"/>
          <w:szCs w:val="24"/>
        </w:rPr>
        <w:t xml:space="preserve"> </w:t>
      </w:r>
      <w:r w:rsidRPr="00842D3D">
        <w:rPr>
          <w:rFonts w:eastAsia="Calibri" w:cs="Times New Roman"/>
          <w:szCs w:val="24"/>
        </w:rPr>
        <w:t>by</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copyright</w:t>
      </w:r>
      <w:r w:rsidRPr="00842D3D">
        <w:rPr>
          <w:rFonts w:eastAsia="Calibri" w:cs="Times New Roman"/>
          <w:spacing w:val="-4"/>
          <w:szCs w:val="24"/>
        </w:rPr>
        <w:t xml:space="preserve"> </w:t>
      </w:r>
      <w:r w:rsidRPr="00842D3D">
        <w:rPr>
          <w:rFonts w:eastAsia="Calibri" w:cs="Times New Roman"/>
          <w:szCs w:val="24"/>
        </w:rPr>
        <w:t>holder</w:t>
      </w:r>
      <w:r w:rsidRPr="00842D3D">
        <w:rPr>
          <w:rFonts w:eastAsia="Calibri" w:cs="Times New Roman"/>
          <w:spacing w:val="-4"/>
          <w:szCs w:val="24"/>
        </w:rPr>
        <w:t xml:space="preserve"> </w:t>
      </w:r>
      <w:r w:rsidRPr="00842D3D">
        <w:rPr>
          <w:rFonts w:eastAsia="Calibri" w:cs="Times New Roman"/>
          <w:szCs w:val="24"/>
        </w:rPr>
        <w:t>as</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 xml:space="preserve">the </w:t>
      </w:r>
      <w:r w:rsidRPr="00842D3D">
        <w:rPr>
          <w:rFonts w:eastAsia="Calibri" w:cs="Times New Roman"/>
          <w:spacing w:val="-2"/>
          <w:szCs w:val="24"/>
        </w:rPr>
        <w:t>infringement;</w:t>
      </w:r>
    </w:p>
    <w:p w14:paraId="0E6AA4AC" w14:textId="77777777" w:rsidR="00842D3D" w:rsidRPr="00842D3D" w:rsidRDefault="00842D3D" w:rsidP="00021D2C">
      <w:pPr>
        <w:widowControl w:val="0"/>
        <w:autoSpaceDE w:val="0"/>
        <w:autoSpaceDN w:val="0"/>
        <w:ind w:firstLine="720"/>
        <w:rPr>
          <w:rFonts w:eastAsia="Times New Roman" w:cs="Times New Roman"/>
          <w:szCs w:val="24"/>
        </w:rPr>
      </w:pPr>
    </w:p>
    <w:p w14:paraId="2C3C075E"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profits</w:t>
      </w:r>
      <w:r w:rsidRPr="00842D3D">
        <w:rPr>
          <w:rFonts w:eastAsia="Calibri" w:cs="Times New Roman"/>
          <w:spacing w:val="-6"/>
          <w:szCs w:val="24"/>
        </w:rPr>
        <w:t xml:space="preserve"> </w:t>
      </w:r>
      <w:r w:rsidRPr="00842D3D">
        <w:rPr>
          <w:rFonts w:eastAsia="Calibri" w:cs="Times New Roman"/>
          <w:szCs w:val="24"/>
        </w:rPr>
        <w:t>earned</w:t>
      </w:r>
      <w:r w:rsidRPr="00842D3D">
        <w:rPr>
          <w:rFonts w:eastAsia="Calibri" w:cs="Times New Roman"/>
          <w:spacing w:val="-5"/>
          <w:szCs w:val="24"/>
        </w:rPr>
        <w:t xml:space="preserve"> </w:t>
      </w:r>
      <w:r w:rsidRPr="00842D3D">
        <w:rPr>
          <w:rFonts w:eastAsia="Calibri" w:cs="Times New Roman"/>
          <w:szCs w:val="24"/>
        </w:rPr>
        <w:t>by</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defendant</w:t>
      </w:r>
      <w:r w:rsidRPr="00842D3D">
        <w:rPr>
          <w:rFonts w:eastAsia="Calibri" w:cs="Times New Roman"/>
          <w:spacing w:val="-4"/>
          <w:szCs w:val="24"/>
        </w:rPr>
        <w:t xml:space="preserve"> </w:t>
      </w:r>
      <w:r w:rsidRPr="00842D3D">
        <w:rPr>
          <w:rFonts w:eastAsia="Times New Roman" w:cs="Times New Roman"/>
          <w:spacing w:val="-4"/>
          <w:w w:val="105"/>
          <w:szCs w:val="24"/>
        </w:rPr>
        <w:t>[</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r w:rsidRPr="00842D3D">
        <w:rPr>
          <w:rFonts w:eastAsia="Calibri" w:cs="Times New Roman"/>
          <w:szCs w:val="24"/>
        </w:rPr>
        <w:t>as</w:t>
      </w:r>
      <w:r w:rsidRPr="00842D3D">
        <w:rPr>
          <w:rFonts w:eastAsia="Calibri" w:cs="Times New Roman"/>
          <w:spacing w:val="-6"/>
          <w:szCs w:val="24"/>
        </w:rPr>
        <w:t xml:space="preserve"> </w:t>
      </w:r>
      <w:r w:rsidRPr="00842D3D">
        <w:rPr>
          <w:rFonts w:eastAsia="Calibri" w:cs="Times New Roman"/>
          <w:szCs w:val="24"/>
        </w:rPr>
        <w:t>a</w:t>
      </w:r>
      <w:r w:rsidRPr="00842D3D">
        <w:rPr>
          <w:rFonts w:eastAsia="Calibri" w:cs="Times New Roman"/>
          <w:spacing w:val="-5"/>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pacing w:val="-2"/>
          <w:szCs w:val="24"/>
        </w:rPr>
        <w:t>infringement;</w:t>
      </w:r>
    </w:p>
    <w:p w14:paraId="15F3736C" w14:textId="77777777" w:rsidR="00842D3D" w:rsidRPr="00842D3D" w:rsidRDefault="00842D3D" w:rsidP="00021D2C">
      <w:pPr>
        <w:widowControl w:val="0"/>
        <w:autoSpaceDE w:val="0"/>
        <w:autoSpaceDN w:val="0"/>
        <w:ind w:firstLine="720"/>
        <w:rPr>
          <w:rFonts w:eastAsia="Times New Roman" w:cs="Times New Roman"/>
          <w:szCs w:val="24"/>
        </w:rPr>
      </w:pPr>
    </w:p>
    <w:p w14:paraId="379FBAA5"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5"/>
          <w:szCs w:val="24"/>
        </w:rPr>
        <w:t xml:space="preserve"> </w:t>
      </w:r>
      <w:r w:rsidRPr="00842D3D">
        <w:rPr>
          <w:rFonts w:eastAsia="Calibri" w:cs="Times New Roman"/>
          <w:szCs w:val="24"/>
        </w:rPr>
        <w:t>deter</w:t>
      </w:r>
      <w:r w:rsidRPr="00842D3D">
        <w:rPr>
          <w:rFonts w:eastAsia="Calibri" w:cs="Times New Roman"/>
          <w:spacing w:val="-6"/>
          <w:szCs w:val="24"/>
        </w:rPr>
        <w:t xml:space="preserve"> </w:t>
      </w:r>
      <w:r w:rsidRPr="00842D3D">
        <w:rPr>
          <w:rFonts w:eastAsia="Calibri" w:cs="Times New Roman"/>
          <w:szCs w:val="24"/>
        </w:rPr>
        <w:t>future</w:t>
      </w:r>
      <w:r w:rsidRPr="00842D3D">
        <w:rPr>
          <w:rFonts w:eastAsia="Calibri" w:cs="Times New Roman"/>
          <w:spacing w:val="-6"/>
          <w:szCs w:val="24"/>
        </w:rPr>
        <w:t xml:space="preserve"> </w:t>
      </w:r>
      <w:r w:rsidRPr="00842D3D">
        <w:rPr>
          <w:rFonts w:eastAsia="Calibri" w:cs="Times New Roman"/>
          <w:spacing w:val="-2"/>
          <w:szCs w:val="24"/>
        </w:rPr>
        <w:t>infringement;</w:t>
      </w:r>
    </w:p>
    <w:p w14:paraId="05C81F91" w14:textId="77777777" w:rsidR="00842D3D" w:rsidRPr="00842D3D" w:rsidRDefault="00842D3D" w:rsidP="00021D2C">
      <w:pPr>
        <w:widowControl w:val="0"/>
        <w:autoSpaceDE w:val="0"/>
        <w:autoSpaceDN w:val="0"/>
        <w:ind w:firstLine="720"/>
        <w:rPr>
          <w:rFonts w:eastAsia="Times New Roman" w:cs="Times New Roman"/>
          <w:szCs w:val="24"/>
        </w:rPr>
      </w:pPr>
    </w:p>
    <w:p w14:paraId="696FA60F"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6"/>
          <w:szCs w:val="24"/>
        </w:rPr>
        <w:t xml:space="preserve"> </w:t>
      </w:r>
      <w:r w:rsidRPr="00842D3D">
        <w:rPr>
          <w:rFonts w:eastAsia="Calibri" w:cs="Times New Roman"/>
          <w:szCs w:val="24"/>
        </w:rPr>
        <w:t>penalize</w:t>
      </w:r>
      <w:r w:rsidRPr="00842D3D">
        <w:rPr>
          <w:rFonts w:eastAsia="Calibri" w:cs="Times New Roman"/>
          <w:spacing w:val="-5"/>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pacing w:val="-2"/>
          <w:szCs w:val="24"/>
        </w:rPr>
        <w:t>infringer;</w:t>
      </w:r>
    </w:p>
    <w:p w14:paraId="7B4289FA" w14:textId="77777777" w:rsidR="00842D3D" w:rsidRPr="00842D3D" w:rsidRDefault="00842D3D" w:rsidP="00021D2C">
      <w:pPr>
        <w:widowControl w:val="0"/>
        <w:autoSpaceDE w:val="0"/>
        <w:autoSpaceDN w:val="0"/>
        <w:ind w:firstLine="720"/>
        <w:rPr>
          <w:rFonts w:eastAsia="Times New Roman" w:cs="Times New Roman"/>
          <w:szCs w:val="24"/>
        </w:rPr>
      </w:pPr>
    </w:p>
    <w:p w14:paraId="42B437AD"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circumstances</w:t>
      </w:r>
      <w:r w:rsidRPr="00842D3D">
        <w:rPr>
          <w:rFonts w:eastAsia="Calibri" w:cs="Times New Roman"/>
          <w:spacing w:val="-9"/>
          <w:szCs w:val="24"/>
        </w:rPr>
        <w:t xml:space="preserve"> </w:t>
      </w:r>
      <w:r w:rsidRPr="00842D3D">
        <w:rPr>
          <w:rFonts w:eastAsia="Calibri" w:cs="Times New Roman"/>
          <w:szCs w:val="24"/>
        </w:rPr>
        <w:t>of</w:t>
      </w:r>
      <w:r w:rsidRPr="00842D3D">
        <w:rPr>
          <w:rFonts w:eastAsia="Calibri" w:cs="Times New Roman"/>
          <w:spacing w:val="-9"/>
          <w:szCs w:val="24"/>
        </w:rPr>
        <w:t xml:space="preserve"> </w:t>
      </w: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pacing w:val="-5"/>
          <w:szCs w:val="24"/>
        </w:rPr>
        <w:t>and</w:t>
      </w:r>
    </w:p>
    <w:p w14:paraId="16C8CB6E" w14:textId="77777777" w:rsidR="00842D3D" w:rsidRPr="00842D3D" w:rsidRDefault="00842D3D" w:rsidP="00021D2C">
      <w:pPr>
        <w:widowControl w:val="0"/>
        <w:autoSpaceDE w:val="0"/>
        <w:autoSpaceDN w:val="0"/>
        <w:ind w:firstLine="720"/>
        <w:rPr>
          <w:rFonts w:eastAsia="Times New Roman" w:cs="Times New Roman"/>
          <w:szCs w:val="24"/>
        </w:rPr>
      </w:pPr>
    </w:p>
    <w:p w14:paraId="3030FDCC"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
      <w:r w:rsidRPr="00842D3D">
        <w:rPr>
          <w:rFonts w:eastAsia="Calibri" w:cs="Times New Roman"/>
          <w:szCs w:val="24"/>
        </w:rPr>
        <w:t>whether</w:t>
      </w:r>
      <w:r w:rsidRPr="00842D3D">
        <w:rPr>
          <w:rFonts w:eastAsia="Calibri" w:cs="Times New Roman"/>
          <w:spacing w:val="-10"/>
          <w:szCs w:val="24"/>
        </w:rPr>
        <w:t xml:space="preserve"> </w:t>
      </w: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zCs w:val="24"/>
        </w:rPr>
        <w:t>was</w:t>
      </w:r>
      <w:r w:rsidRPr="00842D3D">
        <w:rPr>
          <w:rFonts w:eastAsia="Calibri" w:cs="Times New Roman"/>
          <w:spacing w:val="-10"/>
          <w:szCs w:val="24"/>
        </w:rPr>
        <w:t xml:space="preserve"> </w:t>
      </w:r>
      <w:r w:rsidRPr="00842D3D">
        <w:rPr>
          <w:rFonts w:eastAsia="Calibri" w:cs="Times New Roman"/>
          <w:spacing w:val="-2"/>
          <w:szCs w:val="24"/>
        </w:rPr>
        <w:t>intentional.</w:t>
      </w:r>
    </w:p>
    <w:p w14:paraId="628555D9" w14:textId="77777777" w:rsidR="00842D3D" w:rsidRPr="00842D3D" w:rsidRDefault="00842D3D" w:rsidP="00842D3D">
      <w:pPr>
        <w:widowControl w:val="0"/>
        <w:autoSpaceDE w:val="0"/>
        <w:autoSpaceDN w:val="0"/>
        <w:ind w:firstLine="718"/>
        <w:rPr>
          <w:rFonts w:eastAsia="Calibri" w:cs="Times New Roman"/>
          <w:szCs w:val="24"/>
        </w:rPr>
      </w:pPr>
    </w:p>
    <w:p w14:paraId="303B3E66"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4"/>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not </w:t>
      </w:r>
      <w:r w:rsidRPr="00842D3D">
        <w:rPr>
          <w:rFonts w:eastAsia="Times New Roman" w:cs="Times New Roman"/>
          <w:w w:val="105"/>
          <w:szCs w:val="24"/>
        </w:rPr>
        <w:t>award</w:t>
      </w:r>
      <w:r w:rsidRPr="00842D3D">
        <w:rPr>
          <w:rFonts w:eastAsia="Times New Roman" w:cs="Times New Roman"/>
          <w:spacing w:val="-11"/>
          <w:w w:val="105"/>
          <w:szCs w:val="24"/>
        </w:rPr>
        <w:t xml:space="preserve"> </w:t>
      </w:r>
      <w:r w:rsidRPr="00842D3D">
        <w:rPr>
          <w:rFonts w:eastAsia="Times New Roman" w:cs="Times New Roman"/>
          <w:w w:val="105"/>
          <w:szCs w:val="24"/>
        </w:rPr>
        <w:t>as</w:t>
      </w:r>
      <w:r w:rsidRPr="00842D3D">
        <w:rPr>
          <w:rFonts w:eastAsia="Times New Roman" w:cs="Times New Roman"/>
          <w:spacing w:val="-14"/>
          <w:w w:val="105"/>
          <w:szCs w:val="24"/>
        </w:rPr>
        <w:t xml:space="preserve"> </w:t>
      </w:r>
      <w:r w:rsidRPr="00842D3D">
        <w:rPr>
          <w:rFonts w:eastAsia="Times New Roman" w:cs="Times New Roman"/>
          <w:w w:val="105"/>
          <w:szCs w:val="24"/>
        </w:rPr>
        <w:t>statutory</w:t>
      </w:r>
      <w:r w:rsidRPr="00842D3D">
        <w:rPr>
          <w:rFonts w:eastAsia="Times New Roman" w:cs="Times New Roman"/>
          <w:spacing w:val="-11"/>
          <w:w w:val="105"/>
          <w:szCs w:val="24"/>
        </w:rPr>
        <w:t xml:space="preserve"> </w:t>
      </w:r>
      <w:r w:rsidRPr="00842D3D">
        <w:rPr>
          <w:rFonts w:eastAsia="Times New Roman" w:cs="Times New Roman"/>
          <w:w w:val="105"/>
          <w:szCs w:val="24"/>
        </w:rPr>
        <w:t>damages</w:t>
      </w:r>
      <w:r w:rsidRPr="00842D3D">
        <w:rPr>
          <w:rFonts w:eastAsia="Times New Roman" w:cs="Times New Roman"/>
          <w:spacing w:val="-17"/>
          <w:w w:val="105"/>
          <w:szCs w:val="24"/>
        </w:rPr>
        <w:t xml:space="preserve"> </w:t>
      </w:r>
      <w:r w:rsidRPr="00842D3D">
        <w:rPr>
          <w:rFonts w:eastAsia="Times New Roman" w:cs="Times New Roman"/>
          <w:w w:val="105"/>
          <w:szCs w:val="24"/>
        </w:rPr>
        <w:t>less</w:t>
      </w:r>
      <w:r w:rsidRPr="00842D3D">
        <w:rPr>
          <w:rFonts w:eastAsia="Times New Roman" w:cs="Times New Roman"/>
          <w:spacing w:val="-15"/>
          <w:w w:val="105"/>
          <w:szCs w:val="24"/>
        </w:rPr>
        <w:t xml:space="preserve"> </w:t>
      </w:r>
      <w:r w:rsidRPr="00842D3D">
        <w:rPr>
          <w:rFonts w:eastAsia="Times New Roman" w:cs="Times New Roman"/>
          <w:spacing w:val="-4"/>
          <w:w w:val="105"/>
          <w:szCs w:val="24"/>
        </w:rPr>
        <w:t>than</w:t>
      </w:r>
      <w:r w:rsidRPr="00842D3D">
        <w:rPr>
          <w:rFonts w:eastAsia="Times New Roman" w:cs="Times New Roman"/>
          <w:szCs w:val="24"/>
        </w:rPr>
        <w:t xml:space="preserve"> </w:t>
      </w:r>
      <w:r w:rsidRPr="00842D3D">
        <w:rPr>
          <w:rFonts w:eastAsia="Times New Roman" w:cs="Times New Roman"/>
          <w:w w:val="105"/>
          <w:szCs w:val="24"/>
        </w:rPr>
        <w:t>$750,</w:t>
      </w:r>
      <w:r w:rsidRPr="00842D3D">
        <w:rPr>
          <w:rFonts w:eastAsia="Times New Roman" w:cs="Times New Roman"/>
          <w:spacing w:val="-17"/>
          <w:w w:val="105"/>
          <w:szCs w:val="24"/>
        </w:rPr>
        <w:t xml:space="preserve"> </w:t>
      </w:r>
      <w:r w:rsidRPr="00842D3D">
        <w:rPr>
          <w:rFonts w:eastAsia="Times New Roman" w:cs="Times New Roman"/>
          <w:w w:val="105"/>
          <w:szCs w:val="24"/>
        </w:rPr>
        <w:t>nor</w:t>
      </w:r>
      <w:r w:rsidRPr="00842D3D">
        <w:rPr>
          <w:rFonts w:eastAsia="Times New Roman" w:cs="Times New Roman"/>
          <w:spacing w:val="-14"/>
          <w:w w:val="105"/>
          <w:szCs w:val="24"/>
        </w:rPr>
        <w:t xml:space="preserve"> </w:t>
      </w:r>
      <w:r w:rsidRPr="00842D3D">
        <w:rPr>
          <w:rFonts w:eastAsia="Times New Roman" w:cs="Times New Roman"/>
          <w:w w:val="105"/>
          <w:szCs w:val="24"/>
        </w:rPr>
        <w:t>more</w:t>
      </w:r>
      <w:r w:rsidRPr="00842D3D">
        <w:rPr>
          <w:rFonts w:eastAsia="Times New Roman" w:cs="Times New Roman"/>
          <w:spacing w:val="-14"/>
          <w:w w:val="105"/>
          <w:szCs w:val="24"/>
        </w:rPr>
        <w:t xml:space="preserve"> </w:t>
      </w:r>
      <w:r w:rsidRPr="00842D3D">
        <w:rPr>
          <w:rFonts w:eastAsia="Times New Roman" w:cs="Times New Roman"/>
          <w:w w:val="105"/>
          <w:szCs w:val="24"/>
        </w:rPr>
        <w:t>than</w:t>
      </w:r>
      <w:r w:rsidRPr="00842D3D">
        <w:rPr>
          <w:rFonts w:eastAsia="Times New Roman" w:cs="Times New Roman"/>
          <w:spacing w:val="-14"/>
          <w:w w:val="105"/>
          <w:szCs w:val="24"/>
        </w:rPr>
        <w:t xml:space="preserve"> </w:t>
      </w:r>
      <w:r w:rsidRPr="00842D3D">
        <w:rPr>
          <w:rFonts w:eastAsia="Times New Roman" w:cs="Times New Roman"/>
          <w:w w:val="105"/>
          <w:szCs w:val="24"/>
        </w:rPr>
        <w:t>$30,000</w:t>
      </w:r>
      <w:r w:rsidRPr="00842D3D">
        <w:rPr>
          <w:rFonts w:eastAsia="Times New Roman" w:cs="Times New Roman"/>
          <w:spacing w:val="-12"/>
          <w:w w:val="105"/>
          <w:szCs w:val="24"/>
        </w:rPr>
        <w:t xml:space="preserve"> </w:t>
      </w:r>
      <w:r w:rsidRPr="00842D3D">
        <w:rPr>
          <w:rFonts w:eastAsia="Times New Roman" w:cs="Times New Roman"/>
          <w:w w:val="105"/>
          <w:szCs w:val="24"/>
        </w:rPr>
        <w:t>for</w:t>
      </w:r>
      <w:r w:rsidRPr="00842D3D">
        <w:rPr>
          <w:rFonts w:eastAsia="Times New Roman" w:cs="Times New Roman"/>
          <w:spacing w:val="-15"/>
          <w:w w:val="105"/>
          <w:szCs w:val="24"/>
        </w:rPr>
        <w:t xml:space="preserve"> </w:t>
      </w:r>
      <w:r w:rsidRPr="00842D3D">
        <w:rPr>
          <w:rFonts w:eastAsia="Times New Roman" w:cs="Times New Roman"/>
          <w:w w:val="105"/>
          <w:szCs w:val="24"/>
        </w:rPr>
        <w:t>each</w:t>
      </w:r>
      <w:r w:rsidRPr="00842D3D">
        <w:rPr>
          <w:rFonts w:eastAsia="Times New Roman" w:cs="Times New Roman"/>
          <w:spacing w:val="-13"/>
          <w:w w:val="105"/>
          <w:szCs w:val="24"/>
        </w:rPr>
        <w:t xml:space="preserve"> </w:t>
      </w:r>
      <w:r w:rsidRPr="00842D3D">
        <w:rPr>
          <w:rFonts w:eastAsia="Times New Roman" w:cs="Times New Roman"/>
          <w:w w:val="105"/>
          <w:szCs w:val="24"/>
        </w:rPr>
        <w:t>work</w:t>
      </w:r>
      <w:r w:rsidRPr="00842D3D">
        <w:rPr>
          <w:rFonts w:eastAsia="Times New Roman" w:cs="Times New Roman"/>
          <w:spacing w:val="-13"/>
          <w:w w:val="105"/>
          <w:szCs w:val="24"/>
        </w:rPr>
        <w:t xml:space="preserve"> </w:t>
      </w:r>
      <w:r w:rsidRPr="00842D3D">
        <w:rPr>
          <w:rFonts w:eastAsia="Times New Roman" w:cs="Times New Roman"/>
          <w:w w:val="105"/>
          <w:szCs w:val="24"/>
        </w:rPr>
        <w:t>you</w:t>
      </w:r>
      <w:r w:rsidRPr="00842D3D">
        <w:rPr>
          <w:rFonts w:eastAsia="Times New Roman" w:cs="Times New Roman"/>
          <w:spacing w:val="-12"/>
          <w:w w:val="105"/>
          <w:szCs w:val="24"/>
        </w:rPr>
        <w:t xml:space="preserve"> </w:t>
      </w:r>
      <w:r w:rsidRPr="00842D3D">
        <w:rPr>
          <w:rFonts w:eastAsia="Times New Roman" w:cs="Times New Roman"/>
          <w:w w:val="105"/>
          <w:szCs w:val="24"/>
        </w:rPr>
        <w:t>conclude</w:t>
      </w:r>
      <w:r w:rsidRPr="00842D3D">
        <w:rPr>
          <w:rFonts w:eastAsia="Times New Roman" w:cs="Times New Roman"/>
          <w:spacing w:val="-14"/>
          <w:w w:val="105"/>
          <w:szCs w:val="24"/>
        </w:rPr>
        <w:t xml:space="preserve"> </w:t>
      </w:r>
      <w:r w:rsidRPr="00842D3D">
        <w:rPr>
          <w:rFonts w:eastAsia="Times New Roman" w:cs="Times New Roman"/>
          <w:w w:val="105"/>
          <w:szCs w:val="24"/>
        </w:rPr>
        <w:t>was</w:t>
      </w:r>
      <w:r w:rsidRPr="00842D3D">
        <w:rPr>
          <w:rFonts w:eastAsia="Times New Roman" w:cs="Times New Roman"/>
          <w:spacing w:val="-13"/>
          <w:w w:val="105"/>
          <w:szCs w:val="24"/>
        </w:rPr>
        <w:t xml:space="preserve"> </w:t>
      </w:r>
      <w:r w:rsidRPr="00842D3D">
        <w:rPr>
          <w:rFonts w:eastAsia="Times New Roman" w:cs="Times New Roman"/>
          <w:spacing w:val="-2"/>
          <w:w w:val="105"/>
          <w:szCs w:val="24"/>
        </w:rPr>
        <w:t>infringed.</w:t>
      </w:r>
    </w:p>
    <w:p w14:paraId="6BD59D5A" w14:textId="77777777" w:rsidR="00842D3D" w:rsidRPr="00842D3D" w:rsidRDefault="00842D3D" w:rsidP="00842D3D">
      <w:pPr>
        <w:widowControl w:val="0"/>
        <w:autoSpaceDE w:val="0"/>
        <w:autoSpaceDN w:val="0"/>
        <w:rPr>
          <w:rFonts w:eastAsia="Times New Roman" w:cs="Times New Roman"/>
          <w:szCs w:val="24"/>
        </w:rPr>
      </w:pPr>
    </w:p>
    <w:p w14:paraId="7D027EC7"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[However,</w:t>
      </w:r>
      <w:r w:rsidRPr="00842D3D">
        <w:rPr>
          <w:rFonts w:eastAsia="Times New Roman" w:cs="Times New Roman"/>
          <w:spacing w:val="-15"/>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you</w:t>
      </w:r>
      <w:r w:rsidRPr="00842D3D">
        <w:rPr>
          <w:rFonts w:eastAsia="Times New Roman" w:cs="Times New Roman"/>
          <w:spacing w:val="-9"/>
          <w:w w:val="105"/>
          <w:szCs w:val="24"/>
        </w:rPr>
        <w:t xml:space="preserve"> </w:t>
      </w:r>
      <w:r w:rsidRPr="00842D3D">
        <w:rPr>
          <w:rFonts w:eastAsia="Times New Roman" w:cs="Times New Roman"/>
          <w:w w:val="105"/>
          <w:szCs w:val="24"/>
        </w:rPr>
        <w:t>find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2"/>
          <w:w w:val="105"/>
          <w:szCs w:val="24"/>
        </w:rPr>
        <w:t xml:space="preserve"> </w:t>
      </w:r>
      <w:r w:rsidRPr="00842D3D">
        <w:rPr>
          <w:rFonts w:eastAsia="Times New Roman" w:cs="Times New Roman"/>
          <w:w w:val="105"/>
          <w:szCs w:val="24"/>
        </w:rPr>
        <w:t>was</w:t>
      </w:r>
      <w:r w:rsidRPr="00842D3D">
        <w:rPr>
          <w:rFonts w:eastAsia="Times New Roman" w:cs="Times New Roman"/>
          <w:spacing w:val="-12"/>
          <w:w w:val="105"/>
          <w:szCs w:val="24"/>
        </w:rPr>
        <w:t xml:space="preserve"> </w:t>
      </w:r>
      <w:r w:rsidRPr="00842D3D">
        <w:rPr>
          <w:rFonts w:eastAsia="Times New Roman" w:cs="Times New Roman"/>
          <w:w w:val="105"/>
          <w:szCs w:val="24"/>
        </w:rPr>
        <w:t>innocent,</w:t>
      </w:r>
      <w:r w:rsidRPr="00842D3D">
        <w:rPr>
          <w:rFonts w:eastAsia="Times New Roman" w:cs="Times New Roman"/>
          <w:spacing w:val="-14"/>
          <w:w w:val="105"/>
          <w:szCs w:val="24"/>
        </w:rPr>
        <w:t xml:space="preserve"> </w:t>
      </w:r>
      <w:r w:rsidRPr="00842D3D">
        <w:rPr>
          <w:rFonts w:eastAsia="Times New Roman" w:cs="Times New Roman"/>
          <w:w w:val="105"/>
          <w:szCs w:val="24"/>
        </w:rPr>
        <w:t>you</w:t>
      </w:r>
      <w:r w:rsidRPr="00842D3D">
        <w:rPr>
          <w:rFonts w:eastAsia="Times New Roman" w:cs="Times New Roman"/>
          <w:spacing w:val="-8"/>
          <w:w w:val="105"/>
          <w:szCs w:val="24"/>
        </w:rPr>
        <w:t xml:space="preserve"> </w:t>
      </w:r>
      <w:r w:rsidRPr="00842D3D">
        <w:rPr>
          <w:rFonts w:eastAsia="Times New Roman" w:cs="Times New Roman"/>
          <w:w w:val="105"/>
          <w:szCs w:val="24"/>
        </w:rPr>
        <w:t>may</w:t>
      </w:r>
      <w:r w:rsidRPr="00842D3D">
        <w:rPr>
          <w:rFonts w:eastAsia="Times New Roman" w:cs="Times New Roman"/>
          <w:spacing w:val="-7"/>
          <w:w w:val="105"/>
          <w:szCs w:val="24"/>
        </w:rPr>
        <w:t xml:space="preserve"> </w:t>
      </w:r>
      <w:r w:rsidRPr="00842D3D">
        <w:rPr>
          <w:rFonts w:eastAsia="Times New Roman" w:cs="Times New Roman"/>
          <w:w w:val="105"/>
          <w:szCs w:val="24"/>
        </w:rPr>
        <w:t>award</w:t>
      </w:r>
      <w:r w:rsidRPr="00842D3D">
        <w:rPr>
          <w:rFonts w:eastAsia="Times New Roman" w:cs="Times New Roman"/>
          <w:spacing w:val="-8"/>
          <w:w w:val="105"/>
          <w:szCs w:val="24"/>
        </w:rPr>
        <w:t xml:space="preserve"> </w:t>
      </w:r>
      <w:r w:rsidRPr="00842D3D">
        <w:rPr>
          <w:rFonts w:eastAsia="Times New Roman" w:cs="Times New Roman"/>
          <w:w w:val="105"/>
          <w:szCs w:val="24"/>
        </w:rPr>
        <w:t>as little as $200 for each work innocently infringed.]</w:t>
      </w:r>
    </w:p>
    <w:p w14:paraId="63C68683" w14:textId="77777777" w:rsidR="00842D3D" w:rsidRPr="00842D3D" w:rsidRDefault="00842D3D" w:rsidP="00842D3D">
      <w:pPr>
        <w:widowControl w:val="0"/>
        <w:autoSpaceDE w:val="0"/>
        <w:autoSpaceDN w:val="0"/>
        <w:rPr>
          <w:rFonts w:eastAsia="Times New Roman" w:cs="Times New Roman"/>
          <w:szCs w:val="24"/>
        </w:rPr>
      </w:pPr>
    </w:p>
    <w:p w14:paraId="522330EC"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szCs w:val="24"/>
        </w:rPr>
        <w:tab/>
        <w:t>[However,</w:t>
      </w:r>
      <w:r w:rsidRPr="00842D3D">
        <w:rPr>
          <w:rFonts w:eastAsia="Times New Roman" w:cs="Times New Roman"/>
          <w:spacing w:val="8"/>
          <w:szCs w:val="24"/>
        </w:rPr>
        <w:t xml:space="preserve"> </w:t>
      </w:r>
      <w:r w:rsidRPr="00842D3D">
        <w:rPr>
          <w:rFonts w:eastAsia="Times New Roman" w:cs="Times New Roman"/>
          <w:szCs w:val="24"/>
        </w:rPr>
        <w:t>if</w:t>
      </w:r>
      <w:r w:rsidRPr="00842D3D">
        <w:rPr>
          <w:rFonts w:eastAsia="Times New Roman" w:cs="Times New Roman"/>
          <w:spacing w:val="16"/>
          <w:szCs w:val="24"/>
        </w:rPr>
        <w:t xml:space="preserve"> </w:t>
      </w:r>
      <w:r w:rsidRPr="00842D3D">
        <w:rPr>
          <w:rFonts w:eastAsia="Times New Roman" w:cs="Times New Roman"/>
          <w:szCs w:val="24"/>
        </w:rPr>
        <w:t>you</w:t>
      </w:r>
      <w:r w:rsidRPr="00842D3D">
        <w:rPr>
          <w:rFonts w:eastAsia="Times New Roman" w:cs="Times New Roman"/>
          <w:spacing w:val="9"/>
          <w:szCs w:val="24"/>
        </w:rPr>
        <w:t xml:space="preserve"> </w:t>
      </w:r>
      <w:r w:rsidRPr="00842D3D">
        <w:rPr>
          <w:rFonts w:eastAsia="Times New Roman" w:cs="Times New Roman"/>
          <w:szCs w:val="24"/>
        </w:rPr>
        <w:t>find</w:t>
      </w:r>
      <w:r w:rsidRPr="00842D3D">
        <w:rPr>
          <w:rFonts w:eastAsia="Times New Roman" w:cs="Times New Roman"/>
          <w:spacing w:val="22"/>
          <w:szCs w:val="24"/>
        </w:rPr>
        <w:t xml:space="preserve"> </w:t>
      </w:r>
      <w:r w:rsidRPr="00842D3D">
        <w:rPr>
          <w:rFonts w:eastAsia="Times New Roman" w:cs="Times New Roman"/>
          <w:szCs w:val="24"/>
        </w:rPr>
        <w:t>the</w:t>
      </w:r>
      <w:r w:rsidRPr="00842D3D">
        <w:rPr>
          <w:rFonts w:eastAsia="Times New Roman" w:cs="Times New Roman"/>
          <w:spacing w:val="19"/>
          <w:szCs w:val="24"/>
        </w:rPr>
        <w:t xml:space="preserve"> </w:t>
      </w:r>
      <w:r w:rsidRPr="00842D3D">
        <w:rPr>
          <w:rFonts w:eastAsia="Times New Roman" w:cs="Times New Roman"/>
          <w:szCs w:val="24"/>
        </w:rPr>
        <w:t>infringement</w:t>
      </w:r>
      <w:r w:rsidRPr="00842D3D">
        <w:rPr>
          <w:rFonts w:eastAsia="Times New Roman" w:cs="Times New Roman"/>
          <w:spacing w:val="16"/>
          <w:szCs w:val="24"/>
        </w:rPr>
        <w:t xml:space="preserve"> </w:t>
      </w:r>
      <w:r w:rsidRPr="00842D3D">
        <w:rPr>
          <w:rFonts w:eastAsia="Times New Roman" w:cs="Times New Roman"/>
          <w:szCs w:val="24"/>
        </w:rPr>
        <w:t>was</w:t>
      </w:r>
      <w:r w:rsidRPr="00842D3D">
        <w:rPr>
          <w:rFonts w:eastAsia="Times New Roman" w:cs="Times New Roman"/>
          <w:spacing w:val="20"/>
          <w:szCs w:val="24"/>
        </w:rPr>
        <w:t xml:space="preserve"> </w:t>
      </w:r>
      <w:r w:rsidRPr="00842D3D">
        <w:rPr>
          <w:rFonts w:eastAsia="Times New Roman" w:cs="Times New Roman"/>
          <w:szCs w:val="24"/>
        </w:rPr>
        <w:t>willful,</w:t>
      </w:r>
      <w:r w:rsidRPr="00842D3D">
        <w:rPr>
          <w:rFonts w:eastAsia="Times New Roman" w:cs="Times New Roman"/>
          <w:spacing w:val="15"/>
          <w:szCs w:val="24"/>
        </w:rPr>
        <w:t xml:space="preserve"> </w:t>
      </w:r>
      <w:r w:rsidRPr="00842D3D">
        <w:rPr>
          <w:rFonts w:eastAsia="Times New Roman" w:cs="Times New Roman"/>
          <w:szCs w:val="24"/>
        </w:rPr>
        <w:t>you</w:t>
      </w:r>
      <w:r w:rsidRPr="00842D3D">
        <w:rPr>
          <w:rFonts w:eastAsia="Times New Roman" w:cs="Times New Roman"/>
          <w:spacing w:val="22"/>
          <w:szCs w:val="24"/>
        </w:rPr>
        <w:t xml:space="preserve"> </w:t>
      </w:r>
      <w:r w:rsidRPr="00842D3D">
        <w:rPr>
          <w:rFonts w:eastAsia="Times New Roman" w:cs="Times New Roman"/>
          <w:szCs w:val="24"/>
        </w:rPr>
        <w:t>may</w:t>
      </w:r>
      <w:r w:rsidRPr="00842D3D">
        <w:rPr>
          <w:rFonts w:eastAsia="Times New Roman" w:cs="Times New Roman"/>
          <w:spacing w:val="21"/>
          <w:szCs w:val="24"/>
        </w:rPr>
        <w:t xml:space="preserve"> </w:t>
      </w:r>
      <w:r w:rsidRPr="00842D3D">
        <w:rPr>
          <w:rFonts w:eastAsia="Times New Roman" w:cs="Times New Roman"/>
          <w:szCs w:val="24"/>
        </w:rPr>
        <w:t>award</w:t>
      </w:r>
      <w:r w:rsidRPr="00842D3D">
        <w:rPr>
          <w:rFonts w:eastAsia="Times New Roman" w:cs="Times New Roman"/>
          <w:spacing w:val="22"/>
          <w:szCs w:val="24"/>
        </w:rPr>
        <w:t xml:space="preserve"> </w:t>
      </w:r>
      <w:r w:rsidRPr="00842D3D">
        <w:rPr>
          <w:rFonts w:eastAsia="Times New Roman" w:cs="Times New Roman"/>
          <w:szCs w:val="24"/>
        </w:rPr>
        <w:t>as</w:t>
      </w:r>
      <w:r w:rsidRPr="00842D3D">
        <w:rPr>
          <w:rFonts w:eastAsia="Times New Roman" w:cs="Times New Roman"/>
          <w:spacing w:val="17"/>
          <w:szCs w:val="24"/>
        </w:rPr>
        <w:t xml:space="preserve"> </w:t>
      </w:r>
      <w:r w:rsidRPr="00842D3D">
        <w:rPr>
          <w:rFonts w:eastAsia="Times New Roman" w:cs="Times New Roman"/>
          <w:szCs w:val="24"/>
        </w:rPr>
        <w:t>much</w:t>
      </w:r>
      <w:r w:rsidRPr="00842D3D">
        <w:rPr>
          <w:rFonts w:eastAsia="Times New Roman" w:cs="Times New Roman"/>
          <w:spacing w:val="14"/>
          <w:szCs w:val="24"/>
        </w:rPr>
        <w:t xml:space="preserve"> </w:t>
      </w:r>
      <w:r w:rsidRPr="00842D3D">
        <w:rPr>
          <w:rFonts w:eastAsia="Times New Roman" w:cs="Times New Roman"/>
          <w:spacing w:val="-5"/>
          <w:szCs w:val="24"/>
        </w:rPr>
        <w:t>as</w:t>
      </w:r>
      <w:r w:rsidRPr="00842D3D">
        <w:rPr>
          <w:rFonts w:eastAsia="Times New Roman" w:cs="Times New Roman"/>
          <w:szCs w:val="24"/>
        </w:rPr>
        <w:t xml:space="preserve"> $150,000</w:t>
      </w:r>
      <w:r w:rsidRPr="00842D3D">
        <w:rPr>
          <w:rFonts w:eastAsia="Times New Roman" w:cs="Times New Roman"/>
          <w:spacing w:val="11"/>
          <w:szCs w:val="24"/>
        </w:rPr>
        <w:t xml:space="preserve"> </w:t>
      </w:r>
      <w:r w:rsidRPr="00842D3D">
        <w:rPr>
          <w:rFonts w:eastAsia="Times New Roman" w:cs="Times New Roman"/>
          <w:szCs w:val="24"/>
        </w:rPr>
        <w:t>for</w:t>
      </w:r>
      <w:r w:rsidRPr="00842D3D">
        <w:rPr>
          <w:rFonts w:eastAsia="Times New Roman" w:cs="Times New Roman"/>
          <w:spacing w:val="15"/>
          <w:szCs w:val="24"/>
        </w:rPr>
        <w:t xml:space="preserve"> </w:t>
      </w:r>
      <w:r w:rsidRPr="00842D3D">
        <w:rPr>
          <w:rFonts w:eastAsia="Times New Roman" w:cs="Times New Roman"/>
          <w:szCs w:val="24"/>
        </w:rPr>
        <w:t>each</w:t>
      </w:r>
      <w:r w:rsidRPr="00842D3D">
        <w:rPr>
          <w:rFonts w:eastAsia="Times New Roman" w:cs="Times New Roman"/>
          <w:spacing w:val="22"/>
          <w:szCs w:val="24"/>
        </w:rPr>
        <w:t xml:space="preserve"> </w:t>
      </w:r>
      <w:r w:rsidRPr="00842D3D">
        <w:rPr>
          <w:rFonts w:eastAsia="Times New Roman" w:cs="Times New Roman"/>
          <w:szCs w:val="24"/>
        </w:rPr>
        <w:t>work</w:t>
      </w:r>
      <w:r w:rsidRPr="00842D3D">
        <w:rPr>
          <w:rFonts w:eastAsia="Times New Roman" w:cs="Times New Roman"/>
          <w:spacing w:val="20"/>
          <w:szCs w:val="24"/>
        </w:rPr>
        <w:t xml:space="preserve"> </w:t>
      </w:r>
      <w:r w:rsidRPr="00842D3D">
        <w:rPr>
          <w:rFonts w:eastAsia="Times New Roman" w:cs="Times New Roman"/>
          <w:szCs w:val="24"/>
        </w:rPr>
        <w:t>willfully</w:t>
      </w:r>
      <w:r w:rsidRPr="00842D3D">
        <w:rPr>
          <w:rFonts w:eastAsia="Times New Roman" w:cs="Times New Roman"/>
          <w:spacing w:val="13"/>
          <w:szCs w:val="24"/>
        </w:rPr>
        <w:t xml:space="preserve"> </w:t>
      </w:r>
      <w:r w:rsidRPr="00842D3D">
        <w:rPr>
          <w:rFonts w:eastAsia="Times New Roman" w:cs="Times New Roman"/>
          <w:spacing w:val="-2"/>
          <w:szCs w:val="24"/>
        </w:rPr>
        <w:t>infringed.]</w:t>
      </w:r>
    </w:p>
    <w:p w14:paraId="2B18A5B4" w14:textId="77777777" w:rsidR="00842D3D" w:rsidRPr="00842D3D" w:rsidRDefault="00842D3D" w:rsidP="00842D3D">
      <w:pPr>
        <w:widowControl w:val="0"/>
        <w:autoSpaceDE w:val="0"/>
        <w:autoSpaceDN w:val="0"/>
        <w:rPr>
          <w:rFonts w:eastAsia="Times New Roman" w:cs="Times New Roman"/>
          <w:szCs w:val="24"/>
        </w:rPr>
      </w:pPr>
    </w:p>
    <w:p w14:paraId="6B99A74E" w14:textId="591FD003" w:rsidR="00842D3D" w:rsidRPr="00842D3D" w:rsidRDefault="00842D3D" w:rsidP="00842D3D">
      <w:pPr>
        <w:ind w:firstLine="720"/>
        <w:rPr>
          <w:rFonts w:eastAsia="Calibri" w:cs="Times New Roman"/>
          <w:szCs w:val="24"/>
        </w:rPr>
      </w:pPr>
      <w:r w:rsidRPr="00842D3D">
        <w:rPr>
          <w:rFonts w:eastAsia="Calibri" w:cs="Times New Roman"/>
          <w:w w:val="105"/>
          <w:szCs w:val="24"/>
        </w:rPr>
        <w:t>[Instruction[s]</w:t>
      </w:r>
      <w:r w:rsidRPr="00842D3D">
        <w:rPr>
          <w:rFonts w:eastAsia="Calibri" w:cs="Times New Roman"/>
          <w:spacing w:val="-9"/>
          <w:w w:val="105"/>
          <w:szCs w:val="24"/>
        </w:rPr>
        <w:t xml:space="preserve"> </w:t>
      </w:r>
      <w:r w:rsidRPr="00842D3D">
        <w:rPr>
          <w:rFonts w:eastAsia="Calibri" w:cs="Times New Roman"/>
          <w:w w:val="105"/>
          <w:szCs w:val="24"/>
          <w:u w:val="single"/>
        </w:rPr>
        <w:t>[</w:t>
      </w:r>
      <w:r w:rsidRPr="00842D3D">
        <w:rPr>
          <w:rFonts w:eastAsia="Calibri" w:cs="Times New Roman"/>
          <w:i/>
          <w:w w:val="105"/>
          <w:szCs w:val="24"/>
          <w:u w:val="single"/>
        </w:rPr>
        <w:t>insert</w:t>
      </w:r>
      <w:r w:rsidRPr="00842D3D">
        <w:rPr>
          <w:rFonts w:eastAsia="Calibri" w:cs="Times New Roman"/>
          <w:i/>
          <w:spacing w:val="-9"/>
          <w:w w:val="105"/>
          <w:szCs w:val="24"/>
          <w:u w:val="single"/>
        </w:rPr>
        <w:t xml:space="preserve"> </w:t>
      </w:r>
      <w:r w:rsidRPr="00842D3D">
        <w:rPr>
          <w:rFonts w:eastAsia="Calibri" w:cs="Times New Roman"/>
          <w:i/>
          <w:w w:val="105"/>
          <w:szCs w:val="24"/>
          <w:u w:val="single"/>
        </w:rPr>
        <w:t>number</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of</w:t>
      </w:r>
      <w:r w:rsidRPr="00842D3D">
        <w:rPr>
          <w:rFonts w:eastAsia="Calibri" w:cs="Times New Roman"/>
          <w:i/>
          <w:spacing w:val="-9"/>
          <w:w w:val="105"/>
          <w:szCs w:val="24"/>
          <w:u w:val="single"/>
        </w:rPr>
        <w:t xml:space="preserve"> </w:t>
      </w:r>
      <w:r w:rsidRPr="00842D3D">
        <w:rPr>
          <w:rFonts w:eastAsia="Calibri" w:cs="Times New Roman"/>
          <w:i/>
          <w:w w:val="105"/>
          <w:szCs w:val="24"/>
          <w:u w:val="single"/>
        </w:rPr>
        <w:t>pertinent</w:t>
      </w:r>
      <w:r w:rsidRPr="00842D3D">
        <w:rPr>
          <w:rFonts w:eastAsia="Calibri" w:cs="Times New Roman"/>
          <w:i/>
          <w:spacing w:val="-9"/>
          <w:w w:val="105"/>
          <w:szCs w:val="24"/>
          <w:u w:val="single"/>
        </w:rPr>
        <w:t xml:space="preserve"> </w:t>
      </w:r>
      <w:r w:rsidRPr="00842D3D">
        <w:rPr>
          <w:rFonts w:eastAsia="Calibri" w:cs="Times New Roman"/>
          <w:i/>
          <w:w w:val="105"/>
          <w:szCs w:val="24"/>
          <w:u w:val="single"/>
        </w:rPr>
        <w:t>instruction,</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e.g.,</w:t>
      </w:r>
      <w:r w:rsidRPr="00842D3D">
        <w:rPr>
          <w:rFonts w:eastAsia="Calibri" w:cs="Times New Roman"/>
          <w:i/>
          <w:spacing w:val="-11"/>
          <w:w w:val="105"/>
          <w:szCs w:val="24"/>
          <w:u w:val="single"/>
        </w:rPr>
        <w:t xml:space="preserve"> </w:t>
      </w:r>
      <w:r w:rsidRPr="00842D3D">
        <w:rPr>
          <w:rFonts w:eastAsia="Calibri" w:cs="Times New Roman"/>
          <w:i/>
          <w:spacing w:val="-2"/>
          <w:w w:val="105"/>
          <w:szCs w:val="24"/>
          <w:u w:val="single"/>
        </w:rPr>
        <w:t xml:space="preserve">Instruction </w:t>
      </w:r>
      <w:r w:rsidRPr="00842D3D">
        <w:rPr>
          <w:rFonts w:eastAsia="Calibri" w:cs="Times New Roman"/>
          <w:i/>
          <w:w w:val="105"/>
          <w:szCs w:val="24"/>
          <w:u w:val="single"/>
        </w:rPr>
        <w:t>17.3</w:t>
      </w:r>
      <w:r w:rsidR="009818E2">
        <w:rPr>
          <w:rFonts w:eastAsia="Calibri" w:cs="Times New Roman"/>
          <w:i/>
          <w:w w:val="105"/>
          <w:szCs w:val="24"/>
          <w:u w:val="single"/>
        </w:rPr>
        <w:t>8</w:t>
      </w:r>
      <w:r w:rsidRPr="00842D3D">
        <w:rPr>
          <w:rFonts w:eastAsia="Calibri" w:cs="Times New Roman"/>
          <w:i/>
          <w:spacing w:val="-18"/>
          <w:w w:val="105"/>
          <w:szCs w:val="24"/>
        </w:rPr>
        <w:t xml:space="preserve"> </w:t>
      </w:r>
      <w:r w:rsidRPr="00842D3D">
        <w:rPr>
          <w:rFonts w:eastAsia="Calibri" w:cs="Times New Roman"/>
          <w:i/>
          <w:w w:val="105"/>
          <w:szCs w:val="24"/>
          <w:u w:val="single"/>
        </w:rPr>
        <w:t>(Copyright—Damages—Innocent</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Infringement),</w:t>
      </w:r>
      <w:r w:rsidRPr="00842D3D">
        <w:rPr>
          <w:rFonts w:eastAsia="Calibri" w:cs="Times New Roman"/>
          <w:i/>
          <w:spacing w:val="-17"/>
          <w:w w:val="105"/>
          <w:szCs w:val="24"/>
          <w:u w:val="single"/>
        </w:rPr>
        <w:t xml:space="preserve"> </w:t>
      </w:r>
      <w:r w:rsidRPr="00842D3D">
        <w:rPr>
          <w:rFonts w:eastAsia="Calibri" w:cs="Times New Roman"/>
          <w:i/>
          <w:w w:val="105"/>
          <w:szCs w:val="24"/>
          <w:u w:val="single"/>
        </w:rPr>
        <w:t>Instruction</w:t>
      </w:r>
      <w:r w:rsidRPr="00842D3D">
        <w:rPr>
          <w:rFonts w:eastAsia="Calibri" w:cs="Times New Roman"/>
          <w:i/>
          <w:spacing w:val="-18"/>
          <w:w w:val="105"/>
          <w:szCs w:val="24"/>
          <w:u w:val="single"/>
        </w:rPr>
        <w:t xml:space="preserve"> </w:t>
      </w:r>
      <w:r w:rsidRPr="00842D3D">
        <w:rPr>
          <w:rFonts w:eastAsia="Calibri" w:cs="Times New Roman"/>
          <w:i/>
          <w:spacing w:val="-2"/>
          <w:w w:val="105"/>
          <w:szCs w:val="24"/>
          <w:u w:val="single"/>
        </w:rPr>
        <w:t>17.3</w:t>
      </w:r>
      <w:r w:rsidR="009818E2">
        <w:rPr>
          <w:rFonts w:eastAsia="Calibri" w:cs="Times New Roman"/>
          <w:i/>
          <w:spacing w:val="-2"/>
          <w:w w:val="105"/>
          <w:szCs w:val="24"/>
          <w:u w:val="single"/>
        </w:rPr>
        <w:t xml:space="preserve">9 </w:t>
      </w:r>
      <w:r w:rsidRPr="00842D3D">
        <w:rPr>
          <w:rFonts w:eastAsia="Calibri" w:cs="Times New Roman"/>
          <w:i/>
          <w:w w:val="105"/>
          <w:szCs w:val="24"/>
          <w:u w:val="single"/>
        </w:rPr>
        <w:t>(Copyright—</w:t>
      </w:r>
      <w:r w:rsidRPr="00842D3D">
        <w:rPr>
          <w:rFonts w:eastAsia="Calibri" w:cs="Times New Roman"/>
          <w:i/>
          <w:spacing w:val="-14"/>
          <w:w w:val="105"/>
          <w:szCs w:val="24"/>
        </w:rPr>
        <w:t xml:space="preserve"> </w:t>
      </w:r>
      <w:r w:rsidRPr="00842D3D">
        <w:rPr>
          <w:rFonts w:eastAsia="Calibri" w:cs="Times New Roman"/>
          <w:i/>
          <w:w w:val="105"/>
          <w:szCs w:val="24"/>
          <w:u w:val="single"/>
        </w:rPr>
        <w:t>Damages—</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Willful</w:t>
      </w:r>
      <w:r w:rsidRPr="00842D3D">
        <w:rPr>
          <w:rFonts w:eastAsia="Calibri" w:cs="Times New Roman"/>
          <w:i/>
          <w:spacing w:val="-19"/>
          <w:w w:val="105"/>
          <w:szCs w:val="24"/>
          <w:u w:val="single"/>
        </w:rPr>
        <w:t xml:space="preserve"> </w:t>
      </w:r>
      <w:r w:rsidRPr="00842D3D">
        <w:rPr>
          <w:rFonts w:eastAsia="Calibri" w:cs="Times New Roman"/>
          <w:i/>
          <w:w w:val="105"/>
          <w:szCs w:val="24"/>
          <w:u w:val="single"/>
        </w:rPr>
        <w:t>Infringement)</w:t>
      </w:r>
      <w:r w:rsidRPr="00842D3D">
        <w:rPr>
          <w:rFonts w:eastAsia="Calibri" w:cs="Times New Roman"/>
          <w:w w:val="105"/>
          <w:szCs w:val="24"/>
          <w:u w:val="single"/>
        </w:rPr>
        <w:t>]</w:t>
      </w:r>
      <w:r w:rsidRPr="00842D3D">
        <w:rPr>
          <w:rFonts w:eastAsia="Calibri" w:cs="Times New Roman"/>
          <w:spacing w:val="-16"/>
          <w:w w:val="105"/>
          <w:szCs w:val="24"/>
        </w:rPr>
        <w:t xml:space="preserve"> </w:t>
      </w:r>
      <w:r w:rsidRPr="00842D3D">
        <w:rPr>
          <w:rFonts w:eastAsia="Calibri" w:cs="Times New Roman"/>
          <w:w w:val="105"/>
          <w:szCs w:val="24"/>
        </w:rPr>
        <w:t>will</w:t>
      </w:r>
      <w:r w:rsidRPr="00842D3D">
        <w:rPr>
          <w:rFonts w:eastAsia="Calibri" w:cs="Times New Roman"/>
          <w:spacing w:val="-14"/>
          <w:w w:val="105"/>
          <w:szCs w:val="24"/>
        </w:rPr>
        <w:t xml:space="preserve"> </w:t>
      </w:r>
      <w:r w:rsidRPr="00842D3D">
        <w:rPr>
          <w:rFonts w:eastAsia="Calibri" w:cs="Times New Roman"/>
          <w:w w:val="105"/>
          <w:szCs w:val="24"/>
        </w:rPr>
        <w:t>tell</w:t>
      </w:r>
      <w:r w:rsidRPr="00842D3D">
        <w:rPr>
          <w:rFonts w:eastAsia="Calibri" w:cs="Times New Roman"/>
          <w:spacing w:val="-15"/>
          <w:w w:val="105"/>
          <w:szCs w:val="24"/>
        </w:rPr>
        <w:t xml:space="preserve"> </w:t>
      </w:r>
      <w:r w:rsidRPr="00842D3D">
        <w:rPr>
          <w:rFonts w:eastAsia="Calibri" w:cs="Times New Roman"/>
          <w:w w:val="105"/>
          <w:szCs w:val="24"/>
        </w:rPr>
        <w:t>you</w:t>
      </w:r>
      <w:r w:rsidRPr="00842D3D">
        <w:rPr>
          <w:rFonts w:eastAsia="Calibri" w:cs="Times New Roman"/>
          <w:spacing w:val="-16"/>
          <w:w w:val="105"/>
          <w:szCs w:val="24"/>
        </w:rPr>
        <w:t xml:space="preserve"> </w:t>
      </w:r>
      <w:r w:rsidRPr="00842D3D">
        <w:rPr>
          <w:rFonts w:eastAsia="Calibri" w:cs="Times New Roman"/>
          <w:w w:val="105"/>
          <w:szCs w:val="24"/>
        </w:rPr>
        <w:t>[what</w:t>
      </w:r>
      <w:r w:rsidRPr="00842D3D">
        <w:rPr>
          <w:rFonts w:eastAsia="Calibri" w:cs="Times New Roman"/>
          <w:spacing w:val="-19"/>
          <w:w w:val="105"/>
          <w:szCs w:val="24"/>
        </w:rPr>
        <w:t xml:space="preserve"> </w:t>
      </w:r>
      <w:r w:rsidRPr="00842D3D">
        <w:rPr>
          <w:rFonts w:eastAsia="Calibri" w:cs="Times New Roman"/>
          <w:w w:val="105"/>
          <w:szCs w:val="24"/>
        </w:rPr>
        <w:t>constitutes innocent infringement] [and] [what constitutes willful infringement]].</w:t>
      </w:r>
    </w:p>
    <w:p w14:paraId="00B44F08" w14:textId="77777777" w:rsidR="00842D3D" w:rsidRPr="00842D3D" w:rsidRDefault="00842D3D" w:rsidP="00842D3D">
      <w:pPr>
        <w:widowControl w:val="0"/>
        <w:autoSpaceDE w:val="0"/>
        <w:autoSpaceDN w:val="0"/>
        <w:rPr>
          <w:rFonts w:eastAsia="Times New Roman" w:cs="Times New Roman"/>
          <w:szCs w:val="24"/>
        </w:rPr>
      </w:pPr>
    </w:p>
    <w:p w14:paraId="20488468" w14:textId="77777777" w:rsidR="00842D3D" w:rsidRPr="00842D3D" w:rsidRDefault="00842D3D" w:rsidP="00842D3D">
      <w:pPr>
        <w:jc w:val="center"/>
        <w:rPr>
          <w:rFonts w:eastAsia="Calibri" w:cs="Times New Roman"/>
          <w:b/>
          <w:bCs/>
          <w:szCs w:val="24"/>
        </w:rPr>
      </w:pPr>
      <w:r w:rsidRPr="00842D3D">
        <w:rPr>
          <w:rFonts w:eastAsia="Calibri" w:cs="Times New Roman"/>
          <w:b/>
          <w:bCs/>
          <w:w w:val="105"/>
          <w:szCs w:val="24"/>
        </w:rPr>
        <w:t>Comment</w:t>
      </w:r>
    </w:p>
    <w:p w14:paraId="190C3A7D" w14:textId="77777777" w:rsidR="00842D3D" w:rsidRPr="00842D3D" w:rsidRDefault="00842D3D" w:rsidP="00842D3D">
      <w:pPr>
        <w:widowControl w:val="0"/>
        <w:autoSpaceDE w:val="0"/>
        <w:autoSpaceDN w:val="0"/>
        <w:rPr>
          <w:rFonts w:eastAsia="Times New Roman" w:cs="Times New Roman"/>
          <w:b/>
          <w:szCs w:val="24"/>
        </w:rPr>
      </w:pPr>
    </w:p>
    <w:p w14:paraId="052C8EF0" w14:textId="77777777" w:rsidR="00842D3D" w:rsidRPr="00842D3D" w:rsidRDefault="00842D3D" w:rsidP="00842D3D">
      <w:pPr>
        <w:ind w:firstLine="718"/>
        <w:rPr>
          <w:rFonts w:eastAsia="Calibri" w:cs="Times New Roman"/>
          <w:szCs w:val="24"/>
        </w:rPr>
      </w:pPr>
      <w:r w:rsidRPr="00842D3D">
        <w:rPr>
          <w:rFonts w:eastAsia="Calibri" w:cs="Times New Roman"/>
          <w:b/>
          <w:w w:val="105"/>
          <w:szCs w:val="24"/>
        </w:rPr>
        <w:t>Electing to Pursue Statutory Damages:</w:t>
      </w:r>
      <w:r w:rsidRPr="00842D3D">
        <w:rPr>
          <w:rFonts w:eastAsia="Calibri" w:cs="Times New Roman"/>
          <w:b/>
          <w:spacing w:val="40"/>
          <w:w w:val="105"/>
          <w:szCs w:val="24"/>
        </w:rPr>
        <w:t xml:space="preserve"> </w:t>
      </w:r>
      <w:r w:rsidRPr="00842D3D">
        <w:rPr>
          <w:rFonts w:eastAsia="Calibri" w:cs="Times New Roman"/>
          <w:w w:val="105"/>
          <w:szCs w:val="24"/>
        </w:rPr>
        <w:t>The plaintiff has the right to make</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4"/>
          <w:w w:val="105"/>
          <w:szCs w:val="24"/>
        </w:rPr>
        <w:t xml:space="preserve"> </w:t>
      </w:r>
      <w:r w:rsidRPr="00842D3D">
        <w:rPr>
          <w:rFonts w:eastAsia="Calibri" w:cs="Times New Roman"/>
          <w:w w:val="105"/>
          <w:szCs w:val="24"/>
        </w:rPr>
        <w:t>election</w:t>
      </w:r>
      <w:r w:rsidRPr="00842D3D">
        <w:rPr>
          <w:rFonts w:eastAsia="Calibri" w:cs="Times New Roman"/>
          <w:spacing w:val="-4"/>
          <w:w w:val="105"/>
          <w:szCs w:val="24"/>
        </w:rPr>
        <w:t xml:space="preserve"> </w:t>
      </w:r>
      <w:r w:rsidRPr="00842D3D">
        <w:rPr>
          <w:rFonts w:eastAsia="Calibri" w:cs="Times New Roman"/>
          <w:w w:val="105"/>
          <w:szCs w:val="24"/>
        </w:rPr>
        <w:t>before</w:t>
      </w:r>
      <w:r w:rsidRPr="00842D3D">
        <w:rPr>
          <w:rFonts w:eastAsia="Calibri" w:cs="Times New Roman"/>
          <w:spacing w:val="-5"/>
          <w:w w:val="105"/>
          <w:szCs w:val="24"/>
        </w:rPr>
        <w:t xml:space="preserve"> </w:t>
      </w:r>
      <w:r w:rsidRPr="00842D3D">
        <w:rPr>
          <w:rFonts w:eastAsia="Calibri" w:cs="Times New Roman"/>
          <w:w w:val="105"/>
          <w:szCs w:val="24"/>
        </w:rPr>
        <w:t>final</w:t>
      </w:r>
      <w:r w:rsidRPr="00842D3D">
        <w:rPr>
          <w:rFonts w:eastAsia="Calibri" w:cs="Times New Roman"/>
          <w:spacing w:val="-4"/>
          <w:w w:val="105"/>
          <w:szCs w:val="24"/>
        </w:rPr>
        <w:t xml:space="preserve"> </w:t>
      </w:r>
      <w:r w:rsidRPr="00842D3D">
        <w:rPr>
          <w:rFonts w:eastAsia="Calibri" w:cs="Times New Roman"/>
          <w:w w:val="105"/>
          <w:szCs w:val="24"/>
        </w:rPr>
        <w:t>judgment</w:t>
      </w:r>
      <w:r w:rsidRPr="00842D3D">
        <w:rPr>
          <w:rFonts w:eastAsia="Calibri" w:cs="Times New Roman"/>
          <w:spacing w:val="-4"/>
          <w:w w:val="105"/>
          <w:szCs w:val="24"/>
        </w:rPr>
        <w:t xml:space="preserve"> </w:t>
      </w:r>
      <w:r w:rsidRPr="00842D3D">
        <w:rPr>
          <w:rFonts w:eastAsia="Calibri" w:cs="Times New Roman"/>
          <w:w w:val="105"/>
          <w:szCs w:val="24"/>
        </w:rPr>
        <w:t>to</w:t>
      </w:r>
      <w:r w:rsidRPr="00842D3D">
        <w:rPr>
          <w:rFonts w:eastAsia="Calibri" w:cs="Times New Roman"/>
          <w:spacing w:val="-4"/>
          <w:w w:val="105"/>
          <w:szCs w:val="24"/>
        </w:rPr>
        <w:t xml:space="preserve"> </w:t>
      </w:r>
      <w:r w:rsidRPr="00842D3D">
        <w:rPr>
          <w:rFonts w:eastAsia="Calibri" w:cs="Times New Roman"/>
          <w:w w:val="105"/>
          <w:szCs w:val="24"/>
        </w:rPr>
        <w:t>recover</w:t>
      </w:r>
      <w:r w:rsidRPr="00842D3D">
        <w:rPr>
          <w:rFonts w:eastAsia="Calibri" w:cs="Times New Roman"/>
          <w:spacing w:val="-4"/>
          <w:w w:val="105"/>
          <w:szCs w:val="24"/>
        </w:rPr>
        <w:t xml:space="preserve"> </w:t>
      </w:r>
      <w:r w:rsidRPr="00842D3D">
        <w:rPr>
          <w:rFonts w:eastAsia="Calibri" w:cs="Times New Roman"/>
          <w:w w:val="105"/>
          <w:szCs w:val="24"/>
        </w:rPr>
        <w:t>statutory</w:t>
      </w:r>
      <w:r w:rsidRPr="00842D3D">
        <w:rPr>
          <w:rFonts w:eastAsia="Calibri" w:cs="Times New Roman"/>
          <w:spacing w:val="-9"/>
          <w:w w:val="105"/>
          <w:szCs w:val="24"/>
        </w:rPr>
        <w:t xml:space="preserve"> </w:t>
      </w:r>
      <w:r w:rsidRPr="00842D3D">
        <w:rPr>
          <w:rFonts w:eastAsia="Calibri" w:cs="Times New Roman"/>
          <w:w w:val="105"/>
          <w:szCs w:val="24"/>
        </w:rPr>
        <w:t>damages</w:t>
      </w:r>
      <w:r w:rsidRPr="00842D3D">
        <w:rPr>
          <w:rFonts w:eastAsia="Calibri" w:cs="Times New Roman"/>
          <w:spacing w:val="-12"/>
          <w:w w:val="105"/>
          <w:szCs w:val="24"/>
        </w:rPr>
        <w:t xml:space="preserve"> </w:t>
      </w:r>
      <w:r w:rsidRPr="00842D3D">
        <w:rPr>
          <w:rFonts w:eastAsia="Calibri" w:cs="Times New Roman"/>
          <w:w w:val="105"/>
          <w:szCs w:val="24"/>
        </w:rPr>
        <w:t>instead</w:t>
      </w:r>
      <w:r w:rsidRPr="00842D3D">
        <w:rPr>
          <w:rFonts w:eastAsia="Calibri" w:cs="Times New Roman"/>
          <w:spacing w:val="-10"/>
          <w:w w:val="105"/>
          <w:szCs w:val="24"/>
        </w:rPr>
        <w:t xml:space="preserve"> </w:t>
      </w:r>
      <w:r w:rsidRPr="00842D3D">
        <w:rPr>
          <w:rFonts w:eastAsia="Calibri" w:cs="Times New Roman"/>
          <w:w w:val="105"/>
          <w:szCs w:val="24"/>
        </w:rPr>
        <w:t>of actual</w:t>
      </w:r>
      <w:r w:rsidRPr="00842D3D">
        <w:rPr>
          <w:rFonts w:eastAsia="Calibri" w:cs="Times New Roman"/>
          <w:spacing w:val="-1"/>
          <w:w w:val="105"/>
          <w:szCs w:val="24"/>
        </w:rPr>
        <w:t xml:space="preserve"> </w:t>
      </w:r>
      <w:r w:rsidRPr="00842D3D">
        <w:rPr>
          <w:rFonts w:eastAsia="Calibri" w:cs="Times New Roman"/>
          <w:w w:val="105"/>
          <w:szCs w:val="24"/>
        </w:rPr>
        <w:t>damages and the</w:t>
      </w:r>
      <w:r w:rsidRPr="00842D3D">
        <w:rPr>
          <w:rFonts w:eastAsia="Calibri" w:cs="Times New Roman"/>
          <w:spacing w:val="-5"/>
          <w:w w:val="105"/>
          <w:szCs w:val="24"/>
        </w:rPr>
        <w:t xml:space="preserve"> </w:t>
      </w:r>
      <w:r w:rsidRPr="00842D3D">
        <w:rPr>
          <w:rFonts w:eastAsia="Calibri" w:cs="Times New Roman"/>
          <w:w w:val="105"/>
          <w:szCs w:val="24"/>
        </w:rPr>
        <w:t>defendant’s profits.</w:t>
      </w:r>
      <w:r w:rsidRPr="00842D3D">
        <w:rPr>
          <w:rFonts w:eastAsia="Calibri" w:cs="Times New Roman"/>
          <w:spacing w:val="-1"/>
          <w:w w:val="105"/>
          <w:szCs w:val="24"/>
        </w:rPr>
        <w:t xml:space="preserve"> </w:t>
      </w:r>
      <w:r w:rsidRPr="00842D3D">
        <w:rPr>
          <w:rFonts w:eastAsia="Calibri" w:cs="Times New Roman"/>
          <w:w w:val="105"/>
          <w:szCs w:val="24"/>
        </w:rPr>
        <w:t xml:space="preserve">17 U.S.C. § 504(c)(1). Once the copyright owner elects to recover statutory damages, the owner may not recover actual damages as well. </w:t>
      </w:r>
      <w:r w:rsidRPr="00842D3D">
        <w:rPr>
          <w:rFonts w:eastAsia="Calibri" w:cs="Times New Roman"/>
          <w:i/>
          <w:w w:val="105"/>
          <w:szCs w:val="24"/>
        </w:rPr>
        <w:t>See Nintendo of Am., Inc. v. Dragon Pac. Int’l</w:t>
      </w:r>
      <w:r w:rsidRPr="00842D3D">
        <w:rPr>
          <w:rFonts w:eastAsia="Calibri" w:cs="Times New Roman"/>
          <w:w w:val="105"/>
          <w:szCs w:val="24"/>
        </w:rPr>
        <w:t>.,</w:t>
      </w:r>
      <w:r w:rsidRPr="00842D3D">
        <w:rPr>
          <w:rFonts w:eastAsia="Calibri" w:cs="Times New Roman"/>
          <w:spacing w:val="-8"/>
          <w:w w:val="105"/>
          <w:szCs w:val="24"/>
        </w:rPr>
        <w:t xml:space="preserve"> </w:t>
      </w:r>
      <w:r w:rsidRPr="00842D3D">
        <w:rPr>
          <w:rFonts w:eastAsia="Calibri" w:cs="Times New Roman"/>
          <w:w w:val="105"/>
          <w:szCs w:val="24"/>
        </w:rPr>
        <w:t>40</w:t>
      </w:r>
      <w:r w:rsidRPr="00842D3D">
        <w:rPr>
          <w:rFonts w:eastAsia="Calibri" w:cs="Times New Roman"/>
          <w:spacing w:val="-6"/>
          <w:w w:val="105"/>
          <w:szCs w:val="24"/>
        </w:rPr>
        <w:t xml:space="preserve"> </w:t>
      </w:r>
      <w:r w:rsidRPr="00842D3D">
        <w:rPr>
          <w:rFonts w:eastAsia="Calibri" w:cs="Times New Roman"/>
          <w:w w:val="105"/>
          <w:szCs w:val="24"/>
        </w:rPr>
        <w:t>F.3d</w:t>
      </w:r>
      <w:r w:rsidRPr="00842D3D">
        <w:rPr>
          <w:rFonts w:eastAsia="Calibri" w:cs="Times New Roman"/>
          <w:spacing w:val="-6"/>
          <w:w w:val="105"/>
          <w:szCs w:val="24"/>
        </w:rPr>
        <w:t xml:space="preserve"> </w:t>
      </w:r>
      <w:r w:rsidRPr="00842D3D">
        <w:rPr>
          <w:rFonts w:eastAsia="Calibri" w:cs="Times New Roman"/>
          <w:w w:val="105"/>
          <w:szCs w:val="24"/>
        </w:rPr>
        <w:t>1007,</w:t>
      </w:r>
      <w:r w:rsidRPr="00842D3D">
        <w:rPr>
          <w:rFonts w:eastAsia="Calibri" w:cs="Times New Roman"/>
          <w:spacing w:val="-8"/>
          <w:w w:val="105"/>
          <w:szCs w:val="24"/>
        </w:rPr>
        <w:t xml:space="preserve"> </w:t>
      </w:r>
      <w:r w:rsidRPr="00842D3D">
        <w:rPr>
          <w:rFonts w:eastAsia="Calibri" w:cs="Times New Roman"/>
          <w:w w:val="105"/>
          <w:szCs w:val="24"/>
        </w:rPr>
        <w:t>1010</w:t>
      </w:r>
      <w:r w:rsidRPr="00842D3D">
        <w:rPr>
          <w:rFonts w:eastAsia="Calibri" w:cs="Times New Roman"/>
          <w:spacing w:val="-5"/>
          <w:w w:val="105"/>
          <w:szCs w:val="24"/>
        </w:rPr>
        <w:t xml:space="preserve"> </w:t>
      </w:r>
      <w:r w:rsidRPr="00842D3D">
        <w:rPr>
          <w:rFonts w:eastAsia="Calibri" w:cs="Times New Roman"/>
          <w:w w:val="105"/>
          <w:szCs w:val="24"/>
        </w:rPr>
        <w:t>(9th</w:t>
      </w:r>
      <w:r w:rsidRPr="00842D3D">
        <w:rPr>
          <w:rFonts w:eastAsia="Calibri" w:cs="Times New Roman"/>
          <w:spacing w:val="-6"/>
          <w:w w:val="105"/>
          <w:szCs w:val="24"/>
        </w:rPr>
        <w:t xml:space="preserve"> </w:t>
      </w:r>
      <w:r w:rsidRPr="00842D3D">
        <w:rPr>
          <w:rFonts w:eastAsia="Calibri" w:cs="Times New Roman"/>
          <w:w w:val="105"/>
          <w:szCs w:val="24"/>
        </w:rPr>
        <w:t>Cir.</w:t>
      </w:r>
      <w:r w:rsidRPr="00842D3D">
        <w:rPr>
          <w:rFonts w:eastAsia="Calibri" w:cs="Times New Roman"/>
          <w:spacing w:val="-11"/>
          <w:w w:val="105"/>
          <w:szCs w:val="24"/>
        </w:rPr>
        <w:t xml:space="preserve"> </w:t>
      </w:r>
      <w:r w:rsidRPr="00842D3D">
        <w:rPr>
          <w:rFonts w:eastAsia="Calibri" w:cs="Times New Roman"/>
          <w:spacing w:val="-2"/>
          <w:w w:val="105"/>
          <w:szCs w:val="24"/>
        </w:rPr>
        <w:t>1994).</w:t>
      </w:r>
    </w:p>
    <w:p w14:paraId="19744DE4" w14:textId="77777777" w:rsidR="00842D3D" w:rsidRPr="00842D3D" w:rsidRDefault="00842D3D" w:rsidP="00842D3D">
      <w:pPr>
        <w:widowControl w:val="0"/>
        <w:autoSpaceDE w:val="0"/>
        <w:autoSpaceDN w:val="0"/>
        <w:rPr>
          <w:rFonts w:eastAsia="Times New Roman" w:cs="Times New Roman"/>
          <w:szCs w:val="24"/>
        </w:rPr>
      </w:pPr>
    </w:p>
    <w:p w14:paraId="1DDCE49B"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Because</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copyright</w:t>
      </w:r>
      <w:r w:rsidRPr="00842D3D">
        <w:rPr>
          <w:rFonts w:eastAsia="Times New Roman" w:cs="Times New Roman"/>
          <w:spacing w:val="40"/>
          <w:szCs w:val="24"/>
        </w:rPr>
        <w:t xml:space="preserve"> </w:t>
      </w:r>
      <w:r w:rsidRPr="00842D3D">
        <w:rPr>
          <w:rFonts w:eastAsia="Times New Roman" w:cs="Times New Roman"/>
          <w:szCs w:val="24"/>
        </w:rPr>
        <w:t>owner</w:t>
      </w:r>
      <w:r w:rsidRPr="00842D3D">
        <w:rPr>
          <w:rFonts w:eastAsia="Times New Roman" w:cs="Times New Roman"/>
          <w:spacing w:val="40"/>
          <w:szCs w:val="24"/>
        </w:rPr>
        <w:t xml:space="preserve"> </w:t>
      </w:r>
      <w:r w:rsidRPr="00842D3D">
        <w:rPr>
          <w:rFonts w:eastAsia="Times New Roman" w:cs="Times New Roman"/>
          <w:szCs w:val="24"/>
        </w:rPr>
        <w:t>has</w:t>
      </w:r>
      <w:r w:rsidRPr="00842D3D">
        <w:rPr>
          <w:rFonts w:eastAsia="Times New Roman" w:cs="Times New Roman"/>
          <w:spacing w:val="40"/>
          <w:szCs w:val="24"/>
        </w:rPr>
        <w:t xml:space="preserve"> </w:t>
      </w:r>
      <w:r w:rsidRPr="00842D3D">
        <w:rPr>
          <w:rFonts w:eastAsia="Times New Roman" w:cs="Times New Roman"/>
          <w:szCs w:val="24"/>
        </w:rPr>
        <w:t>until</w:t>
      </w:r>
      <w:r w:rsidRPr="00842D3D">
        <w:rPr>
          <w:rFonts w:eastAsia="Times New Roman" w:cs="Times New Roman"/>
          <w:spacing w:val="40"/>
          <w:szCs w:val="24"/>
        </w:rPr>
        <w:t xml:space="preserve"> </w:t>
      </w:r>
      <w:r w:rsidRPr="00842D3D">
        <w:rPr>
          <w:rFonts w:eastAsia="Times New Roman" w:cs="Times New Roman"/>
          <w:szCs w:val="24"/>
        </w:rPr>
        <w:t>final</w:t>
      </w:r>
      <w:r w:rsidRPr="00842D3D">
        <w:rPr>
          <w:rFonts w:eastAsia="Times New Roman" w:cs="Times New Roman"/>
          <w:spacing w:val="40"/>
          <w:szCs w:val="24"/>
        </w:rPr>
        <w:t xml:space="preserve"> </w:t>
      </w:r>
      <w:r w:rsidRPr="00842D3D">
        <w:rPr>
          <w:rFonts w:eastAsia="Times New Roman" w:cs="Times New Roman"/>
          <w:szCs w:val="24"/>
        </w:rPr>
        <w:t>judgment</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make</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election, it</w:t>
      </w:r>
      <w:r w:rsidRPr="00842D3D">
        <w:rPr>
          <w:rFonts w:eastAsia="Times New Roman" w:cs="Times New Roman"/>
          <w:spacing w:val="38"/>
          <w:szCs w:val="24"/>
        </w:rPr>
        <w:t xml:space="preserve"> </w:t>
      </w:r>
      <w:r w:rsidRPr="00842D3D">
        <w:rPr>
          <w:rFonts w:eastAsia="Times New Roman" w:cs="Times New Roman"/>
          <w:szCs w:val="24"/>
        </w:rPr>
        <w:t>may</w:t>
      </w:r>
      <w:r w:rsidRPr="00842D3D">
        <w:rPr>
          <w:rFonts w:eastAsia="Times New Roman" w:cs="Times New Roman"/>
          <w:spacing w:val="38"/>
          <w:szCs w:val="24"/>
        </w:rPr>
        <w:t xml:space="preserve"> </w:t>
      </w:r>
      <w:r w:rsidRPr="00842D3D">
        <w:rPr>
          <w:rFonts w:eastAsia="Times New Roman" w:cs="Times New Roman"/>
          <w:szCs w:val="24"/>
        </w:rPr>
        <w:t>often</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8"/>
          <w:szCs w:val="24"/>
        </w:rPr>
        <w:t xml:space="preserve"> </w:t>
      </w:r>
      <w:r w:rsidRPr="00842D3D">
        <w:rPr>
          <w:rFonts w:eastAsia="Times New Roman" w:cs="Times New Roman"/>
          <w:szCs w:val="24"/>
        </w:rPr>
        <w:t>appropriate</w:t>
      </w:r>
      <w:r w:rsidRPr="00842D3D">
        <w:rPr>
          <w:rFonts w:eastAsia="Times New Roman" w:cs="Times New Roman"/>
          <w:spacing w:val="38"/>
          <w:szCs w:val="24"/>
        </w:rPr>
        <w:t xml:space="preserve"> </w:t>
      </w:r>
      <w:r w:rsidRPr="00842D3D">
        <w:rPr>
          <w:rFonts w:eastAsia="Times New Roman" w:cs="Times New Roman"/>
          <w:szCs w:val="24"/>
        </w:rPr>
        <w:t>to</w:t>
      </w:r>
      <w:r w:rsidRPr="00842D3D">
        <w:rPr>
          <w:rFonts w:eastAsia="Times New Roman" w:cs="Times New Roman"/>
          <w:spacing w:val="37"/>
          <w:szCs w:val="24"/>
        </w:rPr>
        <w:t xml:space="preserve"> </w:t>
      </w:r>
      <w:r w:rsidRPr="00842D3D">
        <w:rPr>
          <w:rFonts w:eastAsia="Times New Roman" w:cs="Times New Roman"/>
          <w:szCs w:val="24"/>
        </w:rPr>
        <w:t>instruct</w:t>
      </w:r>
      <w:r w:rsidRPr="00842D3D">
        <w:rPr>
          <w:rFonts w:eastAsia="Times New Roman" w:cs="Times New Roman"/>
          <w:spacing w:val="36"/>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on</w:t>
      </w:r>
      <w:r w:rsidRPr="00842D3D">
        <w:rPr>
          <w:rFonts w:eastAsia="Times New Roman" w:cs="Times New Roman"/>
          <w:spacing w:val="36"/>
          <w:szCs w:val="24"/>
        </w:rPr>
        <w:t xml:space="preserve"> </w:t>
      </w:r>
      <w:r w:rsidRPr="00842D3D">
        <w:rPr>
          <w:rFonts w:eastAsia="Times New Roman" w:cs="Times New Roman"/>
          <w:szCs w:val="24"/>
        </w:rPr>
        <w:t>actual</w:t>
      </w:r>
      <w:r w:rsidRPr="00842D3D">
        <w:rPr>
          <w:rFonts w:eastAsia="Times New Roman" w:cs="Times New Roman"/>
          <w:spacing w:val="36"/>
          <w:szCs w:val="24"/>
        </w:rPr>
        <w:t xml:space="preserve"> </w:t>
      </w:r>
      <w:r w:rsidRPr="00842D3D">
        <w:rPr>
          <w:rFonts w:eastAsia="Times New Roman" w:cs="Times New Roman"/>
          <w:szCs w:val="24"/>
        </w:rPr>
        <w:t>damages</w:t>
      </w:r>
      <w:r w:rsidRPr="00842D3D">
        <w:rPr>
          <w:rFonts w:eastAsia="Times New Roman" w:cs="Times New Roman"/>
          <w:spacing w:val="38"/>
          <w:szCs w:val="24"/>
        </w:rPr>
        <w:t xml:space="preserve"> </w:t>
      </w:r>
      <w:r w:rsidRPr="00842D3D">
        <w:rPr>
          <w:rFonts w:eastAsia="Times New Roman" w:cs="Times New Roman"/>
          <w:szCs w:val="24"/>
        </w:rPr>
        <w:t>and</w:t>
      </w:r>
      <w:r w:rsidRPr="00842D3D">
        <w:rPr>
          <w:rFonts w:eastAsia="Times New Roman" w:cs="Times New Roman"/>
          <w:spacing w:val="38"/>
          <w:szCs w:val="24"/>
        </w:rPr>
        <w:t xml:space="preserve"> </w:t>
      </w:r>
      <w:r w:rsidRPr="00842D3D">
        <w:rPr>
          <w:rFonts w:eastAsia="Times New Roman" w:cs="Times New Roman"/>
          <w:szCs w:val="24"/>
        </w:rPr>
        <w:t xml:space="preserve">statutory damages. </w:t>
      </w:r>
      <w:r w:rsidRPr="00842D3D">
        <w:rPr>
          <w:rFonts w:eastAsia="Times New Roman" w:cs="Times New Roman"/>
          <w:i/>
          <w:iCs/>
          <w:szCs w:val="24"/>
        </w:rPr>
        <w:t xml:space="preserve">See </w:t>
      </w:r>
      <w:r w:rsidRPr="00842D3D">
        <w:rPr>
          <w:rFonts w:eastAsia="Times New Roman" w:cs="Times New Roman"/>
          <w:szCs w:val="24"/>
        </w:rPr>
        <w:t xml:space="preserve">17 U.S.C. § 504(c)(1) (“[T]he copyright owner may elect, </w:t>
      </w:r>
      <w:r w:rsidRPr="00842D3D">
        <w:rPr>
          <w:rFonts w:eastAsia="Times New Roman" w:cs="Times New Roman"/>
          <w:i/>
          <w:iCs/>
          <w:szCs w:val="24"/>
        </w:rPr>
        <w:t xml:space="preserve">at any time before final judgment is </w:t>
      </w:r>
      <w:r w:rsidRPr="00842D3D">
        <w:rPr>
          <w:rFonts w:eastAsia="Times New Roman" w:cs="Times New Roman"/>
          <w:i/>
          <w:iCs/>
          <w:szCs w:val="24"/>
        </w:rPr>
        <w:lastRenderedPageBreak/>
        <w:t>rendered</w:t>
      </w:r>
      <w:r w:rsidRPr="00842D3D">
        <w:rPr>
          <w:rFonts w:eastAsia="Times New Roman" w:cs="Times New Roman"/>
          <w:szCs w:val="24"/>
        </w:rPr>
        <w:t>, to recover, instead of actual damages and profits, an award of statutory damages for all infringements involved in the action.” (emphasis added)).</w:t>
      </w:r>
      <w:r w:rsidRPr="00842D3D">
        <w:rPr>
          <w:rFonts w:eastAsia="Times New Roman" w:cs="Times New Roman"/>
          <w:spacing w:val="27"/>
          <w:szCs w:val="24"/>
        </w:rPr>
        <w:t xml:space="preserve"> </w:t>
      </w:r>
      <w:r w:rsidRPr="00842D3D">
        <w:rPr>
          <w:rFonts w:eastAsia="Times New Roman" w:cs="Times New Roman"/>
          <w:szCs w:val="24"/>
        </w:rPr>
        <w:t xml:space="preserve">But there may be circumstances when instructing on both actual damages and statutory damages is inappropriate—for example, if there is a directed verdict on actual damages or if the plaintiff presents no actual damages theory. </w:t>
      </w:r>
      <w:r w:rsidRPr="00842D3D">
        <w:rPr>
          <w:rFonts w:eastAsia="Times New Roman" w:cs="Times New Roman"/>
          <w:i/>
          <w:szCs w:val="24"/>
        </w:rPr>
        <w:t>See L.A. News Serv. v. Reuters Television Int’l, Ltd.</w:t>
      </w:r>
      <w:r w:rsidRPr="00842D3D">
        <w:rPr>
          <w:rFonts w:eastAsia="Times New Roman" w:cs="Times New Roman"/>
          <w:szCs w:val="24"/>
        </w:rPr>
        <w:t>, 149 F.3d 987, 995 n.8. (9th Cir. 1998). The word “statutory” in the first paragraph is bracketed and should not be used in those situations when the damages instructions include only statutory damages.</w:t>
      </w:r>
    </w:p>
    <w:p w14:paraId="3E3AD60E" w14:textId="77777777" w:rsidR="00842D3D" w:rsidRPr="00842D3D" w:rsidRDefault="00842D3D" w:rsidP="00842D3D">
      <w:pPr>
        <w:widowControl w:val="0"/>
        <w:autoSpaceDE w:val="0"/>
        <w:autoSpaceDN w:val="0"/>
        <w:rPr>
          <w:rFonts w:eastAsia="Times New Roman" w:cs="Times New Roman"/>
          <w:szCs w:val="24"/>
        </w:rPr>
      </w:pPr>
    </w:p>
    <w:p w14:paraId="72329AB5" w14:textId="77777777" w:rsidR="00842D3D" w:rsidRPr="00842D3D" w:rsidRDefault="00842D3D" w:rsidP="00842D3D">
      <w:pPr>
        <w:ind w:firstLine="718"/>
        <w:rPr>
          <w:rFonts w:eastAsia="Calibri" w:cs="Times New Roman"/>
          <w:szCs w:val="24"/>
        </w:rPr>
      </w:pPr>
      <w:r w:rsidRPr="00842D3D">
        <w:rPr>
          <w:rFonts w:eastAsia="Calibri" w:cs="Times New Roman"/>
          <w:b/>
          <w:w w:val="105"/>
          <w:szCs w:val="24"/>
        </w:rPr>
        <w:t>Relevant</w:t>
      </w:r>
      <w:r w:rsidRPr="00842D3D">
        <w:rPr>
          <w:rFonts w:eastAsia="Calibri" w:cs="Times New Roman"/>
          <w:b/>
          <w:spacing w:val="-19"/>
          <w:w w:val="105"/>
          <w:szCs w:val="24"/>
        </w:rPr>
        <w:t xml:space="preserve"> </w:t>
      </w:r>
      <w:r w:rsidRPr="00842D3D">
        <w:rPr>
          <w:rFonts w:eastAsia="Calibri" w:cs="Times New Roman"/>
          <w:b/>
          <w:w w:val="105"/>
          <w:szCs w:val="24"/>
        </w:rPr>
        <w:t>Factors</w:t>
      </w:r>
      <w:r w:rsidRPr="00842D3D">
        <w:rPr>
          <w:rFonts w:eastAsia="Calibri" w:cs="Times New Roman"/>
          <w:b/>
          <w:spacing w:val="-18"/>
          <w:w w:val="105"/>
          <w:szCs w:val="24"/>
        </w:rPr>
        <w:t xml:space="preserve"> </w:t>
      </w:r>
      <w:r w:rsidRPr="00842D3D">
        <w:rPr>
          <w:rFonts w:eastAsia="Calibri" w:cs="Times New Roman"/>
          <w:b/>
          <w:w w:val="105"/>
          <w:szCs w:val="24"/>
        </w:rPr>
        <w:t>to</w:t>
      </w:r>
      <w:r w:rsidRPr="00842D3D">
        <w:rPr>
          <w:rFonts w:eastAsia="Calibri" w:cs="Times New Roman"/>
          <w:b/>
          <w:spacing w:val="-19"/>
          <w:w w:val="105"/>
          <w:szCs w:val="24"/>
        </w:rPr>
        <w:t xml:space="preserve"> </w:t>
      </w:r>
      <w:r w:rsidRPr="00842D3D">
        <w:rPr>
          <w:rFonts w:eastAsia="Calibri" w:cs="Times New Roman"/>
          <w:b/>
          <w:w w:val="105"/>
          <w:szCs w:val="24"/>
        </w:rPr>
        <w:t>Determining</w:t>
      </w:r>
      <w:r w:rsidRPr="00842D3D">
        <w:rPr>
          <w:rFonts w:eastAsia="Calibri" w:cs="Times New Roman"/>
          <w:b/>
          <w:spacing w:val="-18"/>
          <w:w w:val="105"/>
          <w:szCs w:val="24"/>
        </w:rPr>
        <w:t xml:space="preserve"> </w:t>
      </w:r>
      <w:r w:rsidRPr="00842D3D">
        <w:rPr>
          <w:rFonts w:eastAsia="Calibri" w:cs="Times New Roman"/>
          <w:b/>
          <w:w w:val="105"/>
          <w:szCs w:val="24"/>
        </w:rPr>
        <w:t>Statutory</w:t>
      </w:r>
      <w:r w:rsidRPr="00842D3D">
        <w:rPr>
          <w:rFonts w:eastAsia="Calibri" w:cs="Times New Roman"/>
          <w:b/>
          <w:spacing w:val="-18"/>
          <w:w w:val="105"/>
          <w:szCs w:val="24"/>
        </w:rPr>
        <w:t xml:space="preserve"> </w:t>
      </w:r>
      <w:r w:rsidRPr="00842D3D">
        <w:rPr>
          <w:rFonts w:eastAsia="Calibri" w:cs="Times New Roman"/>
          <w:b/>
          <w:w w:val="105"/>
          <w:szCs w:val="24"/>
        </w:rPr>
        <w:t>Damages:</w:t>
      </w:r>
      <w:r w:rsidRPr="00842D3D">
        <w:rPr>
          <w:rFonts w:eastAsia="Calibri" w:cs="Times New Roman"/>
          <w:b/>
          <w:spacing w:val="24"/>
          <w:w w:val="105"/>
          <w:szCs w:val="24"/>
        </w:rPr>
        <w:t xml:space="preserve"> </w:t>
      </w:r>
      <w:r w:rsidRPr="00842D3D">
        <w:rPr>
          <w:rFonts w:eastAsia="Calibri" w:cs="Times New Roman"/>
          <w:w w:val="105"/>
          <w:szCs w:val="24"/>
        </w:rPr>
        <w:t>The</w:t>
      </w:r>
      <w:r w:rsidRPr="00842D3D">
        <w:rPr>
          <w:rFonts w:eastAsia="Calibri" w:cs="Times New Roman"/>
          <w:spacing w:val="-17"/>
          <w:w w:val="105"/>
          <w:szCs w:val="24"/>
        </w:rPr>
        <w:t xml:space="preserve"> </w:t>
      </w:r>
      <w:r w:rsidRPr="00842D3D">
        <w:rPr>
          <w:rFonts w:eastAsia="Calibri" w:cs="Times New Roman"/>
          <w:w w:val="105"/>
          <w:szCs w:val="24"/>
        </w:rPr>
        <w:t>trier</w:t>
      </w:r>
      <w:r w:rsidRPr="00842D3D">
        <w:rPr>
          <w:rFonts w:eastAsia="Calibri" w:cs="Times New Roman"/>
          <w:spacing w:val="-17"/>
          <w:w w:val="105"/>
          <w:szCs w:val="24"/>
        </w:rPr>
        <w:t xml:space="preserve"> </w:t>
      </w:r>
      <w:r w:rsidRPr="00842D3D">
        <w:rPr>
          <w:rFonts w:eastAsia="Calibri" w:cs="Times New Roman"/>
          <w:w w:val="105"/>
          <w:szCs w:val="24"/>
        </w:rPr>
        <w:t>of</w:t>
      </w:r>
      <w:r w:rsidRPr="00842D3D">
        <w:rPr>
          <w:rFonts w:eastAsia="Calibri" w:cs="Times New Roman"/>
          <w:spacing w:val="-17"/>
          <w:w w:val="105"/>
          <w:szCs w:val="24"/>
        </w:rPr>
        <w:t xml:space="preserve"> </w:t>
      </w:r>
      <w:r w:rsidRPr="00842D3D">
        <w:rPr>
          <w:rFonts w:eastAsia="Calibri" w:cs="Times New Roman"/>
          <w:w w:val="105"/>
          <w:szCs w:val="24"/>
        </w:rPr>
        <w:t xml:space="preserve">fact has considerable discretion in determining the amount of statutory damages. </w:t>
      </w:r>
      <w:r w:rsidRPr="00842D3D">
        <w:rPr>
          <w:rFonts w:eastAsia="Calibri" w:cs="Times New Roman"/>
          <w:i/>
          <w:w w:val="105"/>
          <w:szCs w:val="24"/>
        </w:rPr>
        <w:t>See</w:t>
      </w:r>
      <w:r w:rsidRPr="00842D3D">
        <w:rPr>
          <w:rFonts w:eastAsia="Calibri" w:cs="Times New Roman"/>
          <w:i/>
          <w:spacing w:val="-19"/>
          <w:w w:val="105"/>
          <w:szCs w:val="24"/>
        </w:rPr>
        <w:t xml:space="preserve"> </w:t>
      </w:r>
      <w:r w:rsidRPr="00842D3D">
        <w:rPr>
          <w:rFonts w:eastAsia="Calibri" w:cs="Times New Roman"/>
          <w:i/>
          <w:w w:val="105"/>
          <w:szCs w:val="24"/>
        </w:rPr>
        <w:t>Dream</w:t>
      </w:r>
      <w:r w:rsidRPr="00842D3D">
        <w:rPr>
          <w:rFonts w:eastAsia="Calibri" w:cs="Times New Roman"/>
          <w:i/>
          <w:spacing w:val="-18"/>
          <w:w w:val="105"/>
          <w:szCs w:val="24"/>
        </w:rPr>
        <w:t xml:space="preserve"> </w:t>
      </w:r>
      <w:r w:rsidRPr="00842D3D">
        <w:rPr>
          <w:rFonts w:eastAsia="Calibri" w:cs="Times New Roman"/>
          <w:i/>
          <w:w w:val="105"/>
          <w:szCs w:val="24"/>
        </w:rPr>
        <w:t>Games</w:t>
      </w:r>
      <w:r w:rsidRPr="00842D3D">
        <w:rPr>
          <w:rFonts w:eastAsia="Calibri" w:cs="Times New Roman"/>
          <w:i/>
          <w:spacing w:val="-19"/>
          <w:w w:val="105"/>
          <w:szCs w:val="24"/>
        </w:rPr>
        <w:t xml:space="preserve"> </w:t>
      </w:r>
      <w:r w:rsidRPr="00842D3D">
        <w:rPr>
          <w:rFonts w:eastAsia="Calibri" w:cs="Times New Roman"/>
          <w:i/>
          <w:w w:val="105"/>
          <w:szCs w:val="24"/>
        </w:rPr>
        <w:t>of</w:t>
      </w:r>
      <w:r w:rsidRPr="00842D3D">
        <w:rPr>
          <w:rFonts w:eastAsia="Calibri" w:cs="Times New Roman"/>
          <w:i/>
          <w:spacing w:val="-17"/>
          <w:w w:val="105"/>
          <w:szCs w:val="24"/>
        </w:rPr>
        <w:t xml:space="preserve"> </w:t>
      </w:r>
      <w:r w:rsidRPr="00842D3D">
        <w:rPr>
          <w:rFonts w:eastAsia="Calibri" w:cs="Times New Roman"/>
          <w:i/>
          <w:w w:val="105"/>
          <w:szCs w:val="24"/>
        </w:rPr>
        <w:t>Ariz.,</w:t>
      </w:r>
      <w:r w:rsidRPr="00842D3D">
        <w:rPr>
          <w:rFonts w:eastAsia="Calibri" w:cs="Times New Roman"/>
          <w:i/>
          <w:spacing w:val="-12"/>
          <w:w w:val="105"/>
          <w:szCs w:val="24"/>
        </w:rPr>
        <w:t xml:space="preserve"> </w:t>
      </w:r>
      <w:r w:rsidRPr="00842D3D">
        <w:rPr>
          <w:rFonts w:eastAsia="Calibri" w:cs="Times New Roman"/>
          <w:i/>
          <w:w w:val="105"/>
          <w:szCs w:val="24"/>
        </w:rPr>
        <w:t>Inc.</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1"/>
          <w:w w:val="105"/>
          <w:szCs w:val="24"/>
        </w:rPr>
        <w:t xml:space="preserve"> </w:t>
      </w:r>
      <w:r w:rsidRPr="00842D3D">
        <w:rPr>
          <w:rFonts w:eastAsia="Calibri" w:cs="Times New Roman"/>
          <w:i/>
          <w:w w:val="105"/>
          <w:szCs w:val="24"/>
        </w:rPr>
        <w:t>PC</w:t>
      </w:r>
      <w:r w:rsidRPr="00842D3D">
        <w:rPr>
          <w:rFonts w:eastAsia="Calibri" w:cs="Times New Roman"/>
          <w:i/>
          <w:spacing w:val="-9"/>
          <w:w w:val="105"/>
          <w:szCs w:val="24"/>
        </w:rPr>
        <w:t xml:space="preserve"> </w:t>
      </w:r>
      <w:r w:rsidRPr="00842D3D">
        <w:rPr>
          <w:rFonts w:eastAsia="Calibri" w:cs="Times New Roman"/>
          <w:i/>
          <w:w w:val="105"/>
          <w:szCs w:val="24"/>
        </w:rPr>
        <w:t>Onsite</w:t>
      </w:r>
      <w:r w:rsidRPr="00842D3D">
        <w:rPr>
          <w:rFonts w:eastAsia="Calibri" w:cs="Times New Roman"/>
          <w:w w:val="105"/>
          <w:szCs w:val="24"/>
        </w:rPr>
        <w:t>,</w:t>
      </w:r>
      <w:r w:rsidRPr="00842D3D">
        <w:rPr>
          <w:rFonts w:eastAsia="Calibri" w:cs="Times New Roman"/>
          <w:spacing w:val="-19"/>
          <w:w w:val="105"/>
          <w:szCs w:val="24"/>
        </w:rPr>
        <w:t xml:space="preserve"> </w:t>
      </w:r>
      <w:r w:rsidRPr="00842D3D">
        <w:rPr>
          <w:rFonts w:eastAsia="Calibri" w:cs="Times New Roman"/>
          <w:w w:val="105"/>
          <w:szCs w:val="24"/>
        </w:rPr>
        <w:t>561</w:t>
      </w:r>
      <w:r w:rsidRPr="00842D3D">
        <w:rPr>
          <w:rFonts w:eastAsia="Calibri" w:cs="Times New Roman"/>
          <w:spacing w:val="-17"/>
          <w:w w:val="105"/>
          <w:szCs w:val="24"/>
        </w:rPr>
        <w:t xml:space="preserve"> </w:t>
      </w:r>
      <w:r w:rsidRPr="00842D3D">
        <w:rPr>
          <w:rFonts w:eastAsia="Calibri" w:cs="Times New Roman"/>
          <w:w w:val="105"/>
          <w:szCs w:val="24"/>
        </w:rPr>
        <w:t>F.3d</w:t>
      </w:r>
      <w:r w:rsidRPr="00842D3D">
        <w:rPr>
          <w:rFonts w:eastAsia="Calibri" w:cs="Times New Roman"/>
          <w:spacing w:val="-17"/>
          <w:w w:val="105"/>
          <w:szCs w:val="24"/>
        </w:rPr>
        <w:t xml:space="preserve"> </w:t>
      </w:r>
      <w:r w:rsidRPr="00842D3D">
        <w:rPr>
          <w:rFonts w:eastAsia="Calibri" w:cs="Times New Roman"/>
          <w:w w:val="105"/>
          <w:szCs w:val="24"/>
        </w:rPr>
        <w:t>983,</w:t>
      </w:r>
      <w:r w:rsidRPr="00842D3D">
        <w:rPr>
          <w:rFonts w:eastAsia="Calibri" w:cs="Times New Roman"/>
          <w:spacing w:val="-19"/>
          <w:w w:val="105"/>
          <w:szCs w:val="24"/>
        </w:rPr>
        <w:t xml:space="preserve"> </w:t>
      </w:r>
      <w:r w:rsidRPr="00842D3D">
        <w:rPr>
          <w:rFonts w:eastAsia="Calibri" w:cs="Times New Roman"/>
          <w:w w:val="105"/>
          <w:szCs w:val="24"/>
        </w:rPr>
        <w:t>992-93</w:t>
      </w:r>
      <w:r w:rsidRPr="00842D3D">
        <w:rPr>
          <w:rFonts w:eastAsia="Calibri" w:cs="Times New Roman"/>
          <w:spacing w:val="-17"/>
          <w:w w:val="105"/>
          <w:szCs w:val="24"/>
        </w:rPr>
        <w:t xml:space="preserve"> </w:t>
      </w:r>
      <w:r w:rsidRPr="00842D3D">
        <w:rPr>
          <w:rFonts w:eastAsia="Calibri" w:cs="Times New Roman"/>
          <w:w w:val="105"/>
          <w:szCs w:val="24"/>
        </w:rPr>
        <w:t>(9th</w:t>
      </w:r>
      <w:r w:rsidRPr="00842D3D">
        <w:rPr>
          <w:rFonts w:eastAsia="Calibri" w:cs="Times New Roman"/>
          <w:spacing w:val="-17"/>
          <w:w w:val="105"/>
          <w:szCs w:val="24"/>
        </w:rPr>
        <w:t xml:space="preserve"> </w:t>
      </w:r>
      <w:r w:rsidRPr="00842D3D">
        <w:rPr>
          <w:rFonts w:eastAsia="Calibri" w:cs="Times New Roman"/>
          <w:w w:val="105"/>
          <w:szCs w:val="24"/>
        </w:rPr>
        <w:t>Cir.</w:t>
      </w:r>
      <w:r w:rsidRPr="00842D3D">
        <w:rPr>
          <w:rFonts w:eastAsia="Calibri" w:cs="Times New Roman"/>
          <w:spacing w:val="-16"/>
          <w:w w:val="105"/>
          <w:szCs w:val="24"/>
        </w:rPr>
        <w:t xml:space="preserve"> </w:t>
      </w:r>
      <w:r w:rsidRPr="00842D3D">
        <w:rPr>
          <w:rFonts w:eastAsia="Calibri" w:cs="Times New Roman"/>
          <w:w w:val="105"/>
          <w:szCs w:val="24"/>
        </w:rPr>
        <w:t>2009);</w:t>
      </w:r>
      <w:r w:rsidRPr="00842D3D">
        <w:rPr>
          <w:rFonts w:eastAsia="Calibri" w:cs="Times New Roman"/>
          <w:szCs w:val="24"/>
        </w:rPr>
        <w:t xml:space="preserve"> </w:t>
      </w:r>
      <w:r w:rsidRPr="00842D3D">
        <w:rPr>
          <w:rFonts w:eastAsia="Times New Roman" w:cs="Times New Roman"/>
          <w:i/>
          <w:szCs w:val="24"/>
        </w:rPr>
        <w:t>L.A. News Serv.</w:t>
      </w:r>
      <w:r w:rsidRPr="00842D3D">
        <w:rPr>
          <w:rFonts w:eastAsia="Times New Roman" w:cs="Times New Roman"/>
          <w:szCs w:val="24"/>
        </w:rPr>
        <w:t>, 149 F.3d at 996 (“The [trier of fact] has ‘wide discretion in determining</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amount</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statutory</w:t>
      </w:r>
      <w:r w:rsidRPr="00842D3D">
        <w:rPr>
          <w:rFonts w:eastAsia="Times New Roman" w:cs="Times New Roman"/>
          <w:spacing w:val="-4"/>
          <w:szCs w:val="24"/>
        </w:rPr>
        <w:t xml:space="preserve"> </w:t>
      </w:r>
      <w:r w:rsidRPr="00842D3D">
        <w:rPr>
          <w:rFonts w:eastAsia="Times New Roman" w:cs="Times New Roman"/>
          <w:szCs w:val="24"/>
        </w:rPr>
        <w:t>damages</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awarded,</w:t>
      </w:r>
      <w:r w:rsidRPr="00842D3D">
        <w:rPr>
          <w:rFonts w:eastAsia="Times New Roman" w:cs="Times New Roman"/>
          <w:spacing w:val="-3"/>
          <w:szCs w:val="24"/>
        </w:rPr>
        <w:t xml:space="preserve"> </w:t>
      </w:r>
      <w:r w:rsidRPr="00842D3D">
        <w:rPr>
          <w:rFonts w:eastAsia="Times New Roman" w:cs="Times New Roman"/>
          <w:szCs w:val="24"/>
        </w:rPr>
        <w:t>constrained</w:t>
      </w:r>
      <w:r w:rsidRPr="00842D3D">
        <w:rPr>
          <w:rFonts w:eastAsia="Times New Roman" w:cs="Times New Roman"/>
          <w:spacing w:val="-3"/>
          <w:szCs w:val="24"/>
        </w:rPr>
        <w:t xml:space="preserve"> </w:t>
      </w:r>
      <w:r w:rsidRPr="00842D3D">
        <w:rPr>
          <w:rFonts w:eastAsia="Times New Roman" w:cs="Times New Roman"/>
          <w:szCs w:val="24"/>
        </w:rPr>
        <w:t>only</w:t>
      </w:r>
      <w:r w:rsidRPr="00842D3D">
        <w:rPr>
          <w:rFonts w:eastAsia="Times New Roman" w:cs="Times New Roman"/>
          <w:spacing w:val="-3"/>
          <w:szCs w:val="24"/>
        </w:rPr>
        <w:t xml:space="preserve"> </w:t>
      </w:r>
      <w:r w:rsidRPr="00842D3D">
        <w:rPr>
          <w:rFonts w:eastAsia="Times New Roman" w:cs="Times New Roman"/>
          <w:szCs w:val="24"/>
        </w:rPr>
        <w:t xml:space="preserve">by the specified maxima and minima.’” (quoting </w:t>
      </w:r>
      <w:r w:rsidRPr="00842D3D">
        <w:rPr>
          <w:rFonts w:eastAsia="Times New Roman" w:cs="Times New Roman"/>
          <w:i/>
          <w:iCs/>
          <w:szCs w:val="24"/>
        </w:rPr>
        <w:t>Harris v. Emus Records Corp.</w:t>
      </w:r>
      <w:r w:rsidRPr="00842D3D">
        <w:rPr>
          <w:rFonts w:eastAsia="Times New Roman" w:cs="Times New Roman"/>
          <w:szCs w:val="24"/>
        </w:rPr>
        <w:t>, 734 F.2d 1329, 1335 (9th Cir.1984))).</w:t>
      </w:r>
    </w:p>
    <w:p w14:paraId="1A65FC28" w14:textId="77777777" w:rsidR="00842D3D" w:rsidRPr="00842D3D" w:rsidRDefault="00842D3D" w:rsidP="00842D3D">
      <w:pPr>
        <w:widowControl w:val="0"/>
        <w:autoSpaceDE w:val="0"/>
        <w:autoSpaceDN w:val="0"/>
        <w:rPr>
          <w:rFonts w:eastAsia="Times New Roman" w:cs="Times New Roman"/>
          <w:szCs w:val="24"/>
        </w:rPr>
      </w:pPr>
    </w:p>
    <w:p w14:paraId="55873B4F"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Act</w:t>
      </w:r>
      <w:r w:rsidRPr="00842D3D">
        <w:rPr>
          <w:rFonts w:eastAsia="Times New Roman" w:cs="Times New Roman"/>
          <w:spacing w:val="-3"/>
          <w:w w:val="105"/>
          <w:szCs w:val="24"/>
        </w:rPr>
        <w:t xml:space="preserve"> </w:t>
      </w:r>
      <w:r w:rsidRPr="00842D3D">
        <w:rPr>
          <w:rFonts w:eastAsia="Times New Roman" w:cs="Times New Roman"/>
          <w:w w:val="105"/>
          <w:szCs w:val="24"/>
        </w:rPr>
        <w:t>does</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provide</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list</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relevant</w:t>
      </w:r>
      <w:r w:rsidRPr="00842D3D">
        <w:rPr>
          <w:rFonts w:eastAsia="Times New Roman" w:cs="Times New Roman"/>
          <w:spacing w:val="-3"/>
          <w:w w:val="105"/>
          <w:szCs w:val="24"/>
        </w:rPr>
        <w:t xml:space="preserve"> </w:t>
      </w:r>
      <w:r w:rsidRPr="00842D3D">
        <w:rPr>
          <w:rFonts w:eastAsia="Times New Roman" w:cs="Times New Roman"/>
          <w:w w:val="105"/>
          <w:szCs w:val="24"/>
        </w:rPr>
        <w:t>factors</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trier</w:t>
      </w:r>
      <w:r w:rsidRPr="00842D3D">
        <w:rPr>
          <w:rFonts w:eastAsia="Times New Roman" w:cs="Times New Roman"/>
          <w:spacing w:val="-3"/>
          <w:w w:val="105"/>
          <w:szCs w:val="24"/>
        </w:rPr>
        <w:t xml:space="preserve"> </w:t>
      </w:r>
      <w:r w:rsidRPr="00842D3D">
        <w:rPr>
          <w:rFonts w:eastAsia="Times New Roman" w:cs="Times New Roman"/>
          <w:w w:val="105"/>
          <w:szCs w:val="24"/>
        </w:rPr>
        <w:t xml:space="preserve">of fact should consider when awarding statutory damages. </w:t>
      </w:r>
      <w:r w:rsidRPr="00842D3D">
        <w:rPr>
          <w:rFonts w:eastAsia="Times New Roman" w:cs="Times New Roman"/>
          <w:i/>
          <w:w w:val="105"/>
          <w:szCs w:val="24"/>
        </w:rPr>
        <w:t xml:space="preserve">See </w:t>
      </w:r>
      <w:r w:rsidRPr="00842D3D">
        <w:rPr>
          <w:rFonts w:eastAsia="Times New Roman" w:cs="Times New Roman"/>
          <w:w w:val="105"/>
          <w:szCs w:val="24"/>
        </w:rPr>
        <w:t>17 U.S.C.§ 504(c)(1).</w:t>
      </w:r>
      <w:r w:rsidRPr="00842D3D">
        <w:rPr>
          <w:rFonts w:eastAsia="Times New Roman" w:cs="Times New Roman"/>
          <w:spacing w:val="-7"/>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7"/>
          <w:w w:val="105"/>
          <w:szCs w:val="24"/>
        </w:rPr>
        <w:t xml:space="preserve"> </w:t>
      </w:r>
      <w:r w:rsidRPr="00842D3D">
        <w:rPr>
          <w:rFonts w:eastAsia="Times New Roman" w:cs="Times New Roman"/>
          <w:w w:val="105"/>
          <w:szCs w:val="24"/>
        </w:rPr>
        <w:t>trier</w:t>
      </w:r>
      <w:r w:rsidRPr="00842D3D">
        <w:rPr>
          <w:rFonts w:eastAsia="Times New Roman" w:cs="Times New Roman"/>
          <w:spacing w:val="-7"/>
          <w:w w:val="105"/>
          <w:szCs w:val="24"/>
        </w:rPr>
        <w:t xml:space="preserve"> </w:t>
      </w:r>
      <w:r w:rsidRPr="00842D3D">
        <w:rPr>
          <w:rFonts w:eastAsia="Times New Roman" w:cs="Times New Roman"/>
          <w:w w:val="105"/>
          <w:szCs w:val="24"/>
        </w:rPr>
        <w:t>of</w:t>
      </w:r>
      <w:r w:rsidRPr="00842D3D">
        <w:rPr>
          <w:rFonts w:eastAsia="Times New Roman" w:cs="Times New Roman"/>
          <w:spacing w:val="-6"/>
          <w:w w:val="105"/>
          <w:szCs w:val="24"/>
        </w:rPr>
        <w:t xml:space="preserve"> </w:t>
      </w:r>
      <w:r w:rsidRPr="00842D3D">
        <w:rPr>
          <w:rFonts w:eastAsia="Times New Roman" w:cs="Times New Roman"/>
          <w:w w:val="105"/>
          <w:szCs w:val="24"/>
        </w:rPr>
        <w:t>fact</w:t>
      </w:r>
      <w:r w:rsidRPr="00842D3D">
        <w:rPr>
          <w:rFonts w:eastAsia="Times New Roman" w:cs="Times New Roman"/>
          <w:spacing w:val="-7"/>
          <w:w w:val="105"/>
          <w:szCs w:val="24"/>
        </w:rPr>
        <w:t xml:space="preserve"> </w:t>
      </w:r>
      <w:r w:rsidRPr="00842D3D">
        <w:rPr>
          <w:rFonts w:eastAsia="Times New Roman" w:cs="Times New Roman"/>
          <w:w w:val="105"/>
          <w:szCs w:val="24"/>
        </w:rPr>
        <w:t>may</w:t>
      </w:r>
      <w:r w:rsidRPr="00842D3D">
        <w:rPr>
          <w:rFonts w:eastAsia="Times New Roman" w:cs="Times New Roman"/>
          <w:spacing w:val="-5"/>
          <w:w w:val="105"/>
          <w:szCs w:val="24"/>
        </w:rPr>
        <w:t xml:space="preserve"> </w:t>
      </w:r>
      <w:r w:rsidRPr="00842D3D">
        <w:rPr>
          <w:rFonts w:eastAsia="Times New Roman" w:cs="Times New Roman"/>
          <w:w w:val="105"/>
          <w:szCs w:val="24"/>
        </w:rPr>
        <w:t>consider</w:t>
      </w:r>
      <w:r w:rsidRPr="00842D3D">
        <w:rPr>
          <w:rFonts w:eastAsia="Times New Roman" w:cs="Times New Roman"/>
          <w:spacing w:val="-7"/>
          <w:w w:val="105"/>
          <w:szCs w:val="24"/>
        </w:rPr>
        <w:t xml:space="preserve"> </w:t>
      </w:r>
      <w:r w:rsidRPr="00842D3D">
        <w:rPr>
          <w:rFonts w:eastAsia="Times New Roman" w:cs="Times New Roman"/>
          <w:w w:val="105"/>
          <w:szCs w:val="24"/>
        </w:rPr>
        <w:t>multiple</w:t>
      </w:r>
      <w:r w:rsidRPr="00842D3D">
        <w:rPr>
          <w:rFonts w:eastAsia="Times New Roman" w:cs="Times New Roman"/>
          <w:spacing w:val="-6"/>
          <w:w w:val="105"/>
          <w:szCs w:val="24"/>
        </w:rPr>
        <w:t xml:space="preserve"> </w:t>
      </w:r>
      <w:r w:rsidRPr="00842D3D">
        <w:rPr>
          <w:rFonts w:eastAsia="Times New Roman" w:cs="Times New Roman"/>
          <w:w w:val="105"/>
          <w:szCs w:val="24"/>
        </w:rPr>
        <w:t>factors</w:t>
      </w:r>
      <w:r w:rsidRPr="00842D3D">
        <w:rPr>
          <w:rFonts w:eastAsia="Times New Roman" w:cs="Times New Roman"/>
          <w:spacing w:val="-6"/>
          <w:w w:val="105"/>
          <w:szCs w:val="24"/>
        </w:rPr>
        <w:t xml:space="preserve"> </w:t>
      </w:r>
      <w:r w:rsidRPr="00842D3D">
        <w:rPr>
          <w:rFonts w:eastAsia="Times New Roman" w:cs="Times New Roman"/>
          <w:w w:val="105"/>
          <w:szCs w:val="24"/>
        </w:rPr>
        <w:t>in</w:t>
      </w:r>
      <w:r w:rsidRPr="00842D3D">
        <w:rPr>
          <w:rFonts w:eastAsia="Times New Roman" w:cs="Times New Roman"/>
          <w:spacing w:val="-5"/>
          <w:w w:val="105"/>
          <w:szCs w:val="24"/>
        </w:rPr>
        <w:t xml:space="preserve"> </w:t>
      </w:r>
      <w:r w:rsidRPr="00842D3D">
        <w:rPr>
          <w:rFonts w:eastAsia="Times New Roman" w:cs="Times New Roman"/>
          <w:w w:val="105"/>
          <w:szCs w:val="24"/>
        </w:rPr>
        <w:t>making</w:t>
      </w:r>
      <w:r w:rsidRPr="00842D3D">
        <w:rPr>
          <w:rFonts w:eastAsia="Times New Roman" w:cs="Times New Roman"/>
          <w:spacing w:val="-6"/>
          <w:w w:val="105"/>
          <w:szCs w:val="24"/>
        </w:rPr>
        <w:t xml:space="preserve"> </w:t>
      </w:r>
      <w:r w:rsidRPr="00842D3D">
        <w:rPr>
          <w:rFonts w:eastAsia="Times New Roman" w:cs="Times New Roman"/>
          <w:spacing w:val="-5"/>
          <w:w w:val="105"/>
          <w:szCs w:val="24"/>
        </w:rPr>
        <w:t xml:space="preserve">an </w:t>
      </w:r>
      <w:r w:rsidRPr="00842D3D">
        <w:rPr>
          <w:rFonts w:eastAsia="Times New Roman" w:cs="Times New Roman"/>
          <w:szCs w:val="24"/>
        </w:rPr>
        <w:t>award</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statutory</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including</w:t>
      </w:r>
      <w:r w:rsidRPr="00842D3D">
        <w:rPr>
          <w:rFonts w:eastAsia="Times New Roman" w:cs="Times New Roman"/>
          <w:spacing w:val="40"/>
          <w:szCs w:val="24"/>
        </w:rPr>
        <w:t xml:space="preserve"> </w:t>
      </w:r>
      <w:r w:rsidRPr="00842D3D">
        <w:rPr>
          <w:rFonts w:eastAsia="Times New Roman" w:cs="Times New Roman"/>
          <w:szCs w:val="24"/>
        </w:rPr>
        <w:t>“evidence</w:t>
      </w:r>
      <w:r w:rsidRPr="00842D3D">
        <w:rPr>
          <w:rFonts w:eastAsia="Times New Roman" w:cs="Times New Roman"/>
          <w:spacing w:val="40"/>
          <w:szCs w:val="24"/>
        </w:rPr>
        <w:t xml:space="preserve"> </w:t>
      </w:r>
      <w:r w:rsidRPr="00842D3D">
        <w:rPr>
          <w:rFonts w:eastAsia="Times New Roman" w:cs="Times New Roman"/>
          <w:szCs w:val="24"/>
        </w:rPr>
        <w:t>concerning</w:t>
      </w:r>
      <w:r w:rsidRPr="00842D3D">
        <w:rPr>
          <w:rFonts w:eastAsia="Times New Roman" w:cs="Times New Roman"/>
          <w:spacing w:val="40"/>
          <w:szCs w:val="24"/>
        </w:rPr>
        <w:t xml:space="preserve"> </w:t>
      </w:r>
      <w:r w:rsidRPr="00842D3D">
        <w:rPr>
          <w:rFonts w:eastAsia="Times New Roman" w:cs="Times New Roman"/>
          <w:szCs w:val="24"/>
        </w:rPr>
        <w:t>actual</w:t>
      </w:r>
      <w:r w:rsidRPr="00842D3D">
        <w:rPr>
          <w:rFonts w:eastAsia="Times New Roman" w:cs="Times New Roman"/>
          <w:spacing w:val="40"/>
          <w:szCs w:val="24"/>
        </w:rPr>
        <w:t xml:space="preserve"> </w:t>
      </w:r>
      <w:r w:rsidRPr="00842D3D">
        <w:rPr>
          <w:rFonts w:eastAsia="Times New Roman" w:cs="Times New Roman"/>
          <w:szCs w:val="24"/>
        </w:rPr>
        <w:t xml:space="preserve">damages and profits.” H.R. Rep. No. 94-1476, at 161 (1976); </w:t>
      </w:r>
      <w:r w:rsidRPr="00842D3D">
        <w:rPr>
          <w:rFonts w:eastAsia="Times New Roman" w:cs="Times New Roman"/>
          <w:i/>
          <w:szCs w:val="24"/>
        </w:rPr>
        <w:t>see also Desire, LLC v. Manna Textiles, Inc.</w:t>
      </w:r>
      <w:r w:rsidRPr="00842D3D">
        <w:rPr>
          <w:rFonts w:eastAsia="Times New Roman" w:cs="Times New Roman"/>
          <w:szCs w:val="24"/>
        </w:rPr>
        <w:t>, 986 F.3d 1253, 1271–72 (9th Cir. 2021) (observing that a statutory damages award may account for the infringer’s “expenses saved, and profits earned,” “the revenue lost by the copyright holder,” and “the deterrent effect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infringer</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third</w:t>
      </w:r>
      <w:r w:rsidRPr="00842D3D">
        <w:rPr>
          <w:rFonts w:eastAsia="Times New Roman" w:cs="Times New Roman"/>
          <w:spacing w:val="-4"/>
          <w:szCs w:val="24"/>
        </w:rPr>
        <w:t xml:space="preserve"> </w:t>
      </w:r>
      <w:r w:rsidRPr="00842D3D">
        <w:rPr>
          <w:rFonts w:eastAsia="Times New Roman" w:cs="Times New Roman"/>
          <w:szCs w:val="24"/>
        </w:rPr>
        <w:t>parties,”</w:t>
      </w:r>
      <w:r w:rsidRPr="00842D3D">
        <w:rPr>
          <w:rFonts w:eastAsia="Times New Roman" w:cs="Times New Roman"/>
          <w:spacing w:val="-3"/>
          <w:szCs w:val="24"/>
        </w:rPr>
        <w:t xml:space="preserve"> </w:t>
      </w:r>
      <w:r w:rsidRPr="00842D3D">
        <w:rPr>
          <w:rFonts w:eastAsia="Times New Roman" w:cs="Times New Roman"/>
          <w:szCs w:val="24"/>
        </w:rPr>
        <w:t>among</w:t>
      </w:r>
      <w:r w:rsidRPr="00842D3D">
        <w:rPr>
          <w:rFonts w:eastAsia="Times New Roman" w:cs="Times New Roman"/>
          <w:spacing w:val="-3"/>
          <w:szCs w:val="24"/>
        </w:rPr>
        <w:t xml:space="preserve"> </w:t>
      </w:r>
      <w:r w:rsidRPr="00842D3D">
        <w:rPr>
          <w:rFonts w:eastAsia="Times New Roman" w:cs="Times New Roman"/>
          <w:szCs w:val="24"/>
        </w:rPr>
        <w:t>other</w:t>
      </w:r>
      <w:r w:rsidRPr="00842D3D">
        <w:rPr>
          <w:rFonts w:eastAsia="Times New Roman" w:cs="Times New Roman"/>
          <w:spacing w:val="-3"/>
          <w:szCs w:val="24"/>
        </w:rPr>
        <w:t xml:space="preserve"> </w:t>
      </w:r>
      <w:r w:rsidRPr="00842D3D">
        <w:rPr>
          <w:rFonts w:eastAsia="Times New Roman" w:cs="Times New Roman"/>
          <w:szCs w:val="24"/>
        </w:rPr>
        <w:t xml:space="preserve">factors (quoting </w:t>
      </w:r>
      <w:r w:rsidRPr="00842D3D">
        <w:rPr>
          <w:rFonts w:eastAsia="Times New Roman" w:cs="Times New Roman"/>
          <w:i/>
          <w:szCs w:val="24"/>
        </w:rPr>
        <w:t>Bryant v. Media Right Prods., Inc.</w:t>
      </w:r>
      <w:r w:rsidRPr="00842D3D">
        <w:rPr>
          <w:rFonts w:eastAsia="Times New Roman" w:cs="Times New Roman"/>
          <w:szCs w:val="24"/>
        </w:rPr>
        <w:t>, 603 F.3d 135, 144 (2d Cir. 2010)));</w:t>
      </w:r>
      <w:r w:rsidRPr="00842D3D">
        <w:rPr>
          <w:rFonts w:eastAsia="Times New Roman" w:cs="Times New Roman"/>
          <w:spacing w:val="-5"/>
          <w:szCs w:val="24"/>
        </w:rPr>
        <w:t xml:space="preserve"> </w:t>
      </w:r>
      <w:r w:rsidRPr="00842D3D">
        <w:rPr>
          <w:rFonts w:eastAsia="Times New Roman" w:cs="Times New Roman"/>
          <w:i/>
          <w:szCs w:val="24"/>
        </w:rPr>
        <w:t>Nintendo</w:t>
      </w:r>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Am., Inc.</w:t>
      </w:r>
      <w:r w:rsidRPr="00842D3D">
        <w:rPr>
          <w:rFonts w:eastAsia="Times New Roman" w:cs="Times New Roman"/>
          <w:szCs w:val="24"/>
        </w:rPr>
        <w:t>, 40 F.3d at 1011 (explaining that “statutory damages” have “punitive and deterrent purposes”).</w:t>
      </w:r>
    </w:p>
    <w:p w14:paraId="3FFB290E" w14:textId="77777777" w:rsidR="00842D3D" w:rsidRPr="00842D3D" w:rsidRDefault="00842D3D" w:rsidP="00842D3D">
      <w:pPr>
        <w:widowControl w:val="0"/>
        <w:autoSpaceDE w:val="0"/>
        <w:autoSpaceDN w:val="0"/>
        <w:rPr>
          <w:rFonts w:eastAsia="Times New Roman" w:cs="Times New Roman"/>
          <w:szCs w:val="24"/>
        </w:rPr>
      </w:pPr>
    </w:p>
    <w:p w14:paraId="2162D262"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b/>
          <w:szCs w:val="24"/>
        </w:rPr>
        <w:t>Jury</w:t>
      </w:r>
      <w:r w:rsidRPr="00842D3D">
        <w:rPr>
          <w:rFonts w:eastAsia="Times New Roman" w:cs="Times New Roman"/>
          <w:b/>
          <w:spacing w:val="-4"/>
          <w:szCs w:val="24"/>
        </w:rPr>
        <w:t xml:space="preserve"> </w:t>
      </w:r>
      <w:r w:rsidRPr="00842D3D">
        <w:rPr>
          <w:rFonts w:eastAsia="Times New Roman" w:cs="Times New Roman"/>
          <w:b/>
          <w:szCs w:val="24"/>
        </w:rPr>
        <w:t>Trial on Statutory Damages:</w:t>
      </w:r>
      <w:r w:rsidRPr="00842D3D">
        <w:rPr>
          <w:rFonts w:eastAsia="Times New Roman" w:cs="Times New Roman"/>
          <w:b/>
          <w:spacing w:val="40"/>
          <w:szCs w:val="24"/>
        </w:rPr>
        <w:t xml:space="preserve"> </w:t>
      </w:r>
      <w:r w:rsidRPr="00842D3D">
        <w:rPr>
          <w:rFonts w:eastAsia="Times New Roman" w:cs="Times New Roman"/>
          <w:szCs w:val="24"/>
        </w:rPr>
        <w:t>The Seventh</w:t>
      </w:r>
      <w:r w:rsidRPr="00842D3D">
        <w:rPr>
          <w:rFonts w:eastAsia="Times New Roman" w:cs="Times New Roman"/>
          <w:spacing w:val="-15"/>
          <w:szCs w:val="24"/>
        </w:rPr>
        <w:t xml:space="preserve"> </w:t>
      </w:r>
      <w:r w:rsidRPr="00842D3D">
        <w:rPr>
          <w:rFonts w:eastAsia="Times New Roman" w:cs="Times New Roman"/>
          <w:szCs w:val="24"/>
        </w:rPr>
        <w:t>Amendment provides for the right to a jury trial on statutory damage issues, including</w:t>
      </w:r>
      <w:r w:rsidRPr="00842D3D">
        <w:rPr>
          <w:rFonts w:eastAsia="Times New Roman" w:cs="Times New Roman"/>
          <w:spacing w:val="35"/>
          <w:szCs w:val="24"/>
        </w:rPr>
        <w:t xml:space="preserve"> </w:t>
      </w:r>
      <w:r w:rsidRPr="00842D3D">
        <w:rPr>
          <w:rFonts w:eastAsia="Times New Roman" w:cs="Times New Roman"/>
          <w:szCs w:val="24"/>
        </w:rPr>
        <w:t>the</w:t>
      </w:r>
      <w:r w:rsidRPr="00842D3D">
        <w:rPr>
          <w:rFonts w:eastAsia="Times New Roman" w:cs="Times New Roman"/>
          <w:spacing w:val="35"/>
          <w:szCs w:val="24"/>
        </w:rPr>
        <w:t xml:space="preserve"> </w:t>
      </w:r>
      <w:r w:rsidRPr="00842D3D">
        <w:rPr>
          <w:rFonts w:eastAsia="Times New Roman" w:cs="Times New Roman"/>
          <w:szCs w:val="24"/>
        </w:rPr>
        <w:t>amount of</w:t>
      </w:r>
      <w:r w:rsidRPr="00842D3D">
        <w:rPr>
          <w:rFonts w:eastAsia="Times New Roman" w:cs="Times New Roman"/>
          <w:spacing w:val="35"/>
          <w:szCs w:val="24"/>
        </w:rPr>
        <w:t xml:space="preserve"> </w:t>
      </w:r>
      <w:r w:rsidRPr="00842D3D">
        <w:rPr>
          <w:rFonts w:eastAsia="Times New Roman" w:cs="Times New Roman"/>
          <w:szCs w:val="24"/>
        </w:rPr>
        <w:t>such award.</w:t>
      </w:r>
      <w:r w:rsidRPr="00842D3D">
        <w:rPr>
          <w:rFonts w:eastAsia="Times New Roman" w:cs="Times New Roman"/>
          <w:spacing w:val="40"/>
          <w:szCs w:val="24"/>
        </w:rPr>
        <w:t xml:space="preserve"> </w:t>
      </w:r>
      <w:r w:rsidRPr="00842D3D">
        <w:rPr>
          <w:rFonts w:eastAsia="Times New Roman" w:cs="Times New Roman"/>
          <w:i/>
          <w:szCs w:val="24"/>
        </w:rPr>
        <w:t>See</w:t>
      </w:r>
      <w:r w:rsidRPr="00842D3D">
        <w:rPr>
          <w:rFonts w:eastAsia="Times New Roman" w:cs="Times New Roman"/>
          <w:i/>
          <w:spacing w:val="40"/>
          <w:szCs w:val="24"/>
        </w:rPr>
        <w:t xml:space="preserve"> </w:t>
      </w:r>
      <w:r w:rsidRPr="00842D3D">
        <w:rPr>
          <w:rFonts w:eastAsia="Times New Roman" w:cs="Times New Roman"/>
          <w:i/>
          <w:szCs w:val="24"/>
        </w:rPr>
        <w:t>Feltner</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Columbia</w:t>
      </w:r>
      <w:r w:rsidRPr="00842D3D">
        <w:rPr>
          <w:rFonts w:eastAsia="Times New Roman" w:cs="Times New Roman"/>
          <w:i/>
          <w:spacing w:val="40"/>
          <w:szCs w:val="24"/>
        </w:rPr>
        <w:t xml:space="preserve"> </w:t>
      </w:r>
      <w:r w:rsidRPr="00842D3D">
        <w:rPr>
          <w:rFonts w:eastAsia="Times New Roman" w:cs="Times New Roman"/>
          <w:i/>
          <w:szCs w:val="24"/>
        </w:rPr>
        <w:t>Pictures</w:t>
      </w:r>
      <w:r w:rsidRPr="00842D3D">
        <w:rPr>
          <w:rFonts w:eastAsia="Times New Roman" w:cs="Times New Roman"/>
          <w:i/>
          <w:spacing w:val="40"/>
          <w:szCs w:val="24"/>
        </w:rPr>
        <w:t xml:space="preserve"> </w:t>
      </w:r>
      <w:r w:rsidRPr="00842D3D">
        <w:rPr>
          <w:rFonts w:eastAsia="Times New Roman" w:cs="Times New Roman"/>
          <w:i/>
          <w:szCs w:val="24"/>
        </w:rPr>
        <w:t>Television,</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523 U.S. 340, 355 (1998).</w:t>
      </w:r>
      <w:r w:rsidRPr="00842D3D">
        <w:rPr>
          <w:rFonts w:eastAsia="Times New Roman" w:cs="Times New Roman"/>
          <w:spacing w:val="30"/>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should</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6"/>
          <w:szCs w:val="24"/>
        </w:rPr>
        <w:t xml:space="preserve"> </w:t>
      </w:r>
      <w:r w:rsidRPr="00842D3D">
        <w:rPr>
          <w:rFonts w:eastAsia="Times New Roman" w:cs="Times New Roman"/>
          <w:szCs w:val="24"/>
        </w:rPr>
        <w:t>provided</w:t>
      </w:r>
      <w:r w:rsidRPr="00842D3D">
        <w:rPr>
          <w:rFonts w:eastAsia="Times New Roman" w:cs="Times New Roman"/>
          <w:spacing w:val="37"/>
          <w:szCs w:val="24"/>
        </w:rPr>
        <w:t xml:space="preserve"> </w:t>
      </w:r>
      <w:r w:rsidRPr="00842D3D">
        <w:rPr>
          <w:rFonts w:eastAsia="Times New Roman" w:cs="Times New Roman"/>
          <w:szCs w:val="24"/>
        </w:rPr>
        <w:t>with</w:t>
      </w:r>
      <w:r w:rsidRPr="00842D3D">
        <w:rPr>
          <w:rFonts w:eastAsia="Times New Roman" w:cs="Times New Roman"/>
          <w:spacing w:val="36"/>
          <w:szCs w:val="24"/>
        </w:rPr>
        <w:t xml:space="preserve"> </w:t>
      </w:r>
      <w:r w:rsidRPr="00842D3D">
        <w:rPr>
          <w:rFonts w:eastAsia="Times New Roman" w:cs="Times New Roman"/>
          <w:szCs w:val="24"/>
        </w:rPr>
        <w:t>a</w:t>
      </w:r>
      <w:r w:rsidRPr="00842D3D">
        <w:rPr>
          <w:rFonts w:eastAsia="Times New Roman" w:cs="Times New Roman"/>
          <w:spacing w:val="37"/>
          <w:szCs w:val="24"/>
        </w:rPr>
        <w:t xml:space="preserve"> </w:t>
      </w:r>
      <w:r w:rsidRPr="00842D3D">
        <w:rPr>
          <w:rFonts w:eastAsia="Times New Roman" w:cs="Times New Roman"/>
          <w:szCs w:val="24"/>
        </w:rPr>
        <w:t>special</w:t>
      </w:r>
      <w:r w:rsidRPr="00842D3D">
        <w:rPr>
          <w:rFonts w:eastAsia="Times New Roman" w:cs="Times New Roman"/>
          <w:spacing w:val="36"/>
          <w:szCs w:val="24"/>
        </w:rPr>
        <w:t xml:space="preserve"> </w:t>
      </w:r>
      <w:r w:rsidRPr="00842D3D">
        <w:rPr>
          <w:rFonts w:eastAsia="Times New Roman" w:cs="Times New Roman"/>
          <w:szCs w:val="24"/>
        </w:rPr>
        <w:t>interrogatory</w:t>
      </w:r>
      <w:r w:rsidRPr="00842D3D">
        <w:rPr>
          <w:rFonts w:eastAsia="Times New Roman" w:cs="Times New Roman"/>
          <w:spacing w:val="37"/>
          <w:szCs w:val="24"/>
        </w:rPr>
        <w:t xml:space="preserve"> </w:t>
      </w:r>
      <w:r w:rsidRPr="00842D3D">
        <w:rPr>
          <w:rFonts w:eastAsia="Times New Roman" w:cs="Times New Roman"/>
          <w:szCs w:val="24"/>
        </w:rPr>
        <w:t>form</w:t>
      </w:r>
      <w:r w:rsidRPr="00842D3D">
        <w:rPr>
          <w:rFonts w:eastAsia="Times New Roman" w:cs="Times New Roman"/>
          <w:spacing w:val="37"/>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report</w:t>
      </w:r>
      <w:r w:rsidRPr="00842D3D">
        <w:rPr>
          <w:rFonts w:eastAsia="Times New Roman" w:cs="Times New Roman"/>
          <w:spacing w:val="40"/>
          <w:szCs w:val="24"/>
        </w:rPr>
        <w:t xml:space="preserve"> </w:t>
      </w:r>
      <w:r w:rsidRPr="00842D3D">
        <w:rPr>
          <w:rFonts w:eastAsia="Times New Roman" w:cs="Times New Roman"/>
          <w:szCs w:val="24"/>
        </w:rPr>
        <w:t>its</w:t>
      </w:r>
      <w:r w:rsidRPr="00842D3D">
        <w:rPr>
          <w:rFonts w:eastAsia="Times New Roman" w:cs="Times New Roman"/>
          <w:spacing w:val="40"/>
          <w:szCs w:val="24"/>
        </w:rPr>
        <w:t xml:space="preserve"> </w:t>
      </w:r>
      <w:r w:rsidRPr="00842D3D">
        <w:rPr>
          <w:rFonts w:eastAsia="Times New Roman" w:cs="Times New Roman"/>
          <w:szCs w:val="24"/>
        </w:rPr>
        <w:t>findings on</w:t>
      </w:r>
      <w:r w:rsidRPr="00842D3D">
        <w:rPr>
          <w:rFonts w:eastAsia="Times New Roman" w:cs="Times New Roman"/>
          <w:spacing w:val="40"/>
          <w:szCs w:val="24"/>
        </w:rPr>
        <w:t xml:space="preserve"> </w:t>
      </w:r>
      <w:r w:rsidRPr="00842D3D">
        <w:rPr>
          <w:rFonts w:eastAsia="Times New Roman" w:cs="Times New Roman"/>
          <w:szCs w:val="24"/>
        </w:rPr>
        <w:t>the issue of statutory damages. The minimum for statutory</w:t>
      </w:r>
      <w:r w:rsidRPr="00842D3D">
        <w:rPr>
          <w:rFonts w:eastAsia="Times New Roman" w:cs="Times New Roman"/>
          <w:spacing w:val="29"/>
          <w:szCs w:val="24"/>
        </w:rPr>
        <w:t xml:space="preserve"> </w:t>
      </w:r>
      <w:r w:rsidRPr="00842D3D">
        <w:rPr>
          <w:rFonts w:eastAsia="Times New Roman" w:cs="Times New Roman"/>
          <w:szCs w:val="24"/>
        </w:rPr>
        <w:t>damages is $750</w:t>
      </w:r>
      <w:r w:rsidRPr="00842D3D">
        <w:rPr>
          <w:rFonts w:eastAsia="Times New Roman" w:cs="Times New Roman"/>
          <w:spacing w:val="28"/>
          <w:szCs w:val="24"/>
        </w:rPr>
        <w:t xml:space="preserve"> </w:t>
      </w:r>
      <w:r w:rsidRPr="00842D3D">
        <w:rPr>
          <w:rFonts w:eastAsia="Times New Roman" w:cs="Times New Roman"/>
          <w:szCs w:val="24"/>
        </w:rPr>
        <w:t>per</w:t>
      </w:r>
      <w:r w:rsidRPr="00842D3D">
        <w:rPr>
          <w:rFonts w:eastAsia="Times New Roman" w:cs="Times New Roman"/>
          <w:spacing w:val="34"/>
          <w:szCs w:val="24"/>
        </w:rPr>
        <w:t xml:space="preserve"> </w:t>
      </w:r>
      <w:r w:rsidRPr="00842D3D">
        <w:rPr>
          <w:rFonts w:eastAsia="Times New Roman" w:cs="Times New Roman"/>
          <w:szCs w:val="24"/>
        </w:rPr>
        <w:t>work</w:t>
      </w:r>
      <w:r w:rsidRPr="00842D3D">
        <w:rPr>
          <w:rFonts w:eastAsia="Times New Roman" w:cs="Times New Roman"/>
          <w:spacing w:val="31"/>
          <w:szCs w:val="24"/>
        </w:rPr>
        <w:t xml:space="preserve"> </w:t>
      </w:r>
      <w:r w:rsidRPr="00842D3D">
        <w:rPr>
          <w:rFonts w:eastAsia="Times New Roman" w:cs="Times New Roman"/>
          <w:szCs w:val="24"/>
        </w:rPr>
        <w:t>infringed</w:t>
      </w:r>
      <w:r w:rsidRPr="00842D3D">
        <w:rPr>
          <w:rFonts w:eastAsia="Times New Roman" w:cs="Times New Roman"/>
          <w:spacing w:val="31"/>
          <w:szCs w:val="24"/>
        </w:rPr>
        <w:t xml:space="preserve"> </w:t>
      </w:r>
      <w:r w:rsidRPr="00842D3D">
        <w:rPr>
          <w:rFonts w:eastAsia="Times New Roman" w:cs="Times New Roman"/>
          <w:szCs w:val="24"/>
        </w:rPr>
        <w:t>and</w:t>
      </w:r>
      <w:r w:rsidRPr="00842D3D">
        <w:rPr>
          <w:rFonts w:eastAsia="Times New Roman" w:cs="Times New Roman"/>
          <w:spacing w:val="31"/>
          <w:szCs w:val="24"/>
        </w:rPr>
        <w:t xml:space="preserve"> </w:t>
      </w:r>
      <w:r w:rsidRPr="00842D3D">
        <w:rPr>
          <w:rFonts w:eastAsia="Times New Roman" w:cs="Times New Roman"/>
          <w:szCs w:val="24"/>
        </w:rPr>
        <w:t>the</w:t>
      </w:r>
      <w:r w:rsidRPr="00842D3D">
        <w:rPr>
          <w:rFonts w:eastAsia="Times New Roman" w:cs="Times New Roman"/>
          <w:spacing w:val="31"/>
          <w:szCs w:val="24"/>
        </w:rPr>
        <w:t xml:space="preserve"> </w:t>
      </w:r>
      <w:r w:rsidRPr="00842D3D">
        <w:rPr>
          <w:rFonts w:eastAsia="Times New Roman" w:cs="Times New Roman"/>
          <w:szCs w:val="24"/>
        </w:rPr>
        <w:t>maximum</w:t>
      </w:r>
      <w:r w:rsidRPr="00842D3D">
        <w:rPr>
          <w:rFonts w:eastAsia="Times New Roman" w:cs="Times New Roman"/>
          <w:spacing w:val="29"/>
          <w:szCs w:val="24"/>
        </w:rPr>
        <w:t xml:space="preserve"> </w:t>
      </w:r>
      <w:r w:rsidRPr="00842D3D">
        <w:rPr>
          <w:rFonts w:eastAsia="Times New Roman" w:cs="Times New Roman"/>
          <w:szCs w:val="24"/>
        </w:rPr>
        <w:t>is</w:t>
      </w:r>
      <w:r w:rsidRPr="00842D3D">
        <w:rPr>
          <w:rFonts w:eastAsia="Times New Roman" w:cs="Times New Roman"/>
          <w:spacing w:val="29"/>
          <w:szCs w:val="24"/>
        </w:rPr>
        <w:t xml:space="preserve"> </w:t>
      </w:r>
      <w:r w:rsidRPr="00842D3D">
        <w:rPr>
          <w:rFonts w:eastAsia="Times New Roman" w:cs="Times New Roman"/>
          <w:szCs w:val="24"/>
        </w:rPr>
        <w:t>$30,000</w:t>
      </w:r>
      <w:r w:rsidRPr="00842D3D">
        <w:rPr>
          <w:rFonts w:eastAsia="Times New Roman" w:cs="Times New Roman"/>
          <w:spacing w:val="32"/>
          <w:szCs w:val="24"/>
        </w:rPr>
        <w:t xml:space="preserve"> </w:t>
      </w:r>
      <w:r w:rsidRPr="00842D3D">
        <w:rPr>
          <w:rFonts w:eastAsia="Times New Roman" w:cs="Times New Roman"/>
          <w:szCs w:val="24"/>
        </w:rPr>
        <w:t>per work</w:t>
      </w:r>
      <w:r w:rsidRPr="00842D3D">
        <w:rPr>
          <w:rFonts w:eastAsia="Times New Roman" w:cs="Times New Roman"/>
          <w:spacing w:val="36"/>
          <w:szCs w:val="24"/>
        </w:rPr>
        <w:t xml:space="preserve"> </w:t>
      </w:r>
      <w:r w:rsidRPr="00842D3D">
        <w:rPr>
          <w:rFonts w:eastAsia="Times New Roman" w:cs="Times New Roman"/>
          <w:szCs w:val="24"/>
        </w:rPr>
        <w:t>infringed. 17</w:t>
      </w:r>
      <w:r w:rsidRPr="00842D3D">
        <w:rPr>
          <w:rFonts w:eastAsia="Times New Roman" w:cs="Times New Roman"/>
          <w:spacing w:val="35"/>
          <w:szCs w:val="24"/>
        </w:rPr>
        <w:t xml:space="preserve"> </w:t>
      </w:r>
      <w:r w:rsidRPr="00842D3D">
        <w:rPr>
          <w:rFonts w:eastAsia="Times New Roman" w:cs="Times New Roman"/>
          <w:szCs w:val="24"/>
        </w:rPr>
        <w:t>U.S.C.</w:t>
      </w:r>
      <w:r w:rsidRPr="00842D3D">
        <w:rPr>
          <w:rFonts w:eastAsia="Times New Roman" w:cs="Times New Roman"/>
          <w:spacing w:val="34"/>
          <w:szCs w:val="24"/>
        </w:rPr>
        <w:t xml:space="preserve"> </w:t>
      </w:r>
      <w:r w:rsidRPr="00842D3D">
        <w:rPr>
          <w:rFonts w:eastAsia="Times New Roman" w:cs="Times New Roman"/>
          <w:szCs w:val="24"/>
        </w:rPr>
        <w:t>§</w:t>
      </w:r>
      <w:r w:rsidRPr="00842D3D">
        <w:rPr>
          <w:rFonts w:eastAsia="Times New Roman" w:cs="Times New Roman"/>
          <w:spacing w:val="36"/>
          <w:szCs w:val="24"/>
        </w:rPr>
        <w:t xml:space="preserve"> </w:t>
      </w:r>
      <w:r w:rsidRPr="00842D3D">
        <w:rPr>
          <w:rFonts w:eastAsia="Times New Roman" w:cs="Times New Roman"/>
          <w:szCs w:val="24"/>
        </w:rPr>
        <w:t>504(c)(1).</w:t>
      </w:r>
      <w:r w:rsidRPr="00842D3D">
        <w:rPr>
          <w:rFonts w:eastAsia="Times New Roman" w:cs="Times New Roman"/>
          <w:spacing w:val="80"/>
          <w:szCs w:val="24"/>
        </w:rPr>
        <w:t xml:space="preserve"> </w:t>
      </w:r>
      <w:r w:rsidRPr="00842D3D">
        <w:rPr>
          <w:rFonts w:eastAsia="Calibri" w:cs="Times New Roman"/>
          <w:w w:val="105"/>
          <w:szCs w:val="24"/>
        </w:rPr>
        <w:t xml:space="preserve">The statutory minimum for innocent infringement is $200. 17 U.S.C. § 504(c)(2). </w:t>
      </w:r>
      <w:r w:rsidRPr="00842D3D">
        <w:rPr>
          <w:rFonts w:eastAsia="Times New Roman" w:cs="Times New Roman"/>
          <w:szCs w:val="24"/>
        </w:rPr>
        <w:t>In</w:t>
      </w:r>
      <w:r w:rsidRPr="00842D3D">
        <w:rPr>
          <w:rFonts w:eastAsia="Times New Roman" w:cs="Times New Roman"/>
          <w:spacing w:val="37"/>
          <w:szCs w:val="24"/>
        </w:rPr>
        <w:t xml:space="preserve"> </w:t>
      </w:r>
      <w:r w:rsidRPr="00842D3D">
        <w:rPr>
          <w:rFonts w:eastAsia="Times New Roman" w:cs="Times New Roman"/>
          <w:szCs w:val="24"/>
        </w:rPr>
        <w:t>the</w:t>
      </w:r>
      <w:r w:rsidRPr="00842D3D">
        <w:rPr>
          <w:rFonts w:eastAsia="Times New Roman" w:cs="Times New Roman"/>
          <w:spacing w:val="37"/>
          <w:szCs w:val="24"/>
        </w:rPr>
        <w:t xml:space="preserve"> </w:t>
      </w:r>
      <w:r w:rsidRPr="00842D3D">
        <w:rPr>
          <w:rFonts w:eastAsia="Times New Roman" w:cs="Times New Roman"/>
          <w:szCs w:val="24"/>
        </w:rPr>
        <w:t>case</w:t>
      </w:r>
      <w:r w:rsidRPr="00842D3D">
        <w:rPr>
          <w:rFonts w:eastAsia="Times New Roman" w:cs="Times New Roman"/>
          <w:spacing w:val="37"/>
          <w:szCs w:val="24"/>
        </w:rPr>
        <w:t xml:space="preserve"> </w:t>
      </w:r>
      <w:r w:rsidRPr="00842D3D">
        <w:rPr>
          <w:rFonts w:eastAsia="Times New Roman" w:cs="Times New Roman"/>
          <w:szCs w:val="24"/>
        </w:rPr>
        <w:t>of</w:t>
      </w:r>
      <w:r w:rsidRPr="00842D3D">
        <w:rPr>
          <w:rFonts w:eastAsia="Times New Roman" w:cs="Times New Roman"/>
          <w:spacing w:val="37"/>
          <w:szCs w:val="24"/>
        </w:rPr>
        <w:t xml:space="preserve"> </w:t>
      </w:r>
      <w:r w:rsidRPr="00842D3D">
        <w:rPr>
          <w:rFonts w:eastAsia="Times New Roman" w:cs="Times New Roman"/>
          <w:szCs w:val="24"/>
        </w:rPr>
        <w:t>willful</w:t>
      </w:r>
      <w:r w:rsidRPr="00842D3D">
        <w:rPr>
          <w:rFonts w:eastAsia="Times New Roman" w:cs="Times New Roman"/>
          <w:spacing w:val="37"/>
          <w:szCs w:val="24"/>
        </w:rPr>
        <w:t xml:space="preserve"> </w:t>
      </w:r>
      <w:r w:rsidRPr="00842D3D">
        <w:rPr>
          <w:rFonts w:eastAsia="Times New Roman" w:cs="Times New Roman"/>
          <w:szCs w:val="24"/>
        </w:rPr>
        <w:t>infringement,</w:t>
      </w:r>
      <w:r w:rsidRPr="00842D3D">
        <w:rPr>
          <w:rFonts w:eastAsia="Times New Roman" w:cs="Times New Roman"/>
          <w:spacing w:val="37"/>
          <w:szCs w:val="24"/>
        </w:rPr>
        <w:t xml:space="preserve"> </w:t>
      </w:r>
      <w:r w:rsidRPr="00842D3D">
        <w:rPr>
          <w:rFonts w:eastAsia="Times New Roman" w:cs="Times New Roman"/>
          <w:szCs w:val="24"/>
        </w:rPr>
        <w:t>the statutory</w:t>
      </w:r>
      <w:r w:rsidRPr="00842D3D">
        <w:rPr>
          <w:rFonts w:eastAsia="Times New Roman" w:cs="Times New Roman"/>
          <w:spacing w:val="40"/>
          <w:szCs w:val="24"/>
        </w:rPr>
        <w:t xml:space="preserve"> </w:t>
      </w:r>
      <w:r w:rsidRPr="00842D3D">
        <w:rPr>
          <w:rFonts w:eastAsia="Times New Roman" w:cs="Times New Roman"/>
          <w:szCs w:val="24"/>
        </w:rPr>
        <w:t>maximum</w:t>
      </w:r>
      <w:r w:rsidRPr="00842D3D">
        <w:rPr>
          <w:rFonts w:eastAsia="Times New Roman" w:cs="Times New Roman"/>
          <w:spacing w:val="40"/>
          <w:szCs w:val="24"/>
        </w:rPr>
        <w:t xml:space="preserve"> </w:t>
      </w:r>
      <w:r w:rsidRPr="00842D3D">
        <w:rPr>
          <w:rFonts w:eastAsia="Times New Roman" w:cs="Times New Roman"/>
          <w:szCs w:val="24"/>
        </w:rPr>
        <w:t>for</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is</w:t>
      </w:r>
      <w:r w:rsidRPr="00842D3D">
        <w:rPr>
          <w:rFonts w:eastAsia="Times New Roman" w:cs="Times New Roman"/>
          <w:spacing w:val="40"/>
          <w:szCs w:val="24"/>
        </w:rPr>
        <w:t xml:space="preserve"> </w:t>
      </w:r>
      <w:r w:rsidRPr="00842D3D">
        <w:rPr>
          <w:rFonts w:eastAsia="Times New Roman" w:cs="Times New Roman"/>
          <w:szCs w:val="24"/>
        </w:rPr>
        <w:t>$150,000.</w:t>
      </w:r>
      <w:r w:rsidRPr="00842D3D">
        <w:rPr>
          <w:rFonts w:eastAsia="Times New Roman" w:cs="Times New Roman"/>
          <w:spacing w:val="80"/>
          <w:szCs w:val="24"/>
        </w:rPr>
        <w:t xml:space="preserve"> </w:t>
      </w:r>
      <w:r w:rsidRPr="00842D3D">
        <w:rPr>
          <w:rFonts w:eastAsia="Times New Roman" w:cs="Times New Roman"/>
          <w:szCs w:val="24"/>
        </w:rPr>
        <w:t>17</w:t>
      </w:r>
      <w:r w:rsidRPr="00842D3D">
        <w:rPr>
          <w:rFonts w:eastAsia="Times New Roman" w:cs="Times New Roman"/>
          <w:spacing w:val="40"/>
          <w:szCs w:val="24"/>
        </w:rPr>
        <w:t xml:space="preserve"> </w:t>
      </w:r>
      <w:r w:rsidRPr="00842D3D">
        <w:rPr>
          <w:rFonts w:eastAsia="Times New Roman" w:cs="Times New Roman"/>
          <w:szCs w:val="24"/>
        </w:rPr>
        <w:t>U.S.C.</w:t>
      </w:r>
      <w:r w:rsidRPr="00842D3D">
        <w:rPr>
          <w:rFonts w:eastAsia="Times New Roman" w:cs="Times New Roman"/>
          <w:spacing w:val="33"/>
          <w:szCs w:val="24"/>
        </w:rPr>
        <w:t xml:space="preserve"> </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504(c)(2).</w:t>
      </w:r>
    </w:p>
    <w:p w14:paraId="672DBA56" w14:textId="77777777" w:rsidR="00842D3D" w:rsidRPr="00842D3D" w:rsidRDefault="00842D3D" w:rsidP="00842D3D">
      <w:pPr>
        <w:widowControl w:val="0"/>
        <w:autoSpaceDE w:val="0"/>
        <w:autoSpaceDN w:val="0"/>
        <w:rPr>
          <w:rFonts w:eastAsia="Times New Roman" w:cs="Times New Roman"/>
          <w:szCs w:val="24"/>
        </w:rPr>
      </w:pPr>
    </w:p>
    <w:p w14:paraId="6052730C" w14:textId="77777777" w:rsidR="00842D3D" w:rsidRPr="00842D3D" w:rsidRDefault="00842D3D" w:rsidP="00842D3D">
      <w:pPr>
        <w:ind w:firstLine="718"/>
        <w:rPr>
          <w:rFonts w:eastAsia="Calibri" w:cs="Times New Roman"/>
          <w:i/>
          <w:szCs w:val="24"/>
        </w:rPr>
      </w:pPr>
      <w:r w:rsidRPr="00842D3D">
        <w:rPr>
          <w:rFonts w:eastAsia="Calibri" w:cs="Times New Roman"/>
          <w:b/>
          <w:w w:val="105"/>
          <w:szCs w:val="24"/>
        </w:rPr>
        <w:t>Availability</w:t>
      </w:r>
      <w:r w:rsidRPr="00842D3D">
        <w:rPr>
          <w:rFonts w:eastAsia="Calibri" w:cs="Times New Roman"/>
          <w:b/>
          <w:spacing w:val="-5"/>
          <w:w w:val="105"/>
          <w:szCs w:val="24"/>
        </w:rPr>
        <w:t xml:space="preserve"> </w:t>
      </w:r>
      <w:r w:rsidRPr="00842D3D">
        <w:rPr>
          <w:rFonts w:eastAsia="Calibri" w:cs="Times New Roman"/>
          <w:b/>
          <w:w w:val="105"/>
          <w:szCs w:val="24"/>
        </w:rPr>
        <w:t>of</w:t>
      </w:r>
      <w:r w:rsidRPr="00842D3D">
        <w:rPr>
          <w:rFonts w:eastAsia="Calibri" w:cs="Times New Roman"/>
          <w:b/>
          <w:spacing w:val="-5"/>
          <w:w w:val="105"/>
          <w:szCs w:val="24"/>
        </w:rPr>
        <w:t xml:space="preserve"> </w:t>
      </w:r>
      <w:r w:rsidRPr="00842D3D">
        <w:rPr>
          <w:rFonts w:eastAsia="Calibri" w:cs="Times New Roman"/>
          <w:b/>
          <w:w w:val="105"/>
          <w:szCs w:val="24"/>
        </w:rPr>
        <w:t>Statutory</w:t>
      </w:r>
      <w:r w:rsidRPr="00842D3D">
        <w:rPr>
          <w:rFonts w:eastAsia="Calibri" w:cs="Times New Roman"/>
          <w:b/>
          <w:spacing w:val="-5"/>
          <w:w w:val="105"/>
          <w:szCs w:val="24"/>
        </w:rPr>
        <w:t xml:space="preserve"> </w:t>
      </w:r>
      <w:r w:rsidRPr="00842D3D">
        <w:rPr>
          <w:rFonts w:eastAsia="Calibri" w:cs="Times New Roman"/>
          <w:b/>
          <w:w w:val="105"/>
          <w:szCs w:val="24"/>
        </w:rPr>
        <w:t>Damages:</w:t>
      </w:r>
      <w:r w:rsidRPr="00842D3D">
        <w:rPr>
          <w:rFonts w:eastAsia="Calibri" w:cs="Times New Roman"/>
          <w:b/>
          <w:spacing w:val="40"/>
          <w:w w:val="105"/>
          <w:szCs w:val="24"/>
        </w:rPr>
        <w:t xml:space="preserve"> </w:t>
      </w:r>
      <w:r w:rsidRPr="00842D3D">
        <w:rPr>
          <w:rFonts w:eastAsia="Calibri" w:cs="Times New Roman"/>
          <w:w w:val="105"/>
          <w:szCs w:val="24"/>
        </w:rPr>
        <w:t>A plaintiff can recover statutory damages “whether or not</w:t>
      </w:r>
      <w:r w:rsidRPr="00842D3D">
        <w:rPr>
          <w:rFonts w:eastAsia="Calibri" w:cs="Times New Roman"/>
          <w:spacing w:val="-1"/>
          <w:w w:val="105"/>
          <w:szCs w:val="24"/>
        </w:rPr>
        <w:t xml:space="preserve"> </w:t>
      </w:r>
      <w:r w:rsidRPr="00842D3D">
        <w:rPr>
          <w:rFonts w:eastAsia="Calibri" w:cs="Times New Roman"/>
          <w:w w:val="105"/>
          <w:szCs w:val="24"/>
        </w:rPr>
        <w:t>there is adequate evidence of the actual damages suffered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4"/>
          <w:w w:val="105"/>
          <w:szCs w:val="24"/>
        </w:rPr>
        <w:t xml:space="preserve"> </w:t>
      </w:r>
      <w:r w:rsidRPr="00842D3D">
        <w:rPr>
          <w:rFonts w:eastAsia="Calibri" w:cs="Times New Roman"/>
          <w:w w:val="105"/>
          <w:szCs w:val="24"/>
        </w:rPr>
        <w:t>plaintiff</w:t>
      </w:r>
      <w:r w:rsidRPr="00842D3D">
        <w:rPr>
          <w:rFonts w:eastAsia="Calibri" w:cs="Times New Roman"/>
          <w:spacing w:val="-4"/>
          <w:w w:val="105"/>
          <w:szCs w:val="24"/>
        </w:rPr>
        <w:t xml:space="preserve"> </w:t>
      </w:r>
      <w:r w:rsidRPr="00842D3D">
        <w:rPr>
          <w:rFonts w:eastAsia="Calibri" w:cs="Times New Roman"/>
          <w:w w:val="105"/>
          <w:szCs w:val="24"/>
        </w:rPr>
        <w:t>or of the</w:t>
      </w:r>
      <w:r w:rsidRPr="00842D3D">
        <w:rPr>
          <w:rFonts w:eastAsia="Calibri" w:cs="Times New Roman"/>
          <w:spacing w:val="-3"/>
          <w:w w:val="105"/>
          <w:szCs w:val="24"/>
        </w:rPr>
        <w:t xml:space="preserve"> </w:t>
      </w:r>
      <w:r w:rsidRPr="00842D3D">
        <w:rPr>
          <w:rFonts w:eastAsia="Calibri" w:cs="Times New Roman"/>
          <w:w w:val="105"/>
          <w:szCs w:val="24"/>
        </w:rPr>
        <w:t>profits</w:t>
      </w:r>
      <w:r w:rsidRPr="00842D3D">
        <w:rPr>
          <w:rFonts w:eastAsia="Calibri" w:cs="Times New Roman"/>
          <w:spacing w:val="-4"/>
          <w:w w:val="105"/>
          <w:szCs w:val="24"/>
        </w:rPr>
        <w:t xml:space="preserve"> </w:t>
      </w:r>
      <w:r w:rsidRPr="00842D3D">
        <w:rPr>
          <w:rFonts w:eastAsia="Calibri" w:cs="Times New Roman"/>
          <w:w w:val="105"/>
          <w:szCs w:val="24"/>
        </w:rPr>
        <w:t>reaped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3"/>
          <w:w w:val="105"/>
          <w:szCs w:val="24"/>
        </w:rPr>
        <w:t xml:space="preserve"> </w:t>
      </w:r>
      <w:r w:rsidRPr="00842D3D">
        <w:rPr>
          <w:rFonts w:eastAsia="Calibri" w:cs="Times New Roman"/>
          <w:w w:val="105"/>
          <w:szCs w:val="24"/>
        </w:rPr>
        <w:t>defendant.”</w:t>
      </w:r>
      <w:r w:rsidRPr="00842D3D">
        <w:rPr>
          <w:rFonts w:eastAsia="Calibri" w:cs="Times New Roman"/>
          <w:i/>
          <w:spacing w:val="-4"/>
          <w:w w:val="105"/>
          <w:szCs w:val="24"/>
        </w:rPr>
        <w:t xml:space="preserve"> </w:t>
      </w:r>
      <w:r w:rsidRPr="00842D3D">
        <w:rPr>
          <w:rFonts w:eastAsia="Calibri" w:cs="Times New Roman"/>
          <w:i/>
          <w:w w:val="105"/>
          <w:szCs w:val="24"/>
        </w:rPr>
        <w:t>L.A.</w:t>
      </w:r>
      <w:r w:rsidRPr="00842D3D">
        <w:rPr>
          <w:rFonts w:eastAsia="Calibri" w:cs="Times New Roman"/>
          <w:i/>
          <w:spacing w:val="-4"/>
          <w:w w:val="105"/>
          <w:szCs w:val="24"/>
        </w:rPr>
        <w:t xml:space="preserve"> </w:t>
      </w:r>
      <w:r w:rsidRPr="00842D3D">
        <w:rPr>
          <w:rFonts w:eastAsia="Calibri" w:cs="Times New Roman"/>
          <w:i/>
          <w:w w:val="105"/>
          <w:szCs w:val="24"/>
        </w:rPr>
        <w:t>News Serv.</w:t>
      </w:r>
      <w:r w:rsidRPr="00842D3D">
        <w:rPr>
          <w:rFonts w:eastAsia="Calibri" w:cs="Times New Roman"/>
          <w:w w:val="105"/>
          <w:szCs w:val="24"/>
        </w:rPr>
        <w:t xml:space="preserve">, 149 F.3d at 996 quoting </w:t>
      </w:r>
      <w:r w:rsidRPr="00842D3D">
        <w:rPr>
          <w:rFonts w:eastAsia="Calibri" w:cs="Times New Roman"/>
          <w:i/>
          <w:iCs/>
          <w:w w:val="105"/>
          <w:szCs w:val="24"/>
        </w:rPr>
        <w:t>Harris</w:t>
      </w:r>
      <w:r w:rsidRPr="00842D3D">
        <w:rPr>
          <w:rFonts w:eastAsia="Calibri" w:cs="Times New Roman"/>
          <w:w w:val="105"/>
          <w:szCs w:val="24"/>
        </w:rPr>
        <w:t xml:space="preserve">, 734 F.2d at 1335; </w:t>
      </w:r>
      <w:r w:rsidRPr="00842D3D">
        <w:rPr>
          <w:rFonts w:eastAsia="Calibri" w:cs="Times New Roman"/>
          <w:i/>
          <w:w w:val="105"/>
          <w:szCs w:val="24"/>
        </w:rPr>
        <w:t>Peer Int’l Corp. v. Pausa Records,</w:t>
      </w:r>
      <w:r w:rsidRPr="00842D3D">
        <w:rPr>
          <w:rFonts w:eastAsia="Calibri" w:cs="Times New Roman"/>
          <w:i/>
          <w:szCs w:val="24"/>
        </w:rPr>
        <w:t xml:space="preserve"> </w:t>
      </w:r>
      <w:r w:rsidRPr="00842D3D">
        <w:rPr>
          <w:rFonts w:eastAsia="Times New Roman" w:cs="Times New Roman"/>
          <w:i/>
          <w:w w:val="105"/>
          <w:szCs w:val="24"/>
        </w:rPr>
        <w:t>Inc.</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909</w:t>
      </w:r>
      <w:r w:rsidRPr="00842D3D">
        <w:rPr>
          <w:rFonts w:eastAsia="Times New Roman" w:cs="Times New Roman"/>
          <w:spacing w:val="-3"/>
          <w:w w:val="105"/>
          <w:szCs w:val="24"/>
        </w:rPr>
        <w:t xml:space="preserve"> </w:t>
      </w:r>
      <w:r w:rsidRPr="00842D3D">
        <w:rPr>
          <w:rFonts w:eastAsia="Times New Roman" w:cs="Times New Roman"/>
          <w:w w:val="105"/>
          <w:szCs w:val="24"/>
        </w:rPr>
        <w:t>F.2d</w:t>
      </w:r>
      <w:r w:rsidRPr="00842D3D">
        <w:rPr>
          <w:rFonts w:eastAsia="Times New Roman" w:cs="Times New Roman"/>
          <w:spacing w:val="-3"/>
          <w:w w:val="105"/>
          <w:szCs w:val="24"/>
        </w:rPr>
        <w:t xml:space="preserve"> </w:t>
      </w:r>
      <w:r w:rsidRPr="00842D3D">
        <w:rPr>
          <w:rFonts w:eastAsia="Times New Roman" w:cs="Times New Roman"/>
          <w:w w:val="105"/>
          <w:szCs w:val="24"/>
        </w:rPr>
        <w:t>1332,</w:t>
      </w:r>
      <w:r w:rsidRPr="00842D3D">
        <w:rPr>
          <w:rFonts w:eastAsia="Times New Roman" w:cs="Times New Roman"/>
          <w:spacing w:val="-9"/>
          <w:w w:val="105"/>
          <w:szCs w:val="24"/>
        </w:rPr>
        <w:t xml:space="preserve"> </w:t>
      </w:r>
      <w:r w:rsidRPr="00842D3D">
        <w:rPr>
          <w:rFonts w:eastAsia="Times New Roman" w:cs="Times New Roman"/>
          <w:w w:val="105"/>
          <w:szCs w:val="24"/>
        </w:rPr>
        <w:t>1337</w:t>
      </w:r>
      <w:r w:rsidRPr="00842D3D">
        <w:rPr>
          <w:rFonts w:eastAsia="Times New Roman" w:cs="Times New Roman"/>
          <w:spacing w:val="-3"/>
          <w:w w:val="105"/>
          <w:szCs w:val="24"/>
        </w:rPr>
        <w:t xml:space="preserve"> </w:t>
      </w:r>
      <w:r w:rsidRPr="00842D3D">
        <w:rPr>
          <w:rFonts w:eastAsia="Times New Roman" w:cs="Times New Roman"/>
          <w:w w:val="105"/>
          <w:szCs w:val="24"/>
        </w:rPr>
        <w:t>(9th</w:t>
      </w:r>
      <w:r w:rsidRPr="00842D3D">
        <w:rPr>
          <w:rFonts w:eastAsia="Times New Roman" w:cs="Times New Roman"/>
          <w:spacing w:val="-3"/>
          <w:w w:val="105"/>
          <w:szCs w:val="24"/>
        </w:rPr>
        <w:t xml:space="preserve"> </w:t>
      </w:r>
      <w:r w:rsidRPr="00842D3D">
        <w:rPr>
          <w:rFonts w:eastAsia="Times New Roman" w:cs="Times New Roman"/>
          <w:w w:val="105"/>
          <w:szCs w:val="24"/>
        </w:rPr>
        <w:t>Cir.</w:t>
      </w:r>
      <w:r w:rsidRPr="00842D3D">
        <w:rPr>
          <w:rFonts w:eastAsia="Times New Roman" w:cs="Times New Roman"/>
          <w:spacing w:val="-4"/>
          <w:w w:val="105"/>
          <w:szCs w:val="24"/>
        </w:rPr>
        <w:t xml:space="preserve"> </w:t>
      </w:r>
      <w:r w:rsidRPr="00842D3D">
        <w:rPr>
          <w:rFonts w:eastAsia="Times New Roman" w:cs="Times New Roman"/>
          <w:w w:val="105"/>
          <w:szCs w:val="24"/>
        </w:rPr>
        <w:t>1990).</w:t>
      </w:r>
      <w:r w:rsidRPr="00842D3D">
        <w:rPr>
          <w:rFonts w:eastAsia="Times New Roman" w:cs="Times New Roman"/>
          <w:spacing w:val="-11"/>
          <w:w w:val="105"/>
          <w:szCs w:val="24"/>
        </w:rPr>
        <w:t xml:space="preserve"> </w:t>
      </w:r>
      <w:r w:rsidRPr="00842D3D">
        <w:rPr>
          <w:rFonts w:eastAsia="Times New Roman" w:cs="Times New Roman"/>
          <w:w w:val="105"/>
          <w:szCs w:val="24"/>
        </w:rPr>
        <w:t>“Even</w:t>
      </w:r>
      <w:r w:rsidRPr="00842D3D">
        <w:rPr>
          <w:rFonts w:eastAsia="Times New Roman" w:cs="Times New Roman"/>
          <w:spacing w:val="-3"/>
          <w:w w:val="105"/>
          <w:szCs w:val="24"/>
        </w:rPr>
        <w:t xml:space="preserve"> </w:t>
      </w:r>
      <w:r w:rsidRPr="00842D3D">
        <w:rPr>
          <w:rFonts w:eastAsia="Times New Roman" w:cs="Times New Roman"/>
          <w:w w:val="105"/>
          <w:szCs w:val="24"/>
        </w:rPr>
        <w:t>for uninjurious</w:t>
      </w:r>
      <w:r w:rsidRPr="00842D3D">
        <w:rPr>
          <w:rFonts w:eastAsia="Times New Roman" w:cs="Times New Roman"/>
          <w:spacing w:val="-10"/>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unprofitable</w:t>
      </w:r>
      <w:r w:rsidRPr="00842D3D">
        <w:rPr>
          <w:rFonts w:eastAsia="Times New Roman" w:cs="Times New Roman"/>
          <w:spacing w:val="-9"/>
          <w:w w:val="105"/>
          <w:szCs w:val="24"/>
        </w:rPr>
        <w:t xml:space="preserve"> </w:t>
      </w:r>
      <w:r w:rsidRPr="00842D3D">
        <w:rPr>
          <w:rFonts w:eastAsia="Times New Roman" w:cs="Times New Roman"/>
          <w:w w:val="105"/>
          <w:szCs w:val="24"/>
        </w:rPr>
        <w:t>invasions</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copyright</w:t>
      </w:r>
      <w:r w:rsidRPr="00842D3D">
        <w:rPr>
          <w:rFonts w:eastAsia="Times New Roman" w:cs="Times New Roman"/>
          <w:spacing w:val="-19"/>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court</w:t>
      </w:r>
      <w:r w:rsidRPr="00842D3D">
        <w:rPr>
          <w:rFonts w:eastAsia="Times New Roman" w:cs="Times New Roman"/>
          <w:spacing w:val="-11"/>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w:t>
      </w:r>
      <w:r w:rsidRPr="00842D3D">
        <w:rPr>
          <w:rFonts w:eastAsia="Times New Roman" w:cs="Times New Roman"/>
          <w:w w:val="105"/>
          <w:szCs w:val="24"/>
        </w:rPr>
        <w:t>if</w:t>
      </w:r>
      <w:r w:rsidRPr="00842D3D">
        <w:rPr>
          <w:rFonts w:eastAsia="Times New Roman" w:cs="Times New Roman"/>
          <w:spacing w:val="-10"/>
          <w:w w:val="105"/>
          <w:szCs w:val="24"/>
        </w:rPr>
        <w:t xml:space="preserve"> </w:t>
      </w:r>
      <w:r w:rsidRPr="00842D3D">
        <w:rPr>
          <w:rFonts w:eastAsia="Times New Roman" w:cs="Times New Roman"/>
          <w:w w:val="105"/>
          <w:szCs w:val="24"/>
        </w:rPr>
        <w:t>it</w:t>
      </w:r>
      <w:r w:rsidRPr="00842D3D">
        <w:rPr>
          <w:rFonts w:eastAsia="Times New Roman" w:cs="Times New Roman"/>
          <w:spacing w:val="-5"/>
          <w:w w:val="105"/>
          <w:szCs w:val="24"/>
        </w:rPr>
        <w:t xml:space="preserve"> </w:t>
      </w:r>
      <w:r w:rsidRPr="00842D3D">
        <w:rPr>
          <w:rFonts w:eastAsia="Times New Roman" w:cs="Times New Roman"/>
          <w:w w:val="105"/>
          <w:szCs w:val="24"/>
        </w:rPr>
        <w:t>deems</w:t>
      </w:r>
      <w:r w:rsidRPr="00842D3D">
        <w:rPr>
          <w:rFonts w:eastAsia="Times New Roman" w:cs="Times New Roman"/>
          <w:spacing w:val="-4"/>
          <w:w w:val="105"/>
          <w:szCs w:val="24"/>
        </w:rPr>
        <w:t xml:space="preserve"> </w:t>
      </w:r>
      <w:r w:rsidRPr="00842D3D">
        <w:rPr>
          <w:rFonts w:eastAsia="Times New Roman" w:cs="Times New Roman"/>
          <w:w w:val="105"/>
          <w:szCs w:val="24"/>
        </w:rPr>
        <w:t xml:space="preserve">it just, impose a liability within statutory limits to sanction and vindicate the statutory policy” of discouraging infringement. </w:t>
      </w:r>
      <w:r w:rsidRPr="00842D3D">
        <w:rPr>
          <w:rFonts w:eastAsia="Times New Roman" w:cs="Times New Roman"/>
          <w:i/>
          <w:w w:val="105"/>
          <w:szCs w:val="24"/>
        </w:rPr>
        <w:t>F.W. Woolworth Co. v. Contemp. Arts, Inc</w:t>
      </w:r>
      <w:r w:rsidRPr="00842D3D">
        <w:rPr>
          <w:rFonts w:eastAsia="Times New Roman" w:cs="Times New Roman"/>
          <w:w w:val="105"/>
          <w:szCs w:val="24"/>
        </w:rPr>
        <w:t>., 344 U.S. 228, 233 (1952). When an injury can be shown, but neither profits nor damages can be proven,</w:t>
      </w:r>
      <w:r w:rsidRPr="00842D3D">
        <w:rPr>
          <w:rFonts w:eastAsia="Times New Roman" w:cs="Times New Roman"/>
          <w:spacing w:val="-1"/>
          <w:w w:val="105"/>
          <w:szCs w:val="24"/>
        </w:rPr>
        <w:t xml:space="preserve"> </w:t>
      </w:r>
      <w:r w:rsidRPr="00842D3D">
        <w:rPr>
          <w:rFonts w:eastAsia="Times New Roman" w:cs="Times New Roman"/>
          <w:w w:val="105"/>
          <w:szCs w:val="24"/>
        </w:rPr>
        <w:t>statutory profits are mandatory.</w:t>
      </w:r>
      <w:r w:rsidRPr="00842D3D">
        <w:rPr>
          <w:rFonts w:eastAsia="Times New Roman" w:cs="Times New Roman"/>
          <w:spacing w:val="-16"/>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Russell</w:t>
      </w:r>
      <w:r w:rsidRPr="00842D3D">
        <w:rPr>
          <w:rFonts w:eastAsia="Times New Roman" w:cs="Times New Roman"/>
          <w:i/>
          <w:spacing w:val="-13"/>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Price</w:t>
      </w:r>
      <w:r w:rsidRPr="00842D3D">
        <w:rPr>
          <w:rFonts w:eastAsia="Times New Roman" w:cs="Times New Roman"/>
          <w:w w:val="105"/>
          <w:szCs w:val="24"/>
        </w:rPr>
        <w:t>,</w:t>
      </w:r>
      <w:r w:rsidRPr="00842D3D">
        <w:rPr>
          <w:rFonts w:eastAsia="Times New Roman" w:cs="Times New Roman"/>
          <w:i/>
          <w:spacing w:val="-15"/>
          <w:w w:val="105"/>
          <w:szCs w:val="24"/>
        </w:rPr>
        <w:t xml:space="preserve"> </w:t>
      </w:r>
      <w:r w:rsidRPr="00842D3D">
        <w:rPr>
          <w:rFonts w:eastAsia="Times New Roman" w:cs="Times New Roman"/>
          <w:w w:val="105"/>
          <w:szCs w:val="24"/>
        </w:rPr>
        <w:t>612</w:t>
      </w:r>
      <w:r w:rsidRPr="00842D3D">
        <w:rPr>
          <w:rFonts w:eastAsia="Times New Roman" w:cs="Times New Roman"/>
          <w:spacing w:val="-8"/>
          <w:w w:val="105"/>
          <w:szCs w:val="24"/>
        </w:rPr>
        <w:t xml:space="preserve"> </w:t>
      </w:r>
      <w:r w:rsidRPr="00842D3D">
        <w:rPr>
          <w:rFonts w:eastAsia="Times New Roman" w:cs="Times New Roman"/>
          <w:w w:val="105"/>
          <w:szCs w:val="24"/>
        </w:rPr>
        <w:t>F.2d</w:t>
      </w:r>
      <w:r w:rsidRPr="00842D3D">
        <w:rPr>
          <w:rFonts w:eastAsia="Times New Roman" w:cs="Times New Roman"/>
          <w:spacing w:val="-8"/>
          <w:w w:val="105"/>
          <w:szCs w:val="24"/>
        </w:rPr>
        <w:t xml:space="preserve"> </w:t>
      </w:r>
      <w:r w:rsidRPr="00842D3D">
        <w:rPr>
          <w:rFonts w:eastAsia="Times New Roman" w:cs="Times New Roman"/>
          <w:w w:val="105"/>
          <w:szCs w:val="24"/>
        </w:rPr>
        <w:t>1123,</w:t>
      </w:r>
      <w:r w:rsidRPr="00842D3D">
        <w:rPr>
          <w:rFonts w:eastAsia="Times New Roman" w:cs="Times New Roman"/>
          <w:spacing w:val="-3"/>
          <w:w w:val="105"/>
          <w:szCs w:val="24"/>
        </w:rPr>
        <w:t xml:space="preserve"> </w:t>
      </w:r>
      <w:r w:rsidRPr="00842D3D">
        <w:rPr>
          <w:rFonts w:eastAsia="Times New Roman" w:cs="Times New Roman"/>
          <w:w w:val="105"/>
          <w:szCs w:val="24"/>
        </w:rPr>
        <w:t>1129-30</w:t>
      </w:r>
      <w:r w:rsidRPr="00842D3D">
        <w:rPr>
          <w:rFonts w:eastAsia="Times New Roman" w:cs="Times New Roman"/>
          <w:spacing w:val="-8"/>
          <w:w w:val="105"/>
          <w:szCs w:val="24"/>
        </w:rPr>
        <w:t xml:space="preserve"> </w:t>
      </w:r>
      <w:r w:rsidRPr="00842D3D">
        <w:rPr>
          <w:rFonts w:eastAsia="Times New Roman" w:cs="Times New Roman"/>
          <w:w w:val="105"/>
          <w:szCs w:val="24"/>
        </w:rPr>
        <w:t>(9th</w:t>
      </w:r>
      <w:r w:rsidRPr="00842D3D">
        <w:rPr>
          <w:rFonts w:eastAsia="Times New Roman" w:cs="Times New Roman"/>
          <w:spacing w:val="-9"/>
          <w:w w:val="105"/>
          <w:szCs w:val="24"/>
        </w:rPr>
        <w:t xml:space="preserve"> </w:t>
      </w:r>
      <w:r w:rsidRPr="00842D3D">
        <w:rPr>
          <w:rFonts w:eastAsia="Times New Roman" w:cs="Times New Roman"/>
          <w:w w:val="105"/>
          <w:szCs w:val="24"/>
        </w:rPr>
        <w:t>Cir.</w:t>
      </w:r>
      <w:r w:rsidRPr="00842D3D">
        <w:rPr>
          <w:rFonts w:eastAsia="Times New Roman" w:cs="Times New Roman"/>
          <w:spacing w:val="-13"/>
          <w:w w:val="105"/>
          <w:szCs w:val="24"/>
        </w:rPr>
        <w:t xml:space="preserve"> </w:t>
      </w:r>
      <w:r w:rsidRPr="00842D3D">
        <w:rPr>
          <w:rFonts w:eastAsia="Times New Roman" w:cs="Times New Roman"/>
          <w:w w:val="105"/>
          <w:szCs w:val="24"/>
        </w:rPr>
        <w:t>1979);</w:t>
      </w:r>
      <w:r w:rsidRPr="00842D3D">
        <w:rPr>
          <w:rFonts w:eastAsia="Times New Roman" w:cs="Times New Roman"/>
          <w:spacing w:val="-4"/>
          <w:w w:val="105"/>
          <w:szCs w:val="24"/>
        </w:rPr>
        <w:t xml:space="preserve"> </w:t>
      </w:r>
      <w:r w:rsidRPr="00842D3D">
        <w:rPr>
          <w:rFonts w:eastAsia="Times New Roman" w:cs="Times New Roman"/>
          <w:i/>
          <w:w w:val="105"/>
          <w:szCs w:val="24"/>
        </w:rPr>
        <w:t>Pye v.</w:t>
      </w:r>
      <w:r w:rsidRPr="00842D3D">
        <w:rPr>
          <w:rFonts w:eastAsia="Times New Roman" w:cs="Times New Roman"/>
          <w:i/>
          <w:spacing w:val="-5"/>
          <w:w w:val="105"/>
          <w:szCs w:val="24"/>
        </w:rPr>
        <w:t xml:space="preserve"> </w:t>
      </w:r>
      <w:r w:rsidRPr="00842D3D">
        <w:rPr>
          <w:rFonts w:eastAsia="Times New Roman" w:cs="Times New Roman"/>
          <w:i/>
          <w:w w:val="105"/>
          <w:szCs w:val="24"/>
        </w:rPr>
        <w:t>Mitchell</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574</w:t>
      </w:r>
      <w:r w:rsidRPr="00842D3D">
        <w:rPr>
          <w:rFonts w:eastAsia="Times New Roman" w:cs="Times New Roman"/>
          <w:spacing w:val="-4"/>
          <w:w w:val="105"/>
          <w:szCs w:val="24"/>
        </w:rPr>
        <w:t xml:space="preserve"> </w:t>
      </w:r>
      <w:r w:rsidRPr="00842D3D">
        <w:rPr>
          <w:rFonts w:eastAsia="Times New Roman" w:cs="Times New Roman"/>
          <w:w w:val="105"/>
          <w:szCs w:val="24"/>
        </w:rPr>
        <w:t>F.2d</w:t>
      </w:r>
      <w:r w:rsidRPr="00842D3D">
        <w:rPr>
          <w:rFonts w:eastAsia="Times New Roman" w:cs="Times New Roman"/>
          <w:spacing w:val="-5"/>
          <w:w w:val="105"/>
          <w:szCs w:val="24"/>
        </w:rPr>
        <w:t xml:space="preserve"> </w:t>
      </w:r>
      <w:r w:rsidRPr="00842D3D">
        <w:rPr>
          <w:rFonts w:eastAsia="Times New Roman" w:cs="Times New Roman"/>
          <w:w w:val="105"/>
          <w:szCs w:val="24"/>
        </w:rPr>
        <w:t>476,</w:t>
      </w:r>
      <w:r w:rsidRPr="00842D3D">
        <w:rPr>
          <w:rFonts w:eastAsia="Times New Roman" w:cs="Times New Roman"/>
          <w:spacing w:val="-6"/>
          <w:w w:val="105"/>
          <w:szCs w:val="24"/>
        </w:rPr>
        <w:t xml:space="preserve"> </w:t>
      </w:r>
      <w:r w:rsidRPr="00842D3D">
        <w:rPr>
          <w:rFonts w:eastAsia="Times New Roman" w:cs="Times New Roman"/>
          <w:w w:val="105"/>
          <w:szCs w:val="24"/>
        </w:rPr>
        <w:t>481</w:t>
      </w:r>
      <w:r w:rsidRPr="00842D3D">
        <w:rPr>
          <w:rFonts w:eastAsia="Times New Roman" w:cs="Times New Roman"/>
          <w:spacing w:val="-4"/>
          <w:w w:val="105"/>
          <w:szCs w:val="24"/>
        </w:rPr>
        <w:t xml:space="preserve"> </w:t>
      </w:r>
      <w:r w:rsidRPr="00842D3D">
        <w:rPr>
          <w:rFonts w:eastAsia="Times New Roman" w:cs="Times New Roman"/>
          <w:w w:val="105"/>
          <w:szCs w:val="24"/>
        </w:rPr>
        <w:t>(9th</w:t>
      </w:r>
      <w:r w:rsidRPr="00842D3D">
        <w:rPr>
          <w:rFonts w:eastAsia="Times New Roman" w:cs="Times New Roman"/>
          <w:spacing w:val="-4"/>
          <w:w w:val="105"/>
          <w:szCs w:val="24"/>
        </w:rPr>
        <w:t xml:space="preserve"> </w:t>
      </w:r>
      <w:r w:rsidRPr="00842D3D">
        <w:rPr>
          <w:rFonts w:eastAsia="Times New Roman" w:cs="Times New Roman"/>
          <w:w w:val="105"/>
          <w:szCs w:val="24"/>
        </w:rPr>
        <w:t>Cir.</w:t>
      </w:r>
      <w:r w:rsidRPr="00842D3D">
        <w:rPr>
          <w:rFonts w:eastAsia="Times New Roman" w:cs="Times New Roman"/>
          <w:spacing w:val="-5"/>
          <w:w w:val="105"/>
          <w:szCs w:val="24"/>
        </w:rPr>
        <w:t xml:space="preserve"> </w:t>
      </w:r>
      <w:r w:rsidRPr="00842D3D">
        <w:rPr>
          <w:rFonts w:eastAsia="Times New Roman" w:cs="Times New Roman"/>
          <w:spacing w:val="-2"/>
          <w:w w:val="105"/>
          <w:szCs w:val="24"/>
        </w:rPr>
        <w:t>1978).</w:t>
      </w:r>
    </w:p>
    <w:p w14:paraId="56146C39" w14:textId="77777777" w:rsidR="00842D3D" w:rsidRPr="00842D3D" w:rsidRDefault="00842D3D" w:rsidP="00842D3D">
      <w:pPr>
        <w:widowControl w:val="0"/>
        <w:autoSpaceDE w:val="0"/>
        <w:autoSpaceDN w:val="0"/>
        <w:rPr>
          <w:rFonts w:eastAsia="Times New Roman" w:cs="Times New Roman"/>
          <w:szCs w:val="24"/>
        </w:rPr>
      </w:pPr>
    </w:p>
    <w:p w14:paraId="6888B0E1" w14:textId="77777777" w:rsidR="00842D3D" w:rsidRPr="00842D3D" w:rsidRDefault="00842D3D" w:rsidP="00842D3D">
      <w:pPr>
        <w:widowControl w:val="0"/>
        <w:autoSpaceDE w:val="0"/>
        <w:autoSpaceDN w:val="0"/>
        <w:ind w:left="119" w:right="166" w:firstLine="718"/>
        <w:rPr>
          <w:rFonts w:eastAsia="Times New Roman" w:cs="Times New Roman"/>
          <w:szCs w:val="24"/>
        </w:rPr>
      </w:pPr>
      <w:r w:rsidRPr="00842D3D">
        <w:rPr>
          <w:rFonts w:eastAsia="Times New Roman" w:cs="Times New Roman"/>
          <w:w w:val="105"/>
          <w:szCs w:val="24"/>
        </w:rPr>
        <w:lastRenderedPageBreak/>
        <w:t xml:space="preserve">Statutory damages are precluded when the copyright holder does not register the copyright before commencement of the infringement. </w:t>
      </w:r>
      <w:r w:rsidRPr="00842D3D">
        <w:rPr>
          <w:rFonts w:eastAsia="Times New Roman" w:cs="Times New Roman"/>
          <w:i/>
          <w:w w:val="105"/>
          <w:szCs w:val="24"/>
        </w:rPr>
        <w:t>See Derek Andrew,</w:t>
      </w:r>
      <w:r w:rsidRPr="00842D3D">
        <w:rPr>
          <w:rFonts w:eastAsia="Times New Roman" w:cs="Times New Roman"/>
          <w:i/>
          <w:spacing w:val="-9"/>
          <w:w w:val="105"/>
          <w:szCs w:val="24"/>
        </w:rPr>
        <w:t xml:space="preserve"> </w:t>
      </w:r>
      <w:r w:rsidRPr="00842D3D">
        <w:rPr>
          <w:rFonts w:eastAsia="Times New Roman" w:cs="Times New Roman"/>
          <w:i/>
          <w:w w:val="105"/>
          <w:szCs w:val="24"/>
        </w:rPr>
        <w:t>Inc.</w:t>
      </w:r>
      <w:r w:rsidRPr="00842D3D">
        <w:rPr>
          <w:rFonts w:eastAsia="Times New Roman" w:cs="Times New Roman"/>
          <w:i/>
          <w:spacing w:val="-9"/>
          <w:w w:val="105"/>
          <w:szCs w:val="24"/>
        </w:rPr>
        <w:t xml:space="preserve"> </w:t>
      </w:r>
      <w:r w:rsidRPr="00842D3D">
        <w:rPr>
          <w:rFonts w:eastAsia="Times New Roman" w:cs="Times New Roman"/>
          <w:i/>
          <w:w w:val="105"/>
          <w:szCs w:val="24"/>
        </w:rPr>
        <w:t>v.</w:t>
      </w:r>
      <w:r w:rsidRPr="00842D3D">
        <w:rPr>
          <w:rFonts w:eastAsia="Times New Roman" w:cs="Times New Roman"/>
          <w:i/>
          <w:spacing w:val="-9"/>
          <w:w w:val="105"/>
          <w:szCs w:val="24"/>
        </w:rPr>
        <w:t xml:space="preserve"> </w:t>
      </w:r>
      <w:r w:rsidRPr="00842D3D">
        <w:rPr>
          <w:rFonts w:eastAsia="Times New Roman" w:cs="Times New Roman"/>
          <w:i/>
          <w:w w:val="105"/>
          <w:szCs w:val="24"/>
        </w:rPr>
        <w:t>Poof</w:t>
      </w:r>
      <w:r w:rsidRPr="00842D3D">
        <w:rPr>
          <w:rFonts w:eastAsia="Times New Roman" w:cs="Times New Roman"/>
          <w:i/>
          <w:spacing w:val="-3"/>
          <w:w w:val="105"/>
          <w:szCs w:val="24"/>
        </w:rPr>
        <w:t xml:space="preserve"> </w:t>
      </w:r>
      <w:r w:rsidRPr="00842D3D">
        <w:rPr>
          <w:rFonts w:eastAsia="Times New Roman" w:cs="Times New Roman"/>
          <w:i/>
          <w:w w:val="105"/>
          <w:szCs w:val="24"/>
        </w:rPr>
        <w:t>Apparel Corp.</w:t>
      </w:r>
      <w:r w:rsidRPr="00842D3D">
        <w:rPr>
          <w:rFonts w:eastAsia="Times New Roman" w:cs="Times New Roman"/>
          <w:w w:val="105"/>
          <w:szCs w:val="24"/>
        </w:rPr>
        <w:t xml:space="preserve">, 528 F.3d 696, 699 (9th Cir. 2008); </w:t>
      </w:r>
      <w:r w:rsidRPr="00842D3D">
        <w:rPr>
          <w:rFonts w:eastAsia="Times New Roman" w:cs="Times New Roman"/>
          <w:i/>
          <w:w w:val="105"/>
          <w:szCs w:val="24"/>
        </w:rPr>
        <w:t>Polar Bear Prods., Inc. v. Timex Corp</w:t>
      </w:r>
      <w:r w:rsidRPr="00842D3D">
        <w:rPr>
          <w:rFonts w:eastAsia="Times New Roman" w:cs="Times New Roman"/>
          <w:w w:val="105"/>
          <w:szCs w:val="24"/>
        </w:rPr>
        <w:t xml:space="preserve">., 384 F.3d 700, 707 n.5 (9th Cir. 2004); </w:t>
      </w:r>
      <w:r w:rsidRPr="00842D3D">
        <w:rPr>
          <w:rFonts w:eastAsia="Times New Roman" w:cs="Times New Roman"/>
          <w:i/>
          <w:w w:val="105"/>
          <w:szCs w:val="24"/>
        </w:rPr>
        <w:t>Mackie v. Rieser</w:t>
      </w:r>
      <w:r w:rsidRPr="00842D3D">
        <w:rPr>
          <w:rFonts w:eastAsia="Times New Roman" w:cs="Times New Roman"/>
          <w:w w:val="105"/>
          <w:szCs w:val="24"/>
        </w:rPr>
        <w:t>, 296 F.3d 909, 912 n.3 (9th Cir. 2002). Nor are statutory damages awarded if the infringing activity started after the date of first publication</w:t>
      </w:r>
      <w:r w:rsidRPr="00842D3D">
        <w:rPr>
          <w:rFonts w:eastAsia="Times New Roman" w:cs="Times New Roman"/>
          <w:spacing w:val="-4"/>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before</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effective</w:t>
      </w:r>
      <w:r w:rsidRPr="00842D3D">
        <w:rPr>
          <w:rFonts w:eastAsia="Times New Roman" w:cs="Times New Roman"/>
          <w:spacing w:val="-4"/>
          <w:w w:val="105"/>
          <w:szCs w:val="24"/>
        </w:rPr>
        <w:t xml:space="preserve"> </w:t>
      </w:r>
      <w:r w:rsidRPr="00842D3D">
        <w:rPr>
          <w:rFonts w:eastAsia="Times New Roman" w:cs="Times New Roman"/>
          <w:w w:val="105"/>
          <w:szCs w:val="24"/>
        </w:rPr>
        <w:t>date</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registration</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work unless</w:t>
      </w:r>
      <w:r w:rsidRPr="00842D3D">
        <w:rPr>
          <w:rFonts w:eastAsia="Times New Roman" w:cs="Times New Roman"/>
          <w:spacing w:val="-4"/>
          <w:w w:val="105"/>
          <w:szCs w:val="24"/>
        </w:rPr>
        <w:t xml:space="preserve"> </w:t>
      </w:r>
      <w:r w:rsidRPr="00842D3D">
        <w:rPr>
          <w:rFonts w:eastAsia="Times New Roman" w:cs="Times New Roman"/>
          <w:w w:val="105"/>
          <w:szCs w:val="24"/>
        </w:rPr>
        <w:t>the copyright</w:t>
      </w:r>
      <w:r w:rsidRPr="00842D3D">
        <w:rPr>
          <w:rFonts w:eastAsia="Times New Roman" w:cs="Times New Roman"/>
          <w:spacing w:val="-3"/>
          <w:w w:val="105"/>
          <w:szCs w:val="24"/>
        </w:rPr>
        <w:t xml:space="preserve"> </w:t>
      </w:r>
      <w:r w:rsidRPr="00842D3D">
        <w:rPr>
          <w:rFonts w:eastAsia="Times New Roman" w:cs="Times New Roman"/>
          <w:w w:val="105"/>
          <w:szCs w:val="24"/>
        </w:rPr>
        <w:t>for the infringed work was registered within three months after the work was first published. 17 U.S.C. § 412.</w:t>
      </w:r>
    </w:p>
    <w:p w14:paraId="5EF69056" w14:textId="77777777" w:rsidR="00842D3D" w:rsidRPr="00842D3D" w:rsidRDefault="00842D3D" w:rsidP="00842D3D">
      <w:pPr>
        <w:widowControl w:val="0"/>
        <w:autoSpaceDE w:val="0"/>
        <w:autoSpaceDN w:val="0"/>
        <w:rPr>
          <w:rFonts w:eastAsia="Times New Roman" w:cs="Times New Roman"/>
          <w:szCs w:val="24"/>
        </w:rPr>
      </w:pPr>
    </w:p>
    <w:p w14:paraId="340C22F6"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w w:val="105"/>
          <w:szCs w:val="24"/>
        </w:rPr>
        <w:t>Joint</w:t>
      </w:r>
      <w:r w:rsidRPr="00842D3D">
        <w:rPr>
          <w:rFonts w:eastAsia="Times New Roman" w:cs="Times New Roman"/>
          <w:b/>
          <w:spacing w:val="-3"/>
          <w:w w:val="105"/>
          <w:szCs w:val="24"/>
        </w:rPr>
        <w:t xml:space="preserve"> </w:t>
      </w:r>
      <w:r w:rsidRPr="00842D3D">
        <w:rPr>
          <w:rFonts w:eastAsia="Times New Roman" w:cs="Times New Roman"/>
          <w:b/>
          <w:w w:val="105"/>
          <w:szCs w:val="24"/>
        </w:rPr>
        <w:t>and</w:t>
      </w:r>
      <w:r w:rsidRPr="00842D3D">
        <w:rPr>
          <w:rFonts w:eastAsia="Times New Roman" w:cs="Times New Roman"/>
          <w:b/>
          <w:spacing w:val="-3"/>
          <w:w w:val="105"/>
          <w:szCs w:val="24"/>
        </w:rPr>
        <w:t xml:space="preserve"> </w:t>
      </w:r>
      <w:r w:rsidRPr="00842D3D">
        <w:rPr>
          <w:rFonts w:eastAsia="Times New Roman" w:cs="Times New Roman"/>
          <w:b/>
          <w:w w:val="105"/>
          <w:szCs w:val="24"/>
        </w:rPr>
        <w:t>Several</w:t>
      </w:r>
      <w:r w:rsidRPr="00842D3D">
        <w:rPr>
          <w:rFonts w:eastAsia="Times New Roman" w:cs="Times New Roman"/>
          <w:b/>
          <w:spacing w:val="-3"/>
          <w:w w:val="105"/>
          <w:szCs w:val="24"/>
        </w:rPr>
        <w:t xml:space="preserve"> </w:t>
      </w:r>
      <w:r w:rsidRPr="00842D3D">
        <w:rPr>
          <w:rFonts w:eastAsia="Times New Roman" w:cs="Times New Roman"/>
          <w:b/>
          <w:w w:val="105"/>
          <w:szCs w:val="24"/>
        </w:rPr>
        <w:t>Liability:</w:t>
      </w:r>
      <w:r w:rsidRPr="00842D3D">
        <w:rPr>
          <w:rFonts w:eastAsia="Times New Roman" w:cs="Times New Roman"/>
          <w:b/>
          <w:spacing w:val="40"/>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statutory</w:t>
      </w:r>
      <w:r w:rsidRPr="00842D3D">
        <w:rPr>
          <w:rFonts w:eastAsia="Times New Roman" w:cs="Times New Roman"/>
          <w:spacing w:val="-7"/>
          <w:w w:val="105"/>
          <w:szCs w:val="24"/>
        </w:rPr>
        <w:t xml:space="preserve"> </w:t>
      </w:r>
      <w:r w:rsidRPr="00842D3D">
        <w:rPr>
          <w:rFonts w:eastAsia="Times New Roman" w:cs="Times New Roman"/>
          <w:w w:val="105"/>
          <w:szCs w:val="24"/>
        </w:rPr>
        <w:t>damages</w:t>
      </w:r>
      <w:r w:rsidRPr="00842D3D">
        <w:rPr>
          <w:rFonts w:eastAsia="Times New Roman" w:cs="Times New Roman"/>
          <w:spacing w:val="-9"/>
          <w:w w:val="105"/>
          <w:szCs w:val="24"/>
        </w:rPr>
        <w:t xml:space="preserve"> </w:t>
      </w:r>
      <w:r w:rsidRPr="00842D3D">
        <w:rPr>
          <w:rFonts w:eastAsia="Times New Roman" w:cs="Times New Roman"/>
          <w:w w:val="105"/>
          <w:szCs w:val="24"/>
        </w:rPr>
        <w:t>are</w:t>
      </w:r>
      <w:r w:rsidRPr="00842D3D">
        <w:rPr>
          <w:rFonts w:eastAsia="Times New Roman" w:cs="Times New Roman"/>
          <w:spacing w:val="-8"/>
          <w:w w:val="105"/>
          <w:szCs w:val="24"/>
        </w:rPr>
        <w:t xml:space="preserve"> </w:t>
      </w:r>
      <w:r w:rsidRPr="00842D3D">
        <w:rPr>
          <w:rFonts w:eastAsia="Times New Roman" w:cs="Times New Roman"/>
          <w:w w:val="105"/>
          <w:szCs w:val="24"/>
        </w:rPr>
        <w:t>assessed</w:t>
      </w:r>
      <w:r w:rsidRPr="00842D3D">
        <w:rPr>
          <w:rFonts w:eastAsia="Times New Roman" w:cs="Times New Roman"/>
          <w:spacing w:val="-7"/>
          <w:w w:val="105"/>
          <w:szCs w:val="24"/>
        </w:rPr>
        <w:t xml:space="preserve"> </w:t>
      </w:r>
      <w:r w:rsidRPr="00842D3D">
        <w:rPr>
          <w:rFonts w:eastAsia="Times New Roman" w:cs="Times New Roman"/>
          <w:w w:val="105"/>
          <w:szCs w:val="24"/>
        </w:rPr>
        <w:t>against one defendant</w:t>
      </w:r>
      <w:r w:rsidRPr="00842D3D">
        <w:rPr>
          <w:rFonts w:eastAsia="Times New Roman" w:cs="Times New Roman"/>
          <w:spacing w:val="-1"/>
          <w:w w:val="105"/>
          <w:szCs w:val="24"/>
        </w:rPr>
        <w:t xml:space="preserve"> </w:t>
      </w:r>
      <w:r w:rsidRPr="00842D3D">
        <w:rPr>
          <w:rFonts w:eastAsia="Times New Roman" w:cs="Times New Roman"/>
          <w:w w:val="105"/>
          <w:szCs w:val="24"/>
        </w:rPr>
        <w:t>or a group of defendants who are jointly and severally liable, “each</w:t>
      </w:r>
      <w:r w:rsidRPr="00842D3D">
        <w:rPr>
          <w:rFonts w:eastAsia="Times New Roman" w:cs="Times New Roman"/>
          <w:spacing w:val="-4"/>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may</w:t>
      </w:r>
      <w:r w:rsidRPr="00842D3D">
        <w:rPr>
          <w:rFonts w:eastAsia="Times New Roman" w:cs="Times New Roman"/>
          <w:spacing w:val="-4"/>
          <w:w w:val="105"/>
          <w:szCs w:val="24"/>
        </w:rPr>
        <w:t xml:space="preserve"> </w:t>
      </w:r>
      <w:r w:rsidRPr="00842D3D">
        <w:rPr>
          <w:rFonts w:eastAsia="Times New Roman" w:cs="Times New Roman"/>
          <w:w w:val="105"/>
          <w:szCs w:val="24"/>
        </w:rPr>
        <w:t>form</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basis</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only</w:t>
      </w:r>
      <w:r w:rsidRPr="00842D3D">
        <w:rPr>
          <w:rFonts w:eastAsia="Times New Roman" w:cs="Times New Roman"/>
          <w:spacing w:val="-3"/>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award,</w:t>
      </w:r>
      <w:r w:rsidRPr="00842D3D">
        <w:rPr>
          <w:rFonts w:eastAsia="Times New Roman" w:cs="Times New Roman"/>
          <w:spacing w:val="-5"/>
          <w:w w:val="105"/>
          <w:szCs w:val="24"/>
        </w:rPr>
        <w:t xml:space="preserve"> </w:t>
      </w:r>
      <w:r w:rsidRPr="00842D3D">
        <w:rPr>
          <w:rFonts w:eastAsia="Times New Roman" w:cs="Times New Roman"/>
          <w:w w:val="105"/>
          <w:szCs w:val="24"/>
        </w:rPr>
        <w:t>regardless</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the number</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separate infringements</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that</w:t>
      </w:r>
      <w:r w:rsidRPr="00842D3D">
        <w:rPr>
          <w:rFonts w:eastAsia="Times New Roman" w:cs="Times New Roman"/>
          <w:spacing w:val="-1"/>
          <w:w w:val="105"/>
          <w:szCs w:val="24"/>
        </w:rPr>
        <w:t xml:space="preserve"> </w:t>
      </w:r>
      <w:r w:rsidRPr="00842D3D">
        <w:rPr>
          <w:rFonts w:eastAsia="Times New Roman" w:cs="Times New Roman"/>
          <w:w w:val="105"/>
          <w:szCs w:val="24"/>
        </w:rPr>
        <w:t xml:space="preserve">work.” </w:t>
      </w:r>
      <w:r w:rsidRPr="00842D3D">
        <w:rPr>
          <w:rFonts w:eastAsia="Times New Roman" w:cs="Times New Roman"/>
          <w:i/>
          <w:w w:val="105"/>
          <w:szCs w:val="24"/>
        </w:rPr>
        <w:t>Louis</w:t>
      </w:r>
      <w:r w:rsidRPr="00842D3D">
        <w:rPr>
          <w:rFonts w:eastAsia="Times New Roman" w:cs="Times New Roman"/>
          <w:i/>
          <w:spacing w:val="-1"/>
          <w:w w:val="105"/>
          <w:szCs w:val="24"/>
        </w:rPr>
        <w:t xml:space="preserve"> </w:t>
      </w:r>
      <w:r w:rsidRPr="00842D3D">
        <w:rPr>
          <w:rFonts w:eastAsia="Times New Roman" w:cs="Times New Roman"/>
          <w:i/>
          <w:w w:val="105"/>
          <w:szCs w:val="24"/>
        </w:rPr>
        <w:t>Vuitton Malletier, S.A. v. Akanoc Solutions, Inc.</w:t>
      </w:r>
      <w:r w:rsidRPr="00842D3D">
        <w:rPr>
          <w:rFonts w:eastAsia="Times New Roman" w:cs="Times New Roman"/>
          <w:w w:val="105"/>
          <w:szCs w:val="24"/>
        </w:rPr>
        <w:t>, 658 F.3d 936, 946 (9th Cir. 2011) (quoting</w:t>
      </w:r>
      <w:r w:rsidRPr="00842D3D">
        <w:rPr>
          <w:rFonts w:eastAsia="Times New Roman" w:cs="Times New Roman"/>
          <w:i/>
          <w:w w:val="105"/>
          <w:szCs w:val="24"/>
        </w:rPr>
        <w:t xml:space="preserve"> Columbia</w:t>
      </w:r>
      <w:r w:rsidRPr="00842D3D">
        <w:rPr>
          <w:rFonts w:eastAsia="Times New Roman" w:cs="Times New Roman"/>
          <w:i/>
          <w:spacing w:val="-2"/>
          <w:w w:val="105"/>
          <w:szCs w:val="24"/>
        </w:rPr>
        <w:t xml:space="preserve"> </w:t>
      </w:r>
      <w:r w:rsidRPr="00842D3D">
        <w:rPr>
          <w:rFonts w:eastAsia="Times New Roman" w:cs="Times New Roman"/>
          <w:i/>
          <w:w w:val="105"/>
          <w:szCs w:val="24"/>
        </w:rPr>
        <w:t>Pictures</w:t>
      </w:r>
      <w:r w:rsidRPr="00842D3D">
        <w:rPr>
          <w:rFonts w:eastAsia="Times New Roman" w:cs="Times New Roman"/>
          <w:i/>
          <w:spacing w:val="-1"/>
          <w:w w:val="105"/>
          <w:szCs w:val="24"/>
        </w:rPr>
        <w:t xml:space="preserve"> </w:t>
      </w:r>
      <w:r w:rsidRPr="00842D3D">
        <w:rPr>
          <w:rFonts w:eastAsia="Times New Roman" w:cs="Times New Roman"/>
          <w:i/>
          <w:w w:val="105"/>
          <w:szCs w:val="24"/>
        </w:rPr>
        <w:t>Television</w:t>
      </w:r>
      <w:r w:rsidRPr="00842D3D">
        <w:rPr>
          <w:rFonts w:eastAsia="Times New Roman" w:cs="Times New Roman"/>
          <w:i/>
          <w:spacing w:val="-2"/>
          <w:w w:val="105"/>
          <w:szCs w:val="24"/>
        </w:rPr>
        <w:t xml:space="preserve"> </w:t>
      </w:r>
      <w:r w:rsidRPr="00842D3D">
        <w:rPr>
          <w:rFonts w:eastAsia="Times New Roman" w:cs="Times New Roman"/>
          <w:i/>
          <w:w w:val="105"/>
          <w:szCs w:val="24"/>
        </w:rPr>
        <w:t>v.</w:t>
      </w:r>
      <w:r w:rsidRPr="00842D3D">
        <w:rPr>
          <w:rFonts w:eastAsia="Times New Roman" w:cs="Times New Roman"/>
          <w:i/>
          <w:spacing w:val="-18"/>
          <w:w w:val="105"/>
          <w:szCs w:val="24"/>
        </w:rPr>
        <w:t xml:space="preserve"> </w:t>
      </w:r>
      <w:r w:rsidRPr="00842D3D">
        <w:rPr>
          <w:rFonts w:eastAsia="Times New Roman" w:cs="Times New Roman"/>
          <w:i/>
          <w:w w:val="105"/>
          <w:szCs w:val="24"/>
        </w:rPr>
        <w:t>Krypton</w:t>
      </w:r>
      <w:r w:rsidRPr="00842D3D">
        <w:rPr>
          <w:rFonts w:eastAsia="Times New Roman" w:cs="Times New Roman"/>
          <w:i/>
          <w:spacing w:val="-2"/>
          <w:w w:val="105"/>
          <w:szCs w:val="24"/>
        </w:rPr>
        <w:t xml:space="preserve"> </w:t>
      </w:r>
      <w:r w:rsidRPr="00842D3D">
        <w:rPr>
          <w:rFonts w:eastAsia="Times New Roman" w:cs="Times New Roman"/>
          <w:i/>
          <w:w w:val="105"/>
          <w:szCs w:val="24"/>
        </w:rPr>
        <w:t>Broad.</w:t>
      </w:r>
      <w:r w:rsidRPr="00842D3D">
        <w:rPr>
          <w:rFonts w:eastAsia="Times New Roman" w:cs="Times New Roman"/>
          <w:i/>
          <w:spacing w:val="-2"/>
          <w:w w:val="105"/>
          <w:szCs w:val="24"/>
        </w:rPr>
        <w:t xml:space="preserve"> </w:t>
      </w:r>
      <w:r w:rsidRPr="00842D3D">
        <w:rPr>
          <w:rFonts w:eastAsia="Times New Roman" w:cs="Times New Roman"/>
          <w:i/>
          <w:w w:val="105"/>
          <w:szCs w:val="24"/>
        </w:rPr>
        <w:t>of</w:t>
      </w:r>
      <w:r w:rsidRPr="00842D3D">
        <w:rPr>
          <w:rFonts w:eastAsia="Times New Roman" w:cs="Times New Roman"/>
          <w:i/>
          <w:spacing w:val="-3"/>
          <w:w w:val="105"/>
          <w:szCs w:val="24"/>
        </w:rPr>
        <w:t xml:space="preserve"> </w:t>
      </w:r>
      <w:r w:rsidRPr="00842D3D">
        <w:rPr>
          <w:rFonts w:eastAsia="Times New Roman" w:cs="Times New Roman"/>
          <w:i/>
          <w:w w:val="105"/>
          <w:szCs w:val="24"/>
        </w:rPr>
        <w:t>Birmingham,</w:t>
      </w:r>
      <w:r w:rsidRPr="00842D3D">
        <w:rPr>
          <w:rFonts w:eastAsia="Times New Roman" w:cs="Times New Roman"/>
          <w:i/>
          <w:spacing w:val="-3"/>
          <w:w w:val="105"/>
          <w:szCs w:val="24"/>
        </w:rPr>
        <w:t xml:space="preserve"> </w:t>
      </w:r>
      <w:r w:rsidRPr="00842D3D">
        <w:rPr>
          <w:rFonts w:eastAsia="Times New Roman" w:cs="Times New Roman"/>
          <w:i/>
          <w:w w:val="105"/>
          <w:szCs w:val="24"/>
        </w:rPr>
        <w:t>Inc.</w:t>
      </w:r>
      <w:r w:rsidRPr="00842D3D">
        <w:rPr>
          <w:rFonts w:eastAsia="Times New Roman" w:cs="Times New Roman"/>
          <w:w w:val="105"/>
          <w:szCs w:val="24"/>
        </w:rPr>
        <w:t>, 106</w:t>
      </w:r>
      <w:r w:rsidRPr="00842D3D">
        <w:rPr>
          <w:rFonts w:eastAsia="Times New Roman" w:cs="Times New Roman"/>
          <w:spacing w:val="-6"/>
          <w:w w:val="105"/>
          <w:szCs w:val="24"/>
        </w:rPr>
        <w:t xml:space="preserve"> </w:t>
      </w:r>
      <w:r w:rsidRPr="00842D3D">
        <w:rPr>
          <w:rFonts w:eastAsia="Times New Roman" w:cs="Times New Roman"/>
          <w:w w:val="105"/>
          <w:szCs w:val="24"/>
        </w:rPr>
        <w:t>F.3d</w:t>
      </w:r>
      <w:r w:rsidRPr="00842D3D">
        <w:rPr>
          <w:rFonts w:eastAsia="Times New Roman" w:cs="Times New Roman"/>
          <w:spacing w:val="-5"/>
          <w:w w:val="105"/>
          <w:szCs w:val="24"/>
        </w:rPr>
        <w:t xml:space="preserve"> </w:t>
      </w:r>
      <w:r w:rsidRPr="00842D3D">
        <w:rPr>
          <w:rFonts w:eastAsia="Times New Roman" w:cs="Times New Roman"/>
          <w:w w:val="105"/>
          <w:szCs w:val="24"/>
        </w:rPr>
        <w:t>284,</w:t>
      </w:r>
      <w:r w:rsidRPr="00842D3D">
        <w:rPr>
          <w:rFonts w:eastAsia="Times New Roman" w:cs="Times New Roman"/>
          <w:spacing w:val="-7"/>
          <w:w w:val="105"/>
          <w:szCs w:val="24"/>
        </w:rPr>
        <w:t xml:space="preserve"> </w:t>
      </w:r>
      <w:r w:rsidRPr="00842D3D">
        <w:rPr>
          <w:rFonts w:eastAsia="Times New Roman" w:cs="Times New Roman"/>
          <w:w w:val="105"/>
          <w:szCs w:val="24"/>
        </w:rPr>
        <w:t>294</w:t>
      </w:r>
      <w:r w:rsidRPr="00842D3D">
        <w:rPr>
          <w:rFonts w:eastAsia="Times New Roman" w:cs="Times New Roman"/>
          <w:spacing w:val="-5"/>
          <w:w w:val="105"/>
          <w:szCs w:val="24"/>
        </w:rPr>
        <w:t xml:space="preserve"> </w:t>
      </w:r>
      <w:r w:rsidRPr="00842D3D">
        <w:rPr>
          <w:rFonts w:eastAsia="Times New Roman" w:cs="Times New Roman"/>
          <w:w w:val="105"/>
          <w:szCs w:val="24"/>
        </w:rPr>
        <w:t>(9th</w:t>
      </w:r>
      <w:r w:rsidRPr="00842D3D">
        <w:rPr>
          <w:rFonts w:eastAsia="Times New Roman" w:cs="Times New Roman"/>
          <w:spacing w:val="-5"/>
          <w:w w:val="105"/>
          <w:szCs w:val="24"/>
        </w:rPr>
        <w:t xml:space="preserve"> </w:t>
      </w:r>
      <w:r w:rsidRPr="00842D3D">
        <w:rPr>
          <w:rFonts w:eastAsia="Times New Roman" w:cs="Times New Roman"/>
          <w:w w:val="105"/>
          <w:szCs w:val="24"/>
        </w:rPr>
        <w:t>Cir.</w:t>
      </w:r>
      <w:r w:rsidRPr="00842D3D">
        <w:rPr>
          <w:rFonts w:eastAsia="Times New Roman" w:cs="Times New Roman"/>
          <w:spacing w:val="-6"/>
          <w:w w:val="105"/>
          <w:szCs w:val="24"/>
        </w:rPr>
        <w:t xml:space="preserve"> </w:t>
      </w:r>
      <w:r w:rsidRPr="00842D3D">
        <w:rPr>
          <w:rFonts w:eastAsia="Times New Roman" w:cs="Times New Roman"/>
          <w:w w:val="105"/>
          <w:szCs w:val="24"/>
        </w:rPr>
        <w:t>1997)</w:t>
      </w:r>
      <w:r w:rsidRPr="00842D3D">
        <w:rPr>
          <w:rFonts w:eastAsia="Times New Roman" w:cs="Times New Roman"/>
          <w:iCs/>
          <w:w w:val="105"/>
          <w:szCs w:val="24"/>
        </w:rPr>
        <w:t>,</w:t>
      </w:r>
      <w:r w:rsidRPr="00842D3D">
        <w:rPr>
          <w:rFonts w:eastAsia="Times New Roman" w:cs="Times New Roman"/>
          <w:i/>
          <w:spacing w:val="-7"/>
          <w:w w:val="105"/>
          <w:szCs w:val="24"/>
        </w:rPr>
        <w:t xml:space="preserve"> </w:t>
      </w:r>
      <w:r w:rsidRPr="00842D3D">
        <w:rPr>
          <w:rFonts w:eastAsia="Times New Roman" w:cs="Times New Roman"/>
          <w:i/>
          <w:w w:val="105"/>
          <w:szCs w:val="24"/>
        </w:rPr>
        <w:t>rev’d</w:t>
      </w:r>
      <w:r w:rsidRPr="00842D3D">
        <w:rPr>
          <w:rFonts w:eastAsia="Times New Roman" w:cs="Times New Roman"/>
          <w:i/>
          <w:spacing w:val="-8"/>
          <w:w w:val="105"/>
          <w:szCs w:val="24"/>
        </w:rPr>
        <w:t xml:space="preserve"> </w:t>
      </w:r>
      <w:r w:rsidRPr="00842D3D">
        <w:rPr>
          <w:rFonts w:eastAsia="Times New Roman" w:cs="Times New Roman"/>
          <w:i/>
          <w:w w:val="105"/>
          <w:szCs w:val="24"/>
        </w:rPr>
        <w:t>on</w:t>
      </w:r>
      <w:r w:rsidRPr="00842D3D">
        <w:rPr>
          <w:rFonts w:eastAsia="Times New Roman" w:cs="Times New Roman"/>
          <w:i/>
          <w:spacing w:val="-7"/>
          <w:w w:val="105"/>
          <w:szCs w:val="24"/>
        </w:rPr>
        <w:t xml:space="preserve"> </w:t>
      </w:r>
      <w:r w:rsidRPr="00842D3D">
        <w:rPr>
          <w:rFonts w:eastAsia="Times New Roman" w:cs="Times New Roman"/>
          <w:i/>
          <w:w w:val="105"/>
          <w:szCs w:val="24"/>
        </w:rPr>
        <w:t>other</w:t>
      </w:r>
      <w:r w:rsidRPr="00842D3D">
        <w:rPr>
          <w:rFonts w:eastAsia="Times New Roman" w:cs="Times New Roman"/>
          <w:i/>
          <w:spacing w:val="-7"/>
          <w:w w:val="105"/>
          <w:szCs w:val="24"/>
        </w:rPr>
        <w:t xml:space="preserve"> </w:t>
      </w:r>
      <w:r w:rsidRPr="00842D3D">
        <w:rPr>
          <w:rFonts w:eastAsia="Times New Roman" w:cs="Times New Roman"/>
          <w:i/>
          <w:w w:val="105"/>
          <w:szCs w:val="24"/>
        </w:rPr>
        <w:t>grounds</w:t>
      </w:r>
      <w:r w:rsidRPr="00842D3D">
        <w:rPr>
          <w:rFonts w:eastAsia="Times New Roman" w:cs="Times New Roman"/>
          <w:i/>
          <w:spacing w:val="-6"/>
          <w:w w:val="105"/>
          <w:szCs w:val="24"/>
        </w:rPr>
        <w:t xml:space="preserve"> </w:t>
      </w:r>
      <w:r w:rsidRPr="00842D3D">
        <w:rPr>
          <w:rFonts w:eastAsia="Times New Roman" w:cs="Times New Roman"/>
          <w:i/>
          <w:w w:val="105"/>
          <w:szCs w:val="24"/>
        </w:rPr>
        <w:t>sub</w:t>
      </w:r>
      <w:r w:rsidRPr="00842D3D">
        <w:rPr>
          <w:rFonts w:eastAsia="Times New Roman" w:cs="Times New Roman"/>
          <w:i/>
          <w:spacing w:val="-6"/>
          <w:w w:val="105"/>
          <w:szCs w:val="24"/>
        </w:rPr>
        <w:t xml:space="preserve"> </w:t>
      </w:r>
      <w:r w:rsidRPr="00842D3D">
        <w:rPr>
          <w:rFonts w:eastAsia="Times New Roman" w:cs="Times New Roman"/>
          <w:i/>
          <w:w w:val="105"/>
          <w:szCs w:val="24"/>
        </w:rPr>
        <w:t>nom</w:t>
      </w:r>
      <w:r w:rsidRPr="00842D3D">
        <w:rPr>
          <w:rFonts w:eastAsia="Times New Roman" w:cs="Times New Roman"/>
          <w:i/>
          <w:spacing w:val="-6"/>
          <w:w w:val="105"/>
          <w:szCs w:val="24"/>
        </w:rPr>
        <w:t xml:space="preserve"> </w:t>
      </w:r>
      <w:r w:rsidRPr="00842D3D">
        <w:rPr>
          <w:rFonts w:eastAsia="Times New Roman" w:cs="Times New Roman"/>
          <w:i/>
          <w:w w:val="105"/>
          <w:szCs w:val="24"/>
        </w:rPr>
        <w:t>by</w:t>
      </w:r>
      <w:r w:rsidRPr="00842D3D">
        <w:rPr>
          <w:rFonts w:eastAsia="Times New Roman" w:cs="Times New Roman"/>
          <w:i/>
          <w:spacing w:val="-6"/>
          <w:w w:val="105"/>
          <w:szCs w:val="24"/>
        </w:rPr>
        <w:t xml:space="preserve"> </w:t>
      </w:r>
      <w:r w:rsidRPr="00842D3D">
        <w:rPr>
          <w:rFonts w:eastAsia="Times New Roman" w:cs="Times New Roman"/>
          <w:i/>
          <w:spacing w:val="-2"/>
          <w:w w:val="105"/>
          <w:szCs w:val="24"/>
        </w:rPr>
        <w:t>Feltner</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523</w:t>
      </w:r>
      <w:r w:rsidRPr="00842D3D">
        <w:rPr>
          <w:rFonts w:eastAsia="Times New Roman" w:cs="Times New Roman"/>
          <w:spacing w:val="-1"/>
          <w:w w:val="105"/>
          <w:szCs w:val="24"/>
        </w:rPr>
        <w:t xml:space="preserve"> </w:t>
      </w:r>
      <w:r w:rsidRPr="00842D3D">
        <w:rPr>
          <w:rFonts w:eastAsia="Times New Roman" w:cs="Times New Roman"/>
          <w:w w:val="105"/>
          <w:szCs w:val="24"/>
        </w:rPr>
        <w:t>U.S.</w:t>
      </w:r>
      <w:r w:rsidRPr="00842D3D">
        <w:rPr>
          <w:rFonts w:eastAsia="Times New Roman" w:cs="Times New Roman"/>
          <w:spacing w:val="-2"/>
          <w:w w:val="105"/>
          <w:szCs w:val="24"/>
        </w:rPr>
        <w:t xml:space="preserve"> </w:t>
      </w:r>
      <w:r w:rsidRPr="00842D3D">
        <w:rPr>
          <w:rFonts w:eastAsia="Times New Roman" w:cs="Times New Roman"/>
          <w:w w:val="105"/>
          <w:szCs w:val="24"/>
        </w:rPr>
        <w:t>355.</w:t>
      </w:r>
      <w:r w:rsidRPr="00842D3D">
        <w:rPr>
          <w:rFonts w:eastAsia="Times New Roman" w:cs="Times New Roman"/>
          <w:spacing w:val="38"/>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is</w:t>
      </w:r>
      <w:r w:rsidRPr="00842D3D">
        <w:rPr>
          <w:rFonts w:eastAsia="Times New Roman" w:cs="Times New Roman"/>
          <w:spacing w:val="-3"/>
          <w:w w:val="105"/>
          <w:szCs w:val="24"/>
        </w:rPr>
        <w:t xml:space="preserve"> </w:t>
      </w:r>
      <w:r w:rsidRPr="00842D3D">
        <w:rPr>
          <w:rFonts w:eastAsia="Times New Roman" w:cs="Times New Roman"/>
          <w:w w:val="105"/>
          <w:szCs w:val="24"/>
        </w:rPr>
        <w:t xml:space="preserve">true even if there is incomplete joint and several liability between all parties. </w:t>
      </w:r>
      <w:r w:rsidRPr="00842D3D">
        <w:rPr>
          <w:rFonts w:eastAsia="Times New Roman" w:cs="Times New Roman"/>
          <w:i/>
          <w:w w:val="105"/>
          <w:szCs w:val="24"/>
        </w:rPr>
        <w:t>Desire, LLC</w:t>
      </w:r>
      <w:r w:rsidRPr="00842D3D">
        <w:rPr>
          <w:rFonts w:eastAsia="Times New Roman" w:cs="Times New Roman"/>
          <w:w w:val="105"/>
          <w:szCs w:val="24"/>
        </w:rPr>
        <w:t xml:space="preserve">, 986 F.3d at 1265 (holding that only one statutory award was available when “one infringer is jointly and severally liable with </w:t>
      </w:r>
      <w:r w:rsidRPr="00842D3D">
        <w:rPr>
          <w:rFonts w:eastAsia="Times New Roman" w:cs="Times New Roman"/>
          <w:i/>
          <w:w w:val="105"/>
          <w:szCs w:val="24"/>
        </w:rPr>
        <w:t>all</w:t>
      </w:r>
      <w:r w:rsidRPr="00842D3D">
        <w:rPr>
          <w:rFonts w:eastAsia="Times New Roman" w:cs="Times New Roman"/>
          <w:strike/>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w:t>
      </w:r>
      <w:r w:rsidRPr="00842D3D">
        <w:rPr>
          <w:rFonts w:eastAsia="Times New Roman" w:cs="Times New Roman"/>
          <w:spacing w:val="-9"/>
          <w:w w:val="105"/>
          <w:szCs w:val="24"/>
        </w:rPr>
        <w:t xml:space="preserve"> </w:t>
      </w:r>
      <w:r w:rsidRPr="00842D3D">
        <w:rPr>
          <w:rFonts w:eastAsia="Times New Roman" w:cs="Times New Roman"/>
          <w:w w:val="105"/>
          <w:szCs w:val="24"/>
        </w:rPr>
        <w:t>but</w:t>
      </w:r>
      <w:r w:rsidRPr="00842D3D">
        <w:rPr>
          <w:rFonts w:eastAsia="Times New Roman" w:cs="Times New Roman"/>
          <w:spacing w:val="-6"/>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 are</w:t>
      </w:r>
      <w:r w:rsidRPr="00842D3D">
        <w:rPr>
          <w:rFonts w:eastAsia="Times New Roman" w:cs="Times New Roman"/>
          <w:spacing w:val="-2"/>
          <w:w w:val="105"/>
          <w:szCs w:val="24"/>
        </w:rPr>
        <w:t xml:space="preserve"> </w:t>
      </w:r>
      <w:r w:rsidRPr="00842D3D">
        <w:rPr>
          <w:rFonts w:eastAsia="Times New Roman" w:cs="Times New Roman"/>
          <w:w w:val="105"/>
          <w:szCs w:val="24"/>
        </w:rPr>
        <w:t>not</w:t>
      </w:r>
      <w:r w:rsidRPr="00842D3D">
        <w:rPr>
          <w:rFonts w:eastAsia="Times New Roman" w:cs="Times New Roman"/>
          <w:spacing w:val="-6"/>
          <w:w w:val="105"/>
          <w:szCs w:val="24"/>
        </w:rPr>
        <w:t xml:space="preserve"> </w:t>
      </w:r>
      <w:r w:rsidRPr="00842D3D">
        <w:rPr>
          <w:rFonts w:eastAsia="Times New Roman" w:cs="Times New Roman"/>
          <w:w w:val="105"/>
          <w:szCs w:val="24"/>
        </w:rPr>
        <w:t>completely</w:t>
      </w:r>
      <w:r w:rsidRPr="00842D3D">
        <w:rPr>
          <w:rFonts w:eastAsia="Times New Roman" w:cs="Times New Roman"/>
          <w:spacing w:val="-2"/>
          <w:w w:val="105"/>
          <w:szCs w:val="24"/>
        </w:rPr>
        <w:t xml:space="preserve"> </w:t>
      </w:r>
      <w:r w:rsidRPr="00842D3D">
        <w:rPr>
          <w:rFonts w:eastAsia="Times New Roman" w:cs="Times New Roman"/>
          <w:w w:val="105"/>
          <w:szCs w:val="24"/>
        </w:rPr>
        <w:t>jointly</w:t>
      </w:r>
      <w:r w:rsidRPr="00842D3D">
        <w:rPr>
          <w:rFonts w:eastAsia="Times New Roman" w:cs="Times New Roman"/>
          <w:spacing w:val="-2"/>
          <w:w w:val="105"/>
          <w:szCs w:val="24"/>
        </w:rPr>
        <w:t xml:space="preserve"> </w:t>
      </w:r>
      <w:r w:rsidRPr="00842D3D">
        <w:rPr>
          <w:rFonts w:eastAsia="Times New Roman" w:cs="Times New Roman"/>
          <w:w w:val="105"/>
          <w:szCs w:val="24"/>
        </w:rPr>
        <w:t>and</w:t>
      </w:r>
      <w:r w:rsidRPr="00842D3D">
        <w:rPr>
          <w:rFonts w:eastAsia="Times New Roman" w:cs="Times New Roman"/>
          <w:spacing w:val="-2"/>
          <w:w w:val="105"/>
          <w:szCs w:val="24"/>
        </w:rPr>
        <w:t xml:space="preserve"> </w:t>
      </w:r>
      <w:r w:rsidRPr="00842D3D">
        <w:rPr>
          <w:rFonts w:eastAsia="Times New Roman" w:cs="Times New Roman"/>
          <w:w w:val="105"/>
          <w:szCs w:val="24"/>
        </w:rPr>
        <w:t>severally</w:t>
      </w:r>
      <w:r w:rsidRPr="00842D3D">
        <w:rPr>
          <w:rFonts w:eastAsia="Times New Roman" w:cs="Times New Roman"/>
          <w:spacing w:val="-1"/>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with</w:t>
      </w:r>
      <w:r w:rsidRPr="00842D3D">
        <w:rPr>
          <w:rFonts w:eastAsia="Times New Roman" w:cs="Times New Roman"/>
          <w:spacing w:val="-2"/>
          <w:w w:val="105"/>
          <w:szCs w:val="24"/>
        </w:rPr>
        <w:t xml:space="preserve"> </w:t>
      </w:r>
      <w:r w:rsidRPr="00842D3D">
        <w:rPr>
          <w:rFonts w:eastAsia="Times New Roman" w:cs="Times New Roman"/>
          <w:w w:val="105"/>
          <w:szCs w:val="24"/>
        </w:rPr>
        <w:t>one another”). However, if separate copyright infringements are attributed to two or more defendants (in the</w:t>
      </w:r>
      <w:r w:rsidRPr="00842D3D">
        <w:rPr>
          <w:rFonts w:eastAsia="Times New Roman" w:cs="Times New Roman"/>
          <w:spacing w:val="-4"/>
          <w:w w:val="105"/>
          <w:szCs w:val="24"/>
        </w:rPr>
        <w:t xml:space="preserve"> </w:t>
      </w:r>
      <w:r w:rsidRPr="00842D3D">
        <w:rPr>
          <w:rFonts w:eastAsia="Times New Roman" w:cs="Times New Roman"/>
          <w:w w:val="105"/>
          <w:szCs w:val="24"/>
        </w:rPr>
        <w:t>same</w:t>
      </w:r>
      <w:r w:rsidRPr="00842D3D">
        <w:rPr>
          <w:rFonts w:eastAsia="Times New Roman" w:cs="Times New Roman"/>
          <w:spacing w:val="-5"/>
          <w:w w:val="105"/>
          <w:szCs w:val="24"/>
        </w:rPr>
        <w:t xml:space="preserve"> </w:t>
      </w:r>
      <w:r w:rsidRPr="00842D3D">
        <w:rPr>
          <w:rFonts w:eastAsia="Times New Roman" w:cs="Times New Roman"/>
          <w:w w:val="105"/>
          <w:szCs w:val="24"/>
        </w:rPr>
        <w:t>action)</w:t>
      </w:r>
      <w:r w:rsidRPr="00842D3D">
        <w:rPr>
          <w:rFonts w:eastAsia="Times New Roman" w:cs="Times New Roman"/>
          <w:spacing w:val="-4"/>
          <w:w w:val="105"/>
          <w:szCs w:val="24"/>
        </w:rPr>
        <w:t xml:space="preserve"> </w:t>
      </w:r>
      <w:r w:rsidRPr="00842D3D">
        <w:rPr>
          <w:rFonts w:eastAsia="Times New Roman" w:cs="Times New Roman"/>
          <w:w w:val="105"/>
          <w:szCs w:val="24"/>
        </w:rPr>
        <w:t>and</w:t>
      </w:r>
      <w:r w:rsidRPr="00842D3D">
        <w:rPr>
          <w:rFonts w:eastAsia="Times New Roman" w:cs="Times New Roman"/>
          <w:spacing w:val="-3"/>
          <w:w w:val="105"/>
          <w:szCs w:val="24"/>
        </w:rPr>
        <w:t xml:space="preserve"> </w:t>
      </w:r>
      <w:r w:rsidRPr="00842D3D">
        <w:rPr>
          <w:rFonts w:eastAsia="Times New Roman" w:cs="Times New Roman"/>
          <w:w w:val="105"/>
          <w:szCs w:val="24"/>
        </w:rPr>
        <w:t>those</w:t>
      </w:r>
      <w:r w:rsidRPr="00842D3D">
        <w:rPr>
          <w:rFonts w:eastAsia="Times New Roman" w:cs="Times New Roman"/>
          <w:spacing w:val="-4"/>
          <w:w w:val="105"/>
          <w:szCs w:val="24"/>
        </w:rPr>
        <w:t xml:space="preserve"> </w:t>
      </w:r>
      <w:r w:rsidRPr="00842D3D">
        <w:rPr>
          <w:rFonts w:eastAsia="Times New Roman" w:cs="Times New Roman"/>
          <w:w w:val="105"/>
          <w:szCs w:val="24"/>
        </w:rPr>
        <w:t>defendants</w:t>
      </w:r>
      <w:r w:rsidRPr="00842D3D">
        <w:rPr>
          <w:rFonts w:eastAsia="Times New Roman" w:cs="Times New Roman"/>
          <w:spacing w:val="-3"/>
          <w:w w:val="105"/>
          <w:szCs w:val="24"/>
        </w:rPr>
        <w:t xml:space="preserve"> </w:t>
      </w:r>
      <w:r w:rsidRPr="00842D3D">
        <w:rPr>
          <w:rFonts w:eastAsia="Times New Roman" w:cs="Times New Roman"/>
          <w:w w:val="105"/>
          <w:szCs w:val="24"/>
        </w:rPr>
        <w:t>are</w:t>
      </w:r>
      <w:r w:rsidRPr="00842D3D">
        <w:rPr>
          <w:rFonts w:eastAsia="Times New Roman" w:cs="Times New Roman"/>
          <w:spacing w:val="-4"/>
          <w:w w:val="105"/>
          <w:szCs w:val="24"/>
        </w:rPr>
        <w:t xml:space="preserve"> </w:t>
      </w:r>
      <w:r w:rsidRPr="00842D3D">
        <w:rPr>
          <w:rFonts w:eastAsia="Times New Roman" w:cs="Times New Roman"/>
          <w:w w:val="105"/>
          <w:szCs w:val="24"/>
        </w:rPr>
        <w:t>not</w:t>
      </w:r>
      <w:r w:rsidRPr="00842D3D">
        <w:rPr>
          <w:rFonts w:eastAsia="Times New Roman" w:cs="Times New Roman"/>
          <w:spacing w:val="-4"/>
          <w:w w:val="105"/>
          <w:szCs w:val="24"/>
        </w:rPr>
        <w:t xml:space="preserve"> </w:t>
      </w:r>
      <w:r w:rsidRPr="00842D3D">
        <w:rPr>
          <w:rFonts w:eastAsia="Times New Roman" w:cs="Times New Roman"/>
          <w:w w:val="105"/>
          <w:szCs w:val="24"/>
        </w:rPr>
        <w:t>jointly</w:t>
      </w:r>
      <w:r w:rsidRPr="00842D3D">
        <w:rPr>
          <w:rFonts w:eastAsia="Times New Roman" w:cs="Times New Roman"/>
          <w:spacing w:val="-4"/>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separate</w:t>
      </w:r>
      <w:r w:rsidRPr="00842D3D">
        <w:rPr>
          <w:rFonts w:eastAsia="Times New Roman" w:cs="Times New Roman"/>
          <w:spacing w:val="-2"/>
          <w:w w:val="105"/>
          <w:szCs w:val="24"/>
        </w:rPr>
        <w:t xml:space="preserve"> </w:t>
      </w:r>
      <w:r w:rsidRPr="00842D3D">
        <w:rPr>
          <w:rFonts w:eastAsia="Times New Roman" w:cs="Times New Roman"/>
          <w:w w:val="105"/>
          <w:szCs w:val="24"/>
        </w:rPr>
        <w:t>awards</w:t>
      </w:r>
      <w:r w:rsidRPr="00842D3D">
        <w:rPr>
          <w:rFonts w:eastAsia="Times New Roman" w:cs="Times New Roman"/>
          <w:spacing w:val="-5"/>
          <w:w w:val="105"/>
          <w:szCs w:val="24"/>
        </w:rPr>
        <w:t xml:space="preserve"> </w:t>
      </w:r>
      <w:r w:rsidRPr="00842D3D">
        <w:rPr>
          <w:rFonts w:eastAsia="Times New Roman" w:cs="Times New Roman"/>
          <w:w w:val="105"/>
          <w:szCs w:val="24"/>
        </w:rPr>
        <w:t>of statutory damages</w:t>
      </w:r>
      <w:r w:rsidRPr="00842D3D">
        <w:rPr>
          <w:rFonts w:eastAsia="Times New Roman" w:cs="Times New Roman"/>
          <w:spacing w:val="-1"/>
          <w:w w:val="105"/>
          <w:szCs w:val="24"/>
        </w:rPr>
        <w:t xml:space="preserve"> </w:t>
      </w:r>
      <w:r w:rsidRPr="00842D3D">
        <w:rPr>
          <w:rFonts w:eastAsia="Times New Roman" w:cs="Times New Roman"/>
          <w:w w:val="105"/>
          <w:szCs w:val="24"/>
        </w:rPr>
        <w:t>are appropriate</w:t>
      </w:r>
      <w:r w:rsidRPr="00842D3D">
        <w:rPr>
          <w:rFonts w:eastAsia="Times New Roman" w:cs="Times New Roman"/>
          <w:i/>
          <w:w w:val="105"/>
          <w:szCs w:val="24"/>
        </w:rPr>
        <w:t>.</w:t>
      </w:r>
      <w:r w:rsidRPr="00842D3D">
        <w:rPr>
          <w:rFonts w:eastAsia="Times New Roman" w:cs="Times New Roman"/>
          <w:i/>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2"/>
          <w:w w:val="105"/>
          <w:szCs w:val="24"/>
        </w:rPr>
        <w:t xml:space="preserve"> </w:t>
      </w:r>
      <w:r w:rsidRPr="00842D3D">
        <w:rPr>
          <w:rFonts w:eastAsia="Times New Roman" w:cs="Times New Roman"/>
          <w:i/>
          <w:w w:val="105"/>
          <w:szCs w:val="24"/>
        </w:rPr>
        <w:t>Louis</w:t>
      </w:r>
      <w:r w:rsidRPr="00842D3D">
        <w:rPr>
          <w:rFonts w:eastAsia="Times New Roman" w:cs="Times New Roman"/>
          <w:i/>
          <w:spacing w:val="-2"/>
          <w:w w:val="105"/>
          <w:szCs w:val="24"/>
        </w:rPr>
        <w:t xml:space="preserve"> </w:t>
      </w:r>
      <w:r w:rsidRPr="00842D3D">
        <w:rPr>
          <w:rFonts w:eastAsia="Times New Roman" w:cs="Times New Roman"/>
          <w:i/>
          <w:w w:val="105"/>
          <w:szCs w:val="24"/>
        </w:rPr>
        <w:t>Vuitton</w:t>
      </w:r>
      <w:r w:rsidRPr="00842D3D">
        <w:rPr>
          <w:rFonts w:eastAsia="Times New Roman" w:cs="Times New Roman"/>
          <w:i/>
          <w:spacing w:val="-2"/>
          <w:w w:val="105"/>
          <w:szCs w:val="24"/>
        </w:rPr>
        <w:t xml:space="preserve"> </w:t>
      </w:r>
      <w:r w:rsidRPr="00842D3D">
        <w:rPr>
          <w:rFonts w:eastAsia="Times New Roman" w:cs="Times New Roman"/>
          <w:i/>
          <w:w w:val="105"/>
          <w:szCs w:val="24"/>
        </w:rPr>
        <w:t>Malletier,</w:t>
      </w:r>
      <w:r w:rsidRPr="00842D3D">
        <w:rPr>
          <w:rFonts w:eastAsia="Times New Roman" w:cs="Times New Roman"/>
          <w:i/>
          <w:spacing w:val="-6"/>
          <w:w w:val="105"/>
          <w:szCs w:val="24"/>
        </w:rPr>
        <w:t xml:space="preserve"> </w:t>
      </w:r>
      <w:r w:rsidRPr="00842D3D">
        <w:rPr>
          <w:rFonts w:eastAsia="Times New Roman" w:cs="Times New Roman"/>
          <w:i/>
          <w:w w:val="105"/>
          <w:szCs w:val="24"/>
        </w:rPr>
        <w:t>S.A.</w:t>
      </w:r>
      <w:r w:rsidRPr="00842D3D">
        <w:rPr>
          <w:rFonts w:eastAsia="Times New Roman" w:cs="Times New Roman"/>
          <w:w w:val="105"/>
          <w:szCs w:val="24"/>
        </w:rPr>
        <w:t>,</w:t>
      </w:r>
      <w:r w:rsidRPr="00842D3D">
        <w:rPr>
          <w:rFonts w:eastAsia="Times New Roman" w:cs="Times New Roman"/>
          <w:spacing w:val="40"/>
          <w:w w:val="105"/>
          <w:szCs w:val="24"/>
        </w:rPr>
        <w:t xml:space="preserve"> </w:t>
      </w:r>
      <w:r w:rsidRPr="00842D3D">
        <w:rPr>
          <w:rFonts w:eastAsia="Times New Roman" w:cs="Times New Roman"/>
          <w:w w:val="105"/>
          <w:szCs w:val="24"/>
        </w:rPr>
        <w:t>658 F.3d at 946-47 (“[A] plaintiff may receive a single statutory award for all infringements of any one copyrighted work</w:t>
      </w:r>
      <w:r w:rsidRPr="00842D3D">
        <w:rPr>
          <w:rFonts w:eastAsia="Times New Roman" w:cs="Times New Roman"/>
          <w:spacing w:val="-1"/>
          <w:w w:val="105"/>
          <w:szCs w:val="24"/>
        </w:rPr>
        <w:t xml:space="preserve"> </w:t>
      </w:r>
      <w:r w:rsidRPr="00842D3D">
        <w:rPr>
          <w:rFonts w:eastAsia="Times New Roman" w:cs="Times New Roman"/>
          <w:w w:val="105"/>
          <w:szCs w:val="24"/>
        </w:rPr>
        <w:t>from</w:t>
      </w:r>
      <w:r w:rsidRPr="00842D3D">
        <w:rPr>
          <w:rFonts w:eastAsia="Times New Roman" w:cs="Times New Roman"/>
          <w:spacing w:val="-1"/>
          <w:w w:val="105"/>
          <w:szCs w:val="24"/>
        </w:rPr>
        <w:t xml:space="preserve"> </w:t>
      </w:r>
      <w:r w:rsidRPr="00842D3D">
        <w:rPr>
          <w:rFonts w:eastAsia="Times New Roman" w:cs="Times New Roman"/>
          <w:w w:val="105"/>
          <w:szCs w:val="24"/>
        </w:rPr>
        <w:t>either</w:t>
      </w:r>
      <w:r w:rsidRPr="00842D3D">
        <w:rPr>
          <w:rFonts w:eastAsia="Times New Roman" w:cs="Times New Roman"/>
          <w:spacing w:val="-5"/>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any</w:t>
      </w:r>
      <w:r w:rsidRPr="00842D3D">
        <w:rPr>
          <w:rFonts w:eastAsia="Times New Roman" w:cs="Times New Roman"/>
          <w:spacing w:val="-1"/>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 xml:space="preserve">defendant, where that defendant is separately liable or (2) multiple defendants, where those defendants are jointly and severally liable.”); </w:t>
      </w:r>
      <w:r w:rsidRPr="00842D3D">
        <w:rPr>
          <w:rFonts w:eastAsia="Times New Roman" w:cs="Times New Roman"/>
          <w:i/>
          <w:w w:val="105"/>
          <w:szCs w:val="24"/>
        </w:rPr>
        <w:t>Columbia Pictures Television</w:t>
      </w:r>
      <w:r w:rsidRPr="00842D3D">
        <w:rPr>
          <w:rFonts w:eastAsia="Times New Roman" w:cs="Times New Roman"/>
          <w:w w:val="105"/>
          <w:szCs w:val="24"/>
        </w:rPr>
        <w:t>, 106 F.3d at 294 (holding that television stations owned by same owner and broadcasting episodes of same work, were separate copyright infringers for purposes of determining statutory damages).</w:t>
      </w:r>
    </w:p>
    <w:p w14:paraId="50A60A89"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p>
    <w:p w14:paraId="0CEF1B70"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bCs/>
          <w:szCs w:val="24"/>
        </w:rPr>
        <w:t>One Compilation or Separate Works:</w:t>
      </w:r>
      <w:r w:rsidRPr="00842D3D">
        <w:rPr>
          <w:rFonts w:eastAsia="Times New Roman" w:cs="Times New Roman"/>
          <w:szCs w:val="24"/>
        </w:rPr>
        <w:t xml:space="preserve"> Under 17 U.S.C. § 504(c)(1), statutory damages are awarded “with respect to any one work” and “all the parts of a compilation or derivative work constitute one work.” Determining whether there is one compilation or separate works is “crucial” because, if “the ‘one work’ subject to the defendant’s infringements is a compilation, Section 504(c) limits the copyright holder to a single statutory award.” </w:t>
      </w:r>
      <w:r w:rsidRPr="00842D3D">
        <w:rPr>
          <w:rFonts w:eastAsia="Times New Roman" w:cs="Times New Roman"/>
          <w:i/>
          <w:iCs/>
          <w:szCs w:val="24"/>
        </w:rPr>
        <w:t>VHT, Inc. v. Zillow Grp., Inc.</w:t>
      </w:r>
      <w:r w:rsidRPr="00842D3D">
        <w:rPr>
          <w:rFonts w:eastAsia="Times New Roman" w:cs="Times New Roman"/>
          <w:szCs w:val="24"/>
        </w:rPr>
        <w:t xml:space="preserve">, 69 F.4th 983, 989 (9th Cir. 2023). The question is whether the individual components of a compilation “lived their own copyright lives, and value came from each [component’s] individual content rather than their assembly within the [compilation].” </w:t>
      </w:r>
      <w:r w:rsidRPr="00842D3D">
        <w:rPr>
          <w:rFonts w:eastAsia="Times New Roman" w:cs="Times New Roman"/>
          <w:i/>
          <w:iCs/>
          <w:szCs w:val="24"/>
        </w:rPr>
        <w:t>Id</w:t>
      </w:r>
      <w:r w:rsidRPr="00842D3D">
        <w:rPr>
          <w:rFonts w:eastAsia="Times New Roman" w:cs="Times New Roman"/>
          <w:szCs w:val="24"/>
        </w:rPr>
        <w:t xml:space="preserve">. at 990. Relevant factors include whether the material was created or licensed by the owner on an individual basis or alongside other materials, whether the infringer selected that material based on how it was arranged alongside other materials or because of its individual content, and whether the material has “independent economic value.” </w:t>
      </w:r>
      <w:r w:rsidRPr="00842D3D">
        <w:rPr>
          <w:rFonts w:eastAsia="Times New Roman" w:cs="Times New Roman"/>
          <w:i/>
          <w:iCs/>
          <w:szCs w:val="24"/>
        </w:rPr>
        <w:t xml:space="preserve">Id. </w:t>
      </w:r>
      <w:r w:rsidRPr="00842D3D">
        <w:rPr>
          <w:rFonts w:eastAsia="Times New Roman" w:cs="Times New Roman"/>
          <w:szCs w:val="24"/>
        </w:rPr>
        <w:t>(holding that photos were separate works when they were marketed and licensed individually, the infringer “used each photo independently to market home designs,” and because “the photos had independent economic value”);</w:t>
      </w:r>
      <w:r w:rsidRPr="00842D3D">
        <w:rPr>
          <w:rFonts w:eastAsia="Times New Roman" w:cs="Times New Roman"/>
          <w:i/>
          <w:iCs/>
          <w:szCs w:val="24"/>
        </w:rPr>
        <w:t xml:space="preserve"> see also</w:t>
      </w:r>
      <w:r w:rsidRPr="00842D3D">
        <w:rPr>
          <w:rFonts w:eastAsia="Times New Roman" w:cs="Times New Roman"/>
          <w:i/>
          <w:szCs w:val="24"/>
        </w:rPr>
        <w:t xml:space="preserve"> Columbia Pictures Television</w:t>
      </w:r>
      <w:r w:rsidRPr="00842D3D">
        <w:rPr>
          <w:rFonts w:eastAsia="Times New Roman" w:cs="Times New Roman"/>
          <w:szCs w:val="24"/>
        </w:rPr>
        <w:t xml:space="preserve">, 106 F.3d at 295-96 (holding that each episode of a television series constituted a separate work, not a compilation, when episodes were produced, written, and registered </w:t>
      </w:r>
      <w:r w:rsidRPr="00842D3D">
        <w:rPr>
          <w:rFonts w:eastAsia="Times New Roman" w:cs="Times New Roman"/>
          <w:szCs w:val="24"/>
        </w:rPr>
        <w:lastRenderedPageBreak/>
        <w:t>separately, could be “repeated and rearranged at the option of the broadcaster,” and “different episodes were broadcast over the course of weeks, months, and years”)</w:t>
      </w:r>
      <w:r w:rsidRPr="00842D3D">
        <w:rPr>
          <w:rFonts w:eastAsia="Times New Roman" w:cs="Times New Roman"/>
          <w:w w:val="105"/>
          <w:szCs w:val="24"/>
        </w:rPr>
        <w:t>.</w:t>
      </w:r>
    </w:p>
    <w:p w14:paraId="4BFC6038" w14:textId="77777777" w:rsidR="00842D3D" w:rsidRPr="00842D3D" w:rsidRDefault="00842D3D" w:rsidP="00842D3D">
      <w:pPr>
        <w:widowControl w:val="0"/>
        <w:autoSpaceDE w:val="0"/>
        <w:autoSpaceDN w:val="0"/>
        <w:ind w:right="166"/>
        <w:jc w:val="right"/>
        <w:rPr>
          <w:rFonts w:eastAsia="Calibri" w:cs="Times New Roman"/>
          <w:i/>
          <w:iCs/>
          <w:szCs w:val="24"/>
        </w:rPr>
      </w:pPr>
      <w:r w:rsidRPr="00842D3D">
        <w:rPr>
          <w:rFonts w:eastAsia="Calibri" w:cs="Times New Roman"/>
          <w:i/>
          <w:iCs/>
          <w:szCs w:val="24"/>
        </w:rPr>
        <w:t>Revised Dec. 2023</w:t>
      </w:r>
    </w:p>
    <w:p w14:paraId="2C041797" w14:textId="749D65E1" w:rsidR="00842D3D" w:rsidRPr="00842D3D" w:rsidRDefault="00842D3D" w:rsidP="00313A05">
      <w:pPr>
        <w:pStyle w:val="Heading2"/>
      </w:pPr>
      <w:r w:rsidRPr="00842D3D">
        <w:br w:type="page"/>
      </w:r>
      <w:bookmarkStart w:id="441" w:name="_Toc221525339"/>
      <w:r w:rsidRPr="00842D3D">
        <w:lastRenderedPageBreak/>
        <w:t>17.3</w:t>
      </w:r>
      <w:r w:rsidR="003B11C4">
        <w:t>8</w:t>
      </w:r>
      <w:r w:rsidRPr="00842D3D">
        <w:t xml:space="preserve"> Copyright—Damages—Innocent Infringement </w:t>
      </w:r>
      <w:r w:rsidRPr="00842D3D">
        <w:br/>
        <w:t>(17 U.S.C. § 504(c)(2))</w:t>
      </w:r>
      <w:bookmarkEnd w:id="441"/>
    </w:p>
    <w:p w14:paraId="3409CE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7358C6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An</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considered</w:t>
      </w:r>
      <w:r w:rsidRPr="00842D3D">
        <w:rPr>
          <w:rFonts w:eastAsia="Times New Roman" w:cs="Times New Roman"/>
          <w:spacing w:val="-10"/>
          <w:w w:val="105"/>
          <w:szCs w:val="24"/>
        </w:rPr>
        <w:t xml:space="preserve"> </w:t>
      </w:r>
      <w:r w:rsidRPr="00842D3D">
        <w:rPr>
          <w:rFonts w:eastAsia="Times New Roman" w:cs="Times New Roman"/>
          <w:w w:val="105"/>
          <w:szCs w:val="24"/>
        </w:rPr>
        <w:t>innocent</w:t>
      </w:r>
      <w:r w:rsidRPr="00842D3D">
        <w:rPr>
          <w:rFonts w:eastAsia="Times New Roman" w:cs="Times New Roman"/>
          <w:spacing w:val="-15"/>
          <w:w w:val="105"/>
          <w:szCs w:val="24"/>
        </w:rPr>
        <w:t xml:space="preserve"> </w:t>
      </w:r>
      <w:r w:rsidRPr="00842D3D">
        <w:rPr>
          <w:rFonts w:eastAsia="Times New Roman" w:cs="Times New Roman"/>
          <w:w w:val="105"/>
          <w:szCs w:val="24"/>
        </w:rPr>
        <w:t>when</w:t>
      </w:r>
      <w:r w:rsidRPr="00842D3D">
        <w:rPr>
          <w:rFonts w:eastAsia="Times New Roman" w:cs="Times New Roman"/>
          <w:spacing w:val="-11"/>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defendant</w:t>
      </w:r>
      <w:r w:rsidRPr="00842D3D">
        <w:rPr>
          <w:rFonts w:eastAsia="Times New Roman" w:cs="Times New Roman"/>
          <w:spacing w:val="-14"/>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Times New Roman" w:cs="Times New Roman"/>
          <w:w w:val="105"/>
          <w:szCs w:val="24"/>
        </w:rPr>
        <w:t>has</w:t>
      </w:r>
      <w:r w:rsidRPr="00842D3D">
        <w:rPr>
          <w:rFonts w:eastAsia="Times New Roman" w:cs="Times New Roman"/>
          <w:spacing w:val="-14"/>
          <w:w w:val="105"/>
          <w:szCs w:val="24"/>
        </w:rPr>
        <w:t xml:space="preserve"> </w:t>
      </w:r>
      <w:r w:rsidRPr="00842D3D">
        <w:rPr>
          <w:rFonts w:eastAsia="Times New Roman" w:cs="Times New Roman"/>
          <w:w w:val="105"/>
          <w:szCs w:val="24"/>
        </w:rPr>
        <w:t>proved both of the following elements by a preponderance of the evidence:</w:t>
      </w:r>
    </w:p>
    <w:p w14:paraId="5C57F8AC" w14:textId="77777777" w:rsidR="00842D3D" w:rsidRPr="00842D3D" w:rsidRDefault="00842D3D" w:rsidP="00842D3D">
      <w:pPr>
        <w:widowControl w:val="0"/>
        <w:autoSpaceDE w:val="0"/>
        <w:autoSpaceDN w:val="0"/>
        <w:rPr>
          <w:rFonts w:eastAsia="Times New Roman" w:cs="Times New Roman"/>
          <w:szCs w:val="24"/>
        </w:rPr>
      </w:pPr>
    </w:p>
    <w:p w14:paraId="35EBD399" w14:textId="77777777" w:rsidR="00842D3D" w:rsidRPr="00842D3D" w:rsidRDefault="00842D3D" w:rsidP="00842D3D">
      <w:pPr>
        <w:widowControl w:val="0"/>
        <w:tabs>
          <w:tab w:val="left" w:pos="1057"/>
        </w:tabs>
        <w:autoSpaceDE w:val="0"/>
        <w:autoSpaceDN w:val="0"/>
        <w:ind w:firstLine="720"/>
        <w:rPr>
          <w:rFonts w:eastAsia="Calibri" w:cs="Times New Roman"/>
          <w:szCs w:val="24"/>
        </w:rPr>
      </w:pPr>
      <w:r w:rsidRPr="00842D3D">
        <w:rPr>
          <w:rFonts w:eastAsia="Calibri" w:cs="Times New Roman"/>
          <w:w w:val="105"/>
          <w:szCs w:val="24"/>
        </w:rPr>
        <w:t>First,</w:t>
      </w:r>
      <w:r w:rsidRPr="00842D3D">
        <w:rPr>
          <w:rFonts w:eastAsia="Calibri" w:cs="Times New Roman"/>
          <w:spacing w:val="-5"/>
          <w:w w:val="105"/>
          <w:szCs w:val="24"/>
        </w:rPr>
        <w:t xml:space="preserve"> </w:t>
      </w:r>
      <w:r w:rsidRPr="00842D3D">
        <w:rPr>
          <w:rFonts w:eastAsia="Calibri" w:cs="Times New Roman"/>
          <w:w w:val="105"/>
          <w:szCs w:val="24"/>
        </w:rPr>
        <w:t>the</w:t>
      </w:r>
      <w:r w:rsidRPr="00842D3D">
        <w:rPr>
          <w:rFonts w:eastAsia="Calibri" w:cs="Times New Roman"/>
          <w:spacing w:val="-13"/>
          <w:w w:val="105"/>
          <w:szCs w:val="24"/>
        </w:rPr>
        <w:t xml:space="preserve"> </w:t>
      </w:r>
      <w:r w:rsidRPr="00842D3D">
        <w:rPr>
          <w:rFonts w:eastAsia="Calibri" w:cs="Times New Roman"/>
          <w:w w:val="105"/>
          <w:szCs w:val="24"/>
        </w:rPr>
        <w:t>defendant</w:t>
      </w:r>
      <w:r w:rsidRPr="00842D3D">
        <w:rPr>
          <w:rFonts w:eastAsia="Calibri" w:cs="Times New Roman"/>
          <w:spacing w:val="-15"/>
          <w:w w:val="105"/>
          <w:szCs w:val="24"/>
        </w:rPr>
        <w:t xml:space="preserve"> [</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was</w:t>
      </w:r>
      <w:r w:rsidRPr="00842D3D">
        <w:rPr>
          <w:rFonts w:eastAsia="Calibri" w:cs="Times New Roman"/>
          <w:spacing w:val="-12"/>
          <w:w w:val="105"/>
          <w:szCs w:val="24"/>
        </w:rPr>
        <w:t xml:space="preserve"> </w:t>
      </w:r>
      <w:r w:rsidRPr="00842D3D">
        <w:rPr>
          <w:rFonts w:eastAsia="Calibri" w:cs="Times New Roman"/>
          <w:w w:val="105"/>
          <w:szCs w:val="24"/>
        </w:rPr>
        <w:t>not</w:t>
      </w:r>
      <w:r w:rsidRPr="00842D3D">
        <w:rPr>
          <w:rFonts w:eastAsia="Calibri" w:cs="Times New Roman"/>
          <w:spacing w:val="-15"/>
          <w:w w:val="105"/>
          <w:szCs w:val="24"/>
        </w:rPr>
        <w:t xml:space="preserve"> </w:t>
      </w:r>
      <w:r w:rsidRPr="00842D3D">
        <w:rPr>
          <w:rFonts w:eastAsia="Calibri" w:cs="Times New Roman"/>
          <w:w w:val="105"/>
          <w:szCs w:val="24"/>
        </w:rPr>
        <w:t>aware</w:t>
      </w:r>
      <w:r w:rsidRPr="00842D3D">
        <w:rPr>
          <w:rFonts w:eastAsia="Calibri" w:cs="Times New Roman"/>
          <w:spacing w:val="-13"/>
          <w:w w:val="105"/>
          <w:szCs w:val="24"/>
        </w:rPr>
        <w:t xml:space="preserve"> </w:t>
      </w:r>
      <w:r w:rsidRPr="00842D3D">
        <w:rPr>
          <w:rFonts w:eastAsia="Calibri" w:cs="Times New Roman"/>
          <w:w w:val="105"/>
          <w:szCs w:val="24"/>
        </w:rPr>
        <w:t>that</w:t>
      </w:r>
      <w:r w:rsidRPr="00842D3D">
        <w:rPr>
          <w:rFonts w:eastAsia="Calibri" w:cs="Times New Roman"/>
          <w:spacing w:val="-15"/>
          <w:w w:val="105"/>
          <w:szCs w:val="24"/>
        </w:rPr>
        <w:t xml:space="preserve"> </w:t>
      </w:r>
      <w:r w:rsidRPr="00842D3D">
        <w:rPr>
          <w:rFonts w:eastAsia="Calibri" w:cs="Times New Roman"/>
          <w:w w:val="105"/>
          <w:szCs w:val="24"/>
        </w:rPr>
        <w:t>[his]</w:t>
      </w:r>
      <w:r w:rsidRPr="00842D3D">
        <w:rPr>
          <w:rFonts w:eastAsia="Calibri" w:cs="Times New Roman"/>
          <w:spacing w:val="-13"/>
          <w:w w:val="105"/>
          <w:szCs w:val="24"/>
        </w:rPr>
        <w:t xml:space="preserve"> </w:t>
      </w:r>
      <w:r w:rsidRPr="00842D3D">
        <w:rPr>
          <w:rFonts w:eastAsia="Calibri" w:cs="Times New Roman"/>
          <w:w w:val="105"/>
          <w:szCs w:val="24"/>
        </w:rPr>
        <w:t>[her]</w:t>
      </w:r>
      <w:r w:rsidRPr="00842D3D">
        <w:rPr>
          <w:rFonts w:eastAsia="Calibri" w:cs="Times New Roman"/>
          <w:spacing w:val="-13"/>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infringement of the copyright; and</w:t>
      </w:r>
    </w:p>
    <w:p w14:paraId="33216AC0" w14:textId="77777777" w:rsidR="00842D3D" w:rsidRPr="00842D3D" w:rsidRDefault="00842D3D" w:rsidP="00842D3D">
      <w:pPr>
        <w:widowControl w:val="0"/>
        <w:autoSpaceDE w:val="0"/>
        <w:autoSpaceDN w:val="0"/>
        <w:ind w:firstLine="720"/>
        <w:rPr>
          <w:rFonts w:eastAsia="Times New Roman" w:cs="Times New Roman"/>
          <w:szCs w:val="24"/>
        </w:rPr>
      </w:pPr>
    </w:p>
    <w:p w14:paraId="24091D3F" w14:textId="77777777" w:rsidR="00842D3D" w:rsidRPr="00842D3D" w:rsidRDefault="00842D3D" w:rsidP="00842D3D">
      <w:pPr>
        <w:widowControl w:val="0"/>
        <w:tabs>
          <w:tab w:val="left" w:pos="1049"/>
        </w:tabs>
        <w:autoSpaceDE w:val="0"/>
        <w:autoSpaceDN w:val="0"/>
        <w:ind w:firstLine="720"/>
        <w:rPr>
          <w:rFonts w:eastAsia="Calibri" w:cs="Times New Roman"/>
          <w:szCs w:val="24"/>
        </w:rPr>
      </w:pPr>
      <w:r w:rsidRPr="00842D3D">
        <w:rPr>
          <w:rFonts w:eastAsia="Calibri" w:cs="Times New Roman"/>
          <w:w w:val="105"/>
          <w:szCs w:val="24"/>
        </w:rPr>
        <w:t>Second,</w:t>
      </w:r>
      <w:r w:rsidRPr="00842D3D">
        <w:rPr>
          <w:rFonts w:eastAsia="Calibri" w:cs="Times New Roman"/>
          <w:spacing w:val="-12"/>
          <w:w w:val="105"/>
          <w:szCs w:val="24"/>
        </w:rPr>
        <w:t xml:space="preserve"> </w:t>
      </w:r>
      <w:r w:rsidRPr="00842D3D">
        <w:rPr>
          <w:rFonts w:eastAsia="Calibri" w:cs="Times New Roman"/>
          <w:w w:val="105"/>
          <w:szCs w:val="24"/>
        </w:rPr>
        <w:t>the</w:t>
      </w:r>
      <w:r w:rsidRPr="00842D3D">
        <w:rPr>
          <w:rFonts w:eastAsia="Calibri" w:cs="Times New Roman"/>
          <w:spacing w:val="-14"/>
          <w:w w:val="105"/>
          <w:szCs w:val="24"/>
        </w:rPr>
        <w:t xml:space="preserve"> </w:t>
      </w:r>
      <w:r w:rsidRPr="00842D3D">
        <w:rPr>
          <w:rFonts w:eastAsia="Calibri" w:cs="Times New Roman"/>
          <w:w w:val="105"/>
          <w:szCs w:val="24"/>
        </w:rPr>
        <w:t>defendant</w:t>
      </w:r>
      <w:r w:rsidRPr="00842D3D">
        <w:rPr>
          <w:rFonts w:eastAsia="Calibri" w:cs="Times New Roman"/>
          <w:spacing w:val="-18"/>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had</w:t>
      </w:r>
      <w:r w:rsidRPr="00842D3D">
        <w:rPr>
          <w:rFonts w:eastAsia="Calibri" w:cs="Times New Roman"/>
          <w:spacing w:val="-13"/>
          <w:w w:val="105"/>
          <w:szCs w:val="24"/>
        </w:rPr>
        <w:t xml:space="preserve"> </w:t>
      </w:r>
      <w:r w:rsidRPr="00842D3D">
        <w:rPr>
          <w:rFonts w:eastAsia="Calibri" w:cs="Times New Roman"/>
          <w:w w:val="105"/>
          <w:szCs w:val="24"/>
        </w:rPr>
        <w:t>no</w:t>
      </w:r>
      <w:r w:rsidRPr="00842D3D">
        <w:rPr>
          <w:rFonts w:eastAsia="Calibri" w:cs="Times New Roman"/>
          <w:spacing w:val="-13"/>
          <w:w w:val="105"/>
          <w:szCs w:val="24"/>
        </w:rPr>
        <w:t xml:space="preserve"> </w:t>
      </w:r>
      <w:r w:rsidRPr="00842D3D">
        <w:rPr>
          <w:rFonts w:eastAsia="Calibri" w:cs="Times New Roman"/>
          <w:w w:val="105"/>
          <w:szCs w:val="24"/>
        </w:rPr>
        <w:t>reason</w:t>
      </w:r>
      <w:r w:rsidRPr="00842D3D">
        <w:rPr>
          <w:rFonts w:eastAsia="Calibri" w:cs="Times New Roman"/>
          <w:spacing w:val="-13"/>
          <w:w w:val="105"/>
          <w:szCs w:val="24"/>
        </w:rPr>
        <w:t xml:space="preserve"> </w:t>
      </w:r>
      <w:r w:rsidRPr="00842D3D">
        <w:rPr>
          <w:rFonts w:eastAsia="Calibri" w:cs="Times New Roman"/>
          <w:w w:val="105"/>
          <w:szCs w:val="24"/>
        </w:rPr>
        <w:t>to</w:t>
      </w:r>
      <w:r w:rsidRPr="00842D3D">
        <w:rPr>
          <w:rFonts w:eastAsia="Calibri" w:cs="Times New Roman"/>
          <w:spacing w:val="-13"/>
          <w:w w:val="105"/>
          <w:szCs w:val="24"/>
        </w:rPr>
        <w:t xml:space="preserve"> </w:t>
      </w:r>
      <w:r w:rsidRPr="00842D3D">
        <w:rPr>
          <w:rFonts w:eastAsia="Calibri" w:cs="Times New Roman"/>
          <w:w w:val="105"/>
          <w:szCs w:val="24"/>
        </w:rPr>
        <w:t>believe</w:t>
      </w:r>
      <w:r w:rsidRPr="00842D3D">
        <w:rPr>
          <w:rFonts w:eastAsia="Calibri" w:cs="Times New Roman"/>
          <w:spacing w:val="-14"/>
          <w:w w:val="105"/>
          <w:szCs w:val="24"/>
        </w:rPr>
        <w:t xml:space="preserve"> </w:t>
      </w:r>
      <w:r w:rsidRPr="00842D3D">
        <w:rPr>
          <w:rFonts w:eastAsia="Calibri" w:cs="Times New Roman"/>
          <w:w w:val="105"/>
          <w:szCs w:val="24"/>
        </w:rPr>
        <w:t>that</w:t>
      </w:r>
      <w:r w:rsidRPr="00842D3D">
        <w:rPr>
          <w:rFonts w:eastAsia="Calibri" w:cs="Times New Roman"/>
          <w:spacing w:val="-18"/>
          <w:w w:val="105"/>
          <w:szCs w:val="24"/>
        </w:rPr>
        <w:t xml:space="preserve"> </w:t>
      </w:r>
      <w:r w:rsidRPr="00842D3D">
        <w:rPr>
          <w:rFonts w:eastAsia="Calibri" w:cs="Times New Roman"/>
          <w:w w:val="105"/>
          <w:szCs w:val="24"/>
        </w:rPr>
        <w:t>[his]</w:t>
      </w:r>
      <w:r w:rsidRPr="00842D3D">
        <w:rPr>
          <w:rFonts w:eastAsia="Calibri" w:cs="Times New Roman"/>
          <w:spacing w:val="-17"/>
          <w:w w:val="105"/>
          <w:szCs w:val="24"/>
        </w:rPr>
        <w:t xml:space="preserve"> </w:t>
      </w:r>
      <w:r w:rsidRPr="00842D3D">
        <w:rPr>
          <w:rFonts w:eastAsia="Calibri" w:cs="Times New Roman"/>
          <w:w w:val="105"/>
          <w:szCs w:val="24"/>
        </w:rPr>
        <w:t>[her]</w:t>
      </w:r>
      <w:r w:rsidRPr="00842D3D">
        <w:rPr>
          <w:rFonts w:eastAsia="Calibri" w:cs="Times New Roman"/>
          <w:spacing w:val="-17"/>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an infringement of the copyright.</w:t>
      </w:r>
    </w:p>
    <w:p w14:paraId="0CB3B708" w14:textId="77777777" w:rsidR="00842D3D" w:rsidRPr="00842D3D" w:rsidRDefault="00842D3D" w:rsidP="00842D3D">
      <w:pPr>
        <w:widowControl w:val="0"/>
        <w:tabs>
          <w:tab w:val="left" w:pos="1049"/>
        </w:tabs>
        <w:autoSpaceDE w:val="0"/>
        <w:autoSpaceDN w:val="0"/>
        <w:rPr>
          <w:rFonts w:eastAsia="Calibri" w:cs="Times New Roman"/>
          <w:szCs w:val="24"/>
        </w:rPr>
      </w:pPr>
    </w:p>
    <w:p w14:paraId="658169C6"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30C3AFCA" w14:textId="77777777" w:rsidR="00842D3D" w:rsidRPr="00842D3D" w:rsidRDefault="00842D3D" w:rsidP="00842D3D">
      <w:pPr>
        <w:widowControl w:val="0"/>
        <w:autoSpaceDE w:val="0"/>
        <w:autoSpaceDN w:val="0"/>
        <w:rPr>
          <w:rFonts w:eastAsia="Times New Roman" w:cs="Times New Roman"/>
          <w:b/>
          <w:szCs w:val="24"/>
        </w:rPr>
      </w:pPr>
    </w:p>
    <w:p w14:paraId="5E3BB09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5"/>
          <w:szCs w:val="24"/>
        </w:rPr>
        <w:t xml:space="preserve"> </w:t>
      </w:r>
      <w:r w:rsidRPr="00842D3D">
        <w:rPr>
          <w:rFonts w:eastAsia="Times New Roman" w:cs="Times New Roman"/>
          <w:szCs w:val="24"/>
        </w:rPr>
        <w:t>statutory</w:t>
      </w:r>
      <w:r w:rsidRPr="00842D3D">
        <w:rPr>
          <w:rFonts w:eastAsia="Times New Roman" w:cs="Times New Roman"/>
          <w:spacing w:val="28"/>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minimum</w:t>
      </w:r>
      <w:r w:rsidRPr="00842D3D">
        <w:rPr>
          <w:rFonts w:eastAsia="Times New Roman" w:cs="Times New Roman"/>
          <w:spacing w:val="28"/>
          <w:szCs w:val="24"/>
        </w:rPr>
        <w:t xml:space="preserve"> </w:t>
      </w:r>
      <w:r w:rsidRPr="00842D3D">
        <w:rPr>
          <w:rFonts w:eastAsia="Times New Roman" w:cs="Times New Roman"/>
          <w:szCs w:val="24"/>
        </w:rPr>
        <w:t>for</w:t>
      </w:r>
      <w:r w:rsidRPr="00842D3D">
        <w:rPr>
          <w:rFonts w:eastAsia="Times New Roman" w:cs="Times New Roman"/>
          <w:spacing w:val="24"/>
          <w:szCs w:val="24"/>
        </w:rPr>
        <w:t xml:space="preserve"> </w:t>
      </w:r>
      <w:r w:rsidRPr="00842D3D">
        <w:rPr>
          <w:rFonts w:eastAsia="Times New Roman" w:cs="Times New Roman"/>
          <w:szCs w:val="24"/>
        </w:rPr>
        <w:t>innocent</w:t>
      </w:r>
      <w:r w:rsidRPr="00842D3D">
        <w:rPr>
          <w:rFonts w:eastAsia="Times New Roman" w:cs="Times New Roman"/>
          <w:spacing w:val="20"/>
          <w:szCs w:val="24"/>
        </w:rPr>
        <w:t xml:space="preserve"> </w:t>
      </w:r>
      <w:r w:rsidRPr="00842D3D">
        <w:rPr>
          <w:rFonts w:eastAsia="Times New Roman" w:cs="Times New Roman"/>
          <w:szCs w:val="24"/>
        </w:rPr>
        <w:t>infringement</w:t>
      </w:r>
      <w:r w:rsidRPr="00842D3D">
        <w:rPr>
          <w:rFonts w:eastAsia="Times New Roman" w:cs="Times New Roman"/>
          <w:spacing w:val="23"/>
          <w:szCs w:val="24"/>
        </w:rPr>
        <w:t xml:space="preserve"> </w:t>
      </w:r>
      <w:r w:rsidRPr="00842D3D">
        <w:rPr>
          <w:rFonts w:eastAsia="Times New Roman" w:cs="Times New Roman"/>
          <w:szCs w:val="24"/>
        </w:rPr>
        <w:t>is</w:t>
      </w:r>
      <w:r w:rsidRPr="00842D3D">
        <w:rPr>
          <w:rFonts w:eastAsia="Times New Roman" w:cs="Times New Roman"/>
          <w:spacing w:val="23"/>
          <w:szCs w:val="24"/>
        </w:rPr>
        <w:t xml:space="preserve"> </w:t>
      </w:r>
      <w:r w:rsidRPr="00842D3D">
        <w:rPr>
          <w:rFonts w:eastAsia="Times New Roman" w:cs="Times New Roman"/>
          <w:szCs w:val="24"/>
        </w:rPr>
        <w:t xml:space="preserve">$200. </w:t>
      </w:r>
      <w:r w:rsidRPr="00842D3D">
        <w:rPr>
          <w:rFonts w:eastAsia="Times New Roman" w:cs="Times New Roman"/>
          <w:spacing w:val="-5"/>
          <w:szCs w:val="24"/>
        </w:rPr>
        <w:t xml:space="preserve">17 </w:t>
      </w:r>
      <w:r w:rsidRPr="00842D3D">
        <w:rPr>
          <w:rFonts w:eastAsia="Times New Roman" w:cs="Times New Roman"/>
          <w:w w:val="105"/>
          <w:szCs w:val="24"/>
        </w:rPr>
        <w:t>U.S.C.</w:t>
      </w:r>
      <w:r w:rsidRPr="00842D3D">
        <w:rPr>
          <w:rFonts w:eastAsia="Times New Roman" w:cs="Times New Roman"/>
          <w:spacing w:val="-16"/>
          <w:w w:val="105"/>
          <w:szCs w:val="24"/>
        </w:rPr>
        <w:t xml:space="preserve"> </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spacing w:val="-2"/>
          <w:w w:val="105"/>
          <w:szCs w:val="24"/>
        </w:rPr>
        <w:t>504(c)(2).</w:t>
      </w:r>
    </w:p>
    <w:p w14:paraId="32F1C93A" w14:textId="77777777" w:rsidR="00842D3D" w:rsidRPr="00842D3D" w:rsidRDefault="00842D3D" w:rsidP="00842D3D">
      <w:pPr>
        <w:widowControl w:val="0"/>
        <w:autoSpaceDE w:val="0"/>
        <w:autoSpaceDN w:val="0"/>
        <w:rPr>
          <w:rFonts w:eastAsia="Times New Roman" w:cs="Times New Roman"/>
          <w:szCs w:val="24"/>
        </w:rPr>
      </w:pPr>
    </w:p>
    <w:p w14:paraId="00C1770A" w14:textId="77777777" w:rsidR="00842D3D" w:rsidRPr="00842D3D" w:rsidRDefault="00842D3D" w:rsidP="00842D3D">
      <w:pPr>
        <w:ind w:firstLine="720"/>
        <w:rPr>
          <w:rFonts w:eastAsia="Calibri" w:cs="Times New Roman"/>
          <w:w w:val="105"/>
          <w:szCs w:val="24"/>
        </w:rPr>
      </w:pPr>
      <w:r w:rsidRPr="00842D3D">
        <w:rPr>
          <w:rFonts w:eastAsia="Calibri" w:cs="Times New Roman"/>
          <w:w w:val="105"/>
          <w:szCs w:val="24"/>
        </w:rPr>
        <w:t>“Whether the defendants’</w:t>
      </w:r>
      <w:r w:rsidRPr="00842D3D">
        <w:rPr>
          <w:rFonts w:eastAsia="Calibri" w:cs="Times New Roman"/>
          <w:spacing w:val="-12"/>
          <w:w w:val="105"/>
          <w:szCs w:val="24"/>
        </w:rPr>
        <w:t xml:space="preserve"> </w:t>
      </w:r>
      <w:r w:rsidRPr="00842D3D">
        <w:rPr>
          <w:rFonts w:eastAsia="Calibri" w:cs="Times New Roman"/>
          <w:w w:val="105"/>
          <w:szCs w:val="24"/>
        </w:rPr>
        <w:t>infringement was innocent is a factual determination . . .”</w:t>
      </w:r>
      <w:r w:rsidRPr="00842D3D">
        <w:rPr>
          <w:rFonts w:eastAsia="Calibri" w:cs="Times New Roman"/>
          <w:spacing w:val="31"/>
          <w:w w:val="105"/>
          <w:szCs w:val="24"/>
        </w:rPr>
        <w:t xml:space="preserve"> </w:t>
      </w:r>
      <w:r w:rsidRPr="00842D3D">
        <w:rPr>
          <w:rFonts w:eastAsia="Calibri" w:cs="Times New Roman"/>
          <w:i/>
          <w:w w:val="105"/>
          <w:szCs w:val="24"/>
        </w:rPr>
        <w:t>See</w:t>
      </w:r>
      <w:r w:rsidRPr="00842D3D">
        <w:rPr>
          <w:rFonts w:eastAsia="Calibri" w:cs="Times New Roman"/>
          <w:i/>
          <w:spacing w:val="-7"/>
          <w:w w:val="105"/>
          <w:szCs w:val="24"/>
        </w:rPr>
        <w:t xml:space="preserve"> </w:t>
      </w:r>
      <w:r w:rsidRPr="00842D3D">
        <w:rPr>
          <w:rFonts w:eastAsia="Calibri" w:cs="Times New Roman"/>
          <w:i/>
          <w:w w:val="105"/>
          <w:szCs w:val="24"/>
        </w:rPr>
        <w:t>L.A.</w:t>
      </w:r>
      <w:r w:rsidRPr="00842D3D">
        <w:rPr>
          <w:rFonts w:eastAsia="Calibri" w:cs="Times New Roman"/>
          <w:i/>
          <w:spacing w:val="-7"/>
          <w:w w:val="105"/>
          <w:szCs w:val="24"/>
        </w:rPr>
        <w:t xml:space="preserve"> </w:t>
      </w:r>
      <w:r w:rsidRPr="00842D3D">
        <w:rPr>
          <w:rFonts w:eastAsia="Calibri" w:cs="Times New Roman"/>
          <w:i/>
          <w:w w:val="105"/>
          <w:szCs w:val="24"/>
        </w:rPr>
        <w:t>News</w:t>
      </w:r>
      <w:r w:rsidRPr="00842D3D">
        <w:rPr>
          <w:rFonts w:eastAsia="Calibri" w:cs="Times New Roman"/>
          <w:i/>
          <w:spacing w:val="-12"/>
          <w:w w:val="105"/>
          <w:szCs w:val="24"/>
        </w:rPr>
        <w:t xml:space="preserve"> </w:t>
      </w:r>
      <w:r w:rsidRPr="00842D3D">
        <w:rPr>
          <w:rFonts w:eastAsia="Calibri" w:cs="Times New Roman"/>
          <w:i/>
          <w:w w:val="105"/>
          <w:szCs w:val="24"/>
        </w:rPr>
        <w:t>Serv.</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6"/>
          <w:w w:val="105"/>
          <w:szCs w:val="24"/>
        </w:rPr>
        <w:t xml:space="preserve"> </w:t>
      </w:r>
      <w:r w:rsidRPr="00842D3D">
        <w:rPr>
          <w:rFonts w:eastAsia="Calibri" w:cs="Times New Roman"/>
          <w:i/>
          <w:w w:val="105"/>
          <w:szCs w:val="24"/>
        </w:rPr>
        <w:t>Reuters</w:t>
      </w:r>
      <w:r w:rsidRPr="00842D3D">
        <w:rPr>
          <w:rFonts w:eastAsia="Calibri" w:cs="Times New Roman"/>
          <w:i/>
          <w:spacing w:val="-7"/>
          <w:w w:val="105"/>
          <w:szCs w:val="24"/>
        </w:rPr>
        <w:t xml:space="preserve"> </w:t>
      </w:r>
      <w:r w:rsidRPr="00842D3D">
        <w:rPr>
          <w:rFonts w:eastAsia="Calibri" w:cs="Times New Roman"/>
          <w:i/>
          <w:w w:val="105"/>
          <w:szCs w:val="24"/>
        </w:rPr>
        <w:t>Television</w:t>
      </w:r>
      <w:r w:rsidRPr="00842D3D">
        <w:rPr>
          <w:rFonts w:eastAsia="Calibri" w:cs="Times New Roman"/>
          <w:i/>
          <w:spacing w:val="-9"/>
          <w:w w:val="105"/>
          <w:szCs w:val="24"/>
        </w:rPr>
        <w:t xml:space="preserve"> </w:t>
      </w:r>
      <w:r w:rsidRPr="00842D3D">
        <w:rPr>
          <w:rFonts w:eastAsia="Calibri" w:cs="Times New Roman"/>
          <w:i/>
          <w:w w:val="105"/>
          <w:szCs w:val="24"/>
        </w:rPr>
        <w:t>Int’l,</w:t>
      </w:r>
      <w:r w:rsidRPr="00842D3D">
        <w:rPr>
          <w:rFonts w:eastAsia="Calibri" w:cs="Times New Roman"/>
          <w:w w:val="105"/>
          <w:szCs w:val="24"/>
        </w:rPr>
        <w:t>,</w:t>
      </w:r>
      <w:r w:rsidRPr="00842D3D">
        <w:rPr>
          <w:rFonts w:eastAsia="Calibri" w:cs="Times New Roman"/>
          <w:i/>
          <w:spacing w:val="-7"/>
          <w:w w:val="105"/>
          <w:szCs w:val="24"/>
        </w:rPr>
        <w:t xml:space="preserve"> </w:t>
      </w:r>
      <w:r w:rsidRPr="00842D3D">
        <w:rPr>
          <w:rFonts w:eastAsia="Calibri" w:cs="Times New Roman"/>
          <w:i/>
          <w:w w:val="105"/>
          <w:szCs w:val="24"/>
        </w:rPr>
        <w:t>Ltd.</w:t>
      </w:r>
      <w:r w:rsidRPr="00842D3D">
        <w:rPr>
          <w:rFonts w:eastAsia="Calibri" w:cs="Times New Roman"/>
          <w:w w:val="105"/>
          <w:szCs w:val="24"/>
        </w:rPr>
        <w:t>,</w:t>
      </w:r>
      <w:r w:rsidRPr="00842D3D">
        <w:rPr>
          <w:rFonts w:eastAsia="Calibri" w:cs="Times New Roman"/>
          <w:spacing w:val="-15"/>
          <w:w w:val="105"/>
          <w:szCs w:val="24"/>
        </w:rPr>
        <w:t xml:space="preserve"> </w:t>
      </w:r>
      <w:r w:rsidRPr="00842D3D">
        <w:rPr>
          <w:rFonts w:eastAsia="Calibri" w:cs="Times New Roman"/>
          <w:w w:val="105"/>
          <w:szCs w:val="24"/>
        </w:rPr>
        <w:t>149</w:t>
      </w:r>
      <w:r w:rsidRPr="00842D3D">
        <w:rPr>
          <w:rFonts w:eastAsia="Calibri" w:cs="Times New Roman"/>
          <w:spacing w:val="-8"/>
          <w:w w:val="105"/>
          <w:szCs w:val="24"/>
        </w:rPr>
        <w:t xml:space="preserve"> </w:t>
      </w:r>
      <w:r w:rsidRPr="00842D3D">
        <w:rPr>
          <w:rFonts w:eastAsia="Calibri" w:cs="Times New Roman"/>
          <w:w w:val="105"/>
          <w:szCs w:val="24"/>
        </w:rPr>
        <w:t>F.3d 987,</w:t>
      </w:r>
      <w:r w:rsidRPr="00842D3D">
        <w:rPr>
          <w:rFonts w:eastAsia="Calibri" w:cs="Times New Roman"/>
          <w:spacing w:val="-13"/>
          <w:w w:val="105"/>
          <w:szCs w:val="24"/>
        </w:rPr>
        <w:t xml:space="preserve"> </w:t>
      </w:r>
      <w:r w:rsidRPr="00842D3D">
        <w:rPr>
          <w:rFonts w:eastAsia="Calibri" w:cs="Times New Roman"/>
          <w:w w:val="105"/>
          <w:szCs w:val="24"/>
        </w:rPr>
        <w:t>995</w:t>
      </w:r>
      <w:r w:rsidRPr="00842D3D">
        <w:rPr>
          <w:rFonts w:eastAsia="Calibri" w:cs="Times New Roman"/>
          <w:spacing w:val="-8"/>
          <w:w w:val="105"/>
          <w:szCs w:val="24"/>
        </w:rPr>
        <w:t xml:space="preserve"> </w:t>
      </w:r>
      <w:r w:rsidRPr="00842D3D">
        <w:rPr>
          <w:rFonts w:eastAsia="Calibri" w:cs="Times New Roman"/>
          <w:w w:val="105"/>
          <w:szCs w:val="24"/>
        </w:rPr>
        <w:t>(9th</w:t>
      </w:r>
      <w:r w:rsidRPr="00842D3D">
        <w:rPr>
          <w:rFonts w:eastAsia="Calibri" w:cs="Times New Roman"/>
          <w:spacing w:val="-7"/>
          <w:w w:val="105"/>
          <w:szCs w:val="24"/>
        </w:rPr>
        <w:t xml:space="preserve"> Cir. </w:t>
      </w:r>
      <w:r w:rsidRPr="00842D3D">
        <w:rPr>
          <w:rFonts w:eastAsia="Calibri" w:cs="Times New Roman"/>
          <w:w w:val="105"/>
          <w:szCs w:val="24"/>
        </w:rPr>
        <w:t>1998).</w:t>
      </w:r>
      <w:r w:rsidRPr="00842D3D">
        <w:rPr>
          <w:rFonts w:eastAsia="Calibri" w:cs="Times New Roman"/>
          <w:spacing w:val="34"/>
          <w:w w:val="105"/>
          <w:szCs w:val="24"/>
        </w:rPr>
        <w:t xml:space="preserve"> </w:t>
      </w:r>
      <w:r w:rsidRPr="00842D3D">
        <w:rPr>
          <w:rFonts w:eastAsia="Calibri" w:cs="Times New Roman"/>
          <w:w w:val="105"/>
          <w:szCs w:val="24"/>
        </w:rPr>
        <w:t>But</w:t>
      </w:r>
      <w:r w:rsidRPr="00842D3D">
        <w:rPr>
          <w:rFonts w:eastAsia="Calibri" w:cs="Times New Roman"/>
          <w:spacing w:val="-12"/>
          <w:w w:val="105"/>
          <w:szCs w:val="24"/>
        </w:rPr>
        <w:t xml:space="preserve"> </w:t>
      </w:r>
      <w:r w:rsidRPr="00842D3D">
        <w:rPr>
          <w:rFonts w:eastAsia="Calibri" w:cs="Times New Roman"/>
          <w:w w:val="105"/>
          <w:szCs w:val="24"/>
        </w:rPr>
        <w:t>even</w:t>
      </w:r>
      <w:r w:rsidRPr="00842D3D">
        <w:rPr>
          <w:rFonts w:eastAsia="Calibri" w:cs="Times New Roman"/>
          <w:spacing w:val="-8"/>
          <w:w w:val="105"/>
          <w:szCs w:val="24"/>
        </w:rPr>
        <w:t xml:space="preserve"> </w:t>
      </w:r>
      <w:r w:rsidRPr="00842D3D">
        <w:rPr>
          <w:rFonts w:eastAsia="Calibri" w:cs="Times New Roman"/>
          <w:w w:val="105"/>
          <w:szCs w:val="24"/>
        </w:rPr>
        <w:t>if</w:t>
      </w:r>
      <w:r w:rsidRPr="00842D3D">
        <w:rPr>
          <w:rFonts w:eastAsia="Calibri" w:cs="Times New Roman"/>
          <w:spacing w:val="-11"/>
          <w:w w:val="105"/>
          <w:szCs w:val="24"/>
        </w:rPr>
        <w:t xml:space="preserve"> </w:t>
      </w:r>
      <w:r w:rsidRPr="00842D3D">
        <w:rPr>
          <w:rFonts w:eastAsia="Calibri" w:cs="Times New Roman"/>
          <w:w w:val="105"/>
          <w:szCs w:val="24"/>
        </w:rPr>
        <w:t>the</w:t>
      </w:r>
      <w:r w:rsidRPr="00842D3D">
        <w:rPr>
          <w:rFonts w:eastAsia="Calibri" w:cs="Times New Roman"/>
          <w:spacing w:val="-9"/>
          <w:w w:val="105"/>
          <w:szCs w:val="24"/>
        </w:rPr>
        <w:t xml:space="preserve"> </w:t>
      </w:r>
      <w:r w:rsidRPr="00842D3D">
        <w:rPr>
          <w:rFonts w:eastAsia="Calibri" w:cs="Times New Roman"/>
          <w:w w:val="105"/>
          <w:szCs w:val="24"/>
        </w:rPr>
        <w:t>trier</w:t>
      </w:r>
      <w:r w:rsidRPr="00842D3D">
        <w:rPr>
          <w:rFonts w:eastAsia="Calibri" w:cs="Times New Roman"/>
          <w:spacing w:val="-10"/>
          <w:w w:val="105"/>
          <w:szCs w:val="24"/>
        </w:rPr>
        <w:t xml:space="preserve"> </w:t>
      </w:r>
      <w:r w:rsidRPr="00842D3D">
        <w:rPr>
          <w:rFonts w:eastAsia="Calibri" w:cs="Times New Roman"/>
          <w:w w:val="105"/>
          <w:szCs w:val="24"/>
        </w:rPr>
        <w:t>of</w:t>
      </w:r>
      <w:r w:rsidRPr="00842D3D">
        <w:rPr>
          <w:rFonts w:eastAsia="Calibri" w:cs="Times New Roman"/>
          <w:spacing w:val="-5"/>
          <w:w w:val="105"/>
          <w:szCs w:val="24"/>
        </w:rPr>
        <w:t xml:space="preserve"> </w:t>
      </w:r>
      <w:r w:rsidRPr="00842D3D">
        <w:rPr>
          <w:rFonts w:eastAsia="Calibri" w:cs="Times New Roman"/>
          <w:w w:val="105"/>
          <w:szCs w:val="24"/>
        </w:rPr>
        <w:t>fact</w:t>
      </w:r>
      <w:r w:rsidRPr="00842D3D">
        <w:rPr>
          <w:rFonts w:eastAsia="Calibri" w:cs="Times New Roman"/>
          <w:spacing w:val="-4"/>
          <w:w w:val="105"/>
          <w:szCs w:val="24"/>
        </w:rPr>
        <w:t xml:space="preserve"> </w:t>
      </w:r>
      <w:r w:rsidRPr="00842D3D">
        <w:rPr>
          <w:rFonts w:eastAsia="Calibri" w:cs="Times New Roman"/>
          <w:w w:val="105"/>
          <w:szCs w:val="24"/>
        </w:rPr>
        <w:t>finds</w:t>
      </w:r>
      <w:r w:rsidRPr="00842D3D">
        <w:rPr>
          <w:rFonts w:eastAsia="Calibri" w:cs="Times New Roman"/>
          <w:spacing w:val="-5"/>
          <w:w w:val="105"/>
          <w:szCs w:val="24"/>
        </w:rPr>
        <w:t xml:space="preserve"> </w:t>
      </w:r>
      <w:r w:rsidRPr="00842D3D">
        <w:rPr>
          <w:rFonts w:eastAsia="Calibri" w:cs="Times New Roman"/>
          <w:w w:val="105"/>
          <w:szCs w:val="24"/>
        </w:rPr>
        <w:t>that</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5"/>
          <w:w w:val="105"/>
          <w:szCs w:val="24"/>
        </w:rPr>
        <w:t xml:space="preserve"> </w:t>
      </w:r>
      <w:r w:rsidRPr="00842D3D">
        <w:rPr>
          <w:rFonts w:eastAsia="Calibri" w:cs="Times New Roman"/>
          <w:w w:val="105"/>
          <w:szCs w:val="24"/>
        </w:rPr>
        <w:t>infringement was innocent, this finding does not mandate a reduction in the statutory damages.</w:t>
      </w:r>
      <w:r w:rsidRPr="00842D3D">
        <w:rPr>
          <w:rFonts w:eastAsia="Calibri" w:cs="Times New Roman"/>
          <w:spacing w:val="40"/>
          <w:w w:val="105"/>
          <w:szCs w:val="24"/>
        </w:rPr>
        <w:t xml:space="preserve"> </w:t>
      </w:r>
      <w:r w:rsidRPr="00842D3D">
        <w:rPr>
          <w:rFonts w:eastAsia="Calibri" w:cs="Times New Roman"/>
          <w:i/>
          <w:w w:val="105"/>
          <w:szCs w:val="24"/>
        </w:rPr>
        <w:t>See L.A. News Serv. v. Tullo</w:t>
      </w:r>
      <w:r w:rsidRPr="00842D3D">
        <w:rPr>
          <w:rFonts w:eastAsia="Calibri" w:cs="Times New Roman"/>
          <w:w w:val="105"/>
          <w:szCs w:val="24"/>
        </w:rPr>
        <w:t>, 973 F.2d 791, 800 (9th Cir. 1992).</w:t>
      </w:r>
    </w:p>
    <w:p w14:paraId="19005A41" w14:textId="77777777" w:rsidR="00842D3D" w:rsidRPr="00842D3D" w:rsidRDefault="00842D3D" w:rsidP="00842D3D">
      <w:pPr>
        <w:rPr>
          <w:rFonts w:eastAsia="Calibri" w:cs="Times New Roman"/>
          <w:w w:val="105"/>
          <w:szCs w:val="24"/>
        </w:rPr>
      </w:pPr>
    </w:p>
    <w:p w14:paraId="3D933C1E" w14:textId="77777777" w:rsidR="00842D3D" w:rsidRPr="00842D3D" w:rsidRDefault="00842D3D" w:rsidP="00842D3D">
      <w:pPr>
        <w:jc w:val="right"/>
        <w:rPr>
          <w:rFonts w:eastAsia="Calibri" w:cs="Times New Roman"/>
          <w:i/>
          <w:iCs/>
          <w:szCs w:val="24"/>
        </w:rPr>
      </w:pPr>
      <w:r w:rsidRPr="00842D3D">
        <w:rPr>
          <w:rFonts w:eastAsia="Calibri" w:cs="Times New Roman"/>
          <w:i/>
          <w:iCs/>
          <w:w w:val="105"/>
          <w:szCs w:val="24"/>
        </w:rPr>
        <w:t>Revised Dec. 2023</w:t>
      </w:r>
    </w:p>
    <w:p w14:paraId="54761B55"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2037886" w14:textId="66875B60" w:rsidR="00842D3D" w:rsidRPr="00842D3D" w:rsidRDefault="00842D3D" w:rsidP="00313A05">
      <w:pPr>
        <w:pStyle w:val="Heading2"/>
      </w:pPr>
      <w:r w:rsidRPr="00842D3D">
        <w:br w:type="page"/>
      </w:r>
      <w:bookmarkStart w:id="442" w:name="_Toc221525340"/>
      <w:r w:rsidRPr="00842D3D">
        <w:lastRenderedPageBreak/>
        <w:t>17.3</w:t>
      </w:r>
      <w:r w:rsidR="003B11C4">
        <w:t>9</w:t>
      </w:r>
      <w:r w:rsidRPr="00842D3D">
        <w:t xml:space="preserve"> Copyright—Damages—Willful Infringement (17 U.S.C. § 504(c)(2))</w:t>
      </w:r>
      <w:bookmarkEnd w:id="442"/>
    </w:p>
    <w:p w14:paraId="6A33950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7EA14E6" w14:textId="77777777" w:rsidR="00842D3D" w:rsidRPr="00842D3D" w:rsidRDefault="00842D3D" w:rsidP="00842D3D">
      <w:pPr>
        <w:keepNext/>
        <w:keepLines/>
        <w:widowControl w:val="0"/>
        <w:autoSpaceDE w:val="0"/>
        <w:autoSpaceDN w:val="0"/>
        <w:ind w:firstLine="718"/>
        <w:rPr>
          <w:rFonts w:eastAsia="Times New Roman" w:cs="Times New Roman"/>
          <w:szCs w:val="24"/>
        </w:rPr>
      </w:pPr>
      <w:r w:rsidRPr="00842D3D">
        <w:rPr>
          <w:rFonts w:eastAsia="Calibri" w:cs="Times New Roman"/>
          <w:szCs w:val="24"/>
        </w:rPr>
        <w:tab/>
      </w:r>
      <w:r w:rsidRPr="00842D3D">
        <w:rPr>
          <w:rFonts w:eastAsia="Times New Roman" w:cs="Times New Roman"/>
          <w:w w:val="105"/>
          <w:szCs w:val="24"/>
        </w:rPr>
        <w:t>An</w:t>
      </w:r>
      <w:r w:rsidRPr="00842D3D">
        <w:rPr>
          <w:rFonts w:eastAsia="Times New Roman" w:cs="Times New Roman"/>
          <w:spacing w:val="-11"/>
          <w:w w:val="105"/>
          <w:szCs w:val="24"/>
        </w:rPr>
        <w:t xml:space="preserve"> </w:t>
      </w:r>
      <w:r w:rsidRPr="00842D3D">
        <w:rPr>
          <w:rFonts w:eastAsia="Times New Roman" w:cs="Times New Roman"/>
          <w:w w:val="105"/>
          <w:szCs w:val="24"/>
        </w:rPr>
        <w:t>infringement</w:t>
      </w:r>
      <w:r w:rsidRPr="00842D3D">
        <w:rPr>
          <w:rFonts w:eastAsia="Times New Roman" w:cs="Times New Roman"/>
          <w:spacing w:val="-14"/>
          <w:w w:val="105"/>
          <w:szCs w:val="24"/>
        </w:rPr>
        <w:t xml:space="preserve"> </w:t>
      </w:r>
      <w:r w:rsidRPr="00842D3D">
        <w:rPr>
          <w:rFonts w:eastAsia="Times New Roman" w:cs="Times New Roman"/>
          <w:w w:val="105"/>
          <w:szCs w:val="24"/>
        </w:rPr>
        <w:t>is</w:t>
      </w:r>
      <w:r w:rsidRPr="00842D3D">
        <w:rPr>
          <w:rFonts w:eastAsia="Times New Roman" w:cs="Times New Roman"/>
          <w:spacing w:val="-11"/>
          <w:w w:val="105"/>
          <w:szCs w:val="24"/>
        </w:rPr>
        <w:t xml:space="preserve"> </w:t>
      </w:r>
      <w:r w:rsidRPr="00842D3D">
        <w:rPr>
          <w:rFonts w:eastAsia="Times New Roman" w:cs="Times New Roman"/>
          <w:w w:val="105"/>
          <w:szCs w:val="24"/>
        </w:rPr>
        <w:t>considered</w:t>
      </w:r>
      <w:r w:rsidRPr="00842D3D">
        <w:rPr>
          <w:rFonts w:eastAsia="Times New Roman" w:cs="Times New Roman"/>
          <w:spacing w:val="-8"/>
          <w:w w:val="105"/>
          <w:szCs w:val="24"/>
        </w:rPr>
        <w:t xml:space="preserve"> </w:t>
      </w:r>
      <w:r w:rsidRPr="00842D3D">
        <w:rPr>
          <w:rFonts w:eastAsia="Times New Roman" w:cs="Times New Roman"/>
          <w:w w:val="105"/>
          <w:szCs w:val="24"/>
        </w:rPr>
        <w:t>willful</w:t>
      </w:r>
      <w:r w:rsidRPr="00842D3D">
        <w:rPr>
          <w:rFonts w:eastAsia="Times New Roman" w:cs="Times New Roman"/>
          <w:spacing w:val="-13"/>
          <w:w w:val="105"/>
          <w:szCs w:val="24"/>
        </w:rPr>
        <w:t xml:space="preserve"> </w:t>
      </w:r>
      <w:r w:rsidRPr="00842D3D">
        <w:rPr>
          <w:rFonts w:eastAsia="Times New Roman" w:cs="Times New Roman"/>
          <w:w w:val="105"/>
          <w:szCs w:val="24"/>
        </w:rPr>
        <w:t>when</w:t>
      </w:r>
      <w:r w:rsidRPr="00842D3D">
        <w:rPr>
          <w:rFonts w:eastAsia="Times New Roman" w:cs="Times New Roman"/>
          <w:spacing w:val="-10"/>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plaintiff</w:t>
      </w:r>
      <w:r w:rsidRPr="00842D3D">
        <w:rPr>
          <w:rFonts w:eastAsia="Times New Roman" w:cs="Times New Roman"/>
          <w:spacing w:val="-13"/>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Times New Roman" w:cs="Times New Roman"/>
          <w:w w:val="105"/>
          <w:szCs w:val="24"/>
        </w:rPr>
        <w:t>has</w:t>
      </w:r>
      <w:r w:rsidRPr="00842D3D">
        <w:rPr>
          <w:rFonts w:eastAsia="Times New Roman" w:cs="Times New Roman"/>
          <w:spacing w:val="-11"/>
          <w:w w:val="105"/>
          <w:szCs w:val="24"/>
        </w:rPr>
        <w:t xml:space="preserve"> </w:t>
      </w:r>
      <w:r w:rsidRPr="00842D3D">
        <w:rPr>
          <w:rFonts w:eastAsia="Times New Roman" w:cs="Times New Roman"/>
          <w:w w:val="105"/>
          <w:szCs w:val="24"/>
        </w:rPr>
        <w:t>proved</w:t>
      </w:r>
      <w:r w:rsidRPr="00842D3D">
        <w:rPr>
          <w:rFonts w:eastAsia="Times New Roman" w:cs="Times New Roman"/>
          <w:spacing w:val="-11"/>
          <w:w w:val="105"/>
          <w:szCs w:val="24"/>
        </w:rPr>
        <w:t xml:space="preserve"> </w:t>
      </w:r>
      <w:r w:rsidRPr="00842D3D">
        <w:rPr>
          <w:rFonts w:eastAsia="Times New Roman" w:cs="Times New Roman"/>
          <w:w w:val="105"/>
          <w:szCs w:val="24"/>
        </w:rPr>
        <w:t>both of the following elements by a preponderance of the evidence:</w:t>
      </w:r>
    </w:p>
    <w:p w14:paraId="4A309B17" w14:textId="77777777" w:rsidR="00842D3D" w:rsidRPr="00842D3D" w:rsidRDefault="00842D3D" w:rsidP="00842D3D">
      <w:pPr>
        <w:widowControl w:val="0"/>
        <w:tabs>
          <w:tab w:val="left" w:pos="1057"/>
        </w:tabs>
        <w:autoSpaceDE w:val="0"/>
        <w:autoSpaceDN w:val="0"/>
        <w:rPr>
          <w:rFonts w:eastAsia="Calibri" w:cs="Times New Roman"/>
          <w:szCs w:val="24"/>
        </w:rPr>
      </w:pPr>
    </w:p>
    <w:p w14:paraId="45BA8B89" w14:textId="77777777" w:rsidR="00842D3D" w:rsidRPr="00842D3D" w:rsidRDefault="00842D3D" w:rsidP="00842D3D">
      <w:pPr>
        <w:widowControl w:val="0"/>
        <w:tabs>
          <w:tab w:val="left" w:pos="720"/>
        </w:tabs>
        <w:autoSpaceDE w:val="0"/>
        <w:autoSpaceDN w:val="0"/>
        <w:rPr>
          <w:rFonts w:eastAsia="Calibri" w:cs="Times New Roman"/>
          <w:spacing w:val="-5"/>
          <w:szCs w:val="24"/>
        </w:rPr>
      </w:pPr>
      <w:r w:rsidRPr="00842D3D">
        <w:rPr>
          <w:rFonts w:eastAsia="Calibri" w:cs="Times New Roman"/>
          <w:szCs w:val="24"/>
        </w:rPr>
        <w:tab/>
        <w:t>First,</w:t>
      </w:r>
      <w:r w:rsidRPr="00842D3D">
        <w:rPr>
          <w:rFonts w:eastAsia="Calibri" w:cs="Times New Roman"/>
          <w:spacing w:val="29"/>
          <w:szCs w:val="24"/>
        </w:rPr>
        <w:t xml:space="preserve"> </w:t>
      </w:r>
      <w:r w:rsidRPr="00842D3D">
        <w:rPr>
          <w:rFonts w:eastAsia="Calibri" w:cs="Times New Roman"/>
          <w:szCs w:val="24"/>
        </w:rPr>
        <w:t>the</w:t>
      </w:r>
      <w:r w:rsidRPr="00842D3D">
        <w:rPr>
          <w:rFonts w:eastAsia="Calibri" w:cs="Times New Roman"/>
          <w:spacing w:val="19"/>
          <w:szCs w:val="24"/>
        </w:rPr>
        <w:t xml:space="preserve"> </w:t>
      </w:r>
      <w:r w:rsidRPr="00842D3D">
        <w:rPr>
          <w:rFonts w:eastAsia="Calibri" w:cs="Times New Roman"/>
          <w:szCs w:val="24"/>
        </w:rPr>
        <w:t>defendant</w:t>
      </w:r>
      <w:r w:rsidRPr="00842D3D">
        <w:rPr>
          <w:rFonts w:eastAsia="Calibri" w:cs="Times New Roman"/>
          <w:spacing w:val="1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szCs w:val="24"/>
        </w:rPr>
        <w:t>engaged</w:t>
      </w:r>
      <w:r w:rsidRPr="00842D3D">
        <w:rPr>
          <w:rFonts w:eastAsia="Calibri" w:cs="Times New Roman"/>
          <w:spacing w:val="21"/>
          <w:szCs w:val="24"/>
        </w:rPr>
        <w:t xml:space="preserve"> </w:t>
      </w:r>
      <w:r w:rsidRPr="00842D3D">
        <w:rPr>
          <w:rFonts w:eastAsia="Calibri" w:cs="Times New Roman"/>
          <w:szCs w:val="24"/>
        </w:rPr>
        <w:t>in</w:t>
      </w:r>
      <w:r w:rsidRPr="00842D3D">
        <w:rPr>
          <w:rFonts w:eastAsia="Calibri" w:cs="Times New Roman"/>
          <w:spacing w:val="24"/>
          <w:szCs w:val="24"/>
        </w:rPr>
        <w:t xml:space="preserve"> </w:t>
      </w:r>
      <w:r w:rsidRPr="00842D3D">
        <w:rPr>
          <w:rFonts w:eastAsia="Calibri" w:cs="Times New Roman"/>
          <w:szCs w:val="24"/>
        </w:rPr>
        <w:t>acts</w:t>
      </w:r>
      <w:r w:rsidRPr="00842D3D">
        <w:rPr>
          <w:rFonts w:eastAsia="Calibri" w:cs="Times New Roman"/>
          <w:spacing w:val="16"/>
          <w:szCs w:val="24"/>
        </w:rPr>
        <w:t xml:space="preserve"> </w:t>
      </w:r>
      <w:r w:rsidRPr="00842D3D">
        <w:rPr>
          <w:rFonts w:eastAsia="Calibri" w:cs="Times New Roman"/>
          <w:szCs w:val="24"/>
        </w:rPr>
        <w:t>that</w:t>
      </w:r>
      <w:r w:rsidRPr="00842D3D">
        <w:rPr>
          <w:rFonts w:eastAsia="Calibri" w:cs="Times New Roman"/>
          <w:spacing w:val="16"/>
          <w:szCs w:val="24"/>
        </w:rPr>
        <w:t xml:space="preserve"> </w:t>
      </w:r>
      <w:r w:rsidRPr="00842D3D">
        <w:rPr>
          <w:rFonts w:eastAsia="Calibri" w:cs="Times New Roman"/>
          <w:szCs w:val="24"/>
        </w:rPr>
        <w:t>infringed</w:t>
      </w:r>
      <w:r w:rsidRPr="00842D3D">
        <w:rPr>
          <w:rFonts w:eastAsia="Calibri" w:cs="Times New Roman"/>
          <w:spacing w:val="20"/>
          <w:szCs w:val="24"/>
        </w:rPr>
        <w:t xml:space="preserve"> </w:t>
      </w:r>
      <w:r w:rsidRPr="00842D3D">
        <w:rPr>
          <w:rFonts w:eastAsia="Calibri" w:cs="Times New Roman"/>
          <w:szCs w:val="24"/>
        </w:rPr>
        <w:t>the</w:t>
      </w:r>
      <w:r w:rsidRPr="00842D3D">
        <w:rPr>
          <w:rFonts w:eastAsia="Calibri" w:cs="Times New Roman"/>
          <w:spacing w:val="20"/>
          <w:szCs w:val="24"/>
        </w:rPr>
        <w:t xml:space="preserve"> </w:t>
      </w:r>
      <w:r w:rsidRPr="00842D3D">
        <w:rPr>
          <w:rFonts w:eastAsia="Calibri" w:cs="Times New Roman"/>
          <w:szCs w:val="24"/>
        </w:rPr>
        <w:t>copyright;</w:t>
      </w:r>
      <w:r w:rsidRPr="00842D3D">
        <w:rPr>
          <w:rFonts w:eastAsia="Calibri" w:cs="Times New Roman"/>
          <w:spacing w:val="16"/>
          <w:szCs w:val="24"/>
        </w:rPr>
        <w:t xml:space="preserve"> </w:t>
      </w:r>
      <w:r w:rsidRPr="00842D3D">
        <w:rPr>
          <w:rFonts w:eastAsia="Calibri" w:cs="Times New Roman"/>
          <w:spacing w:val="-5"/>
          <w:szCs w:val="24"/>
        </w:rPr>
        <w:t>and</w:t>
      </w:r>
    </w:p>
    <w:p w14:paraId="2087D9DE" w14:textId="77777777" w:rsidR="00842D3D" w:rsidRPr="00842D3D" w:rsidRDefault="00842D3D" w:rsidP="00842D3D">
      <w:pPr>
        <w:widowControl w:val="0"/>
        <w:tabs>
          <w:tab w:val="left" w:pos="1057"/>
        </w:tabs>
        <w:autoSpaceDE w:val="0"/>
        <w:autoSpaceDN w:val="0"/>
        <w:rPr>
          <w:rFonts w:eastAsia="Calibri" w:cs="Times New Roman"/>
          <w:spacing w:val="-5"/>
          <w:szCs w:val="24"/>
        </w:rPr>
      </w:pPr>
    </w:p>
    <w:p w14:paraId="16BDDDFC" w14:textId="77777777" w:rsidR="00842D3D" w:rsidRPr="00842D3D" w:rsidRDefault="00842D3D" w:rsidP="00842D3D">
      <w:pPr>
        <w:widowControl w:val="0"/>
        <w:tabs>
          <w:tab w:val="left" w:pos="720"/>
        </w:tabs>
        <w:autoSpaceDE w:val="0"/>
        <w:autoSpaceDN w:val="0"/>
        <w:rPr>
          <w:rFonts w:eastAsia="Calibri" w:cs="Times New Roman"/>
          <w:szCs w:val="24"/>
        </w:rPr>
      </w:pPr>
      <w:r w:rsidRPr="00842D3D">
        <w:rPr>
          <w:rFonts w:eastAsia="Calibri" w:cs="Times New Roman"/>
          <w:w w:val="105"/>
          <w:szCs w:val="24"/>
        </w:rPr>
        <w:tab/>
        <w:t xml:space="preserve">Second, the 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knew that those acts infringed the copyright, or the</w:t>
      </w:r>
      <w:r w:rsidRPr="00842D3D">
        <w:rPr>
          <w:rFonts w:eastAsia="Calibri" w:cs="Times New Roman"/>
          <w:spacing w:val="-5"/>
          <w:w w:val="105"/>
          <w:szCs w:val="24"/>
        </w:rPr>
        <w:t xml:space="preserve"> </w:t>
      </w:r>
      <w:r w:rsidRPr="00842D3D">
        <w:rPr>
          <w:rFonts w:eastAsia="Calibri" w:cs="Times New Roman"/>
          <w:w w:val="105"/>
          <w:szCs w:val="24"/>
        </w:rPr>
        <w:t xml:space="preserve">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acted</w:t>
      </w:r>
      <w:r w:rsidRPr="00842D3D">
        <w:rPr>
          <w:rFonts w:eastAsia="Calibri" w:cs="Times New Roman"/>
          <w:spacing w:val="-9"/>
          <w:w w:val="105"/>
          <w:szCs w:val="24"/>
        </w:rPr>
        <w:t xml:space="preserve"> </w:t>
      </w:r>
      <w:r w:rsidRPr="00842D3D">
        <w:rPr>
          <w:rFonts w:eastAsia="Calibri" w:cs="Times New Roman"/>
          <w:w w:val="105"/>
          <w:szCs w:val="24"/>
        </w:rPr>
        <w:t>with</w:t>
      </w:r>
      <w:r w:rsidRPr="00842D3D">
        <w:rPr>
          <w:rFonts w:eastAsia="Calibri" w:cs="Times New Roman"/>
          <w:spacing w:val="-9"/>
          <w:w w:val="105"/>
          <w:szCs w:val="24"/>
        </w:rPr>
        <w:t xml:space="preserve"> </w:t>
      </w:r>
      <w:r w:rsidRPr="00842D3D">
        <w:rPr>
          <w:rFonts w:eastAsia="Calibri" w:cs="Times New Roman"/>
          <w:w w:val="105"/>
          <w:szCs w:val="24"/>
        </w:rPr>
        <w:t>reckless</w:t>
      </w:r>
      <w:r w:rsidRPr="00842D3D">
        <w:rPr>
          <w:rFonts w:eastAsia="Calibri" w:cs="Times New Roman"/>
          <w:spacing w:val="-13"/>
          <w:w w:val="105"/>
          <w:szCs w:val="24"/>
        </w:rPr>
        <w:t xml:space="preserve"> </w:t>
      </w:r>
      <w:r w:rsidRPr="00842D3D">
        <w:rPr>
          <w:rFonts w:eastAsia="Calibri" w:cs="Times New Roman"/>
          <w:w w:val="105"/>
          <w:szCs w:val="24"/>
        </w:rPr>
        <w:t>disregard</w:t>
      </w:r>
      <w:r w:rsidRPr="00842D3D">
        <w:rPr>
          <w:rFonts w:eastAsia="Calibri" w:cs="Times New Roman"/>
          <w:spacing w:val="-9"/>
          <w:w w:val="105"/>
          <w:szCs w:val="24"/>
        </w:rPr>
        <w:t xml:space="preserve"> </w:t>
      </w:r>
      <w:r w:rsidRPr="00842D3D">
        <w:rPr>
          <w:rFonts w:eastAsia="Calibri" w:cs="Times New Roman"/>
          <w:w w:val="105"/>
          <w:szCs w:val="24"/>
        </w:rPr>
        <w:t>for,</w:t>
      </w:r>
      <w:r w:rsidRPr="00842D3D">
        <w:rPr>
          <w:rFonts w:eastAsia="Calibri" w:cs="Times New Roman"/>
          <w:spacing w:val="-16"/>
          <w:w w:val="105"/>
          <w:szCs w:val="24"/>
        </w:rPr>
        <w:t xml:space="preserve"> </w:t>
      </w:r>
      <w:r w:rsidRPr="00842D3D">
        <w:rPr>
          <w:rFonts w:eastAsia="Calibri" w:cs="Times New Roman"/>
          <w:w w:val="105"/>
          <w:szCs w:val="24"/>
        </w:rPr>
        <w:t>or</w:t>
      </w:r>
      <w:r w:rsidRPr="00842D3D">
        <w:rPr>
          <w:rFonts w:eastAsia="Calibri" w:cs="Times New Roman"/>
          <w:spacing w:val="-12"/>
          <w:w w:val="105"/>
          <w:szCs w:val="24"/>
        </w:rPr>
        <w:t xml:space="preserve"> </w:t>
      </w:r>
      <w:r w:rsidRPr="00842D3D">
        <w:rPr>
          <w:rFonts w:eastAsia="Calibri" w:cs="Times New Roman"/>
          <w:w w:val="105"/>
          <w:szCs w:val="24"/>
        </w:rPr>
        <w:t>willful</w:t>
      </w:r>
      <w:r w:rsidRPr="00842D3D">
        <w:rPr>
          <w:rFonts w:eastAsia="Calibri" w:cs="Times New Roman"/>
          <w:spacing w:val="-15"/>
          <w:w w:val="105"/>
          <w:szCs w:val="24"/>
        </w:rPr>
        <w:t xml:space="preserve"> </w:t>
      </w:r>
      <w:r w:rsidRPr="00842D3D">
        <w:rPr>
          <w:rFonts w:eastAsia="Calibri" w:cs="Times New Roman"/>
          <w:w w:val="105"/>
          <w:szCs w:val="24"/>
        </w:rPr>
        <w:t>blindness</w:t>
      </w:r>
      <w:r w:rsidRPr="00842D3D">
        <w:rPr>
          <w:rFonts w:eastAsia="Calibri" w:cs="Times New Roman"/>
          <w:spacing w:val="-14"/>
          <w:w w:val="105"/>
          <w:szCs w:val="24"/>
        </w:rPr>
        <w:t xml:space="preserve"> </w:t>
      </w:r>
      <w:r w:rsidRPr="00842D3D">
        <w:rPr>
          <w:rFonts w:eastAsia="Calibri" w:cs="Times New Roman"/>
          <w:w w:val="105"/>
          <w:szCs w:val="24"/>
        </w:rPr>
        <w:t>to,</w:t>
      </w:r>
      <w:r w:rsidRPr="00842D3D">
        <w:rPr>
          <w:rFonts w:eastAsia="Calibri" w:cs="Times New Roman"/>
          <w:spacing w:val="-16"/>
          <w:w w:val="105"/>
          <w:szCs w:val="24"/>
        </w:rPr>
        <w:t xml:space="preserve"> </w:t>
      </w:r>
      <w:r w:rsidRPr="00842D3D">
        <w:rPr>
          <w:rFonts w:eastAsia="Calibri" w:cs="Times New Roman"/>
          <w:w w:val="105"/>
          <w:szCs w:val="24"/>
        </w:rPr>
        <w:t>the copyright holder’s rights.</w:t>
      </w:r>
    </w:p>
    <w:p w14:paraId="0CF9D934" w14:textId="77777777" w:rsidR="00842D3D" w:rsidRPr="00842D3D" w:rsidRDefault="00842D3D" w:rsidP="00842D3D">
      <w:pPr>
        <w:widowControl w:val="0"/>
        <w:autoSpaceDE w:val="0"/>
        <w:autoSpaceDN w:val="0"/>
        <w:rPr>
          <w:rFonts w:eastAsia="Times New Roman" w:cs="Times New Roman"/>
          <w:szCs w:val="24"/>
        </w:rPr>
      </w:pPr>
    </w:p>
    <w:p w14:paraId="680E4C65"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szCs w:val="24"/>
        </w:rPr>
        <w:t>Comment</w:t>
      </w:r>
    </w:p>
    <w:p w14:paraId="0795BADA" w14:textId="77777777" w:rsidR="00842D3D" w:rsidRPr="00842D3D" w:rsidRDefault="00842D3D" w:rsidP="00842D3D">
      <w:pPr>
        <w:rPr>
          <w:rFonts w:eastAsia="Calibri" w:cs="Times New Roman"/>
          <w:szCs w:val="24"/>
        </w:rPr>
      </w:pPr>
    </w:p>
    <w:p w14:paraId="162DEFD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4"/>
          <w:szCs w:val="24"/>
        </w:rPr>
        <w:t xml:space="preserve"> </w:t>
      </w:r>
      <w:r w:rsidRPr="00842D3D">
        <w:rPr>
          <w:rFonts w:eastAsia="Times New Roman" w:cs="Times New Roman"/>
          <w:szCs w:val="24"/>
        </w:rPr>
        <w:t>statutory</w:t>
      </w:r>
      <w:r w:rsidRPr="00842D3D">
        <w:rPr>
          <w:rFonts w:eastAsia="Times New Roman" w:cs="Times New Roman"/>
          <w:spacing w:val="27"/>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maximum</w:t>
      </w:r>
      <w:r w:rsidRPr="00842D3D">
        <w:rPr>
          <w:rFonts w:eastAsia="Times New Roman" w:cs="Times New Roman"/>
          <w:spacing w:val="26"/>
          <w:szCs w:val="24"/>
        </w:rPr>
        <w:t xml:space="preserve"> </w:t>
      </w:r>
      <w:r w:rsidRPr="00842D3D">
        <w:rPr>
          <w:rFonts w:eastAsia="Times New Roman" w:cs="Times New Roman"/>
          <w:szCs w:val="24"/>
        </w:rPr>
        <w:t>for</w:t>
      </w:r>
      <w:r w:rsidRPr="00842D3D">
        <w:rPr>
          <w:rFonts w:eastAsia="Times New Roman" w:cs="Times New Roman"/>
          <w:spacing w:val="27"/>
          <w:szCs w:val="24"/>
        </w:rPr>
        <w:t xml:space="preserve"> </w:t>
      </w:r>
      <w:r w:rsidRPr="00842D3D">
        <w:rPr>
          <w:rFonts w:eastAsia="Times New Roman" w:cs="Times New Roman"/>
          <w:szCs w:val="24"/>
        </w:rPr>
        <w:t>willful</w:t>
      </w:r>
      <w:r w:rsidRPr="00842D3D">
        <w:rPr>
          <w:rFonts w:eastAsia="Times New Roman" w:cs="Times New Roman"/>
          <w:spacing w:val="22"/>
          <w:szCs w:val="24"/>
        </w:rPr>
        <w:t xml:space="preserve"> </w:t>
      </w:r>
      <w:r w:rsidRPr="00842D3D">
        <w:rPr>
          <w:rFonts w:eastAsia="Times New Roman" w:cs="Times New Roman"/>
          <w:szCs w:val="24"/>
        </w:rPr>
        <w:t>infringement</w:t>
      </w:r>
      <w:r w:rsidRPr="00842D3D">
        <w:rPr>
          <w:rFonts w:eastAsia="Times New Roman" w:cs="Times New Roman"/>
          <w:spacing w:val="22"/>
          <w:szCs w:val="24"/>
        </w:rPr>
        <w:t xml:space="preserve"> </w:t>
      </w:r>
      <w:r w:rsidRPr="00842D3D">
        <w:rPr>
          <w:rFonts w:eastAsia="Times New Roman" w:cs="Times New Roman"/>
          <w:szCs w:val="24"/>
        </w:rPr>
        <w:t>is</w:t>
      </w:r>
      <w:r w:rsidRPr="00842D3D">
        <w:rPr>
          <w:rFonts w:eastAsia="Times New Roman" w:cs="Times New Roman"/>
          <w:spacing w:val="26"/>
          <w:szCs w:val="24"/>
        </w:rPr>
        <w:t xml:space="preserve"> </w:t>
      </w:r>
      <w:r w:rsidRPr="00842D3D">
        <w:rPr>
          <w:rFonts w:eastAsia="Times New Roman" w:cs="Times New Roman"/>
          <w:szCs w:val="24"/>
        </w:rPr>
        <w:t>$150,000.</w:t>
      </w:r>
      <w:r w:rsidRPr="00842D3D">
        <w:rPr>
          <w:rFonts w:eastAsia="Times New Roman" w:cs="Times New Roman"/>
          <w:spacing w:val="60"/>
          <w:w w:val="150"/>
          <w:szCs w:val="24"/>
        </w:rPr>
        <w:t xml:space="preserve"> </w:t>
      </w:r>
      <w:r w:rsidRPr="00842D3D">
        <w:rPr>
          <w:rFonts w:eastAsia="Times New Roman" w:cs="Times New Roman"/>
          <w:spacing w:val="-5"/>
          <w:szCs w:val="24"/>
        </w:rPr>
        <w:t>17</w:t>
      </w:r>
    </w:p>
    <w:p w14:paraId="7B572993"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w w:val="105"/>
          <w:szCs w:val="24"/>
        </w:rPr>
        <w:t>U.S.C.</w:t>
      </w:r>
      <w:r w:rsidRPr="00842D3D">
        <w:rPr>
          <w:rFonts w:eastAsia="Times New Roman" w:cs="Times New Roman"/>
          <w:spacing w:val="-11"/>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spacing w:val="-2"/>
          <w:w w:val="105"/>
          <w:szCs w:val="24"/>
        </w:rPr>
        <w:t>504(c)(2).</w:t>
      </w:r>
    </w:p>
    <w:p w14:paraId="59E2F31F" w14:textId="77777777" w:rsidR="00842D3D" w:rsidRPr="00842D3D" w:rsidRDefault="00842D3D" w:rsidP="00842D3D">
      <w:pPr>
        <w:widowControl w:val="0"/>
        <w:autoSpaceDE w:val="0"/>
        <w:autoSpaceDN w:val="0"/>
        <w:rPr>
          <w:rFonts w:eastAsia="Times New Roman" w:cs="Times New Roman"/>
          <w:szCs w:val="24"/>
        </w:rPr>
      </w:pPr>
    </w:p>
    <w:p w14:paraId="7295DCE0"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 xml:space="preserve">Since at least 2008, the Ninth Circuit has recognized that “a finding of ‘willfulness’ . . . can be based on either ‘intentional’ behavior, or merely ‘reckless’ behavior.” </w:t>
      </w:r>
      <w:r w:rsidRPr="00842D3D">
        <w:rPr>
          <w:rFonts w:eastAsia="Times New Roman" w:cs="Times New Roman"/>
          <w:i/>
          <w:iCs/>
          <w:w w:val="105"/>
          <w:szCs w:val="24"/>
        </w:rPr>
        <w:t>Barboza v. New Form, Inc.</w:t>
      </w:r>
      <w:r w:rsidRPr="00842D3D">
        <w:rPr>
          <w:rFonts w:eastAsia="Times New Roman" w:cs="Times New Roman"/>
          <w:spacing w:val="40"/>
          <w:w w:val="105"/>
          <w:szCs w:val="24"/>
        </w:rPr>
        <w:t xml:space="preserve"> (</w:t>
      </w:r>
      <w:r w:rsidRPr="00842D3D">
        <w:rPr>
          <w:rFonts w:eastAsia="Times New Roman" w:cs="Times New Roman"/>
          <w:i/>
          <w:w w:val="105"/>
          <w:szCs w:val="24"/>
        </w:rPr>
        <w:t>In re Barboza</w:t>
      </w:r>
      <w:r w:rsidRPr="00842D3D">
        <w:rPr>
          <w:rFonts w:eastAsia="Times New Roman" w:cs="Times New Roman"/>
          <w:iCs/>
          <w:w w:val="105"/>
          <w:szCs w:val="24"/>
        </w:rPr>
        <w:t>)</w:t>
      </w:r>
      <w:r w:rsidRPr="00842D3D">
        <w:rPr>
          <w:rFonts w:eastAsia="Times New Roman" w:cs="Times New Roman"/>
          <w:w w:val="105"/>
          <w:szCs w:val="24"/>
        </w:rPr>
        <w:t xml:space="preserve">, 545 F.3d 702, 707 (9th Cir. 2008) (citations omitted); </w:t>
      </w:r>
      <w:r w:rsidRPr="00842D3D">
        <w:rPr>
          <w:rFonts w:eastAsia="Times New Roman" w:cs="Times New Roman"/>
          <w:i/>
          <w:w w:val="105"/>
          <w:szCs w:val="24"/>
        </w:rPr>
        <w:t>see also Unicolors, Inc. v. Urban Outfitters, Inc.</w:t>
      </w:r>
      <w:r w:rsidRPr="00842D3D">
        <w:rPr>
          <w:rFonts w:eastAsia="Times New Roman" w:cs="Times New Roman"/>
          <w:w w:val="105"/>
          <w:szCs w:val="24"/>
        </w:rPr>
        <w:t>, 853 F.3d 980,</w:t>
      </w:r>
      <w:r w:rsidRPr="00842D3D">
        <w:rPr>
          <w:rFonts w:eastAsia="Times New Roman" w:cs="Times New Roman"/>
          <w:spacing w:val="-3"/>
          <w:w w:val="105"/>
          <w:szCs w:val="24"/>
        </w:rPr>
        <w:t xml:space="preserve"> </w:t>
      </w:r>
      <w:r w:rsidRPr="00842D3D">
        <w:rPr>
          <w:rFonts w:eastAsia="Times New Roman" w:cs="Times New Roman"/>
          <w:w w:val="105"/>
          <w:szCs w:val="24"/>
        </w:rPr>
        <w:t>991</w:t>
      </w:r>
      <w:r w:rsidRPr="00842D3D">
        <w:rPr>
          <w:rFonts w:eastAsia="Times New Roman" w:cs="Times New Roman"/>
          <w:spacing w:val="-1"/>
          <w:w w:val="105"/>
          <w:szCs w:val="24"/>
        </w:rPr>
        <w:t xml:space="preserve"> </w:t>
      </w:r>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3"/>
          <w:w w:val="105"/>
          <w:szCs w:val="24"/>
        </w:rPr>
        <w:t xml:space="preserve"> </w:t>
      </w:r>
      <w:r w:rsidRPr="00842D3D">
        <w:rPr>
          <w:rFonts w:eastAsia="Times New Roman" w:cs="Times New Roman"/>
          <w:w w:val="105"/>
          <w:szCs w:val="24"/>
        </w:rPr>
        <w:t>2017) (“[T]o prove ‘willfulness’ under the Copyright Act, the plaintiff must show (1) that the defendant was actually aware of the infringing activity, or (2) that the defendant’s actions were the result of ‘reckless</w:t>
      </w:r>
      <w:r w:rsidRPr="00842D3D">
        <w:rPr>
          <w:rFonts w:eastAsia="Times New Roman" w:cs="Times New Roman"/>
          <w:spacing w:val="-3"/>
          <w:w w:val="105"/>
          <w:szCs w:val="24"/>
        </w:rPr>
        <w:t xml:space="preserve"> </w:t>
      </w:r>
      <w:r w:rsidRPr="00842D3D">
        <w:rPr>
          <w:rFonts w:eastAsia="Times New Roman" w:cs="Times New Roman"/>
          <w:w w:val="105"/>
          <w:szCs w:val="24"/>
        </w:rPr>
        <w:t>disregard’</w:t>
      </w:r>
      <w:r w:rsidRPr="00842D3D">
        <w:rPr>
          <w:rFonts w:eastAsia="Times New Roman" w:cs="Times New Roman"/>
          <w:spacing w:val="-4"/>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4"/>
          <w:w w:val="105"/>
          <w:szCs w:val="24"/>
        </w:rPr>
        <w:t xml:space="preserve"> </w:t>
      </w:r>
      <w:r w:rsidRPr="00842D3D">
        <w:rPr>
          <w:rFonts w:eastAsia="Times New Roman" w:cs="Times New Roman"/>
          <w:w w:val="105"/>
          <w:szCs w:val="24"/>
        </w:rPr>
        <w:t>‘willful</w:t>
      </w:r>
      <w:r w:rsidRPr="00842D3D">
        <w:rPr>
          <w:rFonts w:eastAsia="Times New Roman" w:cs="Times New Roman"/>
          <w:spacing w:val="-4"/>
          <w:w w:val="105"/>
          <w:szCs w:val="24"/>
        </w:rPr>
        <w:t xml:space="preserve"> </w:t>
      </w:r>
      <w:r w:rsidRPr="00842D3D">
        <w:rPr>
          <w:rFonts w:eastAsia="Times New Roman" w:cs="Times New Roman"/>
          <w:w w:val="105"/>
          <w:szCs w:val="24"/>
        </w:rPr>
        <w:t>blindness’</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8"/>
          <w:w w:val="105"/>
          <w:szCs w:val="24"/>
        </w:rPr>
        <w:t xml:space="preserve"> </w:t>
      </w:r>
      <w:r w:rsidRPr="00842D3D">
        <w:rPr>
          <w:rFonts w:eastAsia="Times New Roman" w:cs="Times New Roman"/>
          <w:w w:val="105"/>
          <w:szCs w:val="24"/>
        </w:rPr>
        <w:t>holder’s</w:t>
      </w:r>
      <w:r w:rsidRPr="00842D3D">
        <w:rPr>
          <w:rFonts w:eastAsia="Times New Roman" w:cs="Times New Roman"/>
          <w:spacing w:val="-8"/>
          <w:w w:val="105"/>
          <w:szCs w:val="24"/>
        </w:rPr>
        <w:t xml:space="preserve"> </w:t>
      </w:r>
      <w:r w:rsidRPr="00842D3D">
        <w:rPr>
          <w:rFonts w:eastAsia="Times New Roman" w:cs="Times New Roman"/>
          <w:w w:val="105"/>
          <w:szCs w:val="24"/>
        </w:rPr>
        <w:t xml:space="preserve">rights.” (quoting </w:t>
      </w:r>
      <w:r w:rsidRPr="00842D3D">
        <w:rPr>
          <w:rFonts w:eastAsia="Times New Roman" w:cs="Times New Roman"/>
          <w:i/>
          <w:w w:val="105"/>
          <w:szCs w:val="24"/>
        </w:rPr>
        <w:t>Wash. Shoe Co. v. A-Z Sporting Goods Inc.</w:t>
      </w:r>
      <w:r w:rsidRPr="00842D3D">
        <w:rPr>
          <w:rFonts w:eastAsia="Times New Roman" w:cs="Times New Roman"/>
          <w:w w:val="105"/>
          <w:szCs w:val="24"/>
        </w:rPr>
        <w:t>, 704 F.3d 668, 674 (9th Cir.</w:t>
      </w:r>
      <w:r w:rsidRPr="00842D3D">
        <w:rPr>
          <w:rFonts w:eastAsia="Times New Roman" w:cs="Times New Roman"/>
          <w:spacing w:val="-3"/>
          <w:w w:val="105"/>
          <w:szCs w:val="24"/>
        </w:rPr>
        <w:t xml:space="preserve"> </w:t>
      </w:r>
      <w:r w:rsidRPr="00842D3D">
        <w:rPr>
          <w:rFonts w:eastAsia="Times New Roman" w:cs="Times New Roman"/>
          <w:w w:val="105"/>
          <w:szCs w:val="24"/>
        </w:rPr>
        <w:t xml:space="preserve">2012) (alterations in original)); </w:t>
      </w:r>
      <w:r w:rsidRPr="00842D3D">
        <w:rPr>
          <w:rFonts w:eastAsia="Times New Roman" w:cs="Times New Roman"/>
          <w:i/>
          <w:w w:val="105"/>
          <w:szCs w:val="24"/>
        </w:rPr>
        <w:t>see also Erickson Prods., Inc. v. Kast</w:t>
      </w:r>
      <w:r w:rsidRPr="00842D3D">
        <w:rPr>
          <w:rFonts w:eastAsia="Times New Roman" w:cs="Times New Roman"/>
          <w:w w:val="105"/>
          <w:szCs w:val="24"/>
        </w:rPr>
        <w:t>, 921 F.3d 822, 833 (9th Cir. 2019) (“Negligence is a less culpable mental</w:t>
      </w:r>
      <w:r w:rsidRPr="00842D3D">
        <w:rPr>
          <w:rFonts w:eastAsia="Times New Roman" w:cs="Times New Roman"/>
          <w:spacing w:val="-1"/>
          <w:w w:val="105"/>
          <w:szCs w:val="24"/>
        </w:rPr>
        <w:t xml:space="preserve"> </w:t>
      </w:r>
      <w:r w:rsidRPr="00842D3D">
        <w:rPr>
          <w:rFonts w:eastAsia="Times New Roman" w:cs="Times New Roman"/>
          <w:w w:val="105"/>
          <w:szCs w:val="24"/>
        </w:rPr>
        <w:t>state than actual knowledge, willful blindness, or recklessness, the three mental states that properly support a finding of willfulness.” (citation omitted)).</w:t>
      </w:r>
    </w:p>
    <w:p w14:paraId="7A477DCD" w14:textId="77777777" w:rsidR="00842D3D" w:rsidRPr="00842D3D" w:rsidRDefault="00842D3D" w:rsidP="00842D3D">
      <w:pPr>
        <w:widowControl w:val="0"/>
        <w:tabs>
          <w:tab w:val="left" w:pos="1065"/>
        </w:tabs>
        <w:autoSpaceDE w:val="0"/>
        <w:autoSpaceDN w:val="0"/>
        <w:rPr>
          <w:rFonts w:eastAsia="Times New Roman" w:cs="Times New Roman"/>
          <w:szCs w:val="24"/>
        </w:rPr>
      </w:pPr>
    </w:p>
    <w:p w14:paraId="23B20834"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To</w:t>
      </w:r>
      <w:r w:rsidRPr="00842D3D">
        <w:rPr>
          <w:rFonts w:eastAsia="Times New Roman" w:cs="Times New Roman"/>
          <w:spacing w:val="-1"/>
          <w:w w:val="105"/>
          <w:szCs w:val="24"/>
        </w:rPr>
        <w:t xml:space="preserve"> </w:t>
      </w:r>
      <w:r w:rsidRPr="00842D3D">
        <w:rPr>
          <w:rFonts w:eastAsia="Times New Roman" w:cs="Times New Roman"/>
          <w:w w:val="105"/>
          <w:szCs w:val="24"/>
        </w:rPr>
        <w:t>refute</w:t>
      </w:r>
      <w:r w:rsidRPr="00842D3D">
        <w:rPr>
          <w:rFonts w:eastAsia="Times New Roman" w:cs="Times New Roman"/>
          <w:spacing w:val="-2"/>
          <w:w w:val="105"/>
          <w:szCs w:val="24"/>
        </w:rPr>
        <w:t xml:space="preserve"> </w:t>
      </w:r>
      <w:r w:rsidRPr="00842D3D">
        <w:rPr>
          <w:rFonts w:eastAsia="Times New Roman" w:cs="Times New Roman"/>
          <w:w w:val="105"/>
          <w:szCs w:val="24"/>
        </w:rPr>
        <w:t>evidence</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2"/>
          <w:w w:val="105"/>
          <w:szCs w:val="24"/>
        </w:rPr>
        <w:t xml:space="preserve"> </w:t>
      </w:r>
      <w:r w:rsidRPr="00842D3D">
        <w:rPr>
          <w:rFonts w:eastAsia="Times New Roman" w:cs="Times New Roman"/>
          <w:w w:val="105"/>
          <w:szCs w:val="24"/>
        </w:rPr>
        <w:t>willful</w:t>
      </w:r>
      <w:r w:rsidRPr="00842D3D">
        <w:rPr>
          <w:rFonts w:eastAsia="Times New Roman" w:cs="Times New Roman"/>
          <w:spacing w:val="-2"/>
          <w:w w:val="105"/>
          <w:szCs w:val="24"/>
        </w:rPr>
        <w:t xml:space="preserve"> </w:t>
      </w:r>
      <w:r w:rsidRPr="00842D3D">
        <w:rPr>
          <w:rFonts w:eastAsia="Times New Roman" w:cs="Times New Roman"/>
          <w:w w:val="105"/>
          <w:szCs w:val="24"/>
        </w:rPr>
        <w:t>infringement,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defendant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only establish</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good</w:t>
      </w:r>
      <w:r w:rsidRPr="00842D3D">
        <w:rPr>
          <w:rFonts w:eastAsia="Times New Roman" w:cs="Times New Roman"/>
          <w:spacing w:val="-3"/>
          <w:w w:val="105"/>
          <w:szCs w:val="24"/>
        </w:rPr>
        <w:t xml:space="preserve"> </w:t>
      </w:r>
      <w:r w:rsidRPr="00842D3D">
        <w:rPr>
          <w:rFonts w:eastAsia="Times New Roman" w:cs="Times New Roman"/>
          <w:w w:val="105"/>
          <w:szCs w:val="24"/>
        </w:rPr>
        <w:t>faith</w:t>
      </w:r>
      <w:r w:rsidRPr="00842D3D">
        <w:rPr>
          <w:rFonts w:eastAsia="Times New Roman" w:cs="Times New Roman"/>
          <w:spacing w:val="-3"/>
          <w:w w:val="105"/>
          <w:szCs w:val="24"/>
        </w:rPr>
        <w:t xml:space="preserve"> </w:t>
      </w:r>
      <w:r w:rsidRPr="00842D3D">
        <w:rPr>
          <w:rFonts w:eastAsia="Times New Roman" w:cs="Times New Roman"/>
          <w:w w:val="105"/>
          <w:szCs w:val="24"/>
        </w:rPr>
        <w:t>belief</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innocence</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conduct,</w:t>
      </w:r>
      <w:r w:rsidRPr="00842D3D">
        <w:rPr>
          <w:rFonts w:eastAsia="Times New Roman" w:cs="Times New Roman"/>
          <w:spacing w:val="-4"/>
          <w:w w:val="105"/>
          <w:szCs w:val="24"/>
        </w:rPr>
        <w:t xml:space="preserve"> </w:t>
      </w:r>
      <w:r w:rsidRPr="00842D3D">
        <w:rPr>
          <w:rFonts w:eastAsia="Times New Roman" w:cs="Times New Roman"/>
          <w:w w:val="105"/>
          <w:szCs w:val="24"/>
        </w:rPr>
        <w:t>it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also</w:t>
      </w:r>
      <w:r w:rsidRPr="00842D3D">
        <w:rPr>
          <w:rFonts w:eastAsia="Times New Roman" w:cs="Times New Roman"/>
          <w:spacing w:val="-3"/>
          <w:w w:val="105"/>
          <w:szCs w:val="24"/>
        </w:rPr>
        <w:t xml:space="preserve"> </w:t>
      </w:r>
      <w:r w:rsidRPr="00842D3D">
        <w:rPr>
          <w:rFonts w:eastAsia="Times New Roman" w:cs="Times New Roman"/>
          <w:w w:val="105"/>
          <w:szCs w:val="24"/>
        </w:rPr>
        <w:t>show that it was reasonable in holding such a belief.”</w:t>
      </w:r>
      <w:r w:rsidRPr="00842D3D">
        <w:rPr>
          <w:rFonts w:eastAsia="Times New Roman" w:cs="Times New Roman"/>
          <w:spacing w:val="40"/>
          <w:w w:val="105"/>
          <w:szCs w:val="24"/>
        </w:rPr>
        <w:t xml:space="preserve"> </w:t>
      </w:r>
      <w:r w:rsidRPr="00842D3D">
        <w:rPr>
          <w:rFonts w:eastAsia="Times New Roman" w:cs="Times New Roman"/>
          <w:i/>
          <w:w w:val="105"/>
          <w:szCs w:val="24"/>
        </w:rPr>
        <w:t>Peer Int’l Corp. v. Pausa Records, Inc</w:t>
      </w:r>
      <w:r w:rsidRPr="00842D3D">
        <w:rPr>
          <w:rFonts w:eastAsia="Times New Roman" w:cs="Times New Roman"/>
          <w:w w:val="105"/>
          <w:szCs w:val="24"/>
        </w:rPr>
        <w:t>., 909 F.2d 1332, 1336 (9th Cir. 1990) (holding that a defendant who ignored revocation of its license to a copyrighted work, and continued to use</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2"/>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revocation,</w:t>
      </w:r>
      <w:r w:rsidRPr="00842D3D">
        <w:rPr>
          <w:rFonts w:eastAsia="Times New Roman" w:cs="Times New Roman"/>
          <w:spacing w:val="-5"/>
          <w:w w:val="105"/>
          <w:szCs w:val="24"/>
        </w:rPr>
        <w:t xml:space="preserve"> </w:t>
      </w:r>
      <w:r w:rsidRPr="00842D3D">
        <w:rPr>
          <w:rFonts w:eastAsia="Times New Roman" w:cs="Times New Roman"/>
          <w:w w:val="105"/>
          <w:szCs w:val="24"/>
        </w:rPr>
        <w:t>willfully</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3"/>
          <w:w w:val="105"/>
          <w:szCs w:val="24"/>
        </w:rPr>
        <w:t xml:space="preserve"> </w:t>
      </w:r>
      <w:r w:rsidRPr="00842D3D">
        <w:rPr>
          <w:rFonts w:eastAsia="Times New Roman" w:cs="Times New Roman"/>
          <w:w w:val="105"/>
          <w:szCs w:val="24"/>
        </w:rPr>
        <w:t>Even</w:t>
      </w:r>
      <w:r w:rsidRPr="00842D3D">
        <w:rPr>
          <w:rFonts w:eastAsia="Times New Roman" w:cs="Times New Roman"/>
          <w:spacing w:val="-4"/>
          <w:w w:val="105"/>
          <w:szCs w:val="24"/>
        </w:rPr>
        <w:t xml:space="preserve"> </w:t>
      </w:r>
      <w:r w:rsidRPr="00842D3D">
        <w:rPr>
          <w:rFonts w:eastAsia="Times New Roman" w:cs="Times New Roman"/>
          <w:w w:val="105"/>
          <w:szCs w:val="24"/>
        </w:rPr>
        <w:t>if</w:t>
      </w:r>
      <w:r w:rsidRPr="00842D3D">
        <w:rPr>
          <w:rFonts w:eastAsia="Times New Roman" w:cs="Times New Roman"/>
          <w:spacing w:val="-4"/>
          <w:w w:val="105"/>
          <w:szCs w:val="24"/>
        </w:rPr>
        <w:t xml:space="preserve"> </w:t>
      </w:r>
      <w:r w:rsidRPr="00842D3D">
        <w:rPr>
          <w:rFonts w:eastAsia="Times New Roman" w:cs="Times New Roman"/>
          <w:w w:val="105"/>
          <w:szCs w:val="24"/>
        </w:rPr>
        <w:t>one</w:t>
      </w:r>
      <w:r w:rsidRPr="00842D3D">
        <w:rPr>
          <w:rFonts w:eastAsia="Times New Roman" w:cs="Times New Roman"/>
          <w:spacing w:val="-6"/>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notified of an alleged infringement, continued use of a work “does not constitute willfulness so long as one believes reasonably, and in good faith, that he or she is not infringing.”</w:t>
      </w:r>
      <w:r w:rsidRPr="00842D3D">
        <w:rPr>
          <w:rFonts w:eastAsia="Times New Roman" w:cs="Times New Roman"/>
          <w:i/>
          <w:w w:val="105"/>
          <w:szCs w:val="24"/>
        </w:rPr>
        <w:t xml:space="preserve"> Evergreen Safety Council v. RSA Network Inc.</w:t>
      </w:r>
      <w:r w:rsidRPr="00842D3D">
        <w:rPr>
          <w:rFonts w:eastAsia="Times New Roman" w:cs="Times New Roman"/>
          <w:w w:val="105"/>
          <w:szCs w:val="24"/>
        </w:rPr>
        <w:t>, 697 F.3d 1221,</w:t>
      </w:r>
      <w:r w:rsidRPr="00842D3D">
        <w:rPr>
          <w:rFonts w:eastAsia="Times New Roman" w:cs="Times New Roman"/>
          <w:spacing w:val="-4"/>
          <w:w w:val="105"/>
          <w:szCs w:val="24"/>
        </w:rPr>
        <w:t xml:space="preserve"> </w:t>
      </w:r>
      <w:r w:rsidRPr="00842D3D">
        <w:rPr>
          <w:rFonts w:eastAsia="Times New Roman" w:cs="Times New Roman"/>
          <w:w w:val="105"/>
          <w:szCs w:val="24"/>
        </w:rPr>
        <w:t>1228 (9th Cir.</w:t>
      </w:r>
      <w:r w:rsidRPr="00842D3D">
        <w:rPr>
          <w:rFonts w:eastAsia="Times New Roman" w:cs="Times New Roman"/>
          <w:spacing w:val="-2"/>
          <w:w w:val="105"/>
          <w:szCs w:val="24"/>
        </w:rPr>
        <w:t xml:space="preserve"> </w:t>
      </w:r>
      <w:r w:rsidRPr="00842D3D">
        <w:rPr>
          <w:rFonts w:eastAsia="Times New Roman" w:cs="Times New Roman"/>
          <w:w w:val="105"/>
          <w:szCs w:val="24"/>
        </w:rPr>
        <w:t>2012)</w:t>
      </w:r>
      <w:r w:rsidRPr="00842D3D">
        <w:rPr>
          <w:rFonts w:eastAsia="Times New Roman" w:cs="Times New Roman"/>
          <w:spacing w:val="-2"/>
          <w:w w:val="105"/>
          <w:szCs w:val="24"/>
        </w:rPr>
        <w:t xml:space="preserve"> </w:t>
      </w:r>
      <w:r w:rsidRPr="00842D3D">
        <w:rPr>
          <w:rFonts w:eastAsia="Times New Roman" w:cs="Times New Roman"/>
          <w:w w:val="105"/>
          <w:szCs w:val="24"/>
        </w:rPr>
        <w:t xml:space="preserve">(citations omitted); </w:t>
      </w:r>
      <w:r w:rsidRPr="00842D3D">
        <w:rPr>
          <w:rFonts w:eastAsia="Times New Roman" w:cs="Times New Roman"/>
          <w:i/>
          <w:w w:val="105"/>
          <w:szCs w:val="24"/>
        </w:rPr>
        <w:t>see also VHT, Inc. v. Zillow Grp</w:t>
      </w:r>
      <w:r w:rsidRPr="00842D3D">
        <w:rPr>
          <w:rFonts w:eastAsia="Times New Roman" w:cs="Times New Roman"/>
          <w:w w:val="105"/>
          <w:szCs w:val="24"/>
        </w:rPr>
        <w:t>.</w:t>
      </w:r>
      <w:r w:rsidRPr="00842D3D">
        <w:rPr>
          <w:rFonts w:eastAsia="Times New Roman" w:cs="Times New Roman"/>
          <w:i/>
          <w:w w:val="105"/>
          <w:szCs w:val="24"/>
        </w:rPr>
        <w:t>, Inc.</w:t>
      </w:r>
      <w:r w:rsidRPr="00842D3D">
        <w:rPr>
          <w:rFonts w:eastAsia="Times New Roman" w:cs="Times New Roman"/>
          <w:w w:val="105"/>
          <w:szCs w:val="24"/>
        </w:rPr>
        <w:t>, 918</w:t>
      </w:r>
      <w:r w:rsidRPr="00842D3D">
        <w:rPr>
          <w:rFonts w:eastAsia="Times New Roman" w:cs="Times New Roman"/>
          <w:spacing w:val="-1"/>
          <w:w w:val="105"/>
          <w:szCs w:val="24"/>
        </w:rPr>
        <w:t xml:space="preserve"> </w:t>
      </w:r>
      <w:r w:rsidRPr="00842D3D">
        <w:rPr>
          <w:rFonts w:eastAsia="Times New Roman" w:cs="Times New Roman"/>
          <w:w w:val="105"/>
          <w:szCs w:val="24"/>
        </w:rPr>
        <w:t>F.3d</w:t>
      </w:r>
      <w:r w:rsidRPr="00842D3D">
        <w:rPr>
          <w:rFonts w:eastAsia="Times New Roman" w:cs="Times New Roman"/>
          <w:spacing w:val="-1"/>
          <w:w w:val="105"/>
          <w:szCs w:val="24"/>
        </w:rPr>
        <w:t xml:space="preserve"> </w:t>
      </w:r>
      <w:r w:rsidRPr="00842D3D">
        <w:rPr>
          <w:rFonts w:eastAsia="Times New Roman" w:cs="Times New Roman"/>
          <w:w w:val="105"/>
          <w:szCs w:val="24"/>
        </w:rPr>
        <w:t>723,</w:t>
      </w:r>
      <w:r w:rsidRPr="00842D3D">
        <w:rPr>
          <w:rFonts w:eastAsia="Times New Roman" w:cs="Times New Roman"/>
          <w:spacing w:val="-5"/>
          <w:w w:val="105"/>
          <w:szCs w:val="24"/>
        </w:rPr>
        <w:t xml:space="preserve"> </w:t>
      </w:r>
      <w:r w:rsidRPr="00842D3D">
        <w:rPr>
          <w:rFonts w:eastAsia="Times New Roman" w:cs="Times New Roman"/>
          <w:w w:val="105"/>
          <w:szCs w:val="24"/>
        </w:rPr>
        <w:t>748-49</w:t>
      </w:r>
      <w:r w:rsidRPr="00842D3D">
        <w:rPr>
          <w:rFonts w:eastAsia="Times New Roman" w:cs="Times New Roman"/>
          <w:spacing w:val="-2"/>
          <w:w w:val="105"/>
          <w:szCs w:val="24"/>
        </w:rPr>
        <w:t xml:space="preserve">  </w:t>
      </w:r>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7"/>
          <w:w w:val="105"/>
          <w:szCs w:val="24"/>
        </w:rPr>
        <w:t xml:space="preserve"> </w:t>
      </w:r>
      <w:r w:rsidRPr="00842D3D">
        <w:rPr>
          <w:rFonts w:eastAsia="Times New Roman" w:cs="Times New Roman"/>
          <w:w w:val="105"/>
          <w:szCs w:val="24"/>
        </w:rPr>
        <w:t>2019)</w:t>
      </w:r>
      <w:r w:rsidRPr="00842D3D">
        <w:rPr>
          <w:rFonts w:eastAsia="Times New Roman" w:cs="Times New Roman"/>
          <w:spacing w:val="-4"/>
          <w:w w:val="105"/>
          <w:szCs w:val="24"/>
        </w:rPr>
        <w:t xml:space="preserve"> </w:t>
      </w:r>
      <w:r w:rsidRPr="00842D3D">
        <w:rPr>
          <w:rFonts w:eastAsia="Times New Roman" w:cs="Times New Roman"/>
          <w:w w:val="105"/>
          <w:szCs w:val="24"/>
        </w:rPr>
        <w:t>(concluding that substantial evidence</w:t>
      </w:r>
      <w:r w:rsidRPr="00842D3D">
        <w:rPr>
          <w:rFonts w:eastAsia="Times New Roman" w:cs="Times New Roman"/>
          <w:spacing w:val="-1"/>
          <w:w w:val="105"/>
          <w:szCs w:val="24"/>
        </w:rPr>
        <w:t xml:space="preserve"> </w:t>
      </w:r>
      <w:r w:rsidRPr="00842D3D">
        <w:rPr>
          <w:rFonts w:eastAsia="Times New Roman" w:cs="Times New Roman"/>
          <w:w w:val="105"/>
          <w:szCs w:val="24"/>
        </w:rPr>
        <w:t>did not</w:t>
      </w:r>
      <w:r w:rsidRPr="00842D3D">
        <w:rPr>
          <w:rFonts w:eastAsia="Times New Roman" w:cs="Times New Roman"/>
          <w:spacing w:val="-3"/>
          <w:w w:val="105"/>
          <w:szCs w:val="24"/>
        </w:rPr>
        <w:t xml:space="preserve"> </w:t>
      </w:r>
      <w:r w:rsidRPr="00842D3D">
        <w:rPr>
          <w:rFonts w:eastAsia="Times New Roman" w:cs="Times New Roman"/>
          <w:w w:val="105"/>
          <w:szCs w:val="24"/>
        </w:rPr>
        <w:t>support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jury’s</w:t>
      </w:r>
      <w:r w:rsidRPr="00842D3D">
        <w:rPr>
          <w:rFonts w:eastAsia="Times New Roman" w:cs="Times New Roman"/>
          <w:spacing w:val="-3"/>
          <w:w w:val="105"/>
          <w:szCs w:val="24"/>
        </w:rPr>
        <w:t xml:space="preserve"> </w:t>
      </w:r>
      <w:r w:rsidRPr="00842D3D">
        <w:rPr>
          <w:rFonts w:eastAsia="Times New Roman" w:cs="Times New Roman"/>
          <w:w w:val="105"/>
          <w:szCs w:val="24"/>
        </w:rPr>
        <w:t>finding</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willfulness</w:t>
      </w:r>
      <w:r w:rsidRPr="00842D3D">
        <w:rPr>
          <w:rFonts w:eastAsia="Times New Roman" w:cs="Times New Roman"/>
          <w:spacing w:val="-2"/>
          <w:w w:val="105"/>
          <w:szCs w:val="24"/>
        </w:rPr>
        <w:t xml:space="preserve"> </w:t>
      </w:r>
      <w:r w:rsidRPr="00842D3D">
        <w:rPr>
          <w:rFonts w:eastAsia="Times New Roman" w:cs="Times New Roman"/>
          <w:w w:val="105"/>
          <w:szCs w:val="24"/>
        </w:rPr>
        <w:t>when</w:t>
      </w:r>
      <w:r w:rsidRPr="00842D3D">
        <w:rPr>
          <w:rFonts w:eastAsia="Times New Roman" w:cs="Times New Roman"/>
          <w:spacing w:val="-1"/>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alleged</w:t>
      </w:r>
      <w:r w:rsidRPr="00842D3D">
        <w:rPr>
          <w:rFonts w:eastAsia="Times New Roman" w:cs="Times New Roman"/>
          <w:spacing w:val="-2"/>
          <w:w w:val="105"/>
          <w:szCs w:val="24"/>
        </w:rPr>
        <w:t xml:space="preserve"> </w:t>
      </w:r>
      <w:r w:rsidRPr="00842D3D">
        <w:rPr>
          <w:rFonts w:eastAsia="Times New Roman" w:cs="Times New Roman"/>
          <w:w w:val="105"/>
          <w:szCs w:val="24"/>
        </w:rPr>
        <w:t>infringer</w:t>
      </w:r>
      <w:r w:rsidRPr="00842D3D">
        <w:rPr>
          <w:rFonts w:eastAsia="Times New Roman" w:cs="Times New Roman"/>
          <w:spacing w:val="-2"/>
          <w:w w:val="105"/>
          <w:szCs w:val="24"/>
        </w:rPr>
        <w:t xml:space="preserve"> </w:t>
      </w:r>
      <w:r w:rsidRPr="00842D3D">
        <w:rPr>
          <w:rFonts w:eastAsia="Times New Roman" w:cs="Times New Roman"/>
          <w:w w:val="105"/>
          <w:szCs w:val="24"/>
        </w:rPr>
        <w:t>took “appropriate</w:t>
      </w:r>
      <w:r w:rsidRPr="00842D3D">
        <w:rPr>
          <w:rFonts w:eastAsia="Times New Roman" w:cs="Times New Roman"/>
          <w:spacing w:val="-4"/>
          <w:w w:val="105"/>
          <w:szCs w:val="24"/>
        </w:rPr>
        <w:t xml:space="preserve"> </w:t>
      </w:r>
      <w:r w:rsidRPr="00842D3D">
        <w:rPr>
          <w:rFonts w:eastAsia="Times New Roman" w:cs="Times New Roman"/>
          <w:w w:val="105"/>
          <w:szCs w:val="24"/>
        </w:rPr>
        <w:t>responsive</w:t>
      </w:r>
      <w:r w:rsidRPr="00842D3D">
        <w:rPr>
          <w:rFonts w:eastAsia="Times New Roman" w:cs="Times New Roman"/>
          <w:spacing w:val="-6"/>
          <w:w w:val="105"/>
          <w:szCs w:val="24"/>
        </w:rPr>
        <w:t xml:space="preserve"> </w:t>
      </w:r>
      <w:r w:rsidRPr="00842D3D">
        <w:rPr>
          <w:rFonts w:eastAsia="Times New Roman" w:cs="Times New Roman"/>
          <w:w w:val="105"/>
          <w:szCs w:val="24"/>
        </w:rPr>
        <w:t>measures</w:t>
      </w:r>
      <w:r w:rsidRPr="00842D3D">
        <w:rPr>
          <w:rFonts w:eastAsia="Times New Roman" w:cs="Times New Roman"/>
          <w:spacing w:val="-4"/>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receiving”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notice</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copyright infringement</w:t>
      </w:r>
      <w:r w:rsidRPr="00842D3D">
        <w:rPr>
          <w:rFonts w:eastAsia="Times New Roman" w:cs="Times New Roman"/>
          <w:spacing w:val="-9"/>
          <w:w w:val="105"/>
          <w:szCs w:val="24"/>
        </w:rPr>
        <w:t xml:space="preserve"> </w:t>
      </w:r>
      <w:r w:rsidRPr="00842D3D">
        <w:rPr>
          <w:rFonts w:eastAsia="Times New Roman" w:cs="Times New Roman"/>
          <w:w w:val="105"/>
          <w:szCs w:val="24"/>
        </w:rPr>
        <w:t>and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copyright</w:t>
      </w:r>
      <w:r w:rsidRPr="00842D3D">
        <w:rPr>
          <w:rFonts w:eastAsia="Times New Roman" w:cs="Times New Roman"/>
          <w:spacing w:val="-9"/>
          <w:w w:val="105"/>
          <w:szCs w:val="24"/>
        </w:rPr>
        <w:t xml:space="preserve"> </w:t>
      </w:r>
      <w:r w:rsidRPr="00842D3D">
        <w:rPr>
          <w:rFonts w:eastAsia="Times New Roman" w:cs="Times New Roman"/>
          <w:w w:val="105"/>
          <w:szCs w:val="24"/>
        </w:rPr>
        <w:t>owner</w:t>
      </w:r>
      <w:r w:rsidRPr="00842D3D">
        <w:rPr>
          <w:rFonts w:eastAsia="Times New Roman" w:cs="Times New Roman"/>
          <w:spacing w:val="-9"/>
          <w:w w:val="105"/>
          <w:szCs w:val="24"/>
        </w:rPr>
        <w:t xml:space="preserve"> </w:t>
      </w:r>
      <w:r w:rsidRPr="00842D3D">
        <w:rPr>
          <w:rFonts w:eastAsia="Times New Roman" w:cs="Times New Roman"/>
          <w:w w:val="105"/>
          <w:szCs w:val="24"/>
        </w:rPr>
        <w:t>refused</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9"/>
          <w:w w:val="105"/>
          <w:szCs w:val="24"/>
        </w:rPr>
        <w:t xml:space="preserve"> </w:t>
      </w:r>
      <w:r w:rsidRPr="00842D3D">
        <w:rPr>
          <w:rFonts w:eastAsia="Times New Roman" w:cs="Times New Roman"/>
          <w:w w:val="105"/>
          <w:szCs w:val="24"/>
        </w:rPr>
        <w:t>come</w:t>
      </w:r>
      <w:r w:rsidRPr="00842D3D">
        <w:rPr>
          <w:rFonts w:eastAsia="Times New Roman" w:cs="Times New Roman"/>
          <w:spacing w:val="-11"/>
          <w:w w:val="105"/>
          <w:szCs w:val="24"/>
        </w:rPr>
        <w:t xml:space="preserve"> </w:t>
      </w:r>
      <w:r w:rsidRPr="00842D3D">
        <w:rPr>
          <w:rFonts w:eastAsia="Times New Roman" w:cs="Times New Roman"/>
          <w:w w:val="105"/>
          <w:szCs w:val="24"/>
        </w:rPr>
        <w:t>forth</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information</w:t>
      </w:r>
      <w:r w:rsidRPr="00842D3D">
        <w:rPr>
          <w:rFonts w:eastAsia="Times New Roman" w:cs="Times New Roman"/>
          <w:spacing w:val="-9"/>
          <w:w w:val="105"/>
          <w:szCs w:val="24"/>
        </w:rPr>
        <w:t xml:space="preserve"> </w:t>
      </w:r>
      <w:r w:rsidRPr="00842D3D">
        <w:rPr>
          <w:rFonts w:eastAsia="Times New Roman" w:cs="Times New Roman"/>
          <w:w w:val="105"/>
          <w:szCs w:val="24"/>
        </w:rPr>
        <w:t>to show copyright ownership).</w:t>
      </w:r>
    </w:p>
    <w:p w14:paraId="7FF16790" w14:textId="77777777" w:rsidR="00842D3D" w:rsidRPr="00842D3D" w:rsidRDefault="00842D3D" w:rsidP="00842D3D">
      <w:pPr>
        <w:widowControl w:val="0"/>
        <w:autoSpaceDE w:val="0"/>
        <w:autoSpaceDN w:val="0"/>
        <w:rPr>
          <w:rFonts w:eastAsia="Times New Roman" w:cs="Times New Roman"/>
          <w:szCs w:val="24"/>
        </w:rPr>
      </w:pPr>
    </w:p>
    <w:p w14:paraId="6B1EF3C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8"/>
          <w:w w:val="105"/>
          <w:szCs w:val="24"/>
        </w:rPr>
        <w:t xml:space="preserve"> </w:t>
      </w:r>
      <w:r w:rsidRPr="00842D3D">
        <w:rPr>
          <w:rFonts w:eastAsia="Times New Roman" w:cs="Times New Roman"/>
          <w:w w:val="105"/>
          <w:szCs w:val="24"/>
        </w:rPr>
        <w:t>finding of willful infringement may also be relevant to whether the defendant’s income taxes are deductible under 17</w:t>
      </w:r>
      <w:r w:rsidRPr="00842D3D">
        <w:rPr>
          <w:rFonts w:eastAsia="Calibri" w:cs="Times New Roman"/>
          <w:noProof/>
          <w:szCs w:val="24"/>
        </w:rPr>
        <mc:AlternateContent>
          <mc:Choice Requires="wps">
            <w:drawing>
              <wp:anchor distT="0" distB="0" distL="0" distR="0" simplePos="0" relativeHeight="251667456" behindDoc="1" locked="0" layoutInCell="1" allowOverlap="1" wp14:anchorId="042BFAD5" wp14:editId="264268D7">
                <wp:simplePos x="0" y="0"/>
                <wp:positionH relativeFrom="page">
                  <wp:posOffset>5062855</wp:posOffset>
                </wp:positionH>
                <wp:positionV relativeFrom="paragraph">
                  <wp:posOffset>1428750</wp:posOffset>
                </wp:positionV>
                <wp:extent cx="47625" cy="9525"/>
                <wp:effectExtent l="0" t="0" r="0" b="0"/>
                <wp:wrapNone/>
                <wp:docPr id="2297894" name="Freeform: Shape 229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C7E0" id="Freeform: Shape 2297894" o:spid="_x0000_s1026" style="position:absolute;margin-left:398.65pt;margin-top:112.5pt;width:3.75pt;height:.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CAxnsp4AAAAAsBAAAPAAAAZHJzL2Rvd25yZXYu&#10;eG1sTI/BTsMwDIbvSLxDZCRuLKHQbnRNJ4TEBLdtTEi7Za3XVjRO1WRteXu80zja/vT7+7PVZFsx&#10;YO8bRxoeZwoEUuHKhioN+6/3hwUIHwyVpnWEGn7Rwyq/vclMWrqRtjjsQiU4hHxqNNQhdKmUvqjR&#10;Gj9zHRLfTq63JvDYV7LszcjhtpWRUom0piH+UJsO32osfnZnq6GLh4M8jMnmc6u+95vhY105tdb6&#10;/m56XYIIOIUrDBd9VoecnY7uTKUXrYb5y/yJUQ1RFHMpJhbqmcscL5skBpln8n+H/A8AAP//AwBQ&#10;SwECLQAUAAYACAAAACEAtoM4kv4AAADhAQAAEwAAAAAAAAAAAAAAAAAAAAAAW0NvbnRlbnRfVHlw&#10;ZXNdLnhtbFBLAQItABQABgAIAAAAIQA4/SH/1gAAAJQBAAALAAAAAAAAAAAAAAAAAC8BAABfcmVs&#10;cy8ucmVsc1BLAQItABQABgAIAAAAIQCi71YE1AIAAFAHAAAOAAAAAAAAAAAAAAAAAC4CAABkcnMv&#10;ZTJvRG9jLnhtbFBLAQItABQABgAIAAAAIQCAxnsp4AAAAAs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842D3D">
        <w:rPr>
          <w:rFonts w:eastAsia="Times New Roman" w:cs="Times New Roman"/>
          <w:w w:val="105"/>
          <w:szCs w:val="24"/>
        </w:rPr>
        <w:t xml:space="preserve"> </w:t>
      </w:r>
      <w:r w:rsidRPr="00842D3D">
        <w:rPr>
          <w:rFonts w:eastAsia="Times New Roman" w:cs="Times New Roman"/>
          <w:szCs w:val="24"/>
        </w:rPr>
        <w:t>U.S.C.</w:t>
      </w:r>
      <w:r w:rsidRPr="00842D3D">
        <w:rPr>
          <w:rFonts w:eastAsia="Times New Roman" w:cs="Times New Roman"/>
          <w:spacing w:val="35"/>
          <w:szCs w:val="24"/>
        </w:rPr>
        <w:t xml:space="preserve"> </w:t>
      </w:r>
      <w:r w:rsidRPr="00842D3D">
        <w:rPr>
          <w:rFonts w:eastAsia="Times New Roman" w:cs="Times New Roman"/>
          <w:szCs w:val="24"/>
        </w:rPr>
        <w:t xml:space="preserve">§ 504(b). </w:t>
      </w:r>
      <w:r w:rsidRPr="00842D3D">
        <w:rPr>
          <w:rFonts w:eastAsia="Times New Roman" w:cs="Times New Roman"/>
          <w:i/>
          <w:szCs w:val="24"/>
        </w:rPr>
        <w:t>See,</w:t>
      </w:r>
      <w:r w:rsidRPr="00842D3D">
        <w:rPr>
          <w:rFonts w:eastAsia="Times New Roman" w:cs="Times New Roman"/>
          <w:iCs/>
          <w:spacing w:val="35"/>
          <w:szCs w:val="24"/>
        </w:rPr>
        <w:t xml:space="preserve"> </w:t>
      </w:r>
      <w:r w:rsidRPr="00842D3D">
        <w:rPr>
          <w:rFonts w:eastAsia="Times New Roman" w:cs="Times New Roman"/>
          <w:i/>
          <w:szCs w:val="24"/>
        </w:rPr>
        <w:t>e.g.</w:t>
      </w:r>
      <w:r w:rsidRPr="00842D3D">
        <w:rPr>
          <w:rFonts w:eastAsia="Times New Roman" w:cs="Times New Roman"/>
          <w:szCs w:val="24"/>
        </w:rPr>
        <w:t>,</w:t>
      </w:r>
      <w:r w:rsidRPr="00842D3D">
        <w:rPr>
          <w:rFonts w:eastAsia="Times New Roman" w:cs="Times New Roman"/>
          <w:spacing w:val="35"/>
          <w:szCs w:val="24"/>
        </w:rPr>
        <w:t xml:space="preserve"> </w:t>
      </w:r>
      <w:r w:rsidRPr="00842D3D">
        <w:rPr>
          <w:rFonts w:eastAsia="Times New Roman" w:cs="Times New Roman"/>
          <w:i/>
          <w:szCs w:val="24"/>
        </w:rPr>
        <w:t>Three Boys Music Corp. v.</w:t>
      </w:r>
      <w:r w:rsidRPr="00842D3D">
        <w:rPr>
          <w:rFonts w:eastAsia="Times New Roman" w:cs="Times New Roman"/>
          <w:i/>
          <w:spacing w:val="35"/>
          <w:szCs w:val="24"/>
        </w:rPr>
        <w:t xml:space="preserve"> </w:t>
      </w:r>
      <w:r w:rsidRPr="00842D3D">
        <w:rPr>
          <w:rFonts w:eastAsia="Times New Roman" w:cs="Times New Roman"/>
          <w:i/>
          <w:szCs w:val="24"/>
        </w:rPr>
        <w:t>Bolton</w:t>
      </w:r>
      <w:r w:rsidRPr="00842D3D">
        <w:rPr>
          <w:rFonts w:eastAsia="Times New Roman" w:cs="Times New Roman"/>
          <w:szCs w:val="24"/>
        </w:rPr>
        <w:t>,</w:t>
      </w:r>
      <w:r w:rsidRPr="00842D3D">
        <w:rPr>
          <w:rFonts w:eastAsia="Times New Roman" w:cs="Times New Roman"/>
          <w:spacing w:val="35"/>
          <w:szCs w:val="24"/>
        </w:rPr>
        <w:t xml:space="preserve"> </w:t>
      </w:r>
      <w:r w:rsidRPr="00842D3D">
        <w:rPr>
          <w:rFonts w:eastAsia="Times New Roman" w:cs="Times New Roman"/>
          <w:szCs w:val="24"/>
        </w:rPr>
        <w:t>212</w:t>
      </w:r>
      <w:r w:rsidRPr="00842D3D">
        <w:rPr>
          <w:rFonts w:eastAsia="Times New Roman" w:cs="Times New Roman"/>
          <w:spacing w:val="35"/>
          <w:szCs w:val="24"/>
        </w:rPr>
        <w:t xml:space="preserve"> </w:t>
      </w:r>
      <w:r w:rsidRPr="00842D3D">
        <w:rPr>
          <w:rFonts w:eastAsia="Times New Roman" w:cs="Times New Roman"/>
          <w:szCs w:val="24"/>
        </w:rPr>
        <w:t>F.3d</w:t>
      </w:r>
      <w:r w:rsidRPr="00842D3D">
        <w:rPr>
          <w:rFonts w:eastAsia="Times New Roman" w:cs="Times New Roman"/>
          <w:spacing w:val="35"/>
          <w:szCs w:val="24"/>
        </w:rPr>
        <w:t xml:space="preserve"> </w:t>
      </w:r>
      <w:r w:rsidRPr="00842D3D">
        <w:rPr>
          <w:rFonts w:eastAsia="Times New Roman" w:cs="Times New Roman"/>
          <w:szCs w:val="24"/>
        </w:rPr>
        <w:t>477, 487-88</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2000)</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in</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case</w:t>
      </w:r>
      <w:r w:rsidRPr="00842D3D">
        <w:rPr>
          <w:rFonts w:eastAsia="Times New Roman" w:cs="Times New Roman"/>
          <w:spacing w:val="40"/>
          <w:szCs w:val="24"/>
        </w:rPr>
        <w:t xml:space="preserve"> </w:t>
      </w:r>
      <w:r w:rsidRPr="00842D3D">
        <w:rPr>
          <w:rFonts w:eastAsia="Times New Roman" w:cs="Times New Roman"/>
          <w:szCs w:val="24"/>
        </w:rPr>
        <w:t>involving</w:t>
      </w:r>
      <w:r w:rsidRPr="00842D3D">
        <w:rPr>
          <w:rFonts w:eastAsia="Times New Roman" w:cs="Times New Roman"/>
          <w:spacing w:val="40"/>
          <w:szCs w:val="24"/>
        </w:rPr>
        <w:t xml:space="preserve"> </w:t>
      </w:r>
      <w:r w:rsidRPr="00842D3D">
        <w:rPr>
          <w:rFonts w:eastAsia="Times New Roman" w:cs="Times New Roman"/>
          <w:szCs w:val="24"/>
        </w:rPr>
        <w:t>allocation</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lastRenderedPageBreak/>
        <w:t>defendant’s profits</w:t>
      </w:r>
      <w:r w:rsidRPr="00842D3D">
        <w:rPr>
          <w:rFonts w:eastAsia="Times New Roman" w:cs="Times New Roman"/>
          <w:spacing w:val="38"/>
          <w:szCs w:val="24"/>
        </w:rPr>
        <w:t xml:space="preserve"> </w:t>
      </w:r>
      <w:r w:rsidRPr="00842D3D">
        <w:rPr>
          <w:rFonts w:eastAsia="Times New Roman" w:cs="Times New Roman"/>
          <w:szCs w:val="24"/>
        </w:rPr>
        <w:t>under</w:t>
      </w:r>
      <w:r w:rsidRPr="00842D3D">
        <w:rPr>
          <w:rFonts w:eastAsia="Times New Roman" w:cs="Times New Roman"/>
          <w:spacing w:val="38"/>
          <w:szCs w:val="24"/>
        </w:rPr>
        <w:t xml:space="preserve"> </w:t>
      </w:r>
      <w:r w:rsidRPr="00842D3D">
        <w:rPr>
          <w:rFonts w:eastAsia="Times New Roman" w:cs="Times New Roman"/>
          <w:szCs w:val="24"/>
        </w:rPr>
        <w:t>17</w:t>
      </w:r>
      <w:r w:rsidRPr="00842D3D">
        <w:rPr>
          <w:rFonts w:eastAsia="Times New Roman" w:cs="Times New Roman"/>
          <w:spacing w:val="38"/>
          <w:szCs w:val="24"/>
        </w:rPr>
        <w:t xml:space="preserve"> </w:t>
      </w:r>
      <w:r w:rsidRPr="00842D3D">
        <w:rPr>
          <w:rFonts w:eastAsia="Times New Roman" w:cs="Times New Roman"/>
          <w:szCs w:val="24"/>
        </w:rPr>
        <w:t>U.S.C.§</w:t>
      </w:r>
      <w:r w:rsidRPr="00842D3D">
        <w:rPr>
          <w:rFonts w:eastAsia="Times New Roman" w:cs="Times New Roman"/>
          <w:spacing w:val="38"/>
          <w:szCs w:val="24"/>
        </w:rPr>
        <w:t xml:space="preserve"> </w:t>
      </w:r>
      <w:r w:rsidRPr="00842D3D">
        <w:rPr>
          <w:rFonts w:eastAsia="Times New Roman" w:cs="Times New Roman"/>
          <w:szCs w:val="24"/>
        </w:rPr>
        <w:t>504(b),</w:t>
      </w:r>
      <w:r w:rsidRPr="00842D3D">
        <w:rPr>
          <w:rFonts w:eastAsia="Times New Roman" w:cs="Times New Roman"/>
          <w:spacing w:val="38"/>
          <w:szCs w:val="24"/>
        </w:rPr>
        <w:t xml:space="preserve"> </w:t>
      </w:r>
      <w:r w:rsidRPr="00842D3D">
        <w:rPr>
          <w:rFonts w:eastAsia="Times New Roman" w:cs="Times New Roman"/>
          <w:szCs w:val="24"/>
        </w:rPr>
        <w:t>that</w:t>
      </w:r>
      <w:r w:rsidRPr="00842D3D">
        <w:rPr>
          <w:rFonts w:eastAsia="Times New Roman" w:cs="Times New Roman"/>
          <w:spacing w:val="38"/>
          <w:szCs w:val="24"/>
        </w:rPr>
        <w:t xml:space="preserve"> </w:t>
      </w:r>
      <w:r w:rsidRPr="00842D3D">
        <w:rPr>
          <w:rFonts w:eastAsia="Times New Roman" w:cs="Times New Roman"/>
          <w:szCs w:val="24"/>
        </w:rPr>
        <w:t>“non-willful</w:t>
      </w:r>
      <w:r w:rsidRPr="00842D3D">
        <w:rPr>
          <w:rFonts w:eastAsia="Times New Roman" w:cs="Times New Roman"/>
          <w:spacing w:val="38"/>
          <w:szCs w:val="24"/>
        </w:rPr>
        <w:t xml:space="preserve"> </w:t>
      </w:r>
      <w:r w:rsidRPr="00842D3D">
        <w:rPr>
          <w:rFonts w:eastAsia="Times New Roman" w:cs="Times New Roman"/>
          <w:szCs w:val="24"/>
        </w:rPr>
        <w:t>infringers”</w:t>
      </w:r>
      <w:r w:rsidRPr="00842D3D">
        <w:rPr>
          <w:rFonts w:eastAsia="Times New Roman" w:cs="Times New Roman"/>
          <w:spacing w:val="40"/>
          <w:szCs w:val="24"/>
        </w:rPr>
        <w:t xml:space="preserve"> </w:t>
      </w:r>
      <w:r w:rsidRPr="00842D3D">
        <w:rPr>
          <w:rFonts w:eastAsia="Times New Roman" w:cs="Times New Roman"/>
          <w:szCs w:val="24"/>
        </w:rPr>
        <w:t>were</w:t>
      </w:r>
      <w:r w:rsidRPr="00842D3D">
        <w:rPr>
          <w:rFonts w:eastAsia="Times New Roman" w:cs="Times New Roman"/>
          <w:spacing w:val="40"/>
          <w:szCs w:val="24"/>
        </w:rPr>
        <w:t xml:space="preserve"> </w:t>
      </w:r>
      <w:r w:rsidRPr="00842D3D">
        <w:rPr>
          <w:rFonts w:eastAsia="Times New Roman" w:cs="Times New Roman"/>
          <w:szCs w:val="24"/>
        </w:rPr>
        <w:t>entitled</w:t>
      </w:r>
      <w:r w:rsidRPr="00842D3D">
        <w:rPr>
          <w:rFonts w:eastAsia="Times New Roman" w:cs="Times New Roman"/>
          <w:spacing w:val="40"/>
          <w:szCs w:val="24"/>
        </w:rPr>
        <w:t xml:space="preserve"> </w:t>
      </w:r>
      <w:r w:rsidRPr="00842D3D">
        <w:rPr>
          <w:rFonts w:eastAsia="Times New Roman" w:cs="Times New Roman"/>
          <w:szCs w:val="24"/>
        </w:rPr>
        <w:t>to deduct</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damage</w:t>
      </w:r>
      <w:r w:rsidRPr="00842D3D">
        <w:rPr>
          <w:rFonts w:eastAsia="Times New Roman" w:cs="Times New Roman"/>
          <w:spacing w:val="40"/>
          <w:szCs w:val="24"/>
        </w:rPr>
        <w:t xml:space="preserve"> </w:t>
      </w:r>
      <w:r w:rsidRPr="00842D3D">
        <w:rPr>
          <w:rFonts w:eastAsia="Times New Roman" w:cs="Times New Roman"/>
          <w:szCs w:val="24"/>
        </w:rPr>
        <w:t>assessment</w:t>
      </w:r>
      <w:r w:rsidRPr="00842D3D">
        <w:rPr>
          <w:rFonts w:eastAsia="Times New Roman" w:cs="Times New Roman"/>
          <w:spacing w:val="40"/>
          <w:szCs w:val="24"/>
        </w:rPr>
        <w:t xml:space="preserve"> </w:t>
      </w:r>
      <w:r w:rsidRPr="00842D3D">
        <w:rPr>
          <w:rFonts w:eastAsia="Times New Roman" w:cs="Times New Roman"/>
          <w:szCs w:val="24"/>
        </w:rPr>
        <w:t>income</w:t>
      </w:r>
      <w:r w:rsidRPr="00842D3D">
        <w:rPr>
          <w:rFonts w:eastAsia="Times New Roman" w:cs="Times New Roman"/>
          <w:spacing w:val="40"/>
          <w:szCs w:val="24"/>
        </w:rPr>
        <w:t xml:space="preserve"> </w:t>
      </w:r>
      <w:r w:rsidRPr="00842D3D">
        <w:rPr>
          <w:rFonts w:eastAsia="Times New Roman" w:cs="Times New Roman"/>
          <w:szCs w:val="24"/>
        </w:rPr>
        <w:t>taxes</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management</w:t>
      </w:r>
      <w:r w:rsidRPr="00842D3D">
        <w:rPr>
          <w:rFonts w:eastAsia="Times New Roman" w:cs="Times New Roman"/>
          <w:spacing w:val="40"/>
          <w:szCs w:val="24"/>
        </w:rPr>
        <w:t xml:space="preserve"> </w:t>
      </w:r>
      <w:r w:rsidRPr="00842D3D">
        <w:rPr>
          <w:rFonts w:eastAsia="Times New Roman" w:cs="Times New Roman"/>
          <w:szCs w:val="24"/>
        </w:rPr>
        <w:t>fees</w:t>
      </w:r>
      <w:r w:rsidRPr="00842D3D">
        <w:rPr>
          <w:rFonts w:eastAsia="Times New Roman" w:cs="Times New Roman"/>
          <w:spacing w:val="40"/>
          <w:szCs w:val="24"/>
        </w:rPr>
        <w:t xml:space="preserve"> </w:t>
      </w:r>
      <w:r w:rsidRPr="00842D3D">
        <w:rPr>
          <w:rFonts w:eastAsia="Times New Roman" w:cs="Times New Roman"/>
          <w:szCs w:val="24"/>
        </w:rPr>
        <w:t xml:space="preserve">actually paid); </w:t>
      </w:r>
      <w:r w:rsidRPr="00842D3D">
        <w:rPr>
          <w:rFonts w:eastAsia="Times New Roman" w:cs="Times New Roman"/>
          <w:i/>
          <w:szCs w:val="24"/>
        </w:rPr>
        <w:t>Oracle Am., Inc. v. Google Inc.</w:t>
      </w:r>
      <w:r w:rsidRPr="00842D3D">
        <w:rPr>
          <w:rFonts w:eastAsia="Times New Roman" w:cs="Times New Roman"/>
          <w:szCs w:val="24"/>
        </w:rPr>
        <w:t>, 131 F. Supp. 3d 946, 949-53 (N.D. Cal. 2015) (providing an overview of Ninth Circuit precedent on whether a willful infringer may deduct expenses under 17 U.S.C.§ 504(b)).</w:t>
      </w:r>
    </w:p>
    <w:p w14:paraId="1D79F115" w14:textId="77777777" w:rsidR="00842D3D" w:rsidRPr="00842D3D" w:rsidRDefault="00842D3D" w:rsidP="00842D3D">
      <w:pPr>
        <w:widowControl w:val="0"/>
        <w:autoSpaceDE w:val="0"/>
        <w:autoSpaceDN w:val="0"/>
        <w:ind w:firstLine="720"/>
        <w:rPr>
          <w:rFonts w:eastAsia="Times New Roman" w:cs="Times New Roman"/>
          <w:szCs w:val="24"/>
        </w:rPr>
      </w:pPr>
    </w:p>
    <w:p w14:paraId="6A226E7F" w14:textId="77777777" w:rsidR="00842D3D" w:rsidRPr="00842D3D" w:rsidRDefault="00842D3D" w:rsidP="00842D3D">
      <w:pPr>
        <w:widowControl w:val="0"/>
        <w:autoSpaceDE w:val="0"/>
        <w:autoSpaceDN w:val="0"/>
        <w:ind w:firstLine="720"/>
        <w:jc w:val="right"/>
        <w:rPr>
          <w:rFonts w:eastAsia="Times New Roman" w:cs="Times New Roman"/>
          <w:i/>
          <w:iCs/>
          <w:szCs w:val="24"/>
        </w:rPr>
      </w:pPr>
      <w:r w:rsidRPr="00842D3D">
        <w:rPr>
          <w:rFonts w:eastAsia="Times New Roman" w:cs="Times New Roman"/>
          <w:i/>
          <w:iCs/>
          <w:szCs w:val="24"/>
        </w:rPr>
        <w:t>Revised Dec. 2023</w:t>
      </w:r>
    </w:p>
    <w:p w14:paraId="45F5DCFF" w14:textId="77777777" w:rsidR="00842D3D" w:rsidRPr="00842D3D" w:rsidRDefault="00842D3D" w:rsidP="00842D3D">
      <w:pPr>
        <w:rPr>
          <w:rFonts w:eastAsia="Calibri" w:cs="Times New Roman"/>
          <w:i/>
          <w:iCs/>
          <w:szCs w:val="24"/>
        </w:rPr>
      </w:pPr>
    </w:p>
    <w:p w14:paraId="40C8397E" w14:textId="0852D678" w:rsidR="006A4CD7" w:rsidRDefault="006A4CD7" w:rsidP="00842D3D">
      <w:pPr>
        <w:rPr>
          <w:rFonts w:cs="Times New Roman"/>
          <w:szCs w:val="24"/>
        </w:rPr>
      </w:pPr>
    </w:p>
    <w:p w14:paraId="7E56D905" w14:textId="77777777" w:rsidR="00C250E6" w:rsidRDefault="00C250E6" w:rsidP="00842D3D">
      <w:pPr>
        <w:rPr>
          <w:rFonts w:cs="Times New Roman"/>
          <w:szCs w:val="24"/>
        </w:rPr>
      </w:pPr>
    </w:p>
    <w:p w14:paraId="2D721CCE" w14:textId="77777777" w:rsidR="00C250E6" w:rsidRDefault="00C250E6" w:rsidP="00842D3D">
      <w:pPr>
        <w:rPr>
          <w:rFonts w:cs="Times New Roman"/>
          <w:szCs w:val="24"/>
        </w:rPr>
      </w:pPr>
    </w:p>
    <w:p w14:paraId="48B0B19D" w14:textId="77777777" w:rsidR="00C250E6" w:rsidRDefault="00C250E6" w:rsidP="00842D3D">
      <w:pPr>
        <w:rPr>
          <w:rFonts w:cs="Times New Roman"/>
          <w:szCs w:val="24"/>
        </w:rPr>
      </w:pPr>
    </w:p>
    <w:p w14:paraId="73690C65" w14:textId="77777777" w:rsidR="00C250E6" w:rsidRDefault="00C250E6" w:rsidP="00842D3D">
      <w:pPr>
        <w:rPr>
          <w:rFonts w:cs="Times New Roman"/>
          <w:szCs w:val="24"/>
        </w:rPr>
      </w:pPr>
    </w:p>
    <w:p w14:paraId="40BB89A9" w14:textId="77777777" w:rsidR="00C250E6" w:rsidRDefault="00C250E6" w:rsidP="00842D3D">
      <w:pPr>
        <w:rPr>
          <w:rFonts w:cs="Times New Roman"/>
          <w:szCs w:val="24"/>
        </w:rPr>
      </w:pPr>
    </w:p>
    <w:p w14:paraId="2061E0D8" w14:textId="77777777" w:rsidR="00C250E6" w:rsidRDefault="00C250E6" w:rsidP="00842D3D">
      <w:pPr>
        <w:rPr>
          <w:rFonts w:cs="Times New Roman"/>
          <w:szCs w:val="24"/>
        </w:rPr>
      </w:pPr>
    </w:p>
    <w:p w14:paraId="7AF5DB15" w14:textId="77777777" w:rsidR="00C250E6" w:rsidRDefault="00C250E6" w:rsidP="00842D3D">
      <w:pPr>
        <w:rPr>
          <w:rFonts w:cs="Times New Roman"/>
          <w:szCs w:val="24"/>
        </w:rPr>
      </w:pPr>
    </w:p>
    <w:p w14:paraId="46DBB129" w14:textId="77777777" w:rsidR="00C250E6" w:rsidRDefault="00C250E6" w:rsidP="00842D3D">
      <w:pPr>
        <w:rPr>
          <w:rFonts w:cs="Times New Roman"/>
          <w:szCs w:val="24"/>
        </w:rPr>
      </w:pPr>
    </w:p>
    <w:p w14:paraId="28BFBC82" w14:textId="77777777" w:rsidR="00C250E6" w:rsidRDefault="00C250E6" w:rsidP="00842D3D">
      <w:pPr>
        <w:rPr>
          <w:rFonts w:cs="Times New Roman"/>
          <w:szCs w:val="24"/>
        </w:rPr>
      </w:pPr>
    </w:p>
    <w:p w14:paraId="12EB190A" w14:textId="77777777" w:rsidR="00C250E6" w:rsidRDefault="00C250E6" w:rsidP="00842D3D">
      <w:pPr>
        <w:rPr>
          <w:rFonts w:cs="Times New Roman"/>
          <w:szCs w:val="24"/>
        </w:rPr>
      </w:pPr>
    </w:p>
    <w:p w14:paraId="20A00BC6" w14:textId="77777777" w:rsidR="00C250E6" w:rsidRDefault="00C250E6" w:rsidP="00842D3D">
      <w:pPr>
        <w:rPr>
          <w:rFonts w:cs="Times New Roman"/>
          <w:szCs w:val="24"/>
        </w:rPr>
      </w:pPr>
    </w:p>
    <w:p w14:paraId="4062366F" w14:textId="77777777" w:rsidR="00C250E6" w:rsidRDefault="00C250E6" w:rsidP="00842D3D">
      <w:pPr>
        <w:rPr>
          <w:rFonts w:cs="Times New Roman"/>
          <w:szCs w:val="24"/>
        </w:rPr>
      </w:pPr>
    </w:p>
    <w:p w14:paraId="2D6817BA" w14:textId="77777777" w:rsidR="00C250E6" w:rsidRDefault="00C250E6" w:rsidP="00842D3D">
      <w:pPr>
        <w:rPr>
          <w:rFonts w:cs="Times New Roman"/>
          <w:szCs w:val="24"/>
        </w:rPr>
      </w:pPr>
    </w:p>
    <w:p w14:paraId="290240A2" w14:textId="77777777" w:rsidR="00C250E6" w:rsidRDefault="00C250E6" w:rsidP="00842D3D">
      <w:pPr>
        <w:rPr>
          <w:rFonts w:cs="Times New Roman"/>
          <w:szCs w:val="24"/>
        </w:rPr>
      </w:pPr>
    </w:p>
    <w:p w14:paraId="15B04041" w14:textId="77777777" w:rsidR="00C250E6" w:rsidRDefault="00C250E6" w:rsidP="00842D3D">
      <w:pPr>
        <w:rPr>
          <w:rFonts w:cs="Times New Roman"/>
          <w:szCs w:val="24"/>
        </w:rPr>
      </w:pPr>
    </w:p>
    <w:p w14:paraId="2CD65A15" w14:textId="77777777" w:rsidR="00C250E6" w:rsidRDefault="00C250E6" w:rsidP="00842D3D">
      <w:pPr>
        <w:rPr>
          <w:rFonts w:cs="Times New Roman"/>
          <w:szCs w:val="24"/>
        </w:rPr>
      </w:pPr>
    </w:p>
    <w:p w14:paraId="67B2BADB" w14:textId="77777777" w:rsidR="00C250E6" w:rsidRDefault="00C250E6" w:rsidP="00842D3D">
      <w:pPr>
        <w:rPr>
          <w:rFonts w:cs="Times New Roman"/>
          <w:szCs w:val="24"/>
        </w:rPr>
      </w:pPr>
    </w:p>
    <w:p w14:paraId="67117FD8" w14:textId="77777777" w:rsidR="00C250E6" w:rsidRDefault="00C250E6" w:rsidP="00842D3D">
      <w:pPr>
        <w:rPr>
          <w:rFonts w:cs="Times New Roman"/>
          <w:szCs w:val="24"/>
        </w:rPr>
      </w:pPr>
    </w:p>
    <w:p w14:paraId="4DBC84AD" w14:textId="77777777" w:rsidR="00C250E6" w:rsidRDefault="00C250E6" w:rsidP="00842D3D">
      <w:pPr>
        <w:rPr>
          <w:rFonts w:cs="Times New Roman"/>
          <w:szCs w:val="24"/>
        </w:rPr>
      </w:pPr>
    </w:p>
    <w:p w14:paraId="6B668BA0" w14:textId="77777777" w:rsidR="00C250E6" w:rsidRDefault="00C250E6" w:rsidP="00842D3D">
      <w:pPr>
        <w:rPr>
          <w:rFonts w:cs="Times New Roman"/>
          <w:szCs w:val="24"/>
        </w:rPr>
      </w:pPr>
    </w:p>
    <w:p w14:paraId="2FC0F48B" w14:textId="77777777" w:rsidR="00C250E6" w:rsidRDefault="00C250E6" w:rsidP="00842D3D">
      <w:pPr>
        <w:rPr>
          <w:rFonts w:cs="Times New Roman"/>
          <w:szCs w:val="24"/>
        </w:rPr>
      </w:pPr>
    </w:p>
    <w:p w14:paraId="71F63FA1" w14:textId="77777777" w:rsidR="00C250E6" w:rsidRDefault="00C250E6" w:rsidP="00842D3D">
      <w:pPr>
        <w:rPr>
          <w:rFonts w:cs="Times New Roman"/>
          <w:szCs w:val="24"/>
        </w:rPr>
      </w:pPr>
    </w:p>
    <w:p w14:paraId="4332C3FB" w14:textId="77777777" w:rsidR="00C250E6" w:rsidRDefault="00C250E6" w:rsidP="00842D3D">
      <w:pPr>
        <w:rPr>
          <w:rFonts w:cs="Times New Roman"/>
          <w:szCs w:val="24"/>
        </w:rPr>
      </w:pPr>
    </w:p>
    <w:p w14:paraId="330D374B" w14:textId="77777777" w:rsidR="00C250E6" w:rsidRDefault="00C250E6" w:rsidP="00842D3D">
      <w:pPr>
        <w:rPr>
          <w:rFonts w:cs="Times New Roman"/>
          <w:szCs w:val="24"/>
        </w:rPr>
      </w:pPr>
    </w:p>
    <w:p w14:paraId="653B92EA" w14:textId="77777777" w:rsidR="00C250E6" w:rsidRDefault="00C250E6" w:rsidP="00842D3D">
      <w:pPr>
        <w:rPr>
          <w:rFonts w:cs="Times New Roman"/>
          <w:szCs w:val="24"/>
        </w:rPr>
      </w:pPr>
    </w:p>
    <w:p w14:paraId="7ECC8463" w14:textId="77777777" w:rsidR="00C250E6" w:rsidRDefault="00C250E6" w:rsidP="00842D3D">
      <w:pPr>
        <w:rPr>
          <w:rFonts w:cs="Times New Roman"/>
          <w:szCs w:val="24"/>
        </w:rPr>
      </w:pPr>
    </w:p>
    <w:p w14:paraId="1BCB1E84" w14:textId="77777777" w:rsidR="00C250E6" w:rsidRDefault="00C250E6" w:rsidP="00842D3D">
      <w:pPr>
        <w:rPr>
          <w:rFonts w:cs="Times New Roman"/>
          <w:szCs w:val="24"/>
        </w:rPr>
      </w:pPr>
    </w:p>
    <w:p w14:paraId="716DAEE6" w14:textId="77777777" w:rsidR="00C250E6" w:rsidRDefault="00C250E6" w:rsidP="00842D3D">
      <w:pPr>
        <w:rPr>
          <w:rFonts w:cs="Times New Roman"/>
          <w:szCs w:val="24"/>
        </w:rPr>
      </w:pPr>
    </w:p>
    <w:p w14:paraId="5EF6BC0E" w14:textId="77777777" w:rsidR="00C250E6" w:rsidRDefault="00C250E6" w:rsidP="00842D3D">
      <w:pPr>
        <w:rPr>
          <w:rFonts w:cs="Times New Roman"/>
          <w:szCs w:val="24"/>
        </w:rPr>
      </w:pPr>
    </w:p>
    <w:p w14:paraId="27DE4FEE" w14:textId="77777777" w:rsidR="00C250E6" w:rsidRDefault="00C250E6" w:rsidP="00842D3D">
      <w:pPr>
        <w:rPr>
          <w:rFonts w:cs="Times New Roman"/>
          <w:szCs w:val="24"/>
        </w:rPr>
      </w:pPr>
    </w:p>
    <w:p w14:paraId="0BB9D2F8" w14:textId="77777777" w:rsidR="00C250E6" w:rsidRDefault="00C250E6" w:rsidP="00842D3D">
      <w:pPr>
        <w:rPr>
          <w:rFonts w:cs="Times New Roman"/>
          <w:szCs w:val="24"/>
        </w:rPr>
      </w:pPr>
    </w:p>
    <w:p w14:paraId="78F1DBB2" w14:textId="77777777" w:rsidR="00C250E6" w:rsidRDefault="00C250E6" w:rsidP="00842D3D">
      <w:pPr>
        <w:rPr>
          <w:rFonts w:cs="Times New Roman"/>
          <w:szCs w:val="24"/>
        </w:rPr>
      </w:pPr>
    </w:p>
    <w:p w14:paraId="443256BA" w14:textId="77777777" w:rsidR="00C250E6" w:rsidRDefault="00C250E6" w:rsidP="00842D3D">
      <w:pPr>
        <w:rPr>
          <w:rFonts w:cs="Times New Roman"/>
          <w:szCs w:val="24"/>
        </w:rPr>
      </w:pPr>
    </w:p>
    <w:p w14:paraId="60E32586" w14:textId="77777777" w:rsidR="00C250E6" w:rsidRDefault="00C250E6" w:rsidP="00842D3D">
      <w:pPr>
        <w:rPr>
          <w:rFonts w:cs="Times New Roman"/>
          <w:szCs w:val="24"/>
        </w:rPr>
      </w:pPr>
    </w:p>
    <w:p w14:paraId="4ADDA13B" w14:textId="77777777" w:rsidR="00867EC4" w:rsidRDefault="00867EC4" w:rsidP="00842D3D">
      <w:pPr>
        <w:rPr>
          <w:rFonts w:cs="Times New Roman"/>
          <w:szCs w:val="24"/>
        </w:rPr>
      </w:pPr>
    </w:p>
    <w:p w14:paraId="331EAE15" w14:textId="77777777" w:rsidR="00867EC4" w:rsidRDefault="00867EC4" w:rsidP="00842D3D">
      <w:pPr>
        <w:rPr>
          <w:rFonts w:cs="Times New Roman"/>
          <w:szCs w:val="24"/>
        </w:rPr>
      </w:pPr>
    </w:p>
    <w:p w14:paraId="6A91970F" w14:textId="77777777" w:rsidR="00867EC4" w:rsidRDefault="00867EC4" w:rsidP="00842D3D">
      <w:pPr>
        <w:rPr>
          <w:rFonts w:cs="Times New Roman"/>
          <w:szCs w:val="24"/>
        </w:rPr>
      </w:pPr>
    </w:p>
    <w:p w14:paraId="6FA30893" w14:textId="77777777" w:rsidR="00867EC4" w:rsidRPr="002B283E" w:rsidRDefault="00867EC4" w:rsidP="00867EC4">
      <w:pPr>
        <w:pStyle w:val="Heading1"/>
        <w:spacing w:before="0" w:line="240" w:lineRule="auto"/>
      </w:pPr>
      <w:bookmarkStart w:id="443" w:name="_Toc196481970"/>
      <w:bookmarkStart w:id="444" w:name="_Toc221525341"/>
      <w:r w:rsidRPr="002B283E">
        <w:lastRenderedPageBreak/>
        <w:t>18.  SECURITIES EXCHANGE ACT</w:t>
      </w:r>
      <w:bookmarkEnd w:id="443"/>
      <w:bookmarkEnd w:id="444"/>
    </w:p>
    <w:p w14:paraId="5C8CCF76" w14:textId="77777777" w:rsidR="00867EC4" w:rsidRPr="002B283E" w:rsidRDefault="00867EC4" w:rsidP="00867EC4">
      <w:pPr>
        <w:numPr>
          <w:ilvl w:val="12"/>
          <w:numId w:val="0"/>
        </w:numPr>
        <w:autoSpaceDE w:val="0"/>
        <w:autoSpaceDN w:val="0"/>
        <w:adjustRightInd w:val="0"/>
        <w:rPr>
          <w:rFonts w:cs="Times New Roman"/>
          <w:szCs w:val="24"/>
        </w:rPr>
      </w:pPr>
    </w:p>
    <w:p w14:paraId="20FFC201"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b/>
          <w:bCs/>
          <w:szCs w:val="24"/>
        </w:rPr>
        <w:t>Instruction</w:t>
      </w:r>
    </w:p>
    <w:p w14:paraId="0EC25591" w14:textId="77777777" w:rsidR="00867EC4" w:rsidRPr="002B283E" w:rsidRDefault="00867EC4" w:rsidP="00867EC4">
      <w:pPr>
        <w:numPr>
          <w:ilvl w:val="12"/>
          <w:numId w:val="0"/>
        </w:numPr>
        <w:autoSpaceDE w:val="0"/>
        <w:autoSpaceDN w:val="0"/>
        <w:adjustRightInd w:val="0"/>
        <w:rPr>
          <w:rFonts w:cs="Times New Roman"/>
          <w:szCs w:val="24"/>
        </w:rPr>
      </w:pPr>
    </w:p>
    <w:p w14:paraId="50594DC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Introductory Comment</w:t>
      </w:r>
    </w:p>
    <w:p w14:paraId="0D0A9F2C" w14:textId="77777777" w:rsidR="00867EC4" w:rsidRPr="002B283E" w:rsidRDefault="00867EC4" w:rsidP="00867EC4">
      <w:pPr>
        <w:numPr>
          <w:ilvl w:val="12"/>
          <w:numId w:val="0"/>
        </w:numPr>
        <w:tabs>
          <w:tab w:val="left" w:pos="900"/>
        </w:tabs>
        <w:autoSpaceDE w:val="0"/>
        <w:autoSpaceDN w:val="0"/>
        <w:adjustRightInd w:val="0"/>
        <w:rPr>
          <w:rFonts w:cs="Times New Roman"/>
          <w:szCs w:val="24"/>
        </w:rPr>
      </w:pPr>
      <w:r w:rsidRPr="002B283E">
        <w:rPr>
          <w:rFonts w:cs="Times New Roman"/>
          <w:szCs w:val="24"/>
        </w:rPr>
        <w:t>18.1</w:t>
      </w:r>
      <w:r w:rsidRPr="002B283E">
        <w:rPr>
          <w:rFonts w:cs="Times New Roman"/>
          <w:szCs w:val="24"/>
        </w:rPr>
        <w:tab/>
        <w:t>Securities—Purpose and Selected Definitions</w:t>
      </w:r>
    </w:p>
    <w:p w14:paraId="6B890B7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18.2</w:t>
      </w:r>
      <w:r w:rsidRPr="002B283E">
        <w:rPr>
          <w:rFonts w:cs="Times New Roman"/>
          <w:szCs w:val="24"/>
        </w:rPr>
        <w:tab/>
      </w:r>
      <w:r w:rsidRPr="002B283E">
        <w:rPr>
          <w:rFonts w:cs="Times New Roman"/>
          <w:szCs w:val="24"/>
        </w:rPr>
        <w:tab/>
        <w:t>Securities—Rule 10b-5 Claim</w:t>
      </w:r>
    </w:p>
    <w:p w14:paraId="03899BB7"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18.3</w:t>
      </w:r>
      <w:r w:rsidRPr="002B283E">
        <w:rPr>
          <w:rFonts w:cs="Times New Roman"/>
          <w:szCs w:val="24"/>
        </w:rPr>
        <w:tab/>
      </w:r>
      <w:r w:rsidRPr="002B283E">
        <w:rPr>
          <w:rFonts w:cs="Times New Roman"/>
          <w:szCs w:val="24"/>
        </w:rPr>
        <w:tab/>
        <w:t>Securities—Misrepresentations or Omissions—Materiality</w:t>
      </w:r>
    </w:p>
    <w:p w14:paraId="51277A0B"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18.4</w:t>
      </w:r>
      <w:r w:rsidRPr="002B283E">
        <w:rPr>
          <w:rFonts w:cs="Times New Roman"/>
          <w:szCs w:val="24"/>
        </w:rPr>
        <w:tab/>
      </w:r>
      <w:r w:rsidRPr="002B283E">
        <w:rPr>
          <w:rFonts w:cs="Times New Roman"/>
          <w:szCs w:val="24"/>
        </w:rPr>
        <w:tab/>
        <w:t>Securities—Forward-Looking Statements</w:t>
      </w:r>
    </w:p>
    <w:p w14:paraId="7281EB88"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18.5</w:t>
      </w:r>
      <w:r w:rsidRPr="002B283E">
        <w:rPr>
          <w:rFonts w:cs="Times New Roman"/>
          <w:szCs w:val="24"/>
        </w:rPr>
        <w:tab/>
      </w:r>
      <w:r w:rsidRPr="002B283E">
        <w:rPr>
          <w:rFonts w:cs="Times New Roman"/>
          <w:szCs w:val="24"/>
        </w:rPr>
        <w:tab/>
        <w:t>Securities—Knowingly and Recklessly</w:t>
      </w:r>
    </w:p>
    <w:p w14:paraId="7D35C40D"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18.6</w:t>
      </w:r>
      <w:r w:rsidRPr="002B283E">
        <w:rPr>
          <w:rFonts w:cs="Times New Roman"/>
          <w:szCs w:val="24"/>
        </w:rPr>
        <w:tab/>
      </w:r>
      <w:r w:rsidRPr="002B283E">
        <w:rPr>
          <w:rFonts w:cs="Times New Roman"/>
          <w:szCs w:val="24"/>
        </w:rPr>
        <w:tab/>
        <w:t>Securities—Justifiable Reliance Generally</w:t>
      </w:r>
    </w:p>
    <w:p w14:paraId="12AF2C79"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18.7</w:t>
      </w:r>
      <w:r w:rsidRPr="002B283E">
        <w:rPr>
          <w:rFonts w:cs="Times New Roman"/>
          <w:szCs w:val="24"/>
        </w:rPr>
        <w:tab/>
      </w:r>
      <w:r w:rsidRPr="002B283E">
        <w:rPr>
          <w:rFonts w:cs="Times New Roman"/>
          <w:szCs w:val="24"/>
        </w:rPr>
        <w:tab/>
        <w:t>Securities—Justifiable Reliance—Fraud-on-the-Market Case</w:t>
      </w:r>
    </w:p>
    <w:p w14:paraId="6549DA4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 xml:space="preserve">18.8 </w:t>
      </w:r>
      <w:r w:rsidRPr="002B283E">
        <w:rPr>
          <w:rFonts w:cs="Times New Roman"/>
          <w:szCs w:val="24"/>
        </w:rPr>
        <w:tab/>
      </w:r>
      <w:r w:rsidRPr="002B283E">
        <w:rPr>
          <w:rFonts w:cs="Times New Roman"/>
          <w:szCs w:val="24"/>
        </w:rPr>
        <w:tab/>
        <w:t>Securities—Causation</w:t>
      </w:r>
    </w:p>
    <w:p w14:paraId="5D4791BC"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18.9</w:t>
      </w:r>
      <w:r w:rsidRPr="002B283E">
        <w:rPr>
          <w:rFonts w:cs="Times New Roman"/>
          <w:szCs w:val="24"/>
        </w:rPr>
        <w:tab/>
      </w:r>
      <w:r w:rsidRPr="002B283E">
        <w:rPr>
          <w:rFonts w:cs="Times New Roman"/>
          <w:szCs w:val="24"/>
        </w:rPr>
        <w:tab/>
        <w:t>Securities—Damages</w:t>
      </w:r>
    </w:p>
    <w:p w14:paraId="1DAEBF20"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18.10</w:t>
      </w:r>
      <w:r w:rsidRPr="002B283E">
        <w:rPr>
          <w:rFonts w:cs="Times New Roman"/>
          <w:szCs w:val="24"/>
        </w:rPr>
        <w:tab/>
      </w:r>
      <w:r w:rsidRPr="002B283E">
        <w:rPr>
          <w:rFonts w:cs="Times New Roman"/>
          <w:szCs w:val="24"/>
        </w:rPr>
        <w:tab/>
        <w:t>Securities—Controlling Person Liability</w:t>
      </w:r>
    </w:p>
    <w:p w14:paraId="53E702B2"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18.11</w:t>
      </w:r>
      <w:r w:rsidRPr="002B283E">
        <w:rPr>
          <w:rFonts w:cs="Times New Roman"/>
          <w:szCs w:val="24"/>
        </w:rPr>
        <w:tab/>
      </w:r>
      <w:r w:rsidRPr="002B283E">
        <w:rPr>
          <w:rFonts w:cs="Times New Roman"/>
          <w:szCs w:val="24"/>
        </w:rPr>
        <w:tab/>
        <w:t>Securities—Good Faith Defense to Controlling Person Liability</w:t>
      </w:r>
    </w:p>
    <w:p w14:paraId="605F38DC" w14:textId="77777777" w:rsidR="00867EC4" w:rsidRPr="002B283E" w:rsidRDefault="00867EC4" w:rsidP="00867EC4">
      <w:pPr>
        <w:rPr>
          <w:rFonts w:cs="Times New Roman"/>
          <w:szCs w:val="24"/>
        </w:rPr>
      </w:pPr>
    </w:p>
    <w:p w14:paraId="401533BA"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szCs w:val="24"/>
        </w:rPr>
        <w:t>____________________</w:t>
      </w:r>
    </w:p>
    <w:p w14:paraId="086E3E5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859517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5960F6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8D8BF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E49951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27E960D5"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F349E2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0A4F32C"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311BC1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6AC2A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CB9A4B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8F178A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2AE1C3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C7C844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EC6B8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BE5963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1C0D8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E3BD7F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8D9F18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C14D3F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6147C7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AF834A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09C15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44A0C8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7D06C0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1CDAE4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AA389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EF0E7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EB35DC" w14:textId="77777777" w:rsidR="00867EC4" w:rsidRPr="002B283E" w:rsidRDefault="00867EC4" w:rsidP="00867EC4">
      <w:pPr>
        <w:pStyle w:val="Heading2"/>
      </w:pPr>
      <w:bookmarkStart w:id="445" w:name="_Toc196481971"/>
      <w:bookmarkStart w:id="446" w:name="_Toc221525342"/>
      <w:r w:rsidRPr="002B283E">
        <w:lastRenderedPageBreak/>
        <w:t>Introductory Comment</w:t>
      </w:r>
      <w:bookmarkEnd w:id="445"/>
      <w:bookmarkEnd w:id="446"/>
    </w:p>
    <w:p w14:paraId="3C7E1D07" w14:textId="77777777" w:rsidR="00867EC4" w:rsidRPr="002B283E" w:rsidRDefault="00867EC4" w:rsidP="00867EC4">
      <w:pPr>
        <w:numPr>
          <w:ilvl w:val="12"/>
          <w:numId w:val="0"/>
        </w:numPr>
        <w:autoSpaceDE w:val="0"/>
        <w:autoSpaceDN w:val="0"/>
        <w:adjustRightInd w:val="0"/>
        <w:rPr>
          <w:rFonts w:cs="Times New Roman"/>
          <w:szCs w:val="24"/>
        </w:rPr>
      </w:pPr>
    </w:p>
    <w:p w14:paraId="4D2C62CB"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Pr="002B283E">
        <w:rPr>
          <w:rFonts w:cs="Times New Roman"/>
          <w:i/>
          <w:iCs/>
          <w:szCs w:val="24"/>
        </w:rPr>
        <w:t>Dura Pharmaceuticals, Inc. v. Broudo</w:t>
      </w:r>
      <w:r w:rsidRPr="002B283E">
        <w:rPr>
          <w:rFonts w:cs="Times New Roman"/>
          <w:szCs w:val="24"/>
        </w:rPr>
        <w:t>, 544 U.S. 336, 341 (2005):</w:t>
      </w:r>
    </w:p>
    <w:p w14:paraId="3AD6EA00" w14:textId="77777777" w:rsidR="00867EC4" w:rsidRPr="002B283E" w:rsidRDefault="00867EC4" w:rsidP="00867EC4">
      <w:pPr>
        <w:numPr>
          <w:ilvl w:val="12"/>
          <w:numId w:val="0"/>
        </w:numPr>
        <w:autoSpaceDE w:val="0"/>
        <w:autoSpaceDN w:val="0"/>
        <w:adjustRightInd w:val="0"/>
        <w:rPr>
          <w:rFonts w:cs="Times New Roman"/>
          <w:szCs w:val="24"/>
        </w:rPr>
      </w:pPr>
    </w:p>
    <w:p w14:paraId="61DBDD30"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Section 10(b) of the Securities Exchange Act of 1934 forbids (1) the “use or employ[ment]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4AC15673" w14:textId="77777777" w:rsidR="00867EC4" w:rsidRPr="002B283E" w:rsidRDefault="00867EC4" w:rsidP="00867EC4">
      <w:pPr>
        <w:numPr>
          <w:ilvl w:val="12"/>
          <w:numId w:val="0"/>
        </w:numPr>
        <w:autoSpaceDE w:val="0"/>
        <w:autoSpaceDN w:val="0"/>
        <w:adjustRightInd w:val="0"/>
        <w:jc w:val="both"/>
        <w:rPr>
          <w:rFonts w:cs="Times New Roman"/>
          <w:szCs w:val="24"/>
        </w:rPr>
      </w:pPr>
    </w:p>
    <w:p w14:paraId="761E55B6"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The courts have implied from these statutes and Rule a private damages action, which resembles, but is not identical to, common-law tort actions for deceit and misrepresentation. And Congress has imposed statutory requirements on that private action.</w:t>
      </w:r>
    </w:p>
    <w:p w14:paraId="04CB2274" w14:textId="77777777" w:rsidR="00867EC4" w:rsidRPr="002B283E" w:rsidRDefault="00867EC4" w:rsidP="00867EC4">
      <w:pPr>
        <w:numPr>
          <w:ilvl w:val="12"/>
          <w:numId w:val="0"/>
        </w:numPr>
        <w:autoSpaceDE w:val="0"/>
        <w:autoSpaceDN w:val="0"/>
        <w:adjustRightInd w:val="0"/>
        <w:rPr>
          <w:rFonts w:cs="Times New Roman"/>
          <w:szCs w:val="24"/>
        </w:rPr>
      </w:pPr>
    </w:p>
    <w:p w14:paraId="7FF56F0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(Ellipses in original; citations omitted.)</w:t>
      </w:r>
    </w:p>
    <w:p w14:paraId="05B0D31C" w14:textId="77777777" w:rsidR="00867EC4" w:rsidRPr="002B283E" w:rsidRDefault="00867EC4" w:rsidP="00867EC4">
      <w:pPr>
        <w:numPr>
          <w:ilvl w:val="12"/>
          <w:numId w:val="0"/>
        </w:numPr>
        <w:autoSpaceDE w:val="0"/>
        <w:autoSpaceDN w:val="0"/>
        <w:adjustRightInd w:val="0"/>
        <w:rPr>
          <w:rFonts w:cs="Times New Roman"/>
          <w:szCs w:val="24"/>
        </w:rPr>
      </w:pPr>
    </w:p>
    <w:p w14:paraId="6B9F86F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Blue Chip Stamps v. Manor Drug Stores</w:t>
      </w:r>
      <w:r w:rsidRPr="002B283E">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2B283E">
        <w:rPr>
          <w:rFonts w:cs="Times New Roman"/>
          <w:i/>
          <w:iCs/>
          <w:szCs w:val="24"/>
        </w:rPr>
        <w:t>Merrill Lynch, Pierce, Fenner &amp; Smith Inc. v. Dabit</w:t>
      </w:r>
      <w:r w:rsidRPr="002B283E">
        <w:rPr>
          <w:rFonts w:cs="Times New Roman"/>
          <w:szCs w:val="24"/>
        </w:rPr>
        <w:t xml:space="preserve">, 547 U.S. 71, 80-81 (2006), the policy the Court sought to promote in </w:t>
      </w:r>
      <w:r w:rsidRPr="002B283E">
        <w:rPr>
          <w:rFonts w:cs="Times New Roman"/>
          <w:i/>
          <w:iCs/>
          <w:szCs w:val="24"/>
        </w:rPr>
        <w:t xml:space="preserve">Blue Chip Stamps </w:t>
      </w:r>
      <w:r w:rsidRPr="002B283E">
        <w:rPr>
          <w:rFonts w:cs="Times New Roman"/>
          <w:szCs w:val="24"/>
        </w:rPr>
        <w:t xml:space="preserve">was that “[c]abining the private cause of action by means of the purchaser-seller limitation” minimizes the ill effects of vexatious private litigation brought to compel a substantial settlement. This limitation does not apply to government enforcement actions brought pursuant to Rule 10b-5. </w:t>
      </w:r>
      <w:r w:rsidRPr="002B283E">
        <w:rPr>
          <w:rFonts w:cs="Times New Roman"/>
          <w:i/>
          <w:iCs/>
          <w:szCs w:val="24"/>
        </w:rPr>
        <w:t>Id.</w:t>
      </w:r>
      <w:r w:rsidRPr="002B283E">
        <w:rPr>
          <w:rFonts w:cs="Times New Roman"/>
          <w:szCs w:val="24"/>
        </w:rPr>
        <w:t xml:space="preserve"> at 81. The Supreme Court also limited the scope of liability under Section 10(b) of the 1934 Act to “primary violators,” holding in </w:t>
      </w:r>
      <w:r w:rsidRPr="002B283E">
        <w:rPr>
          <w:rFonts w:cs="Times New Roman"/>
          <w:i/>
          <w:iCs/>
          <w:szCs w:val="24"/>
        </w:rPr>
        <w:t>Central Bank of Denver, N.A. v. First Interstate Bank of Denver, N.A.</w:t>
      </w:r>
      <w:r w:rsidRPr="002B283E">
        <w:rPr>
          <w:rFonts w:cs="Times New Roman"/>
          <w:szCs w:val="24"/>
        </w:rPr>
        <w:t xml:space="preserve">, 511 U.S. 164, 176-78 (1994), that Section 10(b) does not allow recovery for aiding and abetting because the text of the Act “does not . . . reach those who aid and abet a § 10(b) violation. . . . The proscription does not include giving aid to a person who commits a manipulative or deceptive act.” </w:t>
      </w:r>
      <w:r w:rsidRPr="002B283E">
        <w:rPr>
          <w:rFonts w:cs="Times New Roman"/>
          <w:i/>
          <w:iCs/>
          <w:szCs w:val="24"/>
        </w:rPr>
        <w:t>Id</w:t>
      </w:r>
      <w:r w:rsidRPr="002B283E">
        <w:rPr>
          <w:rFonts w:cs="Times New Roman"/>
          <w:szCs w:val="24"/>
        </w:rPr>
        <w:t>. at 177-78.</w:t>
      </w:r>
    </w:p>
    <w:p w14:paraId="620917CE" w14:textId="77777777" w:rsidR="00867EC4" w:rsidRPr="002B283E" w:rsidRDefault="00867EC4" w:rsidP="00867EC4">
      <w:pPr>
        <w:numPr>
          <w:ilvl w:val="12"/>
          <w:numId w:val="0"/>
        </w:numPr>
        <w:autoSpaceDE w:val="0"/>
        <w:autoSpaceDN w:val="0"/>
        <w:adjustRightInd w:val="0"/>
        <w:rPr>
          <w:rFonts w:cs="Times New Roman"/>
          <w:szCs w:val="24"/>
        </w:rPr>
      </w:pPr>
    </w:p>
    <w:p w14:paraId="11E319A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omi[ssion] to state a material fact necessary in order to make the statements made, in the light of the circumstances under which they were made, not misleading.” These instructions, therefore, focus on Rule 10b-5 disclosure claims. Moreover, the Supreme Court has stated that “[p]ure omissions are not actionable under Rule 10b-5(b).” </w:t>
      </w:r>
      <w:r w:rsidRPr="002B283E">
        <w:rPr>
          <w:rFonts w:cs="Times New Roman"/>
          <w:i/>
          <w:iCs/>
          <w:szCs w:val="24"/>
        </w:rPr>
        <w:t>Macquarie Infrastructure Corp. v. Moab Partners</w:t>
      </w:r>
      <w:r w:rsidRPr="002B283E">
        <w:rPr>
          <w:rFonts w:cs="Times New Roman"/>
          <w:szCs w:val="24"/>
        </w:rPr>
        <w:t xml:space="preserve">, 601 </w:t>
      </w:r>
      <w:r w:rsidRPr="002B283E">
        <w:rPr>
          <w:rFonts w:cs="Times New Roman"/>
          <w:szCs w:val="24"/>
        </w:rPr>
        <w:lastRenderedPageBreak/>
        <w:t>U.S. 257, 260, 263 (2024) (indicating that “a pure omission occurs when a speaker says nothing” in circumstances where the failure to speak does not render affirmative statements misleading).</w:t>
      </w:r>
    </w:p>
    <w:p w14:paraId="505C9B2C" w14:textId="77777777" w:rsidR="00867EC4" w:rsidRPr="002B283E" w:rsidRDefault="00867EC4" w:rsidP="00867EC4">
      <w:pPr>
        <w:numPr>
          <w:ilvl w:val="12"/>
          <w:numId w:val="0"/>
        </w:numPr>
        <w:autoSpaceDE w:val="0"/>
        <w:autoSpaceDN w:val="0"/>
        <w:adjustRightInd w:val="0"/>
        <w:rPr>
          <w:rFonts w:cs="Times New Roman"/>
          <w:szCs w:val="24"/>
        </w:rPr>
      </w:pPr>
    </w:p>
    <w:p w14:paraId="0BB9CFF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Khoja v. Orexigen Therapeutics, Inc</w:t>
      </w:r>
      <w:r w:rsidRPr="002B283E">
        <w:rPr>
          <w:rFonts w:cs="Times New Roman"/>
          <w:szCs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14:paraId="726BD633" w14:textId="77777777" w:rsidR="00867EC4" w:rsidRPr="002B283E" w:rsidRDefault="00867EC4" w:rsidP="00867EC4">
      <w:pPr>
        <w:numPr>
          <w:ilvl w:val="12"/>
          <w:numId w:val="0"/>
        </w:numPr>
        <w:autoSpaceDE w:val="0"/>
        <w:autoSpaceDN w:val="0"/>
        <w:adjustRightInd w:val="0"/>
        <w:rPr>
          <w:rFonts w:cs="Times New Roman"/>
          <w:szCs w:val="24"/>
        </w:rPr>
      </w:pPr>
    </w:p>
    <w:p w14:paraId="2E054775"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14:paraId="1B9320C2" w14:textId="77777777" w:rsidR="00867EC4" w:rsidRPr="002B283E" w:rsidRDefault="00867EC4" w:rsidP="00867EC4">
      <w:pPr>
        <w:numPr>
          <w:ilvl w:val="12"/>
          <w:numId w:val="0"/>
        </w:numPr>
        <w:autoSpaceDE w:val="0"/>
        <w:autoSpaceDN w:val="0"/>
        <w:adjustRightInd w:val="0"/>
        <w:rPr>
          <w:rFonts w:cs="Times New Roman"/>
          <w:szCs w:val="24"/>
        </w:rPr>
      </w:pPr>
    </w:p>
    <w:p w14:paraId="765C705D" w14:textId="77777777" w:rsidR="00867EC4" w:rsidRPr="002B283E" w:rsidRDefault="00867EC4" w:rsidP="00867EC4">
      <w:pPr>
        <w:numPr>
          <w:ilvl w:val="12"/>
          <w:numId w:val="0"/>
        </w:numPr>
        <w:autoSpaceDE w:val="0"/>
        <w:autoSpaceDN w:val="0"/>
        <w:adjustRightInd w:val="0"/>
        <w:ind w:firstLine="720"/>
        <w:rPr>
          <w:rFonts w:cs="Times New Roman"/>
          <w:szCs w:val="24"/>
        </w:rPr>
      </w:pPr>
      <w:bookmarkStart w:id="447" w:name="_Hlk179205439"/>
      <w:r w:rsidRPr="002B283E">
        <w:rPr>
          <w:rFonts w:cs="Times New Roman"/>
          <w:szCs w:val="24"/>
        </w:rPr>
        <w:t xml:space="preserve">In </w:t>
      </w:r>
      <w:r w:rsidRPr="002B283E">
        <w:rPr>
          <w:rFonts w:cs="Times New Roman"/>
          <w:i/>
          <w:iCs/>
          <w:szCs w:val="24"/>
        </w:rPr>
        <w:t>Securities and Exchange Commission v. Jarkesy</w:t>
      </w:r>
      <w:r w:rsidRPr="002B283E">
        <w:rPr>
          <w:rFonts w:cs="Times New Roman"/>
          <w:szCs w:val="24"/>
        </w:rPr>
        <w:t xml:space="preserve">, </w:t>
      </w:r>
      <w:r>
        <w:rPr>
          <w:rFonts w:cs="Times New Roman"/>
          <w:szCs w:val="24"/>
        </w:rPr>
        <w:t xml:space="preserve">603 </w:t>
      </w:r>
      <w:r w:rsidRPr="002B283E">
        <w:rPr>
          <w:rFonts w:cs="Times New Roman"/>
          <w:szCs w:val="24"/>
        </w:rPr>
        <w:t xml:space="preserve">U.S. </w:t>
      </w:r>
      <w:r>
        <w:rPr>
          <w:rFonts w:cs="Times New Roman"/>
          <w:szCs w:val="24"/>
        </w:rPr>
        <w:t xml:space="preserve">109 </w:t>
      </w:r>
      <w:r w:rsidRPr="002B283E">
        <w:rPr>
          <w:rFonts w:cs="Times New Roman"/>
          <w:szCs w:val="24"/>
        </w:rPr>
        <w:t>(2024),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bookmarkEnd w:id="447"/>
    <w:p w14:paraId="534FA156" w14:textId="77777777" w:rsidR="00867EC4" w:rsidRPr="002B283E" w:rsidRDefault="00867EC4" w:rsidP="00867EC4">
      <w:pPr>
        <w:numPr>
          <w:ilvl w:val="12"/>
          <w:numId w:val="0"/>
        </w:numPr>
        <w:autoSpaceDE w:val="0"/>
        <w:autoSpaceDN w:val="0"/>
        <w:adjustRightInd w:val="0"/>
        <w:rPr>
          <w:rFonts w:cs="Times New Roman"/>
          <w:szCs w:val="24"/>
        </w:rPr>
      </w:pPr>
    </w:p>
    <w:p w14:paraId="30ED3C55" w14:textId="77777777" w:rsidR="00867EC4" w:rsidRPr="002B283E" w:rsidRDefault="00867EC4" w:rsidP="00867EC4">
      <w:pPr>
        <w:numPr>
          <w:ilvl w:val="12"/>
          <w:numId w:val="0"/>
        </w:numPr>
        <w:autoSpaceDE w:val="0"/>
        <w:autoSpaceDN w:val="0"/>
        <w:adjustRightInd w:val="0"/>
        <w:rPr>
          <w:rFonts w:cs="Times New Roman"/>
          <w:szCs w:val="24"/>
        </w:rPr>
      </w:pPr>
    </w:p>
    <w:p w14:paraId="1830456C"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0EE41116" w14:textId="77777777" w:rsidR="00867EC4" w:rsidRPr="002B283E" w:rsidRDefault="00867EC4" w:rsidP="00867EC4">
      <w:pPr>
        <w:pStyle w:val="Heading2"/>
      </w:pPr>
      <w:r w:rsidRPr="002B283E">
        <w:br w:type="page"/>
      </w:r>
      <w:bookmarkStart w:id="448" w:name="_Toc196481972"/>
      <w:bookmarkStart w:id="449" w:name="_Toc221525343"/>
      <w:r w:rsidRPr="002B283E">
        <w:lastRenderedPageBreak/>
        <w:t>18.1 Securities—Purpose and Selected Definitions</w:t>
      </w:r>
      <w:bookmarkEnd w:id="448"/>
      <w:bookmarkEnd w:id="449"/>
    </w:p>
    <w:p w14:paraId="5E702C17" w14:textId="77777777" w:rsidR="00867EC4" w:rsidRPr="002B283E" w:rsidRDefault="00867EC4" w:rsidP="00867EC4">
      <w:pPr>
        <w:numPr>
          <w:ilvl w:val="12"/>
          <w:numId w:val="0"/>
        </w:numPr>
        <w:autoSpaceDE w:val="0"/>
        <w:autoSpaceDN w:val="0"/>
        <w:adjustRightInd w:val="0"/>
        <w:rPr>
          <w:rFonts w:cs="Times New Roman"/>
          <w:szCs w:val="24"/>
        </w:rPr>
      </w:pPr>
    </w:p>
    <w:p w14:paraId="105869EA" w14:textId="449CEF91"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Congress enacted the securities laws to protect the integrity of financial markets. The plaintiff </w:t>
      </w:r>
      <w:r w:rsidR="00DC0666">
        <w:rPr>
          <w:rFonts w:cs="Times New Roman"/>
          <w:szCs w:val="24"/>
        </w:rPr>
        <w:t>[</w:t>
      </w:r>
      <w:r w:rsidR="00DC0666" w:rsidRPr="00DC0666">
        <w:rPr>
          <w:rFonts w:cs="Times New Roman"/>
          <w:i/>
          <w:iCs/>
          <w:szCs w:val="24"/>
          <w:u w:val="single"/>
        </w:rPr>
        <w:t>name</w:t>
      </w:r>
      <w:r w:rsidR="00DC0666">
        <w:rPr>
          <w:rFonts w:cs="Times New Roman"/>
          <w:szCs w:val="24"/>
        </w:rPr>
        <w:t xml:space="preserve">] </w:t>
      </w:r>
      <w:r w:rsidRPr="002B283E">
        <w:rPr>
          <w:rFonts w:cs="Times New Roman"/>
          <w:szCs w:val="24"/>
        </w:rPr>
        <w:t>claims to have suffered a loss caused by the defendant</w:t>
      </w:r>
      <w:r w:rsidR="00DC0666">
        <w:rPr>
          <w:rFonts w:cs="Times New Roman"/>
          <w:szCs w:val="24"/>
        </w:rPr>
        <w:t xml:space="preserve"> [</w:t>
      </w:r>
      <w:r w:rsidR="00DC0666" w:rsidRPr="00DC0666">
        <w:rPr>
          <w:rFonts w:cs="Times New Roman"/>
          <w:i/>
          <w:iCs/>
          <w:szCs w:val="24"/>
          <w:u w:val="single"/>
        </w:rPr>
        <w:t>name</w:t>
      </w:r>
      <w:r w:rsidR="00DC0666">
        <w:rPr>
          <w:rFonts w:cs="Times New Roman"/>
          <w:szCs w:val="24"/>
        </w:rPr>
        <w:t>]</w:t>
      </w:r>
      <w:r w:rsidRPr="002B283E">
        <w:rPr>
          <w:rFonts w:cs="Times New Roman"/>
          <w:szCs w:val="24"/>
        </w:rPr>
        <w:t>’s violation of certain of these laws.</w:t>
      </w:r>
    </w:p>
    <w:p w14:paraId="2AE3FDA4" w14:textId="77777777" w:rsidR="00867EC4" w:rsidRPr="002B283E" w:rsidRDefault="00867EC4" w:rsidP="00867EC4">
      <w:pPr>
        <w:autoSpaceDE w:val="0"/>
        <w:autoSpaceDN w:val="0"/>
        <w:adjustRightInd w:val="0"/>
        <w:rPr>
          <w:rFonts w:cs="Times New Roman"/>
          <w:szCs w:val="24"/>
        </w:rPr>
      </w:pPr>
    </w:p>
    <w:p w14:paraId="078648E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are terms concerning securities laws that have a specific legal meaning. The following definitions apply throughout these instructions, unless noted otherwise. </w:t>
      </w:r>
    </w:p>
    <w:p w14:paraId="45A8AFD2" w14:textId="77777777" w:rsidR="00867EC4" w:rsidRPr="002B283E" w:rsidRDefault="00867EC4" w:rsidP="00867EC4">
      <w:pPr>
        <w:autoSpaceDE w:val="0"/>
        <w:autoSpaceDN w:val="0"/>
        <w:adjustRightInd w:val="0"/>
        <w:rPr>
          <w:rFonts w:cs="Times New Roman"/>
          <w:szCs w:val="24"/>
        </w:rPr>
      </w:pPr>
    </w:p>
    <w:p w14:paraId="736DF190" w14:textId="5C8D0C0E"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security</w:t>
      </w:r>
      <w:r w:rsidR="00DC0666">
        <w:rPr>
          <w:rFonts w:cs="Times New Roman"/>
          <w:szCs w:val="24"/>
        </w:rPr>
        <w:t>”</w:t>
      </w:r>
      <w:r w:rsidRPr="002B283E">
        <w:rPr>
          <w:rFonts w:cs="Times New Roman"/>
          <w:szCs w:val="24"/>
        </w:rPr>
        <w:t xml:space="preserve"> is an investment of money in a commercial, financial, or other business enterprise, with the expectation of profit or other gain produced by the efforts of others. Some common types of securities are [stocks,] [bonds,] [debentures,] [warrants,] [and] [investment contracts].]</w:t>
      </w:r>
    </w:p>
    <w:p w14:paraId="5BD91F31" w14:textId="77777777" w:rsidR="00867EC4" w:rsidRPr="002B283E" w:rsidRDefault="00867EC4" w:rsidP="00867EC4">
      <w:pPr>
        <w:autoSpaceDE w:val="0"/>
        <w:autoSpaceDN w:val="0"/>
        <w:adjustRightInd w:val="0"/>
        <w:rPr>
          <w:rFonts w:cs="Times New Roman"/>
          <w:szCs w:val="24"/>
        </w:rPr>
      </w:pPr>
    </w:p>
    <w:p w14:paraId="338E7AA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The buying and selling of securities are controlled by the Securities Laws. Many of these laws are administered by the United States Securities and Exchange Commission (SEC).</w:t>
      </w:r>
    </w:p>
    <w:p w14:paraId="7C037EE7" w14:textId="77777777" w:rsidR="00867EC4" w:rsidRPr="002B283E" w:rsidRDefault="00867EC4" w:rsidP="00867EC4">
      <w:pPr>
        <w:autoSpaceDE w:val="0"/>
        <w:autoSpaceDN w:val="0"/>
        <w:adjustRightInd w:val="0"/>
        <w:rPr>
          <w:rFonts w:cs="Times New Roman"/>
          <w:szCs w:val="24"/>
        </w:rPr>
      </w:pPr>
    </w:p>
    <w:p w14:paraId="2D284CE5" w14:textId="67E56E9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“10b-5 </w:t>
      </w:r>
      <w:r w:rsidR="00DC0666">
        <w:rPr>
          <w:rFonts w:cs="Times New Roman"/>
          <w:szCs w:val="24"/>
        </w:rPr>
        <w:t>c</w:t>
      </w:r>
      <w:r w:rsidRPr="002B283E">
        <w:rPr>
          <w:rFonts w:cs="Times New Roman"/>
          <w:szCs w:val="24"/>
        </w:rPr>
        <w:t>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7E1AB319" w14:textId="77777777" w:rsidR="00867EC4" w:rsidRPr="002B283E" w:rsidRDefault="00867EC4" w:rsidP="00867EC4">
      <w:pPr>
        <w:autoSpaceDE w:val="0"/>
        <w:autoSpaceDN w:val="0"/>
        <w:adjustRightInd w:val="0"/>
        <w:rPr>
          <w:rFonts w:cs="Times New Roman"/>
          <w:szCs w:val="24"/>
        </w:rPr>
      </w:pPr>
    </w:p>
    <w:p w14:paraId="6155B1FA" w14:textId="0A1CED8B"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misrepresentation</w:t>
      </w:r>
      <w:r w:rsidR="00DC0666">
        <w:rPr>
          <w:rFonts w:cs="Times New Roman"/>
          <w:szCs w:val="24"/>
        </w:rPr>
        <w:t>”</w:t>
      </w:r>
      <w:r w:rsidRPr="002B283E">
        <w:rPr>
          <w:rFonts w:cs="Times New Roman"/>
          <w:szCs w:val="24"/>
        </w:rPr>
        <w:t xml:space="preserve">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2F99B33D" w14:textId="77777777" w:rsidR="00867EC4" w:rsidRPr="002B283E" w:rsidRDefault="00867EC4" w:rsidP="00867EC4">
      <w:pPr>
        <w:autoSpaceDE w:val="0"/>
        <w:autoSpaceDN w:val="0"/>
        <w:adjustRightInd w:val="0"/>
        <w:rPr>
          <w:rFonts w:cs="Times New Roman"/>
          <w:szCs w:val="24"/>
        </w:rPr>
      </w:pPr>
    </w:p>
    <w:p w14:paraId="367E08D2" w14:textId="684B2ED5"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[An </w:t>
      </w:r>
      <w:r w:rsidR="00DC0666">
        <w:rPr>
          <w:rFonts w:cs="Times New Roman"/>
          <w:szCs w:val="24"/>
        </w:rPr>
        <w:t>“</w:t>
      </w:r>
      <w:r w:rsidRPr="002B283E">
        <w:rPr>
          <w:rFonts w:cs="Times New Roman"/>
          <w:szCs w:val="24"/>
        </w:rPr>
        <w:t>omission</w:t>
      </w:r>
      <w:r w:rsidR="00DC0666">
        <w:rPr>
          <w:rFonts w:cs="Times New Roman"/>
          <w:szCs w:val="24"/>
        </w:rPr>
        <w:t>”</w:t>
      </w:r>
      <w:r w:rsidRPr="002B283E">
        <w:rPr>
          <w:rFonts w:cs="Times New Roman"/>
          <w:szCs w:val="24"/>
        </w:rPr>
        <w:t xml:space="preserve"> is a failure to disclose a material fact that needed to be disclosed to prevent other statements that were made from being misleading.]</w:t>
      </w:r>
    </w:p>
    <w:p w14:paraId="1C253C14" w14:textId="77777777" w:rsidR="00867EC4" w:rsidRPr="002B283E" w:rsidRDefault="00867EC4" w:rsidP="00867EC4">
      <w:pPr>
        <w:autoSpaceDE w:val="0"/>
        <w:autoSpaceDN w:val="0"/>
        <w:adjustRightInd w:val="0"/>
        <w:rPr>
          <w:rFonts w:cs="Times New Roman"/>
          <w:szCs w:val="24"/>
        </w:rPr>
      </w:pPr>
    </w:p>
    <w:p w14:paraId="5B7E924C" w14:textId="7E58121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broker</w:t>
      </w:r>
      <w:r w:rsidR="00DC0666">
        <w:rPr>
          <w:rFonts w:cs="Times New Roman"/>
          <w:szCs w:val="24"/>
        </w:rPr>
        <w:t>”</w:t>
      </w:r>
      <w:r w:rsidRPr="002B283E">
        <w:rPr>
          <w:rFonts w:cs="Times New Roman"/>
          <w:szCs w:val="24"/>
        </w:rPr>
        <w:t xml:space="preserve"> buys and sells securities for clients, usually for a commission</w:t>
      </w:r>
      <w:r w:rsidR="00E54E76">
        <w:rPr>
          <w:rFonts w:cs="Times New Roman"/>
          <w:szCs w:val="24"/>
        </w:rPr>
        <w:t xml:space="preserve">. </w:t>
      </w:r>
      <w:r w:rsidRPr="002B283E">
        <w:rPr>
          <w:rFonts w:cs="Times New Roman"/>
          <w:szCs w:val="24"/>
        </w:rPr>
        <w:t>A broker can also be a dealer.]</w:t>
      </w:r>
    </w:p>
    <w:p w14:paraId="21BF4EF2" w14:textId="77777777" w:rsidR="00867EC4" w:rsidRPr="002B283E" w:rsidRDefault="00867EC4" w:rsidP="00867EC4">
      <w:pPr>
        <w:autoSpaceDE w:val="0"/>
        <w:autoSpaceDN w:val="0"/>
        <w:adjustRightInd w:val="0"/>
        <w:rPr>
          <w:rFonts w:cs="Times New Roman"/>
          <w:szCs w:val="24"/>
        </w:rPr>
      </w:pPr>
    </w:p>
    <w:p w14:paraId="43444B84" w14:textId="2BD3E87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dealer</w:t>
      </w:r>
      <w:r w:rsidR="00DC0666">
        <w:rPr>
          <w:rFonts w:cs="Times New Roman"/>
          <w:szCs w:val="24"/>
        </w:rPr>
        <w:t>”</w:t>
      </w:r>
      <w:r w:rsidRPr="002B283E">
        <w:rPr>
          <w:rFonts w:cs="Times New Roman"/>
          <w:szCs w:val="24"/>
        </w:rPr>
        <w:t xml:space="preserve"> buys securities and resells them to clients. A dealer also can be a broker.]</w:t>
      </w:r>
    </w:p>
    <w:p w14:paraId="2E11EA3C" w14:textId="77777777" w:rsidR="00867EC4" w:rsidRPr="002B283E" w:rsidRDefault="00867EC4" w:rsidP="00867EC4">
      <w:pPr>
        <w:autoSpaceDE w:val="0"/>
        <w:autoSpaceDN w:val="0"/>
        <w:adjustRightInd w:val="0"/>
        <w:rPr>
          <w:rFonts w:cs="Times New Roman"/>
          <w:szCs w:val="24"/>
        </w:rPr>
      </w:pPr>
    </w:p>
    <w:p w14:paraId="0053CD21" w14:textId="6F94CCA0"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controlling person</w:t>
      </w:r>
      <w:r w:rsidR="00DC0666">
        <w:rPr>
          <w:rFonts w:cs="Times New Roman"/>
          <w:szCs w:val="24"/>
        </w:rPr>
        <w:t>”</w:t>
      </w:r>
      <w:r w:rsidRPr="002B283E">
        <w:rPr>
          <w:rFonts w:cs="Times New Roman"/>
          <w:szCs w:val="24"/>
        </w:rPr>
        <w:t xml:space="preserve"> is [an individual who] [a company that] possesses the power to direct the management or policies of a business enterprise or of another person involved in the management or policymaking of the enterprise. A broker or a dealer may be a controlling person.]</w:t>
      </w:r>
    </w:p>
    <w:p w14:paraId="29F1097C" w14:textId="77777777" w:rsidR="00867EC4" w:rsidRPr="002B283E" w:rsidRDefault="00867EC4" w:rsidP="00867EC4">
      <w:pPr>
        <w:autoSpaceDE w:val="0"/>
        <w:autoSpaceDN w:val="0"/>
        <w:adjustRightInd w:val="0"/>
        <w:rPr>
          <w:rFonts w:cs="Times New Roman"/>
          <w:szCs w:val="24"/>
        </w:rPr>
      </w:pPr>
    </w:p>
    <w:p w14:paraId="1F05B11E"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[“In connection with” means that there was some relationship, or nexus, between the allegedly fraudulent conduct and the [sale] [purchase] of the securities. [The defendant’s conduct </w:t>
      </w:r>
      <w:r w:rsidRPr="002B283E">
        <w:rPr>
          <w:rFonts w:cs="Times New Roman"/>
          <w:szCs w:val="24"/>
        </w:rPr>
        <w:lastRenderedPageBreak/>
        <w:t>may be in connection with a purchase or sale of a security even if the defendant did not actually participate in any securities transaction.]]</w:t>
      </w:r>
    </w:p>
    <w:p w14:paraId="3868904F" w14:textId="77777777" w:rsidR="00867EC4" w:rsidRPr="002B283E" w:rsidRDefault="00867EC4" w:rsidP="00867EC4">
      <w:pPr>
        <w:autoSpaceDE w:val="0"/>
        <w:autoSpaceDN w:val="0"/>
        <w:adjustRightInd w:val="0"/>
        <w:rPr>
          <w:rFonts w:cs="Times New Roman"/>
          <w:szCs w:val="24"/>
        </w:rPr>
      </w:pPr>
    </w:p>
    <w:p w14:paraId="1E74FA5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08B3EA8B" w14:textId="77777777" w:rsidR="00867EC4" w:rsidRPr="002B283E" w:rsidRDefault="00867EC4" w:rsidP="00867EC4">
      <w:pPr>
        <w:autoSpaceDE w:val="0"/>
        <w:autoSpaceDN w:val="0"/>
        <w:adjustRightInd w:val="0"/>
        <w:jc w:val="center"/>
        <w:rPr>
          <w:rFonts w:cs="Times New Roman"/>
          <w:b/>
          <w:bCs/>
          <w:szCs w:val="24"/>
        </w:rPr>
      </w:pPr>
    </w:p>
    <w:p w14:paraId="7939864C"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2EE20D78" w14:textId="77777777" w:rsidR="00867EC4" w:rsidRPr="002B283E" w:rsidRDefault="00867EC4" w:rsidP="00867EC4">
      <w:pPr>
        <w:autoSpaceDE w:val="0"/>
        <w:autoSpaceDN w:val="0"/>
        <w:adjustRightInd w:val="0"/>
        <w:rPr>
          <w:rFonts w:cs="Times New Roman"/>
          <w:szCs w:val="24"/>
        </w:rPr>
      </w:pPr>
    </w:p>
    <w:p w14:paraId="312B71D0" w14:textId="68D6DE5A" w:rsidR="00867EC4" w:rsidRPr="002B283E" w:rsidRDefault="00867EC4" w:rsidP="00867EC4">
      <w:pPr>
        <w:autoSpaceDE w:val="0"/>
        <w:autoSpaceDN w:val="0"/>
        <w:adjustRightInd w:val="0"/>
        <w:rPr>
          <w:rFonts w:cs="Times New Roman"/>
          <w:szCs w:val="24"/>
        </w:rPr>
      </w:pPr>
      <w:r w:rsidRPr="002B283E">
        <w:rPr>
          <w:rFonts w:cs="Times New Roman"/>
          <w:szCs w:val="24"/>
        </w:rPr>
        <w:tab/>
        <w:t>“Materiality” is defined in Instruction 18.3</w:t>
      </w:r>
      <w:r w:rsidR="00DC0666">
        <w:rPr>
          <w:rFonts w:cs="Times New Roman"/>
          <w:szCs w:val="24"/>
        </w:rPr>
        <w:t xml:space="preserve"> (</w:t>
      </w:r>
      <w:r w:rsidR="00DC0666" w:rsidRPr="00DC0666">
        <w:rPr>
          <w:rFonts w:cs="Times New Roman"/>
          <w:szCs w:val="24"/>
        </w:rPr>
        <w:t>Securities—Misrepresentations or Omissions—Materiality</w:t>
      </w:r>
      <w:r w:rsidR="00DC0666">
        <w:rPr>
          <w:rFonts w:cs="Times New Roman"/>
          <w:szCs w:val="24"/>
        </w:rPr>
        <w:t>)</w:t>
      </w:r>
      <w:r w:rsidRPr="002B283E">
        <w:rPr>
          <w:rFonts w:cs="Times New Roman"/>
          <w:szCs w:val="24"/>
        </w:rPr>
        <w:t>.</w:t>
      </w:r>
    </w:p>
    <w:p w14:paraId="6AB9FB65" w14:textId="77777777" w:rsidR="00867EC4" w:rsidRPr="002B283E" w:rsidRDefault="00867EC4" w:rsidP="00867EC4">
      <w:pPr>
        <w:autoSpaceDE w:val="0"/>
        <w:autoSpaceDN w:val="0"/>
        <w:adjustRightInd w:val="0"/>
        <w:rPr>
          <w:rFonts w:cs="Times New Roman"/>
          <w:szCs w:val="24"/>
        </w:rPr>
      </w:pPr>
    </w:p>
    <w:p w14:paraId="360AB29E" w14:textId="09E81D6E" w:rsidR="00C418AD" w:rsidRPr="00C418AD" w:rsidRDefault="00867EC4" w:rsidP="00C418AD">
      <w:pPr>
        <w:autoSpaceDE w:val="0"/>
        <w:autoSpaceDN w:val="0"/>
        <w:adjustRightInd w:val="0"/>
        <w:rPr>
          <w:rFonts w:ascii="TimesNewRomanPSMT" w:hAnsi="TimesNewRomanPSMT" w:cs="TimesNewRomanPSMT"/>
          <w:szCs w:val="24"/>
          <w14:ligatures w14:val="standardContextual"/>
        </w:rPr>
      </w:pPr>
      <w:r w:rsidRPr="002B283E">
        <w:rPr>
          <w:rFonts w:cs="Times New Roman"/>
          <w:szCs w:val="24"/>
        </w:rPr>
        <w:tab/>
        <w:t xml:space="preserve">Whether a specific financial instrument qualifies as a security can be a threshold issue. </w:t>
      </w:r>
      <w:r w:rsidRPr="002B283E">
        <w:rPr>
          <w:rFonts w:cs="Times New Roman"/>
          <w:i/>
          <w:iCs/>
          <w:szCs w:val="24"/>
        </w:rPr>
        <w:t>SEC v. Hui Feng</w:t>
      </w:r>
      <w:r w:rsidRPr="002B283E">
        <w:rPr>
          <w:rFonts w:cs="Times New Roman"/>
          <w:szCs w:val="24"/>
        </w:rPr>
        <w:t>, 935 F.3d 721, 728-729 (</w:t>
      </w:r>
      <w:r w:rsidRPr="002B283E">
        <w:rPr>
          <w:rFonts w:cs="Times New Roman"/>
          <w:szCs w:val="24"/>
          <w:highlight w:val="white"/>
        </w:rPr>
        <w:t>9th Cir.</w:t>
      </w:r>
      <w:r w:rsidRPr="002B283E">
        <w:rPr>
          <w:rFonts w:cs="Times New Roman"/>
          <w:szCs w:val="24"/>
        </w:rPr>
        <w:t xml:space="preserve"> 2019). Th</w:t>
      </w:r>
      <w:r w:rsidR="00DC0666">
        <w:rPr>
          <w:rFonts w:cs="Times New Roman"/>
          <w:szCs w:val="24"/>
        </w:rPr>
        <w:t>e definition of “security”</w:t>
      </w:r>
      <w:r w:rsidRPr="002B283E">
        <w:rPr>
          <w:rFonts w:cs="Times New Roman"/>
          <w:szCs w:val="24"/>
        </w:rPr>
        <w:t xml:space="preserve"> includes “</w:t>
      </w:r>
      <w:r w:rsidR="00DC0666">
        <w:rPr>
          <w:rFonts w:cs="Times New Roman"/>
          <w:szCs w:val="24"/>
        </w:rPr>
        <w:t xml:space="preserve">any . . . </w:t>
      </w:r>
      <w:r w:rsidRPr="002B283E">
        <w:rPr>
          <w:rFonts w:cs="Times New Roman"/>
          <w:szCs w:val="24"/>
        </w:rPr>
        <w:t>investment contract.”</w:t>
      </w:r>
      <w:r w:rsidR="00DC0666">
        <w:rPr>
          <w:rFonts w:cs="Times New Roman"/>
          <w:szCs w:val="24"/>
        </w:rPr>
        <w:t xml:space="preserve"> 15 U.S.C. § 78c(a)(10).</w:t>
      </w:r>
      <w:r w:rsidRPr="002B283E">
        <w:rPr>
          <w:rFonts w:cs="Times New Roman"/>
          <w:szCs w:val="24"/>
        </w:rPr>
        <w:t xml:space="preserve"> The Supreme Court’s decision in </w:t>
      </w:r>
      <w:r w:rsidRPr="002B283E">
        <w:rPr>
          <w:rFonts w:cs="Times New Roman"/>
          <w:i/>
          <w:iCs/>
          <w:szCs w:val="24"/>
        </w:rPr>
        <w:t>Howey</w:t>
      </w:r>
      <w:r w:rsidRPr="002B283E">
        <w:rPr>
          <w:rFonts w:cs="Times New Roman"/>
          <w:szCs w:val="24"/>
        </w:rPr>
        <w:t xml:space="preserve"> and later case law hold that an “investment contract” exists when there is the investment of money in a common enterprise with a reasonable expectation of profits to be derived from the efforts of others. </w:t>
      </w:r>
      <w:r w:rsidRPr="002B283E">
        <w:rPr>
          <w:rFonts w:cs="Times New Roman"/>
          <w:i/>
          <w:iCs/>
          <w:szCs w:val="24"/>
        </w:rPr>
        <w:t>See SEC v. W.J. Howey Co.</w:t>
      </w:r>
      <w:r w:rsidRPr="002B283E">
        <w:rPr>
          <w:rFonts w:cs="Times New Roman"/>
          <w:szCs w:val="24"/>
        </w:rPr>
        <w:t>, 328 U.S.</w:t>
      </w:r>
      <w:r w:rsidR="00DC0666">
        <w:rPr>
          <w:rFonts w:cs="Times New Roman"/>
          <w:szCs w:val="24"/>
        </w:rPr>
        <w:t xml:space="preserve"> 293,</w:t>
      </w:r>
      <w:r w:rsidRPr="002B283E">
        <w:rPr>
          <w:rFonts w:cs="Times New Roman"/>
          <w:szCs w:val="24"/>
        </w:rPr>
        <w:t xml:space="preserve"> 298-99 (1946); </w:t>
      </w:r>
      <w:r w:rsidRPr="002B283E">
        <w:rPr>
          <w:rFonts w:cs="Times New Roman"/>
          <w:i/>
          <w:iCs/>
          <w:szCs w:val="24"/>
        </w:rPr>
        <w:t>United Housing Fund., Inc. v. Forman</w:t>
      </w:r>
      <w:r w:rsidRPr="002B283E">
        <w:rPr>
          <w:rFonts w:cs="Times New Roman"/>
          <w:szCs w:val="24"/>
        </w:rPr>
        <w:t xml:space="preserve">, 421 U.S. 837, 851-52 (1975). </w:t>
      </w:r>
      <w:r w:rsidR="00DC0666">
        <w:rPr>
          <w:rFonts w:cs="Times New Roman"/>
          <w:szCs w:val="24"/>
        </w:rPr>
        <w:t>“</w:t>
      </w:r>
      <w:r w:rsidRPr="002B283E">
        <w:rPr>
          <w:rFonts w:cs="Times New Roman"/>
          <w:szCs w:val="24"/>
        </w:rPr>
        <w:t xml:space="preserve">Courts applying </w:t>
      </w:r>
      <w:r w:rsidRPr="002B283E">
        <w:rPr>
          <w:rFonts w:cs="Times New Roman"/>
          <w:i/>
          <w:iCs/>
          <w:szCs w:val="24"/>
        </w:rPr>
        <w:t>Howey</w:t>
      </w:r>
      <w:r w:rsidRPr="002B283E">
        <w:rPr>
          <w:rFonts w:cs="Times New Roman"/>
          <w:szCs w:val="24"/>
        </w:rPr>
        <w:t xml:space="preserve"> </w:t>
      </w:r>
      <w:r w:rsidR="00DC0666">
        <w:rPr>
          <w:rFonts w:cs="Times New Roman"/>
          <w:szCs w:val="24"/>
        </w:rPr>
        <w:t>‘</w:t>
      </w:r>
      <w:r w:rsidRPr="002B283E">
        <w:rPr>
          <w:rFonts w:cs="Times New Roman"/>
          <w:szCs w:val="24"/>
        </w:rPr>
        <w:t xml:space="preserve">conduct an objective inquiry into the character of the instrument or transaction offered based on what the purchasers were </w:t>
      </w:r>
      <w:r w:rsidR="006A7600">
        <w:rPr>
          <w:rFonts w:cs="Times New Roman"/>
          <w:szCs w:val="24"/>
        </w:rPr>
        <w:t>“</w:t>
      </w:r>
      <w:r w:rsidRPr="00C418AD">
        <w:rPr>
          <w:rFonts w:cs="Times New Roman"/>
          <w:szCs w:val="24"/>
        </w:rPr>
        <w:t>led to expect,</w:t>
      </w:r>
      <w:r w:rsidR="006A7600">
        <w:rPr>
          <w:rFonts w:cs="Times New Roman"/>
          <w:szCs w:val="24"/>
        </w:rPr>
        <w:t>”’</w:t>
      </w:r>
      <w:r w:rsidRPr="00C418AD">
        <w:rPr>
          <w:rFonts w:cs="Times New Roman"/>
          <w:szCs w:val="24"/>
        </w:rPr>
        <w:t xml:space="preserve"> including an analysis of the promotional materials associated with the transaction.</w:t>
      </w:r>
      <w:r w:rsidR="006A7600">
        <w:rPr>
          <w:rFonts w:cs="Times New Roman"/>
          <w:szCs w:val="24"/>
        </w:rPr>
        <w:t>”</w:t>
      </w:r>
      <w:r w:rsidRPr="00C418AD">
        <w:rPr>
          <w:rFonts w:cs="Times New Roman"/>
          <w:szCs w:val="24"/>
        </w:rPr>
        <w:t xml:space="preserve"> </w:t>
      </w:r>
      <w:r w:rsidRPr="00C418AD">
        <w:rPr>
          <w:rFonts w:cs="Times New Roman"/>
          <w:i/>
          <w:iCs/>
          <w:szCs w:val="24"/>
        </w:rPr>
        <w:t>Hui Feng</w:t>
      </w:r>
      <w:r w:rsidRPr="00C418AD">
        <w:rPr>
          <w:rFonts w:cs="Times New Roman"/>
          <w:szCs w:val="24"/>
        </w:rPr>
        <w:t>, 935 F.3d at 729</w:t>
      </w:r>
      <w:r w:rsidR="00C418AD" w:rsidRPr="00C418AD">
        <w:rPr>
          <w:rFonts w:cs="Times New Roman"/>
          <w:szCs w:val="24"/>
        </w:rPr>
        <w:t xml:space="preserve"> (quoting </w:t>
      </w:r>
      <w:r w:rsidR="00C418AD" w:rsidRPr="00C418AD">
        <w:rPr>
          <w:rFonts w:cs="Times New Roman"/>
          <w:i/>
          <w:iCs/>
          <w:szCs w:val="24"/>
        </w:rPr>
        <w:t>Warfield v. Alaniz</w:t>
      </w:r>
      <w:r w:rsidR="00C418AD" w:rsidRPr="00C418AD">
        <w:rPr>
          <w:rFonts w:cs="Times New Roman"/>
          <w:szCs w:val="24"/>
        </w:rPr>
        <w:t xml:space="preserve">, 569 F.3d 1015, 1021 (9th Cir 2009). </w:t>
      </w:r>
      <w:bookmarkStart w:id="450" w:name="_Hlk221524358"/>
      <w:r w:rsidR="00C418AD" w:rsidRPr="00C418AD">
        <w:rPr>
          <w:rFonts w:ascii="TimesNewRomanPSMT" w:hAnsi="TimesNewRomanPSMT" w:cs="TimesNewRomanPSMT"/>
          <w:szCs w:val="24"/>
          <w14:ligatures w14:val="standardContextual"/>
        </w:rPr>
        <w:t xml:space="preserve">“[I]f an investor is dependent on a seller to provide efforts that could lead to profits,” such as where the seller has “practical” or “complete control” over an enterprise and its profitability, then the </w:t>
      </w:r>
      <w:r w:rsidR="00C418AD" w:rsidRPr="00C418AD">
        <w:rPr>
          <w:rFonts w:ascii="TimesNewRomanPS-ItalicMT" w:hAnsi="TimesNewRomanPS-ItalicMT" w:cs="TimesNewRomanPS-ItalicMT"/>
          <w:i/>
          <w:iCs/>
          <w:szCs w:val="24"/>
          <w14:ligatures w14:val="standardContextual"/>
        </w:rPr>
        <w:t xml:space="preserve">Howey </w:t>
      </w:r>
      <w:r w:rsidR="00C418AD" w:rsidRPr="00C418AD">
        <w:rPr>
          <w:rFonts w:ascii="TimesNewRomanPSMT" w:hAnsi="TimesNewRomanPSMT" w:cs="TimesNewRomanPSMT"/>
          <w:szCs w:val="24"/>
          <w14:ligatures w14:val="standardContextual"/>
        </w:rPr>
        <w:t xml:space="preserve">efforts-of-others requirement is satisfied. </w:t>
      </w:r>
      <w:r w:rsidR="00C418AD" w:rsidRPr="00C418AD">
        <w:rPr>
          <w:rFonts w:ascii="TimesNewRomanPS-ItalicMT" w:hAnsi="TimesNewRomanPS-ItalicMT" w:cs="TimesNewRomanPS-ItalicMT"/>
          <w:i/>
          <w:iCs/>
          <w:szCs w:val="24"/>
          <w14:ligatures w14:val="standardContextual"/>
        </w:rPr>
        <w:t>SEC v. Barry</w:t>
      </w:r>
      <w:r w:rsidR="00C418AD" w:rsidRPr="00C418AD">
        <w:rPr>
          <w:rFonts w:ascii="TimesNewRomanPSMT" w:hAnsi="TimesNewRomanPSMT" w:cs="TimesNewRomanPSMT"/>
          <w:szCs w:val="24"/>
          <w14:ligatures w14:val="standardContextual"/>
        </w:rPr>
        <w:t xml:space="preserve">, 146 F.4th 1242, 1252 (9th Cir. 2025). Even intrastate sales can be subject to regulation if part of an integrated sales offering to out-of-state buyers.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 xml:space="preserve">. at 1261. Whether an offering is integrated depends on a five-part test under </w:t>
      </w:r>
      <w:r w:rsidR="00C418AD" w:rsidRPr="00C418AD">
        <w:rPr>
          <w:rFonts w:ascii="TimesNewRomanPS-ItalicMT" w:hAnsi="TimesNewRomanPS-ItalicMT" w:cs="TimesNewRomanPS-ItalicMT"/>
          <w:i/>
          <w:iCs/>
          <w:szCs w:val="24"/>
          <w14:ligatures w14:val="standardContextual"/>
        </w:rPr>
        <w:t xml:space="preserve">SEC v. Murphy, </w:t>
      </w:r>
      <w:r w:rsidR="00C418AD" w:rsidRPr="00C418AD">
        <w:rPr>
          <w:rFonts w:ascii="TimesNewRomanPSMT" w:hAnsi="TimesNewRomanPSMT" w:cs="TimesNewRomanPSMT"/>
          <w:szCs w:val="24"/>
          <w14:ligatures w14:val="standardContextual"/>
        </w:rPr>
        <w:t xml:space="preserve">626 F.2d 633 (9th Cir. 1980).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w:t>
      </w:r>
    </w:p>
    <w:p w14:paraId="53733775"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p>
    <w:p w14:paraId="0623581A" w14:textId="77777777" w:rsidR="00C418AD" w:rsidRPr="00C418AD" w:rsidRDefault="00C418AD" w:rsidP="00C418AD">
      <w:pPr>
        <w:autoSpaceDE w:val="0"/>
        <w:autoSpaceDN w:val="0"/>
        <w:adjustRightInd w:val="0"/>
        <w:ind w:firstLine="72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Whether a security is subject to federal securities law’s registration requirements depends</w:t>
      </w:r>
    </w:p>
    <w:p w14:paraId="14F793B2"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 xml:space="preserve">in part on whether the security is sold interstate.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at 1260 (quoting 15 U.S.C. § 77c(a)(11)).</w:t>
      </w:r>
    </w:p>
    <w:p w14:paraId="78E9DA9E"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Fractional interests in life settlements were not exempt from registration requirements where the</w:t>
      </w:r>
    </w:p>
    <w:p w14:paraId="3E74E020"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interests shared a financing scheme, were the same type of security, and were offered to at least</w:t>
      </w:r>
    </w:p>
    <w:p w14:paraId="24C707DD"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 xml:space="preserve">one out-of-state resident.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In such a scenario, the offerings were part of an integrated,</w:t>
      </w:r>
    </w:p>
    <w:p w14:paraId="7BEE52CA" w14:textId="5B1ED3FE" w:rsidR="00867EC4" w:rsidRPr="00C418AD" w:rsidRDefault="00C418AD" w:rsidP="00867EC4">
      <w:pPr>
        <w:autoSpaceDE w:val="0"/>
        <w:autoSpaceDN w:val="0"/>
        <w:adjustRightInd w:val="0"/>
        <w:rPr>
          <w:rFonts w:ascii="TimesNewRomanPSMT" w:hAnsi="TimesNewRomanPSMT" w:cs="TimesNewRomanPSMT"/>
          <w:i/>
          <w:iCs/>
          <w:szCs w:val="24"/>
          <w14:ligatures w14:val="standardContextual"/>
        </w:rPr>
      </w:pPr>
      <w:r w:rsidRPr="00C418AD">
        <w:rPr>
          <w:rFonts w:ascii="TimesNewRomanPSMT" w:hAnsi="TimesNewRomanPSMT" w:cs="TimesNewRomanPSMT"/>
          <w:szCs w:val="24"/>
          <w14:ligatures w14:val="standardContextual"/>
        </w:rPr>
        <w:t xml:space="preserve">interstate offering. </w:t>
      </w:r>
      <w:r w:rsidRPr="00C418AD">
        <w:rPr>
          <w:rFonts w:ascii="TimesNewRomanPSMT" w:hAnsi="TimesNewRomanPSMT" w:cs="TimesNewRomanPSMT"/>
          <w:i/>
          <w:iCs/>
          <w:szCs w:val="24"/>
          <w14:ligatures w14:val="standardContextual"/>
        </w:rPr>
        <w:t>Id.</w:t>
      </w:r>
      <w:bookmarkEnd w:id="450"/>
      <w:r w:rsidR="00867EC4" w:rsidRPr="00C418AD">
        <w:rPr>
          <w:rFonts w:cs="Times New Roman"/>
          <w:szCs w:val="24"/>
        </w:rPr>
        <w:t>.</w:t>
      </w:r>
    </w:p>
    <w:p w14:paraId="00EB0E51" w14:textId="77777777" w:rsidR="00867EC4" w:rsidRPr="00C418AD" w:rsidRDefault="00867EC4" w:rsidP="00867EC4">
      <w:pPr>
        <w:autoSpaceDE w:val="0"/>
        <w:autoSpaceDN w:val="0"/>
        <w:adjustRightInd w:val="0"/>
        <w:rPr>
          <w:rFonts w:cs="Times New Roman"/>
          <w:szCs w:val="24"/>
        </w:rPr>
      </w:pPr>
    </w:p>
    <w:p w14:paraId="5490E183" w14:textId="1EAB6971" w:rsidR="00867EC4" w:rsidRPr="00C418AD" w:rsidRDefault="00867EC4" w:rsidP="00867EC4">
      <w:pPr>
        <w:autoSpaceDE w:val="0"/>
        <w:autoSpaceDN w:val="0"/>
        <w:adjustRightInd w:val="0"/>
        <w:rPr>
          <w:rFonts w:cs="Times New Roman"/>
          <w:szCs w:val="24"/>
        </w:rPr>
      </w:pPr>
      <w:r w:rsidRPr="00C418AD">
        <w:rPr>
          <w:rFonts w:cs="Times New Roman"/>
          <w:szCs w:val="24"/>
        </w:rPr>
        <w:tab/>
        <w:t xml:space="preserve">A statement of opinion does not constitute an “untrue statement of material fact” simply because the stated opinion ultimately proves incorrect. </w:t>
      </w:r>
      <w:r w:rsidRPr="00C418AD">
        <w:rPr>
          <w:rFonts w:cs="Times New Roman"/>
          <w:i/>
          <w:iCs/>
          <w:szCs w:val="24"/>
        </w:rPr>
        <w:t>Omnicare, Inc. v. Laborers Dist. Council Const. Indus. Pension Fund</w:t>
      </w:r>
      <w:r w:rsidRPr="00C418AD">
        <w:rPr>
          <w:rFonts w:cs="Times New Roman"/>
          <w:szCs w:val="24"/>
        </w:rPr>
        <w:t xml:space="preserve">, 575 U.S. 175, 176 (2015). For example, a statement that is merely aspirational—such as a corporate code of conduct—generally is not actionable because it cannot be said to be false. </w:t>
      </w:r>
      <w:r w:rsidRPr="00C418AD">
        <w:rPr>
          <w:rFonts w:cs="Times New Roman"/>
          <w:i/>
          <w:iCs/>
          <w:szCs w:val="24"/>
        </w:rPr>
        <w:t>See Retail Wholesale &amp; Dep’t Store Union Local 338 Ret</w:t>
      </w:r>
      <w:r w:rsidR="006A7600">
        <w:rPr>
          <w:rFonts w:cs="Times New Roman"/>
          <w:i/>
          <w:iCs/>
          <w:szCs w:val="24"/>
        </w:rPr>
        <w:t>.</w:t>
      </w:r>
      <w:r w:rsidRPr="00C418AD">
        <w:rPr>
          <w:rFonts w:cs="Times New Roman"/>
          <w:i/>
          <w:iCs/>
          <w:szCs w:val="24"/>
        </w:rPr>
        <w:t xml:space="preserve"> Fund v. Hewlett-Packard Co.</w:t>
      </w:r>
      <w:r w:rsidRPr="00C418AD">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C418AD">
        <w:rPr>
          <w:rFonts w:cs="Times New Roman"/>
          <w:i/>
          <w:iCs/>
          <w:szCs w:val="24"/>
        </w:rPr>
        <w:t>Omnicare</w:t>
      </w:r>
      <w:r w:rsidRPr="00C418AD">
        <w:rPr>
          <w:rFonts w:cs="Times New Roman"/>
          <w:szCs w:val="24"/>
        </w:rPr>
        <w:t xml:space="preserve">, 575 U.S. at 183-85. Further, an opinion may be actionable if the speaker omits material facts necessary to make the opinion not misleading. </w:t>
      </w:r>
      <w:r w:rsidRPr="00C418AD">
        <w:rPr>
          <w:rFonts w:cs="Times New Roman"/>
          <w:i/>
          <w:iCs/>
          <w:szCs w:val="24"/>
        </w:rPr>
        <w:t xml:space="preserve">Id. </w:t>
      </w:r>
      <w:r w:rsidRPr="00C418AD">
        <w:rPr>
          <w:rFonts w:cs="Times New Roman"/>
          <w:szCs w:val="24"/>
        </w:rPr>
        <w:t xml:space="preserve">at 185-91. When the omission of </w:t>
      </w:r>
      <w:r w:rsidRPr="00C418AD">
        <w:rPr>
          <w:rFonts w:cs="Times New Roman"/>
          <w:szCs w:val="24"/>
        </w:rPr>
        <w:lastRenderedPageBreak/>
        <w:t xml:space="preserve">a fact, taken in its full context, makes an opinion misleading to a reasonable investor, securities law “creates liability only for the omission of material facts that cannot be squared with such a fair reading.” </w:t>
      </w:r>
      <w:r w:rsidRPr="00C418AD">
        <w:rPr>
          <w:rFonts w:cs="Times New Roman"/>
          <w:i/>
          <w:iCs/>
          <w:szCs w:val="24"/>
        </w:rPr>
        <w:t>Id</w:t>
      </w:r>
      <w:r w:rsidRPr="00C418AD">
        <w:rPr>
          <w:rFonts w:cs="Times New Roman"/>
          <w:szCs w:val="24"/>
        </w:rPr>
        <w:t xml:space="preserve">. at 190-91. Although </w:t>
      </w:r>
      <w:r w:rsidRPr="00C418AD">
        <w:rPr>
          <w:rFonts w:cs="Times New Roman"/>
          <w:i/>
          <w:iCs/>
          <w:szCs w:val="24"/>
        </w:rPr>
        <w:t xml:space="preserve">Omnicare </w:t>
      </w:r>
      <w:r w:rsidRPr="00C418AD">
        <w:rPr>
          <w:rFonts w:cs="Times New Roman"/>
          <w:szCs w:val="24"/>
        </w:rPr>
        <w:t xml:space="preserve">was decided under § 11 of the Securities Act of 1933, the Ninth Circuit has clarified that the pleading requirements set forth in </w:t>
      </w:r>
      <w:r w:rsidRPr="00C418AD">
        <w:rPr>
          <w:rFonts w:cs="Times New Roman"/>
          <w:i/>
          <w:iCs/>
          <w:szCs w:val="24"/>
        </w:rPr>
        <w:t xml:space="preserve">Omnicare </w:t>
      </w:r>
      <w:r w:rsidRPr="00C418AD">
        <w:rPr>
          <w:rFonts w:cs="Times New Roman"/>
          <w:szCs w:val="24"/>
        </w:rPr>
        <w:t xml:space="preserve">apply to claims under § 10(b) of the 1934 Act and Rule 10b-5. </w:t>
      </w:r>
      <w:r w:rsidRPr="00C418AD">
        <w:rPr>
          <w:rFonts w:cs="Times New Roman"/>
          <w:i/>
          <w:iCs/>
          <w:szCs w:val="24"/>
        </w:rPr>
        <w:t>City of Dearborn Heights Act 345 Police &amp; Fire Ret. Sys. v. Align Tech., Inc</w:t>
      </w:r>
      <w:r w:rsidRPr="00C418AD">
        <w:rPr>
          <w:rFonts w:cs="Times New Roman"/>
          <w:szCs w:val="24"/>
        </w:rPr>
        <w:t xml:space="preserve">., 856 F.3d 605, 616 (9th Cir. 2017); </w:t>
      </w:r>
      <w:r w:rsidRPr="00C418AD">
        <w:rPr>
          <w:rFonts w:cs="Times New Roman"/>
          <w:i/>
          <w:iCs/>
          <w:szCs w:val="24"/>
        </w:rPr>
        <w:t>see Glazer Cap. Mgmt. v. Forescout Techs., Inc.</w:t>
      </w:r>
      <w:r w:rsidRPr="00C418AD">
        <w:rPr>
          <w:rFonts w:cs="Times New Roman"/>
          <w:szCs w:val="24"/>
        </w:rPr>
        <w:t xml:space="preserve">, 63 F.4th 747, 764, 771, 779 (9th Cir. 2023) (applying </w:t>
      </w:r>
      <w:r w:rsidRPr="00C418AD">
        <w:rPr>
          <w:rFonts w:cs="Times New Roman"/>
          <w:i/>
          <w:iCs/>
          <w:szCs w:val="24"/>
        </w:rPr>
        <w:t xml:space="preserve">Omnicare </w:t>
      </w:r>
      <w:r w:rsidRPr="00C418AD">
        <w:rPr>
          <w:rFonts w:cs="Times New Roman"/>
          <w:szCs w:val="24"/>
        </w:rPr>
        <w:t>in the context of § 10(b) and Rule 10b-5 claims)</w:t>
      </w:r>
      <w:r w:rsidR="005E49D2">
        <w:rPr>
          <w:rFonts w:cs="Times New Roman"/>
          <w:szCs w:val="24"/>
        </w:rPr>
        <w:t>.</w:t>
      </w:r>
      <w:r w:rsidRPr="00C418AD">
        <w:rPr>
          <w:rFonts w:cs="Times New Roman"/>
          <w:szCs w:val="24"/>
        </w:rPr>
        <w:t xml:space="preserve"> </w:t>
      </w:r>
      <w:r w:rsidR="005E49D2">
        <w:rPr>
          <w:rFonts w:cs="Times New Roman"/>
          <w:i/>
          <w:iCs/>
          <w:szCs w:val="24"/>
        </w:rPr>
        <w:t xml:space="preserve">See also </w:t>
      </w:r>
      <w:r w:rsidRPr="00C418AD">
        <w:rPr>
          <w:rFonts w:cs="Times New Roman"/>
          <w:i/>
          <w:iCs/>
          <w:szCs w:val="24"/>
        </w:rPr>
        <w:t>In re Cloudera</w:t>
      </w:r>
      <w:r w:rsidR="005E49D2">
        <w:rPr>
          <w:rFonts w:cs="Times New Roman"/>
          <w:i/>
          <w:iCs/>
          <w:szCs w:val="24"/>
        </w:rPr>
        <w:t xml:space="preserve"> Inc.</w:t>
      </w:r>
      <w:r w:rsidRPr="00C418AD">
        <w:rPr>
          <w:rFonts w:cs="Times New Roman"/>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p>
    <w:p w14:paraId="55283F3F" w14:textId="77777777" w:rsidR="00867EC4" w:rsidRPr="00C418AD" w:rsidRDefault="00867EC4" w:rsidP="00867EC4">
      <w:pPr>
        <w:autoSpaceDE w:val="0"/>
        <w:autoSpaceDN w:val="0"/>
        <w:adjustRightInd w:val="0"/>
        <w:rPr>
          <w:rFonts w:cs="Times New Roman"/>
          <w:szCs w:val="24"/>
        </w:rPr>
      </w:pPr>
      <w:r w:rsidRPr="00C418AD">
        <w:rPr>
          <w:rFonts w:cs="Times New Roman"/>
          <w:szCs w:val="24"/>
        </w:rPr>
        <w:tab/>
      </w:r>
    </w:p>
    <w:p w14:paraId="577E8AB8" w14:textId="77777777" w:rsidR="00C418AD" w:rsidRPr="00C418AD" w:rsidRDefault="00C418AD" w:rsidP="00C418AD">
      <w:pPr>
        <w:autoSpaceDE w:val="0"/>
        <w:autoSpaceDN w:val="0"/>
        <w:adjustRightInd w:val="0"/>
        <w:ind w:firstLine="72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To assess falsity as a basis for a claim under Rule 10b-5, courts look to “the perspective</w:t>
      </w:r>
    </w:p>
    <w:p w14:paraId="2C9CA803" w14:textId="77777777" w:rsidR="00C418AD" w:rsidRPr="00C418AD" w:rsidRDefault="00C418AD" w:rsidP="00C418AD">
      <w:pPr>
        <w:autoSpaceDE w:val="0"/>
        <w:autoSpaceDN w:val="0"/>
        <w:adjustRightInd w:val="0"/>
        <w:rPr>
          <w:rFonts w:ascii="TimesNewRomanPS-ItalicMT" w:hAnsi="TimesNewRomanPS-ItalicMT" w:cs="TimesNewRomanPS-ItalicMT"/>
          <w:szCs w:val="24"/>
          <w14:ligatures w14:val="standardContextual"/>
        </w:rPr>
      </w:pPr>
      <w:r w:rsidRPr="00C418AD">
        <w:rPr>
          <w:rFonts w:ascii="TimesNewRomanPSMT" w:hAnsi="TimesNewRomanPSMT" w:cs="TimesNewRomanPSMT"/>
          <w:szCs w:val="24"/>
          <w14:ligatures w14:val="standardContextual"/>
        </w:rPr>
        <w:t xml:space="preserve">of the reasonable investor.” </w:t>
      </w:r>
      <w:r w:rsidRPr="00C418AD">
        <w:rPr>
          <w:rFonts w:ascii="TimesNewRomanPS-ItalicMT" w:hAnsi="TimesNewRomanPS-ItalicMT" w:cs="TimesNewRomanPS-ItalicMT"/>
          <w:i/>
          <w:iCs/>
          <w:szCs w:val="24"/>
          <w14:ligatures w14:val="standardContextual"/>
        </w:rPr>
        <w:t xml:space="preserve">Sneed v. Talphera, Inc., </w:t>
      </w:r>
      <w:r w:rsidRPr="00C418AD">
        <w:rPr>
          <w:rFonts w:ascii="TimesNewRomanPSMT" w:hAnsi="TimesNewRomanPSMT" w:cs="TimesNewRomanPSMT"/>
          <w:szCs w:val="24"/>
          <w14:ligatures w14:val="standardContextual"/>
        </w:rPr>
        <w:t xml:space="preserve">147 F.4th 1123, 1133 (9th Cir. 2025). A court needs “to look at ‘the context surrounding the statement.’”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(quoting </w:t>
      </w:r>
      <w:r w:rsidRPr="00C418AD">
        <w:rPr>
          <w:rFonts w:ascii="TimesNewRomanPS-ItalicMT" w:hAnsi="TimesNewRomanPS-ItalicMT" w:cs="TimesNewRomanPS-ItalicMT"/>
          <w:i/>
          <w:iCs/>
          <w:szCs w:val="24"/>
          <w14:ligatures w14:val="standardContextual"/>
        </w:rPr>
        <w:t>Weston Fam. P’ship. LLLP v.</w:t>
      </w:r>
      <w:r w:rsidRPr="00C418AD">
        <w:rPr>
          <w:rFonts w:ascii="TimesNewRomanPSMT" w:hAnsi="TimesNewRomanPSMT" w:cs="TimesNewRomanPSMT"/>
          <w:szCs w:val="24"/>
          <w14:ligatures w14:val="standardContextual"/>
        </w:rPr>
        <w:t xml:space="preserve"> </w:t>
      </w:r>
      <w:r w:rsidRPr="00C418AD">
        <w:rPr>
          <w:rFonts w:ascii="TimesNewRomanPS-ItalicMT" w:hAnsi="TimesNewRomanPS-ItalicMT" w:cs="TimesNewRomanPS-ItalicMT"/>
          <w:i/>
          <w:iCs/>
          <w:szCs w:val="24"/>
          <w14:ligatures w14:val="standardContextual"/>
        </w:rPr>
        <w:t>Twitter, Inc.</w:t>
      </w:r>
      <w:r w:rsidRPr="00C418A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(citing </w:t>
      </w:r>
      <w:r w:rsidRPr="00C418AD">
        <w:rPr>
          <w:rFonts w:ascii="TimesNewRomanPS-ItalicMT" w:hAnsi="TimesNewRomanPS-ItalicMT" w:cs="TimesNewRomanPS-ItalicMT"/>
          <w:i/>
          <w:iCs/>
          <w:szCs w:val="24"/>
          <w14:ligatures w14:val="standardContextual"/>
        </w:rPr>
        <w:t>SEC v. Monarch Fund</w:t>
      </w:r>
      <w:r w:rsidRPr="00C418A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C418AD">
        <w:rPr>
          <w:rFonts w:ascii="TimesNewRomanPS-ItalicMT" w:hAnsi="TimesNewRomanPS-ItalicMT" w:cs="TimesNewRomanPS-ItalicMT"/>
          <w:i/>
          <w:iCs/>
          <w:szCs w:val="24"/>
          <w14:ligatures w14:val="standardContextual"/>
        </w:rPr>
        <w:t>Omnicare, Inc.</w:t>
      </w:r>
      <w:r w:rsidRPr="00C418AD">
        <w:rPr>
          <w:rFonts w:ascii="TimesNewRomanPS-ItalicMT" w:hAnsi="TimesNewRomanPS-ItalicMT" w:cs="TimesNewRomanPS-ItalicMT"/>
          <w:szCs w:val="24"/>
          <w14:ligatures w14:val="standardContextual"/>
        </w:rPr>
        <w:t>,</w:t>
      </w:r>
      <w:r w:rsidRPr="00C418AD">
        <w:t xml:space="preserve"> </w:t>
      </w:r>
      <w:r w:rsidRPr="00C418AD">
        <w:rPr>
          <w:rFonts w:ascii="TimesNewRomanPS-ItalicMT" w:hAnsi="TimesNewRomanPS-ItalicMT" w:cs="TimesNewRomanPS-ItalicMT"/>
          <w:szCs w:val="24"/>
          <w14:ligatures w14:val="standardContextual"/>
        </w:rPr>
        <w:t>575 U.S. at 190.</w:t>
      </w:r>
    </w:p>
    <w:p w14:paraId="4D7D359C" w14:textId="77777777" w:rsidR="00C418AD" w:rsidRPr="00C418AD" w:rsidRDefault="00C418AD" w:rsidP="00867EC4">
      <w:pPr>
        <w:autoSpaceDE w:val="0"/>
        <w:autoSpaceDN w:val="0"/>
        <w:adjustRightInd w:val="0"/>
        <w:rPr>
          <w:rFonts w:cs="Times New Roman"/>
          <w:szCs w:val="24"/>
        </w:rPr>
      </w:pPr>
    </w:p>
    <w:p w14:paraId="040F4555" w14:textId="77777777" w:rsidR="00867EC4" w:rsidRPr="002B283E" w:rsidRDefault="00867EC4" w:rsidP="00867EC4">
      <w:pPr>
        <w:autoSpaceDE w:val="0"/>
        <w:autoSpaceDN w:val="0"/>
        <w:adjustRightInd w:val="0"/>
        <w:rPr>
          <w:rFonts w:cs="Times New Roman"/>
          <w:szCs w:val="24"/>
        </w:rPr>
      </w:pPr>
      <w:r w:rsidRPr="00C418AD">
        <w:rPr>
          <w:rFonts w:cs="Times New Roman"/>
          <w:szCs w:val="24"/>
        </w:rPr>
        <w:tab/>
        <w:t xml:space="preserve">As to “omissions,” the Supreme Court has held that Rule 10b-5 is violated by nondisclosure only when there is a duty to disclose. </w:t>
      </w:r>
      <w:r w:rsidRPr="00C418AD">
        <w:rPr>
          <w:rFonts w:cs="Times New Roman"/>
          <w:i/>
          <w:iCs/>
          <w:szCs w:val="24"/>
        </w:rPr>
        <w:t>See Basic Inc. v. Levinson</w:t>
      </w:r>
      <w:r w:rsidRPr="00C418AD">
        <w:rPr>
          <w:rFonts w:cs="Times New Roman"/>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r w:rsidRPr="00C418AD">
        <w:rPr>
          <w:rFonts w:cs="Times New Roman"/>
          <w:i/>
          <w:iCs/>
          <w:szCs w:val="24"/>
        </w:rPr>
        <w:t>Matrixx Initiatives, Inc. v. Siracusano</w:t>
      </w:r>
      <w:r w:rsidRPr="00C418AD">
        <w:rPr>
          <w:rFonts w:cs="Times New Roman"/>
          <w:szCs w:val="24"/>
        </w:rPr>
        <w:t xml:space="preserve">, 563 U.S. 27, 44 (2011) (citing 17 C.F.R. § 240.10b-5(b)); </w:t>
      </w:r>
      <w:r w:rsidRPr="00C418AD">
        <w:rPr>
          <w:rFonts w:cs="Times New Roman"/>
          <w:i/>
          <w:iCs/>
          <w:szCs w:val="24"/>
        </w:rPr>
        <w:t>see also Hanon v. Dataproducts Corp.</w:t>
      </w:r>
      <w:r w:rsidRPr="00C418AD">
        <w:rPr>
          <w:rFonts w:cs="Times New Roman"/>
          <w:szCs w:val="24"/>
        </w:rPr>
        <w:t xml:space="preserve">, 976 F.2d 497, 504 (9th Cir. 1992) (“Rule 10b-5 imposes a duty to disclose material facts that are necessary to make disclosed statements, whether mandatory or volunteered, not misleading”). In addition, the Supreme Court has stated that “[p]ure omissions </w:t>
      </w:r>
      <w:r w:rsidRPr="002B283E">
        <w:rPr>
          <w:rFonts w:cs="Times New Roman"/>
          <w:szCs w:val="24"/>
        </w:rPr>
        <w:t xml:space="preserve">are not actionable under Rule 10b-5(b).” </w:t>
      </w:r>
      <w:r w:rsidRPr="002B283E">
        <w:rPr>
          <w:rFonts w:cs="Times New Roman"/>
          <w:i/>
          <w:iCs/>
          <w:szCs w:val="24"/>
        </w:rPr>
        <w:t>Macquarie Infrastructure Corp. v. Moab Partners</w:t>
      </w:r>
      <w:r w:rsidRPr="002B283E">
        <w:rPr>
          <w:rFonts w:cs="Times New Roman"/>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58E38181" w14:textId="77777777" w:rsidR="00867EC4" w:rsidRPr="002B283E" w:rsidRDefault="00867EC4" w:rsidP="00867EC4">
      <w:pPr>
        <w:autoSpaceDE w:val="0"/>
        <w:autoSpaceDN w:val="0"/>
        <w:adjustRightInd w:val="0"/>
        <w:rPr>
          <w:rFonts w:cs="Times New Roman"/>
          <w:szCs w:val="24"/>
        </w:rPr>
      </w:pPr>
    </w:p>
    <w:p w14:paraId="2AEC1179" w14:textId="31ACD94C" w:rsidR="00867EC4" w:rsidRPr="002B283E" w:rsidRDefault="00867EC4" w:rsidP="00867EC4">
      <w:pPr>
        <w:autoSpaceDE w:val="0"/>
        <w:autoSpaceDN w:val="0"/>
        <w:adjustRightInd w:val="0"/>
        <w:rPr>
          <w:rFonts w:cs="Times New Roman"/>
          <w:szCs w:val="24"/>
        </w:rPr>
      </w:pPr>
      <w:r w:rsidRPr="002B283E">
        <w:rPr>
          <w:rFonts w:cs="Times New Roman"/>
          <w:szCs w:val="24"/>
        </w:rPr>
        <w:tab/>
        <w:t>A duty of disclosure also may arise when the parties have “a fiduciary or agency relationship, prior dealings</w:t>
      </w:r>
      <w:r w:rsidR="005E49D2">
        <w:rPr>
          <w:rFonts w:cs="Times New Roman"/>
          <w:szCs w:val="24"/>
        </w:rPr>
        <w:t>,</w:t>
      </w:r>
      <w:r w:rsidRPr="002B283E">
        <w:rPr>
          <w:rFonts w:cs="Times New Roman"/>
          <w:szCs w:val="24"/>
        </w:rPr>
        <w:t xml:space="preserve"> or circumstances such that one party has placed trust and confidence in the other.” </w:t>
      </w:r>
      <w:r w:rsidRPr="002B283E">
        <w:rPr>
          <w:rFonts w:cs="Times New Roman"/>
          <w:i/>
          <w:iCs/>
          <w:szCs w:val="24"/>
        </w:rPr>
        <w:t>Paracor Fin., Inc. v. Gen. Elec</w:t>
      </w:r>
      <w:r w:rsidR="005E49D2">
        <w:rPr>
          <w:rFonts w:cs="Times New Roman"/>
          <w:i/>
          <w:iCs/>
          <w:szCs w:val="24"/>
        </w:rPr>
        <w:t>.</w:t>
      </w:r>
      <w:r w:rsidRPr="002B283E">
        <w:rPr>
          <w:rFonts w:cs="Times New Roman"/>
          <w:i/>
          <w:iCs/>
          <w:szCs w:val="24"/>
        </w:rPr>
        <w:t xml:space="preserve"> Capital Corp., </w:t>
      </w:r>
      <w:r w:rsidRPr="002B283E">
        <w:rPr>
          <w:rFonts w:cs="Times New Roman"/>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2B283E">
        <w:rPr>
          <w:rFonts w:cs="Times New Roman"/>
          <w:i/>
          <w:iCs/>
          <w:szCs w:val="24"/>
        </w:rPr>
        <w:t>See Chiarella v. United States</w:t>
      </w:r>
      <w:r w:rsidRPr="002B283E">
        <w:rPr>
          <w:rFonts w:cs="Times New Roman"/>
          <w:szCs w:val="24"/>
        </w:rPr>
        <w:t xml:space="preserve">, 445 U.S. 222, 228 (1980) (recognizing that insider trading is actionable under Section 10(b) </w:t>
      </w:r>
      <w:r w:rsidRPr="002B283E">
        <w:rPr>
          <w:rFonts w:cs="Times New Roman"/>
          <w:szCs w:val="24"/>
        </w:rPr>
        <w:lastRenderedPageBreak/>
        <w:t xml:space="preserve">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tell[ing] a misleading half-truth about a material fact to a potential investor[,] . . . independent of any responsibilities arising from a trust relationship.” </w:t>
      </w:r>
      <w:r w:rsidRPr="002B283E">
        <w:rPr>
          <w:rFonts w:cs="Times New Roman"/>
          <w:i/>
          <w:iCs/>
          <w:szCs w:val="24"/>
        </w:rPr>
        <w:t>United States v. Laurienti</w:t>
      </w:r>
      <w:r w:rsidRPr="002B283E">
        <w:rPr>
          <w:rFonts w:cs="Times New Roman"/>
          <w:szCs w:val="24"/>
        </w:rPr>
        <w:t>, 611 F.3d 530, 541 (9th Cir. 2010).</w:t>
      </w:r>
    </w:p>
    <w:p w14:paraId="3D67201B"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r>
    </w:p>
    <w:p w14:paraId="38477AC9" w14:textId="0F084169"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“brokers,” the Ninth Circuit has used the totality-of-the-circumstances approach. </w:t>
      </w:r>
      <w:r w:rsidRPr="002B283E">
        <w:rPr>
          <w:rFonts w:cs="Times New Roman"/>
          <w:i/>
          <w:iCs/>
          <w:szCs w:val="24"/>
        </w:rPr>
        <w:t>See Hui Feng</w:t>
      </w:r>
      <w:r w:rsidRPr="002B283E">
        <w:rPr>
          <w:rFonts w:cs="Times New Roman"/>
          <w:szCs w:val="24"/>
        </w:rPr>
        <w:t>, 935 F.3d at 731-3</w:t>
      </w:r>
      <w:r w:rsidR="005E49D2">
        <w:rPr>
          <w:rFonts w:cs="Times New Roman"/>
          <w:szCs w:val="24"/>
        </w:rPr>
        <w:t>4</w:t>
      </w:r>
      <w:r w:rsidRPr="002B283E">
        <w:rPr>
          <w:rFonts w:cs="Times New Roman"/>
          <w:szCs w:val="24"/>
        </w:rPr>
        <w:t xml:space="preserve">. In determining if an individual acted as a broker, courts may consider whether that individual: </w:t>
      </w:r>
    </w:p>
    <w:p w14:paraId="293E35BB" w14:textId="77777777" w:rsidR="00867EC4" w:rsidRPr="002B283E" w:rsidRDefault="00867EC4" w:rsidP="00867EC4">
      <w:pPr>
        <w:autoSpaceDE w:val="0"/>
        <w:autoSpaceDN w:val="0"/>
        <w:adjustRightInd w:val="0"/>
        <w:rPr>
          <w:rFonts w:cs="Times New Roman"/>
          <w:szCs w:val="24"/>
        </w:rPr>
      </w:pPr>
    </w:p>
    <w:p w14:paraId="52A01010"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(1) is an employee of the issuer of the security; </w:t>
      </w:r>
    </w:p>
    <w:p w14:paraId="61951A71"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(2) received transaction-based income such as commissions rather than a salary; </w:t>
      </w:r>
    </w:p>
    <w:p w14:paraId="302438B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(3) sells or sold securities from other issuers; </w:t>
      </w:r>
    </w:p>
    <w:p w14:paraId="78A0B23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(4) was involved in negotiations between issuers and investors; </w:t>
      </w:r>
    </w:p>
    <w:p w14:paraId="47E31F0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(5) advertis[ed] for clients; </w:t>
      </w:r>
    </w:p>
    <w:p w14:paraId="6F2B6C2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(6) gave advice or made valuations regarding the investment; </w:t>
      </w:r>
    </w:p>
    <w:p w14:paraId="6FE1B92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(7) was an active finder of investors; and </w:t>
      </w:r>
    </w:p>
    <w:p w14:paraId="418855F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(8) regularly participates in securities transactions.</w:t>
      </w:r>
    </w:p>
    <w:p w14:paraId="265603DA" w14:textId="77777777" w:rsidR="00867EC4" w:rsidRPr="002B283E" w:rsidRDefault="00867EC4" w:rsidP="00867EC4">
      <w:pPr>
        <w:autoSpaceDE w:val="0"/>
        <w:autoSpaceDN w:val="0"/>
        <w:adjustRightInd w:val="0"/>
        <w:rPr>
          <w:rFonts w:cs="Times New Roman"/>
          <w:szCs w:val="24"/>
        </w:rPr>
      </w:pPr>
    </w:p>
    <w:p w14:paraId="4CDE7AFE" w14:textId="77777777" w:rsidR="00867EC4" w:rsidRPr="002B283E" w:rsidRDefault="00867EC4" w:rsidP="00867EC4">
      <w:pPr>
        <w:autoSpaceDE w:val="0"/>
        <w:autoSpaceDN w:val="0"/>
        <w:adjustRightInd w:val="0"/>
        <w:rPr>
          <w:rFonts w:cs="Times New Roman"/>
          <w:szCs w:val="24"/>
        </w:rPr>
      </w:pPr>
      <w:r w:rsidRPr="002B283E">
        <w:rPr>
          <w:rFonts w:cs="Times New Roman"/>
          <w:i/>
          <w:iCs/>
          <w:szCs w:val="24"/>
        </w:rPr>
        <w:t>Id.</w:t>
      </w:r>
    </w:p>
    <w:p w14:paraId="0E212FFA" w14:textId="77777777" w:rsidR="00867EC4" w:rsidRPr="002B283E" w:rsidRDefault="00867EC4" w:rsidP="00867EC4">
      <w:pPr>
        <w:autoSpaceDE w:val="0"/>
        <w:autoSpaceDN w:val="0"/>
        <w:adjustRightInd w:val="0"/>
        <w:rPr>
          <w:rFonts w:cs="Times New Roman"/>
          <w:szCs w:val="24"/>
        </w:rPr>
      </w:pPr>
    </w:p>
    <w:p w14:paraId="2A3A4B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“controlling persons,” </w:t>
      </w:r>
      <w:r w:rsidRPr="005E49D2">
        <w:rPr>
          <w:rFonts w:cs="Times New Roman"/>
          <w:szCs w:val="24"/>
        </w:rPr>
        <w:t xml:space="preserve">see </w:t>
      </w:r>
      <w:r w:rsidRPr="002B283E">
        <w:rPr>
          <w:rFonts w:cs="Times New Roman"/>
          <w:szCs w:val="24"/>
        </w:rPr>
        <w:t xml:space="preserve">Section 20(a) of the 1934 Act, 15 U.S.C. § 78f(a). </w:t>
      </w:r>
      <w:r w:rsidRPr="002B283E">
        <w:rPr>
          <w:rFonts w:cs="Times New Roman"/>
          <w:i/>
          <w:iCs/>
          <w:szCs w:val="24"/>
        </w:rPr>
        <w:t>See also</w:t>
      </w:r>
      <w:r w:rsidRPr="002B283E">
        <w:rPr>
          <w:rFonts w:cs="Times New Roman"/>
          <w:szCs w:val="24"/>
          <w:highlight w:val="white"/>
        </w:rPr>
        <w:t xml:space="preserve"> </w:t>
      </w:r>
      <w:r w:rsidRPr="002B283E">
        <w:rPr>
          <w:rFonts w:cs="Times New Roman"/>
          <w:i/>
          <w:iCs/>
          <w:szCs w:val="24"/>
          <w:highlight w:val="white"/>
        </w:rPr>
        <w:t>No. 84 Employer-Teamster Joint Council Pension Trust Fund v. America West Holding Corp.</w:t>
      </w:r>
      <w:r w:rsidRPr="002B283E">
        <w:rPr>
          <w:rFonts w:cs="Times New Roman"/>
          <w:szCs w:val="24"/>
          <w:highlight w:val="white"/>
        </w:rPr>
        <w:t>, 320 F.3d 920, 945 (9th Cir. 2003)</w:t>
      </w:r>
      <w:r w:rsidRPr="002B283E">
        <w:rPr>
          <w:rFonts w:cs="Times New Roman"/>
          <w:szCs w:val="24"/>
        </w:rPr>
        <w:t xml:space="preserve"> (discussing controlling person liability).</w:t>
      </w:r>
    </w:p>
    <w:p w14:paraId="1962265C" w14:textId="77777777" w:rsidR="00867EC4" w:rsidRPr="002B283E" w:rsidRDefault="00867EC4" w:rsidP="00867EC4">
      <w:pPr>
        <w:autoSpaceDE w:val="0"/>
        <w:autoSpaceDN w:val="0"/>
        <w:adjustRightInd w:val="0"/>
        <w:rPr>
          <w:rFonts w:cs="Times New Roman"/>
          <w:szCs w:val="24"/>
        </w:rPr>
      </w:pPr>
    </w:p>
    <w:p w14:paraId="65664F51" w14:textId="77777777" w:rsidR="00867EC4" w:rsidRPr="002B283E" w:rsidRDefault="00867EC4" w:rsidP="00867EC4">
      <w:pPr>
        <w:autoSpaceDE w:val="0"/>
        <w:autoSpaceDN w:val="0"/>
        <w:adjustRightInd w:val="0"/>
        <w:jc w:val="both"/>
        <w:rPr>
          <w:rFonts w:cs="Times New Roman"/>
          <w:szCs w:val="24"/>
        </w:rPr>
      </w:pPr>
      <w:r w:rsidRPr="002B283E">
        <w:rPr>
          <w:rFonts w:cs="Times New Roman"/>
          <w:szCs w:val="24"/>
        </w:rPr>
        <w:tab/>
        <w:t>Regarding the phrase “in connection with,” the Ninth Circuit has noted:</w:t>
      </w:r>
    </w:p>
    <w:p w14:paraId="20FDC399" w14:textId="77777777" w:rsidR="00867EC4" w:rsidRPr="002B283E" w:rsidRDefault="00867EC4" w:rsidP="00867EC4">
      <w:pPr>
        <w:autoSpaceDE w:val="0"/>
        <w:autoSpaceDN w:val="0"/>
        <w:adjustRightInd w:val="0"/>
        <w:jc w:val="both"/>
        <w:rPr>
          <w:rFonts w:cs="Times New Roman"/>
          <w:szCs w:val="24"/>
        </w:rPr>
      </w:pPr>
    </w:p>
    <w:p w14:paraId="42459102" w14:textId="77777777" w:rsidR="00867EC4" w:rsidRPr="002B283E" w:rsidRDefault="00867EC4" w:rsidP="00867EC4">
      <w:pPr>
        <w:autoSpaceDE w:val="0"/>
        <w:autoSpaceDN w:val="0"/>
        <w:adjustRightInd w:val="0"/>
        <w:ind w:left="720" w:right="720"/>
        <w:jc w:val="both"/>
        <w:rPr>
          <w:rFonts w:cs="Times New Roman"/>
          <w:szCs w:val="24"/>
          <w:highlight w:val="white"/>
        </w:rPr>
      </w:pPr>
      <w:r w:rsidRPr="002B283E">
        <w:rPr>
          <w:rFonts w:cs="Times New Roman"/>
          <w:szCs w:val="24"/>
          <w:highlight w:val="white"/>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14:paraId="01D8DE0F" w14:textId="77777777" w:rsidR="00867EC4" w:rsidRPr="002B283E" w:rsidRDefault="00867EC4" w:rsidP="00867EC4">
      <w:pPr>
        <w:autoSpaceDE w:val="0"/>
        <w:autoSpaceDN w:val="0"/>
        <w:adjustRightInd w:val="0"/>
        <w:rPr>
          <w:rFonts w:cs="Times New Roman"/>
          <w:szCs w:val="24"/>
          <w:highlight w:val="white"/>
        </w:rPr>
      </w:pPr>
    </w:p>
    <w:p w14:paraId="77CBA13D"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i/>
          <w:iCs/>
          <w:szCs w:val="24"/>
          <w:highlight w:val="white"/>
        </w:rPr>
        <w:t>Levine v. Diamanthuset, Inc.</w:t>
      </w:r>
      <w:r w:rsidRPr="002B283E">
        <w:rPr>
          <w:rFonts w:cs="Times New Roman"/>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2B283E">
        <w:rPr>
          <w:rFonts w:cs="Times New Roman"/>
          <w:i/>
          <w:iCs/>
          <w:szCs w:val="24"/>
          <w:highlight w:val="white"/>
        </w:rPr>
        <w:t>See Superintendent of Ins. v. Bankers Life &amp; Cas. Co.</w:t>
      </w:r>
      <w:r w:rsidRPr="002B283E">
        <w:rPr>
          <w:rFonts w:cs="Times New Roman"/>
          <w:szCs w:val="24"/>
          <w:highlight w:val="white"/>
        </w:rPr>
        <w:t>, 404 U.S. 6, 12 (1971) (holding that fraudulent conduct is “in connection with” a purchase or sale if the alleged fraudulent conduct is “touching” the securities transaction).</w:t>
      </w:r>
    </w:p>
    <w:p w14:paraId="59F59F6A" w14:textId="77777777" w:rsidR="00867EC4" w:rsidRPr="002B283E" w:rsidRDefault="00867EC4" w:rsidP="00867EC4">
      <w:pPr>
        <w:autoSpaceDE w:val="0"/>
        <w:autoSpaceDN w:val="0"/>
        <w:adjustRightInd w:val="0"/>
        <w:rPr>
          <w:rFonts w:cs="Times New Roman"/>
          <w:szCs w:val="24"/>
          <w:highlight w:val="white"/>
        </w:rPr>
      </w:pPr>
    </w:p>
    <w:p w14:paraId="3EF198D3"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w:t>
      </w:r>
      <w:r w:rsidRPr="002B283E">
        <w:rPr>
          <w:rFonts w:cs="Times New Roman"/>
          <w:szCs w:val="24"/>
        </w:rPr>
        <w:lastRenderedPageBreak/>
        <w:t xml:space="preserve">sufficient to satisfy the jurisdictional requirements. </w:t>
      </w:r>
      <w:r w:rsidRPr="002B283E">
        <w:rPr>
          <w:rFonts w:cs="Times New Roman"/>
          <w:i/>
          <w:iCs/>
          <w:szCs w:val="24"/>
        </w:rPr>
        <w:t>Spilker v. Shayne Labs., Inc.</w:t>
      </w:r>
      <w:r w:rsidRPr="002B283E">
        <w:rPr>
          <w:rFonts w:cs="Times New Roman"/>
          <w:szCs w:val="24"/>
        </w:rPr>
        <w:t>, 520 F.2d 523, 526 (9th Cir. 1975).</w:t>
      </w:r>
    </w:p>
    <w:p w14:paraId="55809F08" w14:textId="77777777"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w:t>
      </w:r>
    </w:p>
    <w:p w14:paraId="4261E194" w14:textId="730035D5"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 xml:space="preserve">Revised </w:t>
      </w:r>
      <w:r w:rsidR="00C418AD">
        <w:rPr>
          <w:rFonts w:cs="Times New Roman"/>
          <w:i/>
          <w:iCs/>
          <w:szCs w:val="24"/>
        </w:rPr>
        <w:t>December 2025</w:t>
      </w:r>
    </w:p>
    <w:p w14:paraId="4017C548" w14:textId="77777777" w:rsidR="00867EC4" w:rsidRPr="002B283E" w:rsidRDefault="00867EC4" w:rsidP="00867EC4">
      <w:pPr>
        <w:pStyle w:val="Heading2"/>
      </w:pPr>
      <w:r w:rsidRPr="002B283E">
        <w:br w:type="page"/>
      </w:r>
      <w:bookmarkStart w:id="451" w:name="_Toc196481973"/>
      <w:bookmarkStart w:id="452" w:name="_Toc221525344"/>
      <w:r w:rsidRPr="002B283E">
        <w:lastRenderedPageBreak/>
        <w:t>18.2 Securities—Rule 10b-5 Claim</w:t>
      </w:r>
      <w:bookmarkEnd w:id="451"/>
      <w:bookmarkEnd w:id="452"/>
    </w:p>
    <w:p w14:paraId="6AF81ED0" w14:textId="77777777" w:rsidR="00867EC4" w:rsidRPr="002B283E" w:rsidRDefault="00867EC4" w:rsidP="00867EC4">
      <w:pPr>
        <w:numPr>
          <w:ilvl w:val="12"/>
          <w:numId w:val="0"/>
        </w:numPr>
        <w:autoSpaceDE w:val="0"/>
        <w:autoSpaceDN w:val="0"/>
        <w:adjustRightInd w:val="0"/>
        <w:rPr>
          <w:rFonts w:cs="Times New Roman"/>
          <w:szCs w:val="24"/>
        </w:rPr>
      </w:pPr>
    </w:p>
    <w:p w14:paraId="4BC31297" w14:textId="678BA96C"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8A04C2">
        <w:rPr>
          <w:rFonts w:cs="Times New Roman"/>
          <w:i/>
          <w:iCs/>
          <w:szCs w:val="24"/>
          <w:u w:val="single"/>
        </w:rPr>
        <w:t>name</w:t>
      </w:r>
      <w:r>
        <w:rPr>
          <w:rFonts w:cs="Times New Roman"/>
          <w:szCs w:val="24"/>
        </w:rPr>
        <w:t xml:space="preserve">] </w:t>
      </w:r>
      <w:r w:rsidRPr="002B283E">
        <w:rPr>
          <w:rFonts w:cs="Times New Roman"/>
          <w:szCs w:val="24"/>
        </w:rPr>
        <w:t xml:space="preserve">alleges that the defendant </w:t>
      </w:r>
      <w:r w:rsidR="005E49D2">
        <w:rPr>
          <w:rFonts w:cs="Times New Roman"/>
          <w:szCs w:val="24"/>
        </w:rPr>
        <w:t>[</w:t>
      </w:r>
      <w:r w:rsidR="005E49D2" w:rsidRPr="008A04C2">
        <w:rPr>
          <w:rFonts w:cs="Times New Roman"/>
          <w:i/>
          <w:iCs/>
          <w:szCs w:val="24"/>
          <w:u w:val="single"/>
        </w:rPr>
        <w:t>name</w:t>
      </w:r>
      <w:r w:rsidR="005E49D2">
        <w:rPr>
          <w:rFonts w:cs="Times New Roman"/>
          <w:szCs w:val="24"/>
        </w:rPr>
        <w:t xml:space="preserve">] </w:t>
      </w:r>
      <w:r w:rsidRPr="002B283E">
        <w:rPr>
          <w:rFonts w:cs="Times New Roman"/>
          <w:szCs w:val="24"/>
        </w:rPr>
        <w:t xml:space="preserve">defrauded [him] [her] </w:t>
      </w:r>
      <w:bookmarkStart w:id="453" w:name="_Hlk166318306"/>
      <w:r w:rsidRPr="002B283E">
        <w:rPr>
          <w:rFonts w:cs="Times New Roman"/>
          <w:szCs w:val="24"/>
        </w:rPr>
        <w:t>[</w:t>
      </w:r>
      <w:r w:rsidRPr="002B283E">
        <w:rPr>
          <w:rFonts w:cs="Times New Roman"/>
          <w:i/>
          <w:iCs/>
          <w:szCs w:val="24"/>
          <w:u w:val="single"/>
        </w:rPr>
        <w:t>other pronoun</w:t>
      </w:r>
      <w:r w:rsidRPr="002B283E">
        <w:rPr>
          <w:rFonts w:cs="Times New Roman"/>
          <w:szCs w:val="24"/>
        </w:rPr>
        <w:t>]</w:t>
      </w:r>
      <w:bookmarkEnd w:id="453"/>
      <w:r w:rsidRPr="002B283E">
        <w:rPr>
          <w:rFonts w:cs="Times New Roman"/>
          <w:szCs w:val="24"/>
        </w:rPr>
        <w:t xml:space="preserve"> by [</w:t>
      </w:r>
      <w:r w:rsidRPr="002B283E">
        <w:rPr>
          <w:rFonts w:cs="Times New Roman"/>
          <w:i/>
          <w:iCs/>
          <w:szCs w:val="24"/>
          <w:u w:val="single"/>
        </w:rPr>
        <w:t>describe the plaintiff’s 10b-5 claim</w:t>
      </w:r>
      <w:r w:rsidRPr="002B283E">
        <w:rPr>
          <w:rFonts w:cs="Times New Roman"/>
          <w:szCs w:val="24"/>
        </w:rPr>
        <w:t>]. This is referred to as “the plaintiff’s 10b-5 claim.”</w:t>
      </w:r>
    </w:p>
    <w:p w14:paraId="15ACFC9B" w14:textId="77777777" w:rsidR="00867EC4" w:rsidRPr="002B283E" w:rsidRDefault="00867EC4" w:rsidP="00867EC4">
      <w:pPr>
        <w:numPr>
          <w:ilvl w:val="12"/>
          <w:numId w:val="0"/>
        </w:numPr>
        <w:autoSpaceDE w:val="0"/>
        <w:autoSpaceDN w:val="0"/>
        <w:adjustRightInd w:val="0"/>
        <w:rPr>
          <w:rFonts w:cs="Times New Roman"/>
          <w:szCs w:val="24"/>
        </w:rPr>
      </w:pPr>
    </w:p>
    <w:p w14:paraId="2863804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succeed on this claim,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each of the following five elements by a preponderance of the evidence:</w:t>
      </w:r>
    </w:p>
    <w:p w14:paraId="0C3DFA72" w14:textId="77777777" w:rsidR="00867EC4" w:rsidRPr="002B283E" w:rsidRDefault="00867EC4" w:rsidP="00867EC4">
      <w:pPr>
        <w:numPr>
          <w:ilvl w:val="12"/>
          <w:numId w:val="0"/>
        </w:numPr>
        <w:autoSpaceDE w:val="0"/>
        <w:autoSpaceDN w:val="0"/>
        <w:adjustRightInd w:val="0"/>
        <w:rPr>
          <w:rFonts w:cs="Times New Roman"/>
          <w:szCs w:val="24"/>
        </w:rPr>
      </w:pPr>
    </w:p>
    <w:p w14:paraId="40BD8D2E"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[made an untrue statement of a material fact] [omitted a material fact necessary under the circumstances to keep the statements that were made from being misleading] in connection with the [purchase] [sale] of securities;</w:t>
      </w:r>
    </w:p>
    <w:p w14:paraId="42DDE62B"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55D3CBE6"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[knowingly] [knowingly or recklessly] [recklessly];</w:t>
      </w:r>
    </w:p>
    <w:p w14:paraId="39420CF3"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5F78A5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Third,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omission;</w:t>
      </w:r>
    </w:p>
    <w:p w14:paraId="7481F63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8CF0C3F"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Fourth,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untrue statement of a material fact]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omission to state a necessary material fact] in [buying] [selling] securities; and</w:t>
      </w:r>
    </w:p>
    <w:p w14:paraId="7A15A15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2ADB088E" w14:textId="711CD709"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Fifth, the defendant</w:t>
      </w:r>
      <w:r w:rsidR="005E49D2">
        <w:rPr>
          <w:rFonts w:cs="Times New Roman"/>
          <w:szCs w:val="24"/>
        </w:rPr>
        <w:t xml:space="preserve"> </w:t>
      </w:r>
      <w:r>
        <w:rPr>
          <w:rFonts w:cs="Times New Roman"/>
          <w:szCs w:val="24"/>
        </w:rPr>
        <w:t>[</w:t>
      </w:r>
      <w:r w:rsidRPr="00382C45">
        <w:rPr>
          <w:rFonts w:cs="Times New Roman"/>
          <w:i/>
          <w:iCs/>
          <w:szCs w:val="24"/>
          <w:u w:val="single"/>
        </w:rPr>
        <w:t>name</w:t>
      </w:r>
      <w:r>
        <w:rPr>
          <w:rFonts w:cs="Times New Roman"/>
          <w:szCs w:val="24"/>
        </w:rPr>
        <w:t>]</w:t>
      </w:r>
      <w:r w:rsidR="005E49D2">
        <w:rPr>
          <w:rFonts w:cs="Times New Roman"/>
          <w:szCs w:val="24"/>
        </w:rPr>
        <w:t>’</w:t>
      </w:r>
      <w:r w:rsidRPr="002B283E">
        <w:rPr>
          <w:rFonts w:cs="Times New Roman"/>
          <w:szCs w:val="24"/>
        </w:rPr>
        <w:t xml:space="preserve">s [misrepresentation] [omission] caused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to suffer damages.</w:t>
      </w:r>
    </w:p>
    <w:p w14:paraId="2FE3FEF0" w14:textId="77777777" w:rsidR="00867EC4" w:rsidRPr="002B283E" w:rsidRDefault="00867EC4" w:rsidP="00867EC4">
      <w:pPr>
        <w:numPr>
          <w:ilvl w:val="12"/>
          <w:numId w:val="0"/>
        </w:numPr>
        <w:autoSpaceDE w:val="0"/>
        <w:autoSpaceDN w:val="0"/>
        <w:adjustRightInd w:val="0"/>
        <w:rPr>
          <w:rFonts w:cs="Times New Roman"/>
          <w:szCs w:val="24"/>
        </w:rPr>
      </w:pPr>
    </w:p>
    <w:p w14:paraId="58B7FE6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elements,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on the other hand,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any of these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25A683C4" w14:textId="77777777" w:rsidR="00867EC4" w:rsidRPr="002B283E" w:rsidRDefault="00867EC4" w:rsidP="00867EC4">
      <w:pPr>
        <w:numPr>
          <w:ilvl w:val="12"/>
          <w:numId w:val="0"/>
        </w:numPr>
        <w:autoSpaceDE w:val="0"/>
        <w:autoSpaceDN w:val="0"/>
        <w:adjustRightInd w:val="0"/>
        <w:rPr>
          <w:rFonts w:cs="Times New Roman"/>
          <w:szCs w:val="24"/>
        </w:rPr>
      </w:pPr>
    </w:p>
    <w:p w14:paraId="0019B659"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5751406" w14:textId="77777777" w:rsidR="00867EC4" w:rsidRPr="002B283E" w:rsidRDefault="00867EC4" w:rsidP="00867EC4">
      <w:pPr>
        <w:numPr>
          <w:ilvl w:val="12"/>
          <w:numId w:val="0"/>
        </w:numPr>
        <w:autoSpaceDE w:val="0"/>
        <w:autoSpaceDN w:val="0"/>
        <w:adjustRightInd w:val="0"/>
        <w:rPr>
          <w:rFonts w:cs="Times New Roman"/>
          <w:szCs w:val="24"/>
        </w:rPr>
      </w:pPr>
    </w:p>
    <w:p w14:paraId="278E2404" w14:textId="27206B16"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Retail Wholesale &amp; Dep’t Store Union Local 338 Ret</w:t>
      </w:r>
      <w:r w:rsidR="005E49D2">
        <w:rPr>
          <w:rFonts w:cs="Times New Roman"/>
          <w:i/>
          <w:iCs/>
          <w:szCs w:val="24"/>
        </w:rPr>
        <w:t>.</w:t>
      </w:r>
      <w:r w:rsidRPr="002B283E">
        <w:rPr>
          <w:rFonts w:cs="Times New Roman"/>
          <w:i/>
          <w:iCs/>
          <w:szCs w:val="24"/>
        </w:rPr>
        <w:t xml:space="preserve"> Fund v. Hewlett-Packard Co.</w:t>
      </w:r>
      <w:r w:rsidRPr="002B283E">
        <w:rPr>
          <w:rFonts w:cs="Times New Roman"/>
          <w:szCs w:val="24"/>
        </w:rPr>
        <w:t>, 845 F.3d 1268, 1274 (9th Cir. 2017) (listing elements of claim).</w:t>
      </w:r>
    </w:p>
    <w:p w14:paraId="13087C0E" w14:textId="77777777" w:rsidR="00867EC4" w:rsidRPr="002B283E" w:rsidRDefault="00867EC4" w:rsidP="00867EC4">
      <w:pPr>
        <w:numPr>
          <w:ilvl w:val="12"/>
          <w:numId w:val="0"/>
        </w:numPr>
        <w:autoSpaceDE w:val="0"/>
        <w:autoSpaceDN w:val="0"/>
        <w:adjustRightInd w:val="0"/>
        <w:rPr>
          <w:rFonts w:cs="Times New Roman"/>
          <w:szCs w:val="24"/>
        </w:rPr>
      </w:pPr>
    </w:p>
    <w:p w14:paraId="478BED51" w14:textId="758B5311" w:rsidR="00867EC4" w:rsidRPr="00A2330E" w:rsidRDefault="00867EC4" w:rsidP="00867EC4">
      <w:pPr>
        <w:numPr>
          <w:ilvl w:val="12"/>
          <w:numId w:val="0"/>
        </w:numPr>
        <w:adjustRightInd w:val="0"/>
        <w:rPr>
          <w:i/>
          <w:iCs/>
        </w:rPr>
      </w:pPr>
      <w:r w:rsidRPr="002B283E">
        <w:rPr>
          <w:rFonts w:cs="Times New Roman"/>
          <w:szCs w:val="24"/>
        </w:rPr>
        <w:tab/>
      </w:r>
      <w:r w:rsidRPr="005E49D2">
        <w:rPr>
          <w:rFonts w:cs="Times New Roman"/>
          <w:szCs w:val="24"/>
        </w:rPr>
        <w:t xml:space="preserve">See </w:t>
      </w:r>
      <w:r w:rsidRPr="002B283E">
        <w:rPr>
          <w:rFonts w:cs="Times New Roman"/>
          <w:szCs w:val="24"/>
        </w:rPr>
        <w:t xml:space="preserve">Instruction 18.1 (Securities—Purpose and </w:t>
      </w:r>
      <w:r w:rsidR="005E49D2">
        <w:rPr>
          <w:rFonts w:cs="Times New Roman"/>
          <w:szCs w:val="24"/>
        </w:rPr>
        <w:t xml:space="preserve">Selected </w:t>
      </w:r>
      <w:r w:rsidRPr="002B283E">
        <w:rPr>
          <w:rFonts w:cs="Times New Roman"/>
          <w:szCs w:val="24"/>
        </w:rPr>
        <w:t xml:space="preserve">Definitions) for definitions of “security,” “10b-5 claim,” “misrepresentation,” “omission,” “in connection with,” and “instrumentality of interstate commerce.” National security exchanges include the New York Stock Exchange and the NASDAQ Stock </w:t>
      </w:r>
      <w:r w:rsidRPr="00A2330E">
        <w:rPr>
          <w:rFonts w:cs="Times New Roman"/>
          <w:szCs w:val="24"/>
        </w:rPr>
        <w:t xml:space="preserve">Market. </w:t>
      </w:r>
      <w:r w:rsidRPr="00A2330E">
        <w:rPr>
          <w:i/>
          <w:iCs/>
        </w:rPr>
        <w:t xml:space="preserve">See </w:t>
      </w:r>
      <w:r w:rsidRPr="00A2330E">
        <w:t>Instruction 18.5 (Securities—Knowingly and Recklessly) for</w:t>
      </w:r>
    </w:p>
    <w:p w14:paraId="5E1C1A29" w14:textId="77777777" w:rsidR="00867EC4" w:rsidRPr="00A2330E" w:rsidRDefault="00867EC4" w:rsidP="00867EC4">
      <w:pPr>
        <w:numPr>
          <w:ilvl w:val="12"/>
          <w:numId w:val="0"/>
        </w:numPr>
        <w:autoSpaceDE w:val="0"/>
        <w:autoSpaceDN w:val="0"/>
        <w:adjustRightInd w:val="0"/>
        <w:rPr>
          <w:rFonts w:cs="Times New Roman"/>
          <w:szCs w:val="24"/>
        </w:rPr>
      </w:pPr>
      <w:r w:rsidRPr="00A2330E">
        <w:rPr>
          <w:rFonts w:cs="Times New Roman"/>
          <w:szCs w:val="24"/>
        </w:rPr>
        <w:t>definitions of “knowingly” and “recklessly.”</w:t>
      </w:r>
    </w:p>
    <w:p w14:paraId="772479A6" w14:textId="77777777" w:rsidR="00867EC4" w:rsidRPr="002B283E" w:rsidRDefault="00867EC4" w:rsidP="00867EC4">
      <w:pPr>
        <w:numPr>
          <w:ilvl w:val="12"/>
          <w:numId w:val="0"/>
        </w:numPr>
        <w:autoSpaceDE w:val="0"/>
        <w:autoSpaceDN w:val="0"/>
        <w:adjustRightInd w:val="0"/>
        <w:rPr>
          <w:rFonts w:cs="Times New Roman"/>
          <w:szCs w:val="24"/>
        </w:rPr>
      </w:pPr>
    </w:p>
    <w:p w14:paraId="4D5BBE94" w14:textId="77777777" w:rsidR="00867EC4" w:rsidRPr="002B283E" w:rsidRDefault="00867EC4" w:rsidP="00867EC4">
      <w:pPr>
        <w:numPr>
          <w:ilvl w:val="12"/>
          <w:numId w:val="0"/>
        </w:numPr>
        <w:autoSpaceDE w:val="0"/>
        <w:autoSpaceDN w:val="0"/>
        <w:adjustRightInd w:val="0"/>
        <w:rPr>
          <w:rFonts w:cs="Times New Roman"/>
          <w:szCs w:val="24"/>
        </w:rPr>
      </w:pPr>
    </w:p>
    <w:p w14:paraId="53AB158C" w14:textId="22A02DDB" w:rsidR="00867EC4" w:rsidRPr="002B283E" w:rsidRDefault="00867EC4" w:rsidP="00867EC4">
      <w:pPr>
        <w:numPr>
          <w:ilvl w:val="12"/>
          <w:numId w:val="0"/>
        </w:numPr>
        <w:autoSpaceDE w:val="0"/>
        <w:autoSpaceDN w:val="0"/>
        <w:adjustRightInd w:val="0"/>
        <w:rPr>
          <w:rFonts w:cs="Times New Roman"/>
          <w:i/>
          <w:iCs/>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78j(b) (making it unlawful to use </w:t>
      </w:r>
      <w:r w:rsidR="005E49D2">
        <w:rPr>
          <w:rFonts w:cs="Times New Roman"/>
          <w:szCs w:val="24"/>
        </w:rPr>
        <w:t xml:space="preserve">any </w:t>
      </w:r>
      <w:r w:rsidRPr="002B283E">
        <w:rPr>
          <w:rFonts w:cs="Times New Roman"/>
          <w:szCs w:val="24"/>
        </w:rPr>
        <w:t xml:space="preserve">deceptive device in connection with purchase or sale of security) and 17 C.F.R. § 240.10b-5 (making it unlawful to use </w:t>
      </w:r>
      <w:r w:rsidR="005E49D2">
        <w:rPr>
          <w:rFonts w:cs="Times New Roman"/>
          <w:szCs w:val="24"/>
        </w:rPr>
        <w:t xml:space="preserve">any </w:t>
      </w:r>
      <w:r w:rsidRPr="002B283E">
        <w:rPr>
          <w:rFonts w:cs="Times New Roman"/>
          <w:szCs w:val="24"/>
        </w:rPr>
        <w:lastRenderedPageBreak/>
        <w:t xml:space="preserve">device to defraud, to make untrue statement or omission of material fact, or to engage in fraudulent act in connection with purchase or sale of security). In </w:t>
      </w:r>
      <w:r w:rsidRPr="002B283E">
        <w:rPr>
          <w:rFonts w:cs="Times New Roman"/>
          <w:i/>
          <w:iCs/>
          <w:szCs w:val="24"/>
        </w:rPr>
        <w:t>Gray v. First Winthrop Corp.</w:t>
      </w:r>
      <w:r w:rsidRPr="002B283E">
        <w:rPr>
          <w:rFonts w:cs="Times New Roman"/>
          <w:szCs w:val="24"/>
        </w:rPr>
        <w:t xml:space="preserve">, 82 F.3d 877, 884 (9th Cir. 1996), the Ninth Circuit confirmed that the elements described in this instruction are required to prove a 10b-5 claim. </w:t>
      </w:r>
    </w:p>
    <w:p w14:paraId="65667745" w14:textId="77777777" w:rsidR="00867EC4" w:rsidRPr="002B283E" w:rsidRDefault="00867EC4" w:rsidP="00867EC4">
      <w:pPr>
        <w:numPr>
          <w:ilvl w:val="12"/>
          <w:numId w:val="0"/>
        </w:numPr>
        <w:autoSpaceDE w:val="0"/>
        <w:autoSpaceDN w:val="0"/>
        <w:adjustRightInd w:val="0"/>
        <w:rPr>
          <w:rFonts w:cs="Times New Roman"/>
          <w:szCs w:val="24"/>
        </w:rPr>
      </w:pPr>
    </w:p>
    <w:p w14:paraId="26FA82FC" w14:textId="10461C4A"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defendant “makes” a statement if the defendant has ultimate authority over the statement, including its content and whether and how to communicate it. </w:t>
      </w:r>
      <w:r w:rsidRPr="002B283E">
        <w:rPr>
          <w:rFonts w:cs="Times New Roman"/>
          <w:i/>
          <w:iCs/>
          <w:szCs w:val="24"/>
        </w:rPr>
        <w:t>Janus Capital Grp., Inc. v. First Derivative Traders</w:t>
      </w:r>
      <w:r w:rsidRPr="002B283E">
        <w:rPr>
          <w:rFonts w:cs="Times New Roman"/>
          <w:szCs w:val="24"/>
        </w:rPr>
        <w:t xml:space="preserve">, 564 U.S. 135, 142 (2011). A plaintiff must show that </w:t>
      </w:r>
      <w:r w:rsidR="005E49D2">
        <w:rPr>
          <w:rFonts w:cs="Times New Roman"/>
          <w:szCs w:val="24"/>
        </w:rPr>
        <w:t>the</w:t>
      </w:r>
      <w:r w:rsidRPr="002B283E">
        <w:rPr>
          <w:rFonts w:cs="Times New Roman"/>
          <w:szCs w:val="24"/>
        </w:rPr>
        <w:t xml:space="preserve"> defendant had control over the statement; a defendant’s significant involvement in the preparation of a prospectus containing an untrue or misleading statement is not enough to show that the defendant “made” that statement. </w:t>
      </w:r>
      <w:r w:rsidRPr="002B283E">
        <w:rPr>
          <w:rFonts w:cs="Times New Roman"/>
          <w:i/>
          <w:iCs/>
          <w:szCs w:val="24"/>
        </w:rPr>
        <w:t>Id</w:t>
      </w:r>
      <w:r w:rsidRPr="002B283E">
        <w:rPr>
          <w:rFonts w:cs="Times New Roman"/>
          <w:szCs w:val="24"/>
        </w:rPr>
        <w:t>.</w:t>
      </w:r>
      <w:r w:rsidR="005E49D2">
        <w:rPr>
          <w:rFonts w:cs="Times New Roman"/>
          <w:szCs w:val="24"/>
        </w:rPr>
        <w:t xml:space="preserve"> at 147-48.</w:t>
      </w:r>
    </w:p>
    <w:p w14:paraId="737FCD1E" w14:textId="77777777" w:rsidR="00867EC4" w:rsidRPr="002B283E" w:rsidRDefault="00867EC4" w:rsidP="00867EC4">
      <w:pPr>
        <w:numPr>
          <w:ilvl w:val="12"/>
          <w:numId w:val="0"/>
        </w:numPr>
        <w:autoSpaceDE w:val="0"/>
        <w:autoSpaceDN w:val="0"/>
        <w:adjustRightInd w:val="0"/>
        <w:rPr>
          <w:rFonts w:cs="Times New Roman"/>
          <w:szCs w:val="24"/>
        </w:rPr>
      </w:pPr>
    </w:p>
    <w:p w14:paraId="08ECF45C" w14:textId="2C23E552"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A defendant also may be liable if the defendant disseminates a false statement with the intent to defraud</w:t>
      </w:r>
      <w:r w:rsidR="00E54E76">
        <w:rPr>
          <w:rFonts w:cs="Times New Roman"/>
          <w:szCs w:val="24"/>
        </w:rPr>
        <w:t xml:space="preserve">. </w:t>
      </w:r>
      <w:r w:rsidRPr="002B283E">
        <w:rPr>
          <w:rFonts w:cs="Times New Roman"/>
          <w:i/>
          <w:iCs/>
          <w:szCs w:val="24"/>
        </w:rPr>
        <w:t>Lorenzo v. SEC</w:t>
      </w:r>
      <w:r w:rsidRPr="002B283E">
        <w:rPr>
          <w:rFonts w:cs="Times New Roman"/>
          <w:szCs w:val="24"/>
        </w:rPr>
        <w:t xml:space="preserve">, 587 U.S. 71, 74 (2019). Where a defendant does not “make” a statement but disseminates information that is “understood to contain material untruths,” such conduct can fall within the scope of a 10b-5 claim. </w:t>
      </w:r>
      <w:r w:rsidRPr="002B283E">
        <w:rPr>
          <w:rFonts w:cs="Times New Roman"/>
          <w:i/>
          <w:iCs/>
          <w:szCs w:val="24"/>
        </w:rPr>
        <w:t>Id</w:t>
      </w:r>
      <w:r w:rsidRPr="002B283E">
        <w:rPr>
          <w:rFonts w:cs="Times New Roman"/>
          <w:szCs w:val="24"/>
        </w:rPr>
        <w:t xml:space="preserve">. at 78; </w:t>
      </w:r>
      <w:r w:rsidRPr="002B283E">
        <w:rPr>
          <w:rFonts w:cs="Times New Roman"/>
          <w:i/>
          <w:iCs/>
          <w:szCs w:val="24"/>
        </w:rPr>
        <w:t xml:space="preserve">see also id. </w:t>
      </w:r>
      <w:r w:rsidRPr="002B283E">
        <w:rPr>
          <w:rFonts w:cs="Times New Roman"/>
          <w:szCs w:val="24"/>
        </w:rPr>
        <w:t xml:space="preserve">at 81 (“[U]sing false representations to induce the purchase of securities would seem a paradigmatic example of securities fraud.”). </w:t>
      </w:r>
    </w:p>
    <w:p w14:paraId="264C8647" w14:textId="77777777" w:rsidR="000A7F6E" w:rsidRDefault="000A7F6E" w:rsidP="000A7F6E">
      <w:pPr>
        <w:numPr>
          <w:ilvl w:val="12"/>
          <w:numId w:val="0"/>
        </w:numPr>
        <w:autoSpaceDE w:val="0"/>
        <w:autoSpaceDN w:val="0"/>
        <w:adjustRightInd w:val="0"/>
        <w:rPr>
          <w:rFonts w:cs="Times New Roman"/>
          <w:szCs w:val="24"/>
        </w:rPr>
      </w:pPr>
    </w:p>
    <w:p w14:paraId="60C825B6" w14:textId="77777777" w:rsidR="000A7F6E" w:rsidRPr="007F6C1E" w:rsidRDefault="000A7F6E" w:rsidP="000A7F6E">
      <w:pPr>
        <w:ind w:firstLine="720"/>
        <w:rPr>
          <w:rFonts w:cs="Times New Roman"/>
        </w:rPr>
      </w:pPr>
      <w:r w:rsidRPr="00692168">
        <w:rPr>
          <w:rFonts w:cs="Times New Roman"/>
        </w:rPr>
        <w:t xml:space="preserve">Defendants can claim the “safe harbor” protection for statements made about the future under the Private Securities Litigation Reform Act, 15 U.S.C. § 78u-4, but where the statement about the future is a warning about a future risk, the statement is “implicitly” a “comment on the </w:t>
      </w:r>
      <w:r w:rsidRPr="00692168">
        <w:rPr>
          <w:rFonts w:cs="Times New Roman"/>
          <w:i/>
          <w:iCs/>
        </w:rPr>
        <w:t>present</w:t>
      </w:r>
      <w:r w:rsidRPr="00692168">
        <w:rPr>
          <w:rFonts w:cs="Times New Roman"/>
        </w:rPr>
        <w:t xml:space="preserve"> state of affairs, because it suggests that the circumstance posing the risk has not yet occurred.” </w:t>
      </w:r>
      <w:r w:rsidRPr="00692168">
        <w:rPr>
          <w:rFonts w:cs="Times New Roman"/>
          <w:i/>
          <w:iCs/>
        </w:rPr>
        <w:t>Constr</w:t>
      </w:r>
      <w:r>
        <w:rPr>
          <w:rFonts w:cs="Times New Roman"/>
          <w:i/>
          <w:iCs/>
        </w:rPr>
        <w:t>.</w:t>
      </w:r>
      <w:r w:rsidRPr="00692168">
        <w:rPr>
          <w:rFonts w:cs="Times New Roman"/>
          <w:i/>
          <w:iCs/>
        </w:rPr>
        <w:t xml:space="preserve"> Laborers Pension Tr</w:t>
      </w:r>
      <w:r>
        <w:rPr>
          <w:rFonts w:cs="Times New Roman"/>
          <w:i/>
          <w:iCs/>
        </w:rPr>
        <w:t>.</w:t>
      </w:r>
      <w:r w:rsidRPr="00692168">
        <w:rPr>
          <w:rFonts w:cs="Times New Roman"/>
          <w:i/>
          <w:iCs/>
        </w:rPr>
        <w:t xml:space="preserve"> of Greater St. Louis v. Funko, Inc</w:t>
      </w:r>
      <w:r w:rsidRPr="00692168">
        <w:rPr>
          <w:rFonts w:cs="Times New Roman"/>
        </w:rPr>
        <w:t xml:space="preserve">., 166 F.4th 805, 825 (9th Cir. 2026) (emphasis in original). Thus, a risk factor warning about an alleged future risk that has already occurred is false and can give rise to liability under Section 10(b) and Rule 10b-5. </w:t>
      </w:r>
      <w:r w:rsidRPr="00692168">
        <w:rPr>
          <w:rFonts w:cs="Times New Roman"/>
          <w:i/>
          <w:iCs/>
        </w:rPr>
        <w:t>Id.</w:t>
      </w:r>
      <w:r w:rsidRPr="00222A17">
        <w:rPr>
          <w:rFonts w:cs="Times New Roman"/>
        </w:rPr>
        <w:t xml:space="preserve"> </w:t>
      </w:r>
    </w:p>
    <w:p w14:paraId="056715AA" w14:textId="77777777" w:rsidR="00867EC4" w:rsidRPr="002B283E" w:rsidRDefault="00867EC4" w:rsidP="00867EC4">
      <w:pPr>
        <w:numPr>
          <w:ilvl w:val="12"/>
          <w:numId w:val="0"/>
        </w:numPr>
        <w:autoSpaceDE w:val="0"/>
        <w:autoSpaceDN w:val="0"/>
        <w:adjustRightInd w:val="0"/>
        <w:rPr>
          <w:rFonts w:cs="Times New Roman"/>
          <w:szCs w:val="24"/>
        </w:rPr>
      </w:pPr>
    </w:p>
    <w:p w14:paraId="5EB6BCA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Before 2017, these instructions phrased the fourth element as requiring that “the plaintiff </w:t>
      </w:r>
      <w:r w:rsidRPr="002B283E">
        <w:rPr>
          <w:rFonts w:cs="Times New Roman"/>
          <w:i/>
          <w:iCs/>
          <w:szCs w:val="24"/>
        </w:rPr>
        <w:t>reasonably</w:t>
      </w:r>
      <w:r w:rsidRPr="002B283E">
        <w:rPr>
          <w:rFonts w:cs="Times New Roman"/>
          <w:szCs w:val="24"/>
        </w:rPr>
        <w:t xml:space="preserve"> relied” on the misrepresentation. Several Ninth Circuit cases, however, use the phrase “justifiable reliance.” </w:t>
      </w:r>
      <w:r w:rsidRPr="002B283E">
        <w:rPr>
          <w:rFonts w:cs="Times New Roman"/>
          <w:i/>
          <w:iCs/>
          <w:szCs w:val="24"/>
        </w:rPr>
        <w:t>See Livid Holdings Ltd. v. Salomon Smith Barney, Inc.</w:t>
      </w:r>
      <w:r w:rsidRPr="002B283E">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2B283E">
        <w:rPr>
          <w:rFonts w:cs="Times New Roman"/>
          <w:i/>
          <w:iCs/>
          <w:szCs w:val="24"/>
        </w:rPr>
        <w:t>Binder v. Gillespie</w:t>
      </w:r>
      <w:r w:rsidRPr="002B283E">
        <w:rPr>
          <w:rFonts w:cs="Times New Roman"/>
          <w:szCs w:val="24"/>
        </w:rPr>
        <w:t>, 184 F.3d 1059, 1063 (9th Cir. 1999);</w:t>
      </w:r>
      <w:r w:rsidRPr="002B283E">
        <w:rPr>
          <w:rFonts w:cs="Times New Roman"/>
          <w:i/>
          <w:iCs/>
          <w:szCs w:val="24"/>
        </w:rPr>
        <w:t xml:space="preserve"> Gray</w:t>
      </w:r>
      <w:r w:rsidRPr="002B283E">
        <w:rPr>
          <w:rFonts w:cs="Times New Roman"/>
          <w:szCs w:val="24"/>
        </w:rPr>
        <w:t>, 82 F.3d at 884.</w:t>
      </w:r>
    </w:p>
    <w:p w14:paraId="236F23DD" w14:textId="77777777" w:rsidR="00867EC4" w:rsidRPr="002B283E" w:rsidRDefault="00867EC4" w:rsidP="00867EC4">
      <w:pPr>
        <w:numPr>
          <w:ilvl w:val="12"/>
          <w:numId w:val="0"/>
        </w:numPr>
        <w:autoSpaceDE w:val="0"/>
        <w:autoSpaceDN w:val="0"/>
        <w:adjustRightInd w:val="0"/>
        <w:rPr>
          <w:rFonts w:cs="Times New Roman"/>
          <w:szCs w:val="24"/>
        </w:rPr>
      </w:pPr>
    </w:p>
    <w:p w14:paraId="79BF91AD" w14:textId="6C439BE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 xml:space="preserve"> Revised </w:t>
      </w:r>
      <w:r w:rsidR="000A7F6E">
        <w:rPr>
          <w:rFonts w:cs="Times New Roman"/>
          <w:i/>
          <w:iCs/>
          <w:szCs w:val="24"/>
        </w:rPr>
        <w:t>March 2026</w:t>
      </w:r>
    </w:p>
    <w:p w14:paraId="4544831F" w14:textId="77777777" w:rsidR="00867EC4" w:rsidRPr="002B283E" w:rsidRDefault="00867EC4" w:rsidP="00867EC4">
      <w:pPr>
        <w:pStyle w:val="Heading2"/>
      </w:pPr>
      <w:r w:rsidRPr="002B283E">
        <w:br w:type="page"/>
      </w:r>
      <w:bookmarkStart w:id="454" w:name="_Toc196481974"/>
      <w:bookmarkStart w:id="455" w:name="_Toc221525345"/>
      <w:r w:rsidRPr="002B283E">
        <w:lastRenderedPageBreak/>
        <w:t>18.3 Securities—Misrepresentations or Omissions—Materiality</w:t>
      </w:r>
      <w:bookmarkEnd w:id="454"/>
      <w:bookmarkEnd w:id="455"/>
    </w:p>
    <w:p w14:paraId="70671E0A" w14:textId="77777777" w:rsidR="00867EC4" w:rsidRPr="002B283E" w:rsidRDefault="00867EC4" w:rsidP="00867EC4">
      <w:pPr>
        <w:numPr>
          <w:ilvl w:val="12"/>
          <w:numId w:val="0"/>
        </w:numPr>
        <w:autoSpaceDE w:val="0"/>
        <w:autoSpaceDN w:val="0"/>
        <w:adjustRightInd w:val="0"/>
        <w:rPr>
          <w:rFonts w:cs="Times New Roman"/>
          <w:szCs w:val="24"/>
        </w:rPr>
      </w:pPr>
    </w:p>
    <w:p w14:paraId="3EF86769" w14:textId="77777777" w:rsidR="00867EC4" w:rsidRPr="002B283E" w:rsidRDefault="00867EC4" w:rsidP="00867EC4">
      <w:pPr>
        <w:shd w:val="clear" w:color="auto" w:fill="FFFFFF"/>
        <w:ind w:firstLine="720"/>
        <w:rPr>
          <w:rFonts w:eastAsia="Times New Roman" w:cs="Times New Roman"/>
          <w:szCs w:val="24"/>
        </w:rPr>
      </w:pPr>
      <w:bookmarkStart w:id="456" w:name="_Hlk105589843"/>
      <w:r w:rsidRPr="002B283E">
        <w:rPr>
          <w:rFonts w:eastAsia="Times New Roman" w:cs="Times New Roman"/>
          <w:szCs w:val="24"/>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eastAsia="Times New Roman" w:cs="Times New Roman"/>
          <w:szCs w:val="24"/>
        </w:rPr>
        <w:t>must prove by a preponderance of the evidence that the defendant</w:t>
      </w:r>
      <w:r>
        <w:rPr>
          <w:rFonts w:eastAsia="Times New Roman" w:cs="Times New Roman"/>
          <w:szCs w:val="24"/>
        </w:rPr>
        <w:t xml:space="preserve"> </w:t>
      </w:r>
      <w:r>
        <w:rPr>
          <w:rFonts w:cs="Times New Roman"/>
          <w:szCs w:val="24"/>
        </w:rPr>
        <w:t>[</w:t>
      </w:r>
      <w:r w:rsidRPr="00382C45">
        <w:rPr>
          <w:rFonts w:cs="Times New Roman"/>
          <w:i/>
          <w:iCs/>
          <w:szCs w:val="24"/>
          <w:u w:val="single"/>
        </w:rPr>
        <w:t>name</w:t>
      </w:r>
      <w:r>
        <w:rPr>
          <w:rFonts w:cs="Times New Roman"/>
          <w:szCs w:val="24"/>
        </w:rPr>
        <w:t>]</w:t>
      </w:r>
      <w:r w:rsidRPr="002B283E">
        <w:rPr>
          <w:rFonts w:eastAsia="Times New Roman" w:cs="Times New Roman"/>
          <w:szCs w:val="24"/>
        </w:rPr>
        <w:t xml:space="preserve">’s misrepresentation or omission was material. A factual representation concerning a security is material if there is a substantial likelihood a reasonable investor would consider the fact important in deciding whether to buy or sell that security. An omission concerning a security is material if a reasonable investor would have regarded what was not disclosed to [him]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as having significantly altered the total mix of information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took into account in deciding whether to buy or sell the security.</w:t>
      </w:r>
    </w:p>
    <w:p w14:paraId="5AA3F1B2" w14:textId="77777777" w:rsidR="00867EC4" w:rsidRDefault="00867EC4" w:rsidP="00867EC4">
      <w:pPr>
        <w:shd w:val="clear" w:color="auto" w:fill="FFFFFF"/>
        <w:ind w:firstLine="720"/>
        <w:rPr>
          <w:rFonts w:eastAsia="Times New Roman" w:cs="Times New Roman"/>
          <w:szCs w:val="24"/>
        </w:rPr>
      </w:pPr>
    </w:p>
    <w:p w14:paraId="5E7C2F9A"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You must decide whether something was material based on the circumstances as they existed at the time of the statement or omission.</w:t>
      </w:r>
    </w:p>
    <w:p w14:paraId="5D3AFD09" w14:textId="77777777" w:rsidR="00867EC4" w:rsidRPr="002B283E" w:rsidRDefault="00867EC4" w:rsidP="00867EC4">
      <w:pPr>
        <w:shd w:val="clear" w:color="auto" w:fill="FFFFFF"/>
        <w:ind w:firstLine="720"/>
        <w:rPr>
          <w:rFonts w:eastAsia="Times New Roman" w:cs="Times New Roman"/>
          <w:szCs w:val="24"/>
        </w:rPr>
      </w:pPr>
    </w:p>
    <w:p w14:paraId="3B0A3729"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1F2E129" w14:textId="77777777" w:rsidR="00867EC4" w:rsidRPr="002B283E" w:rsidRDefault="00867EC4" w:rsidP="00867EC4">
      <w:pPr>
        <w:autoSpaceDE w:val="0"/>
        <w:autoSpaceDN w:val="0"/>
        <w:adjustRightInd w:val="0"/>
        <w:rPr>
          <w:rFonts w:cs="Times New Roman"/>
          <w:szCs w:val="24"/>
        </w:rPr>
      </w:pPr>
    </w:p>
    <w:p w14:paraId="2DB49D64"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In </w:t>
      </w:r>
      <w:r w:rsidRPr="002B283E">
        <w:rPr>
          <w:rFonts w:eastAsia="Times New Roman" w:cs="Times New Roman"/>
          <w:i/>
          <w:iCs/>
          <w:szCs w:val="24"/>
        </w:rPr>
        <w:t>Basic Inc. v. Levinson</w:t>
      </w:r>
      <w:r w:rsidRPr="002B283E">
        <w:rPr>
          <w:rFonts w:eastAsia="Times New Roman" w:cs="Times New Roman"/>
          <w:szCs w:val="24"/>
        </w:rPr>
        <w:t>, 485 U.S. 224, 231 (1988), the Supreme Court adopted the standard for materiality developed in </w:t>
      </w:r>
      <w:r w:rsidRPr="002B283E">
        <w:rPr>
          <w:rFonts w:eastAsia="Times New Roman" w:cs="Times New Roman"/>
          <w:i/>
          <w:iCs/>
          <w:szCs w:val="24"/>
        </w:rPr>
        <w:t>TSC Industries, Inc. v. Northway, Inc.</w:t>
      </w:r>
      <w:r w:rsidRPr="002B283E">
        <w:rPr>
          <w:rFonts w:eastAsia="Times New Roman" w:cs="Times New Roman"/>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2B283E">
        <w:rPr>
          <w:rFonts w:eastAsia="Times New Roman" w:cs="Times New Roman"/>
          <w:i/>
          <w:iCs/>
          <w:szCs w:val="24"/>
        </w:rPr>
        <w:t>In re Alphabet, Inc. Sec. Litig</w:t>
      </w:r>
      <w:r w:rsidRPr="002B283E">
        <w:rPr>
          <w:rFonts w:eastAsia="Times New Roman" w:cs="Times New Roman"/>
          <w:szCs w:val="24"/>
        </w:rPr>
        <w:t>., 1 F.4th 687, 705 (9th Cir. 2021).</w:t>
      </w:r>
    </w:p>
    <w:p w14:paraId="0506C15A" w14:textId="77777777" w:rsidR="00867EC4" w:rsidRPr="002B283E" w:rsidRDefault="00867EC4" w:rsidP="00867EC4">
      <w:pPr>
        <w:shd w:val="clear" w:color="auto" w:fill="FFFFFF"/>
        <w:rPr>
          <w:rFonts w:eastAsia="Times New Roman" w:cs="Times New Roman"/>
          <w:szCs w:val="24"/>
        </w:rPr>
      </w:pPr>
    </w:p>
    <w:p w14:paraId="6F3439C3" w14:textId="73AD6BE8"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In discussing materiality, the Ninth Circuit has applied </w:t>
      </w:r>
      <w:r w:rsidRPr="002B283E">
        <w:rPr>
          <w:rFonts w:eastAsia="Times New Roman" w:cs="Times New Roman"/>
          <w:i/>
          <w:iCs/>
          <w:szCs w:val="24"/>
        </w:rPr>
        <w:t>TSC Industries</w:t>
      </w:r>
      <w:r w:rsidRPr="002B283E">
        <w:rPr>
          <w:rFonts w:eastAsia="Times New Roman" w:cs="Times New Roman"/>
          <w:szCs w:val="24"/>
        </w:rPr>
        <w:t> and </w:t>
      </w:r>
      <w:r w:rsidRPr="002B283E">
        <w:rPr>
          <w:rFonts w:eastAsia="Times New Roman" w:cs="Times New Roman"/>
          <w:i/>
          <w:iCs/>
          <w:szCs w:val="24"/>
        </w:rPr>
        <w:t xml:space="preserve">Basic Inc. </w:t>
      </w:r>
      <w:r w:rsidRPr="002B283E">
        <w:rPr>
          <w:rFonts w:eastAsia="Times New Roman" w:cs="Times New Roman"/>
          <w:szCs w:val="24"/>
        </w:rPr>
        <w:t xml:space="preserve">in various formulations. </w:t>
      </w:r>
      <w:r w:rsidRPr="002B283E">
        <w:rPr>
          <w:rFonts w:eastAsia="Times New Roman" w:cs="Times New Roman"/>
          <w:i/>
          <w:iCs/>
          <w:szCs w:val="24"/>
        </w:rPr>
        <w:t>See</w:t>
      </w:r>
      <w:r w:rsidRPr="008A04C2">
        <w:rPr>
          <w:rFonts w:eastAsia="Times New Roman" w:cs="Times New Roman"/>
          <w:szCs w:val="24"/>
        </w:rPr>
        <w:t>,</w:t>
      </w:r>
      <w:r w:rsidRPr="002B283E">
        <w:rPr>
          <w:rFonts w:eastAsia="Times New Roman" w:cs="Times New Roman"/>
          <w:i/>
          <w:iCs/>
          <w:szCs w:val="24"/>
        </w:rPr>
        <w:t xml:space="preserve"> e.g.</w:t>
      </w:r>
      <w:r w:rsidRPr="002B283E">
        <w:rPr>
          <w:rFonts w:eastAsia="Times New Roman" w:cs="Times New Roman"/>
          <w:szCs w:val="24"/>
        </w:rPr>
        <w:t>,</w:t>
      </w:r>
      <w:r w:rsidRPr="002B283E">
        <w:rPr>
          <w:rFonts w:eastAsia="Times New Roman" w:cs="Times New Roman"/>
          <w:i/>
          <w:iCs/>
          <w:szCs w:val="24"/>
        </w:rPr>
        <w:t> SEC v. Hui Feng</w:t>
      </w:r>
      <w:r w:rsidRPr="002B283E">
        <w:rPr>
          <w:rFonts w:eastAsia="Times New Roman" w:cs="Times New Roman"/>
          <w:szCs w:val="24"/>
        </w:rPr>
        <w:t xml:space="preserve">, 935 F.3d 721, 736 (9th Cir. 2019) (applying </w:t>
      </w:r>
      <w:r w:rsidRPr="002B283E">
        <w:rPr>
          <w:rFonts w:eastAsia="Times New Roman" w:cs="Times New Roman"/>
          <w:i/>
          <w:iCs/>
          <w:szCs w:val="24"/>
        </w:rPr>
        <w:t>TSC</w:t>
      </w:r>
      <w:r w:rsidR="005E49D2">
        <w:rPr>
          <w:rFonts w:eastAsia="Times New Roman" w:cs="Times New Roman"/>
          <w:i/>
          <w:iCs/>
          <w:szCs w:val="24"/>
        </w:rPr>
        <w:t xml:space="preserve"> Industries</w:t>
      </w:r>
      <w:r w:rsidRPr="002B283E">
        <w:rPr>
          <w:rFonts w:eastAsia="Times New Roman" w:cs="Times New Roman"/>
          <w:i/>
          <w:iCs/>
          <w:szCs w:val="24"/>
        </w:rPr>
        <w:t xml:space="preserve"> </w:t>
      </w:r>
      <w:r w:rsidRPr="002B283E">
        <w:rPr>
          <w:rFonts w:eastAsia="Times New Roman" w:cs="Times New Roman"/>
          <w:szCs w:val="24"/>
        </w:rPr>
        <w:t xml:space="preserve">materiality test);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946-48 (9th Cir. 2005) (applying </w:t>
      </w:r>
      <w:r w:rsidRPr="002B283E">
        <w:rPr>
          <w:rFonts w:eastAsia="Times New Roman" w:cs="Times New Roman"/>
          <w:i/>
          <w:iCs/>
          <w:szCs w:val="24"/>
        </w:rPr>
        <w:t xml:space="preserve">Basic Inc. </w:t>
      </w:r>
      <w:r w:rsidRPr="002B283E">
        <w:rPr>
          <w:rFonts w:eastAsia="Times New Roman" w:cs="Times New Roman"/>
          <w:szCs w:val="24"/>
        </w:rPr>
        <w:t xml:space="preserve">materiality test); </w:t>
      </w:r>
      <w:r w:rsidRPr="002B283E">
        <w:rPr>
          <w:rFonts w:eastAsia="Times New Roman" w:cs="Times New Roman"/>
          <w:i/>
          <w:iCs/>
          <w:szCs w:val="24"/>
        </w:rPr>
        <w:t>No. 84 Emp’r-Teamster Joint Council Pension Trust Fund v. Am. W. Holding Corp</w:t>
      </w:r>
      <w:r w:rsidRPr="002B283E">
        <w:rPr>
          <w:rFonts w:eastAsia="Times New Roman" w:cs="Times New Roman"/>
          <w:szCs w:val="24"/>
        </w:rPr>
        <w:t xml:space="preserve">., 320 F.3d 920, 934 (9th Cir. 2003) (declining to adopt </w:t>
      </w:r>
      <w:r w:rsidR="005E49D2">
        <w:rPr>
          <w:rFonts w:eastAsia="Times New Roman" w:cs="Times New Roman"/>
          <w:szCs w:val="24"/>
        </w:rPr>
        <w:t xml:space="preserve">a </w:t>
      </w:r>
      <w:r w:rsidRPr="002B283E">
        <w:rPr>
          <w:rFonts w:eastAsia="Times New Roman" w:cs="Times New Roman"/>
          <w:szCs w:val="24"/>
        </w:rPr>
        <w:t xml:space="preserve">bright line rule for materiality that would require </w:t>
      </w:r>
      <w:r w:rsidR="005E49D2">
        <w:rPr>
          <w:rFonts w:eastAsia="Times New Roman" w:cs="Times New Roman"/>
          <w:szCs w:val="24"/>
        </w:rPr>
        <w:t xml:space="preserve">an </w:t>
      </w:r>
      <w:r w:rsidRPr="002B283E">
        <w:rPr>
          <w:rFonts w:eastAsia="Times New Roman" w:cs="Times New Roman"/>
          <w:szCs w:val="24"/>
        </w:rPr>
        <w:t xml:space="preserve">immediate change in stock price and instead engaging in </w:t>
      </w:r>
      <w:r w:rsidR="005E49D2">
        <w:rPr>
          <w:rFonts w:eastAsia="Times New Roman" w:cs="Times New Roman"/>
          <w:szCs w:val="24"/>
        </w:rPr>
        <w:t xml:space="preserve">a </w:t>
      </w:r>
      <w:r w:rsidRPr="002B283E">
        <w:rPr>
          <w:rFonts w:eastAsia="Times New Roman" w:cs="Times New Roman"/>
          <w:szCs w:val="24"/>
        </w:rPr>
        <w:t xml:space="preserve">“fact-specific inquiry” under </w:t>
      </w:r>
      <w:r w:rsidRPr="002B283E">
        <w:rPr>
          <w:rFonts w:eastAsia="Times New Roman" w:cs="Times New Roman"/>
          <w:i/>
          <w:iCs/>
          <w:szCs w:val="24"/>
        </w:rPr>
        <w:t>Basic Inc.</w:t>
      </w:r>
      <w:r w:rsidRPr="002B283E">
        <w:rPr>
          <w:rFonts w:eastAsia="Times New Roman" w:cs="Times New Roman"/>
          <w:szCs w:val="24"/>
        </w:rPr>
        <w:t xml:space="preserve">); </w:t>
      </w:r>
      <w:r w:rsidRPr="002B283E">
        <w:rPr>
          <w:rFonts w:eastAsia="Times New Roman" w:cs="Times New Roman"/>
          <w:i/>
          <w:iCs/>
          <w:szCs w:val="24"/>
        </w:rPr>
        <w:t>In re Stac Electrs. Sec. Litig.</w:t>
      </w:r>
      <w:r w:rsidRPr="002B283E">
        <w:rPr>
          <w:rFonts w:eastAsia="Times New Roman" w:cs="Times New Roman"/>
          <w:szCs w:val="24"/>
        </w:rPr>
        <w:t xml:space="preserve">, 89 F.3d 1399, 1408 (9th Cir. 1996) (applying test of whether there was </w:t>
      </w:r>
      <w:r w:rsidR="005E49D2">
        <w:rPr>
          <w:rFonts w:eastAsia="Times New Roman" w:cs="Times New Roman"/>
          <w:szCs w:val="24"/>
        </w:rPr>
        <w:t xml:space="preserve">a </w:t>
      </w:r>
      <w:r w:rsidRPr="002B283E">
        <w:rPr>
          <w:rFonts w:eastAsia="Times New Roman" w:cs="Times New Roman"/>
          <w:szCs w:val="24"/>
        </w:rPr>
        <w:t xml:space="preserve">substantial likelihood that </w:t>
      </w:r>
      <w:r w:rsidR="005E49D2">
        <w:rPr>
          <w:rFonts w:eastAsia="Times New Roman" w:cs="Times New Roman"/>
          <w:szCs w:val="24"/>
        </w:rPr>
        <w:t xml:space="preserve">the </w:t>
      </w:r>
      <w:r w:rsidRPr="002B283E">
        <w:rPr>
          <w:rFonts w:eastAsia="Times New Roman" w:cs="Times New Roman"/>
          <w:szCs w:val="24"/>
        </w:rPr>
        <w:t xml:space="preserve">omitted fact would have been viewed by reasonable investor as having significantly altered </w:t>
      </w:r>
      <w:r w:rsidR="005E49D2">
        <w:rPr>
          <w:rFonts w:eastAsia="Times New Roman" w:cs="Times New Roman"/>
          <w:szCs w:val="24"/>
        </w:rPr>
        <w:t xml:space="preserve">the </w:t>
      </w:r>
      <w:r w:rsidRPr="002B283E">
        <w:rPr>
          <w:rFonts w:eastAsia="Times New Roman" w:cs="Times New Roman"/>
          <w:szCs w:val="24"/>
        </w:rPr>
        <w:t xml:space="preserve">“total mix” of information made available); </w:t>
      </w:r>
      <w:r w:rsidRPr="002B283E">
        <w:rPr>
          <w:rFonts w:eastAsia="Times New Roman" w:cs="Times New Roman"/>
          <w:i/>
          <w:iCs/>
          <w:szCs w:val="24"/>
        </w:rPr>
        <w:t>Kaplan v. Rose</w:t>
      </w:r>
      <w:r w:rsidRPr="002B283E">
        <w:rPr>
          <w:rFonts w:eastAsia="Times New Roman" w:cs="Times New Roman"/>
          <w:szCs w:val="24"/>
        </w:rPr>
        <w:t xml:space="preserve">, 49 F.3d 1363, 1371 (9th Cir. 1994) (applying test of whether </w:t>
      </w:r>
      <w:r w:rsidR="005E49D2">
        <w:rPr>
          <w:rFonts w:eastAsia="Times New Roman" w:cs="Times New Roman"/>
          <w:szCs w:val="24"/>
        </w:rPr>
        <w:t xml:space="preserve">the </w:t>
      </w:r>
      <w:r w:rsidRPr="002B283E">
        <w:rPr>
          <w:rFonts w:eastAsia="Times New Roman" w:cs="Times New Roman"/>
          <w:szCs w:val="24"/>
        </w:rPr>
        <w:t xml:space="preserve">omission or misrepresentation would have misled </w:t>
      </w:r>
      <w:r w:rsidR="005E49D2">
        <w:rPr>
          <w:rFonts w:eastAsia="Times New Roman" w:cs="Times New Roman"/>
          <w:szCs w:val="24"/>
        </w:rPr>
        <w:t xml:space="preserve">a </w:t>
      </w:r>
      <w:r w:rsidRPr="002B283E">
        <w:rPr>
          <w:rFonts w:eastAsia="Times New Roman" w:cs="Times New Roman"/>
          <w:szCs w:val="24"/>
        </w:rPr>
        <w:t xml:space="preserve">reasonable investor about </w:t>
      </w:r>
      <w:r w:rsidR="005E49D2">
        <w:rPr>
          <w:rFonts w:eastAsia="Times New Roman" w:cs="Times New Roman"/>
          <w:szCs w:val="24"/>
        </w:rPr>
        <w:t xml:space="preserve">the </w:t>
      </w:r>
      <w:r w:rsidRPr="002B283E">
        <w:rPr>
          <w:rFonts w:eastAsia="Times New Roman" w:cs="Times New Roman"/>
          <w:szCs w:val="24"/>
        </w:rPr>
        <w:t xml:space="preserve">nature of his or her investment); </w:t>
      </w:r>
      <w:r w:rsidRPr="002B283E">
        <w:rPr>
          <w:rFonts w:eastAsia="Times New Roman" w:cs="Times New Roman"/>
          <w:i/>
          <w:iCs/>
          <w:szCs w:val="24"/>
        </w:rPr>
        <w:t>McGonigle v. Combs</w:t>
      </w:r>
      <w:r w:rsidRPr="002B283E">
        <w:rPr>
          <w:rFonts w:eastAsia="Times New Roman" w:cs="Times New Roman"/>
          <w:szCs w:val="24"/>
        </w:rPr>
        <w:t xml:space="preserve">, 968 F.2d 810, 817 (9th Cir. 1992) (applying test of whether there was </w:t>
      </w:r>
      <w:r w:rsidR="005E49D2">
        <w:rPr>
          <w:rFonts w:eastAsia="Times New Roman" w:cs="Times New Roman"/>
          <w:szCs w:val="24"/>
        </w:rPr>
        <w:t xml:space="preserve">a </w:t>
      </w:r>
      <w:r w:rsidRPr="002B283E">
        <w:rPr>
          <w:rFonts w:eastAsia="Times New Roman" w:cs="Times New Roman"/>
          <w:szCs w:val="24"/>
        </w:rPr>
        <w:t xml:space="preserve">substantial likelihood that, under all the circumstances, </w:t>
      </w:r>
      <w:r w:rsidR="005E49D2">
        <w:rPr>
          <w:rFonts w:eastAsia="Times New Roman" w:cs="Times New Roman"/>
          <w:szCs w:val="24"/>
        </w:rPr>
        <w:t xml:space="preserve">the </w:t>
      </w:r>
      <w:r w:rsidRPr="002B283E">
        <w:rPr>
          <w:rFonts w:eastAsia="Times New Roman" w:cs="Times New Roman"/>
          <w:szCs w:val="24"/>
        </w:rPr>
        <w:t>omitted fact would have assumed actual significance in</w:t>
      </w:r>
      <w:r w:rsidR="005E49D2">
        <w:rPr>
          <w:rFonts w:eastAsia="Times New Roman" w:cs="Times New Roman"/>
          <w:szCs w:val="24"/>
        </w:rPr>
        <w:t xml:space="preserve"> the</w:t>
      </w:r>
      <w:r w:rsidRPr="002B283E">
        <w:rPr>
          <w:rFonts w:eastAsia="Times New Roman" w:cs="Times New Roman"/>
          <w:szCs w:val="24"/>
        </w:rPr>
        <w:t xml:space="preserve"> deliberations of </w:t>
      </w:r>
      <w:r w:rsidR="005E49D2">
        <w:rPr>
          <w:rFonts w:eastAsia="Times New Roman" w:cs="Times New Roman"/>
          <w:szCs w:val="24"/>
        </w:rPr>
        <w:t xml:space="preserve">a </w:t>
      </w:r>
      <w:r w:rsidRPr="002B283E">
        <w:rPr>
          <w:rFonts w:eastAsia="Times New Roman" w:cs="Times New Roman"/>
          <w:szCs w:val="24"/>
        </w:rPr>
        <w:t xml:space="preserve">reasonable shareholder); </w:t>
      </w:r>
      <w:r w:rsidRPr="002B283E">
        <w:rPr>
          <w:rFonts w:eastAsia="Times New Roman" w:cs="Times New Roman"/>
          <w:i/>
          <w:iCs/>
          <w:szCs w:val="24"/>
        </w:rPr>
        <w:t>see also In re Atossa Genetics Inc. Sec. Litig.</w:t>
      </w:r>
      <w:r w:rsidRPr="002B283E">
        <w:rPr>
          <w:rFonts w:eastAsia="Times New Roman" w:cs="Times New Roman"/>
          <w:szCs w:val="24"/>
        </w:rPr>
        <w:t>, 868 F.3d 784, 795-96 (9th Cir. 2017) (discussing</w:t>
      </w:r>
      <w:r w:rsidR="005E49D2">
        <w:rPr>
          <w:rFonts w:eastAsia="Times New Roman" w:cs="Times New Roman"/>
          <w:szCs w:val="24"/>
        </w:rPr>
        <w:t xml:space="preserve"> the</w:t>
      </w:r>
      <w:r w:rsidRPr="002B283E">
        <w:rPr>
          <w:rFonts w:eastAsia="Times New Roman" w:cs="Times New Roman"/>
          <w:szCs w:val="24"/>
        </w:rPr>
        <w:t xml:space="preserve"> relationship between materiality and reliance and noting that “materiality” may be different when plaintiff alleges direct reliance on misrepresentation, rather than fraud-on-the-market theory).</w:t>
      </w:r>
      <w:r w:rsidR="005E49D2">
        <w:rPr>
          <w:rFonts w:eastAsia="Times New Roman" w:cs="Times New Roman"/>
          <w:szCs w:val="24"/>
        </w:rPr>
        <w:t xml:space="preserve"> </w:t>
      </w:r>
      <w:r w:rsidRPr="002B283E">
        <w:rPr>
          <w:rFonts w:eastAsia="Times New Roman" w:cs="Times New Roman"/>
          <w:szCs w:val="24"/>
        </w:rPr>
        <w:t xml:space="preserve">For a discussion of the distinction between mere puffery, which is not material, and a statement that is materially misleading, </w:t>
      </w:r>
      <w:r w:rsidRPr="005E49D2">
        <w:rPr>
          <w:rFonts w:eastAsia="Times New Roman" w:cs="Times New Roman"/>
          <w:szCs w:val="24"/>
        </w:rPr>
        <w:t>see</w:t>
      </w:r>
      <w:r w:rsidRPr="002B283E">
        <w:rPr>
          <w:rFonts w:eastAsia="Times New Roman" w:cs="Times New Roman"/>
          <w:i/>
          <w:iCs/>
          <w:szCs w:val="24"/>
        </w:rPr>
        <w:t xml:space="preserve"> In re Quality Systems, Inc. Sec. Litig.</w:t>
      </w:r>
      <w:r w:rsidRPr="002B283E">
        <w:rPr>
          <w:rFonts w:eastAsia="Times New Roman" w:cs="Times New Roman"/>
          <w:szCs w:val="24"/>
        </w:rPr>
        <w:t xml:space="preserve">, 865 F.3d 1130, 1143-44 (9th Cir. 2017). </w:t>
      </w:r>
      <w:r w:rsidRPr="002B283E">
        <w:rPr>
          <w:rFonts w:eastAsia="Times New Roman" w:cs="Times New Roman"/>
          <w:i/>
          <w:iCs/>
          <w:szCs w:val="24"/>
        </w:rPr>
        <w:t>See also In re Sorrento Therapeutics, Inc. Sec. Litig., </w:t>
      </w:r>
      <w:r w:rsidRPr="002B283E">
        <w:rPr>
          <w:rFonts w:eastAsia="Times New Roman" w:cs="Times New Roman"/>
          <w:szCs w:val="24"/>
        </w:rPr>
        <w:t>97 F.4th 634, 641 (9th Cir. 2024) (concluding that a biopharmaceutical company’s statements regarding a promising cure for COVID-19 was simply enthusiasm and corporate optimism rather than materially misleading).</w:t>
      </w:r>
      <w:r w:rsidR="005E49D2">
        <w:rPr>
          <w:rFonts w:eastAsia="Times New Roman" w:cs="Times New Roman"/>
          <w:szCs w:val="24"/>
        </w:rPr>
        <w:t xml:space="preserve"> </w:t>
      </w:r>
      <w:r w:rsidRPr="002B283E">
        <w:rPr>
          <w:rFonts w:eastAsia="Times New Roman" w:cs="Times New Roman"/>
          <w:szCs w:val="24"/>
        </w:rPr>
        <w:t xml:space="preserve">In evaluating materiality, courts may consider SEC interpretive guidance. </w:t>
      </w:r>
      <w:r w:rsidRPr="002B283E">
        <w:rPr>
          <w:rFonts w:eastAsia="Times New Roman" w:cs="Times New Roman"/>
          <w:i/>
          <w:iCs/>
          <w:szCs w:val="24"/>
        </w:rPr>
        <w:t>See In re Alphabet, Inc. Sec. Litig</w:t>
      </w:r>
      <w:r w:rsidRPr="002B283E">
        <w:rPr>
          <w:rFonts w:eastAsia="Times New Roman" w:cs="Times New Roman"/>
          <w:szCs w:val="24"/>
        </w:rPr>
        <w:t xml:space="preserve">., 1 F.4th at </w:t>
      </w:r>
      <w:r w:rsidRPr="002B283E">
        <w:rPr>
          <w:rFonts w:eastAsia="Times New Roman" w:cs="Times New Roman"/>
          <w:szCs w:val="24"/>
        </w:rPr>
        <w:lastRenderedPageBreak/>
        <w:t>700.</w:t>
      </w:r>
      <w:r w:rsidR="005E49D2">
        <w:rPr>
          <w:rFonts w:eastAsia="Times New Roman" w:cs="Times New Roman"/>
          <w:szCs w:val="24"/>
        </w:rPr>
        <w:t xml:space="preserve"> </w:t>
      </w:r>
      <w:r w:rsidRPr="002B283E">
        <w:rPr>
          <w:rFonts w:eastAsia="Times New Roman" w:cs="Times New Roman"/>
          <w:szCs w:val="24"/>
        </w:rPr>
        <w:t xml:space="preserve">The Ninth Circuit has held that stock price movements are relevant to reliance and not to materiality. </w:t>
      </w:r>
      <w:r w:rsidRPr="002B283E">
        <w:rPr>
          <w:rFonts w:eastAsia="Times New Roman" w:cs="Times New Roman"/>
          <w:i/>
          <w:iCs/>
          <w:szCs w:val="24"/>
        </w:rPr>
        <w:t>See Retail Wholesale &amp; Dep’t Store Union Local 338 Ret</w:t>
      </w:r>
      <w:r w:rsidR="00230B4B">
        <w:rPr>
          <w:rFonts w:eastAsia="Times New Roman" w:cs="Times New Roman"/>
          <w:i/>
          <w:iCs/>
          <w:szCs w:val="24"/>
        </w:rPr>
        <w:t>.</w:t>
      </w:r>
      <w:r w:rsidRPr="002B283E">
        <w:rPr>
          <w:rFonts w:eastAsia="Times New Roman" w:cs="Times New Roman"/>
          <w:i/>
          <w:iCs/>
          <w:szCs w:val="24"/>
        </w:rPr>
        <w:t xml:space="preserve"> Fund v. Hewlett-Packard Co.</w:t>
      </w:r>
      <w:r w:rsidRPr="002B283E">
        <w:rPr>
          <w:rFonts w:eastAsia="Times New Roman" w:cs="Times New Roman"/>
          <w:szCs w:val="24"/>
        </w:rPr>
        <w:t>, 845 F.3d 1268, 1277 (9th Cir. 2017).</w:t>
      </w:r>
    </w:p>
    <w:p w14:paraId="2FE51EC3" w14:textId="77777777" w:rsidR="009A1BA3" w:rsidRPr="004A311D" w:rsidRDefault="009A1BA3" w:rsidP="009A1BA3">
      <w:pPr>
        <w:autoSpaceDE w:val="0"/>
        <w:autoSpaceDN w:val="0"/>
        <w:adjustRightInd w:val="0"/>
        <w:rPr>
          <w:rFonts w:ascii="TimesNewRomanPSMT" w:hAnsi="TimesNewRomanPSMT" w:cs="TimesNewRomanPSMT"/>
          <w:szCs w:val="24"/>
          <w14:ligatures w14:val="standardContextual"/>
        </w:rPr>
      </w:pPr>
    </w:p>
    <w:p w14:paraId="03D9F623" w14:textId="77777777" w:rsidR="009A1BA3" w:rsidRPr="004A311D" w:rsidRDefault="009A1BA3" w:rsidP="009A1BA3">
      <w:pPr>
        <w:autoSpaceDE w:val="0"/>
        <w:autoSpaceDN w:val="0"/>
        <w:adjustRightInd w:val="0"/>
        <w:ind w:firstLine="720"/>
        <w:rPr>
          <w:rFonts w:ascii="TimesNewRomanPSMT" w:hAnsi="TimesNewRomanPSMT" w:cs="TimesNewRomanPSMT"/>
          <w:szCs w:val="24"/>
          <w14:ligatures w14:val="standardContextual"/>
        </w:rPr>
      </w:pPr>
      <w:r w:rsidRPr="004A311D">
        <w:rPr>
          <w:rFonts w:ascii="TimesNewRomanPSMT" w:hAnsi="TimesNewRomanPSMT" w:cs="TimesNewRomanPSMT"/>
          <w:szCs w:val="24"/>
          <w14:ligatures w14:val="standardContextual"/>
        </w:rPr>
        <w:t xml:space="preserve">To assess falsity as a basis for a claim under Rule 10b-5, courts look to “the perspective of the reasonable investor.” </w:t>
      </w:r>
      <w:r w:rsidRPr="004A311D">
        <w:rPr>
          <w:rFonts w:ascii="TimesNewRomanPS-ItalicMT" w:hAnsi="TimesNewRomanPS-ItalicMT" w:cs="TimesNewRomanPS-ItalicMT"/>
          <w:i/>
          <w:iCs/>
          <w:szCs w:val="24"/>
          <w14:ligatures w14:val="standardContextual"/>
        </w:rPr>
        <w:t xml:space="preserve">Sneed v. Talphera, Inc., </w:t>
      </w:r>
      <w:r w:rsidRPr="004A311D">
        <w:rPr>
          <w:rFonts w:ascii="TimesNewRomanPSMT" w:hAnsi="TimesNewRomanPSMT" w:cs="TimesNewRomanPSMT"/>
          <w:szCs w:val="24"/>
          <w14:ligatures w14:val="standardContextual"/>
        </w:rPr>
        <w:t xml:space="preserve">147 F.4th 1123, 1133 (9th Cir. 2025). A court needs “to look at ‘the context surrounding the statement.’”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(quoting </w:t>
      </w:r>
      <w:r w:rsidRPr="004A311D">
        <w:rPr>
          <w:rFonts w:ascii="TimesNewRomanPS-ItalicMT" w:hAnsi="TimesNewRomanPS-ItalicMT" w:cs="TimesNewRomanPS-ItalicMT"/>
          <w:i/>
          <w:iCs/>
          <w:szCs w:val="24"/>
          <w14:ligatures w14:val="standardContextual"/>
        </w:rPr>
        <w:t>Weston Fam. P’ship. LLLP v.</w:t>
      </w:r>
      <w:r w:rsidRPr="004A311D">
        <w:rPr>
          <w:rFonts w:ascii="TimesNewRomanPSMT" w:hAnsi="TimesNewRomanPSMT" w:cs="TimesNewRomanPSMT"/>
          <w:szCs w:val="24"/>
          <w14:ligatures w14:val="standardContextual"/>
        </w:rPr>
        <w:t xml:space="preserve"> </w:t>
      </w:r>
      <w:r w:rsidRPr="004A311D">
        <w:rPr>
          <w:rFonts w:ascii="TimesNewRomanPS-ItalicMT" w:hAnsi="TimesNewRomanPS-ItalicMT" w:cs="TimesNewRomanPS-ItalicMT"/>
          <w:i/>
          <w:iCs/>
          <w:szCs w:val="24"/>
          <w14:ligatures w14:val="standardContextual"/>
        </w:rPr>
        <w:t>Twitter, Inc.</w:t>
      </w:r>
      <w:r w:rsidRPr="004A311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(citing </w:t>
      </w:r>
      <w:r w:rsidRPr="004A311D">
        <w:rPr>
          <w:rFonts w:ascii="TimesNewRomanPS-ItalicMT" w:hAnsi="TimesNewRomanPS-ItalicMT" w:cs="TimesNewRomanPS-ItalicMT"/>
          <w:i/>
          <w:iCs/>
          <w:szCs w:val="24"/>
          <w14:ligatures w14:val="standardContextual"/>
        </w:rPr>
        <w:t>SEC v. Monarch Fund</w:t>
      </w:r>
      <w:r w:rsidRPr="004A311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4A311D">
        <w:rPr>
          <w:rFonts w:ascii="TimesNewRomanPS-ItalicMT" w:hAnsi="TimesNewRomanPS-ItalicMT" w:cs="TimesNewRomanPS-ItalicMT"/>
          <w:i/>
          <w:iCs/>
          <w:szCs w:val="24"/>
          <w14:ligatures w14:val="standardContextual"/>
        </w:rPr>
        <w:t>Omnicare, Inc. v. Laborers Dist. Council Const. Indus. Pension Fund</w:t>
      </w:r>
      <w:r w:rsidRPr="004A311D">
        <w:rPr>
          <w:rFonts w:ascii="TimesNewRomanPSMT" w:hAnsi="TimesNewRomanPSMT" w:cs="TimesNewRomanPSMT"/>
          <w:szCs w:val="24"/>
          <w14:ligatures w14:val="standardContextual"/>
        </w:rPr>
        <w:t>, 575 U.S. 175 (2015).</w:t>
      </w:r>
    </w:p>
    <w:p w14:paraId="5BC44147" w14:textId="77777777" w:rsidR="009A1BA3" w:rsidRPr="004A311D" w:rsidRDefault="009A1BA3" w:rsidP="009A1BA3">
      <w:pPr>
        <w:autoSpaceDE w:val="0"/>
        <w:autoSpaceDN w:val="0"/>
        <w:adjustRightInd w:val="0"/>
        <w:ind w:firstLine="720"/>
        <w:rPr>
          <w:rFonts w:ascii="TimesNewRomanPSMT" w:hAnsi="TimesNewRomanPSMT" w:cs="TimesNewRomanPSMT"/>
          <w:szCs w:val="24"/>
          <w14:ligatures w14:val="standardContextual"/>
        </w:rPr>
      </w:pPr>
    </w:p>
    <w:p w14:paraId="13093336" w14:textId="77777777" w:rsidR="009A1BA3" w:rsidRPr="004A311D" w:rsidRDefault="009A1BA3" w:rsidP="009A1BA3">
      <w:pPr>
        <w:autoSpaceDE w:val="0"/>
        <w:autoSpaceDN w:val="0"/>
        <w:adjustRightInd w:val="0"/>
        <w:ind w:firstLine="720"/>
        <w:rPr>
          <w:rFonts w:ascii="TimesNewRomanPSMT" w:hAnsi="TimesNewRomanPSMT" w:cs="TimesNewRomanPSMT"/>
          <w:i/>
          <w:iCs/>
          <w:szCs w:val="24"/>
          <w14:ligatures w14:val="standardContextual"/>
        </w:rPr>
      </w:pPr>
      <w:r w:rsidRPr="004A311D">
        <w:rPr>
          <w:rFonts w:ascii="TimesNewRomanPSMT" w:hAnsi="TimesNewRomanPSMT" w:cs="TimesNewRomanPSMT"/>
          <w:szCs w:val="24"/>
          <w14:ligatures w14:val="standardContextual"/>
        </w:rPr>
        <w:t xml:space="preserve">In </w:t>
      </w:r>
      <w:r w:rsidRPr="004A311D">
        <w:rPr>
          <w:rFonts w:ascii="TimesNewRomanPSMT" w:hAnsi="TimesNewRomanPSMT" w:cs="TimesNewRomanPSMT"/>
          <w:i/>
          <w:iCs/>
          <w:szCs w:val="24"/>
          <w14:ligatures w14:val="standardContextual"/>
        </w:rPr>
        <w:t>Sneed</w:t>
      </w:r>
      <w:r w:rsidRPr="004A311D">
        <w:rPr>
          <w:rFonts w:ascii="TimesNewRomanPSMT" w:hAnsi="TimesNewRomanPSMT" w:cs="TimesNewRomanPSMT"/>
          <w:szCs w:val="24"/>
          <w14:ligatures w14:val="standardContextual"/>
        </w:rPr>
        <w:t xml:space="preserve">, when confronted with a FDA Warning letter central to healthcare providers, the court explained that it was not relevant for a reasonable investor. 147 F.4th at 1133-34 (citing </w:t>
      </w:r>
      <w:r w:rsidRPr="004A311D">
        <w:rPr>
          <w:rFonts w:ascii="TimesNewRomanPSMT" w:hAnsi="TimesNewRomanPSMT" w:cs="TimesNewRomanPSMT"/>
          <w:i/>
          <w:iCs/>
          <w:szCs w:val="24"/>
          <w14:ligatures w14:val="standardContextual"/>
        </w:rPr>
        <w:t>Police Ret. Sys. of St. Louis v. Intuitive Surgical</w:t>
      </w:r>
      <w:r w:rsidRPr="004A311D">
        <w:rPr>
          <w:rFonts w:ascii="TimesNewRomanPSMT" w:hAnsi="TimesNewRomanPSMT" w:cs="TimesNewRomanPSMT"/>
          <w:szCs w:val="24"/>
          <w14:ligatures w14:val="standardContextual"/>
        </w:rPr>
        <w:t xml:space="preserve">, 759 F.3d 1051, 1061 (9th Cir. 2014)). The court reasoned just because the FDA requires disclosure of specific instructions to healthcare providers, it does not mean the omission of that information is relevant for investors. </w:t>
      </w:r>
      <w:r w:rsidRPr="004A311D">
        <w:rPr>
          <w:rFonts w:ascii="TimesNewRomanPSMT" w:hAnsi="TimesNewRomanPSMT" w:cs="TimesNewRomanPSMT"/>
          <w:i/>
          <w:iCs/>
          <w:szCs w:val="24"/>
          <w14:ligatures w14:val="standardContextual"/>
        </w:rPr>
        <w:t>Id.</w:t>
      </w:r>
    </w:p>
    <w:p w14:paraId="4198E427" w14:textId="77777777" w:rsidR="00867EC4" w:rsidRPr="002B283E" w:rsidRDefault="00867EC4" w:rsidP="00867EC4">
      <w:pPr>
        <w:shd w:val="clear" w:color="auto" w:fill="FFFFFF"/>
        <w:ind w:firstLine="720"/>
        <w:rPr>
          <w:rFonts w:eastAsia="Times New Roman" w:cs="Times New Roman"/>
          <w:szCs w:val="24"/>
        </w:rPr>
      </w:pPr>
    </w:p>
    <w:p w14:paraId="21757ED1" w14:textId="0C22C63B" w:rsidR="00867EC4" w:rsidRPr="002B283E" w:rsidRDefault="00867EC4" w:rsidP="00867EC4">
      <w:pPr>
        <w:autoSpaceDE w:val="0"/>
        <w:autoSpaceDN w:val="0"/>
        <w:adjustRightInd w:val="0"/>
        <w:ind w:firstLine="720"/>
        <w:rPr>
          <w:rFonts w:eastAsia="Times New Roman" w:cs="Times New Roman"/>
          <w:szCs w:val="24"/>
        </w:rPr>
      </w:pPr>
      <w:r w:rsidRPr="002B283E">
        <w:rPr>
          <w:rFonts w:eastAsia="Times New Roman" w:cs="Times New Roman"/>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2B283E">
        <w:rPr>
          <w:rFonts w:eastAsia="Times New Roman" w:cs="Times New Roman"/>
          <w:i/>
          <w:iCs/>
          <w:szCs w:val="24"/>
        </w:rPr>
        <w:t>See In re Nektar Therapeutics Sec</w:t>
      </w:r>
      <w:r w:rsidR="00230B4B">
        <w:rPr>
          <w:rFonts w:eastAsia="Times New Roman" w:cs="Times New Roman"/>
          <w:i/>
          <w:iCs/>
          <w:szCs w:val="24"/>
        </w:rPr>
        <w:t>.</w:t>
      </w:r>
      <w:r w:rsidRPr="002B283E">
        <w:rPr>
          <w:rFonts w:eastAsia="Times New Roman" w:cs="Times New Roman"/>
          <w:i/>
          <w:iCs/>
          <w:szCs w:val="24"/>
        </w:rPr>
        <w:t xml:space="preserve"> Litig</w:t>
      </w:r>
      <w:r w:rsidR="00230B4B">
        <w:rPr>
          <w:rFonts w:eastAsia="Times New Roman" w:cs="Times New Roman"/>
          <w:i/>
          <w:iCs/>
          <w:szCs w:val="24"/>
        </w:rPr>
        <w:t>.</w:t>
      </w:r>
      <w:r w:rsidRPr="002B283E">
        <w:rPr>
          <w:rFonts w:eastAsia="Times New Roman" w:cs="Times New Roman"/>
          <w:szCs w:val="24"/>
        </w:rPr>
        <w:t>, 34 F.4th 828, 837 (9th Cir. 2022).</w:t>
      </w:r>
    </w:p>
    <w:p w14:paraId="338ED8D1" w14:textId="77777777" w:rsidR="00867EC4" w:rsidRPr="002B283E" w:rsidRDefault="00867EC4" w:rsidP="00867EC4">
      <w:pPr>
        <w:autoSpaceDE w:val="0"/>
        <w:autoSpaceDN w:val="0"/>
        <w:adjustRightInd w:val="0"/>
        <w:ind w:firstLine="720"/>
        <w:rPr>
          <w:rFonts w:cs="Times New Roman"/>
          <w:szCs w:val="24"/>
        </w:rPr>
      </w:pPr>
    </w:p>
    <w:p w14:paraId="0A2088F2" w14:textId="267D3BA6"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Revised </w:t>
      </w:r>
      <w:r w:rsidR="009A1BA3">
        <w:rPr>
          <w:rFonts w:cs="Times New Roman"/>
          <w:i/>
          <w:iCs/>
          <w:szCs w:val="24"/>
        </w:rPr>
        <w:t>December 2025</w:t>
      </w:r>
    </w:p>
    <w:bookmarkEnd w:id="456"/>
    <w:p w14:paraId="1D32562D" w14:textId="77777777" w:rsidR="00867EC4" w:rsidRPr="002B283E" w:rsidRDefault="00867EC4" w:rsidP="00867EC4">
      <w:pPr>
        <w:autoSpaceDE w:val="0"/>
        <w:autoSpaceDN w:val="0"/>
        <w:adjustRightInd w:val="0"/>
        <w:rPr>
          <w:rFonts w:cs="Times New Roman"/>
          <w:i/>
          <w:iCs/>
          <w:szCs w:val="24"/>
        </w:rPr>
      </w:pPr>
    </w:p>
    <w:p w14:paraId="2F20C0E9" w14:textId="77777777" w:rsidR="00867EC4" w:rsidRPr="002B283E" w:rsidRDefault="00867EC4" w:rsidP="00867EC4">
      <w:pPr>
        <w:numPr>
          <w:ilvl w:val="12"/>
          <w:numId w:val="0"/>
        </w:numPr>
        <w:autoSpaceDE w:val="0"/>
        <w:autoSpaceDN w:val="0"/>
        <w:adjustRightInd w:val="0"/>
        <w:rPr>
          <w:rFonts w:cs="Times New Roman"/>
          <w:szCs w:val="24"/>
        </w:rPr>
      </w:pPr>
    </w:p>
    <w:p w14:paraId="169565D7" w14:textId="77777777" w:rsidR="00867EC4" w:rsidRPr="002B283E" w:rsidRDefault="00867EC4" w:rsidP="00867EC4">
      <w:pPr>
        <w:numPr>
          <w:ilvl w:val="12"/>
          <w:numId w:val="0"/>
        </w:numPr>
        <w:autoSpaceDE w:val="0"/>
        <w:autoSpaceDN w:val="0"/>
        <w:adjustRightInd w:val="0"/>
        <w:rPr>
          <w:rFonts w:cs="Times New Roman"/>
          <w:szCs w:val="24"/>
        </w:rPr>
      </w:pPr>
    </w:p>
    <w:p w14:paraId="7C70AF9C" w14:textId="77777777" w:rsidR="00867EC4" w:rsidRPr="002B283E" w:rsidRDefault="00867EC4" w:rsidP="00867EC4">
      <w:pPr>
        <w:numPr>
          <w:ilvl w:val="12"/>
          <w:numId w:val="0"/>
        </w:numPr>
        <w:autoSpaceDE w:val="0"/>
        <w:autoSpaceDN w:val="0"/>
        <w:adjustRightInd w:val="0"/>
        <w:rPr>
          <w:rFonts w:cs="Times New Roman"/>
          <w:szCs w:val="24"/>
        </w:rPr>
      </w:pPr>
    </w:p>
    <w:p w14:paraId="0A0DF0F5" w14:textId="77777777" w:rsidR="00867EC4" w:rsidRPr="002B283E" w:rsidRDefault="00867EC4" w:rsidP="00867EC4">
      <w:pPr>
        <w:numPr>
          <w:ilvl w:val="12"/>
          <w:numId w:val="0"/>
        </w:numPr>
        <w:autoSpaceDE w:val="0"/>
        <w:autoSpaceDN w:val="0"/>
        <w:adjustRightInd w:val="0"/>
        <w:rPr>
          <w:rFonts w:cs="Times New Roman"/>
          <w:szCs w:val="24"/>
        </w:rPr>
      </w:pPr>
    </w:p>
    <w:p w14:paraId="53E18F17" w14:textId="77777777" w:rsidR="00867EC4" w:rsidRPr="002B283E" w:rsidRDefault="00867EC4" w:rsidP="00867EC4">
      <w:pPr>
        <w:pStyle w:val="Heading2"/>
      </w:pPr>
      <w:r w:rsidRPr="002B283E">
        <w:br w:type="page"/>
      </w:r>
      <w:bookmarkStart w:id="457" w:name="_Toc196481975"/>
      <w:bookmarkStart w:id="458" w:name="_Toc221525346"/>
      <w:r w:rsidRPr="002B283E">
        <w:lastRenderedPageBreak/>
        <w:t>18.4 Securities—Forward-Looking Statements</w:t>
      </w:r>
      <w:bookmarkEnd w:id="457"/>
      <w:bookmarkEnd w:id="458"/>
    </w:p>
    <w:p w14:paraId="0F3B4604" w14:textId="77777777" w:rsidR="00867EC4" w:rsidRPr="002B283E" w:rsidRDefault="00867EC4" w:rsidP="00867EC4">
      <w:pPr>
        <w:numPr>
          <w:ilvl w:val="12"/>
          <w:numId w:val="0"/>
        </w:numPr>
        <w:autoSpaceDE w:val="0"/>
        <w:autoSpaceDN w:val="0"/>
        <w:adjustRightInd w:val="0"/>
        <w:rPr>
          <w:rFonts w:cs="Times New Roman"/>
          <w:szCs w:val="24"/>
        </w:rPr>
      </w:pPr>
    </w:p>
    <w:p w14:paraId="6FF9C711" w14:textId="004FA614"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In considering whether the defendant </w:t>
      </w:r>
      <w:r w:rsidR="00230B4B">
        <w:rPr>
          <w:rFonts w:cs="Times New Roman"/>
          <w:szCs w:val="24"/>
        </w:rPr>
        <w:t>[</w:t>
      </w:r>
      <w:r w:rsidR="00230B4B" w:rsidRPr="00230B4B">
        <w:rPr>
          <w:rFonts w:cs="Times New Roman"/>
          <w:i/>
          <w:iCs/>
          <w:szCs w:val="24"/>
          <w:u w:val="single"/>
        </w:rPr>
        <w:t>name</w:t>
      </w:r>
      <w:r w:rsidR="00230B4B">
        <w:rPr>
          <w:rFonts w:cs="Times New Roman"/>
          <w:szCs w:val="24"/>
        </w:rPr>
        <w:t xml:space="preserve">] </w:t>
      </w:r>
      <w:r w:rsidRPr="002B283E">
        <w:rPr>
          <w:rFonts w:cs="Times New Roman"/>
          <w:szCs w:val="24"/>
        </w:rPr>
        <w:t>[made an untrue statement of a material fact] [omitted a material fact necessary under the circumstances to keep the statements that were made from being misleading], you must distinguish between statements of fact and what the law calls “forward-looking statements.”</w:t>
      </w:r>
    </w:p>
    <w:p w14:paraId="5C56B92E" w14:textId="77777777" w:rsidR="00867EC4" w:rsidRPr="002B283E" w:rsidRDefault="00867EC4" w:rsidP="00867EC4">
      <w:pPr>
        <w:autoSpaceDE w:val="0"/>
        <w:autoSpaceDN w:val="0"/>
        <w:adjustRightInd w:val="0"/>
        <w:rPr>
          <w:rFonts w:cs="Times New Roman"/>
          <w:szCs w:val="24"/>
        </w:rPr>
      </w:pPr>
    </w:p>
    <w:p w14:paraId="060B0A0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even if ultimately proven incorrect, generally is not statement of fact. Instead, it is merely a forecast about what may or may not occur in the future.</w:t>
      </w:r>
    </w:p>
    <w:p w14:paraId="708C9318" w14:textId="77777777" w:rsidR="00867EC4" w:rsidRPr="002B283E" w:rsidRDefault="00867EC4" w:rsidP="00867EC4">
      <w:pPr>
        <w:autoSpaceDE w:val="0"/>
        <w:autoSpaceDN w:val="0"/>
        <w:adjustRightInd w:val="0"/>
        <w:rPr>
          <w:rFonts w:cs="Times New Roman"/>
          <w:szCs w:val="24"/>
        </w:rPr>
      </w:pPr>
    </w:p>
    <w:p w14:paraId="5BF3F6C7"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14:paraId="394F2242" w14:textId="77777777" w:rsidR="00867EC4" w:rsidRPr="002B283E" w:rsidRDefault="00867EC4" w:rsidP="00867EC4">
      <w:pPr>
        <w:autoSpaceDE w:val="0"/>
        <w:autoSpaceDN w:val="0"/>
        <w:adjustRightInd w:val="0"/>
        <w:jc w:val="center"/>
        <w:rPr>
          <w:rFonts w:cs="Times New Roman"/>
          <w:b/>
          <w:bCs/>
          <w:szCs w:val="24"/>
        </w:rPr>
      </w:pPr>
    </w:p>
    <w:p w14:paraId="2BE22262"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D4DCC5D" w14:textId="77777777" w:rsidR="00867EC4" w:rsidRPr="002B283E" w:rsidRDefault="00867EC4" w:rsidP="00867EC4">
      <w:pPr>
        <w:autoSpaceDE w:val="0"/>
        <w:autoSpaceDN w:val="0"/>
        <w:adjustRightInd w:val="0"/>
        <w:jc w:val="center"/>
        <w:rPr>
          <w:rFonts w:cs="Times New Roman"/>
          <w:szCs w:val="24"/>
        </w:rPr>
      </w:pPr>
    </w:p>
    <w:p w14:paraId="4CA5DF8E" w14:textId="09791B68"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This instruction addresses “forward-looking statements” that fall outside the coverage of the safe harbor afforded to forward-looking statements by </w:t>
      </w:r>
      <w:bookmarkStart w:id="459" w:name="_Hlk166328873"/>
      <w:r w:rsidRPr="002B283E">
        <w:rPr>
          <w:rFonts w:cs="Times New Roman"/>
          <w:szCs w:val="24"/>
        </w:rPr>
        <w:t>the Private Securities Litigation Reform Act of 1995 (“PSLRA”), 15 U.S.C. § 78u-5(c). T</w:t>
      </w:r>
      <w:bookmarkEnd w:id="459"/>
      <w:r w:rsidRPr="002B283E">
        <w:rPr>
          <w:rFonts w:cs="Times New Roman"/>
          <w:szCs w:val="24"/>
        </w:rPr>
        <w:t xml:space="preserve">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sidRPr="002B283E">
        <w:rPr>
          <w:rFonts w:cs="Times New Roman"/>
          <w:i/>
          <w:iCs/>
          <w:szCs w:val="24"/>
        </w:rPr>
        <w:t xml:space="preserve">See generally </w:t>
      </w:r>
      <w:r w:rsidRPr="002B283E">
        <w:rPr>
          <w:rFonts w:cs="Times New Roman"/>
          <w:szCs w:val="24"/>
        </w:rPr>
        <w:t xml:space="preserve">15 U.S.C. § 78u-5(b). When the PSLRA’s safe harbor does not apply, background judicial doctrines may nonetheless govern whether a statement of opinion or a statement accompanied by cautionary language is actionable under Rule 10b-5.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Retail Wholesale &amp; Dep’t Store Union Local 338 Ret</w:t>
      </w:r>
      <w:r w:rsidR="00230B4B">
        <w:rPr>
          <w:rFonts w:cs="Times New Roman"/>
          <w:i/>
          <w:iCs/>
          <w:szCs w:val="24"/>
        </w:rPr>
        <w:t>.</w:t>
      </w:r>
      <w:r w:rsidRPr="002B283E">
        <w:rPr>
          <w:rFonts w:cs="Times New Roman"/>
          <w:i/>
          <w:iCs/>
          <w:szCs w:val="24"/>
        </w:rPr>
        <w:t xml:space="preserve"> Fund v. Hewlett-Packard </w:t>
      </w:r>
      <w:r w:rsidRPr="002B283E">
        <w:rPr>
          <w:rFonts w:cs="Times New Roman"/>
          <w:szCs w:val="24"/>
        </w:rPr>
        <w:t xml:space="preserve">Co., 845 F.3d 1268, 1275-76 (9th Cir. 2017) (concluding that aspirational statements were not capable of being false); </w:t>
      </w:r>
      <w:r w:rsidRPr="002B283E">
        <w:rPr>
          <w:rFonts w:cs="Times New Roman"/>
          <w:i/>
          <w:iCs/>
          <w:szCs w:val="24"/>
        </w:rPr>
        <w:t>In</w:t>
      </w:r>
      <w:r w:rsidRPr="002B283E">
        <w:rPr>
          <w:rFonts w:cs="Times New Roman"/>
          <w:szCs w:val="24"/>
        </w:rPr>
        <w:t xml:space="preserve"> </w:t>
      </w:r>
      <w:r w:rsidRPr="002B283E">
        <w:rPr>
          <w:rFonts w:cs="Times New Roman"/>
          <w:i/>
          <w:iCs/>
          <w:szCs w:val="24"/>
        </w:rPr>
        <w:t>re Oracle Corp. Sec. Litig.</w:t>
      </w:r>
      <w:r w:rsidRPr="002B283E">
        <w:rPr>
          <w:rFonts w:cs="Times New Roman"/>
          <w:szCs w:val="24"/>
        </w:rPr>
        <w:t xml:space="preserve">, 627 F.3d 376, 388 &amp; n.2 (9th Cir. 2010) (applying materiality test to forward-looking statements when </w:t>
      </w:r>
      <w:r w:rsidR="00230B4B">
        <w:rPr>
          <w:rFonts w:cs="Times New Roman"/>
          <w:szCs w:val="24"/>
        </w:rPr>
        <w:t xml:space="preserve">the </w:t>
      </w:r>
      <w:r w:rsidRPr="002B283E">
        <w:rPr>
          <w:rFonts w:cs="Times New Roman"/>
          <w:szCs w:val="24"/>
        </w:rPr>
        <w:t xml:space="preserve">PSLRA safe harbor did not apply); </w:t>
      </w:r>
      <w:r w:rsidRPr="002B283E">
        <w:rPr>
          <w:rFonts w:cs="Times New Roman"/>
          <w:i/>
          <w:iCs/>
          <w:szCs w:val="24"/>
        </w:rPr>
        <w:t>In re Cutera Sec. Litig.</w:t>
      </w:r>
      <w:r w:rsidRPr="002B283E">
        <w:rPr>
          <w:rFonts w:cs="Times New Roman"/>
          <w:szCs w:val="24"/>
        </w:rPr>
        <w:t>, 610 F.3d 1103, 1111 (9th Cir. 2010) (holding that “vague statements of optimism” are not actionable);</w:t>
      </w:r>
      <w:r w:rsidRPr="002B283E">
        <w:rPr>
          <w:rFonts w:cs="Times New Roman"/>
          <w:i/>
          <w:iCs/>
          <w:szCs w:val="24"/>
        </w:rPr>
        <w:t xml:space="preserve"> Livid Holdings Ltd. v. Salomon Smith Barney, Inc.</w:t>
      </w:r>
      <w:r w:rsidRPr="002B283E">
        <w:rPr>
          <w:rFonts w:cs="Times New Roman"/>
          <w:szCs w:val="24"/>
        </w:rPr>
        <w:t>, 416 F.3d 940, 947 (9th Cir. 2005) (applying the “bespeaks caution” doctrine).</w:t>
      </w:r>
    </w:p>
    <w:p w14:paraId="127E2746" w14:textId="77777777" w:rsidR="00867EC4" w:rsidRPr="002B283E" w:rsidRDefault="00867EC4" w:rsidP="00867EC4">
      <w:pPr>
        <w:autoSpaceDE w:val="0"/>
        <w:autoSpaceDN w:val="0"/>
        <w:adjustRightInd w:val="0"/>
        <w:rPr>
          <w:rFonts w:cs="Times New Roman"/>
          <w:szCs w:val="24"/>
        </w:rPr>
      </w:pPr>
    </w:p>
    <w:p w14:paraId="0CB576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sidRPr="002B283E">
        <w:rPr>
          <w:rFonts w:cs="Times New Roman"/>
          <w:i/>
          <w:iCs/>
          <w:szCs w:val="24"/>
        </w:rPr>
        <w:t>No. 84 Empl’r-Teamster Joint Council Pension Trust Fund v. Am. W. Holding Corp.</w:t>
      </w:r>
      <w:r w:rsidRPr="002B283E">
        <w:rPr>
          <w:rFonts w:cs="Times New Roman"/>
          <w:szCs w:val="24"/>
        </w:rPr>
        <w:t>, 320 F.3d 920, 936 (9th Cir. 2003) (quoting 15 U.S.C. § 78u-5(I)).</w:t>
      </w:r>
    </w:p>
    <w:p w14:paraId="288A574E" w14:textId="77777777" w:rsidR="00867EC4" w:rsidRPr="002B283E" w:rsidRDefault="00867EC4" w:rsidP="00867EC4">
      <w:pPr>
        <w:autoSpaceDE w:val="0"/>
        <w:autoSpaceDN w:val="0"/>
        <w:adjustRightInd w:val="0"/>
        <w:rPr>
          <w:rFonts w:cs="Times New Roman"/>
          <w:szCs w:val="24"/>
        </w:rPr>
      </w:pPr>
    </w:p>
    <w:p w14:paraId="5E44016F" w14:textId="2DDE8285" w:rsidR="00867EC4" w:rsidRPr="002B283E" w:rsidRDefault="00867EC4" w:rsidP="00867EC4">
      <w:pPr>
        <w:autoSpaceDE w:val="0"/>
        <w:autoSpaceDN w:val="0"/>
        <w:adjustRightInd w:val="0"/>
        <w:rPr>
          <w:rFonts w:cs="Times New Roman"/>
          <w:szCs w:val="24"/>
        </w:rPr>
      </w:pPr>
      <w:r w:rsidRPr="002B283E">
        <w:rPr>
          <w:rFonts w:cs="Times New Roman"/>
          <w:szCs w:val="24"/>
        </w:rPr>
        <w:lastRenderedPageBreak/>
        <w:tab/>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2B283E">
        <w:rPr>
          <w:rFonts w:cs="Times New Roman"/>
          <w:i/>
          <w:iCs/>
          <w:szCs w:val="24"/>
        </w:rPr>
        <w:t>In re Alphabet, Inc. Sec. Litig</w:t>
      </w:r>
      <w:r w:rsidRPr="002B283E">
        <w:rPr>
          <w:rFonts w:cs="Times New Roman"/>
          <w:szCs w:val="24"/>
        </w:rPr>
        <w:t xml:space="preserve">., </w:t>
      </w:r>
      <w:r w:rsidRPr="002B283E">
        <w:rPr>
          <w:rFonts w:cs="Times New Roman"/>
          <w:bCs/>
          <w:szCs w:val="24"/>
        </w:rPr>
        <w:t>1 F.4th 687, 700 (9th Cir. 2021)</w:t>
      </w:r>
      <w:r w:rsidR="00E54E76">
        <w:rPr>
          <w:rFonts w:cs="Times New Roman"/>
          <w:bCs/>
          <w:szCs w:val="24"/>
        </w:rPr>
        <w:t xml:space="preserve">. </w:t>
      </w:r>
    </w:p>
    <w:p w14:paraId="71F7DEB5" w14:textId="77777777" w:rsidR="00867EC4" w:rsidRPr="002B283E" w:rsidRDefault="00867EC4" w:rsidP="00867EC4">
      <w:pPr>
        <w:autoSpaceDE w:val="0"/>
        <w:autoSpaceDN w:val="0"/>
        <w:adjustRightInd w:val="0"/>
        <w:rPr>
          <w:rFonts w:cs="Times New Roman"/>
          <w:szCs w:val="24"/>
        </w:rPr>
      </w:pPr>
    </w:p>
    <w:p w14:paraId="4D27A8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When a defendant makes mixed statements containing both non-forward-looking statements as well as forward-looking statements, the non-forward-looking statements are not protected by the safe harbor of the PSLRA. </w:t>
      </w:r>
      <w:r w:rsidRPr="002B283E">
        <w:rPr>
          <w:rFonts w:cs="Times New Roman"/>
          <w:i/>
          <w:iCs/>
          <w:szCs w:val="24"/>
        </w:rPr>
        <w:t>In re Quality Systems, Inc. Sec. Litig.</w:t>
      </w:r>
      <w:r w:rsidRPr="002B283E">
        <w:rPr>
          <w:rFonts w:cs="Times New Roman"/>
          <w:szCs w:val="24"/>
        </w:rPr>
        <w:t>, 865 F.3d 1130, 1146-48 (9th Cir. 2017).</w:t>
      </w:r>
    </w:p>
    <w:p w14:paraId="0572ACC3" w14:textId="77777777" w:rsidR="00867EC4" w:rsidRPr="002B283E" w:rsidRDefault="00867EC4" w:rsidP="00867EC4">
      <w:pPr>
        <w:autoSpaceDE w:val="0"/>
        <w:autoSpaceDN w:val="0"/>
        <w:adjustRightInd w:val="0"/>
        <w:rPr>
          <w:rFonts w:cs="Times New Roman"/>
          <w:szCs w:val="24"/>
        </w:rPr>
      </w:pPr>
    </w:p>
    <w:p w14:paraId="1B5A786D" w14:textId="10669E4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2B283E">
        <w:rPr>
          <w:rFonts w:cs="Times New Roman"/>
          <w:i/>
          <w:iCs/>
          <w:szCs w:val="24"/>
        </w:rPr>
        <w:t>In re Apple Computer Sec. Litig.</w:t>
      </w:r>
      <w:r w:rsidRPr="002B283E">
        <w:rPr>
          <w:rFonts w:cs="Times New Roman"/>
          <w:szCs w:val="24"/>
        </w:rPr>
        <w:t>, 886 F.2d 1109, 1113 (9th Cir. 1989);</w:t>
      </w:r>
      <w:r w:rsidRPr="002B283E">
        <w:rPr>
          <w:rFonts w:cs="Times New Roman"/>
          <w:i/>
          <w:iCs/>
          <w:szCs w:val="24"/>
        </w:rPr>
        <w:t xml:space="preserve"> see In re Oracle</w:t>
      </w:r>
      <w:r w:rsidRPr="002B283E">
        <w:rPr>
          <w:rFonts w:cs="Times New Roman"/>
          <w:szCs w:val="24"/>
        </w:rPr>
        <w:t>, 627 F.3d at 388;</w:t>
      </w:r>
      <w:r w:rsidRPr="002B283E">
        <w:rPr>
          <w:rFonts w:cs="Times New Roman"/>
          <w:i/>
          <w:iCs/>
          <w:szCs w:val="24"/>
        </w:rPr>
        <w:t xml:space="preserve"> Provenz v. Miller</w:t>
      </w:r>
      <w:r w:rsidRPr="002B283E">
        <w:rPr>
          <w:rFonts w:cs="Times New Roman"/>
          <w:szCs w:val="24"/>
        </w:rPr>
        <w:t>, 102 F.3d 1478, 1487 (9th Cir. 1996);</w:t>
      </w:r>
      <w:r w:rsidRPr="002B283E">
        <w:rPr>
          <w:rFonts w:cs="Times New Roman"/>
          <w:i/>
          <w:iCs/>
          <w:szCs w:val="24"/>
        </w:rPr>
        <w:t xml:space="preserve"> Hanon v. Dataproducts Corp.</w:t>
      </w:r>
      <w:r w:rsidRPr="002B283E">
        <w:rPr>
          <w:rFonts w:cs="Times New Roman"/>
          <w:szCs w:val="24"/>
        </w:rPr>
        <w:t>, 976 F.2d 497, 501 (9th Cir. 1992). Accordingly, “[f]or a forward-looking statement . . . to constitute a material misrepresentation giving rise to Section 10(b) or Rule 10b</w:t>
      </w:r>
      <w:r w:rsidRPr="002B283E">
        <w:rPr>
          <w:rFonts w:cs="Times New Roman"/>
          <w:szCs w:val="24"/>
        </w:rPr>
        <w:noBreakHyphen/>
        <w:t xml:space="preserve">5 liability, a plaintiff must prove either ‘(1) the statement is not actually believed [by the speaker], (2) there is no reasonable basis for the belief, or (3) the speaker is aware of undisclosed facts tending seriously to undermine the statement’s accuracy.’” </w:t>
      </w:r>
      <w:r w:rsidRPr="002B283E">
        <w:rPr>
          <w:rFonts w:cs="Times New Roman"/>
          <w:i/>
          <w:iCs/>
          <w:szCs w:val="24"/>
        </w:rPr>
        <w:t>In re Oracle</w:t>
      </w:r>
      <w:r w:rsidRPr="002B283E">
        <w:rPr>
          <w:rFonts w:cs="Times New Roman"/>
          <w:szCs w:val="24"/>
        </w:rPr>
        <w:t xml:space="preserve">, 627 F.3d at 388 </w:t>
      </w:r>
      <w:r w:rsidR="00230B4B" w:rsidRPr="002B283E">
        <w:rPr>
          <w:rFonts w:cs="Times New Roman"/>
          <w:szCs w:val="24"/>
        </w:rPr>
        <w:t>(</w:t>
      </w:r>
      <w:r w:rsidR="00230B4B">
        <w:rPr>
          <w:rFonts w:cs="Times New Roman"/>
          <w:szCs w:val="24"/>
        </w:rPr>
        <w:t xml:space="preserve">third </w:t>
      </w:r>
      <w:r w:rsidR="00230B4B" w:rsidRPr="002B283E">
        <w:rPr>
          <w:rFonts w:cs="Times New Roman"/>
          <w:szCs w:val="24"/>
        </w:rPr>
        <w:t>alteration in original)</w:t>
      </w:r>
      <w:r w:rsidR="00230B4B">
        <w:rPr>
          <w:rFonts w:cs="Times New Roman"/>
          <w:szCs w:val="24"/>
        </w:rPr>
        <w:t xml:space="preserve"> </w:t>
      </w:r>
      <w:r w:rsidRPr="002B283E">
        <w:rPr>
          <w:rFonts w:cs="Times New Roman"/>
          <w:szCs w:val="24"/>
        </w:rPr>
        <w:t xml:space="preserve">(quoting </w:t>
      </w:r>
      <w:r w:rsidRPr="002B283E">
        <w:rPr>
          <w:rFonts w:cs="Times New Roman"/>
          <w:i/>
          <w:iCs/>
          <w:szCs w:val="24"/>
        </w:rPr>
        <w:t>Provenz</w:t>
      </w:r>
      <w:r w:rsidRPr="002B283E">
        <w:rPr>
          <w:rFonts w:cs="Times New Roman"/>
          <w:szCs w:val="24"/>
        </w:rPr>
        <w:t>, 102 F.3d at 1487)</w:t>
      </w:r>
      <w:r w:rsidR="00230B4B">
        <w:rPr>
          <w:rFonts w:cs="Times New Roman"/>
          <w:szCs w:val="24"/>
        </w:rPr>
        <w:t xml:space="preserve">. </w:t>
      </w:r>
      <w:r w:rsidRPr="002B283E">
        <w:rPr>
          <w:rFonts w:cs="Times New Roman"/>
          <w:szCs w:val="24"/>
        </w:rPr>
        <w:t xml:space="preserve">“The fact that [a] forecast turn[s] out to be incorrect does not retroactively make it a misrepresentation.” </w:t>
      </w:r>
      <w:r w:rsidRPr="002B283E">
        <w:rPr>
          <w:rFonts w:cs="Times New Roman"/>
          <w:i/>
          <w:iCs/>
          <w:szCs w:val="24"/>
        </w:rPr>
        <w:t>Id.</w:t>
      </w:r>
      <w:r w:rsidRPr="002B283E">
        <w:rPr>
          <w:rFonts w:cs="Times New Roman"/>
          <w:szCs w:val="24"/>
        </w:rPr>
        <w:t xml:space="preserve"> at 389. “Risk disclosures that ‘speak[] entirely of as-yet-unrealized risks and contingencies’ and do not ‘alert[] the reader that some of these risks may already have come to fruition’ can mislead reasonable investors.” </w:t>
      </w:r>
      <w:r w:rsidRPr="002B283E">
        <w:rPr>
          <w:rFonts w:cs="Times New Roman"/>
          <w:i/>
          <w:iCs/>
          <w:szCs w:val="24"/>
        </w:rPr>
        <w:t>In re Alphabet, Inc. Sec. Litig</w:t>
      </w:r>
      <w:r w:rsidRPr="002B283E">
        <w:rPr>
          <w:rFonts w:cs="Times New Roman"/>
          <w:szCs w:val="24"/>
        </w:rPr>
        <w:t>., 1 F.4th at 703</w:t>
      </w:r>
      <w:r w:rsidR="00933A96">
        <w:rPr>
          <w:rFonts w:cs="Times New Roman"/>
          <w:szCs w:val="24"/>
        </w:rPr>
        <w:t xml:space="preserve"> (alterations in original) (quoting </w:t>
      </w:r>
      <w:r w:rsidR="00933A96" w:rsidRPr="00933A96">
        <w:rPr>
          <w:rFonts w:cs="Times New Roman"/>
          <w:i/>
          <w:iCs/>
          <w:szCs w:val="24"/>
        </w:rPr>
        <w:t>Berson v. Applied Signal Tech., Inc</w:t>
      </w:r>
      <w:r w:rsidR="00933A96">
        <w:rPr>
          <w:rFonts w:cs="Times New Roman"/>
          <w:szCs w:val="24"/>
        </w:rPr>
        <w:t>., 527 F.3d 982, 986 (9</w:t>
      </w:r>
      <w:r w:rsidR="00933A96" w:rsidRPr="00933A96">
        <w:rPr>
          <w:rFonts w:cs="Times New Roman"/>
          <w:szCs w:val="24"/>
        </w:rPr>
        <w:t>th</w:t>
      </w:r>
      <w:r w:rsidR="00933A96">
        <w:rPr>
          <w:rFonts w:cs="Times New Roman"/>
          <w:szCs w:val="24"/>
        </w:rPr>
        <w:t xml:space="preserve"> Cir. 2008))</w:t>
      </w:r>
      <w:r w:rsidRPr="002B283E">
        <w:rPr>
          <w:rFonts w:cs="Times New Roman"/>
          <w:szCs w:val="24"/>
        </w:rPr>
        <w:t>.</w:t>
      </w:r>
    </w:p>
    <w:p w14:paraId="78CAC14A" w14:textId="77777777" w:rsidR="00867EC4" w:rsidRPr="002B283E" w:rsidRDefault="00867EC4" w:rsidP="00867EC4">
      <w:pPr>
        <w:autoSpaceDE w:val="0"/>
        <w:autoSpaceDN w:val="0"/>
        <w:adjustRightInd w:val="0"/>
        <w:rPr>
          <w:rFonts w:cs="Times New Roman"/>
          <w:szCs w:val="24"/>
        </w:rPr>
      </w:pPr>
    </w:p>
    <w:p w14:paraId="15662FF8" w14:textId="0D421A2C"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forward-looking statement that is not affirmatively exempted from the safe harbor’s coverage under 15 U.S.C. § 78u-5(c) is afforded safe harbor protection “if it is forward-looking and </w:t>
      </w:r>
      <w:r w:rsidRPr="002B283E">
        <w:rPr>
          <w:rFonts w:cs="Times New Roman"/>
          <w:i/>
          <w:iCs/>
          <w:szCs w:val="24"/>
        </w:rPr>
        <w:t>either</w:t>
      </w:r>
      <w:r w:rsidRPr="002B283E">
        <w:rPr>
          <w:rFonts w:cs="Times New Roman"/>
          <w:szCs w:val="24"/>
        </w:rPr>
        <w:t xml:space="preserve"> is accompanied by meaningful cautionary language </w:t>
      </w:r>
      <w:r w:rsidRPr="002B283E">
        <w:rPr>
          <w:rFonts w:cs="Times New Roman"/>
          <w:i/>
          <w:iCs/>
          <w:szCs w:val="24"/>
        </w:rPr>
        <w:t xml:space="preserve">or </w:t>
      </w:r>
      <w:r w:rsidRPr="002B283E">
        <w:rPr>
          <w:rFonts w:cs="Times New Roman"/>
          <w:szCs w:val="24"/>
        </w:rPr>
        <w:t xml:space="preserve">is made without actual knowledge that it is false or misleading.” </w:t>
      </w:r>
      <w:r w:rsidRPr="002B283E">
        <w:rPr>
          <w:rFonts w:cs="Times New Roman"/>
          <w:i/>
          <w:iCs/>
          <w:szCs w:val="24"/>
        </w:rPr>
        <w:t>Wochos v. Tesla, Inc.</w:t>
      </w:r>
      <w:r w:rsidRPr="002B283E">
        <w:rPr>
          <w:rFonts w:cs="Times New Roman"/>
          <w:szCs w:val="24"/>
        </w:rPr>
        <w:t xml:space="preserve">, 985 F.3d 1180, 1190 (9th Cir. 2021) (quoting </w:t>
      </w:r>
      <w:r w:rsidRPr="002B283E">
        <w:rPr>
          <w:rFonts w:cs="Times New Roman"/>
          <w:i/>
          <w:iCs/>
          <w:szCs w:val="24"/>
        </w:rPr>
        <w:t>Quality Systems</w:t>
      </w:r>
      <w:r w:rsidRPr="002B283E">
        <w:rPr>
          <w:rFonts w:cs="Times New Roman"/>
          <w:szCs w:val="24"/>
        </w:rPr>
        <w:t>, 865 F.3d at 1141).</w:t>
      </w:r>
    </w:p>
    <w:p w14:paraId="0C4AE8C8" w14:textId="77777777" w:rsidR="00867EC4" w:rsidRPr="002B283E" w:rsidRDefault="00867EC4" w:rsidP="00867EC4">
      <w:pPr>
        <w:autoSpaceDE w:val="0"/>
        <w:autoSpaceDN w:val="0"/>
        <w:adjustRightInd w:val="0"/>
        <w:rPr>
          <w:rFonts w:cs="Times New Roman"/>
          <w:szCs w:val="24"/>
        </w:rPr>
      </w:pPr>
    </w:p>
    <w:p w14:paraId="30D0F0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78u-5(c)(A)(i); </w:t>
      </w:r>
      <w:r w:rsidRPr="002B283E">
        <w:rPr>
          <w:rFonts w:cs="Times New Roman"/>
          <w:i/>
          <w:iCs/>
          <w:szCs w:val="24"/>
        </w:rPr>
        <w:t xml:space="preserve">see also id. </w:t>
      </w:r>
      <w:r w:rsidRPr="002B283E">
        <w:rPr>
          <w:rFonts w:cs="Times New Roman"/>
          <w:szCs w:val="24"/>
        </w:rPr>
        <w:t xml:space="preserve">§ 78u-5(c)(2) (providing a conditional safe harbor for oral forward-looking statements). This prong of the PSLRA safe harbor codifies principles underlying the “bespeaks caution” doctrine. </w:t>
      </w:r>
      <w:r w:rsidRPr="002B283E">
        <w:rPr>
          <w:rFonts w:cs="Times New Roman"/>
          <w:i/>
          <w:iCs/>
          <w:szCs w:val="24"/>
        </w:rPr>
        <w:t>See Empl’rs Teamsters Local Nos. 175 &amp; 505 Pension Trust Fund v. Clorox Co.</w:t>
      </w:r>
      <w:r w:rsidRPr="002B283E">
        <w:rPr>
          <w:rFonts w:cs="Times New Roman"/>
          <w:szCs w:val="24"/>
        </w:rPr>
        <w:t xml:space="preserve">, 353 F.3d 1125, 1132 (9th Cir. 2004). This instruction does not address the bespeaks caution doctrine because application of that doctrine is typically not a question for the jury. </w:t>
      </w:r>
      <w:r w:rsidRPr="002B283E">
        <w:rPr>
          <w:rFonts w:cs="Times New Roman"/>
          <w:i/>
          <w:iCs/>
          <w:szCs w:val="24"/>
        </w:rPr>
        <w:t>See id.</w:t>
      </w:r>
      <w:r w:rsidRPr="002B283E">
        <w:rPr>
          <w:rFonts w:cs="Times New Roman"/>
          <w:szCs w:val="24"/>
        </w:rPr>
        <w:t xml:space="preserve"> (“The bespeaks caution doctrine provides </w:t>
      </w:r>
      <w:r w:rsidRPr="002B283E">
        <w:rPr>
          <w:rFonts w:cs="Times New Roman"/>
          <w:szCs w:val="24"/>
        </w:rPr>
        <w:lastRenderedPageBreak/>
        <w:t xml:space="preserve">a mechanism by which a court can rule as a matter of law [typically in a motion to dismiss for failure to state a cause of action or a motion for summary judgment] that defendants’ forward-looking representations contained enough cautionary language or risk disclosure to protect the defendant against claims of securities fraud.”) (alteration in original) (quoting </w:t>
      </w:r>
      <w:r w:rsidRPr="002B283E">
        <w:rPr>
          <w:rFonts w:cs="Times New Roman"/>
          <w:i/>
          <w:iCs/>
          <w:szCs w:val="24"/>
        </w:rPr>
        <w:t>In re Worlds of Wonder Sec. Litig.</w:t>
      </w:r>
      <w:r w:rsidRPr="002B283E">
        <w:rPr>
          <w:rFonts w:cs="Times New Roman"/>
          <w:szCs w:val="24"/>
        </w:rPr>
        <w:t>, 35 F.3d 1407, 1413-15 (9th Cir. 1994)) (internal quotation marks omitted).</w:t>
      </w:r>
    </w:p>
    <w:p w14:paraId="5A9A34E0" w14:textId="77777777" w:rsidR="00867EC4" w:rsidRPr="002B283E" w:rsidRDefault="00867EC4" w:rsidP="00867EC4">
      <w:pPr>
        <w:autoSpaceDE w:val="0"/>
        <w:autoSpaceDN w:val="0"/>
        <w:adjustRightInd w:val="0"/>
        <w:rPr>
          <w:rFonts w:cs="Times New Roman"/>
          <w:szCs w:val="24"/>
        </w:rPr>
      </w:pPr>
    </w:p>
    <w:p w14:paraId="68EB695D" w14:textId="1A681512"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the second category, the PSLRA provides a safe harbor for forward-looking statements that the speaker believed were true. </w:t>
      </w:r>
      <w:r w:rsidRPr="002B283E">
        <w:rPr>
          <w:rFonts w:cs="Times New Roman"/>
          <w:i/>
          <w:iCs/>
          <w:szCs w:val="24"/>
        </w:rPr>
        <w:t xml:space="preserve">See </w:t>
      </w:r>
      <w:r w:rsidRPr="002B283E">
        <w:rPr>
          <w:rFonts w:cs="Times New Roman"/>
          <w:szCs w:val="24"/>
        </w:rPr>
        <w:t xml:space="preserve">15 U.S.C. § 78u-5(c)(1)(B). To avoid application of the safe harbor under this category, “plaintiffs must prove that ‘forward-looking’ statements were made with ‘actual knowledge’ that they were false or misleading.” </w:t>
      </w:r>
      <w:r w:rsidRPr="002B283E">
        <w:rPr>
          <w:rFonts w:cs="Times New Roman"/>
          <w:i/>
          <w:iCs/>
          <w:szCs w:val="24"/>
        </w:rPr>
        <w:t>In re Daou Sys., Inc., Sec. Litig.</w:t>
      </w:r>
      <w:r w:rsidRPr="002B283E">
        <w:rPr>
          <w:rFonts w:cs="Times New Roman"/>
          <w:szCs w:val="24"/>
        </w:rPr>
        <w:t xml:space="preserve">, 411 F.3d 1006, 1021 (9th Cir. 2005) (quoting </w:t>
      </w:r>
      <w:r w:rsidRPr="002B283E">
        <w:rPr>
          <w:rFonts w:cs="Times New Roman"/>
          <w:i/>
          <w:iCs/>
          <w:szCs w:val="24"/>
          <w:highlight w:val="white"/>
        </w:rPr>
        <w:t>In re Silicon Graphics Inc. Sec. Litig.</w:t>
      </w:r>
      <w:r w:rsidRPr="002B283E">
        <w:rPr>
          <w:rFonts w:cs="Times New Roman"/>
          <w:szCs w:val="24"/>
          <w:highlight w:val="white"/>
        </w:rPr>
        <w:t>, 183 F.3d 970, 993 (1999) (Browning, J., concurring in part and dissenting in part))</w:t>
      </w:r>
      <w:r w:rsidR="00E54E76">
        <w:rPr>
          <w:rFonts w:cs="Times New Roman"/>
          <w:szCs w:val="24"/>
          <w:highlight w:val="white"/>
        </w:rPr>
        <w:t xml:space="preserve">. </w:t>
      </w:r>
      <w:r w:rsidRPr="002B283E">
        <w:rPr>
          <w:rFonts w:cs="Times New Roman"/>
          <w:szCs w:val="24"/>
        </w:rPr>
        <w:t xml:space="preserve">By contrast, if the statement is not covered by the PSLRA safe harbor, “[t]he requisite state of mind, at a minimum, is deliberate or conscious recklessness.” </w:t>
      </w:r>
      <w:r w:rsidRPr="002B283E">
        <w:rPr>
          <w:rFonts w:cs="Times New Roman"/>
          <w:i/>
          <w:iCs/>
          <w:szCs w:val="24"/>
        </w:rPr>
        <w:t>Empl’rs Teamsters</w:t>
      </w:r>
      <w:r w:rsidRPr="002B283E">
        <w:rPr>
          <w:rFonts w:cs="Times New Roman"/>
          <w:szCs w:val="24"/>
        </w:rPr>
        <w:t>, 353 F.3d at 1134.</w:t>
      </w:r>
    </w:p>
    <w:p w14:paraId="2A35F585" w14:textId="77777777" w:rsidR="00867EC4" w:rsidRPr="002B283E" w:rsidRDefault="00867EC4" w:rsidP="00867EC4">
      <w:pPr>
        <w:autoSpaceDE w:val="0"/>
        <w:autoSpaceDN w:val="0"/>
        <w:adjustRightInd w:val="0"/>
        <w:rPr>
          <w:rFonts w:cs="Times New Roman"/>
          <w:i/>
          <w:iCs/>
          <w:szCs w:val="24"/>
        </w:rPr>
      </w:pPr>
    </w:p>
    <w:p w14:paraId="7318B5E5" w14:textId="651BABC9"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also is a third statutory safe harbor, which is not mentioned in this instruction. This third safe harbor exculpates any forward-looking statement that is “immaterial.” </w:t>
      </w:r>
      <w:r w:rsidRPr="002B283E">
        <w:rPr>
          <w:rFonts w:cs="Times New Roman"/>
          <w:i/>
          <w:iCs/>
          <w:szCs w:val="24"/>
        </w:rPr>
        <w:t>See</w:t>
      </w:r>
      <w:r w:rsidRPr="002B283E">
        <w:rPr>
          <w:rFonts w:cs="Times New Roman"/>
          <w:szCs w:val="24"/>
        </w:rPr>
        <w:t xml:space="preserve"> 15 U.S.C. § 78u</w:t>
      </w:r>
      <w:r w:rsidRPr="002B283E">
        <w:rPr>
          <w:rFonts w:cs="Times New Roman"/>
          <w:szCs w:val="24"/>
        </w:rPr>
        <w:noBreakHyphen/>
        <w:t>5(c)(1)(A)(ii). It is not referred to in this instruction because “materiality” already is an express element of the claim (</w:t>
      </w:r>
      <w:r w:rsidRPr="002B283E">
        <w:rPr>
          <w:rFonts w:cs="Times New Roman"/>
          <w:i/>
          <w:iCs/>
          <w:szCs w:val="24"/>
        </w:rPr>
        <w:t>see</w:t>
      </w:r>
      <w:r w:rsidRPr="002B283E">
        <w:rPr>
          <w:rFonts w:cs="Times New Roman"/>
          <w:szCs w:val="24"/>
        </w:rPr>
        <w:t xml:space="preserve"> Instruction 18.2</w:t>
      </w:r>
      <w:r w:rsidR="00F721BD">
        <w:rPr>
          <w:rFonts w:cs="Times New Roman"/>
          <w:szCs w:val="24"/>
        </w:rPr>
        <w:t xml:space="preserve"> (Securities—Rule 10b-5 Claim)</w:t>
      </w:r>
      <w:r w:rsidRPr="002B283E">
        <w:rPr>
          <w:rFonts w:cs="Times New Roman"/>
          <w:szCs w:val="24"/>
        </w:rPr>
        <w:t>, first element) and is defined separately (</w:t>
      </w:r>
      <w:r w:rsidRPr="002B283E">
        <w:rPr>
          <w:rFonts w:cs="Times New Roman"/>
          <w:i/>
          <w:iCs/>
          <w:szCs w:val="24"/>
        </w:rPr>
        <w:t xml:space="preserve">see </w:t>
      </w:r>
      <w:r w:rsidRPr="002B283E">
        <w:rPr>
          <w:rFonts w:cs="Times New Roman"/>
          <w:szCs w:val="24"/>
        </w:rPr>
        <w:t>Instruction 18.3</w:t>
      </w:r>
      <w:r w:rsidR="00F721BD">
        <w:rPr>
          <w:rFonts w:cs="Times New Roman"/>
          <w:szCs w:val="24"/>
        </w:rPr>
        <w:t xml:space="preserve"> (Securities—Misrepresentations or Omsissions—Materiality)</w:t>
      </w:r>
      <w:r w:rsidRPr="002B283E">
        <w:rPr>
          <w:rFonts w:cs="Times New Roman"/>
          <w:szCs w:val="24"/>
        </w:rPr>
        <w:t>).</w:t>
      </w:r>
    </w:p>
    <w:p w14:paraId="16071671" w14:textId="77777777" w:rsidR="00867EC4" w:rsidRPr="002B283E" w:rsidRDefault="00867EC4" w:rsidP="00867EC4">
      <w:pPr>
        <w:autoSpaceDE w:val="0"/>
        <w:autoSpaceDN w:val="0"/>
        <w:adjustRightInd w:val="0"/>
        <w:rPr>
          <w:rFonts w:cs="Times New Roman"/>
          <w:szCs w:val="24"/>
        </w:rPr>
      </w:pPr>
    </w:p>
    <w:p w14:paraId="28F4B775" w14:textId="77777777"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Revised September 2024</w:t>
      </w:r>
    </w:p>
    <w:p w14:paraId="4F2EC524" w14:textId="77777777" w:rsidR="00867EC4" w:rsidRPr="002B283E" w:rsidRDefault="00867EC4" w:rsidP="00867EC4">
      <w:pPr>
        <w:pStyle w:val="BodyText"/>
        <w:ind w:left="100" w:right="82" w:firstLine="720"/>
      </w:pPr>
    </w:p>
    <w:p w14:paraId="504DD46A" w14:textId="77777777" w:rsidR="00867EC4" w:rsidRPr="002B283E" w:rsidRDefault="00867EC4" w:rsidP="00867EC4">
      <w:pPr>
        <w:numPr>
          <w:ilvl w:val="12"/>
          <w:numId w:val="0"/>
        </w:numPr>
        <w:autoSpaceDE w:val="0"/>
        <w:autoSpaceDN w:val="0"/>
        <w:adjustRightInd w:val="0"/>
        <w:rPr>
          <w:rFonts w:cs="Times New Roman"/>
          <w:szCs w:val="24"/>
        </w:rPr>
      </w:pPr>
    </w:p>
    <w:p w14:paraId="54DAB448" w14:textId="77777777" w:rsidR="00867EC4" w:rsidRPr="002B283E" w:rsidRDefault="00867EC4" w:rsidP="00867EC4">
      <w:pPr>
        <w:pStyle w:val="Heading2"/>
      </w:pPr>
      <w:r w:rsidRPr="002B283E">
        <w:br w:type="page"/>
      </w:r>
      <w:bookmarkStart w:id="460" w:name="_Toc196481976"/>
      <w:bookmarkStart w:id="461" w:name="_Toc221525347"/>
      <w:r w:rsidRPr="002B283E">
        <w:lastRenderedPageBreak/>
        <w:t>18.5 Securities—Knowingly</w:t>
      </w:r>
      <w:bookmarkEnd w:id="460"/>
      <w:r w:rsidRPr="002B283E">
        <w:t xml:space="preserve"> and Recklessly</w:t>
      </w:r>
      <w:bookmarkEnd w:id="461"/>
    </w:p>
    <w:p w14:paraId="65431CD3" w14:textId="77777777" w:rsidR="00867EC4" w:rsidRPr="002B283E" w:rsidRDefault="00867EC4" w:rsidP="00867EC4">
      <w:pPr>
        <w:numPr>
          <w:ilvl w:val="12"/>
          <w:numId w:val="0"/>
        </w:numPr>
        <w:autoSpaceDE w:val="0"/>
        <w:autoSpaceDN w:val="0"/>
        <w:adjustRightInd w:val="0"/>
        <w:rPr>
          <w:rFonts w:cs="Times New Roman"/>
          <w:szCs w:val="24"/>
        </w:rPr>
      </w:pPr>
    </w:p>
    <w:p w14:paraId="5AB5AF5B"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makes an untrue statement with the knowledge that the statement was false or with reckless disregard for whether the statement was true.] [A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omits necessary information with the knowledge that the omission would make the statement false or misleading or with reckless disregard for whether the omission would make the statement false or misleading.]</w:t>
      </w:r>
    </w:p>
    <w:p w14:paraId="071514B2" w14:textId="77777777" w:rsidR="00867EC4" w:rsidRPr="002B283E" w:rsidRDefault="00867EC4" w:rsidP="00867EC4">
      <w:pPr>
        <w:shd w:val="clear" w:color="auto" w:fill="FFFFFF"/>
        <w:rPr>
          <w:rFonts w:eastAsia="Times New Roman" w:cs="Times New Roman"/>
          <w:szCs w:val="24"/>
        </w:rPr>
      </w:pPr>
    </w:p>
    <w:p w14:paraId="4EC7B3F3" w14:textId="77777777" w:rsidR="00867EC4" w:rsidRPr="002B283E" w:rsidRDefault="00867EC4" w:rsidP="00867EC4">
      <w:pPr>
        <w:shd w:val="clear" w:color="auto" w:fill="FFFFFF"/>
        <w:ind w:firstLine="720"/>
        <w:rPr>
          <w:rFonts w:eastAsia="Times New Roman" w:cs="Times New Roman"/>
          <w:szCs w:val="24"/>
        </w:rPr>
      </w:pPr>
      <w:r>
        <w:rPr>
          <w:rFonts w:eastAsia="Times New Roman" w:cs="Times New Roman"/>
          <w:szCs w:val="24"/>
        </w:rPr>
        <w:t>[</w:t>
      </w:r>
      <w:r w:rsidRPr="00A2330E">
        <w:rPr>
          <w:rFonts w:eastAsia="Times New Roman" w:cs="Times New Roman"/>
          <w:szCs w:val="24"/>
        </w:rPr>
        <w:t xml:space="preserve">A defendant acts recklessly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A2330E">
        <w:rPr>
          <w:rFonts w:eastAsia="Times New Roman" w:cs="Times New Roman"/>
          <w:szCs w:val="24"/>
        </w:rPr>
        <w:t>engages in</w:t>
      </w:r>
      <w:r>
        <w:rPr>
          <w:rFonts w:eastAsia="Times New Roman" w:cs="Times New Roman"/>
          <w:szCs w:val="24"/>
        </w:rPr>
        <w:t xml:space="preserve"> </w:t>
      </w:r>
      <w:r w:rsidRPr="002B283E">
        <w:rPr>
          <w:rFonts w:eastAsia="Times New Roman" w:cs="Times New Roman"/>
          <w:szCs w:val="24"/>
        </w:rPr>
        <w:t>highly unreasonable conduct that is an extreme departure from ordinary care, presenting a danger of misleading investors, which is either known to the defendant or is so obvious that the defendant must have been aware of it.]</w:t>
      </w:r>
    </w:p>
    <w:p w14:paraId="5E4F4F76" w14:textId="77777777" w:rsidR="00867EC4" w:rsidRPr="002B283E" w:rsidRDefault="00867EC4" w:rsidP="00867EC4">
      <w:pPr>
        <w:numPr>
          <w:ilvl w:val="12"/>
          <w:numId w:val="0"/>
        </w:numPr>
        <w:autoSpaceDE w:val="0"/>
        <w:autoSpaceDN w:val="0"/>
        <w:adjustRightInd w:val="0"/>
        <w:rPr>
          <w:rFonts w:cs="Times New Roman"/>
          <w:szCs w:val="24"/>
        </w:rPr>
      </w:pPr>
    </w:p>
    <w:p w14:paraId="23A84812"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09E1AB17" w14:textId="77777777" w:rsidR="00867EC4" w:rsidRPr="002B283E" w:rsidRDefault="00867EC4" w:rsidP="00867EC4">
      <w:pPr>
        <w:numPr>
          <w:ilvl w:val="12"/>
          <w:numId w:val="0"/>
        </w:numPr>
        <w:autoSpaceDE w:val="0"/>
        <w:autoSpaceDN w:val="0"/>
        <w:adjustRightInd w:val="0"/>
        <w:rPr>
          <w:rFonts w:cs="Times New Roman"/>
          <w:szCs w:val="24"/>
        </w:rPr>
      </w:pPr>
    </w:p>
    <w:p w14:paraId="316D4EF3" w14:textId="5333FA2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This instruction addresses the element of “scienter,” which was developed in </w:t>
      </w:r>
      <w:r w:rsidRPr="002B283E">
        <w:rPr>
          <w:rFonts w:eastAsia="Times New Roman" w:cs="Times New Roman"/>
          <w:i/>
          <w:iCs/>
          <w:szCs w:val="24"/>
        </w:rPr>
        <w:t>Ernst &amp; Ernst v. Hochfelder</w:t>
      </w:r>
      <w:r w:rsidRPr="002B283E">
        <w:rPr>
          <w:rFonts w:eastAsia="Times New Roman" w:cs="Times New Roman"/>
          <w:szCs w:val="24"/>
        </w:rPr>
        <w:t>, 425 U.S. 185, 193</w:t>
      </w:r>
      <w:r w:rsidR="001A7835">
        <w:rPr>
          <w:rFonts w:eastAsia="Times New Roman" w:cs="Times New Roman"/>
          <w:szCs w:val="24"/>
        </w:rPr>
        <w:t xml:space="preserve"> </w:t>
      </w:r>
      <w:r w:rsidRPr="002B283E">
        <w:rPr>
          <w:rFonts w:eastAsia="Times New Roman" w:cs="Times New Roman"/>
          <w:szCs w:val="24"/>
        </w:rPr>
        <w:t xml:space="preserve">(1976). In </w:t>
      </w:r>
      <w:r w:rsidRPr="002B283E">
        <w:rPr>
          <w:rFonts w:eastAsia="Times New Roman" w:cs="Times New Roman"/>
          <w:i/>
          <w:iCs/>
          <w:szCs w:val="24"/>
        </w:rPr>
        <w:t>Nelson v. Serwold</w:t>
      </w:r>
      <w:r w:rsidRPr="002B283E">
        <w:rPr>
          <w:rFonts w:eastAsia="Times New Roman" w:cs="Times New Roman"/>
          <w:szCs w:val="24"/>
        </w:rPr>
        <w:t xml:space="preserve">, 576 F.2d 1332, 1337 (9th Cir. 1978), the court held that Congress intended Section 10(b) to reach both knowing and reckless conduct, and it interpreted the </w:t>
      </w:r>
      <w:r w:rsidRPr="002B283E">
        <w:rPr>
          <w:rFonts w:eastAsia="Times New Roman" w:cs="Times New Roman"/>
          <w:i/>
          <w:iCs/>
          <w:szCs w:val="24"/>
        </w:rPr>
        <w:t xml:space="preserve">Ernst &amp; Ernst </w:t>
      </w:r>
      <w:r w:rsidRPr="002B283E">
        <w:rPr>
          <w:rFonts w:eastAsia="Times New Roman" w:cs="Times New Roman"/>
          <w:szCs w:val="24"/>
        </w:rPr>
        <w:t>decision as merely eliminating negligence as a basis for liability.</w:t>
      </w:r>
    </w:p>
    <w:p w14:paraId="497A7F97" w14:textId="77777777" w:rsidR="00867EC4" w:rsidRPr="002B283E" w:rsidRDefault="00867EC4" w:rsidP="00867EC4">
      <w:pPr>
        <w:shd w:val="clear" w:color="auto" w:fill="FFFFFF"/>
        <w:rPr>
          <w:rFonts w:eastAsia="Times New Roman" w:cs="Times New Roman"/>
          <w:szCs w:val="24"/>
        </w:rPr>
      </w:pPr>
    </w:p>
    <w:p w14:paraId="7B7DB059" w14:textId="0B01DF3D" w:rsidR="00867EC4"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In the Private Securities Litigation Reform Act of 1995 (“PSLRA”), 109 Stat. 737, Congress added “[e]xacting pleading requirements,” among other things, as a “check against abusive litigation.” </w:t>
      </w:r>
      <w:r w:rsidRPr="002B283E">
        <w:rPr>
          <w:rFonts w:eastAsia="Times New Roman" w:cs="Times New Roman"/>
          <w:i/>
          <w:iCs/>
          <w:szCs w:val="24"/>
        </w:rPr>
        <w:t>Tellabs, Inc. v. Makor Issues &amp; Rts., Ltd</w:t>
      </w:r>
      <w:r w:rsidRPr="002B283E">
        <w:rPr>
          <w:rFonts w:eastAsia="Times New Roman" w:cs="Times New Roman"/>
          <w:szCs w:val="24"/>
        </w:rPr>
        <w:t xml:space="preserve">., 551 U.S. 308, 313 (2007). For pleading purposes, a plaintiff must “state with particularity facts giving rise to a strong inference that the defendant acted with the required state of mind.” </w:t>
      </w:r>
      <w:r w:rsidRPr="002B283E">
        <w:rPr>
          <w:rFonts w:eastAsia="Times New Roman" w:cs="Times New Roman"/>
          <w:i/>
          <w:iCs/>
          <w:szCs w:val="24"/>
        </w:rPr>
        <w:t>Id</w:t>
      </w:r>
      <w:r w:rsidRPr="002B283E">
        <w:rPr>
          <w:rFonts w:eastAsia="Times New Roman" w:cs="Times New Roman"/>
          <w:szCs w:val="24"/>
        </w:rPr>
        <w:t xml:space="preserve">. at 314 (quoting 15 U.S.C. § 78u–4(b)(2)). In </w:t>
      </w:r>
      <w:r w:rsidRPr="002B283E">
        <w:rPr>
          <w:rFonts w:eastAsia="Times New Roman" w:cs="Times New Roman"/>
          <w:i/>
          <w:iCs/>
          <w:szCs w:val="24"/>
        </w:rPr>
        <w:t>Webb v. SolarCity Corp</w:t>
      </w:r>
      <w:r w:rsidRPr="002B283E">
        <w:rPr>
          <w:rFonts w:eastAsia="Times New Roman" w:cs="Times New Roman"/>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2B283E">
        <w:rPr>
          <w:rFonts w:eastAsia="Times New Roman" w:cs="Times New Roman"/>
          <w:i/>
          <w:iCs/>
          <w:szCs w:val="24"/>
        </w:rPr>
        <w:t>Id</w:t>
      </w:r>
      <w:r w:rsidRPr="002B283E">
        <w:rPr>
          <w:rFonts w:eastAsia="Times New Roman" w:cs="Times New Roman"/>
          <w:szCs w:val="24"/>
        </w:rPr>
        <w:t xml:space="preserve">. (brackets, emphasis, and citation omitted); </w:t>
      </w:r>
      <w:r w:rsidRPr="002B283E">
        <w:rPr>
          <w:rFonts w:eastAsia="Times New Roman" w:cs="Times New Roman"/>
          <w:i/>
          <w:iCs/>
          <w:szCs w:val="24"/>
        </w:rPr>
        <w:t>see also Glazer Cap. Mgmt. v. Forescout Techs., Inc.</w:t>
      </w:r>
      <w:r w:rsidRPr="002B283E">
        <w:rPr>
          <w:rFonts w:eastAsia="Times New Roman" w:cs="Times New Roman"/>
          <w:szCs w:val="24"/>
        </w:rPr>
        <w:t>, 63 F.4th 747,</w:t>
      </w:r>
      <w:r w:rsidR="001A7835">
        <w:rPr>
          <w:rFonts w:eastAsia="Times New Roman" w:cs="Times New Roman"/>
          <w:szCs w:val="24"/>
        </w:rPr>
        <w:t xml:space="preserve"> </w:t>
      </w:r>
      <w:r w:rsidRPr="002B283E">
        <w:rPr>
          <w:rFonts w:eastAsia="Times New Roman" w:cs="Times New Roman"/>
          <w:szCs w:val="24"/>
        </w:rPr>
        <w:t>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w:t>
      </w:r>
      <w:r w:rsidR="001A7835">
        <w:rPr>
          <w:rFonts w:eastAsia="Times New Roman" w:cs="Times New Roman"/>
          <w:szCs w:val="24"/>
        </w:rPr>
        <w:t xml:space="preserve">; </w:t>
      </w:r>
      <w:r w:rsidRPr="002B283E">
        <w:rPr>
          <w:rFonts w:eastAsia="Times New Roman" w:cs="Times New Roman"/>
          <w:i/>
          <w:iCs/>
          <w:szCs w:val="24"/>
        </w:rPr>
        <w:t>Espy v. J2 Global, Inc., </w:t>
      </w:r>
      <w:r w:rsidRPr="002B283E">
        <w:rPr>
          <w:rFonts w:eastAsia="Times New Roman" w:cs="Times New Roman"/>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w:t>
      </w:r>
      <w:r w:rsidR="001A7835">
        <w:rPr>
          <w:rFonts w:eastAsia="Times New Roman" w:cs="Times New Roman"/>
          <w:szCs w:val="24"/>
        </w:rPr>
        <w:t>,</w:t>
      </w:r>
      <w:r w:rsidRPr="002B283E">
        <w:rPr>
          <w:rFonts w:eastAsia="Times New Roman" w:cs="Times New Roman"/>
          <w:szCs w:val="24"/>
        </w:rPr>
        <w:t>] . . . not statements which are themselves indicative of scienter”) (citations omitted)).</w:t>
      </w:r>
    </w:p>
    <w:p w14:paraId="1FE34723" w14:textId="77777777" w:rsidR="00867EC4" w:rsidRPr="002B283E" w:rsidRDefault="00867EC4" w:rsidP="00867EC4">
      <w:pPr>
        <w:shd w:val="clear" w:color="auto" w:fill="FFFFFF"/>
        <w:ind w:firstLine="720"/>
        <w:rPr>
          <w:rFonts w:eastAsia="Times New Roman" w:cs="Times New Roman"/>
          <w:szCs w:val="24"/>
        </w:rPr>
      </w:pPr>
    </w:p>
    <w:p w14:paraId="6D2CC67B"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The PSLRA entitles a defendant in any private action arising under Rule 10b-5 to require the court to submit a written interrogatory to the jury regarding each defendant’s state of mind at </w:t>
      </w:r>
      <w:r w:rsidRPr="002B283E">
        <w:rPr>
          <w:rFonts w:eastAsia="Times New Roman" w:cs="Times New Roman"/>
          <w:szCs w:val="24"/>
        </w:rPr>
        <w:lastRenderedPageBreak/>
        <w:t xml:space="preserve">the time of the alleged violation of the securities laws. 15 U.S.C. § 78u-4(d). For a discussion of when a corporate officer’s scienter can be imputed to a corporation, particularly if that officer also defrauds the corporation, </w:t>
      </w:r>
      <w:r w:rsidRPr="001A7835">
        <w:rPr>
          <w:rFonts w:eastAsia="Times New Roman" w:cs="Times New Roman"/>
          <w:szCs w:val="24"/>
        </w:rPr>
        <w:t>see</w:t>
      </w:r>
      <w:r w:rsidRPr="002B283E">
        <w:rPr>
          <w:rFonts w:eastAsia="Times New Roman" w:cs="Times New Roman"/>
          <w:i/>
          <w:iCs/>
          <w:szCs w:val="24"/>
        </w:rPr>
        <w:t xml:space="preserve"> In re ChinaCast Education Corp</w:t>
      </w:r>
      <w:r w:rsidRPr="002B283E">
        <w:rPr>
          <w:rFonts w:eastAsia="Times New Roman" w:cs="Times New Roman"/>
          <w:szCs w:val="24"/>
        </w:rPr>
        <w:t>. </w:t>
      </w:r>
      <w:r w:rsidRPr="002B283E">
        <w:rPr>
          <w:rFonts w:eastAsia="Times New Roman" w:cs="Times New Roman"/>
          <w:i/>
          <w:iCs/>
          <w:szCs w:val="24"/>
        </w:rPr>
        <w:t>Securities Litigation</w:t>
      </w:r>
      <w:r w:rsidRPr="002B283E">
        <w:rPr>
          <w:rFonts w:eastAsia="Times New Roman" w:cs="Times New Roman"/>
          <w:szCs w:val="24"/>
        </w:rPr>
        <w:t>, 809 F.3d 471 (9th Cir. 2015).</w:t>
      </w:r>
    </w:p>
    <w:p w14:paraId="084EE166" w14:textId="77777777" w:rsidR="001D0FCD" w:rsidRDefault="001D0FCD" w:rsidP="001D0FCD">
      <w:pPr>
        <w:shd w:val="clear" w:color="auto" w:fill="FFFFFF"/>
        <w:ind w:firstLine="720"/>
        <w:rPr>
          <w:rFonts w:eastAsia="Times New Roman" w:cs="Times New Roman"/>
          <w:szCs w:val="24"/>
        </w:rPr>
      </w:pPr>
    </w:p>
    <w:p w14:paraId="5529AD8A" w14:textId="77777777" w:rsidR="001D0FCD" w:rsidRPr="00222A17" w:rsidRDefault="001D0FCD" w:rsidP="001D0FCD">
      <w:pPr>
        <w:ind w:firstLine="720"/>
        <w:rPr>
          <w:rFonts w:cs="Times New Roman"/>
        </w:rPr>
      </w:pPr>
      <w:r w:rsidRPr="00512B3D">
        <w:rPr>
          <w:rFonts w:cs="Times New Roman"/>
        </w:rPr>
        <w:t xml:space="preserve">Scienter can also be shown “in the rare circumstances” when allegations are “not particularized,” but “the nature of the relevant fact is of such prominence that it would be absurd to suggest that management was without knowledge of the matter.” </w:t>
      </w:r>
      <w:r w:rsidRPr="00512B3D">
        <w:rPr>
          <w:rFonts w:cs="Times New Roman"/>
          <w:i/>
          <w:iCs/>
        </w:rPr>
        <w:t>Construction Laborers Pension Tr</w:t>
      </w:r>
      <w:r>
        <w:rPr>
          <w:rFonts w:cs="Times New Roman"/>
          <w:i/>
          <w:iCs/>
        </w:rPr>
        <w:t>.</w:t>
      </w:r>
      <w:r w:rsidRPr="00512B3D">
        <w:rPr>
          <w:rFonts w:cs="Times New Roman"/>
          <w:i/>
          <w:iCs/>
        </w:rPr>
        <w:t xml:space="preserve"> of Greater St. Louis v. Funko, Inc.</w:t>
      </w:r>
      <w:r w:rsidRPr="00512B3D">
        <w:rPr>
          <w:rFonts w:cs="Times New Roman"/>
        </w:rPr>
        <w:t>, 166 F.4th 805</w:t>
      </w:r>
      <w:r>
        <w:rPr>
          <w:rFonts w:cs="Times New Roman"/>
        </w:rPr>
        <w:t>, 831</w:t>
      </w:r>
      <w:r w:rsidRPr="00512B3D">
        <w:rPr>
          <w:rFonts w:cs="Times New Roman"/>
        </w:rPr>
        <w:t xml:space="preserve"> (9th Cir. 2025) (internal quotation marks and citations omitted). In </w:t>
      </w:r>
      <w:r w:rsidRPr="00512B3D">
        <w:rPr>
          <w:rFonts w:cs="Times New Roman"/>
          <w:i/>
          <w:iCs/>
        </w:rPr>
        <w:t>Funko</w:t>
      </w:r>
      <w:r w:rsidRPr="00512B3D">
        <w:rPr>
          <w:rFonts w:cs="Times New Roman"/>
        </w:rPr>
        <w:t>, the court held that plaintiffs alleged scienter based on th</w:t>
      </w:r>
      <w:r>
        <w:rPr>
          <w:rFonts w:cs="Times New Roman"/>
        </w:rPr>
        <w:t>e</w:t>
      </w:r>
      <w:r w:rsidRPr="00512B3D">
        <w:rPr>
          <w:rFonts w:cs="Times New Roman"/>
        </w:rPr>
        <w:t xml:space="preserve"> theory that CEO and CFO of company had to know about problems with inventory and implementation of new ERP software, since those were main areas of focus and concern for the company. </w:t>
      </w:r>
      <w:r w:rsidRPr="00512B3D">
        <w:rPr>
          <w:rFonts w:cs="Times New Roman"/>
          <w:i/>
          <w:iCs/>
        </w:rPr>
        <w:t>Id.</w:t>
      </w:r>
      <w:r w:rsidRPr="00512B3D">
        <w:rPr>
          <w:rFonts w:cs="Times New Roman"/>
        </w:rPr>
        <w:t xml:space="preserve"> at 833-34.</w:t>
      </w:r>
      <w:r w:rsidRPr="00222A17">
        <w:rPr>
          <w:rFonts w:cs="Times New Roman"/>
        </w:rPr>
        <w:t xml:space="preserve">  </w:t>
      </w:r>
    </w:p>
    <w:p w14:paraId="3AF37CC5" w14:textId="77777777" w:rsidR="001D0FCD" w:rsidRPr="0010256F" w:rsidRDefault="001D0FCD" w:rsidP="001D0FCD">
      <w:pPr>
        <w:shd w:val="clear" w:color="auto" w:fill="FFFFFF"/>
        <w:ind w:firstLine="720"/>
        <w:rPr>
          <w:rFonts w:eastAsia="Times New Roman" w:cs="Times New Roman"/>
          <w:szCs w:val="24"/>
        </w:rPr>
      </w:pPr>
    </w:p>
    <w:p w14:paraId="2A067227" w14:textId="77777777" w:rsidR="001D0FCD" w:rsidRPr="0010256F" w:rsidRDefault="001D0FCD" w:rsidP="001D0FCD">
      <w:pPr>
        <w:numPr>
          <w:ilvl w:val="12"/>
          <w:numId w:val="0"/>
        </w:numPr>
        <w:autoSpaceDE w:val="0"/>
        <w:autoSpaceDN w:val="0"/>
        <w:adjustRightInd w:val="0"/>
        <w:rPr>
          <w:rFonts w:cs="Times New Roman"/>
          <w:szCs w:val="24"/>
        </w:rPr>
      </w:pPr>
    </w:p>
    <w:p w14:paraId="5455FAD0" w14:textId="77777777" w:rsidR="001D0FCD" w:rsidRPr="0010256F" w:rsidRDefault="001D0FCD" w:rsidP="001D0FCD">
      <w:pPr>
        <w:shd w:val="clear" w:color="auto" w:fill="FFFFFF"/>
        <w:jc w:val="right"/>
        <w:rPr>
          <w:rFonts w:cs="Times New Roman"/>
          <w:i/>
          <w:iCs/>
          <w:szCs w:val="24"/>
        </w:rPr>
      </w:pPr>
      <w:r w:rsidRPr="0010256F">
        <w:rPr>
          <w:i/>
          <w:iCs/>
        </w:rPr>
        <w:t xml:space="preserve">Revised </w:t>
      </w:r>
      <w:r>
        <w:rPr>
          <w:i/>
          <w:iCs/>
        </w:rPr>
        <w:t>March 2026</w:t>
      </w:r>
    </w:p>
    <w:p w14:paraId="69C7426F" w14:textId="77777777" w:rsidR="00867EC4" w:rsidRPr="002B283E" w:rsidRDefault="00867EC4" w:rsidP="00867EC4">
      <w:pPr>
        <w:numPr>
          <w:ilvl w:val="12"/>
          <w:numId w:val="0"/>
        </w:numPr>
        <w:autoSpaceDE w:val="0"/>
        <w:autoSpaceDN w:val="0"/>
        <w:adjustRightInd w:val="0"/>
        <w:rPr>
          <w:rFonts w:cs="Times New Roman"/>
          <w:szCs w:val="24"/>
        </w:rPr>
      </w:pPr>
    </w:p>
    <w:p w14:paraId="1C4C8FF1" w14:textId="77777777" w:rsidR="00867EC4" w:rsidRPr="002B283E" w:rsidRDefault="00867EC4" w:rsidP="00867EC4">
      <w:pPr>
        <w:pStyle w:val="Heading2"/>
      </w:pPr>
      <w:r w:rsidRPr="002B283E">
        <w:br w:type="page"/>
      </w:r>
      <w:bookmarkStart w:id="462" w:name="_Toc196481977"/>
      <w:bookmarkStart w:id="463" w:name="_Toc221525348"/>
      <w:r w:rsidRPr="002B283E">
        <w:lastRenderedPageBreak/>
        <w:t>18.6 Securities—Justifiable Reliance Generally</w:t>
      </w:r>
      <w:bookmarkEnd w:id="462"/>
      <w:bookmarkEnd w:id="463"/>
    </w:p>
    <w:p w14:paraId="403ACE71" w14:textId="77777777" w:rsidR="00867EC4" w:rsidRPr="002B283E" w:rsidRDefault="00867EC4" w:rsidP="00867EC4">
      <w:pPr>
        <w:numPr>
          <w:ilvl w:val="12"/>
          <w:numId w:val="0"/>
        </w:numPr>
        <w:autoSpaceDE w:val="0"/>
        <w:autoSpaceDN w:val="0"/>
        <w:adjustRightInd w:val="0"/>
        <w:rPr>
          <w:rFonts w:cs="Times New Roman"/>
          <w:szCs w:val="24"/>
        </w:rPr>
      </w:pPr>
    </w:p>
    <w:p w14:paraId="2B0EA03D" w14:textId="6AAF5D5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must prove by a preponderance of the evidence that [he] [she] [</w:t>
      </w:r>
      <w:r w:rsidRPr="002B283E">
        <w:rPr>
          <w:rFonts w:cs="Times New Roman"/>
          <w:i/>
          <w:iCs/>
          <w:szCs w:val="24"/>
          <w:u w:val="single"/>
        </w:rPr>
        <w:t>other pronoun</w:t>
      </w:r>
      <w:r w:rsidRPr="002B283E">
        <w:rPr>
          <w:rFonts w:cs="Times New Roman"/>
          <w:szCs w:val="24"/>
        </w:rPr>
        <w:t xml:space="preserve">] justifiably relied on the alleged misrepresentation or omission in deciding to engage in the [purchase] [sale] of the [security] [securities] in question.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may not intentionally close [his] [her] [</w:t>
      </w:r>
      <w:r w:rsidRPr="002B283E">
        <w:rPr>
          <w:rFonts w:cs="Times New Roman"/>
          <w:i/>
          <w:iCs/>
          <w:szCs w:val="24"/>
          <w:u w:val="single"/>
        </w:rPr>
        <w:t>other pronoun</w:t>
      </w:r>
      <w:r w:rsidRPr="002B283E">
        <w:rPr>
          <w:rFonts w:cs="Times New Roman"/>
          <w:szCs w:val="24"/>
        </w:rPr>
        <w:t>] eyes and refuse to investigate the circumstances or disregard known or obvious risks.</w:t>
      </w:r>
    </w:p>
    <w:p w14:paraId="6B26202B" w14:textId="77777777" w:rsidR="00867EC4" w:rsidRPr="002B283E" w:rsidRDefault="00867EC4" w:rsidP="00867EC4">
      <w:pPr>
        <w:rPr>
          <w:rFonts w:cs="Times New Roman"/>
          <w:szCs w:val="24"/>
        </w:rPr>
      </w:pPr>
    </w:p>
    <w:p w14:paraId="30AD13EC"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AE219C6" w14:textId="77777777" w:rsidR="00867EC4" w:rsidRPr="002B283E" w:rsidRDefault="00867EC4" w:rsidP="00867EC4">
      <w:pPr>
        <w:numPr>
          <w:ilvl w:val="12"/>
          <w:numId w:val="0"/>
        </w:numPr>
        <w:autoSpaceDE w:val="0"/>
        <w:autoSpaceDN w:val="0"/>
        <w:adjustRightInd w:val="0"/>
        <w:rPr>
          <w:rFonts w:cs="Times New Roman"/>
          <w:szCs w:val="24"/>
        </w:rPr>
      </w:pPr>
    </w:p>
    <w:p w14:paraId="4F03C75A"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Use this instruction unless the plaintiff relies on a fraud-on-the-market theory, in which case Instruction 18.7 (Securities—Justifiable Reliance—Fraud-on-the-Market Case) should be used. Even in a fraud-on-the-market theory case, however, this instruction may become applicable if the jury finds that the defendant rebutted the presumption of reliance on the market.</w:t>
      </w:r>
    </w:p>
    <w:p w14:paraId="5F039C70" w14:textId="77777777" w:rsidR="00867EC4" w:rsidRPr="002B283E" w:rsidRDefault="00867EC4" w:rsidP="00867EC4">
      <w:pPr>
        <w:numPr>
          <w:ilvl w:val="12"/>
          <w:numId w:val="0"/>
        </w:numPr>
        <w:autoSpaceDE w:val="0"/>
        <w:autoSpaceDN w:val="0"/>
        <w:adjustRightInd w:val="0"/>
        <w:rPr>
          <w:rFonts w:cs="Times New Roman"/>
          <w:szCs w:val="24"/>
        </w:rPr>
      </w:pPr>
    </w:p>
    <w:p w14:paraId="28955F3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The element of “reliance [is] often referred to in cases involving public securities markets . . . as transaction causation.</w:t>
      </w:r>
      <w:r w:rsidRPr="002B283E">
        <w:rPr>
          <w:rFonts w:cs="Times New Roman"/>
          <w:i/>
          <w:iCs/>
          <w:szCs w:val="24"/>
        </w:rPr>
        <w:t>” Dura Pharms., Inc. v. Broudo</w:t>
      </w:r>
      <w:r w:rsidRPr="002B283E">
        <w:rPr>
          <w:rFonts w:cs="Times New Roman"/>
          <w:szCs w:val="24"/>
        </w:rPr>
        <w:t>, 544 U.S. 336, 341 (2005).</w:t>
      </w:r>
    </w:p>
    <w:p w14:paraId="057365E1" w14:textId="77777777" w:rsidR="00867EC4" w:rsidRPr="002B283E" w:rsidRDefault="00867EC4" w:rsidP="00867EC4">
      <w:pPr>
        <w:numPr>
          <w:ilvl w:val="12"/>
          <w:numId w:val="0"/>
        </w:numPr>
        <w:autoSpaceDE w:val="0"/>
        <w:autoSpaceDN w:val="0"/>
        <w:adjustRightInd w:val="0"/>
        <w:rPr>
          <w:rFonts w:cs="Times New Roman"/>
          <w:szCs w:val="24"/>
        </w:rPr>
      </w:pPr>
    </w:p>
    <w:p w14:paraId="37181D7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Atari Corp. v. Ernst &amp; Whinney</w:t>
      </w:r>
      <w:r w:rsidRPr="002B283E">
        <w:rPr>
          <w:rFonts w:cs="Times New Roman"/>
          <w:szCs w:val="24"/>
        </w:rPr>
        <w:t xml:space="preserve">, 981 F.2d 1025, 1030 (9th Cir. 1992), the court held that an investor cannot claim reliance on a misrepresentation if the investor already possessed information sufficient to call the representation into question. </w:t>
      </w:r>
    </w:p>
    <w:p w14:paraId="33301974" w14:textId="77777777" w:rsidR="00867EC4" w:rsidRPr="002B283E" w:rsidRDefault="00867EC4" w:rsidP="00867EC4">
      <w:pPr>
        <w:numPr>
          <w:ilvl w:val="12"/>
          <w:numId w:val="0"/>
        </w:numPr>
        <w:autoSpaceDE w:val="0"/>
        <w:autoSpaceDN w:val="0"/>
        <w:adjustRightInd w:val="0"/>
        <w:rPr>
          <w:rFonts w:cs="Times New Roman"/>
          <w:szCs w:val="24"/>
        </w:rPr>
      </w:pPr>
    </w:p>
    <w:p w14:paraId="574D573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rebuttable presumption of reliance is deemed to arise when the fraud involves a material omission. </w:t>
      </w:r>
      <w:r w:rsidRPr="002B283E">
        <w:rPr>
          <w:rFonts w:cs="Times New Roman"/>
          <w:i/>
          <w:iCs/>
          <w:szCs w:val="24"/>
        </w:rPr>
        <w:t>Affiliated Ute Citizens v. United States</w:t>
      </w:r>
      <w:r w:rsidRPr="002B283E">
        <w:rPr>
          <w:rFonts w:cs="Times New Roman"/>
          <w:szCs w:val="24"/>
        </w:rPr>
        <w:t xml:space="preserve">, 406 U.S. 128, 153-54 (1972). In a “mixed case of misstatements and omissions,” the presumption will only apply if the case primarily alleges omissions. </w:t>
      </w:r>
      <w:r w:rsidRPr="002B283E">
        <w:rPr>
          <w:rFonts w:cs="Times New Roman"/>
          <w:i/>
          <w:iCs/>
          <w:szCs w:val="24"/>
        </w:rPr>
        <w:t>Binder v. Gillespie</w:t>
      </w:r>
      <w:r w:rsidRPr="002B283E">
        <w:rPr>
          <w:rFonts w:cs="Times New Roman"/>
          <w:szCs w:val="24"/>
        </w:rPr>
        <w:t>, 184 F.3d 1059, 1063-64 (9th Cir. 1999) (involving a case resolved on summary judgment). At trial, the court may resolve whether the presumption is applicable after considering the evidence.</w:t>
      </w:r>
    </w:p>
    <w:p w14:paraId="4D17141F" w14:textId="77777777" w:rsidR="00867EC4" w:rsidRPr="002B283E" w:rsidRDefault="00867EC4" w:rsidP="00867EC4">
      <w:pPr>
        <w:numPr>
          <w:ilvl w:val="12"/>
          <w:numId w:val="0"/>
        </w:numPr>
        <w:autoSpaceDE w:val="0"/>
        <w:autoSpaceDN w:val="0"/>
        <w:adjustRightInd w:val="0"/>
        <w:rPr>
          <w:rFonts w:cs="Times New Roman"/>
          <w:szCs w:val="24"/>
        </w:rPr>
      </w:pPr>
    </w:p>
    <w:p w14:paraId="096BC5E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To provide guidance to jurors required to determine whether the plaintiff’s reliance was justifiable, the judge may consider adding the following to this instruction:</w:t>
      </w:r>
    </w:p>
    <w:p w14:paraId="0692E956" w14:textId="77777777" w:rsidR="00867EC4" w:rsidRPr="002B283E" w:rsidRDefault="00867EC4" w:rsidP="00867EC4">
      <w:pPr>
        <w:numPr>
          <w:ilvl w:val="12"/>
          <w:numId w:val="0"/>
        </w:numPr>
        <w:autoSpaceDE w:val="0"/>
        <w:autoSpaceDN w:val="0"/>
        <w:adjustRightInd w:val="0"/>
        <w:rPr>
          <w:rFonts w:cs="Times New Roman"/>
          <w:szCs w:val="24"/>
        </w:rPr>
      </w:pPr>
    </w:p>
    <w:p w14:paraId="4D0E3C3E" w14:textId="7E4369F9"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deciding whether </w:t>
      </w:r>
      <w:r w:rsidR="001A7835">
        <w:rPr>
          <w:rFonts w:cs="Times New Roman"/>
          <w:szCs w:val="24"/>
        </w:rPr>
        <w:t xml:space="preserve">the </w:t>
      </w:r>
      <w:r w:rsidRPr="002B283E">
        <w:rPr>
          <w:rFonts w:cs="Times New Roman"/>
          <w:szCs w:val="24"/>
        </w:rPr>
        <w:t xml:space="preserve">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justifiably relied on the defendant</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2B283E">
        <w:rPr>
          <w:rFonts w:cs="Times New Roman"/>
          <w:szCs w:val="24"/>
        </w:rPr>
        <w:t>’s alleged misrepresentation[s] or omission[s,] you may consider evidence of:</w:t>
      </w:r>
    </w:p>
    <w:p w14:paraId="3629F29C" w14:textId="77777777" w:rsidR="00867EC4" w:rsidRPr="002B283E" w:rsidRDefault="00867EC4" w:rsidP="00867EC4">
      <w:pPr>
        <w:numPr>
          <w:ilvl w:val="12"/>
          <w:numId w:val="0"/>
        </w:numPr>
        <w:autoSpaceDE w:val="0"/>
        <w:autoSpaceDN w:val="0"/>
        <w:adjustRightInd w:val="0"/>
        <w:ind w:left="1440" w:right="1440" w:hanging="720"/>
        <w:rPr>
          <w:rFonts w:cs="Times New Roman"/>
          <w:szCs w:val="24"/>
        </w:rPr>
      </w:pPr>
    </w:p>
    <w:p w14:paraId="024D2D95" w14:textId="7B456459"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was sophisticated and experienced in financial and securities matters;</w:t>
      </w:r>
    </w:p>
    <w:p w14:paraId="65DA579C"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045FFB81" w14:textId="7E90BF81"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 xml:space="preserve">and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 xml:space="preserve">had a long-standing business or personal relationship, or a relationship in which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owed a duty to the plaintiff</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1427EF">
        <w:rPr>
          <w:rFonts w:cs="Times New Roman"/>
          <w:szCs w:val="24"/>
        </w:rPr>
        <w:t xml:space="preserve"> to not interfere with or adversely affect the plaintiff</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1427EF">
        <w:rPr>
          <w:rFonts w:cs="Times New Roman"/>
          <w:szCs w:val="24"/>
        </w:rPr>
        <w:t>’s interests;</w:t>
      </w:r>
    </w:p>
    <w:p w14:paraId="714049B2"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4A581698" w14:textId="120FA87C"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ignored or refused to investigate the circumstances surrounding the transaction;</w:t>
      </w:r>
    </w:p>
    <w:p w14:paraId="30679279"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106AE9DA" w14:textId="7DBF50D2"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lastRenderedPageBreak/>
        <w:t>(</w:t>
      </w:r>
      <w:r w:rsidRPr="002B283E">
        <w:rPr>
          <w:rFonts w:cs="Times New Roman"/>
          <w:szCs w:val="24"/>
        </w:rPr>
        <w:t>4</w:t>
      </w:r>
      <w:r>
        <w:rPr>
          <w:rFonts w:cs="Times New Roman"/>
          <w:szCs w:val="24"/>
        </w:rPr>
        <w:t>)</w:t>
      </w:r>
      <w:r w:rsidRPr="002B283E">
        <w:rPr>
          <w:rFonts w:cs="Times New Roman"/>
          <w:szCs w:val="24"/>
        </w:rPr>
        <w:tab/>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disregarded risks so obvious that they should have been known or risks so great as to make it highly probable that harm would follow;</w:t>
      </w:r>
    </w:p>
    <w:p w14:paraId="709A050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5FBF6CD4" w14:textId="2F8C75D6"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5</w:t>
      </w:r>
      <w:r>
        <w:rPr>
          <w:rFonts w:cs="Times New Roman"/>
          <w:szCs w:val="24"/>
        </w:rPr>
        <w:t>)</w:t>
      </w:r>
      <w:r w:rsidRPr="002B283E">
        <w:rPr>
          <w:rFonts w:cs="Times New Roman"/>
          <w:szCs w:val="24"/>
        </w:rPr>
        <w:tab/>
        <w:t xml:space="preserve">whether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concealed the fraud;</w:t>
      </w:r>
    </w:p>
    <w:p w14:paraId="4DBEDCF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2E2F519C" w14:textId="3A915BCC"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6</w:t>
      </w:r>
      <w:r>
        <w:rPr>
          <w:rFonts w:cs="Times New Roman"/>
          <w:szCs w:val="24"/>
        </w:rPr>
        <w:t>)</w:t>
      </w:r>
      <w:r w:rsidRPr="002B283E">
        <w:rPr>
          <w:rFonts w:cs="Times New Roman"/>
          <w:szCs w:val="24"/>
        </w:rPr>
        <w:tab/>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had access to the relevant material information;</w:t>
      </w:r>
    </w:p>
    <w:p w14:paraId="685AA6C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78BC5F8D"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7</w:t>
      </w:r>
      <w:r>
        <w:rPr>
          <w:rFonts w:cs="Times New Roman"/>
          <w:szCs w:val="24"/>
        </w:rPr>
        <w:t>)</w:t>
      </w:r>
      <w:r w:rsidRPr="002B283E">
        <w:rPr>
          <w:rFonts w:cs="Times New Roman"/>
          <w:szCs w:val="24"/>
        </w:rPr>
        <w:tab/>
        <w:t>whether the misrepresentation was general or specific;</w:t>
      </w:r>
    </w:p>
    <w:p w14:paraId="6DAAA6D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6CEB735" w14:textId="757B7EC4"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8</w:t>
      </w:r>
      <w:r>
        <w:rPr>
          <w:rFonts w:cs="Times New Roman"/>
          <w:szCs w:val="24"/>
        </w:rPr>
        <w:t>)</w:t>
      </w:r>
      <w:r w:rsidRPr="002B283E">
        <w:rPr>
          <w:rFonts w:cs="Times New Roman"/>
          <w:szCs w:val="24"/>
        </w:rPr>
        <w:tab/>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initiated or sought to expedite the transaction;</w:t>
      </w:r>
    </w:p>
    <w:p w14:paraId="03573BE8"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4A1E9FB" w14:textId="18CCC5CC"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9</w:t>
      </w:r>
      <w:r>
        <w:rPr>
          <w:rFonts w:cs="Times New Roman"/>
          <w:szCs w:val="24"/>
        </w:rPr>
        <w:t>)</w:t>
      </w:r>
      <w:r w:rsidRPr="002B283E">
        <w:rPr>
          <w:rFonts w:cs="Times New Roman"/>
          <w:szCs w:val="24"/>
        </w:rPr>
        <w:tab/>
        <w:t xml:space="preserve">whether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 xml:space="preserve">prepared or provided to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materials that contained adequate warnings about the risks associated with the investment or adequate disclaimers describing limitations on the scope of the defendant</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2B283E">
        <w:rPr>
          <w:rFonts w:cs="Times New Roman"/>
          <w:szCs w:val="24"/>
        </w:rPr>
        <w:t>’s representations or the defendant’s involvement; and</w:t>
      </w:r>
    </w:p>
    <w:p w14:paraId="129A0C97"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3AE1BE7E" w14:textId="70070230"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10</w:t>
      </w:r>
      <w:r>
        <w:rPr>
          <w:rFonts w:cs="Times New Roman"/>
          <w:szCs w:val="24"/>
        </w:rPr>
        <w:t>)</w:t>
      </w:r>
      <w:r w:rsidRPr="002B283E">
        <w:rPr>
          <w:rFonts w:cs="Times New Roman"/>
          <w:szCs w:val="24"/>
        </w:rPr>
        <w:tab/>
        <w:t xml:space="preserve">any other evidence you find helpful in deciding 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justifiably relied on the defendant</w:t>
      </w:r>
      <w:r w:rsidR="001A7835">
        <w:rPr>
          <w:rFonts w:cs="Times New Roman"/>
          <w:szCs w:val="24"/>
        </w:rPr>
        <w:t xml:space="preserve"> [</w:t>
      </w:r>
      <w:r w:rsidR="001A7835" w:rsidRPr="001A7835">
        <w:rPr>
          <w:rFonts w:cs="Times New Roman"/>
          <w:i/>
          <w:iCs/>
          <w:szCs w:val="24"/>
          <w:u w:val="single"/>
        </w:rPr>
        <w:t>name</w:t>
      </w:r>
      <w:r w:rsidR="001A7835">
        <w:rPr>
          <w:rFonts w:cs="Times New Roman"/>
          <w:szCs w:val="24"/>
        </w:rPr>
        <w:t>]</w:t>
      </w:r>
      <w:r w:rsidRPr="002B283E">
        <w:rPr>
          <w:rFonts w:cs="Times New Roman"/>
          <w:szCs w:val="24"/>
        </w:rPr>
        <w:t>’s misrepresentation[s] or omission[s].</w:t>
      </w:r>
    </w:p>
    <w:p w14:paraId="0155C61D" w14:textId="77777777" w:rsidR="00867EC4" w:rsidRPr="002B283E" w:rsidRDefault="00867EC4" w:rsidP="00867EC4">
      <w:pPr>
        <w:numPr>
          <w:ilvl w:val="12"/>
          <w:numId w:val="0"/>
        </w:numPr>
        <w:autoSpaceDE w:val="0"/>
        <w:autoSpaceDN w:val="0"/>
        <w:adjustRightInd w:val="0"/>
        <w:rPr>
          <w:rFonts w:cs="Times New Roman"/>
          <w:szCs w:val="24"/>
        </w:rPr>
      </w:pPr>
    </w:p>
    <w:p w14:paraId="529DEDF2" w14:textId="5A159543" w:rsidR="00867EC4" w:rsidRPr="002B283E" w:rsidRDefault="00867EC4" w:rsidP="00867EC4">
      <w:pPr>
        <w:rPr>
          <w:rFonts w:cs="Times New Roman"/>
          <w:szCs w:val="24"/>
        </w:rPr>
      </w:pPr>
      <w:r w:rsidRPr="002B283E">
        <w:rPr>
          <w:rFonts w:cs="Times New Roman"/>
          <w:szCs w:val="24"/>
        </w:rPr>
        <w:tab/>
        <w:t xml:space="preserve">For out-of-circuit cases listing these factors, </w:t>
      </w:r>
      <w:r w:rsidRPr="001A7835">
        <w:rPr>
          <w:rFonts w:cs="Times New Roman"/>
          <w:szCs w:val="24"/>
        </w:rPr>
        <w:t>see, e.g.,</w:t>
      </w:r>
      <w:r w:rsidRPr="002B283E">
        <w:rPr>
          <w:rFonts w:cs="Times New Roman"/>
          <w:szCs w:val="24"/>
        </w:rPr>
        <w:t xml:space="preserve"> </w:t>
      </w:r>
      <w:r w:rsidRPr="002B283E">
        <w:rPr>
          <w:rFonts w:cs="Times New Roman"/>
          <w:i/>
          <w:iCs/>
          <w:szCs w:val="24"/>
        </w:rPr>
        <w:t>Brown v. E.F. Hutton Grp., Inc.</w:t>
      </w:r>
      <w:r w:rsidRPr="002B283E">
        <w:rPr>
          <w:rFonts w:cs="Times New Roman"/>
          <w:szCs w:val="24"/>
        </w:rPr>
        <w:t>, 991 F.2d 1020, 1032 (2d Cir. 1993);</w:t>
      </w:r>
      <w:r w:rsidRPr="002B283E">
        <w:rPr>
          <w:rFonts w:cs="Times New Roman"/>
          <w:i/>
          <w:iCs/>
          <w:szCs w:val="24"/>
        </w:rPr>
        <w:t xml:space="preserve"> Davidson v. Wilson</w:t>
      </w:r>
      <w:r w:rsidRPr="002B283E">
        <w:rPr>
          <w:rFonts w:cs="Times New Roman"/>
          <w:szCs w:val="24"/>
        </w:rPr>
        <w:t xml:space="preserve">, 973 F.2d 1391, 1400 (8th Cir. 1992); </w:t>
      </w:r>
      <w:r w:rsidRPr="002B283E">
        <w:rPr>
          <w:rFonts w:cs="Times New Roman"/>
          <w:i/>
          <w:iCs/>
          <w:szCs w:val="24"/>
        </w:rPr>
        <w:t>Myers v. Finkle</w:t>
      </w:r>
      <w:r w:rsidRPr="002B283E">
        <w:rPr>
          <w:rFonts w:cs="Times New Roman"/>
          <w:szCs w:val="24"/>
        </w:rPr>
        <w:t>, 950 F.2d 165, 167 (4th Cir. 1991);</w:t>
      </w:r>
      <w:r w:rsidRPr="002B283E">
        <w:rPr>
          <w:rFonts w:cs="Times New Roman"/>
          <w:i/>
          <w:iCs/>
          <w:szCs w:val="24"/>
        </w:rPr>
        <w:t xml:space="preserve"> Jackvony v. RIHT Fin</w:t>
      </w:r>
      <w:r w:rsidR="001A7835">
        <w:rPr>
          <w:rFonts w:cs="Times New Roman"/>
          <w:i/>
          <w:iCs/>
          <w:szCs w:val="24"/>
        </w:rPr>
        <w:t>ancial</w:t>
      </w:r>
      <w:r w:rsidRPr="002B283E">
        <w:rPr>
          <w:rFonts w:cs="Times New Roman"/>
          <w:i/>
          <w:iCs/>
          <w:szCs w:val="24"/>
        </w:rPr>
        <w:t xml:space="preserve"> Corp.</w:t>
      </w:r>
      <w:r w:rsidRPr="002B283E">
        <w:rPr>
          <w:rFonts w:cs="Times New Roman"/>
          <w:szCs w:val="24"/>
        </w:rPr>
        <w:t xml:space="preserve">, 873 F.2d 411, 416 (1st Cir. 1989); </w:t>
      </w:r>
      <w:r w:rsidRPr="002B283E">
        <w:rPr>
          <w:rFonts w:cs="Times New Roman"/>
          <w:i/>
          <w:iCs/>
          <w:szCs w:val="24"/>
        </w:rPr>
        <w:t>Bruschi v. Brown</w:t>
      </w:r>
      <w:r w:rsidRPr="002B283E">
        <w:rPr>
          <w:rFonts w:cs="Times New Roman"/>
          <w:szCs w:val="24"/>
        </w:rPr>
        <w:t xml:space="preserve">, 876 F.2d 1526, 1529 (11th Cir. 1989); </w:t>
      </w:r>
      <w:r w:rsidRPr="002B283E">
        <w:rPr>
          <w:rFonts w:cs="Times New Roman"/>
          <w:i/>
          <w:iCs/>
          <w:szCs w:val="24"/>
        </w:rPr>
        <w:t>Zobrist v. Coal-X, Inc.</w:t>
      </w:r>
      <w:r w:rsidRPr="002B283E">
        <w:rPr>
          <w:rFonts w:cs="Times New Roman"/>
          <w:szCs w:val="24"/>
        </w:rPr>
        <w:t>, 708 F.2d 1511, 1518-19 (10th Cir. 1983).</w:t>
      </w:r>
    </w:p>
    <w:p w14:paraId="0FBE4B96" w14:textId="77777777" w:rsidR="00867EC4" w:rsidRPr="002B283E" w:rsidRDefault="00867EC4" w:rsidP="00867EC4">
      <w:pPr>
        <w:numPr>
          <w:ilvl w:val="12"/>
          <w:numId w:val="0"/>
        </w:numPr>
        <w:autoSpaceDE w:val="0"/>
        <w:autoSpaceDN w:val="0"/>
        <w:adjustRightInd w:val="0"/>
        <w:rPr>
          <w:rFonts w:cs="Times New Roman"/>
          <w:szCs w:val="24"/>
        </w:rPr>
      </w:pPr>
    </w:p>
    <w:p w14:paraId="1266834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establish that a defendant adequately warned the plaintiff of the attendant risks in a transaction, the defendant’s disclosures must have been precise and relate directly to what the plaintiff alleges was misleading. </w:t>
      </w:r>
      <w:r w:rsidRPr="002B283E">
        <w:rPr>
          <w:rFonts w:cs="Times New Roman"/>
          <w:i/>
          <w:iCs/>
          <w:szCs w:val="24"/>
        </w:rPr>
        <w:t>See In re Worlds of Wonder Sec. Litig.</w:t>
      </w:r>
      <w:r w:rsidRPr="002B283E">
        <w:rPr>
          <w:rFonts w:cs="Times New Roman"/>
          <w:szCs w:val="24"/>
        </w:rPr>
        <w:t>, 35 F.3d 1407, 1414-15 (9th Cir. 1994).</w:t>
      </w:r>
    </w:p>
    <w:p w14:paraId="01C7D13B" w14:textId="7777777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Revised September 2024</w:t>
      </w:r>
    </w:p>
    <w:p w14:paraId="69B27702" w14:textId="77777777" w:rsidR="00867EC4" w:rsidRPr="002B283E" w:rsidRDefault="00867EC4" w:rsidP="00867EC4">
      <w:pPr>
        <w:numPr>
          <w:ilvl w:val="12"/>
          <w:numId w:val="0"/>
        </w:numPr>
        <w:autoSpaceDE w:val="0"/>
        <w:autoSpaceDN w:val="0"/>
        <w:adjustRightInd w:val="0"/>
        <w:rPr>
          <w:rFonts w:cs="Times New Roman"/>
          <w:szCs w:val="24"/>
        </w:rPr>
      </w:pPr>
    </w:p>
    <w:p w14:paraId="7E8C78DE" w14:textId="77777777" w:rsidR="00867EC4" w:rsidRPr="002B283E" w:rsidRDefault="00867EC4" w:rsidP="00867EC4">
      <w:pPr>
        <w:numPr>
          <w:ilvl w:val="12"/>
          <w:numId w:val="0"/>
        </w:numPr>
        <w:autoSpaceDE w:val="0"/>
        <w:autoSpaceDN w:val="0"/>
        <w:adjustRightInd w:val="0"/>
        <w:rPr>
          <w:rFonts w:cs="Times New Roman"/>
          <w:szCs w:val="24"/>
        </w:rPr>
      </w:pPr>
    </w:p>
    <w:p w14:paraId="6E05D821" w14:textId="77777777" w:rsidR="00867EC4" w:rsidRPr="002B283E" w:rsidRDefault="00867EC4" w:rsidP="00867EC4">
      <w:pPr>
        <w:pStyle w:val="Heading2"/>
      </w:pPr>
      <w:r w:rsidRPr="002B283E">
        <w:br w:type="page"/>
      </w:r>
      <w:bookmarkStart w:id="464" w:name="_Toc196481978"/>
      <w:bookmarkStart w:id="465" w:name="_Toc221525349"/>
      <w:r w:rsidRPr="002B283E">
        <w:lastRenderedPageBreak/>
        <w:t>18.7 Securities—Justifiable Reliance—Fraud-on-the-Market Case</w:t>
      </w:r>
      <w:bookmarkEnd w:id="464"/>
      <w:bookmarkEnd w:id="465"/>
    </w:p>
    <w:p w14:paraId="71415103" w14:textId="77777777" w:rsidR="00867EC4" w:rsidRPr="002B283E" w:rsidRDefault="00867EC4" w:rsidP="00867EC4">
      <w:pPr>
        <w:numPr>
          <w:ilvl w:val="12"/>
          <w:numId w:val="0"/>
        </w:numPr>
        <w:autoSpaceDE w:val="0"/>
        <w:autoSpaceDN w:val="0"/>
        <w:adjustRightInd w:val="0"/>
        <w:rPr>
          <w:rFonts w:cs="Times New Roman"/>
          <w:szCs w:val="24"/>
        </w:rPr>
      </w:pPr>
    </w:p>
    <w:p w14:paraId="71CDD70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does not have to prove that [he] [she] [</w:t>
      </w:r>
      <w:r w:rsidRPr="002B283E">
        <w:rPr>
          <w:rFonts w:cs="Times New Roman"/>
          <w:i/>
          <w:iCs/>
          <w:szCs w:val="24"/>
          <w:u w:val="single"/>
        </w:rPr>
        <w:t>other pronoun</w:t>
      </w:r>
      <w:r w:rsidRPr="002B283E">
        <w:rPr>
          <w:rFonts w:cs="Times New Roman"/>
          <w:szCs w:val="24"/>
        </w:rPr>
        <w:t>] justifiably relied on the alleged misrepresentation or omission in deciding to [purchase] [sell] the [security] [securities] in question if [he] [she] [</w:t>
      </w:r>
      <w:r w:rsidRPr="002B283E">
        <w:rPr>
          <w:rFonts w:cs="Times New Roman"/>
          <w:i/>
          <w:iCs/>
          <w:szCs w:val="24"/>
          <w:u w:val="single"/>
        </w:rPr>
        <w:t>other pronoun</w:t>
      </w:r>
      <w:r w:rsidRPr="002B283E">
        <w:rPr>
          <w:rFonts w:cs="Times New Roman"/>
          <w:szCs w:val="24"/>
        </w:rPr>
        <w:t>] proves by a preponderance of the evidence that there was an active, open market in the [security] [securities] at the time of the transaction[s] in question. An “active, open market” means that there were a large number of traders, a high level of activity, and frequent trades, such that the price of the security immediately reflects all publicly available information.</w:t>
      </w:r>
    </w:p>
    <w:p w14:paraId="00BDFF09" w14:textId="77777777" w:rsidR="00867EC4" w:rsidRPr="002B283E" w:rsidRDefault="00867EC4" w:rsidP="00867EC4">
      <w:pPr>
        <w:numPr>
          <w:ilvl w:val="12"/>
          <w:numId w:val="0"/>
        </w:numPr>
        <w:autoSpaceDE w:val="0"/>
        <w:autoSpaceDN w:val="0"/>
        <w:adjustRightInd w:val="0"/>
        <w:rPr>
          <w:rFonts w:cs="Times New Roman"/>
          <w:szCs w:val="24"/>
        </w:rPr>
      </w:pPr>
    </w:p>
    <w:p w14:paraId="13ED9C44"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that [he] [she] [</w:t>
      </w:r>
      <w:r w:rsidRPr="002B283E">
        <w:rPr>
          <w:rFonts w:cs="Times New Roman"/>
          <w:i/>
          <w:iCs/>
          <w:szCs w:val="24"/>
          <w:u w:val="single"/>
        </w:rPr>
        <w:t>other pronoun</w:t>
      </w:r>
      <w:r w:rsidRPr="002B283E">
        <w:rPr>
          <w:rFonts w:cs="Times New Roman"/>
          <w:szCs w:val="24"/>
        </w:rPr>
        <w:t>] 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statements.</w:t>
      </w:r>
    </w:p>
    <w:p w14:paraId="1D90A5B0" w14:textId="77777777" w:rsidR="00867EC4" w:rsidRPr="002B283E" w:rsidRDefault="00867EC4" w:rsidP="00867EC4">
      <w:pPr>
        <w:numPr>
          <w:ilvl w:val="12"/>
          <w:numId w:val="0"/>
        </w:numPr>
        <w:autoSpaceDE w:val="0"/>
        <w:autoSpaceDN w:val="0"/>
        <w:adjustRightInd w:val="0"/>
        <w:rPr>
          <w:rFonts w:cs="Times New Roman"/>
          <w:b/>
          <w:bCs/>
          <w:szCs w:val="24"/>
        </w:rPr>
      </w:pPr>
    </w:p>
    <w:p w14:paraId="51310CC4" w14:textId="77777777" w:rsidR="00867EC4" w:rsidRPr="002B283E" w:rsidRDefault="00867EC4" w:rsidP="00867EC4">
      <w:pPr>
        <w:numPr>
          <w:ilvl w:val="12"/>
          <w:numId w:val="0"/>
        </w:numPr>
        <w:autoSpaceDE w:val="0"/>
        <w:autoSpaceDN w:val="0"/>
        <w:adjustRightInd w:val="0"/>
        <w:rPr>
          <w:rFonts w:cs="Times New Roman"/>
          <w:b/>
          <w:bCs/>
          <w:szCs w:val="24"/>
        </w:rPr>
      </w:pPr>
      <w:r w:rsidRPr="002B283E">
        <w:rPr>
          <w:rFonts w:cs="Times New Roman"/>
          <w:szCs w:val="24"/>
        </w:rPr>
        <w:tab/>
        <w:t xml:space="preserve">If, however,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proves by a preponderance of the evidence either that (1)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did not actually rely on the integrity of the market or (2) the alleged misrepresentation or omission did not affect the market price of the security, then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rebutted any presumption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relied on the market. In that event,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must then prove that [he] [she] [</w:t>
      </w:r>
      <w:r w:rsidRPr="002B283E">
        <w:rPr>
          <w:rFonts w:cs="Times New Roman"/>
          <w:i/>
          <w:iCs/>
          <w:szCs w:val="24"/>
          <w:u w:val="single"/>
        </w:rPr>
        <w:t>other pronoun</w:t>
      </w:r>
      <w:r w:rsidRPr="002B283E">
        <w:rPr>
          <w:rFonts w:cs="Times New Roman"/>
          <w:szCs w:val="24"/>
        </w:rPr>
        <w:t>] justifiably relied directly on the alleged misrepresentation or omission.</w:t>
      </w:r>
    </w:p>
    <w:p w14:paraId="61C3A9C2" w14:textId="77777777" w:rsidR="00867EC4" w:rsidRPr="002B283E" w:rsidRDefault="00867EC4" w:rsidP="00867EC4">
      <w:pPr>
        <w:rPr>
          <w:rFonts w:cs="Times New Roman"/>
          <w:szCs w:val="24"/>
        </w:rPr>
      </w:pPr>
    </w:p>
    <w:p w14:paraId="2A5464E0"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2AEA059" w14:textId="77777777" w:rsidR="00867EC4" w:rsidRPr="002B283E" w:rsidRDefault="00867EC4" w:rsidP="00867EC4">
      <w:pPr>
        <w:rPr>
          <w:rFonts w:cs="Times New Roman"/>
          <w:szCs w:val="24"/>
        </w:rPr>
      </w:pPr>
    </w:p>
    <w:p w14:paraId="004A27F0" w14:textId="3D3D0B5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Use this instruction when a theory of fraud on the market is involved. That theory is based on the premise that when persons buy or sell publicly-traded shares, they rely on the marketplace to ensure the integrity of the price, to the extent that price is a consideration in their decision. </w:t>
      </w:r>
      <w:r w:rsidRPr="002B283E">
        <w:rPr>
          <w:rFonts w:cs="Times New Roman"/>
          <w:i/>
          <w:iCs/>
          <w:szCs w:val="24"/>
        </w:rPr>
        <w:t>Basic Inc. v. Levinson</w:t>
      </w:r>
      <w:r w:rsidRPr="002B283E">
        <w:rPr>
          <w:rFonts w:cs="Times New Roman"/>
          <w:szCs w:val="24"/>
        </w:rPr>
        <w:t xml:space="preserve">, 485 U.S. 224, 245-49 (1988); </w:t>
      </w:r>
      <w:r w:rsidRPr="002B283E">
        <w:rPr>
          <w:rFonts w:cs="Times New Roman"/>
          <w:i/>
          <w:iCs/>
          <w:szCs w:val="24"/>
        </w:rPr>
        <w:t>see also Halliburton v. Erica P. John Fund, Inc.</w:t>
      </w:r>
      <w:r w:rsidRPr="002B283E">
        <w:rPr>
          <w:rFonts w:cs="Times New Roman"/>
          <w:szCs w:val="24"/>
        </w:rPr>
        <w:t xml:space="preserve">, </w:t>
      </w:r>
      <w:bookmarkStart w:id="466" w:name="_Hlk166320844"/>
      <w:r w:rsidRPr="002B283E">
        <w:rPr>
          <w:rFonts w:cs="Times New Roman"/>
          <w:szCs w:val="24"/>
        </w:rPr>
        <w:t>573 U.S. 258, 271</w:t>
      </w:r>
      <w:bookmarkEnd w:id="466"/>
      <w:r w:rsidRPr="002B283E">
        <w:rPr>
          <w:rFonts w:cs="Times New Roman"/>
          <w:szCs w:val="24"/>
        </w:rPr>
        <w:t xml:space="preserve"> (2014) (affirming </w:t>
      </w:r>
      <w:r w:rsidRPr="002B283E">
        <w:rPr>
          <w:rFonts w:cs="Times New Roman"/>
          <w:i/>
          <w:iCs/>
          <w:szCs w:val="24"/>
        </w:rPr>
        <w:t>Basic</w:t>
      </w:r>
      <w:r w:rsidR="001A7835">
        <w:rPr>
          <w:rFonts w:cs="Times New Roman"/>
          <w:i/>
          <w:iCs/>
          <w:szCs w:val="24"/>
        </w:rPr>
        <w:t xml:space="preserve"> Inc.</w:t>
      </w:r>
      <w:r w:rsidRPr="002B283E">
        <w:rPr>
          <w:rFonts w:cs="Times New Roman"/>
          <w:szCs w:val="24"/>
        </w:rPr>
        <w:t>’s holding that “the market price of shares traded on well-developed markets reflects all publicly available information, and, hence, any material misrepresentations”). Under the</w:t>
      </w:r>
      <w:r w:rsidR="001A7835">
        <w:rPr>
          <w:rFonts w:cs="Times New Roman"/>
          <w:szCs w:val="24"/>
        </w:rPr>
        <w:t xml:space="preserve"> fraud-on-the-market</w:t>
      </w:r>
      <w:r w:rsidRPr="002B283E">
        <w:rPr>
          <w:rFonts w:cs="Times New Roman"/>
          <w:szCs w:val="24"/>
        </w:rPr>
        <w:t xml:space="preserve"> theory, a presumption of reliance is established “by demonstrating that a security is actively traded in an ‘efficient market,’ in which prices immediately reflect all publicly available information.” </w:t>
      </w:r>
      <w:r w:rsidRPr="002B283E">
        <w:rPr>
          <w:rFonts w:cs="Times New Roman"/>
          <w:i/>
          <w:iCs/>
          <w:szCs w:val="24"/>
        </w:rPr>
        <w:t>Miller v. Thane Int’l, Inc.</w:t>
      </w:r>
      <w:r w:rsidRPr="002B283E">
        <w:rPr>
          <w:rFonts w:cs="Times New Roman"/>
          <w:szCs w:val="24"/>
        </w:rPr>
        <w:t xml:space="preserve">, 615 F.3d 1095, 1103 (9th Cir. 2010). As explained by the Ninth Circuit, </w:t>
      </w:r>
      <w:r w:rsidRPr="002B283E">
        <w:rPr>
          <w:rFonts w:cs="Times New Roman"/>
          <w:i/>
          <w:iCs/>
          <w:szCs w:val="24"/>
        </w:rPr>
        <w:t>Cammer v. Bloom</w:t>
      </w:r>
      <w:r w:rsidRPr="002B283E">
        <w:rPr>
          <w:rFonts w:cs="Times New Roman"/>
          <w:szCs w:val="24"/>
        </w:rPr>
        <w:t xml:space="preserve">, 711 F. Supp. 1264, 1286-87 (D.N.J. 1989), “outlined a test for market efficiency in the context of a section 10(b) securities fraud class action.” </w:t>
      </w:r>
      <w:r w:rsidRPr="002B283E">
        <w:rPr>
          <w:rFonts w:cs="Times New Roman"/>
          <w:i/>
          <w:iCs/>
          <w:szCs w:val="24"/>
        </w:rPr>
        <w:t>Miller</w:t>
      </w:r>
      <w:r w:rsidRPr="002B283E">
        <w:rPr>
          <w:rFonts w:cs="Times New Roman"/>
          <w:szCs w:val="24"/>
        </w:rPr>
        <w:t xml:space="preserve">, 615 F.3d at 1102; </w:t>
      </w:r>
      <w:r w:rsidRPr="002B283E">
        <w:rPr>
          <w:rFonts w:cs="Times New Roman"/>
          <w:i/>
          <w:iCs/>
          <w:szCs w:val="24"/>
        </w:rPr>
        <w:t xml:space="preserve">see also id. </w:t>
      </w:r>
      <w:r w:rsidRPr="002B283E">
        <w:rPr>
          <w:rFonts w:cs="Times New Roman"/>
          <w:szCs w:val="24"/>
        </w:rPr>
        <w:t xml:space="preserve">at 1103 (noting that the </w:t>
      </w:r>
      <w:r w:rsidRPr="002B283E">
        <w:rPr>
          <w:rFonts w:cs="Times New Roman"/>
          <w:i/>
          <w:iCs/>
          <w:szCs w:val="24"/>
        </w:rPr>
        <w:t>Cammer</w:t>
      </w:r>
      <w:r w:rsidRPr="002B283E">
        <w:rPr>
          <w:rFonts w:cs="Times New Roman"/>
          <w:szCs w:val="24"/>
        </w:rPr>
        <w:t xml:space="preserve"> test “was developed in support of [the fraud-on-the-market] presumption” and “is not appropriate for assessing loss causation”). The Ninth Circuit in </w:t>
      </w:r>
      <w:r w:rsidRPr="002B283E">
        <w:rPr>
          <w:rFonts w:cs="Times New Roman"/>
          <w:i/>
          <w:iCs/>
          <w:szCs w:val="24"/>
        </w:rPr>
        <w:t>Miller</w:t>
      </w:r>
      <w:r w:rsidRPr="002B283E">
        <w:rPr>
          <w:rFonts w:cs="Times New Roman"/>
          <w:szCs w:val="24"/>
        </w:rPr>
        <w:t xml:space="preserve"> observed that “</w:t>
      </w:r>
      <w:r w:rsidRPr="002B283E">
        <w:rPr>
          <w:rFonts w:cs="Times New Roman"/>
          <w:i/>
          <w:iCs/>
          <w:szCs w:val="24"/>
        </w:rPr>
        <w:t xml:space="preserve">Cammer </w:t>
      </w:r>
      <w:r w:rsidRPr="002B283E">
        <w:rPr>
          <w:rFonts w:cs="Times New Roman"/>
          <w:szCs w:val="24"/>
        </w:rPr>
        <w:t>sets out five well-recognized factors ‘designed to help make the central determination of efficiency in a particular market.’”</w:t>
      </w:r>
      <w:r w:rsidRPr="002B283E">
        <w:rPr>
          <w:rFonts w:cs="Times New Roman"/>
          <w:i/>
          <w:iCs/>
          <w:szCs w:val="24"/>
        </w:rPr>
        <w:t xml:space="preserve"> Id.</w:t>
      </w:r>
      <w:r w:rsidRPr="002B283E">
        <w:rPr>
          <w:rFonts w:cs="Times New Roman"/>
          <w:szCs w:val="24"/>
        </w:rPr>
        <w:t xml:space="preserve"> (quoting </w:t>
      </w:r>
      <w:r w:rsidRPr="002B283E">
        <w:rPr>
          <w:rFonts w:cs="Times New Roman"/>
          <w:i/>
          <w:iCs/>
          <w:szCs w:val="24"/>
        </w:rPr>
        <w:t>Binder v. Gillespie</w:t>
      </w:r>
      <w:r w:rsidRPr="002B283E">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cause-and-effect relationship </w:t>
      </w:r>
      <w:r w:rsidRPr="002B283E">
        <w:rPr>
          <w:rFonts w:cs="Times New Roman"/>
          <w:szCs w:val="24"/>
        </w:rPr>
        <w:lastRenderedPageBreak/>
        <w:t xml:space="preserve">between new information about the corporation and an immediate response in the stock price. </w:t>
      </w:r>
      <w:r w:rsidRPr="002B283E">
        <w:rPr>
          <w:rFonts w:cs="Times New Roman"/>
          <w:i/>
          <w:iCs/>
          <w:szCs w:val="24"/>
        </w:rPr>
        <w:t>Binder</w:t>
      </w:r>
      <w:r w:rsidRPr="002B283E">
        <w:rPr>
          <w:rFonts w:cs="Times New Roman"/>
          <w:szCs w:val="24"/>
        </w:rPr>
        <w:t>, 184 F.3d at 1065.</w:t>
      </w:r>
    </w:p>
    <w:p w14:paraId="37EADF1B" w14:textId="77777777" w:rsidR="00867EC4" w:rsidRPr="002B283E" w:rsidRDefault="00867EC4" w:rsidP="00867EC4">
      <w:pPr>
        <w:numPr>
          <w:ilvl w:val="12"/>
          <w:numId w:val="0"/>
        </w:numPr>
        <w:autoSpaceDE w:val="0"/>
        <w:autoSpaceDN w:val="0"/>
        <w:adjustRightInd w:val="0"/>
        <w:rPr>
          <w:rFonts w:cs="Times New Roman"/>
          <w:szCs w:val="24"/>
        </w:rPr>
      </w:pPr>
    </w:p>
    <w:p w14:paraId="487DF322" w14:textId="77143559"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2B283E">
        <w:rPr>
          <w:rFonts w:cs="Times New Roman"/>
          <w:i/>
          <w:iCs/>
          <w:szCs w:val="24"/>
        </w:rPr>
        <w:t>In re Convergent Techs. Sec. Litig.</w:t>
      </w:r>
      <w:r w:rsidRPr="002B283E">
        <w:rPr>
          <w:rFonts w:cs="Times New Roman"/>
          <w:szCs w:val="24"/>
        </w:rPr>
        <w:t xml:space="preserve">, 948 F.2d 507, 512 n.2 (9th Cir. 1991) (holding that in </w:t>
      </w:r>
      <w:r w:rsidR="001A7835">
        <w:rPr>
          <w:rFonts w:cs="Times New Roman"/>
          <w:szCs w:val="24"/>
        </w:rPr>
        <w:t xml:space="preserve">a </w:t>
      </w:r>
      <w:r w:rsidRPr="002B283E">
        <w:rPr>
          <w:rFonts w:cs="Times New Roman"/>
          <w:szCs w:val="24"/>
        </w:rPr>
        <w:t>fraud-on-the-market case,</w:t>
      </w:r>
      <w:r w:rsidR="001A7835">
        <w:rPr>
          <w:rFonts w:cs="Times New Roman"/>
          <w:szCs w:val="24"/>
        </w:rPr>
        <w:t xml:space="preserve"> the</w:t>
      </w:r>
      <w:r w:rsidRPr="002B283E">
        <w:rPr>
          <w:rFonts w:cs="Times New Roman"/>
          <w:szCs w:val="24"/>
        </w:rPr>
        <w:t xml:space="preserve"> plaintiff need not show actual reliance on misrepresentation or omission; instead,</w:t>
      </w:r>
      <w:r w:rsidR="001A7835">
        <w:rPr>
          <w:rFonts w:cs="Times New Roman"/>
          <w:szCs w:val="24"/>
        </w:rPr>
        <w:t xml:space="preserve"> the</w:t>
      </w:r>
      <w:r w:rsidRPr="002B283E">
        <w:rPr>
          <w:rFonts w:cs="Times New Roman"/>
          <w:szCs w:val="24"/>
        </w:rPr>
        <w:t xml:space="preserve"> plaintiff must show reliance on</w:t>
      </w:r>
      <w:r w:rsidR="001A7835">
        <w:rPr>
          <w:rFonts w:cs="Times New Roman"/>
          <w:szCs w:val="24"/>
        </w:rPr>
        <w:t xml:space="preserve"> the</w:t>
      </w:r>
      <w:r w:rsidRPr="002B283E">
        <w:rPr>
          <w:rFonts w:cs="Times New Roman"/>
          <w:szCs w:val="24"/>
        </w:rPr>
        <w:t xml:space="preserve"> integrity of </w:t>
      </w:r>
      <w:r w:rsidR="001A7835">
        <w:rPr>
          <w:rFonts w:cs="Times New Roman"/>
          <w:szCs w:val="24"/>
        </w:rPr>
        <w:t xml:space="preserve">the </w:t>
      </w:r>
      <w:r w:rsidRPr="002B283E">
        <w:rPr>
          <w:rFonts w:cs="Times New Roman"/>
          <w:szCs w:val="24"/>
        </w:rPr>
        <w:t>price established by</w:t>
      </w:r>
      <w:r w:rsidR="001A7835">
        <w:rPr>
          <w:rFonts w:cs="Times New Roman"/>
          <w:szCs w:val="24"/>
        </w:rPr>
        <w:t xml:space="preserve"> the</w:t>
      </w:r>
      <w:r w:rsidRPr="002B283E">
        <w:rPr>
          <w:rFonts w:cs="Times New Roman"/>
          <w:szCs w:val="24"/>
        </w:rPr>
        <w:t xml:space="preserve"> market, which was in turn influenced by misleading information or </w:t>
      </w:r>
      <w:r w:rsidR="001A7835">
        <w:rPr>
          <w:rFonts w:cs="Times New Roman"/>
          <w:szCs w:val="24"/>
        </w:rPr>
        <w:t xml:space="preserve">the </w:t>
      </w:r>
      <w:r w:rsidRPr="002B283E">
        <w:rPr>
          <w:rFonts w:cs="Times New Roman"/>
          <w:szCs w:val="24"/>
        </w:rPr>
        <w:t xml:space="preserve">omission of information). However, the defendant may rebut evidence giving rise to the presumption of reliance. </w:t>
      </w:r>
      <w:r w:rsidRPr="002B283E">
        <w:rPr>
          <w:rFonts w:cs="Times New Roman"/>
          <w:i/>
          <w:iCs/>
          <w:szCs w:val="24"/>
        </w:rPr>
        <w:t>In re Apple Computer Sec. Litig.</w:t>
      </w:r>
      <w:r w:rsidRPr="002B283E">
        <w:rPr>
          <w:rFonts w:cs="Times New Roman"/>
          <w:szCs w:val="24"/>
        </w:rPr>
        <w:t>,</w:t>
      </w:r>
      <w:r w:rsidRPr="002B283E">
        <w:rPr>
          <w:rFonts w:cs="Times New Roman"/>
          <w:i/>
          <w:iCs/>
          <w:szCs w:val="24"/>
        </w:rPr>
        <w:t xml:space="preserve"> </w:t>
      </w:r>
      <w:r w:rsidRPr="002B283E">
        <w:rPr>
          <w:rFonts w:cs="Times New Roman"/>
          <w:szCs w:val="24"/>
        </w:rPr>
        <w:t>886 F.2d 1109, 1115 (9th Cir. 1989)</w:t>
      </w:r>
      <w:r w:rsidR="00E54E76">
        <w:rPr>
          <w:rFonts w:cs="Times New Roman"/>
          <w:szCs w:val="24"/>
        </w:rPr>
        <w:t xml:space="preserve">. </w:t>
      </w:r>
      <w:r w:rsidRPr="002B283E">
        <w:rPr>
          <w:rFonts w:cs="Times New Roman"/>
          <w:szCs w:val="24"/>
        </w:rPr>
        <w:t xml:space="preserve">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2B283E">
        <w:rPr>
          <w:rFonts w:cs="Times New Roman"/>
          <w:i/>
          <w:iCs/>
          <w:szCs w:val="24"/>
        </w:rPr>
        <w:t>See Basic Inc.</w:t>
      </w:r>
      <w:r w:rsidRPr="002B283E">
        <w:rPr>
          <w:rFonts w:cs="Times New Roman"/>
          <w:szCs w:val="24"/>
        </w:rPr>
        <w:t xml:space="preserve">, 485 U.S. at 248; </w:t>
      </w:r>
      <w:r w:rsidRPr="002B283E">
        <w:rPr>
          <w:rFonts w:cs="Times New Roman"/>
          <w:i/>
          <w:iCs/>
          <w:szCs w:val="24"/>
        </w:rPr>
        <w:t>see also Kaplan v. Rose</w:t>
      </w:r>
      <w:r w:rsidRPr="002B283E">
        <w:rPr>
          <w:rFonts w:cs="Times New Roman"/>
          <w:szCs w:val="24"/>
        </w:rPr>
        <w:t xml:space="preserve">, 49 F.3d 1363, 1376 (9th Cir. 1994) (holding that </w:t>
      </w:r>
      <w:r w:rsidR="001A7835">
        <w:rPr>
          <w:rFonts w:cs="Times New Roman"/>
          <w:szCs w:val="24"/>
        </w:rPr>
        <w:t xml:space="preserve">the </w:t>
      </w:r>
      <w:r w:rsidRPr="002B283E">
        <w:rPr>
          <w:rFonts w:cs="Times New Roman"/>
          <w:szCs w:val="24"/>
        </w:rPr>
        <w:t xml:space="preserve">presumption can be rebutted by showing that information tending to refute </w:t>
      </w:r>
      <w:r w:rsidR="001A7835">
        <w:rPr>
          <w:rFonts w:cs="Times New Roman"/>
          <w:szCs w:val="24"/>
        </w:rPr>
        <w:t xml:space="preserve">the </w:t>
      </w:r>
      <w:r w:rsidRPr="002B283E">
        <w:rPr>
          <w:rFonts w:cs="Times New Roman"/>
          <w:szCs w:val="24"/>
        </w:rPr>
        <w:t xml:space="preserve">misrepresentation had entered </w:t>
      </w:r>
      <w:r w:rsidR="001A7835">
        <w:rPr>
          <w:rFonts w:cs="Times New Roman"/>
          <w:szCs w:val="24"/>
        </w:rPr>
        <w:t xml:space="preserve">the </w:t>
      </w:r>
      <w:r w:rsidRPr="002B283E">
        <w:rPr>
          <w:rFonts w:cs="Times New Roman"/>
          <w:szCs w:val="24"/>
        </w:rPr>
        <w:t xml:space="preserve">market through other channels). Even if some information was “out there,” however, corporate insiders “are not relieved of their duty to disclose material information when the information has received only brief mention in a few poorly-circulated, lightly-regarded publications.” </w:t>
      </w:r>
      <w:r w:rsidRPr="002B283E">
        <w:rPr>
          <w:rFonts w:cs="Times New Roman"/>
          <w:i/>
          <w:iCs/>
          <w:szCs w:val="24"/>
        </w:rPr>
        <w:t>In re Apple Computer</w:t>
      </w:r>
      <w:r w:rsidRPr="002B283E">
        <w:rPr>
          <w:rFonts w:cs="Times New Roman"/>
          <w:szCs w:val="24"/>
        </w:rPr>
        <w:t>, 886 F.2d at 1116.</w:t>
      </w:r>
    </w:p>
    <w:p w14:paraId="22E53140" w14:textId="77777777" w:rsidR="00867EC4" w:rsidRPr="002B283E" w:rsidRDefault="00867EC4" w:rsidP="00867EC4">
      <w:pPr>
        <w:numPr>
          <w:ilvl w:val="12"/>
          <w:numId w:val="0"/>
        </w:numPr>
        <w:autoSpaceDE w:val="0"/>
        <w:autoSpaceDN w:val="0"/>
        <w:adjustRightInd w:val="0"/>
        <w:rPr>
          <w:rFonts w:cs="Times New Roman"/>
          <w:szCs w:val="24"/>
        </w:rPr>
      </w:pPr>
    </w:p>
    <w:p w14:paraId="4D9F2C2E" w14:textId="2EC0D1DF"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If the jury finds in a fraud-on-the-market case that the defendant rebutted the presumption of reliance, use Instruction 18.6 (Securities—Justifiable Reliance</w:t>
      </w:r>
      <w:r w:rsidR="001A7835">
        <w:rPr>
          <w:rFonts w:cs="Times New Roman"/>
          <w:szCs w:val="24"/>
        </w:rPr>
        <w:t xml:space="preserve"> </w:t>
      </w:r>
      <w:r w:rsidRPr="002B283E">
        <w:rPr>
          <w:rFonts w:cs="Times New Roman"/>
          <w:szCs w:val="24"/>
        </w:rPr>
        <w:t>Generally) to instruct the jury on what the plaintiff must prove.</w:t>
      </w:r>
    </w:p>
    <w:p w14:paraId="6E6EC8EF" w14:textId="77777777" w:rsidR="00867EC4" w:rsidRPr="002B283E" w:rsidRDefault="00867EC4" w:rsidP="00867EC4">
      <w:pPr>
        <w:numPr>
          <w:ilvl w:val="12"/>
          <w:numId w:val="0"/>
        </w:numPr>
        <w:autoSpaceDE w:val="0"/>
        <w:autoSpaceDN w:val="0"/>
        <w:adjustRightInd w:val="0"/>
        <w:rPr>
          <w:rFonts w:cs="Times New Roman"/>
          <w:szCs w:val="24"/>
        </w:rPr>
      </w:pPr>
    </w:p>
    <w:p w14:paraId="2B1F6C11" w14:textId="018DF71C" w:rsidR="00867EC4" w:rsidRPr="001A7835" w:rsidRDefault="00867EC4" w:rsidP="00867EC4">
      <w:pPr>
        <w:numPr>
          <w:ilvl w:val="12"/>
          <w:numId w:val="0"/>
        </w:numPr>
        <w:autoSpaceDE w:val="0"/>
        <w:autoSpaceDN w:val="0"/>
        <w:adjustRightInd w:val="0"/>
        <w:rPr>
          <w:rFonts w:cs="Times New Roman"/>
          <w:szCs w:val="24"/>
        </w:rPr>
      </w:pPr>
      <w:r w:rsidRPr="002B283E">
        <w:rPr>
          <w:rFonts w:cs="Times New Roman"/>
          <w:i/>
          <w:iCs/>
          <w:szCs w:val="24"/>
        </w:rPr>
        <w:tab/>
      </w:r>
      <w:r w:rsidRPr="002B283E">
        <w:rPr>
          <w:rFonts w:cs="Times New Roman"/>
          <w:szCs w:val="24"/>
        </w:rPr>
        <w:t>The Ninth Circuit has recognized that “[t]he burden of pleading loss causation is typically satisfied by allegations that the defendant revealed the truth through ‘corrective disclosures” which ‘caused the company's stock price to drop and investors to lose money.’”</w:t>
      </w:r>
      <w:r w:rsidRPr="002B283E">
        <w:rPr>
          <w:rFonts w:cs="Times New Roman"/>
          <w:i/>
          <w:iCs/>
          <w:szCs w:val="24"/>
        </w:rPr>
        <w:t xml:space="preserve"> Lloyd v. CVB Financial Corp.</w:t>
      </w:r>
      <w:r w:rsidRPr="002B283E">
        <w:rPr>
          <w:rFonts w:cs="Times New Roman"/>
          <w:szCs w:val="24"/>
        </w:rPr>
        <w:t xml:space="preserve">, 811 F.3d 1200, 1209 (9th Cir. 2016) (quoting </w:t>
      </w:r>
      <w:r w:rsidRPr="002B283E">
        <w:rPr>
          <w:rFonts w:cs="Times New Roman"/>
          <w:i/>
          <w:iCs/>
          <w:szCs w:val="24"/>
        </w:rPr>
        <w:t>Halliburton Co. v. Erica. P. John Fund, Inc.</w:t>
      </w:r>
      <w:r w:rsidRPr="002B283E">
        <w:rPr>
          <w:rFonts w:cs="Times New Roman"/>
          <w:szCs w:val="24"/>
        </w:rPr>
        <w:t xml:space="preserve">, 573 U.S. at 264). “[T]he ultimate issue is whether the defendant’s misstatement, as opposed to some other fact, foreseeably caused the plaintiff's loss.” </w:t>
      </w:r>
      <w:r w:rsidRPr="002B283E">
        <w:rPr>
          <w:rFonts w:cs="Times New Roman"/>
          <w:i/>
          <w:iCs/>
          <w:szCs w:val="24"/>
        </w:rPr>
        <w:t xml:space="preserve">Id. </w:t>
      </w:r>
      <w:r w:rsidRPr="002B283E">
        <w:rPr>
          <w:rFonts w:cs="Times New Roman"/>
          <w:szCs w:val="24"/>
        </w:rPr>
        <w:t xml:space="preserve">at 1210. Although a defendant’s announcement of a government investigation does not, without more, qualify as a corrective disclosure, such an announcement can form the basis for a viable loss causation theory if accompanied by a subsequent corrective disclosure by the defendant. </w:t>
      </w:r>
      <w:r w:rsidRPr="002B283E">
        <w:rPr>
          <w:rFonts w:cs="Times New Roman"/>
          <w:i/>
          <w:iCs/>
          <w:szCs w:val="24"/>
        </w:rPr>
        <w:t>Id.</w:t>
      </w:r>
      <w:r w:rsidRPr="002B283E">
        <w:rPr>
          <w:rFonts w:cs="Times New Roman"/>
          <w:szCs w:val="24"/>
        </w:rPr>
        <w:t xml:space="preserve"> Thus, in </w:t>
      </w:r>
      <w:r w:rsidRPr="002B283E">
        <w:rPr>
          <w:rFonts w:cs="Times New Roman"/>
          <w:i/>
          <w:iCs/>
          <w:szCs w:val="24"/>
        </w:rPr>
        <w:t>Lloyd</w:t>
      </w:r>
      <w:r w:rsidRPr="002B283E">
        <w:rPr>
          <w:rFonts w:cs="Times New Roman"/>
          <w:szCs w:val="24"/>
        </w:rPr>
        <w:t xml:space="preserve">, the Ninth Circuit concluded that the following allegations adequately pleaded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2B283E">
        <w:rPr>
          <w:rFonts w:cs="Times New Roman"/>
          <w:i/>
          <w:iCs/>
          <w:szCs w:val="24"/>
        </w:rPr>
        <w:t>Id.</w:t>
      </w:r>
      <w:r w:rsidR="001A7835">
        <w:rPr>
          <w:rFonts w:cs="Times New Roman"/>
          <w:szCs w:val="24"/>
        </w:rPr>
        <w:t xml:space="preserve"> at 1210-11.</w:t>
      </w:r>
    </w:p>
    <w:p w14:paraId="6F8189BC" w14:textId="77777777" w:rsidR="00867EC4" w:rsidRPr="002B283E" w:rsidRDefault="00867EC4" w:rsidP="00867EC4">
      <w:pPr>
        <w:numPr>
          <w:ilvl w:val="12"/>
          <w:numId w:val="0"/>
        </w:numPr>
        <w:autoSpaceDE w:val="0"/>
        <w:autoSpaceDN w:val="0"/>
        <w:adjustRightInd w:val="0"/>
        <w:rPr>
          <w:rFonts w:cs="Times New Roman"/>
          <w:i/>
          <w:iCs/>
          <w:szCs w:val="24"/>
        </w:rPr>
      </w:pPr>
    </w:p>
    <w:p w14:paraId="578DEF07" w14:textId="575867C6"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a case in which a plaintiff alleges a fraud-on-the-market theory, the </w:t>
      </w:r>
      <w:r w:rsidR="001A7835">
        <w:rPr>
          <w:rFonts w:cs="Times New Roman"/>
          <w:szCs w:val="24"/>
        </w:rPr>
        <w:t>calculus</w:t>
      </w:r>
      <w:r w:rsidRPr="002B283E">
        <w:rPr>
          <w:rFonts w:cs="Times New Roman"/>
          <w:szCs w:val="24"/>
        </w:rPr>
        <w:t xml:space="preserve"> </w:t>
      </w:r>
      <w:r w:rsidR="001A7835">
        <w:rPr>
          <w:rFonts w:cs="Times New Roman"/>
          <w:szCs w:val="24"/>
        </w:rPr>
        <w:t xml:space="preserve">for </w:t>
      </w:r>
      <w:r w:rsidRPr="002B283E">
        <w:rPr>
          <w:rFonts w:cs="Times New Roman"/>
          <w:szCs w:val="24"/>
        </w:rPr>
        <w:t xml:space="preserve">“materiality” may be different than when a plaintiff alleges direct reliance on a misrepresentation. </w:t>
      </w:r>
      <w:r w:rsidRPr="002B283E">
        <w:rPr>
          <w:rFonts w:cs="Times New Roman"/>
          <w:i/>
          <w:iCs/>
          <w:szCs w:val="24"/>
        </w:rPr>
        <w:t>See In re Atossa Genetics Inc. Sec. Litig.</w:t>
      </w:r>
      <w:r w:rsidRPr="002B283E">
        <w:rPr>
          <w:rFonts w:cs="Times New Roman"/>
          <w:szCs w:val="24"/>
        </w:rPr>
        <w:t>, 868 F.3d 784, 795-96 (9th Cir. 2017).</w:t>
      </w:r>
    </w:p>
    <w:p w14:paraId="7B17B196" w14:textId="77777777" w:rsidR="00867EC4" w:rsidRPr="002B283E" w:rsidRDefault="00867EC4" w:rsidP="00867EC4">
      <w:pPr>
        <w:numPr>
          <w:ilvl w:val="12"/>
          <w:numId w:val="0"/>
        </w:numPr>
        <w:autoSpaceDE w:val="0"/>
        <w:autoSpaceDN w:val="0"/>
        <w:adjustRightInd w:val="0"/>
        <w:rPr>
          <w:rFonts w:cs="Times New Roman"/>
          <w:szCs w:val="24"/>
        </w:rPr>
      </w:pPr>
    </w:p>
    <w:p w14:paraId="5704C3B9"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6CD57056" w14:textId="77777777" w:rsidR="00867EC4" w:rsidRPr="002B283E" w:rsidRDefault="00867EC4" w:rsidP="00867EC4">
      <w:pPr>
        <w:rPr>
          <w:rFonts w:cs="Times New Roman"/>
          <w:szCs w:val="24"/>
        </w:rPr>
      </w:pPr>
    </w:p>
    <w:p w14:paraId="5343952B" w14:textId="77777777" w:rsidR="00867EC4" w:rsidRPr="002B283E" w:rsidRDefault="00867EC4" w:rsidP="00867EC4">
      <w:pPr>
        <w:pStyle w:val="Heading2"/>
      </w:pPr>
      <w:r w:rsidRPr="002B283E">
        <w:br w:type="page"/>
      </w:r>
      <w:bookmarkStart w:id="467" w:name="_Toc196481979"/>
      <w:bookmarkStart w:id="468" w:name="_Toc221525350"/>
      <w:r w:rsidRPr="002B283E">
        <w:lastRenderedPageBreak/>
        <w:t>18.8 Securities—Causation</w:t>
      </w:r>
      <w:bookmarkEnd w:id="467"/>
      <w:bookmarkEnd w:id="468"/>
    </w:p>
    <w:p w14:paraId="62BE6B42" w14:textId="77777777" w:rsidR="00867EC4" w:rsidRPr="002B283E" w:rsidRDefault="00867EC4" w:rsidP="00867EC4">
      <w:pPr>
        <w:rPr>
          <w:rFonts w:cs="Times New Roman"/>
          <w:szCs w:val="24"/>
        </w:rPr>
      </w:pPr>
    </w:p>
    <w:p w14:paraId="3E25BE9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szCs w:val="24"/>
          <w:shd w:val="clear" w:color="auto" w:fill="FFFFFF"/>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by a preponderance of the evidence that the alleged material misrepresentations or omissions were the cause of [his]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sidRPr="002B283E">
        <w:rPr>
          <w:rFonts w:cs="Times New Roman"/>
          <w:szCs w:val="24"/>
          <w:shd w:val="clear" w:color="auto" w:fill="FFFFFF"/>
        </w:rPr>
        <w:t xml:space="preserve"> economic injury. To establish economic injury or loss, the plaintiff must prove that the alleged</w:t>
      </w:r>
      <w:r>
        <w:rPr>
          <w:rFonts w:cs="Times New Roman"/>
          <w:szCs w:val="24"/>
          <w:shd w:val="clear" w:color="auto" w:fill="FFFFFF"/>
        </w:rPr>
        <w:t xml:space="preserve"> </w:t>
      </w:r>
      <w:r w:rsidRPr="002B283E">
        <w:rPr>
          <w:rFonts w:cs="Times New Roman"/>
          <w:szCs w:val="24"/>
          <w:shd w:val="clear" w:color="auto" w:fill="FFFFFF"/>
        </w:rPr>
        <w:t>misrepresentation[s] or omission[s] artificially inflated the price of the security. To establish</w:t>
      </w:r>
      <w:r>
        <w:rPr>
          <w:rFonts w:cs="Times New Roman"/>
          <w:szCs w:val="24"/>
          <w:shd w:val="clear" w:color="auto" w:fill="FFFFFF"/>
        </w:rPr>
        <w:t xml:space="preserve"> </w:t>
      </w:r>
      <w:r w:rsidRPr="002B283E">
        <w:rPr>
          <w:rFonts w:cs="Times New Roman"/>
          <w:szCs w:val="24"/>
          <w:shd w:val="clear" w:color="auto" w:fill="FFFFFF"/>
        </w:rPr>
        <w:t xml:space="preserve">causation,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that the alleged misrepresentation[s] or omission[s] played a substantial part in causing the injury or loss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suffered.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need not prove that the alleged misrepresentation[s] or omission[s] [was] [were] the sole cause of the economic injuries.</w:t>
      </w:r>
    </w:p>
    <w:p w14:paraId="490E3545" w14:textId="77777777" w:rsidR="00867EC4" w:rsidRPr="002B283E" w:rsidRDefault="00867EC4" w:rsidP="00867EC4">
      <w:pPr>
        <w:numPr>
          <w:ilvl w:val="12"/>
          <w:numId w:val="0"/>
        </w:numPr>
        <w:autoSpaceDE w:val="0"/>
        <w:autoSpaceDN w:val="0"/>
        <w:adjustRightInd w:val="0"/>
        <w:rPr>
          <w:rFonts w:cs="Times New Roman"/>
          <w:szCs w:val="24"/>
        </w:rPr>
      </w:pPr>
    </w:p>
    <w:p w14:paraId="411E86A9"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4B20DF21" w14:textId="77777777" w:rsidR="00867EC4" w:rsidRPr="002B283E" w:rsidRDefault="00867EC4" w:rsidP="00867EC4">
      <w:pPr>
        <w:rPr>
          <w:rFonts w:cs="Times New Roman"/>
          <w:szCs w:val="24"/>
        </w:rPr>
      </w:pPr>
    </w:p>
    <w:p w14:paraId="471CD7BE" w14:textId="7156E6D0" w:rsidR="00867EC4" w:rsidRPr="002B283E" w:rsidRDefault="00867EC4" w:rsidP="00867EC4">
      <w:pPr>
        <w:numPr>
          <w:ilvl w:val="12"/>
          <w:numId w:val="0"/>
        </w:numPr>
        <w:autoSpaceDE w:val="0"/>
        <w:autoSpaceDN w:val="0"/>
        <w:adjustRightInd w:val="0"/>
        <w:rPr>
          <w:rFonts w:eastAsia="Times New Roman" w:cs="Times New Roman"/>
          <w:szCs w:val="24"/>
        </w:rPr>
      </w:pPr>
      <w:r w:rsidRPr="002B283E">
        <w:rPr>
          <w:rFonts w:cs="Times New Roman"/>
          <w:szCs w:val="24"/>
        </w:rPr>
        <w:tab/>
      </w:r>
      <w:r w:rsidRPr="002B283E">
        <w:rPr>
          <w:rFonts w:eastAsia="Times New Roman" w:cs="Times New Roman"/>
          <w:szCs w:val="24"/>
        </w:rPr>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2B283E">
        <w:rPr>
          <w:rFonts w:eastAsia="Times New Roman" w:cs="Times New Roman"/>
          <w:i/>
          <w:iCs/>
          <w:szCs w:val="24"/>
        </w:rPr>
        <w:t>i.e.</w:t>
      </w:r>
      <w:r w:rsidRPr="002B283E">
        <w:rPr>
          <w:rFonts w:eastAsia="Times New Roman" w:cs="Times New Roman"/>
          <w:szCs w:val="24"/>
        </w:rPr>
        <w:t xml:space="preserve">, a causal connection between the material misrepresentation and the loss.” </w:t>
      </w:r>
      <w:r w:rsidRPr="002B283E">
        <w:rPr>
          <w:rFonts w:eastAsia="Times New Roman" w:cs="Times New Roman"/>
          <w:i/>
          <w:iCs/>
          <w:szCs w:val="24"/>
        </w:rPr>
        <w:t>Dura Pharms., Inc. v. Broudo</w:t>
      </w:r>
      <w:r w:rsidRPr="002B283E">
        <w:rPr>
          <w:rFonts w:eastAsia="Times New Roman" w:cs="Times New Roman"/>
          <w:szCs w:val="24"/>
        </w:rPr>
        <w:t>,</w:t>
      </w:r>
      <w:r w:rsidR="001A7835">
        <w:rPr>
          <w:rFonts w:eastAsia="Times New Roman" w:cs="Times New Roman"/>
          <w:szCs w:val="24"/>
        </w:rPr>
        <w:t xml:space="preserve"> </w:t>
      </w:r>
      <w:r w:rsidRPr="002B283E">
        <w:rPr>
          <w:rFonts w:eastAsia="Times New Roman" w:cs="Times New Roman"/>
          <w:szCs w:val="24"/>
        </w:rPr>
        <w:t>544</w:t>
      </w:r>
      <w:r w:rsidR="001A7835">
        <w:rPr>
          <w:rFonts w:eastAsia="Times New Roman" w:cs="Times New Roman"/>
          <w:szCs w:val="24"/>
        </w:rPr>
        <w:t xml:space="preserve"> </w:t>
      </w:r>
      <w:r w:rsidRPr="002B283E">
        <w:rPr>
          <w:rFonts w:eastAsia="Times New Roman" w:cs="Times New Roman"/>
          <w:szCs w:val="24"/>
        </w:rPr>
        <w:t xml:space="preserve">U.S. 336, 342 (2005); </w:t>
      </w:r>
      <w:r w:rsidRPr="002B283E">
        <w:rPr>
          <w:rFonts w:eastAsia="Times New Roman" w:cs="Times New Roman"/>
          <w:i/>
          <w:iCs/>
          <w:szCs w:val="24"/>
        </w:rPr>
        <w:t>see also In re Genius Brands Int’l, Inc. Sec. Litig</w:t>
      </w:r>
      <w:r w:rsidRPr="002B283E">
        <w:rPr>
          <w:rFonts w:eastAsia="Times New Roman" w:cs="Times New Roman"/>
          <w:szCs w:val="24"/>
        </w:rPr>
        <w:t xml:space="preserve">., 97 F.4th 1171, 1183 (9th Cir. 2024) (“[I]n the end, loss causation is simply a variant of proximate cause, [and] the ultimate issue is whether the defendant’s misstatement, as opposed to some other fact, foreseeably caused the plaintiff’s loss.”). In </w:t>
      </w:r>
      <w:r w:rsidRPr="002B283E">
        <w:rPr>
          <w:rFonts w:eastAsia="Times New Roman" w:cs="Times New Roman"/>
          <w:i/>
          <w:iCs/>
          <w:szCs w:val="24"/>
        </w:rPr>
        <w:t>Dura</w:t>
      </w:r>
      <w:r w:rsidRPr="002B283E">
        <w:rPr>
          <w:rFonts w:eastAsia="Times New Roman" w:cs="Times New Roman"/>
          <w:szCs w:val="24"/>
        </w:rPr>
        <w:t xml:space="preserve">, the Supreme Court held that the PSLRA “makes clear Congress’ intent to permit private securities fraud actions for recovery where, but only where, plaintiffs adequately allege and prove the traditional elements of causation and loss.” </w:t>
      </w:r>
      <w:r w:rsidR="001A7835">
        <w:rPr>
          <w:rFonts w:eastAsia="Times New Roman" w:cs="Times New Roman"/>
          <w:szCs w:val="24"/>
        </w:rPr>
        <w:t>544 U.S.</w:t>
      </w:r>
      <w:r w:rsidRPr="002B283E">
        <w:rPr>
          <w:rFonts w:eastAsia="Times New Roman" w:cs="Times New Roman"/>
          <w:szCs w:val="24"/>
        </w:rPr>
        <w:t xml:space="preserve"> at 346. The Supreme Court reversed the Court of Appeals’ ruling that a plaintiff may establish loss causation if the plaintiff merely shows that the price paid on the date of purchase was inflated because of the defendant’s misrepresentation. </w:t>
      </w:r>
      <w:r w:rsidR="001A7835">
        <w:rPr>
          <w:rFonts w:eastAsia="Times New Roman" w:cs="Times New Roman"/>
          <w:i/>
          <w:iCs/>
          <w:szCs w:val="24"/>
        </w:rPr>
        <w:t xml:space="preserve">Id. </w:t>
      </w:r>
      <w:r w:rsidR="001A7835">
        <w:rPr>
          <w:rFonts w:eastAsia="Times New Roman" w:cs="Times New Roman"/>
          <w:szCs w:val="24"/>
        </w:rPr>
        <w:t xml:space="preserve">at 338. </w:t>
      </w:r>
      <w:r w:rsidRPr="002B283E">
        <w:rPr>
          <w:rFonts w:eastAsia="Times New Roman" w:cs="Times New Roman"/>
          <w:szCs w:val="24"/>
        </w:rPr>
        <w:t xml:space="preserve">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w:t>
      </w:r>
      <w:r w:rsidR="001A7835">
        <w:rPr>
          <w:rFonts w:eastAsia="Times New Roman" w:cs="Times New Roman"/>
          <w:i/>
          <w:iCs/>
          <w:szCs w:val="24"/>
        </w:rPr>
        <w:t>Id.</w:t>
      </w:r>
      <w:r w:rsidR="001A7835">
        <w:rPr>
          <w:rFonts w:eastAsia="Times New Roman" w:cs="Times New Roman"/>
          <w:szCs w:val="24"/>
        </w:rPr>
        <w:t xml:space="preserve"> at 342-43. </w:t>
      </w:r>
      <w:r w:rsidRPr="002B283E">
        <w:rPr>
          <w:rFonts w:eastAsia="Times New Roman" w:cs="Times New Roman"/>
          <w:szCs w:val="24"/>
        </w:rPr>
        <w:t xml:space="preserve">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w:t>
      </w:r>
      <w:r w:rsidR="001A7835">
        <w:rPr>
          <w:rFonts w:eastAsia="Times New Roman" w:cs="Times New Roman"/>
          <w:i/>
          <w:iCs/>
          <w:szCs w:val="24"/>
        </w:rPr>
        <w:t>Id.</w:t>
      </w:r>
      <w:r w:rsidR="001A7835">
        <w:rPr>
          <w:rFonts w:eastAsia="Times New Roman" w:cs="Times New Roman"/>
          <w:szCs w:val="24"/>
        </w:rPr>
        <w:t xml:space="preserve"> at 343. </w:t>
      </w:r>
      <w:r w:rsidRPr="002B283E">
        <w:rPr>
          <w:rFonts w:eastAsia="Times New Roman" w:cs="Times New Roman"/>
          <w:szCs w:val="24"/>
        </w:rPr>
        <w:t xml:space="preserve">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2B283E">
        <w:rPr>
          <w:rFonts w:eastAsia="Times New Roman" w:cs="Times New Roman"/>
          <w:i/>
          <w:iCs/>
          <w:szCs w:val="24"/>
        </w:rPr>
        <w:t xml:space="preserve">Id. </w:t>
      </w:r>
      <w:r w:rsidRPr="002B283E">
        <w:rPr>
          <w:rFonts w:eastAsia="Times New Roman" w:cs="Times New Roman"/>
          <w:szCs w:val="24"/>
        </w:rPr>
        <w:t>at 346-48.</w:t>
      </w:r>
    </w:p>
    <w:p w14:paraId="388D7D4C" w14:textId="77777777" w:rsidR="00867EC4" w:rsidRPr="002B283E" w:rsidRDefault="00867EC4" w:rsidP="00867EC4">
      <w:pPr>
        <w:numPr>
          <w:ilvl w:val="12"/>
          <w:numId w:val="0"/>
        </w:numPr>
        <w:autoSpaceDE w:val="0"/>
        <w:autoSpaceDN w:val="0"/>
        <w:adjustRightInd w:val="0"/>
        <w:rPr>
          <w:rFonts w:cs="Times New Roman"/>
          <w:szCs w:val="24"/>
        </w:rPr>
      </w:pPr>
    </w:p>
    <w:p w14:paraId="270CAE51" w14:textId="2DE1B32C"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eastAsia="Times New Roman" w:cs="Times New Roman"/>
          <w:szCs w:val="24"/>
        </w:rPr>
        <w:t xml:space="preserve">Still, the Ninth Circuit has held that “loss causation begins with the allegation that the defendant’s misstatements (or other fraudulent conduct) artificially </w:t>
      </w:r>
      <w:r w:rsidRPr="002B283E">
        <w:rPr>
          <w:rFonts w:eastAsia="Times New Roman" w:cs="Times New Roman"/>
          <w:i/>
          <w:iCs/>
          <w:szCs w:val="24"/>
        </w:rPr>
        <w:t xml:space="preserve">inflated </w:t>
      </w:r>
      <w:r w:rsidRPr="002B283E">
        <w:rPr>
          <w:rFonts w:eastAsia="Times New Roman" w:cs="Times New Roman"/>
          <w:szCs w:val="24"/>
        </w:rPr>
        <w:t xml:space="preserve">the price at which the plaintiff purchased [the] share.” </w:t>
      </w:r>
      <w:r w:rsidRPr="002B283E">
        <w:rPr>
          <w:rFonts w:eastAsia="Times New Roman" w:cs="Times New Roman"/>
          <w:i/>
          <w:iCs/>
          <w:szCs w:val="24"/>
        </w:rPr>
        <w:t>In re BofI Holding, Inc. Sec. Litig</w:t>
      </w:r>
      <w:r w:rsidRPr="002B283E">
        <w:rPr>
          <w:rFonts w:eastAsia="Times New Roman" w:cs="Times New Roman"/>
          <w:szCs w:val="24"/>
        </w:rPr>
        <w:t xml:space="preserve">., 977 F.3d 781, 789 (9th Cir. 2020). In </w:t>
      </w:r>
      <w:r w:rsidRPr="002B283E">
        <w:rPr>
          <w:rFonts w:eastAsia="Times New Roman" w:cs="Times New Roman"/>
          <w:i/>
          <w:iCs/>
          <w:szCs w:val="24"/>
        </w:rPr>
        <w:t>Genius Brands</w:t>
      </w:r>
      <w:r w:rsidRPr="002B283E">
        <w:rPr>
          <w:rFonts w:eastAsia="Times New Roman" w:cs="Times New Roman"/>
          <w:szCs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97 F.4th at 1185. Indeed, as the court noted, inflation can be shown by plausibly alleging that the price remained stable but would have gone down if the misstatement had not been made. </w:t>
      </w:r>
      <w:r w:rsidRPr="002B283E">
        <w:rPr>
          <w:rFonts w:eastAsia="Times New Roman" w:cs="Times New Roman"/>
          <w:i/>
          <w:iCs/>
          <w:szCs w:val="24"/>
        </w:rPr>
        <w:t>Id</w:t>
      </w:r>
      <w:r w:rsidRPr="002B283E">
        <w:rPr>
          <w:rFonts w:eastAsia="Times New Roman" w:cs="Times New Roman"/>
          <w:szCs w:val="24"/>
        </w:rPr>
        <w:t xml:space="preserve">. </w:t>
      </w:r>
      <w:r w:rsidRPr="002B283E">
        <w:rPr>
          <w:rFonts w:eastAsia="Times New Roman" w:cs="Times New Roman"/>
          <w:szCs w:val="24"/>
        </w:rPr>
        <w:lastRenderedPageBreak/>
        <w:t xml:space="preserve">Similarly, where the price dropped, a plaintiff can allege that the drop would have been more significant had the misstatement not been made. </w:t>
      </w:r>
      <w:r w:rsidRPr="002B283E">
        <w:rPr>
          <w:rFonts w:eastAsia="Times New Roman" w:cs="Times New Roman"/>
          <w:i/>
          <w:iCs/>
          <w:szCs w:val="24"/>
        </w:rPr>
        <w:t>Id</w:t>
      </w:r>
      <w:r w:rsidRPr="002B283E">
        <w:rPr>
          <w:rFonts w:eastAsia="Times New Roman" w:cs="Times New Roman"/>
          <w:szCs w:val="24"/>
        </w:rPr>
        <w:t xml:space="preserve">. In either case, the court explained, “the plaintiff would plausibly allege that the stock’s price was higher ‘than it would have been had the false statements not been made,’ even though the misstatements did not increase the stock’s price.” </w:t>
      </w:r>
      <w:r w:rsidRPr="002B283E">
        <w:rPr>
          <w:rFonts w:eastAsia="Times New Roman" w:cs="Times New Roman"/>
          <w:i/>
          <w:iCs/>
          <w:szCs w:val="24"/>
        </w:rPr>
        <w:t>Id</w:t>
      </w:r>
      <w:r w:rsidRPr="002B283E">
        <w:rPr>
          <w:rFonts w:eastAsia="Times New Roman" w:cs="Times New Roman"/>
          <w:szCs w:val="24"/>
        </w:rPr>
        <w:t>. (quoting </w:t>
      </w:r>
      <w:r w:rsidRPr="002B283E">
        <w:rPr>
          <w:rFonts w:eastAsia="Times New Roman" w:cs="Times New Roman"/>
          <w:i/>
          <w:iCs/>
          <w:szCs w:val="24"/>
        </w:rPr>
        <w:t>BofI Holding</w:t>
      </w:r>
      <w:r w:rsidRPr="002B283E">
        <w:rPr>
          <w:rFonts w:eastAsia="Times New Roman" w:cs="Times New Roman"/>
          <w:szCs w:val="24"/>
        </w:rPr>
        <w:t>, 977 F.3d at 789).</w:t>
      </w:r>
    </w:p>
    <w:p w14:paraId="2C882DDF" w14:textId="77777777" w:rsidR="00867EC4" w:rsidRPr="002B283E" w:rsidRDefault="00867EC4" w:rsidP="00867EC4">
      <w:pPr>
        <w:shd w:val="clear" w:color="auto" w:fill="FFFFFF"/>
        <w:ind w:firstLine="720"/>
        <w:rPr>
          <w:rFonts w:eastAsia="Times New Roman" w:cs="Times New Roman"/>
          <w:szCs w:val="24"/>
        </w:rPr>
      </w:pPr>
    </w:p>
    <w:p w14:paraId="7F5492AF" w14:textId="50BB1F7F"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The Ninth Circuit has stated that “[t]ypically, ‘to satisfy the loss causation requirement, the plaintiff must show that the revelation of that misrepresentation or omission was a substantial factor in causing a decline in the security’s price, thus creating an actual economic loss for the plaintiff.’” </w:t>
      </w:r>
      <w:r w:rsidRPr="002B283E">
        <w:rPr>
          <w:rFonts w:eastAsia="Times New Roman" w:cs="Times New Roman"/>
          <w:i/>
          <w:iCs/>
          <w:szCs w:val="24"/>
        </w:rPr>
        <w:t>Nuveen Mun. High Income Opportunity Fund v. City of Alameda</w:t>
      </w:r>
      <w:r w:rsidRPr="002B283E">
        <w:rPr>
          <w:rFonts w:eastAsia="Times New Roman" w:cs="Times New Roman"/>
          <w:szCs w:val="24"/>
        </w:rPr>
        <w:t xml:space="preserve">, 730 F.3d 1111, 1119 (9th Cir. 2013) (quoting </w:t>
      </w:r>
      <w:r w:rsidRPr="002B283E">
        <w:rPr>
          <w:rFonts w:eastAsia="Times New Roman" w:cs="Times New Roman"/>
          <w:i/>
          <w:iCs/>
          <w:szCs w:val="24"/>
        </w:rPr>
        <w:t>McCabe v. Ernst &amp; Young, LLP</w:t>
      </w:r>
      <w:r w:rsidRPr="002B283E">
        <w:rPr>
          <w:rFonts w:eastAsia="Times New Roman" w:cs="Times New Roman"/>
          <w:szCs w:val="24"/>
        </w:rPr>
        <w:t xml:space="preserve">, 494 F.3d 418, 425-26 (3d Cir. 2007)). While “an outright admission of fraud” is not required, “a mere ‘risk’ or ‘potential’ for fraud is insufficient to establish loss causation.” </w:t>
      </w:r>
      <w:r w:rsidRPr="002B283E">
        <w:rPr>
          <w:rFonts w:eastAsia="Times New Roman" w:cs="Times New Roman"/>
          <w:i/>
          <w:iCs/>
          <w:szCs w:val="24"/>
        </w:rPr>
        <w:t>Loos v. Immersion Corp.</w:t>
      </w:r>
      <w:r w:rsidRPr="002B283E">
        <w:rPr>
          <w:rFonts w:eastAsia="Times New Roman" w:cs="Times New Roman"/>
          <w:szCs w:val="24"/>
        </w:rPr>
        <w:t xml:space="preserve">, 762 F.3d 880, 888-89 (9th Cir. 2014) (quoting </w:t>
      </w:r>
      <w:r w:rsidRPr="002B283E">
        <w:rPr>
          <w:rFonts w:eastAsia="Times New Roman" w:cs="Times New Roman"/>
          <w:i/>
          <w:iCs/>
          <w:szCs w:val="24"/>
        </w:rPr>
        <w:t>Metzler Inv. GMBH v. Corinthian Colls., Inc.</w:t>
      </w:r>
      <w:r w:rsidRPr="002B283E">
        <w:rPr>
          <w:rFonts w:eastAsia="Times New Roman" w:cs="Times New Roman"/>
          <w:szCs w:val="24"/>
        </w:rPr>
        <w:t>, 540 F.3d 1049, 1064 (9th Cir. 2008)</w:t>
      </w:r>
      <w:r w:rsidR="001A7835">
        <w:rPr>
          <w:rFonts w:eastAsia="Times New Roman" w:cs="Times New Roman"/>
          <w:szCs w:val="24"/>
        </w:rPr>
        <w:t>)</w:t>
      </w:r>
      <w:r w:rsidRPr="002B283E">
        <w:rPr>
          <w:rFonts w:eastAsia="Times New Roman" w:cs="Times New Roman"/>
          <w:szCs w:val="24"/>
        </w:rPr>
        <w:t xml:space="preserve"> (holding that </w:t>
      </w:r>
      <w:r w:rsidR="001A7835">
        <w:rPr>
          <w:rFonts w:eastAsia="Times New Roman" w:cs="Times New Roman"/>
          <w:szCs w:val="24"/>
        </w:rPr>
        <w:t xml:space="preserve">the </w:t>
      </w:r>
      <w:r w:rsidRPr="002B283E">
        <w:rPr>
          <w:rFonts w:eastAsia="Times New Roman" w:cs="Times New Roman"/>
          <w:szCs w:val="24"/>
        </w:rPr>
        <w:t xml:space="preserve">revelation of </w:t>
      </w:r>
      <w:r w:rsidR="001A7835">
        <w:rPr>
          <w:rFonts w:eastAsia="Times New Roman" w:cs="Times New Roman"/>
          <w:szCs w:val="24"/>
        </w:rPr>
        <w:t xml:space="preserve">an </w:t>
      </w:r>
      <w:r w:rsidRPr="002B283E">
        <w:rPr>
          <w:rFonts w:eastAsia="Times New Roman" w:cs="Times New Roman"/>
          <w:szCs w:val="24"/>
        </w:rPr>
        <w:t xml:space="preserve">investigation, on its own, amounts only to notice of </w:t>
      </w:r>
      <w:r w:rsidR="001A7835">
        <w:rPr>
          <w:rFonts w:eastAsia="Times New Roman" w:cs="Times New Roman"/>
          <w:szCs w:val="24"/>
        </w:rPr>
        <w:t xml:space="preserve">the </w:t>
      </w:r>
      <w:r w:rsidRPr="002B283E">
        <w:rPr>
          <w:rFonts w:eastAsia="Times New Roman" w:cs="Times New Roman"/>
          <w:szCs w:val="24"/>
        </w:rPr>
        <w:t>potential disclosure of fraudulent conduct and thus does not satisfy</w:t>
      </w:r>
      <w:r w:rsidR="001A7835">
        <w:rPr>
          <w:rFonts w:eastAsia="Times New Roman" w:cs="Times New Roman"/>
          <w:szCs w:val="24"/>
        </w:rPr>
        <w:t xml:space="preserve"> the</w:t>
      </w:r>
      <w:r w:rsidRPr="002B283E">
        <w:rPr>
          <w:rFonts w:eastAsia="Times New Roman" w:cs="Times New Roman"/>
          <w:szCs w:val="24"/>
        </w:rPr>
        <w:t xml:space="preserve"> causation element of § 10(b) and Rule 10b-5 claims). However, “[d]isclosure of the fraud is not a sine qua non of loss causation, which may be shown even where the alleged fraud is not necessarily revealed prior to the economic loss.” </w:t>
      </w:r>
      <w:r w:rsidRPr="002B283E">
        <w:rPr>
          <w:rFonts w:eastAsia="Times New Roman" w:cs="Times New Roman"/>
          <w:i/>
          <w:iCs/>
          <w:szCs w:val="24"/>
        </w:rPr>
        <w:t>Nuveen</w:t>
      </w:r>
      <w:r w:rsidRPr="002B283E">
        <w:rPr>
          <w:rFonts w:eastAsia="Times New Roman" w:cs="Times New Roman"/>
          <w:szCs w:val="24"/>
        </w:rPr>
        <w:t xml:space="preserve">, 730 F.3d at 1120. Accordingly, “a plaintiff can satisfy loss causation by showing that ‘the defendant misrepresented or omitted the very facts that were a substantial factor in causing the plaintiff’s economic loss.” </w:t>
      </w:r>
      <w:r w:rsidRPr="002B283E">
        <w:rPr>
          <w:rFonts w:eastAsia="Times New Roman" w:cs="Times New Roman"/>
          <w:i/>
          <w:iCs/>
          <w:szCs w:val="24"/>
        </w:rPr>
        <w:t xml:space="preserve">Id. </w:t>
      </w:r>
      <w:r w:rsidRPr="002B283E">
        <w:rPr>
          <w:rFonts w:eastAsia="Times New Roman" w:cs="Times New Roman"/>
          <w:szCs w:val="24"/>
        </w:rPr>
        <w:t xml:space="preserve">(quoting </w:t>
      </w:r>
      <w:r w:rsidRPr="002B283E">
        <w:rPr>
          <w:rFonts w:eastAsia="Times New Roman" w:cs="Times New Roman"/>
          <w:i/>
          <w:iCs/>
          <w:szCs w:val="24"/>
        </w:rPr>
        <w:t>McCabe</w:t>
      </w:r>
      <w:r w:rsidRPr="002B283E">
        <w:rPr>
          <w:rFonts w:eastAsia="Times New Roman" w:cs="Times New Roman"/>
          <w:szCs w:val="24"/>
        </w:rPr>
        <w:t>, 494 F.3d at 425). For example, in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949 (9th Cir. </w:t>
      </w:r>
      <w:r w:rsidR="00304537">
        <w:rPr>
          <w:rFonts w:eastAsia="Times New Roman" w:cs="Times New Roman"/>
          <w:szCs w:val="24"/>
        </w:rPr>
        <w:t>2</w:t>
      </w:r>
      <w:r w:rsidRPr="002B283E">
        <w:rPr>
          <w:rFonts w:eastAsia="Times New Roman" w:cs="Times New Roman"/>
          <w:szCs w:val="24"/>
        </w:rPr>
        <w:t xml:space="preserve">005), the Ninth Circuit held that loss causation was sufficiently alleged when the plaintiff alleged that the very facts concealed by the defendants—facts concerning the company’s dire financial situation—resulted in its going bankrupt, which caused the plaintiff to lose the entire value of its investment in the company. </w:t>
      </w:r>
      <w:r w:rsidRPr="002B283E">
        <w:rPr>
          <w:rFonts w:eastAsia="Times New Roman" w:cs="Times New Roman"/>
          <w:i/>
          <w:iCs/>
          <w:szCs w:val="24"/>
        </w:rPr>
        <w:t xml:space="preserve">See also id. </w:t>
      </w:r>
      <w:r w:rsidRPr="002B283E">
        <w:rPr>
          <w:rFonts w:eastAsia="Times New Roman" w:cs="Times New Roman"/>
          <w:szCs w:val="24"/>
        </w:rPr>
        <w:t xml:space="preserve">at 949 n.2 (concluding that </w:t>
      </w:r>
      <w:r w:rsidRPr="002B283E">
        <w:rPr>
          <w:rFonts w:eastAsia="Times New Roman" w:cs="Times New Roman"/>
          <w:i/>
          <w:iCs/>
          <w:szCs w:val="24"/>
        </w:rPr>
        <w:t xml:space="preserve">Dura </w:t>
      </w:r>
      <w:r w:rsidRPr="002B283E">
        <w:rPr>
          <w:rFonts w:eastAsia="Times New Roman" w:cs="Times New Roman"/>
          <w:szCs w:val="24"/>
        </w:rPr>
        <w:t xml:space="preserve">did not require </w:t>
      </w:r>
      <w:r w:rsidR="00304537">
        <w:rPr>
          <w:rFonts w:eastAsia="Times New Roman" w:cs="Times New Roman"/>
          <w:szCs w:val="24"/>
        </w:rPr>
        <w:t xml:space="preserve">the </w:t>
      </w:r>
      <w:r w:rsidRPr="002B283E">
        <w:rPr>
          <w:rFonts w:eastAsia="Times New Roman" w:cs="Times New Roman"/>
          <w:szCs w:val="24"/>
        </w:rPr>
        <w:t>plaintiff to allege corrective disclosure because</w:t>
      </w:r>
      <w:r w:rsidR="00304537">
        <w:rPr>
          <w:rFonts w:eastAsia="Times New Roman" w:cs="Times New Roman"/>
          <w:szCs w:val="24"/>
        </w:rPr>
        <w:t xml:space="preserve"> the</w:t>
      </w:r>
      <w:r w:rsidRPr="002B283E">
        <w:rPr>
          <w:rFonts w:eastAsia="Times New Roman" w:cs="Times New Roman"/>
          <w:szCs w:val="24"/>
        </w:rPr>
        <w:t xml:space="preserve"> plaintiff alleged </w:t>
      </w:r>
      <w:r w:rsidR="00304537">
        <w:rPr>
          <w:rFonts w:eastAsia="Times New Roman" w:cs="Times New Roman"/>
          <w:szCs w:val="24"/>
        </w:rPr>
        <w:t xml:space="preserve">a </w:t>
      </w:r>
      <w:r w:rsidRPr="002B283E">
        <w:rPr>
          <w:rFonts w:eastAsia="Times New Roman" w:cs="Times New Roman"/>
          <w:szCs w:val="24"/>
        </w:rPr>
        <w:t>“private sale of privately traded stock and . . . not only asserted that it purchased the security at issue at an artificially inflated price, but pled that the [d]efendants’ misrepresentation was causally related to the loss it sustained”)</w:t>
      </w:r>
      <w:r w:rsidR="00304537">
        <w:rPr>
          <w:rFonts w:eastAsia="Times New Roman" w:cs="Times New Roman"/>
          <w:szCs w:val="24"/>
        </w:rPr>
        <w:t>;</w:t>
      </w:r>
      <w:r w:rsidRPr="002B283E">
        <w:rPr>
          <w:rFonts w:eastAsia="Times New Roman" w:cs="Times New Roman"/>
          <w:i/>
          <w:iCs/>
          <w:szCs w:val="24"/>
        </w:rPr>
        <w:t xml:space="preserve"> Wochos v. Tesla Motors, Inc.</w:t>
      </w:r>
      <w:r w:rsidRPr="002B283E">
        <w:rPr>
          <w:rFonts w:eastAsia="Times New Roman" w:cs="Times New Roman"/>
          <w:szCs w:val="24"/>
        </w:rPr>
        <w:t xml:space="preserve">, 985 F.3d 1180, 1198 (9th Cir. 2021) (upholding dismissal with prejudice when </w:t>
      </w:r>
      <w:r w:rsidR="00304537">
        <w:rPr>
          <w:rFonts w:eastAsia="Times New Roman" w:cs="Times New Roman"/>
          <w:szCs w:val="24"/>
        </w:rPr>
        <w:t xml:space="preserve">a </w:t>
      </w:r>
      <w:r w:rsidRPr="002B283E">
        <w:rPr>
          <w:rFonts w:eastAsia="Times New Roman" w:cs="Times New Roman"/>
          <w:szCs w:val="24"/>
        </w:rPr>
        <w:t xml:space="preserve">modest stock price drop quickly rebounded because “[t]o adequately plead loss causation . . . a plaintiff must allege that the ‘share price fell significantly after the truth became known’” (quoting </w:t>
      </w:r>
      <w:r w:rsidRPr="002B283E">
        <w:rPr>
          <w:rFonts w:eastAsia="Times New Roman" w:cs="Times New Roman"/>
          <w:i/>
          <w:iCs/>
          <w:szCs w:val="24"/>
        </w:rPr>
        <w:t>In re Oracle Corp. Sec. Litig.</w:t>
      </w:r>
      <w:r w:rsidRPr="002B283E">
        <w:rPr>
          <w:rFonts w:eastAsia="Times New Roman" w:cs="Times New Roman"/>
          <w:szCs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2B283E">
        <w:rPr>
          <w:rFonts w:eastAsia="Times New Roman" w:cs="Times New Roman"/>
          <w:i/>
          <w:iCs/>
          <w:szCs w:val="24"/>
        </w:rPr>
        <w:t>In re BofI Holding, Inc. Sec. Litig</w:t>
      </w:r>
      <w:r w:rsidRPr="002B283E">
        <w:rPr>
          <w:rFonts w:eastAsia="Times New Roman" w:cs="Times New Roman"/>
          <w:szCs w:val="24"/>
        </w:rPr>
        <w:t xml:space="preserve">., 977 F.3d </w:t>
      </w:r>
      <w:r w:rsidR="00304537">
        <w:rPr>
          <w:rFonts w:eastAsia="Times New Roman" w:cs="Times New Roman"/>
          <w:szCs w:val="24"/>
        </w:rPr>
        <w:t>at</w:t>
      </w:r>
      <w:r w:rsidRPr="002B283E">
        <w:rPr>
          <w:rFonts w:eastAsia="Times New Roman" w:cs="Times New Roman"/>
          <w:szCs w:val="24"/>
        </w:rPr>
        <w:t xml:space="preserve"> 789 (quoting </w:t>
      </w:r>
      <w:r w:rsidRPr="002B283E">
        <w:rPr>
          <w:rFonts w:eastAsia="Times New Roman" w:cs="Times New Roman"/>
          <w:i/>
          <w:iCs/>
          <w:szCs w:val="24"/>
        </w:rPr>
        <w:t>Dura Pharms., Inc</w:t>
      </w:r>
      <w:r w:rsidRPr="002B283E">
        <w:rPr>
          <w:rFonts w:eastAsia="Times New Roman" w:cs="Times New Roman"/>
          <w:szCs w:val="24"/>
        </w:rPr>
        <w:t xml:space="preserve">., 544 U.S. at 347). A plaintiff may prove that “the truth became known” by identifying one or more “corrective disclosures.” </w:t>
      </w:r>
      <w:r w:rsidRPr="002B283E">
        <w:rPr>
          <w:rFonts w:eastAsia="Times New Roman" w:cs="Times New Roman"/>
          <w:i/>
          <w:iCs/>
          <w:szCs w:val="24"/>
        </w:rPr>
        <w:t xml:space="preserve">Id. </w:t>
      </w:r>
      <w:r w:rsidRPr="002B283E">
        <w:rPr>
          <w:rFonts w:eastAsia="Times New Roman" w:cs="Times New Roman"/>
          <w:szCs w:val="24"/>
        </w:rPr>
        <w:t xml:space="preserve">at 790. “A corrective disclosure occurs when ‘information correcting the misstatement or omission that is the basis for the action is disseminated to the market.’” </w:t>
      </w:r>
      <w:r w:rsidRPr="002B283E">
        <w:rPr>
          <w:rFonts w:eastAsia="Times New Roman" w:cs="Times New Roman"/>
          <w:i/>
          <w:iCs/>
          <w:szCs w:val="24"/>
        </w:rPr>
        <w:t xml:space="preserve">Id. </w:t>
      </w:r>
      <w:r w:rsidRPr="002B283E">
        <w:rPr>
          <w:rFonts w:eastAsia="Times New Roman" w:cs="Times New Roman"/>
          <w:szCs w:val="24"/>
        </w:rPr>
        <w:t xml:space="preserve">(quoting 15 U.S.C. § 78u-4(e)(1)); </w:t>
      </w:r>
      <w:r w:rsidRPr="002B283E">
        <w:rPr>
          <w:rFonts w:eastAsia="Times New Roman" w:cs="Times New Roman"/>
          <w:i/>
          <w:iCs/>
          <w:szCs w:val="24"/>
        </w:rPr>
        <w:t>see also Grigsby v. BofI Holding, Inc.</w:t>
      </w:r>
      <w:r w:rsidRPr="002B283E">
        <w:rPr>
          <w:rFonts w:eastAsia="Times New Roman" w:cs="Times New Roman"/>
          <w:szCs w:val="24"/>
        </w:rPr>
        <w:t xml:space="preserve">, 979 F.3d 1198 (9th Cir. 2020) (holding </w:t>
      </w:r>
      <w:r w:rsidR="00304537">
        <w:rPr>
          <w:rFonts w:eastAsia="Times New Roman" w:cs="Times New Roman"/>
          <w:szCs w:val="24"/>
        </w:rPr>
        <w:t xml:space="preserve">that a </w:t>
      </w:r>
      <w:r w:rsidRPr="002B283E">
        <w:rPr>
          <w:rFonts w:eastAsia="Times New Roman" w:cs="Times New Roman"/>
          <w:szCs w:val="24"/>
        </w:rPr>
        <w:t xml:space="preserve">news article with information from </w:t>
      </w:r>
      <w:r w:rsidR="00304537">
        <w:rPr>
          <w:rFonts w:eastAsia="Times New Roman" w:cs="Times New Roman"/>
          <w:szCs w:val="24"/>
        </w:rPr>
        <w:t xml:space="preserve">a </w:t>
      </w:r>
      <w:r w:rsidRPr="002B283E">
        <w:rPr>
          <w:rFonts w:eastAsia="Times New Roman" w:cs="Times New Roman"/>
          <w:szCs w:val="24"/>
        </w:rPr>
        <w:t>FOIA request can be corrective disclosure, but</w:t>
      </w:r>
      <w:r w:rsidR="00304537">
        <w:rPr>
          <w:rFonts w:eastAsia="Times New Roman" w:cs="Times New Roman"/>
          <w:szCs w:val="24"/>
        </w:rPr>
        <w:t xml:space="preserve"> an</w:t>
      </w:r>
      <w:r w:rsidRPr="002B283E">
        <w:rPr>
          <w:rFonts w:eastAsia="Times New Roman" w:cs="Times New Roman"/>
          <w:szCs w:val="24"/>
        </w:rPr>
        <w:t xml:space="preserve"> </w:t>
      </w:r>
      <w:r w:rsidR="00304537">
        <w:rPr>
          <w:rFonts w:eastAsia="Times New Roman" w:cs="Times New Roman"/>
          <w:szCs w:val="24"/>
        </w:rPr>
        <w:t>i</w:t>
      </w:r>
      <w:r w:rsidRPr="002B283E">
        <w:rPr>
          <w:rFonts w:eastAsia="Times New Roman" w:cs="Times New Roman"/>
          <w:szCs w:val="24"/>
        </w:rPr>
        <w:t>nternet article with publicly available information from</w:t>
      </w:r>
      <w:r w:rsidR="00304537">
        <w:rPr>
          <w:rFonts w:eastAsia="Times New Roman" w:cs="Times New Roman"/>
          <w:szCs w:val="24"/>
        </w:rPr>
        <w:t xml:space="preserve"> a</w:t>
      </w:r>
      <w:r w:rsidRPr="002B283E">
        <w:rPr>
          <w:rFonts w:eastAsia="Times New Roman" w:cs="Times New Roman"/>
          <w:szCs w:val="24"/>
        </w:rPr>
        <w:t xml:space="preserve"> whistleblower was not </w:t>
      </w:r>
      <w:r w:rsidR="00304537">
        <w:rPr>
          <w:rFonts w:eastAsia="Times New Roman" w:cs="Times New Roman"/>
          <w:szCs w:val="24"/>
        </w:rPr>
        <w:t xml:space="preserve">a </w:t>
      </w:r>
      <w:r w:rsidRPr="002B283E">
        <w:rPr>
          <w:rFonts w:eastAsia="Times New Roman" w:cs="Times New Roman"/>
          <w:szCs w:val="24"/>
        </w:rPr>
        <w:t xml:space="preserve">corrective disclosure). The Ninth Circuit offered guidance on what constitutes a corrective disclosure in </w:t>
      </w:r>
      <w:r w:rsidRPr="002B283E">
        <w:rPr>
          <w:rFonts w:eastAsia="Times New Roman" w:cs="Times New Roman"/>
          <w:i/>
          <w:iCs/>
          <w:szCs w:val="24"/>
        </w:rPr>
        <w:t>In re BofI Holding, Inc. Sec</w:t>
      </w:r>
      <w:r w:rsidR="00304537">
        <w:rPr>
          <w:rFonts w:eastAsia="Times New Roman" w:cs="Times New Roman"/>
          <w:i/>
          <w:iCs/>
          <w:szCs w:val="24"/>
        </w:rPr>
        <w:t>urities</w:t>
      </w:r>
      <w:r w:rsidRPr="002B283E">
        <w:rPr>
          <w:rFonts w:eastAsia="Times New Roman" w:cs="Times New Roman"/>
          <w:i/>
          <w:iCs/>
          <w:szCs w:val="24"/>
        </w:rPr>
        <w:t xml:space="preserve"> Liti</w:t>
      </w:r>
      <w:r w:rsidRPr="00304537">
        <w:rPr>
          <w:rFonts w:eastAsia="Times New Roman" w:cs="Times New Roman"/>
          <w:i/>
          <w:iCs/>
          <w:szCs w:val="24"/>
        </w:rPr>
        <w:t>g</w:t>
      </w:r>
      <w:r w:rsidR="00304537" w:rsidRPr="00304537">
        <w:rPr>
          <w:rFonts w:eastAsia="Times New Roman" w:cs="Times New Roman"/>
          <w:i/>
          <w:iCs/>
          <w:szCs w:val="24"/>
        </w:rPr>
        <w:t>ation</w:t>
      </w:r>
      <w:r w:rsidRPr="002B283E">
        <w:rPr>
          <w:rFonts w:eastAsia="Times New Roman" w:cs="Times New Roman"/>
          <w:szCs w:val="24"/>
        </w:rPr>
        <w:t xml:space="preserve">, 977 F.3d </w:t>
      </w:r>
      <w:r w:rsidR="00304537">
        <w:rPr>
          <w:rFonts w:eastAsia="Times New Roman" w:cs="Times New Roman"/>
          <w:szCs w:val="24"/>
        </w:rPr>
        <w:t>at</w:t>
      </w:r>
      <w:r w:rsidRPr="002B283E">
        <w:rPr>
          <w:rFonts w:eastAsia="Times New Roman" w:cs="Times New Roman"/>
          <w:szCs w:val="24"/>
        </w:rPr>
        <w:t xml:space="preserve"> 790, explaining that “a corrective disclosure need not consist of an </w:t>
      </w:r>
      <w:r w:rsidRPr="002B283E">
        <w:rPr>
          <w:rFonts w:eastAsia="Times New Roman" w:cs="Times New Roman"/>
          <w:szCs w:val="24"/>
        </w:rPr>
        <w:lastRenderedPageBreak/>
        <w:t xml:space="preserve">admission of fraud by the defendant or a formal finding of fraud by a government agency”; rather, it may “come from any source, including knowledgeable third parties such as whistleblowers, analysts, or investigative reporters.” </w:t>
      </w:r>
      <w:r w:rsidRPr="002B283E">
        <w:rPr>
          <w:rFonts w:eastAsia="Times New Roman" w:cs="Times New Roman"/>
          <w:i/>
          <w:iCs/>
          <w:szCs w:val="24"/>
        </w:rPr>
        <w:t xml:space="preserve">Id. </w:t>
      </w:r>
      <w:r w:rsidRPr="002B283E">
        <w:rPr>
          <w:rFonts w:eastAsia="Times New Roman" w:cs="Times New Roman"/>
          <w:szCs w:val="24"/>
        </w:rPr>
        <w:t xml:space="preserve">A corrective disclosure also “need not reveal the full scope of the defendant’s fraud in one fell swoop; the true facts concealed by the defendant’s misstatements may be revealed over time through a series of partial disclosures.” </w:t>
      </w:r>
      <w:r w:rsidRPr="002B283E">
        <w:rPr>
          <w:rFonts w:eastAsia="Times New Roman" w:cs="Times New Roman"/>
          <w:i/>
          <w:iCs/>
          <w:szCs w:val="24"/>
        </w:rPr>
        <w:t>Id</w:t>
      </w:r>
      <w:r w:rsidRPr="002B283E">
        <w:rPr>
          <w:rFonts w:eastAsia="Times New Roman" w:cs="Times New Roman"/>
          <w:szCs w:val="24"/>
        </w:rPr>
        <w:t xml:space="preserve">. A corrective disclosure “need not precisely mirror the earlier misrepresentation,” as it “is enough if the disclosure reveals new facts that, taken as true, render some aspect of the defendant's prior statements false or misleading.” </w:t>
      </w:r>
      <w:r w:rsidRPr="002B283E">
        <w:rPr>
          <w:rFonts w:eastAsia="Times New Roman" w:cs="Times New Roman"/>
          <w:i/>
          <w:iCs/>
          <w:szCs w:val="24"/>
        </w:rPr>
        <w:t xml:space="preserve">Id. </w:t>
      </w:r>
      <w:r w:rsidR="00304537">
        <w:rPr>
          <w:rFonts w:eastAsia="Times New Roman" w:cs="Times New Roman"/>
          <w:szCs w:val="24"/>
        </w:rPr>
        <w:t xml:space="preserve">(citations omitted). </w:t>
      </w:r>
      <w:r w:rsidRPr="00304537">
        <w:rPr>
          <w:rFonts w:eastAsia="Times New Roman" w:cs="Times New Roman"/>
          <w:szCs w:val="24"/>
        </w:rPr>
        <w:t>Against</w:t>
      </w:r>
      <w:r w:rsidRPr="002B283E">
        <w:rPr>
          <w:rFonts w:eastAsia="Times New Roman" w:cs="Times New Roman"/>
          <w:szCs w:val="24"/>
        </w:rPr>
        <w:t xml:space="preserve"> this backdrop, the Ninth Circuit rejected the district court’s conclusion that, “to adequately plead loss causation, the shareholders had to identify an additional disclosure that confirmed the truth of [the] allegations” in the corrective disclosure. </w:t>
      </w:r>
      <w:r w:rsidRPr="002B283E">
        <w:rPr>
          <w:rFonts w:eastAsia="Times New Roman" w:cs="Times New Roman"/>
          <w:i/>
          <w:iCs/>
          <w:szCs w:val="24"/>
        </w:rPr>
        <w:t xml:space="preserve">Id. </w:t>
      </w:r>
      <w:r w:rsidRPr="002B283E">
        <w:rPr>
          <w:rFonts w:eastAsia="Times New Roman" w:cs="Times New Roman"/>
          <w:szCs w:val="24"/>
        </w:rPr>
        <w:t xml:space="preserve">at 792. Rather, the court noted that “short of an admission by the defendant or a formal finding of fraud—neither of which is required—any corrective disclosure will necessarily take the form of contestable allegations of wrongdoing.” </w:t>
      </w:r>
      <w:r w:rsidRPr="002B283E">
        <w:rPr>
          <w:rFonts w:eastAsia="Times New Roman" w:cs="Times New Roman"/>
          <w:i/>
          <w:iCs/>
          <w:szCs w:val="24"/>
        </w:rPr>
        <w:t xml:space="preserve">Id. </w:t>
      </w:r>
      <w:r w:rsidRPr="002B283E">
        <w:rPr>
          <w:rFonts w:eastAsia="Times New Roman" w:cs="Times New Roman"/>
          <w:szCs w:val="24"/>
        </w:rPr>
        <w:t xml:space="preserve">(citations omitted). Although the “plaintiff must, of course, prove that the defendant’s misstatements were false, . . . that can be done through proof other than the corrective disclosure itself.” </w:t>
      </w:r>
      <w:r w:rsidRPr="002B283E">
        <w:rPr>
          <w:rFonts w:eastAsia="Times New Roman" w:cs="Times New Roman"/>
          <w:i/>
          <w:iCs/>
          <w:szCs w:val="24"/>
        </w:rPr>
        <w:t>Id.</w:t>
      </w:r>
    </w:p>
    <w:p w14:paraId="6A8C3922"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2078CD68" w14:textId="77777777" w:rsidR="00867EC4" w:rsidRPr="002B283E" w:rsidRDefault="00867EC4" w:rsidP="00867EC4">
      <w:pPr>
        <w:pStyle w:val="Heading2"/>
      </w:pPr>
      <w:r w:rsidRPr="002B283E">
        <w:br w:type="page"/>
      </w:r>
      <w:bookmarkStart w:id="469" w:name="_Toc196481980"/>
      <w:bookmarkStart w:id="470" w:name="_Toc221525351"/>
      <w:r w:rsidRPr="002B283E">
        <w:lastRenderedPageBreak/>
        <w:t>18.9 Securities—Damages</w:t>
      </w:r>
      <w:bookmarkEnd w:id="469"/>
      <w:bookmarkEnd w:id="470"/>
    </w:p>
    <w:p w14:paraId="556CD284" w14:textId="77777777" w:rsidR="00867EC4" w:rsidRPr="002B283E" w:rsidRDefault="00867EC4" w:rsidP="00867EC4">
      <w:pPr>
        <w:rPr>
          <w:rFonts w:cs="Times New Roman"/>
          <w:szCs w:val="24"/>
        </w:rPr>
      </w:pPr>
    </w:p>
    <w:p w14:paraId="4AD4F39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for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on the 10b-5 claim, then you must consider and decide the amount of money damages, if any, to be awarded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You may award only actual damages in an amount that will reasonably and fairly compensate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for the economic loss [he] [she] [</w:t>
      </w:r>
      <w:r w:rsidRPr="002B283E">
        <w:rPr>
          <w:rFonts w:cs="Times New Roman"/>
          <w:i/>
          <w:iCs/>
          <w:szCs w:val="24"/>
          <w:u w:val="single"/>
        </w:rPr>
        <w:t>other pronoun</w:t>
      </w:r>
      <w:r w:rsidRPr="002B283E">
        <w:rPr>
          <w:rFonts w:cs="Times New Roman"/>
          <w:szCs w:val="24"/>
        </w:rPr>
        <w:t xml:space="preserve">] sustained. Your award must be based on evidence and not upon speculation, guesswork, or conjecture.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damages by a preponderance of the evidence.</w:t>
      </w:r>
    </w:p>
    <w:p w14:paraId="66918EF7" w14:textId="77777777" w:rsidR="00867EC4" w:rsidRPr="002B283E" w:rsidRDefault="00867EC4" w:rsidP="00867EC4">
      <w:pPr>
        <w:rPr>
          <w:rFonts w:cs="Times New Roman"/>
          <w:szCs w:val="24"/>
        </w:rPr>
      </w:pPr>
    </w:p>
    <w:p w14:paraId="792692E3"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57DE03A7" w14:textId="77777777" w:rsidR="00867EC4" w:rsidRPr="002B283E" w:rsidRDefault="00867EC4" w:rsidP="00867EC4">
      <w:pPr>
        <w:rPr>
          <w:rFonts w:cs="Times New Roman"/>
          <w:szCs w:val="24"/>
        </w:rPr>
      </w:pPr>
    </w:p>
    <w:p w14:paraId="7B3EFACD" w14:textId="2D6F490F"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Section 10(b) claims for damages are governed by Section 28(a)</w:t>
      </w:r>
      <w:r w:rsidR="00304537">
        <w:rPr>
          <w:rFonts w:cs="Times New Roman"/>
          <w:szCs w:val="24"/>
        </w:rPr>
        <w:t xml:space="preserve"> of the 1934 Act</w:t>
      </w:r>
      <w:r w:rsidRPr="002B283E">
        <w:rPr>
          <w:rFonts w:cs="Times New Roman"/>
          <w:szCs w:val="24"/>
        </w:rPr>
        <w:t xml:space="preserve">, which limits all claims brought under the </w:t>
      </w:r>
      <w:r w:rsidR="00304537">
        <w:rPr>
          <w:rFonts w:cs="Times New Roman"/>
          <w:szCs w:val="24"/>
        </w:rPr>
        <w:t>1934</w:t>
      </w:r>
      <w:r w:rsidRPr="002B283E">
        <w:rPr>
          <w:rFonts w:cs="Times New Roman"/>
          <w:szCs w:val="24"/>
        </w:rPr>
        <w:t xml:space="preserve"> Act to actual damages. </w:t>
      </w:r>
      <w:r w:rsidRPr="002B283E">
        <w:rPr>
          <w:rFonts w:cs="Times New Roman"/>
          <w:i/>
          <w:iCs/>
          <w:szCs w:val="24"/>
        </w:rPr>
        <w:t xml:space="preserve">See </w:t>
      </w:r>
      <w:r w:rsidRPr="002B283E">
        <w:rPr>
          <w:rFonts w:cs="Times New Roman"/>
          <w:szCs w:val="24"/>
        </w:rPr>
        <w:t xml:space="preserve">15 U.S.C. § 78bb(a) (providing that no person maintaining a suit for damages under the </w:t>
      </w:r>
      <w:r w:rsidR="00304537">
        <w:rPr>
          <w:rFonts w:cs="Times New Roman"/>
          <w:szCs w:val="24"/>
        </w:rPr>
        <w:t>1934</w:t>
      </w:r>
      <w:r w:rsidRPr="002B283E">
        <w:rPr>
          <w:rFonts w:cs="Times New Roman"/>
          <w:szCs w:val="24"/>
        </w:rPr>
        <w:t xml:space="preserve"> Act may recover “a total amount in excess of </w:t>
      </w:r>
      <w:r w:rsidR="00304537">
        <w:rPr>
          <w:rFonts w:cs="Times New Roman"/>
          <w:szCs w:val="24"/>
        </w:rPr>
        <w:t>[</w:t>
      </w:r>
      <w:r w:rsidRPr="002B283E">
        <w:rPr>
          <w:rFonts w:cs="Times New Roman"/>
          <w:szCs w:val="24"/>
        </w:rPr>
        <w:t>his</w:t>
      </w:r>
      <w:r w:rsidR="00304537">
        <w:rPr>
          <w:rFonts w:cs="Times New Roman"/>
          <w:szCs w:val="24"/>
        </w:rPr>
        <w:t>]</w:t>
      </w:r>
      <w:r w:rsidRPr="002B283E">
        <w:rPr>
          <w:rFonts w:cs="Times New Roman"/>
          <w:szCs w:val="24"/>
        </w:rPr>
        <w:t xml:space="preserve"> actual damages”); </w:t>
      </w:r>
      <w:r w:rsidRPr="002B283E">
        <w:rPr>
          <w:rFonts w:cs="Times New Roman"/>
          <w:i/>
          <w:iCs/>
          <w:szCs w:val="24"/>
        </w:rPr>
        <w:t>Randall v. Loftsgaarden</w:t>
      </w:r>
      <w:r w:rsidRPr="002B283E">
        <w:rPr>
          <w:rFonts w:cs="Times New Roman"/>
          <w:szCs w:val="24"/>
        </w:rPr>
        <w:t>, 478 U.S. 647, 661-62 (1986).</w:t>
      </w:r>
    </w:p>
    <w:p w14:paraId="3A288235" w14:textId="77777777" w:rsidR="00867EC4" w:rsidRPr="002B283E" w:rsidRDefault="00867EC4" w:rsidP="00867EC4">
      <w:pPr>
        <w:numPr>
          <w:ilvl w:val="12"/>
          <w:numId w:val="0"/>
        </w:numPr>
        <w:autoSpaceDE w:val="0"/>
        <w:autoSpaceDN w:val="0"/>
        <w:adjustRightInd w:val="0"/>
        <w:rPr>
          <w:rFonts w:cs="Times New Roman"/>
          <w:szCs w:val="24"/>
        </w:rPr>
      </w:pPr>
    </w:p>
    <w:p w14:paraId="3F180F49" w14:textId="4DAF5FF8"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 . . . The district court may apply a rescissory measure of damages in appropriate circumstances.” </w:t>
      </w:r>
      <w:r w:rsidRPr="002B283E">
        <w:rPr>
          <w:rFonts w:cs="Times New Roman"/>
          <w:i/>
          <w:iCs/>
          <w:szCs w:val="24"/>
        </w:rPr>
        <w:t>Ambassador Hotel Co., Ltd. v. Wei-Chuan Inv.</w:t>
      </w:r>
      <w:r w:rsidRPr="002B283E">
        <w:rPr>
          <w:rFonts w:cs="Times New Roman"/>
          <w:szCs w:val="24"/>
        </w:rPr>
        <w:t xml:space="preserve">, 189 F.3d 1017, 1030 (9th Cir. 1999) (citing </w:t>
      </w:r>
      <w:r w:rsidRPr="002B283E">
        <w:rPr>
          <w:rFonts w:cs="Times New Roman"/>
          <w:i/>
          <w:iCs/>
          <w:szCs w:val="24"/>
        </w:rPr>
        <w:t>DCD Programs v. Leighton</w:t>
      </w:r>
      <w:r w:rsidRPr="002B283E">
        <w:rPr>
          <w:rFonts w:cs="Times New Roman"/>
          <w:szCs w:val="24"/>
        </w:rPr>
        <w:t>, 90 F.3d 1442, 1449 (9th Cir. 1996)). The Supreme Court’s decision in</w:t>
      </w:r>
      <w:r w:rsidRPr="002B283E">
        <w:rPr>
          <w:rFonts w:cs="Times New Roman"/>
          <w:i/>
          <w:iCs/>
          <w:szCs w:val="24"/>
        </w:rPr>
        <w:t xml:space="preserve"> Dura Pharmaceuticals, Inc. v. Broudo, </w:t>
      </w:r>
      <w:r w:rsidRPr="002B283E">
        <w:rPr>
          <w:rFonts w:cs="Times New Roman"/>
          <w:szCs w:val="24"/>
        </w:rPr>
        <w:t xml:space="preserve">544 U.S. 336 (2005), highlights the difficulty in framing an instruction premised on a theory that the price on the date of purchase was inflated because of a misrepresentation. </w:t>
      </w:r>
      <w:r w:rsidRPr="002B283E">
        <w:rPr>
          <w:rFonts w:cs="Times New Roman"/>
          <w:i/>
          <w:iCs/>
          <w:szCs w:val="24"/>
        </w:rPr>
        <w:t>See</w:t>
      </w:r>
      <w:r w:rsidRPr="002B283E">
        <w:rPr>
          <w:rFonts w:cs="Times New Roman"/>
          <w:szCs w:val="24"/>
        </w:rPr>
        <w:t xml:space="preserve"> Comment to Instruction 18.8 (Securities—Causation). Comparable difficulties could arise when there are several different transaction dates or multiple plaintiffs, or when the lawsuit is brought as a class action</w:t>
      </w:r>
      <w:r w:rsidR="00E54E76">
        <w:rPr>
          <w:rFonts w:cs="Times New Roman"/>
          <w:szCs w:val="24"/>
        </w:rPr>
        <w:t xml:space="preserve">. </w:t>
      </w:r>
      <w:r w:rsidRPr="002B283E">
        <w:rPr>
          <w:rFonts w:cs="Times New Roman"/>
          <w:szCs w:val="24"/>
        </w:rPr>
        <w:t>In such cases, computations based on average prices during the applicable trading period might prove necessary.</w:t>
      </w:r>
    </w:p>
    <w:p w14:paraId="190F29CE" w14:textId="77777777" w:rsidR="00867EC4" w:rsidRPr="002B283E" w:rsidRDefault="00867EC4" w:rsidP="00867EC4">
      <w:pPr>
        <w:numPr>
          <w:ilvl w:val="12"/>
          <w:numId w:val="0"/>
        </w:numPr>
        <w:autoSpaceDE w:val="0"/>
        <w:autoSpaceDN w:val="0"/>
        <w:adjustRightInd w:val="0"/>
        <w:rPr>
          <w:rFonts w:cs="Times New Roman"/>
          <w:szCs w:val="24"/>
        </w:rPr>
      </w:pPr>
    </w:p>
    <w:p w14:paraId="75C385D8"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Because of the above-described complications, expert testimony is often used when calculating damages in 10b-5 actions. </w:t>
      </w:r>
      <w:r w:rsidRPr="002B283E">
        <w:rPr>
          <w:rFonts w:cs="Times New Roman"/>
          <w:i/>
          <w:iCs/>
          <w:szCs w:val="24"/>
        </w:rPr>
        <w:t>See In re Imperial Credit Indus., Inc. Sec. Litig.</w:t>
      </w:r>
      <w:r w:rsidRPr="002B283E">
        <w:rPr>
          <w:rFonts w:cs="Times New Roman"/>
          <w:szCs w:val="24"/>
        </w:rPr>
        <w:t xml:space="preserve">, 252 F. Supp. 2d 1005, 1014-15 (C.D. Cal. 2003); </w:t>
      </w:r>
      <w:r w:rsidRPr="002B283E">
        <w:rPr>
          <w:rFonts w:cs="Times New Roman"/>
          <w:i/>
          <w:iCs/>
          <w:szCs w:val="24"/>
        </w:rPr>
        <w:t xml:space="preserve">In re Oracle Sec. Litig., </w:t>
      </w:r>
      <w:r w:rsidRPr="002B283E">
        <w:rPr>
          <w:rFonts w:cs="Times New Roman"/>
          <w:szCs w:val="24"/>
        </w:rPr>
        <w:t>829 F. Supp. 1176, 1181 (N.D. Cal. 1993).</w:t>
      </w:r>
    </w:p>
    <w:p w14:paraId="68F2B0A5" w14:textId="77777777" w:rsidR="00867EC4" w:rsidRPr="002B283E" w:rsidRDefault="00867EC4" w:rsidP="00867EC4">
      <w:pPr>
        <w:numPr>
          <w:ilvl w:val="12"/>
          <w:numId w:val="0"/>
        </w:numPr>
        <w:autoSpaceDE w:val="0"/>
        <w:autoSpaceDN w:val="0"/>
        <w:adjustRightInd w:val="0"/>
        <w:rPr>
          <w:rFonts w:cs="Times New Roman"/>
          <w:szCs w:val="24"/>
        </w:rPr>
      </w:pPr>
    </w:p>
    <w:p w14:paraId="416F897A"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6EF9D77F" w14:textId="77777777" w:rsidR="00867EC4" w:rsidRPr="002B283E" w:rsidRDefault="00867EC4" w:rsidP="00867EC4">
      <w:pPr>
        <w:pStyle w:val="Heading2"/>
      </w:pPr>
      <w:r w:rsidRPr="002B283E">
        <w:br w:type="page"/>
      </w:r>
      <w:bookmarkStart w:id="471" w:name="_Toc196481981"/>
      <w:bookmarkStart w:id="472" w:name="_Toc221525352"/>
      <w:r w:rsidRPr="002B283E">
        <w:lastRenderedPageBreak/>
        <w:t>18.10 Securities—Controlling Person Liability</w:t>
      </w:r>
      <w:bookmarkEnd w:id="471"/>
      <w:bookmarkEnd w:id="472"/>
    </w:p>
    <w:p w14:paraId="01CD1C99" w14:textId="77777777" w:rsidR="00867EC4" w:rsidRPr="002B283E" w:rsidRDefault="00867EC4" w:rsidP="00867EC4">
      <w:pPr>
        <w:rPr>
          <w:rFonts w:cs="Times New Roman"/>
          <w:szCs w:val="24"/>
        </w:rPr>
      </w:pPr>
    </w:p>
    <w:p w14:paraId="34CEDDF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Under the Securities Exchange Act of 1934, a defendant may be liable if during the period that someone else defrauded the plaintiff, the defendant had the authority to control that person or company.</w:t>
      </w:r>
    </w:p>
    <w:p w14:paraId="7F272CE4" w14:textId="77777777" w:rsidR="00867EC4" w:rsidRPr="002B283E" w:rsidRDefault="00867EC4" w:rsidP="00867EC4">
      <w:pPr>
        <w:numPr>
          <w:ilvl w:val="12"/>
          <w:numId w:val="0"/>
        </w:numPr>
        <w:autoSpaceDE w:val="0"/>
        <w:autoSpaceDN w:val="0"/>
        <w:adjustRightInd w:val="0"/>
        <w:rPr>
          <w:rFonts w:cs="Times New Roman"/>
          <w:szCs w:val="24"/>
        </w:rPr>
      </w:pPr>
    </w:p>
    <w:p w14:paraId="1CF232F2"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claims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is a controlling person and is therefore liable under the securities laws. On this claim,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by a preponderance of the evidence that the defendant [</w:t>
      </w:r>
      <w:r w:rsidRPr="002B283E">
        <w:rPr>
          <w:rFonts w:cs="Times New Roman"/>
          <w:i/>
          <w:iCs/>
          <w:szCs w:val="24"/>
          <w:u w:val="single"/>
        </w:rPr>
        <w:t>identify the alleged controlling person</w:t>
      </w:r>
      <w:r w:rsidRPr="002B283E">
        <w:rPr>
          <w:rFonts w:cs="Times New Roman"/>
          <w:szCs w:val="24"/>
        </w:rPr>
        <w:t>] possessed, directly or indirectly, the actual power to direct or cause the direction of the management and policies of [</w:t>
      </w:r>
      <w:r w:rsidRPr="002B283E">
        <w:rPr>
          <w:rFonts w:cs="Times New Roman"/>
          <w:i/>
          <w:iCs/>
          <w:szCs w:val="24"/>
          <w:u w:val="single"/>
        </w:rPr>
        <w:t>identify the alleged controlled person</w:t>
      </w:r>
      <w:r w:rsidRPr="002B283E">
        <w:rPr>
          <w:rFonts w:cs="Times New Roman"/>
          <w:szCs w:val="24"/>
        </w:rPr>
        <w:t>].</w:t>
      </w:r>
    </w:p>
    <w:p w14:paraId="12993B2B" w14:textId="77777777" w:rsidR="00867EC4" w:rsidRPr="002B283E" w:rsidRDefault="00867EC4" w:rsidP="00867EC4">
      <w:pPr>
        <w:rPr>
          <w:rFonts w:cs="Times New Roman"/>
          <w:szCs w:val="24"/>
        </w:rPr>
      </w:pPr>
    </w:p>
    <w:p w14:paraId="1B7F9E84"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9F0E2C8" w14:textId="77777777" w:rsidR="00867EC4" w:rsidRPr="002B283E" w:rsidRDefault="00867EC4" w:rsidP="00867EC4">
      <w:pPr>
        <w:rPr>
          <w:rFonts w:cs="Times New Roman"/>
          <w:szCs w:val="24"/>
        </w:rPr>
      </w:pPr>
    </w:p>
    <w:p w14:paraId="7938C84D" w14:textId="6F89F6E8"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304537">
        <w:rPr>
          <w:rFonts w:cs="Times New Roman"/>
          <w:szCs w:val="24"/>
        </w:rPr>
        <w:t xml:space="preserve">See </w:t>
      </w:r>
      <w:r w:rsidRPr="002B283E">
        <w:rPr>
          <w:rFonts w:cs="Times New Roman"/>
          <w:szCs w:val="24"/>
        </w:rPr>
        <w:t xml:space="preserve">Instruction 18.1 (Securities—Purpose and </w:t>
      </w:r>
      <w:r w:rsidR="00304537">
        <w:rPr>
          <w:rFonts w:cs="Times New Roman"/>
          <w:szCs w:val="24"/>
        </w:rPr>
        <w:t xml:space="preserve">Selected </w:t>
      </w:r>
      <w:r w:rsidRPr="002B283E">
        <w:rPr>
          <w:rFonts w:cs="Times New Roman"/>
          <w:szCs w:val="24"/>
        </w:rPr>
        <w:t>Definitions) for the definition of “controlling person.”</w:t>
      </w:r>
    </w:p>
    <w:p w14:paraId="12693447" w14:textId="77777777" w:rsidR="00867EC4" w:rsidRPr="002B283E" w:rsidRDefault="00867EC4" w:rsidP="00867EC4">
      <w:pPr>
        <w:numPr>
          <w:ilvl w:val="12"/>
          <w:numId w:val="0"/>
        </w:numPr>
        <w:autoSpaceDE w:val="0"/>
        <w:autoSpaceDN w:val="0"/>
        <w:adjustRightInd w:val="0"/>
        <w:rPr>
          <w:rFonts w:cs="Times New Roman"/>
          <w:szCs w:val="24"/>
        </w:rPr>
      </w:pPr>
    </w:p>
    <w:p w14:paraId="69073679" w14:textId="02465F4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Section 20(a) of the Securities Exchange Act of 1934 provides that “controlling persons” can be vicariously liable for 10b-5 violations. </w:t>
      </w:r>
      <w:r w:rsidRPr="002B283E">
        <w:rPr>
          <w:rFonts w:cs="Times New Roman"/>
          <w:i/>
          <w:iCs/>
          <w:szCs w:val="24"/>
        </w:rPr>
        <w:t>See</w:t>
      </w:r>
      <w:r w:rsidRPr="002B283E">
        <w:rPr>
          <w:rFonts w:cs="Times New Roman"/>
          <w:szCs w:val="24"/>
        </w:rPr>
        <w:t xml:space="preserve"> 15 U.S.C. § 78t(a) (discussing liability of controlling persons); 17 C.F.R. § 230.405 (defining “control”); </w:t>
      </w:r>
      <w:r w:rsidRPr="002B283E">
        <w:rPr>
          <w:rFonts w:cs="Times New Roman"/>
          <w:i/>
          <w:iCs/>
          <w:szCs w:val="24"/>
        </w:rPr>
        <w:t>Hollinger v. Titan Capital Corp.</w:t>
      </w:r>
      <w:r w:rsidRPr="002B283E">
        <w:rPr>
          <w:rFonts w:cs="Times New Roman"/>
          <w:szCs w:val="24"/>
        </w:rPr>
        <w:t>, 914 F.2d 1564, 1578 (9th Cir. 1990) (en banc) (holding that broker-dealer is “controlling person” within meaning of 1934 Act and could be liable for its stockbroker-employee’s conduct, even if broker-dealer and stockbroker contractually agreed that stockbroker would be independent contractor)</w:t>
      </w:r>
      <w:r w:rsidR="00304537">
        <w:rPr>
          <w:rFonts w:cs="Times New Roman"/>
          <w:szCs w:val="24"/>
        </w:rPr>
        <w:t>;</w:t>
      </w:r>
      <w:r w:rsidRPr="002B283E">
        <w:rPr>
          <w:rFonts w:cs="Times New Roman"/>
          <w:szCs w:val="24"/>
        </w:rPr>
        <w:t xml:space="preserve"> </w:t>
      </w:r>
      <w:r w:rsidR="00304537">
        <w:rPr>
          <w:rFonts w:cs="Times New Roman"/>
          <w:i/>
          <w:iCs/>
          <w:szCs w:val="24"/>
        </w:rPr>
        <w:t>s</w:t>
      </w:r>
      <w:r w:rsidRPr="002B283E">
        <w:rPr>
          <w:rFonts w:cs="Times New Roman"/>
          <w:i/>
          <w:iCs/>
          <w:szCs w:val="24"/>
        </w:rPr>
        <w:t>ee also</w:t>
      </w:r>
      <w:r w:rsidRPr="002B283E">
        <w:rPr>
          <w:rFonts w:cs="Times New Roman"/>
          <w:szCs w:val="24"/>
        </w:rPr>
        <w:t xml:space="preserve"> </w:t>
      </w:r>
      <w:r w:rsidRPr="002B283E">
        <w:rPr>
          <w:rFonts w:cs="Times New Roman"/>
          <w:i/>
          <w:iCs/>
          <w:szCs w:val="24"/>
        </w:rPr>
        <w:t>No. 84 Empl’r-Teamster Joint Council Pension Trust Fund v. Am. W. Holding Corp</w:t>
      </w:r>
      <w:r w:rsidRPr="002B283E">
        <w:rPr>
          <w:rFonts w:cs="Times New Roman"/>
          <w:szCs w:val="24"/>
        </w:rPr>
        <w:t>., 320 F.3d 920, 945 (9th Cir. 2003) (discussing traditional indicia of “control”).</w:t>
      </w:r>
    </w:p>
    <w:p w14:paraId="54C1A004" w14:textId="77777777" w:rsidR="00867EC4" w:rsidRPr="002B283E" w:rsidRDefault="00867EC4" w:rsidP="00867EC4">
      <w:pPr>
        <w:numPr>
          <w:ilvl w:val="12"/>
          <w:numId w:val="0"/>
        </w:numPr>
        <w:autoSpaceDE w:val="0"/>
        <w:autoSpaceDN w:val="0"/>
        <w:adjustRightInd w:val="0"/>
        <w:rPr>
          <w:rFonts w:cs="Times New Roman"/>
          <w:szCs w:val="24"/>
        </w:rPr>
      </w:pPr>
    </w:p>
    <w:p w14:paraId="23248E0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18.11 (Securities—Good Faith Defense to Controlling Person Liability).</w:t>
      </w:r>
    </w:p>
    <w:p w14:paraId="4C6A3EF8" w14:textId="77777777" w:rsidR="00867EC4" w:rsidRPr="002B283E" w:rsidRDefault="00867EC4" w:rsidP="00867EC4">
      <w:pPr>
        <w:numPr>
          <w:ilvl w:val="12"/>
          <w:numId w:val="0"/>
        </w:numPr>
        <w:autoSpaceDE w:val="0"/>
        <w:autoSpaceDN w:val="0"/>
        <w:adjustRightInd w:val="0"/>
        <w:rPr>
          <w:rFonts w:cs="Times New Roman"/>
          <w:szCs w:val="24"/>
        </w:rPr>
      </w:pPr>
    </w:p>
    <w:p w14:paraId="22FE9D6B" w14:textId="6288083C"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It may be necessary to supplement this instruction with instructions regarding respondent superior liability. </w:t>
      </w:r>
      <w:r w:rsidRPr="002B283E">
        <w:rPr>
          <w:rFonts w:cs="Times New Roman"/>
          <w:i/>
          <w:iCs/>
          <w:szCs w:val="24"/>
        </w:rPr>
        <w:t>See</w:t>
      </w:r>
      <w:r w:rsidRPr="002B283E">
        <w:rPr>
          <w:rFonts w:cs="Times New Roman"/>
          <w:szCs w:val="24"/>
        </w:rPr>
        <w:t xml:space="preserve"> Instructions 4.4 (Agent and Principal—Definition); 4.5 (Agent—Scope of Authority Defined); 4.8 (Act of Agent </w:t>
      </w:r>
      <w:r w:rsidR="00304537">
        <w:rPr>
          <w:rFonts w:cs="Times New Roman"/>
          <w:szCs w:val="24"/>
        </w:rPr>
        <w:t>i</w:t>
      </w:r>
      <w:r w:rsidRPr="002B283E">
        <w:rPr>
          <w:rFonts w:cs="Times New Roman"/>
          <w:szCs w:val="24"/>
        </w:rPr>
        <w:t>s Act of Principal—Scope of Authority Not in Issue); 4.9 (Both Principal and Agent Sued—No Issue as to Agency or Authority); 4.10 (Principal Sued but Not Agent—No Issue as to Agency or Authority); 4.11 (Both Principal and Agent Sued—Agency or Authority Denied); and 4.12 (Principal Sued</w:t>
      </w:r>
      <w:r w:rsidR="00304537">
        <w:rPr>
          <w:rFonts w:cs="Times New Roman"/>
          <w:szCs w:val="24"/>
        </w:rPr>
        <w:t xml:space="preserve"> </w:t>
      </w:r>
      <w:r w:rsidRPr="002B283E">
        <w:rPr>
          <w:rFonts w:cs="Times New Roman"/>
          <w:szCs w:val="24"/>
        </w:rPr>
        <w:t>but Not Agent—Agency or Authority Denied).</w:t>
      </w:r>
    </w:p>
    <w:p w14:paraId="1CE9C5E0" w14:textId="77777777" w:rsidR="00867EC4" w:rsidRPr="002B283E" w:rsidRDefault="00867EC4" w:rsidP="00867EC4">
      <w:pPr>
        <w:numPr>
          <w:ilvl w:val="12"/>
          <w:numId w:val="0"/>
        </w:numPr>
        <w:autoSpaceDE w:val="0"/>
        <w:autoSpaceDN w:val="0"/>
        <w:adjustRightInd w:val="0"/>
        <w:rPr>
          <w:rFonts w:cs="Times New Roman"/>
          <w:szCs w:val="24"/>
        </w:rPr>
      </w:pPr>
    </w:p>
    <w:p w14:paraId="4F58D819"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1E6719FD" w14:textId="77777777" w:rsidR="00867EC4" w:rsidRPr="002B283E" w:rsidRDefault="00867EC4" w:rsidP="00867EC4">
      <w:pPr>
        <w:pStyle w:val="Heading2"/>
      </w:pPr>
      <w:r w:rsidRPr="002B283E">
        <w:br w:type="page"/>
      </w:r>
      <w:bookmarkStart w:id="473" w:name="_Toc196481982"/>
      <w:bookmarkStart w:id="474" w:name="_Toc221525353"/>
      <w:r w:rsidRPr="002B283E">
        <w:lastRenderedPageBreak/>
        <w:t>18.11 Securities—Good Faith Defense to Controlling Person Liability</w:t>
      </w:r>
      <w:bookmarkEnd w:id="473"/>
      <w:bookmarkEnd w:id="474"/>
    </w:p>
    <w:p w14:paraId="745CCFC1" w14:textId="77777777" w:rsidR="00867EC4" w:rsidRPr="002B283E" w:rsidRDefault="00867EC4" w:rsidP="00867EC4">
      <w:pPr>
        <w:rPr>
          <w:rFonts w:cs="Times New Roman"/>
          <w:szCs w:val="24"/>
        </w:rPr>
      </w:pPr>
    </w:p>
    <w:p w14:paraId="279B1EF1" w14:textId="66390389"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contends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is not liable to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even if [he] [she] [</w:t>
      </w:r>
      <w:r w:rsidRPr="002B283E">
        <w:rPr>
          <w:rFonts w:cs="Times New Roman"/>
          <w:i/>
          <w:iCs/>
          <w:szCs w:val="24"/>
          <w:u w:val="single"/>
        </w:rPr>
        <w:t>other pronoun</w:t>
      </w:r>
      <w:r w:rsidRPr="002B283E">
        <w:rPr>
          <w:rFonts w:cs="Times New Roman"/>
          <w:szCs w:val="24"/>
        </w:rPr>
        <w:t>] was a controlling person because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did not induce the violation that led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economic injury and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acted in good faith.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each of the following two elements by a preponderance of the evidence:</w:t>
      </w:r>
    </w:p>
    <w:p w14:paraId="04FED8E6" w14:textId="77777777" w:rsidR="00867EC4" w:rsidRPr="002B283E" w:rsidRDefault="00867EC4" w:rsidP="00867EC4">
      <w:pPr>
        <w:numPr>
          <w:ilvl w:val="12"/>
          <w:numId w:val="0"/>
        </w:numPr>
        <w:autoSpaceDE w:val="0"/>
        <w:autoSpaceDN w:val="0"/>
        <w:adjustRightInd w:val="0"/>
        <w:rPr>
          <w:rFonts w:cs="Times New Roman"/>
          <w:szCs w:val="24"/>
        </w:rPr>
      </w:pPr>
    </w:p>
    <w:p w14:paraId="3FD39EC3"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did not directly or indirectly induce the violation; and</w:t>
      </w:r>
    </w:p>
    <w:p w14:paraId="347E62F3" w14:textId="77777777" w:rsidR="00867EC4" w:rsidRPr="002B283E" w:rsidRDefault="00867EC4" w:rsidP="00867EC4">
      <w:pPr>
        <w:numPr>
          <w:ilvl w:val="12"/>
          <w:numId w:val="0"/>
        </w:numPr>
        <w:autoSpaceDE w:val="0"/>
        <w:autoSpaceDN w:val="0"/>
        <w:adjustRightInd w:val="0"/>
        <w:rPr>
          <w:rFonts w:cs="Times New Roman"/>
          <w:szCs w:val="24"/>
        </w:rPr>
      </w:pPr>
    </w:p>
    <w:p w14:paraId="6FA6E262"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in good faith.</w:t>
      </w:r>
    </w:p>
    <w:p w14:paraId="7047CF32" w14:textId="77777777" w:rsidR="00867EC4" w:rsidRPr="002B283E" w:rsidRDefault="00867EC4" w:rsidP="00867EC4">
      <w:pPr>
        <w:numPr>
          <w:ilvl w:val="12"/>
          <w:numId w:val="0"/>
        </w:numPr>
        <w:autoSpaceDE w:val="0"/>
        <w:autoSpaceDN w:val="0"/>
        <w:adjustRightInd w:val="0"/>
        <w:rPr>
          <w:rFonts w:cs="Times New Roman"/>
          <w:szCs w:val="24"/>
        </w:rPr>
      </w:pPr>
    </w:p>
    <w:p w14:paraId="0DE4AC46"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can prove good faith only by establishing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maintained and enforced a reasonable and proper system of supervision and internal control.</w:t>
      </w:r>
    </w:p>
    <w:p w14:paraId="18B1BDB1" w14:textId="77777777" w:rsidR="00867EC4" w:rsidRPr="002B283E" w:rsidRDefault="00867EC4" w:rsidP="00867EC4">
      <w:pPr>
        <w:numPr>
          <w:ilvl w:val="12"/>
          <w:numId w:val="0"/>
        </w:numPr>
        <w:autoSpaceDE w:val="0"/>
        <w:autoSpaceDN w:val="0"/>
        <w:adjustRightInd w:val="0"/>
        <w:rPr>
          <w:rFonts w:cs="Times New Roman"/>
          <w:szCs w:val="24"/>
        </w:rPr>
      </w:pPr>
    </w:p>
    <w:p w14:paraId="75C6F4FB"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two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either of these elements (or both),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6CB13E89" w14:textId="77777777" w:rsidR="00867EC4" w:rsidRPr="002B283E" w:rsidRDefault="00867EC4" w:rsidP="00867EC4">
      <w:pPr>
        <w:rPr>
          <w:rFonts w:cs="Times New Roman"/>
          <w:szCs w:val="24"/>
        </w:rPr>
      </w:pPr>
    </w:p>
    <w:p w14:paraId="66B909A0"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63B322B4" w14:textId="77777777" w:rsidR="00867EC4" w:rsidRPr="002B283E" w:rsidRDefault="00867EC4" w:rsidP="00867EC4">
      <w:pPr>
        <w:rPr>
          <w:rFonts w:cs="Times New Roman"/>
          <w:szCs w:val="24"/>
        </w:rPr>
      </w:pPr>
    </w:p>
    <w:p w14:paraId="6A473C96" w14:textId="21471CC1"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78t(a) (Section 20(a) of the 1934 Act </w:t>
      </w:r>
      <w:r w:rsidR="00304537">
        <w:rPr>
          <w:rFonts w:cs="Times New Roman"/>
          <w:szCs w:val="24"/>
        </w:rPr>
        <w:t>(providing that a “controlling person” is liable “unless [he] acted in good faith and did not directly or indirectly induce the act or acts constituting the violation or cause of aciotion”);</w:t>
      </w:r>
      <w:r w:rsidRPr="002B283E">
        <w:rPr>
          <w:rFonts w:cs="Times New Roman"/>
          <w:szCs w:val="24"/>
        </w:rPr>
        <w:t xml:space="preserve"> </w:t>
      </w:r>
      <w:r w:rsidRPr="002B283E">
        <w:rPr>
          <w:rFonts w:cs="Times New Roman"/>
          <w:i/>
          <w:iCs/>
          <w:szCs w:val="24"/>
        </w:rPr>
        <w:t>Hollinger v. Titan Capital Corp.</w:t>
      </w:r>
      <w:r w:rsidRPr="002B283E">
        <w:rPr>
          <w:rFonts w:cs="Times New Roman"/>
          <w:szCs w:val="24"/>
        </w:rPr>
        <w:t>, 914 F.2d 1564, 1575-76 (9th Cir. 1990) (en banc) (holding that defendant has burden of establishing good faith).</w:t>
      </w:r>
    </w:p>
    <w:p w14:paraId="49EC4798" w14:textId="77777777" w:rsidR="00867EC4" w:rsidRPr="002B283E" w:rsidRDefault="00867EC4" w:rsidP="00867EC4">
      <w:pPr>
        <w:numPr>
          <w:ilvl w:val="12"/>
          <w:numId w:val="0"/>
        </w:numPr>
        <w:autoSpaceDE w:val="0"/>
        <w:autoSpaceDN w:val="0"/>
        <w:adjustRightInd w:val="0"/>
        <w:rPr>
          <w:rFonts w:cs="Times New Roman"/>
          <w:szCs w:val="24"/>
        </w:rPr>
      </w:pPr>
    </w:p>
    <w:p w14:paraId="08836ACA" w14:textId="77777777" w:rsidR="00867EC4" w:rsidRPr="002B283E" w:rsidRDefault="00867EC4" w:rsidP="00867EC4">
      <w:pPr>
        <w:jc w:val="right"/>
        <w:rPr>
          <w:rFonts w:cs="Times New Roman"/>
          <w:i/>
          <w:iCs/>
          <w:szCs w:val="24"/>
        </w:rPr>
      </w:pPr>
      <w:r w:rsidRPr="002B283E">
        <w:rPr>
          <w:rFonts w:cs="Times New Roman"/>
          <w:i/>
          <w:iCs/>
          <w:szCs w:val="24"/>
        </w:rPr>
        <w:t>Revised September 2024</w:t>
      </w:r>
    </w:p>
    <w:p w14:paraId="00C3B929" w14:textId="77777777" w:rsidR="00867EC4" w:rsidRDefault="00867EC4" w:rsidP="00842D3D">
      <w:pPr>
        <w:rPr>
          <w:rFonts w:cs="Times New Roman"/>
          <w:szCs w:val="24"/>
        </w:rPr>
      </w:pPr>
    </w:p>
    <w:p w14:paraId="3DE28BA3" w14:textId="77777777" w:rsidR="00C250E6" w:rsidRPr="00842D3D" w:rsidRDefault="00C250E6" w:rsidP="00842D3D">
      <w:pPr>
        <w:rPr>
          <w:rFonts w:cs="Times New Roman"/>
          <w:szCs w:val="24"/>
        </w:rPr>
      </w:pPr>
    </w:p>
    <w:sectPr w:rsidR="00C250E6" w:rsidRPr="00842D3D" w:rsidSect="00650AA4">
      <w:footerReference w:type="default" r:id="rId27"/>
      <w:pgSz w:w="12240" w:h="15840"/>
      <w:pgMar w:top="1350" w:right="1440" w:bottom="1170" w:left="1440" w:header="144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9091" w14:textId="77777777" w:rsidR="00E26E17" w:rsidRDefault="00E26E17" w:rsidP="006A4CD7">
      <w:r>
        <w:separator/>
      </w:r>
    </w:p>
  </w:endnote>
  <w:endnote w:type="continuationSeparator" w:id="0">
    <w:p w14:paraId="2055A9BF" w14:textId="77777777" w:rsidR="00E26E17" w:rsidRDefault="00E26E17"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058A" w14:textId="77777777" w:rsidR="007476B8" w:rsidRDefault="007476B8">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31976"/>
      <w:docPartObj>
        <w:docPartGallery w:val="Page Numbers (Bottom of Page)"/>
        <w:docPartUnique/>
      </w:docPartObj>
    </w:sdtPr>
    <w:sdtEndPr>
      <w:rPr>
        <w:noProof/>
      </w:rPr>
    </w:sdtEndPr>
    <w:sdtContent>
      <w:p w14:paraId="63F7542F" w14:textId="77777777" w:rsidR="004C11D0" w:rsidRDefault="004C1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5852A" w14:textId="77777777" w:rsidR="004C11D0" w:rsidRDefault="004C11D0">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10399"/>
      <w:docPartObj>
        <w:docPartGallery w:val="Page Numbers (Bottom of Page)"/>
        <w:docPartUnique/>
      </w:docPartObj>
    </w:sdtPr>
    <w:sdtEndPr>
      <w:rPr>
        <w:noProof/>
      </w:rPr>
    </w:sdtEndPr>
    <w:sdtContent>
      <w:p w14:paraId="6BA86D53" w14:textId="11CAC58F" w:rsidR="008D0E8E" w:rsidRDefault="008D0E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53965" w14:textId="77777777" w:rsidR="00BF7C90" w:rsidRDefault="00BF7C90">
    <w:pPr>
      <w:spacing w:line="19" w:lineRule="auto"/>
      <w:rPr>
        <w:i/>
        <w:iC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295530"/>
      <w:docPartObj>
        <w:docPartGallery w:val="Page Numbers (Bottom of Page)"/>
        <w:docPartUnique/>
      </w:docPartObj>
    </w:sdtPr>
    <w:sdtEndPr>
      <w:rPr>
        <w:noProof/>
      </w:rPr>
    </w:sdtEndPr>
    <w:sdtContent>
      <w:p w14:paraId="5CBCC111"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50479585" w14:textId="77777777" w:rsidR="00842D3D" w:rsidRDefault="00842D3D">
    <w:pPr>
      <w:spacing w:line="19" w:lineRule="auto"/>
      <w:rPr>
        <w:i/>
        <w:iCs/>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94976"/>
      <w:docPartObj>
        <w:docPartGallery w:val="Page Numbers (Bottom of Page)"/>
        <w:docPartUnique/>
      </w:docPartObj>
    </w:sdtPr>
    <w:sdtEndPr>
      <w:rPr>
        <w:noProof/>
      </w:rPr>
    </w:sdtEndPr>
    <w:sdtContent>
      <w:p w14:paraId="63A08A02"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20DB4CC4" w14:textId="77777777" w:rsidR="00842D3D" w:rsidRDefault="00842D3D">
    <w:pPr>
      <w:spacing w:line="19" w:lineRule="auto"/>
      <w:rPr>
        <w:i/>
        <w:iCs/>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7289"/>
      <w:docPartObj>
        <w:docPartGallery w:val="Page Numbers (Bottom of Page)"/>
        <w:docPartUnique/>
      </w:docPartObj>
    </w:sdtPr>
    <w:sdtEndPr>
      <w:rPr>
        <w:noProof/>
      </w:rPr>
    </w:sdtEndPr>
    <w:sdtContent>
      <w:p w14:paraId="1CFCA3E4" w14:textId="7A08BEB5" w:rsidR="0077423A" w:rsidRDefault="007742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600F" w14:textId="77777777" w:rsidR="004627E7" w:rsidRDefault="004627E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BE16" w14:textId="77777777" w:rsidR="00E26E17" w:rsidRDefault="00E26E17" w:rsidP="006A4CD7">
      <w:r>
        <w:separator/>
      </w:r>
    </w:p>
  </w:footnote>
  <w:footnote w:type="continuationSeparator" w:id="0">
    <w:p w14:paraId="17D6251B" w14:textId="77777777" w:rsidR="00E26E17" w:rsidRDefault="00E26E17"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B2F09"/>
    <w:multiLevelType w:val="hybridMultilevel"/>
    <w:tmpl w:val="23026ACA"/>
    <w:lvl w:ilvl="0" w:tplc="3F421B56">
      <w:start w:val="1"/>
      <w:numFmt w:val="decimal"/>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4" w15:restartNumberingAfterBreak="0">
    <w:nsid w:val="2182392D"/>
    <w:multiLevelType w:val="hybridMultilevel"/>
    <w:tmpl w:val="B2FCE1E6"/>
    <w:lvl w:ilvl="0" w:tplc="80FCCD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8"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9"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11" w15:restartNumberingAfterBreak="0">
    <w:nsid w:val="466D0CB2"/>
    <w:multiLevelType w:val="hybridMultilevel"/>
    <w:tmpl w:val="3672FA98"/>
    <w:lvl w:ilvl="0" w:tplc="D57A49C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3"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4" w15:restartNumberingAfterBreak="0">
    <w:nsid w:val="492D05D9"/>
    <w:multiLevelType w:val="hybridMultilevel"/>
    <w:tmpl w:val="7B061A92"/>
    <w:lvl w:ilvl="0" w:tplc="17660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7"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24"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7"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8D612E"/>
    <w:multiLevelType w:val="hybridMultilevel"/>
    <w:tmpl w:val="42DAF2E0"/>
    <w:lvl w:ilvl="0" w:tplc="78748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0"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5"/>
  </w:num>
  <w:num w:numId="2" w16cid:durableId="2112436109">
    <w:abstractNumId w:val="0"/>
  </w:num>
  <w:num w:numId="3" w16cid:durableId="1119107638">
    <w:abstractNumId w:val="6"/>
  </w:num>
  <w:num w:numId="4" w16cid:durableId="1307078575">
    <w:abstractNumId w:val="21"/>
  </w:num>
  <w:num w:numId="5" w16cid:durableId="690956781">
    <w:abstractNumId w:val="17"/>
  </w:num>
  <w:num w:numId="6" w16cid:durableId="1498035859">
    <w:abstractNumId w:val="1"/>
  </w:num>
  <w:num w:numId="7" w16cid:durableId="278412168">
    <w:abstractNumId w:val="30"/>
  </w:num>
  <w:num w:numId="8" w16cid:durableId="1491171852">
    <w:abstractNumId w:val="25"/>
  </w:num>
  <w:num w:numId="9" w16cid:durableId="97330965">
    <w:abstractNumId w:val="12"/>
  </w:num>
  <w:num w:numId="10" w16cid:durableId="1913736727">
    <w:abstractNumId w:val="13"/>
  </w:num>
  <w:num w:numId="11" w16cid:durableId="961571553">
    <w:abstractNumId w:val="8"/>
  </w:num>
  <w:num w:numId="12" w16cid:durableId="1148983626">
    <w:abstractNumId w:val="23"/>
  </w:num>
  <w:num w:numId="13" w16cid:durableId="1758209689">
    <w:abstractNumId w:val="16"/>
  </w:num>
  <w:num w:numId="14" w16cid:durableId="1025473959">
    <w:abstractNumId w:val="24"/>
  </w:num>
  <w:num w:numId="15" w16cid:durableId="1413429274">
    <w:abstractNumId w:val="18"/>
  </w:num>
  <w:num w:numId="16" w16cid:durableId="214657989">
    <w:abstractNumId w:val="9"/>
  </w:num>
  <w:num w:numId="17" w16cid:durableId="614219342">
    <w:abstractNumId w:val="10"/>
  </w:num>
  <w:num w:numId="18" w16cid:durableId="701244718">
    <w:abstractNumId w:val="29"/>
  </w:num>
  <w:num w:numId="19" w16cid:durableId="1397699471">
    <w:abstractNumId w:val="5"/>
  </w:num>
  <w:num w:numId="20" w16cid:durableId="1155343885">
    <w:abstractNumId w:val="27"/>
  </w:num>
  <w:num w:numId="21" w16cid:durableId="416445744">
    <w:abstractNumId w:val="7"/>
  </w:num>
  <w:num w:numId="22" w16cid:durableId="379591364">
    <w:abstractNumId w:val="26"/>
  </w:num>
  <w:num w:numId="23" w16cid:durableId="1876112775">
    <w:abstractNumId w:val="2"/>
  </w:num>
  <w:num w:numId="24" w16cid:durableId="1704331055">
    <w:abstractNumId w:val="22"/>
  </w:num>
  <w:num w:numId="25" w16cid:durableId="1381587166">
    <w:abstractNumId w:val="20"/>
  </w:num>
  <w:num w:numId="26" w16cid:durableId="126633123">
    <w:abstractNumId w:val="19"/>
  </w:num>
  <w:num w:numId="27" w16cid:durableId="374472811">
    <w:abstractNumId w:val="4"/>
  </w:num>
  <w:num w:numId="28" w16cid:durableId="1136482800">
    <w:abstractNumId w:val="14"/>
  </w:num>
  <w:num w:numId="29" w16cid:durableId="794180322">
    <w:abstractNumId w:val="3"/>
  </w:num>
  <w:num w:numId="30" w16cid:durableId="1210151027">
    <w:abstractNumId w:val="28"/>
  </w:num>
  <w:num w:numId="31" w16cid:durableId="1075784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ABB"/>
    <w:rsid w:val="000076B3"/>
    <w:rsid w:val="00007AB0"/>
    <w:rsid w:val="0001015B"/>
    <w:rsid w:val="00011BE1"/>
    <w:rsid w:val="00011EAA"/>
    <w:rsid w:val="00013716"/>
    <w:rsid w:val="00013BF6"/>
    <w:rsid w:val="0001407E"/>
    <w:rsid w:val="000211A5"/>
    <w:rsid w:val="00021943"/>
    <w:rsid w:val="00021D2C"/>
    <w:rsid w:val="000223D5"/>
    <w:rsid w:val="00026A7C"/>
    <w:rsid w:val="0003024C"/>
    <w:rsid w:val="00030A67"/>
    <w:rsid w:val="000324A7"/>
    <w:rsid w:val="000326F0"/>
    <w:rsid w:val="00032E52"/>
    <w:rsid w:val="00033197"/>
    <w:rsid w:val="00033B9C"/>
    <w:rsid w:val="00033D65"/>
    <w:rsid w:val="00033F68"/>
    <w:rsid w:val="000344D8"/>
    <w:rsid w:val="000351DD"/>
    <w:rsid w:val="00035BB5"/>
    <w:rsid w:val="00046A0C"/>
    <w:rsid w:val="00047AF1"/>
    <w:rsid w:val="00050272"/>
    <w:rsid w:val="00051E1F"/>
    <w:rsid w:val="00052E93"/>
    <w:rsid w:val="00054C59"/>
    <w:rsid w:val="00055ADB"/>
    <w:rsid w:val="00055FF7"/>
    <w:rsid w:val="000562A8"/>
    <w:rsid w:val="00056B50"/>
    <w:rsid w:val="00056FA2"/>
    <w:rsid w:val="00057DBF"/>
    <w:rsid w:val="00060129"/>
    <w:rsid w:val="0006064C"/>
    <w:rsid w:val="00060AA0"/>
    <w:rsid w:val="0006372B"/>
    <w:rsid w:val="0006431A"/>
    <w:rsid w:val="00065125"/>
    <w:rsid w:val="00066C51"/>
    <w:rsid w:val="000712BD"/>
    <w:rsid w:val="00080483"/>
    <w:rsid w:val="00080C60"/>
    <w:rsid w:val="00084D42"/>
    <w:rsid w:val="0008651C"/>
    <w:rsid w:val="00087380"/>
    <w:rsid w:val="00087D1A"/>
    <w:rsid w:val="00090E02"/>
    <w:rsid w:val="00090F56"/>
    <w:rsid w:val="00091376"/>
    <w:rsid w:val="00091767"/>
    <w:rsid w:val="000935B1"/>
    <w:rsid w:val="00094957"/>
    <w:rsid w:val="00095C33"/>
    <w:rsid w:val="00097D5D"/>
    <w:rsid w:val="000A06FE"/>
    <w:rsid w:val="000A16ED"/>
    <w:rsid w:val="000A27BF"/>
    <w:rsid w:val="000A337A"/>
    <w:rsid w:val="000A57EB"/>
    <w:rsid w:val="000A7855"/>
    <w:rsid w:val="000A7C5A"/>
    <w:rsid w:val="000A7F6E"/>
    <w:rsid w:val="000B0E5F"/>
    <w:rsid w:val="000B1AED"/>
    <w:rsid w:val="000B3998"/>
    <w:rsid w:val="000C08E5"/>
    <w:rsid w:val="000C152D"/>
    <w:rsid w:val="000C3B9B"/>
    <w:rsid w:val="000C514A"/>
    <w:rsid w:val="000C5EAE"/>
    <w:rsid w:val="000C7AE0"/>
    <w:rsid w:val="000C7DD3"/>
    <w:rsid w:val="000D40F1"/>
    <w:rsid w:val="000D448B"/>
    <w:rsid w:val="000D4BCA"/>
    <w:rsid w:val="000D51C7"/>
    <w:rsid w:val="000D51E3"/>
    <w:rsid w:val="000D6A2C"/>
    <w:rsid w:val="000D6B73"/>
    <w:rsid w:val="000D6C1C"/>
    <w:rsid w:val="000E0311"/>
    <w:rsid w:val="000E1173"/>
    <w:rsid w:val="000E122C"/>
    <w:rsid w:val="000E2701"/>
    <w:rsid w:val="000E3139"/>
    <w:rsid w:val="000E67A3"/>
    <w:rsid w:val="000E7E5D"/>
    <w:rsid w:val="000E7F54"/>
    <w:rsid w:val="000F1393"/>
    <w:rsid w:val="000F1EF1"/>
    <w:rsid w:val="000F2C8D"/>
    <w:rsid w:val="000F2DED"/>
    <w:rsid w:val="000F3B17"/>
    <w:rsid w:val="000F49AD"/>
    <w:rsid w:val="000F55A9"/>
    <w:rsid w:val="000F7DD8"/>
    <w:rsid w:val="001007C2"/>
    <w:rsid w:val="00104A0B"/>
    <w:rsid w:val="001055BC"/>
    <w:rsid w:val="00106329"/>
    <w:rsid w:val="00106E72"/>
    <w:rsid w:val="0011266E"/>
    <w:rsid w:val="001134F0"/>
    <w:rsid w:val="0011532E"/>
    <w:rsid w:val="00115371"/>
    <w:rsid w:val="00115816"/>
    <w:rsid w:val="00120380"/>
    <w:rsid w:val="00120458"/>
    <w:rsid w:val="001240DB"/>
    <w:rsid w:val="001244AD"/>
    <w:rsid w:val="001255DB"/>
    <w:rsid w:val="001257A6"/>
    <w:rsid w:val="00125E73"/>
    <w:rsid w:val="0012796E"/>
    <w:rsid w:val="001279D1"/>
    <w:rsid w:val="00130A1C"/>
    <w:rsid w:val="0013238A"/>
    <w:rsid w:val="0013409D"/>
    <w:rsid w:val="00135045"/>
    <w:rsid w:val="00137962"/>
    <w:rsid w:val="00141CA4"/>
    <w:rsid w:val="001426C9"/>
    <w:rsid w:val="001427EF"/>
    <w:rsid w:val="00142840"/>
    <w:rsid w:val="00142CEB"/>
    <w:rsid w:val="001440DD"/>
    <w:rsid w:val="001444C7"/>
    <w:rsid w:val="00144B53"/>
    <w:rsid w:val="00144F6C"/>
    <w:rsid w:val="00145D74"/>
    <w:rsid w:val="0015107E"/>
    <w:rsid w:val="0015267E"/>
    <w:rsid w:val="0015741F"/>
    <w:rsid w:val="00160ACD"/>
    <w:rsid w:val="00161048"/>
    <w:rsid w:val="00163288"/>
    <w:rsid w:val="00165092"/>
    <w:rsid w:val="001654C5"/>
    <w:rsid w:val="001707F1"/>
    <w:rsid w:val="001737FC"/>
    <w:rsid w:val="00176376"/>
    <w:rsid w:val="00177034"/>
    <w:rsid w:val="001823C7"/>
    <w:rsid w:val="00182F3F"/>
    <w:rsid w:val="001830F7"/>
    <w:rsid w:val="00192ACD"/>
    <w:rsid w:val="00193BE8"/>
    <w:rsid w:val="001940D2"/>
    <w:rsid w:val="0019446F"/>
    <w:rsid w:val="00194F9E"/>
    <w:rsid w:val="0019596F"/>
    <w:rsid w:val="001973F3"/>
    <w:rsid w:val="00197473"/>
    <w:rsid w:val="00197C8B"/>
    <w:rsid w:val="001A12F3"/>
    <w:rsid w:val="001A1D0E"/>
    <w:rsid w:val="001A2CD3"/>
    <w:rsid w:val="001A3D65"/>
    <w:rsid w:val="001A71E8"/>
    <w:rsid w:val="001A7835"/>
    <w:rsid w:val="001A7F69"/>
    <w:rsid w:val="001B02D8"/>
    <w:rsid w:val="001B08B2"/>
    <w:rsid w:val="001B1547"/>
    <w:rsid w:val="001B2B85"/>
    <w:rsid w:val="001B38A3"/>
    <w:rsid w:val="001B574A"/>
    <w:rsid w:val="001B5F75"/>
    <w:rsid w:val="001B6116"/>
    <w:rsid w:val="001B65D2"/>
    <w:rsid w:val="001B6F82"/>
    <w:rsid w:val="001C1D68"/>
    <w:rsid w:val="001C5DA7"/>
    <w:rsid w:val="001C75AD"/>
    <w:rsid w:val="001D04E0"/>
    <w:rsid w:val="001D0770"/>
    <w:rsid w:val="001D0FCD"/>
    <w:rsid w:val="001D1EFB"/>
    <w:rsid w:val="001D3190"/>
    <w:rsid w:val="001D31A6"/>
    <w:rsid w:val="001D3CCE"/>
    <w:rsid w:val="001D4322"/>
    <w:rsid w:val="001D564E"/>
    <w:rsid w:val="001D5CAF"/>
    <w:rsid w:val="001D64F2"/>
    <w:rsid w:val="001D66B5"/>
    <w:rsid w:val="001D7B51"/>
    <w:rsid w:val="001E1AF4"/>
    <w:rsid w:val="001E2A2A"/>
    <w:rsid w:val="001E57FE"/>
    <w:rsid w:val="001E5B3C"/>
    <w:rsid w:val="001E694C"/>
    <w:rsid w:val="001E7F42"/>
    <w:rsid w:val="001F342E"/>
    <w:rsid w:val="0020002F"/>
    <w:rsid w:val="00200FDE"/>
    <w:rsid w:val="002010E1"/>
    <w:rsid w:val="00203C7D"/>
    <w:rsid w:val="002057C7"/>
    <w:rsid w:val="00207B39"/>
    <w:rsid w:val="002124C0"/>
    <w:rsid w:val="00216445"/>
    <w:rsid w:val="00216574"/>
    <w:rsid w:val="0022049B"/>
    <w:rsid w:val="002213C7"/>
    <w:rsid w:val="00223463"/>
    <w:rsid w:val="00225065"/>
    <w:rsid w:val="0022766E"/>
    <w:rsid w:val="0023071A"/>
    <w:rsid w:val="00230B4B"/>
    <w:rsid w:val="00230DF6"/>
    <w:rsid w:val="002338C3"/>
    <w:rsid w:val="00233EE5"/>
    <w:rsid w:val="00234FAE"/>
    <w:rsid w:val="002378BF"/>
    <w:rsid w:val="00240080"/>
    <w:rsid w:val="00240C44"/>
    <w:rsid w:val="00241BC8"/>
    <w:rsid w:val="0024291D"/>
    <w:rsid w:val="0024377D"/>
    <w:rsid w:val="00244716"/>
    <w:rsid w:val="002466D8"/>
    <w:rsid w:val="00250B52"/>
    <w:rsid w:val="00250C82"/>
    <w:rsid w:val="0025441A"/>
    <w:rsid w:val="0025465E"/>
    <w:rsid w:val="0025499C"/>
    <w:rsid w:val="00254E49"/>
    <w:rsid w:val="00257C0C"/>
    <w:rsid w:val="00261E17"/>
    <w:rsid w:val="0026567A"/>
    <w:rsid w:val="00266A85"/>
    <w:rsid w:val="00272C47"/>
    <w:rsid w:val="0027387C"/>
    <w:rsid w:val="00276ADA"/>
    <w:rsid w:val="002776EB"/>
    <w:rsid w:val="002777D7"/>
    <w:rsid w:val="002779D0"/>
    <w:rsid w:val="002811F4"/>
    <w:rsid w:val="00281918"/>
    <w:rsid w:val="00282E8F"/>
    <w:rsid w:val="002846A2"/>
    <w:rsid w:val="00286FD6"/>
    <w:rsid w:val="00290ECB"/>
    <w:rsid w:val="00293F6D"/>
    <w:rsid w:val="002A1F13"/>
    <w:rsid w:val="002A2264"/>
    <w:rsid w:val="002A2692"/>
    <w:rsid w:val="002A2C18"/>
    <w:rsid w:val="002A3DCE"/>
    <w:rsid w:val="002A3FAF"/>
    <w:rsid w:val="002A4399"/>
    <w:rsid w:val="002A485A"/>
    <w:rsid w:val="002B0859"/>
    <w:rsid w:val="002B1D90"/>
    <w:rsid w:val="002B283E"/>
    <w:rsid w:val="002B3F77"/>
    <w:rsid w:val="002B66F3"/>
    <w:rsid w:val="002B728E"/>
    <w:rsid w:val="002B7F7F"/>
    <w:rsid w:val="002C06A8"/>
    <w:rsid w:val="002C511B"/>
    <w:rsid w:val="002D2BCD"/>
    <w:rsid w:val="002D3473"/>
    <w:rsid w:val="002D3E69"/>
    <w:rsid w:val="002D5216"/>
    <w:rsid w:val="002D54E4"/>
    <w:rsid w:val="002E1434"/>
    <w:rsid w:val="002E292E"/>
    <w:rsid w:val="002E471D"/>
    <w:rsid w:val="002E554E"/>
    <w:rsid w:val="002E58ED"/>
    <w:rsid w:val="002E6B7A"/>
    <w:rsid w:val="002E71F8"/>
    <w:rsid w:val="002E75B2"/>
    <w:rsid w:val="002F11A0"/>
    <w:rsid w:val="002F1238"/>
    <w:rsid w:val="002F1CAD"/>
    <w:rsid w:val="003005D1"/>
    <w:rsid w:val="00304537"/>
    <w:rsid w:val="00304C75"/>
    <w:rsid w:val="00304EF5"/>
    <w:rsid w:val="003055B7"/>
    <w:rsid w:val="00305894"/>
    <w:rsid w:val="00307F19"/>
    <w:rsid w:val="00310AD7"/>
    <w:rsid w:val="00310C4E"/>
    <w:rsid w:val="00311D9C"/>
    <w:rsid w:val="00312126"/>
    <w:rsid w:val="00312C1D"/>
    <w:rsid w:val="003137E9"/>
    <w:rsid w:val="00313A05"/>
    <w:rsid w:val="00315B5D"/>
    <w:rsid w:val="00317DA8"/>
    <w:rsid w:val="003210DD"/>
    <w:rsid w:val="003248FA"/>
    <w:rsid w:val="00326875"/>
    <w:rsid w:val="00327BCD"/>
    <w:rsid w:val="003320CA"/>
    <w:rsid w:val="00340019"/>
    <w:rsid w:val="00340ED3"/>
    <w:rsid w:val="0034178F"/>
    <w:rsid w:val="00342D99"/>
    <w:rsid w:val="00344CC9"/>
    <w:rsid w:val="00351D0C"/>
    <w:rsid w:val="0035216F"/>
    <w:rsid w:val="00352D49"/>
    <w:rsid w:val="00352F4B"/>
    <w:rsid w:val="003537FB"/>
    <w:rsid w:val="0035591E"/>
    <w:rsid w:val="00355DEE"/>
    <w:rsid w:val="003577F8"/>
    <w:rsid w:val="0036210A"/>
    <w:rsid w:val="00363DDF"/>
    <w:rsid w:val="0036428B"/>
    <w:rsid w:val="00365050"/>
    <w:rsid w:val="00365A24"/>
    <w:rsid w:val="00366940"/>
    <w:rsid w:val="00370F7C"/>
    <w:rsid w:val="00372617"/>
    <w:rsid w:val="00373F73"/>
    <w:rsid w:val="003755FC"/>
    <w:rsid w:val="003810EF"/>
    <w:rsid w:val="00381C17"/>
    <w:rsid w:val="00383184"/>
    <w:rsid w:val="00384267"/>
    <w:rsid w:val="0038616A"/>
    <w:rsid w:val="00390F54"/>
    <w:rsid w:val="003911AB"/>
    <w:rsid w:val="003911DF"/>
    <w:rsid w:val="00393A02"/>
    <w:rsid w:val="003964B4"/>
    <w:rsid w:val="003A034E"/>
    <w:rsid w:val="003A1908"/>
    <w:rsid w:val="003A5FFD"/>
    <w:rsid w:val="003A638F"/>
    <w:rsid w:val="003A73CA"/>
    <w:rsid w:val="003B01C3"/>
    <w:rsid w:val="003B0B44"/>
    <w:rsid w:val="003B0FEE"/>
    <w:rsid w:val="003B11C4"/>
    <w:rsid w:val="003B2008"/>
    <w:rsid w:val="003B237D"/>
    <w:rsid w:val="003B3D7E"/>
    <w:rsid w:val="003B55F8"/>
    <w:rsid w:val="003B64AB"/>
    <w:rsid w:val="003B6D40"/>
    <w:rsid w:val="003C27A3"/>
    <w:rsid w:val="003C4D66"/>
    <w:rsid w:val="003C5BDE"/>
    <w:rsid w:val="003C7E8A"/>
    <w:rsid w:val="003D212E"/>
    <w:rsid w:val="003D2312"/>
    <w:rsid w:val="003D4A5D"/>
    <w:rsid w:val="003E029C"/>
    <w:rsid w:val="003E1A97"/>
    <w:rsid w:val="003E3B69"/>
    <w:rsid w:val="003E4B35"/>
    <w:rsid w:val="003E5464"/>
    <w:rsid w:val="003E5741"/>
    <w:rsid w:val="003E5CD7"/>
    <w:rsid w:val="003F16AB"/>
    <w:rsid w:val="003F26D9"/>
    <w:rsid w:val="003F5049"/>
    <w:rsid w:val="003F763E"/>
    <w:rsid w:val="0040413E"/>
    <w:rsid w:val="00404174"/>
    <w:rsid w:val="00405812"/>
    <w:rsid w:val="00405819"/>
    <w:rsid w:val="00406877"/>
    <w:rsid w:val="00407179"/>
    <w:rsid w:val="00412566"/>
    <w:rsid w:val="00414F89"/>
    <w:rsid w:val="004153D5"/>
    <w:rsid w:val="004212B4"/>
    <w:rsid w:val="004272A6"/>
    <w:rsid w:val="00431998"/>
    <w:rsid w:val="00431AE8"/>
    <w:rsid w:val="00432687"/>
    <w:rsid w:val="00434F83"/>
    <w:rsid w:val="00441E89"/>
    <w:rsid w:val="00444428"/>
    <w:rsid w:val="00447004"/>
    <w:rsid w:val="00450287"/>
    <w:rsid w:val="00452449"/>
    <w:rsid w:val="0045297C"/>
    <w:rsid w:val="0045373A"/>
    <w:rsid w:val="00454361"/>
    <w:rsid w:val="00455B81"/>
    <w:rsid w:val="00460AFD"/>
    <w:rsid w:val="004627E7"/>
    <w:rsid w:val="004628AB"/>
    <w:rsid w:val="00464C2E"/>
    <w:rsid w:val="00474251"/>
    <w:rsid w:val="0047473E"/>
    <w:rsid w:val="00474D84"/>
    <w:rsid w:val="0048112D"/>
    <w:rsid w:val="004828BC"/>
    <w:rsid w:val="00483CB8"/>
    <w:rsid w:val="004841F3"/>
    <w:rsid w:val="00485251"/>
    <w:rsid w:val="004858CF"/>
    <w:rsid w:val="00487188"/>
    <w:rsid w:val="004876D5"/>
    <w:rsid w:val="00490580"/>
    <w:rsid w:val="00490ADC"/>
    <w:rsid w:val="00490B41"/>
    <w:rsid w:val="00492076"/>
    <w:rsid w:val="00495423"/>
    <w:rsid w:val="00496143"/>
    <w:rsid w:val="0049615D"/>
    <w:rsid w:val="00496196"/>
    <w:rsid w:val="004A0ACC"/>
    <w:rsid w:val="004A232A"/>
    <w:rsid w:val="004A3157"/>
    <w:rsid w:val="004A3302"/>
    <w:rsid w:val="004A4B85"/>
    <w:rsid w:val="004A4D6C"/>
    <w:rsid w:val="004A5EC1"/>
    <w:rsid w:val="004A6A24"/>
    <w:rsid w:val="004B0645"/>
    <w:rsid w:val="004B12C5"/>
    <w:rsid w:val="004B1F74"/>
    <w:rsid w:val="004B2A32"/>
    <w:rsid w:val="004B76D9"/>
    <w:rsid w:val="004C11D0"/>
    <w:rsid w:val="004C16AB"/>
    <w:rsid w:val="004C2377"/>
    <w:rsid w:val="004C5D62"/>
    <w:rsid w:val="004C6943"/>
    <w:rsid w:val="004C7074"/>
    <w:rsid w:val="004D3440"/>
    <w:rsid w:val="004D3956"/>
    <w:rsid w:val="004D3E7F"/>
    <w:rsid w:val="004D5B4F"/>
    <w:rsid w:val="004D6870"/>
    <w:rsid w:val="004D70E8"/>
    <w:rsid w:val="004D7A2B"/>
    <w:rsid w:val="004E1FB3"/>
    <w:rsid w:val="004E2859"/>
    <w:rsid w:val="004E3028"/>
    <w:rsid w:val="004E6C76"/>
    <w:rsid w:val="004F2DA0"/>
    <w:rsid w:val="004F39E6"/>
    <w:rsid w:val="004F6A3C"/>
    <w:rsid w:val="004F7C4B"/>
    <w:rsid w:val="00503C2A"/>
    <w:rsid w:val="00504029"/>
    <w:rsid w:val="0050434C"/>
    <w:rsid w:val="00507387"/>
    <w:rsid w:val="00507918"/>
    <w:rsid w:val="005167CA"/>
    <w:rsid w:val="00517316"/>
    <w:rsid w:val="00517AC5"/>
    <w:rsid w:val="00520A2D"/>
    <w:rsid w:val="0052176D"/>
    <w:rsid w:val="005228CF"/>
    <w:rsid w:val="00522A6E"/>
    <w:rsid w:val="00522ACE"/>
    <w:rsid w:val="00522DA3"/>
    <w:rsid w:val="0052361F"/>
    <w:rsid w:val="0052366F"/>
    <w:rsid w:val="005328CF"/>
    <w:rsid w:val="00533185"/>
    <w:rsid w:val="00535F4F"/>
    <w:rsid w:val="00540EBB"/>
    <w:rsid w:val="00541794"/>
    <w:rsid w:val="00542652"/>
    <w:rsid w:val="00543242"/>
    <w:rsid w:val="00543F82"/>
    <w:rsid w:val="00545512"/>
    <w:rsid w:val="00545AD5"/>
    <w:rsid w:val="005508B8"/>
    <w:rsid w:val="00550E56"/>
    <w:rsid w:val="00550F11"/>
    <w:rsid w:val="0055265D"/>
    <w:rsid w:val="00553523"/>
    <w:rsid w:val="0056102D"/>
    <w:rsid w:val="005663FC"/>
    <w:rsid w:val="00567281"/>
    <w:rsid w:val="00570179"/>
    <w:rsid w:val="00571472"/>
    <w:rsid w:val="005721C4"/>
    <w:rsid w:val="0057453A"/>
    <w:rsid w:val="00576D72"/>
    <w:rsid w:val="0058223E"/>
    <w:rsid w:val="0058487E"/>
    <w:rsid w:val="005861BA"/>
    <w:rsid w:val="005868E0"/>
    <w:rsid w:val="00590001"/>
    <w:rsid w:val="00591BCF"/>
    <w:rsid w:val="00591EE2"/>
    <w:rsid w:val="00592C15"/>
    <w:rsid w:val="00593078"/>
    <w:rsid w:val="005947CF"/>
    <w:rsid w:val="005B0AB0"/>
    <w:rsid w:val="005B187D"/>
    <w:rsid w:val="005B1CCE"/>
    <w:rsid w:val="005B242E"/>
    <w:rsid w:val="005B264C"/>
    <w:rsid w:val="005B2A44"/>
    <w:rsid w:val="005B2D15"/>
    <w:rsid w:val="005B2EE3"/>
    <w:rsid w:val="005B44DC"/>
    <w:rsid w:val="005B68AD"/>
    <w:rsid w:val="005B7AF8"/>
    <w:rsid w:val="005B7FD5"/>
    <w:rsid w:val="005C03B3"/>
    <w:rsid w:val="005C1103"/>
    <w:rsid w:val="005C3C87"/>
    <w:rsid w:val="005C4488"/>
    <w:rsid w:val="005D0CE2"/>
    <w:rsid w:val="005D2B6B"/>
    <w:rsid w:val="005D30BD"/>
    <w:rsid w:val="005D45F9"/>
    <w:rsid w:val="005D703C"/>
    <w:rsid w:val="005D71D9"/>
    <w:rsid w:val="005E066D"/>
    <w:rsid w:val="005E44B0"/>
    <w:rsid w:val="005E49D2"/>
    <w:rsid w:val="005E5766"/>
    <w:rsid w:val="005E6F8C"/>
    <w:rsid w:val="005E7632"/>
    <w:rsid w:val="005E7FC8"/>
    <w:rsid w:val="005F1850"/>
    <w:rsid w:val="005F1D45"/>
    <w:rsid w:val="005F3468"/>
    <w:rsid w:val="005F50EE"/>
    <w:rsid w:val="005F5786"/>
    <w:rsid w:val="00600001"/>
    <w:rsid w:val="006006B0"/>
    <w:rsid w:val="00601247"/>
    <w:rsid w:val="00601D10"/>
    <w:rsid w:val="00604299"/>
    <w:rsid w:val="00604F5E"/>
    <w:rsid w:val="0060759C"/>
    <w:rsid w:val="00612075"/>
    <w:rsid w:val="00612755"/>
    <w:rsid w:val="00612924"/>
    <w:rsid w:val="00615F0C"/>
    <w:rsid w:val="00616608"/>
    <w:rsid w:val="0062107B"/>
    <w:rsid w:val="0062185F"/>
    <w:rsid w:val="00622F00"/>
    <w:rsid w:val="00625593"/>
    <w:rsid w:val="0062729D"/>
    <w:rsid w:val="00627944"/>
    <w:rsid w:val="006317D5"/>
    <w:rsid w:val="00631860"/>
    <w:rsid w:val="0063214E"/>
    <w:rsid w:val="006329B7"/>
    <w:rsid w:val="006340B6"/>
    <w:rsid w:val="00635AE4"/>
    <w:rsid w:val="0063656B"/>
    <w:rsid w:val="00640916"/>
    <w:rsid w:val="00642190"/>
    <w:rsid w:val="006426F5"/>
    <w:rsid w:val="00644AB3"/>
    <w:rsid w:val="00644FC1"/>
    <w:rsid w:val="00646BCE"/>
    <w:rsid w:val="006474AD"/>
    <w:rsid w:val="00647C5B"/>
    <w:rsid w:val="00650AA4"/>
    <w:rsid w:val="00650D82"/>
    <w:rsid w:val="00650E15"/>
    <w:rsid w:val="006512C4"/>
    <w:rsid w:val="00654EC1"/>
    <w:rsid w:val="006561DF"/>
    <w:rsid w:val="006571F1"/>
    <w:rsid w:val="00661FB6"/>
    <w:rsid w:val="00662288"/>
    <w:rsid w:val="0066242B"/>
    <w:rsid w:val="006646B9"/>
    <w:rsid w:val="00664990"/>
    <w:rsid w:val="00665522"/>
    <w:rsid w:val="00667F40"/>
    <w:rsid w:val="00670853"/>
    <w:rsid w:val="00671B7F"/>
    <w:rsid w:val="006726EF"/>
    <w:rsid w:val="00672F4A"/>
    <w:rsid w:val="00673357"/>
    <w:rsid w:val="00675C35"/>
    <w:rsid w:val="00680444"/>
    <w:rsid w:val="006827F8"/>
    <w:rsid w:val="0068478E"/>
    <w:rsid w:val="00684EB3"/>
    <w:rsid w:val="006864E1"/>
    <w:rsid w:val="006871BE"/>
    <w:rsid w:val="0068795D"/>
    <w:rsid w:val="00691F40"/>
    <w:rsid w:val="006964C1"/>
    <w:rsid w:val="00696881"/>
    <w:rsid w:val="0069690C"/>
    <w:rsid w:val="006A060F"/>
    <w:rsid w:val="006A0C6D"/>
    <w:rsid w:val="006A18E5"/>
    <w:rsid w:val="006A4738"/>
    <w:rsid w:val="006A4968"/>
    <w:rsid w:val="006A4CD7"/>
    <w:rsid w:val="006A52A1"/>
    <w:rsid w:val="006A5328"/>
    <w:rsid w:val="006A543F"/>
    <w:rsid w:val="006A5DE5"/>
    <w:rsid w:val="006A620E"/>
    <w:rsid w:val="006A7600"/>
    <w:rsid w:val="006B011F"/>
    <w:rsid w:val="006B0657"/>
    <w:rsid w:val="006B1EEE"/>
    <w:rsid w:val="006B406E"/>
    <w:rsid w:val="006B4725"/>
    <w:rsid w:val="006B6C2A"/>
    <w:rsid w:val="006C1EA0"/>
    <w:rsid w:val="006C5F19"/>
    <w:rsid w:val="006C7969"/>
    <w:rsid w:val="006C7AFB"/>
    <w:rsid w:val="006D2D25"/>
    <w:rsid w:val="006D37FF"/>
    <w:rsid w:val="006D3AA0"/>
    <w:rsid w:val="006D5471"/>
    <w:rsid w:val="006E1796"/>
    <w:rsid w:val="006E1E3B"/>
    <w:rsid w:val="006E3EC6"/>
    <w:rsid w:val="006E47A6"/>
    <w:rsid w:val="006E4ED4"/>
    <w:rsid w:val="006E52B7"/>
    <w:rsid w:val="006E5F21"/>
    <w:rsid w:val="006E5FAF"/>
    <w:rsid w:val="006E65C6"/>
    <w:rsid w:val="006E71E6"/>
    <w:rsid w:val="006E79F5"/>
    <w:rsid w:val="006F0BA8"/>
    <w:rsid w:val="006F1E94"/>
    <w:rsid w:val="006F2409"/>
    <w:rsid w:val="006F2C2E"/>
    <w:rsid w:val="006F30E3"/>
    <w:rsid w:val="006F58C6"/>
    <w:rsid w:val="006F6B7D"/>
    <w:rsid w:val="006F7C25"/>
    <w:rsid w:val="00701CE7"/>
    <w:rsid w:val="00702E5F"/>
    <w:rsid w:val="007033F0"/>
    <w:rsid w:val="00703520"/>
    <w:rsid w:val="007057B1"/>
    <w:rsid w:val="00705887"/>
    <w:rsid w:val="00705A4B"/>
    <w:rsid w:val="00706613"/>
    <w:rsid w:val="00711209"/>
    <w:rsid w:val="007119EA"/>
    <w:rsid w:val="00713183"/>
    <w:rsid w:val="0071392B"/>
    <w:rsid w:val="007149A6"/>
    <w:rsid w:val="00715F19"/>
    <w:rsid w:val="007162E6"/>
    <w:rsid w:val="00716CD3"/>
    <w:rsid w:val="00717996"/>
    <w:rsid w:val="00720F3D"/>
    <w:rsid w:val="00722302"/>
    <w:rsid w:val="00730AA1"/>
    <w:rsid w:val="00730D51"/>
    <w:rsid w:val="00734276"/>
    <w:rsid w:val="0073585E"/>
    <w:rsid w:val="00736953"/>
    <w:rsid w:val="00736F64"/>
    <w:rsid w:val="00740DAB"/>
    <w:rsid w:val="00742DF3"/>
    <w:rsid w:val="00743ABA"/>
    <w:rsid w:val="00743D25"/>
    <w:rsid w:val="0074476C"/>
    <w:rsid w:val="00744B4D"/>
    <w:rsid w:val="00744FBE"/>
    <w:rsid w:val="007453CD"/>
    <w:rsid w:val="007476B8"/>
    <w:rsid w:val="0075143A"/>
    <w:rsid w:val="0075192D"/>
    <w:rsid w:val="00757C4A"/>
    <w:rsid w:val="00767E3F"/>
    <w:rsid w:val="00771873"/>
    <w:rsid w:val="007736F3"/>
    <w:rsid w:val="0077423A"/>
    <w:rsid w:val="00777F53"/>
    <w:rsid w:val="00780151"/>
    <w:rsid w:val="00780356"/>
    <w:rsid w:val="007805F8"/>
    <w:rsid w:val="00780AD7"/>
    <w:rsid w:val="00780DF7"/>
    <w:rsid w:val="00781B30"/>
    <w:rsid w:val="00781C62"/>
    <w:rsid w:val="0078216F"/>
    <w:rsid w:val="007847B8"/>
    <w:rsid w:val="00785181"/>
    <w:rsid w:val="00786205"/>
    <w:rsid w:val="00786C78"/>
    <w:rsid w:val="0079146D"/>
    <w:rsid w:val="00792314"/>
    <w:rsid w:val="00792E40"/>
    <w:rsid w:val="00793889"/>
    <w:rsid w:val="00794B48"/>
    <w:rsid w:val="00795CD1"/>
    <w:rsid w:val="00796150"/>
    <w:rsid w:val="007965C7"/>
    <w:rsid w:val="00796F33"/>
    <w:rsid w:val="007A009F"/>
    <w:rsid w:val="007A0652"/>
    <w:rsid w:val="007A143C"/>
    <w:rsid w:val="007A1E98"/>
    <w:rsid w:val="007A5AD2"/>
    <w:rsid w:val="007A5BA1"/>
    <w:rsid w:val="007A6519"/>
    <w:rsid w:val="007A6F07"/>
    <w:rsid w:val="007B19A2"/>
    <w:rsid w:val="007B1C2E"/>
    <w:rsid w:val="007B4F5B"/>
    <w:rsid w:val="007B5D02"/>
    <w:rsid w:val="007B6382"/>
    <w:rsid w:val="007B75B7"/>
    <w:rsid w:val="007C164D"/>
    <w:rsid w:val="007C2CBF"/>
    <w:rsid w:val="007C35D5"/>
    <w:rsid w:val="007C3D89"/>
    <w:rsid w:val="007C51B0"/>
    <w:rsid w:val="007C6C1F"/>
    <w:rsid w:val="007C6C52"/>
    <w:rsid w:val="007C7266"/>
    <w:rsid w:val="007C7623"/>
    <w:rsid w:val="007D0D33"/>
    <w:rsid w:val="007D27AF"/>
    <w:rsid w:val="007D2DBF"/>
    <w:rsid w:val="007E1C8E"/>
    <w:rsid w:val="007E2D61"/>
    <w:rsid w:val="007E3C3E"/>
    <w:rsid w:val="007E4510"/>
    <w:rsid w:val="007E6664"/>
    <w:rsid w:val="007F1E07"/>
    <w:rsid w:val="007F2776"/>
    <w:rsid w:val="007F6B0E"/>
    <w:rsid w:val="007F6F47"/>
    <w:rsid w:val="00801DE7"/>
    <w:rsid w:val="00802C1E"/>
    <w:rsid w:val="00802C7E"/>
    <w:rsid w:val="008055B2"/>
    <w:rsid w:val="0080594F"/>
    <w:rsid w:val="008069A5"/>
    <w:rsid w:val="0081011D"/>
    <w:rsid w:val="00810C1C"/>
    <w:rsid w:val="00812356"/>
    <w:rsid w:val="00813A7D"/>
    <w:rsid w:val="0081456F"/>
    <w:rsid w:val="00815DBD"/>
    <w:rsid w:val="008162F7"/>
    <w:rsid w:val="0081679E"/>
    <w:rsid w:val="00820D6D"/>
    <w:rsid w:val="008222CD"/>
    <w:rsid w:val="00822B01"/>
    <w:rsid w:val="00824AE5"/>
    <w:rsid w:val="008250FA"/>
    <w:rsid w:val="00825597"/>
    <w:rsid w:val="00825719"/>
    <w:rsid w:val="00825820"/>
    <w:rsid w:val="00826E03"/>
    <w:rsid w:val="00826E77"/>
    <w:rsid w:val="00826ED3"/>
    <w:rsid w:val="00826F33"/>
    <w:rsid w:val="00835077"/>
    <w:rsid w:val="00837158"/>
    <w:rsid w:val="0083791A"/>
    <w:rsid w:val="0084035B"/>
    <w:rsid w:val="00842D3D"/>
    <w:rsid w:val="00846648"/>
    <w:rsid w:val="0084728A"/>
    <w:rsid w:val="00850558"/>
    <w:rsid w:val="00850B97"/>
    <w:rsid w:val="00852F40"/>
    <w:rsid w:val="0085306D"/>
    <w:rsid w:val="00853816"/>
    <w:rsid w:val="008545FB"/>
    <w:rsid w:val="00857B78"/>
    <w:rsid w:val="0086014F"/>
    <w:rsid w:val="00860169"/>
    <w:rsid w:val="00861E15"/>
    <w:rsid w:val="00864568"/>
    <w:rsid w:val="00864D6D"/>
    <w:rsid w:val="00867578"/>
    <w:rsid w:val="00867EC4"/>
    <w:rsid w:val="0087201A"/>
    <w:rsid w:val="00873B2B"/>
    <w:rsid w:val="00873CEE"/>
    <w:rsid w:val="00876A43"/>
    <w:rsid w:val="00876CAA"/>
    <w:rsid w:val="008831F8"/>
    <w:rsid w:val="008838AC"/>
    <w:rsid w:val="00884569"/>
    <w:rsid w:val="008846C0"/>
    <w:rsid w:val="00884DFA"/>
    <w:rsid w:val="00885149"/>
    <w:rsid w:val="00885201"/>
    <w:rsid w:val="00886A9A"/>
    <w:rsid w:val="00887684"/>
    <w:rsid w:val="008908F0"/>
    <w:rsid w:val="00891243"/>
    <w:rsid w:val="00891D48"/>
    <w:rsid w:val="00893519"/>
    <w:rsid w:val="00893907"/>
    <w:rsid w:val="008942C0"/>
    <w:rsid w:val="008942D4"/>
    <w:rsid w:val="00896F44"/>
    <w:rsid w:val="00896F58"/>
    <w:rsid w:val="008973C0"/>
    <w:rsid w:val="008977FC"/>
    <w:rsid w:val="008A04C2"/>
    <w:rsid w:val="008A0B11"/>
    <w:rsid w:val="008A102A"/>
    <w:rsid w:val="008A1CC6"/>
    <w:rsid w:val="008A3759"/>
    <w:rsid w:val="008A3CE4"/>
    <w:rsid w:val="008A4937"/>
    <w:rsid w:val="008A5BAB"/>
    <w:rsid w:val="008A5E31"/>
    <w:rsid w:val="008B1461"/>
    <w:rsid w:val="008B1923"/>
    <w:rsid w:val="008B2F3A"/>
    <w:rsid w:val="008B5FFD"/>
    <w:rsid w:val="008C1157"/>
    <w:rsid w:val="008C15A4"/>
    <w:rsid w:val="008C1931"/>
    <w:rsid w:val="008C39DC"/>
    <w:rsid w:val="008C6FC0"/>
    <w:rsid w:val="008D0E8E"/>
    <w:rsid w:val="008D6FDD"/>
    <w:rsid w:val="008D73E1"/>
    <w:rsid w:val="008E0438"/>
    <w:rsid w:val="008E1EFA"/>
    <w:rsid w:val="008E2051"/>
    <w:rsid w:val="008E5DC5"/>
    <w:rsid w:val="008F18F8"/>
    <w:rsid w:val="008F2637"/>
    <w:rsid w:val="008F27C6"/>
    <w:rsid w:val="008F38F2"/>
    <w:rsid w:val="008F5159"/>
    <w:rsid w:val="008F5175"/>
    <w:rsid w:val="008F7348"/>
    <w:rsid w:val="008F79C7"/>
    <w:rsid w:val="00904073"/>
    <w:rsid w:val="00904FB0"/>
    <w:rsid w:val="0090770F"/>
    <w:rsid w:val="00911419"/>
    <w:rsid w:val="00911982"/>
    <w:rsid w:val="0091235E"/>
    <w:rsid w:val="009131FC"/>
    <w:rsid w:val="00913A3B"/>
    <w:rsid w:val="009149DD"/>
    <w:rsid w:val="00915CD2"/>
    <w:rsid w:val="00920016"/>
    <w:rsid w:val="00922594"/>
    <w:rsid w:val="0092282D"/>
    <w:rsid w:val="009229CC"/>
    <w:rsid w:val="00924443"/>
    <w:rsid w:val="00925213"/>
    <w:rsid w:val="00925543"/>
    <w:rsid w:val="009262BE"/>
    <w:rsid w:val="00926E8E"/>
    <w:rsid w:val="0092739B"/>
    <w:rsid w:val="00930C92"/>
    <w:rsid w:val="00930EA8"/>
    <w:rsid w:val="00932080"/>
    <w:rsid w:val="00933A96"/>
    <w:rsid w:val="00935958"/>
    <w:rsid w:val="00935E4C"/>
    <w:rsid w:val="00936321"/>
    <w:rsid w:val="009364F0"/>
    <w:rsid w:val="00936F07"/>
    <w:rsid w:val="00940648"/>
    <w:rsid w:val="00940C1C"/>
    <w:rsid w:val="009412F2"/>
    <w:rsid w:val="00942D23"/>
    <w:rsid w:val="009438FA"/>
    <w:rsid w:val="00943D49"/>
    <w:rsid w:val="00946331"/>
    <w:rsid w:val="00946AFD"/>
    <w:rsid w:val="00947EB1"/>
    <w:rsid w:val="009519FE"/>
    <w:rsid w:val="00953019"/>
    <w:rsid w:val="0095312F"/>
    <w:rsid w:val="0095324C"/>
    <w:rsid w:val="00957D4D"/>
    <w:rsid w:val="00960359"/>
    <w:rsid w:val="00960CF2"/>
    <w:rsid w:val="00962F67"/>
    <w:rsid w:val="00963CAC"/>
    <w:rsid w:val="00963D5C"/>
    <w:rsid w:val="00964CAD"/>
    <w:rsid w:val="00965272"/>
    <w:rsid w:val="009656C8"/>
    <w:rsid w:val="009731F5"/>
    <w:rsid w:val="00974780"/>
    <w:rsid w:val="00975533"/>
    <w:rsid w:val="00975875"/>
    <w:rsid w:val="009765DC"/>
    <w:rsid w:val="00977CD6"/>
    <w:rsid w:val="00980AC9"/>
    <w:rsid w:val="009818E2"/>
    <w:rsid w:val="00982483"/>
    <w:rsid w:val="00982B7E"/>
    <w:rsid w:val="00983578"/>
    <w:rsid w:val="00985032"/>
    <w:rsid w:val="00987376"/>
    <w:rsid w:val="009876AE"/>
    <w:rsid w:val="009910D2"/>
    <w:rsid w:val="0099407D"/>
    <w:rsid w:val="00994A1B"/>
    <w:rsid w:val="009958B1"/>
    <w:rsid w:val="00995DCA"/>
    <w:rsid w:val="009A0233"/>
    <w:rsid w:val="009A0A4E"/>
    <w:rsid w:val="009A0A8A"/>
    <w:rsid w:val="009A0F63"/>
    <w:rsid w:val="009A1BA3"/>
    <w:rsid w:val="009A1FE0"/>
    <w:rsid w:val="009A2054"/>
    <w:rsid w:val="009A3F8A"/>
    <w:rsid w:val="009B29BF"/>
    <w:rsid w:val="009B4915"/>
    <w:rsid w:val="009B4FCE"/>
    <w:rsid w:val="009C16EF"/>
    <w:rsid w:val="009C37DA"/>
    <w:rsid w:val="009C576E"/>
    <w:rsid w:val="009C6923"/>
    <w:rsid w:val="009D171C"/>
    <w:rsid w:val="009D36DA"/>
    <w:rsid w:val="009D51CD"/>
    <w:rsid w:val="009D528F"/>
    <w:rsid w:val="009E0119"/>
    <w:rsid w:val="009E1008"/>
    <w:rsid w:val="009E2215"/>
    <w:rsid w:val="009E5510"/>
    <w:rsid w:val="009E6EA1"/>
    <w:rsid w:val="009E6FE5"/>
    <w:rsid w:val="009E7299"/>
    <w:rsid w:val="009E7790"/>
    <w:rsid w:val="009F103E"/>
    <w:rsid w:val="009F3383"/>
    <w:rsid w:val="009F3DCA"/>
    <w:rsid w:val="009F4EB0"/>
    <w:rsid w:val="009F5495"/>
    <w:rsid w:val="009F5878"/>
    <w:rsid w:val="009F5B72"/>
    <w:rsid w:val="009F5B91"/>
    <w:rsid w:val="009F65D4"/>
    <w:rsid w:val="009F70BA"/>
    <w:rsid w:val="009F714C"/>
    <w:rsid w:val="009F7259"/>
    <w:rsid w:val="009F7397"/>
    <w:rsid w:val="00A00255"/>
    <w:rsid w:val="00A040AB"/>
    <w:rsid w:val="00A0443E"/>
    <w:rsid w:val="00A0466C"/>
    <w:rsid w:val="00A0721E"/>
    <w:rsid w:val="00A10A83"/>
    <w:rsid w:val="00A11833"/>
    <w:rsid w:val="00A11BF2"/>
    <w:rsid w:val="00A11FD1"/>
    <w:rsid w:val="00A13A0C"/>
    <w:rsid w:val="00A13BFE"/>
    <w:rsid w:val="00A13FD7"/>
    <w:rsid w:val="00A15A8F"/>
    <w:rsid w:val="00A2330E"/>
    <w:rsid w:val="00A2483D"/>
    <w:rsid w:val="00A24A9B"/>
    <w:rsid w:val="00A25782"/>
    <w:rsid w:val="00A270DC"/>
    <w:rsid w:val="00A278AD"/>
    <w:rsid w:val="00A27BAC"/>
    <w:rsid w:val="00A33BD6"/>
    <w:rsid w:val="00A34064"/>
    <w:rsid w:val="00A34435"/>
    <w:rsid w:val="00A35B30"/>
    <w:rsid w:val="00A37B5E"/>
    <w:rsid w:val="00A37F30"/>
    <w:rsid w:val="00A40046"/>
    <w:rsid w:val="00A40605"/>
    <w:rsid w:val="00A417C0"/>
    <w:rsid w:val="00A41A06"/>
    <w:rsid w:val="00A426F5"/>
    <w:rsid w:val="00A43708"/>
    <w:rsid w:val="00A46152"/>
    <w:rsid w:val="00A479A3"/>
    <w:rsid w:val="00A47B78"/>
    <w:rsid w:val="00A5003B"/>
    <w:rsid w:val="00A5664A"/>
    <w:rsid w:val="00A57FF2"/>
    <w:rsid w:val="00A609C7"/>
    <w:rsid w:val="00A62E53"/>
    <w:rsid w:val="00A644EF"/>
    <w:rsid w:val="00A7127A"/>
    <w:rsid w:val="00A7170C"/>
    <w:rsid w:val="00A730B0"/>
    <w:rsid w:val="00A73C55"/>
    <w:rsid w:val="00A74AA1"/>
    <w:rsid w:val="00A75731"/>
    <w:rsid w:val="00A75A60"/>
    <w:rsid w:val="00A7644E"/>
    <w:rsid w:val="00A80916"/>
    <w:rsid w:val="00A838B0"/>
    <w:rsid w:val="00A84283"/>
    <w:rsid w:val="00A85A19"/>
    <w:rsid w:val="00A85A1F"/>
    <w:rsid w:val="00A86C55"/>
    <w:rsid w:val="00A87F6E"/>
    <w:rsid w:val="00A90645"/>
    <w:rsid w:val="00A91B5C"/>
    <w:rsid w:val="00A971CB"/>
    <w:rsid w:val="00A97643"/>
    <w:rsid w:val="00A97A68"/>
    <w:rsid w:val="00A97DFA"/>
    <w:rsid w:val="00AA0331"/>
    <w:rsid w:val="00AA1CF0"/>
    <w:rsid w:val="00AA34E0"/>
    <w:rsid w:val="00AA499C"/>
    <w:rsid w:val="00AA7549"/>
    <w:rsid w:val="00AA7BEB"/>
    <w:rsid w:val="00AB3058"/>
    <w:rsid w:val="00AB31FA"/>
    <w:rsid w:val="00AB3963"/>
    <w:rsid w:val="00AB5E15"/>
    <w:rsid w:val="00AC0284"/>
    <w:rsid w:val="00AC3C72"/>
    <w:rsid w:val="00AC482A"/>
    <w:rsid w:val="00AC4D29"/>
    <w:rsid w:val="00AC4D99"/>
    <w:rsid w:val="00AD04FC"/>
    <w:rsid w:val="00AD0F70"/>
    <w:rsid w:val="00AD1595"/>
    <w:rsid w:val="00AD3029"/>
    <w:rsid w:val="00AD5242"/>
    <w:rsid w:val="00AD71EC"/>
    <w:rsid w:val="00AD736E"/>
    <w:rsid w:val="00AD7D04"/>
    <w:rsid w:val="00AE2059"/>
    <w:rsid w:val="00AE23FC"/>
    <w:rsid w:val="00AE4216"/>
    <w:rsid w:val="00AF067B"/>
    <w:rsid w:val="00AF0F6C"/>
    <w:rsid w:val="00AF2433"/>
    <w:rsid w:val="00AF3ABC"/>
    <w:rsid w:val="00AF42AD"/>
    <w:rsid w:val="00AF4B47"/>
    <w:rsid w:val="00AF4F91"/>
    <w:rsid w:val="00AF53FE"/>
    <w:rsid w:val="00AF5E6B"/>
    <w:rsid w:val="00B02671"/>
    <w:rsid w:val="00B0631D"/>
    <w:rsid w:val="00B073E1"/>
    <w:rsid w:val="00B10AE0"/>
    <w:rsid w:val="00B172A4"/>
    <w:rsid w:val="00B172C7"/>
    <w:rsid w:val="00B172F0"/>
    <w:rsid w:val="00B20E4B"/>
    <w:rsid w:val="00B2200B"/>
    <w:rsid w:val="00B25578"/>
    <w:rsid w:val="00B3092A"/>
    <w:rsid w:val="00B31718"/>
    <w:rsid w:val="00B31EA4"/>
    <w:rsid w:val="00B3204F"/>
    <w:rsid w:val="00B3575B"/>
    <w:rsid w:val="00B36216"/>
    <w:rsid w:val="00B36E08"/>
    <w:rsid w:val="00B37A12"/>
    <w:rsid w:val="00B405D9"/>
    <w:rsid w:val="00B442F7"/>
    <w:rsid w:val="00B447B9"/>
    <w:rsid w:val="00B47694"/>
    <w:rsid w:val="00B50320"/>
    <w:rsid w:val="00B50923"/>
    <w:rsid w:val="00B523B5"/>
    <w:rsid w:val="00B523FB"/>
    <w:rsid w:val="00B53337"/>
    <w:rsid w:val="00B538B5"/>
    <w:rsid w:val="00B53C09"/>
    <w:rsid w:val="00B5752E"/>
    <w:rsid w:val="00B60B51"/>
    <w:rsid w:val="00B62A7D"/>
    <w:rsid w:val="00B653B9"/>
    <w:rsid w:val="00B65821"/>
    <w:rsid w:val="00B65D70"/>
    <w:rsid w:val="00B661E2"/>
    <w:rsid w:val="00B67B2F"/>
    <w:rsid w:val="00B7178E"/>
    <w:rsid w:val="00B73F6E"/>
    <w:rsid w:val="00B752AA"/>
    <w:rsid w:val="00B7543F"/>
    <w:rsid w:val="00B76918"/>
    <w:rsid w:val="00B778A6"/>
    <w:rsid w:val="00B81180"/>
    <w:rsid w:val="00B81810"/>
    <w:rsid w:val="00B823B3"/>
    <w:rsid w:val="00B82DA8"/>
    <w:rsid w:val="00B830EA"/>
    <w:rsid w:val="00B8319B"/>
    <w:rsid w:val="00B851CB"/>
    <w:rsid w:val="00B853AA"/>
    <w:rsid w:val="00B87100"/>
    <w:rsid w:val="00B87C4E"/>
    <w:rsid w:val="00B90770"/>
    <w:rsid w:val="00B91703"/>
    <w:rsid w:val="00B91A93"/>
    <w:rsid w:val="00B9329E"/>
    <w:rsid w:val="00B933F5"/>
    <w:rsid w:val="00B93655"/>
    <w:rsid w:val="00B93D45"/>
    <w:rsid w:val="00B94A7F"/>
    <w:rsid w:val="00B96321"/>
    <w:rsid w:val="00B96326"/>
    <w:rsid w:val="00BA02D1"/>
    <w:rsid w:val="00BA4CD8"/>
    <w:rsid w:val="00BA516A"/>
    <w:rsid w:val="00BA6B34"/>
    <w:rsid w:val="00BA7AAE"/>
    <w:rsid w:val="00BA7FD7"/>
    <w:rsid w:val="00BB0B57"/>
    <w:rsid w:val="00BB1F03"/>
    <w:rsid w:val="00BB5CE2"/>
    <w:rsid w:val="00BB681A"/>
    <w:rsid w:val="00BC4302"/>
    <w:rsid w:val="00BC6ACD"/>
    <w:rsid w:val="00BD01C1"/>
    <w:rsid w:val="00BD224E"/>
    <w:rsid w:val="00BD4538"/>
    <w:rsid w:val="00BD4AAE"/>
    <w:rsid w:val="00BD63F1"/>
    <w:rsid w:val="00BD6414"/>
    <w:rsid w:val="00BD703F"/>
    <w:rsid w:val="00BD7959"/>
    <w:rsid w:val="00BE3322"/>
    <w:rsid w:val="00BE5102"/>
    <w:rsid w:val="00BE61E2"/>
    <w:rsid w:val="00BF1B2A"/>
    <w:rsid w:val="00BF24DD"/>
    <w:rsid w:val="00BF342F"/>
    <w:rsid w:val="00BF4644"/>
    <w:rsid w:val="00BF49CF"/>
    <w:rsid w:val="00BF5CD7"/>
    <w:rsid w:val="00BF7C90"/>
    <w:rsid w:val="00C004A2"/>
    <w:rsid w:val="00C014C3"/>
    <w:rsid w:val="00C12C41"/>
    <w:rsid w:val="00C12D60"/>
    <w:rsid w:val="00C13807"/>
    <w:rsid w:val="00C169F7"/>
    <w:rsid w:val="00C20870"/>
    <w:rsid w:val="00C20A92"/>
    <w:rsid w:val="00C23711"/>
    <w:rsid w:val="00C250E6"/>
    <w:rsid w:val="00C251B9"/>
    <w:rsid w:val="00C26CAE"/>
    <w:rsid w:val="00C3009C"/>
    <w:rsid w:val="00C30446"/>
    <w:rsid w:val="00C31ADD"/>
    <w:rsid w:val="00C321F0"/>
    <w:rsid w:val="00C3392D"/>
    <w:rsid w:val="00C35E6C"/>
    <w:rsid w:val="00C364C2"/>
    <w:rsid w:val="00C4123C"/>
    <w:rsid w:val="00C418AD"/>
    <w:rsid w:val="00C42DDC"/>
    <w:rsid w:val="00C437CC"/>
    <w:rsid w:val="00C45A5D"/>
    <w:rsid w:val="00C4678E"/>
    <w:rsid w:val="00C51335"/>
    <w:rsid w:val="00C51661"/>
    <w:rsid w:val="00C522E6"/>
    <w:rsid w:val="00C5288E"/>
    <w:rsid w:val="00C52D6D"/>
    <w:rsid w:val="00C52F1D"/>
    <w:rsid w:val="00C5377B"/>
    <w:rsid w:val="00C53D18"/>
    <w:rsid w:val="00C5622B"/>
    <w:rsid w:val="00C56B32"/>
    <w:rsid w:val="00C60709"/>
    <w:rsid w:val="00C610E4"/>
    <w:rsid w:val="00C624DE"/>
    <w:rsid w:val="00C64E8D"/>
    <w:rsid w:val="00C65A66"/>
    <w:rsid w:val="00C674CC"/>
    <w:rsid w:val="00C67800"/>
    <w:rsid w:val="00C72E3F"/>
    <w:rsid w:val="00C7455D"/>
    <w:rsid w:val="00C74E27"/>
    <w:rsid w:val="00C752E9"/>
    <w:rsid w:val="00C75813"/>
    <w:rsid w:val="00C758D1"/>
    <w:rsid w:val="00C8117C"/>
    <w:rsid w:val="00C83342"/>
    <w:rsid w:val="00C8345D"/>
    <w:rsid w:val="00C84F09"/>
    <w:rsid w:val="00C854BC"/>
    <w:rsid w:val="00C854C9"/>
    <w:rsid w:val="00C90AB1"/>
    <w:rsid w:val="00C923F6"/>
    <w:rsid w:val="00C93863"/>
    <w:rsid w:val="00C94949"/>
    <w:rsid w:val="00C949FD"/>
    <w:rsid w:val="00C962ED"/>
    <w:rsid w:val="00C9762A"/>
    <w:rsid w:val="00CA1450"/>
    <w:rsid w:val="00CA163C"/>
    <w:rsid w:val="00CA1CF2"/>
    <w:rsid w:val="00CA4351"/>
    <w:rsid w:val="00CA58C9"/>
    <w:rsid w:val="00CA6247"/>
    <w:rsid w:val="00CA7BFE"/>
    <w:rsid w:val="00CB1965"/>
    <w:rsid w:val="00CB29C6"/>
    <w:rsid w:val="00CB36E7"/>
    <w:rsid w:val="00CB4F2B"/>
    <w:rsid w:val="00CB57F3"/>
    <w:rsid w:val="00CB7203"/>
    <w:rsid w:val="00CC2F62"/>
    <w:rsid w:val="00CC36E9"/>
    <w:rsid w:val="00CC4923"/>
    <w:rsid w:val="00CC5A82"/>
    <w:rsid w:val="00CD224B"/>
    <w:rsid w:val="00CD3572"/>
    <w:rsid w:val="00CD4359"/>
    <w:rsid w:val="00CD6158"/>
    <w:rsid w:val="00CE28ED"/>
    <w:rsid w:val="00CE3FD0"/>
    <w:rsid w:val="00CE480C"/>
    <w:rsid w:val="00CE5842"/>
    <w:rsid w:val="00CE59AF"/>
    <w:rsid w:val="00CE5AD9"/>
    <w:rsid w:val="00CE6E72"/>
    <w:rsid w:val="00CE7344"/>
    <w:rsid w:val="00CF0BAB"/>
    <w:rsid w:val="00CF339D"/>
    <w:rsid w:val="00CF3698"/>
    <w:rsid w:val="00CF3EED"/>
    <w:rsid w:val="00CF3F44"/>
    <w:rsid w:val="00D03366"/>
    <w:rsid w:val="00D049A4"/>
    <w:rsid w:val="00D057F8"/>
    <w:rsid w:val="00D06A03"/>
    <w:rsid w:val="00D1021C"/>
    <w:rsid w:val="00D10849"/>
    <w:rsid w:val="00D10B92"/>
    <w:rsid w:val="00D10DED"/>
    <w:rsid w:val="00D12F4E"/>
    <w:rsid w:val="00D15875"/>
    <w:rsid w:val="00D164A8"/>
    <w:rsid w:val="00D210AA"/>
    <w:rsid w:val="00D230DD"/>
    <w:rsid w:val="00D233CF"/>
    <w:rsid w:val="00D23843"/>
    <w:rsid w:val="00D2468B"/>
    <w:rsid w:val="00D24CC3"/>
    <w:rsid w:val="00D26007"/>
    <w:rsid w:val="00D26232"/>
    <w:rsid w:val="00D26A0E"/>
    <w:rsid w:val="00D27EDE"/>
    <w:rsid w:val="00D27F79"/>
    <w:rsid w:val="00D33081"/>
    <w:rsid w:val="00D344EF"/>
    <w:rsid w:val="00D34A9C"/>
    <w:rsid w:val="00D3538D"/>
    <w:rsid w:val="00D370B0"/>
    <w:rsid w:val="00D371A4"/>
    <w:rsid w:val="00D37829"/>
    <w:rsid w:val="00D37AF5"/>
    <w:rsid w:val="00D4038D"/>
    <w:rsid w:val="00D40D85"/>
    <w:rsid w:val="00D414CD"/>
    <w:rsid w:val="00D416B8"/>
    <w:rsid w:val="00D416D3"/>
    <w:rsid w:val="00D41A91"/>
    <w:rsid w:val="00D41BBF"/>
    <w:rsid w:val="00D42C60"/>
    <w:rsid w:val="00D43613"/>
    <w:rsid w:val="00D511DC"/>
    <w:rsid w:val="00D52C3B"/>
    <w:rsid w:val="00D53C44"/>
    <w:rsid w:val="00D54F78"/>
    <w:rsid w:val="00D55E21"/>
    <w:rsid w:val="00D56588"/>
    <w:rsid w:val="00D6032E"/>
    <w:rsid w:val="00D605F7"/>
    <w:rsid w:val="00D6249A"/>
    <w:rsid w:val="00D66264"/>
    <w:rsid w:val="00D7108D"/>
    <w:rsid w:val="00D71401"/>
    <w:rsid w:val="00D722C8"/>
    <w:rsid w:val="00D7370B"/>
    <w:rsid w:val="00D75838"/>
    <w:rsid w:val="00D75F58"/>
    <w:rsid w:val="00D7641A"/>
    <w:rsid w:val="00D769A2"/>
    <w:rsid w:val="00D76B6C"/>
    <w:rsid w:val="00D8143C"/>
    <w:rsid w:val="00D81D5E"/>
    <w:rsid w:val="00D83CD1"/>
    <w:rsid w:val="00D855FC"/>
    <w:rsid w:val="00D909D6"/>
    <w:rsid w:val="00D90CAD"/>
    <w:rsid w:val="00D91173"/>
    <w:rsid w:val="00D93238"/>
    <w:rsid w:val="00D932DA"/>
    <w:rsid w:val="00D934FC"/>
    <w:rsid w:val="00D935D5"/>
    <w:rsid w:val="00D938BF"/>
    <w:rsid w:val="00D93DD1"/>
    <w:rsid w:val="00DA00AE"/>
    <w:rsid w:val="00DA0CA9"/>
    <w:rsid w:val="00DA0D23"/>
    <w:rsid w:val="00DA2726"/>
    <w:rsid w:val="00DA2CC8"/>
    <w:rsid w:val="00DA519E"/>
    <w:rsid w:val="00DA5703"/>
    <w:rsid w:val="00DA7A2B"/>
    <w:rsid w:val="00DB0C1A"/>
    <w:rsid w:val="00DB22DA"/>
    <w:rsid w:val="00DB5E27"/>
    <w:rsid w:val="00DB5EC3"/>
    <w:rsid w:val="00DC0666"/>
    <w:rsid w:val="00DC112B"/>
    <w:rsid w:val="00DC1D02"/>
    <w:rsid w:val="00DC3111"/>
    <w:rsid w:val="00DC39DD"/>
    <w:rsid w:val="00DC4158"/>
    <w:rsid w:val="00DC6363"/>
    <w:rsid w:val="00DC7DA5"/>
    <w:rsid w:val="00DC7E1B"/>
    <w:rsid w:val="00DD0224"/>
    <w:rsid w:val="00DD082F"/>
    <w:rsid w:val="00DD1D1C"/>
    <w:rsid w:val="00DD1EC9"/>
    <w:rsid w:val="00DD1FEF"/>
    <w:rsid w:val="00DD494C"/>
    <w:rsid w:val="00DD4CDD"/>
    <w:rsid w:val="00DD7898"/>
    <w:rsid w:val="00DE0BE9"/>
    <w:rsid w:val="00DE1850"/>
    <w:rsid w:val="00DE32D3"/>
    <w:rsid w:val="00DE33B3"/>
    <w:rsid w:val="00DE5012"/>
    <w:rsid w:val="00DE5077"/>
    <w:rsid w:val="00DE54F2"/>
    <w:rsid w:val="00DE7D79"/>
    <w:rsid w:val="00DF08DC"/>
    <w:rsid w:val="00DF186A"/>
    <w:rsid w:val="00DF2A53"/>
    <w:rsid w:val="00DF3A22"/>
    <w:rsid w:val="00DF7B47"/>
    <w:rsid w:val="00DF7C99"/>
    <w:rsid w:val="00E017B3"/>
    <w:rsid w:val="00E04614"/>
    <w:rsid w:val="00E04BA5"/>
    <w:rsid w:val="00E051FE"/>
    <w:rsid w:val="00E05DF9"/>
    <w:rsid w:val="00E11BA5"/>
    <w:rsid w:val="00E1369F"/>
    <w:rsid w:val="00E13FDA"/>
    <w:rsid w:val="00E14BE2"/>
    <w:rsid w:val="00E15B34"/>
    <w:rsid w:val="00E16934"/>
    <w:rsid w:val="00E17A0E"/>
    <w:rsid w:val="00E17DC5"/>
    <w:rsid w:val="00E20525"/>
    <w:rsid w:val="00E20FA9"/>
    <w:rsid w:val="00E23BD4"/>
    <w:rsid w:val="00E255AA"/>
    <w:rsid w:val="00E26E17"/>
    <w:rsid w:val="00E27CCA"/>
    <w:rsid w:val="00E33B02"/>
    <w:rsid w:val="00E34D0B"/>
    <w:rsid w:val="00E357F3"/>
    <w:rsid w:val="00E35F4B"/>
    <w:rsid w:val="00E37975"/>
    <w:rsid w:val="00E41285"/>
    <w:rsid w:val="00E47AFC"/>
    <w:rsid w:val="00E50C0F"/>
    <w:rsid w:val="00E5415C"/>
    <w:rsid w:val="00E546CD"/>
    <w:rsid w:val="00E54E76"/>
    <w:rsid w:val="00E563D4"/>
    <w:rsid w:val="00E57C50"/>
    <w:rsid w:val="00E607FD"/>
    <w:rsid w:val="00E609ED"/>
    <w:rsid w:val="00E6210D"/>
    <w:rsid w:val="00E62B5E"/>
    <w:rsid w:val="00E6452E"/>
    <w:rsid w:val="00E6463C"/>
    <w:rsid w:val="00E66377"/>
    <w:rsid w:val="00E71B4F"/>
    <w:rsid w:val="00E7422E"/>
    <w:rsid w:val="00E7574B"/>
    <w:rsid w:val="00E75B4A"/>
    <w:rsid w:val="00E763D2"/>
    <w:rsid w:val="00E763E7"/>
    <w:rsid w:val="00E77889"/>
    <w:rsid w:val="00E819DB"/>
    <w:rsid w:val="00E84B9B"/>
    <w:rsid w:val="00E85C22"/>
    <w:rsid w:val="00E90379"/>
    <w:rsid w:val="00E917B1"/>
    <w:rsid w:val="00E931F5"/>
    <w:rsid w:val="00E93781"/>
    <w:rsid w:val="00E938DD"/>
    <w:rsid w:val="00E94039"/>
    <w:rsid w:val="00E9433E"/>
    <w:rsid w:val="00E96A6B"/>
    <w:rsid w:val="00E97376"/>
    <w:rsid w:val="00EA0C40"/>
    <w:rsid w:val="00EA12A2"/>
    <w:rsid w:val="00EA1934"/>
    <w:rsid w:val="00EA290D"/>
    <w:rsid w:val="00EA4DDD"/>
    <w:rsid w:val="00EA5154"/>
    <w:rsid w:val="00EB1A94"/>
    <w:rsid w:val="00EB2C87"/>
    <w:rsid w:val="00EB7E84"/>
    <w:rsid w:val="00EC11C4"/>
    <w:rsid w:val="00EC5C4E"/>
    <w:rsid w:val="00EC5E41"/>
    <w:rsid w:val="00EC5EB2"/>
    <w:rsid w:val="00EC61FE"/>
    <w:rsid w:val="00ED01C4"/>
    <w:rsid w:val="00ED502F"/>
    <w:rsid w:val="00ED55D3"/>
    <w:rsid w:val="00ED5C89"/>
    <w:rsid w:val="00ED67B4"/>
    <w:rsid w:val="00ED6B3F"/>
    <w:rsid w:val="00EE0BFB"/>
    <w:rsid w:val="00EE2638"/>
    <w:rsid w:val="00EE7E3E"/>
    <w:rsid w:val="00EF176A"/>
    <w:rsid w:val="00EF29EE"/>
    <w:rsid w:val="00EF2EC6"/>
    <w:rsid w:val="00EF69FA"/>
    <w:rsid w:val="00F03873"/>
    <w:rsid w:val="00F06366"/>
    <w:rsid w:val="00F10766"/>
    <w:rsid w:val="00F12DC6"/>
    <w:rsid w:val="00F133FB"/>
    <w:rsid w:val="00F13544"/>
    <w:rsid w:val="00F1370F"/>
    <w:rsid w:val="00F13D83"/>
    <w:rsid w:val="00F148A8"/>
    <w:rsid w:val="00F16AAE"/>
    <w:rsid w:val="00F16E3D"/>
    <w:rsid w:val="00F16F3D"/>
    <w:rsid w:val="00F21E55"/>
    <w:rsid w:val="00F2279A"/>
    <w:rsid w:val="00F22B65"/>
    <w:rsid w:val="00F23E29"/>
    <w:rsid w:val="00F26F28"/>
    <w:rsid w:val="00F2768F"/>
    <w:rsid w:val="00F30C9D"/>
    <w:rsid w:val="00F33355"/>
    <w:rsid w:val="00F34DCF"/>
    <w:rsid w:val="00F34F18"/>
    <w:rsid w:val="00F364D9"/>
    <w:rsid w:val="00F405B8"/>
    <w:rsid w:val="00F421A9"/>
    <w:rsid w:val="00F422E6"/>
    <w:rsid w:val="00F44D63"/>
    <w:rsid w:val="00F50AAF"/>
    <w:rsid w:val="00F518D1"/>
    <w:rsid w:val="00F51F23"/>
    <w:rsid w:val="00F56958"/>
    <w:rsid w:val="00F603AB"/>
    <w:rsid w:val="00F612D7"/>
    <w:rsid w:val="00F63D82"/>
    <w:rsid w:val="00F654F2"/>
    <w:rsid w:val="00F6643F"/>
    <w:rsid w:val="00F706C3"/>
    <w:rsid w:val="00F721BD"/>
    <w:rsid w:val="00F73140"/>
    <w:rsid w:val="00F73224"/>
    <w:rsid w:val="00F75AF2"/>
    <w:rsid w:val="00F75F3C"/>
    <w:rsid w:val="00F7633A"/>
    <w:rsid w:val="00F76F8E"/>
    <w:rsid w:val="00F8166F"/>
    <w:rsid w:val="00F8188C"/>
    <w:rsid w:val="00F8289E"/>
    <w:rsid w:val="00F83946"/>
    <w:rsid w:val="00F84FDE"/>
    <w:rsid w:val="00F86E28"/>
    <w:rsid w:val="00F87703"/>
    <w:rsid w:val="00F91335"/>
    <w:rsid w:val="00F91477"/>
    <w:rsid w:val="00F95243"/>
    <w:rsid w:val="00F9611C"/>
    <w:rsid w:val="00FA06B3"/>
    <w:rsid w:val="00FA69A4"/>
    <w:rsid w:val="00FA7930"/>
    <w:rsid w:val="00FA7E88"/>
    <w:rsid w:val="00FB329D"/>
    <w:rsid w:val="00FB3D05"/>
    <w:rsid w:val="00FB53D8"/>
    <w:rsid w:val="00FB647B"/>
    <w:rsid w:val="00FB7A1F"/>
    <w:rsid w:val="00FC0E47"/>
    <w:rsid w:val="00FC26AB"/>
    <w:rsid w:val="00FC4B36"/>
    <w:rsid w:val="00FC55BD"/>
    <w:rsid w:val="00FC57D7"/>
    <w:rsid w:val="00FC77F4"/>
    <w:rsid w:val="00FD0D48"/>
    <w:rsid w:val="00FD2D67"/>
    <w:rsid w:val="00FE0CD9"/>
    <w:rsid w:val="00FE0F78"/>
    <w:rsid w:val="00FE1C93"/>
    <w:rsid w:val="00FE1D58"/>
    <w:rsid w:val="00FE2759"/>
    <w:rsid w:val="00FE330B"/>
    <w:rsid w:val="00FE411B"/>
    <w:rsid w:val="00FE4995"/>
    <w:rsid w:val="00FE7931"/>
    <w:rsid w:val="00FF0716"/>
    <w:rsid w:val="00FF0DE1"/>
    <w:rsid w:val="00FF1130"/>
    <w:rsid w:val="00FF121D"/>
    <w:rsid w:val="00FF4F04"/>
    <w:rsid w:val="00FF5E49"/>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0E9A138F-6478-45BC-AD5E-47F1B842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2D5216"/>
    <w:pPr>
      <w:tabs>
        <w:tab w:val="left" w:pos="720"/>
        <w:tab w:val="left" w:pos="3662"/>
      </w:tabs>
      <w:autoSpaceDE w:val="0"/>
      <w:autoSpaceDN w:val="0"/>
      <w:adjustRightInd w:val="0"/>
      <w:spacing w:before="79"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paragraph" w:styleId="Heading3">
    <w:name w:val="heading 3"/>
    <w:basedOn w:val="Normal"/>
    <w:next w:val="Normal"/>
    <w:link w:val="Heading3Char"/>
    <w:uiPriority w:val="9"/>
    <w:semiHidden/>
    <w:unhideWhenUsed/>
    <w:qFormat/>
    <w:rsid w:val="00842D3D"/>
    <w:pPr>
      <w:keepNext/>
      <w:keepLines/>
      <w:spacing w:before="40"/>
      <w:outlineLvl w:val="2"/>
    </w:pPr>
    <w:rPr>
      <w:rFonts w:asciiTheme="minorHAnsi" w:eastAsia="Times New Roman" w:hAnsiTheme="minorHAnsi" w:cs="Times New Roman"/>
      <w:color w:val="0F4761"/>
      <w:sz w:val="28"/>
      <w:szCs w:val="28"/>
    </w:rPr>
  </w:style>
  <w:style w:type="paragraph" w:styleId="Heading4">
    <w:name w:val="heading 4"/>
    <w:basedOn w:val="Normal"/>
    <w:next w:val="Normal"/>
    <w:link w:val="Heading4Char"/>
    <w:uiPriority w:val="9"/>
    <w:semiHidden/>
    <w:unhideWhenUsed/>
    <w:qFormat/>
    <w:rsid w:val="00842D3D"/>
    <w:pPr>
      <w:keepNext/>
      <w:keepLines/>
      <w:spacing w:before="40"/>
      <w:outlineLvl w:val="3"/>
    </w:pPr>
    <w:rPr>
      <w:rFonts w:asciiTheme="minorHAnsi" w:eastAsia="Times New Roman" w:hAnsiTheme="minorHAnsi" w:cs="Times New Roman"/>
      <w:i/>
      <w:iCs/>
      <w:color w:val="0F4761"/>
      <w:sz w:val="22"/>
    </w:rPr>
  </w:style>
  <w:style w:type="paragraph" w:styleId="Heading5">
    <w:name w:val="heading 5"/>
    <w:basedOn w:val="Normal"/>
    <w:next w:val="Normal"/>
    <w:link w:val="Heading5Char"/>
    <w:uiPriority w:val="9"/>
    <w:semiHidden/>
    <w:unhideWhenUsed/>
    <w:qFormat/>
    <w:rsid w:val="00842D3D"/>
    <w:pPr>
      <w:keepNext/>
      <w:keepLines/>
      <w:spacing w:before="40"/>
      <w:outlineLvl w:val="4"/>
    </w:pPr>
    <w:rPr>
      <w:rFonts w:asciiTheme="minorHAnsi" w:eastAsia="Times New Roman" w:hAnsiTheme="minorHAnsi" w:cs="Times New Roman"/>
      <w:color w:val="0F4761"/>
      <w:sz w:val="22"/>
    </w:rPr>
  </w:style>
  <w:style w:type="paragraph" w:styleId="Heading6">
    <w:name w:val="heading 6"/>
    <w:basedOn w:val="Normal"/>
    <w:next w:val="Normal"/>
    <w:link w:val="Heading6Char"/>
    <w:uiPriority w:val="9"/>
    <w:semiHidden/>
    <w:unhideWhenUsed/>
    <w:qFormat/>
    <w:rsid w:val="00842D3D"/>
    <w:pPr>
      <w:keepNext/>
      <w:keepLines/>
      <w:spacing w:before="40"/>
      <w:outlineLvl w:val="5"/>
    </w:pPr>
    <w:rPr>
      <w:rFonts w:asciiTheme="minorHAnsi" w:eastAsia="Times New Roman" w:hAnsiTheme="minorHAnsi" w:cs="Times New Roman"/>
      <w:i/>
      <w:iCs/>
      <w:color w:val="595959"/>
      <w:sz w:val="22"/>
    </w:rPr>
  </w:style>
  <w:style w:type="paragraph" w:styleId="Heading7">
    <w:name w:val="heading 7"/>
    <w:basedOn w:val="Normal"/>
    <w:next w:val="Normal"/>
    <w:link w:val="Heading7Char"/>
    <w:uiPriority w:val="9"/>
    <w:semiHidden/>
    <w:unhideWhenUsed/>
    <w:qFormat/>
    <w:rsid w:val="00842D3D"/>
    <w:pPr>
      <w:keepNext/>
      <w:keepLines/>
      <w:spacing w:before="40"/>
      <w:outlineLvl w:val="6"/>
    </w:pPr>
    <w:rPr>
      <w:rFonts w:asciiTheme="minorHAnsi" w:eastAsia="Times New Roman" w:hAnsiTheme="minorHAnsi" w:cs="Times New Roman"/>
      <w:color w:val="595959"/>
      <w:sz w:val="22"/>
    </w:rPr>
  </w:style>
  <w:style w:type="paragraph" w:styleId="Heading8">
    <w:name w:val="heading 8"/>
    <w:basedOn w:val="Normal"/>
    <w:next w:val="Normal"/>
    <w:link w:val="Heading8Char"/>
    <w:uiPriority w:val="9"/>
    <w:semiHidden/>
    <w:unhideWhenUsed/>
    <w:qFormat/>
    <w:rsid w:val="00842D3D"/>
    <w:pPr>
      <w:keepNext/>
      <w:keepLines/>
      <w:spacing w:before="40"/>
      <w:outlineLvl w:val="7"/>
    </w:pPr>
    <w:rPr>
      <w:rFonts w:asciiTheme="minorHAnsi" w:eastAsia="Times New Roman" w:hAnsiTheme="minorHAnsi" w:cs="Times New Roman"/>
      <w:i/>
      <w:iCs/>
      <w:color w:val="272727"/>
      <w:sz w:val="22"/>
    </w:rPr>
  </w:style>
  <w:style w:type="paragraph" w:styleId="Heading9">
    <w:name w:val="heading 9"/>
    <w:basedOn w:val="Normal"/>
    <w:next w:val="Normal"/>
    <w:link w:val="Heading9Char"/>
    <w:uiPriority w:val="9"/>
    <w:semiHidden/>
    <w:unhideWhenUsed/>
    <w:qFormat/>
    <w:rsid w:val="00842D3D"/>
    <w:pPr>
      <w:keepNext/>
      <w:keepLines/>
      <w:spacing w:before="40"/>
      <w:outlineLvl w:val="8"/>
    </w:pPr>
    <w:rPr>
      <w:rFonts w:asciiTheme="minorHAnsi" w:eastAsia="Times New Roman" w:hAnsiTheme="minorHAnsi"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1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68478E"/>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customStyle="1" w:styleId="DoubleSpace">
    <w:name w:val="Double Space"/>
    <w:qFormat/>
    <w:rsid w:val="000D6A2C"/>
    <w:pPr>
      <w:widowControl w:val="0"/>
      <w:spacing w:after="0" w:line="480" w:lineRule="exact"/>
      <w:jc w:val="both"/>
    </w:pPr>
    <w:rPr>
      <w:rFonts w:ascii="Times New Roman" w:hAnsi="Times New Roman"/>
      <w:sz w:val="24"/>
    </w:rPr>
  </w:style>
  <w:style w:type="character" w:customStyle="1" w:styleId="normaltextrun">
    <w:name w:val="normaltextrun"/>
    <w:basedOn w:val="DefaultParagraphFont"/>
    <w:rsid w:val="00A46152"/>
  </w:style>
  <w:style w:type="character" w:customStyle="1" w:styleId="eop">
    <w:name w:val="eop"/>
    <w:basedOn w:val="DefaultParagraphFont"/>
    <w:rsid w:val="00A46152"/>
  </w:style>
  <w:style w:type="paragraph" w:customStyle="1" w:styleId="paragraph">
    <w:name w:val="paragraph"/>
    <w:basedOn w:val="Normal"/>
    <w:rsid w:val="00A46152"/>
    <w:pPr>
      <w:spacing w:before="100" w:beforeAutospacing="1" w:after="100" w:afterAutospacing="1"/>
    </w:pPr>
    <w:rPr>
      <w:rFonts w:eastAsia="Times New Roman" w:cs="Times New Roman"/>
      <w:szCs w:val="24"/>
    </w:rPr>
  </w:style>
  <w:style w:type="character" w:customStyle="1" w:styleId="tabchar">
    <w:name w:val="tabchar"/>
    <w:basedOn w:val="DefaultParagraphFont"/>
    <w:rsid w:val="00A46152"/>
  </w:style>
  <w:style w:type="character" w:customStyle="1" w:styleId="documentbod1">
    <w:name w:val="documentbod1"/>
    <w:uiPriority w:val="99"/>
    <w:rsid w:val="00542652"/>
  </w:style>
  <w:style w:type="paragraph" w:styleId="Revision">
    <w:name w:val="Revision"/>
    <w:hidden/>
    <w:uiPriority w:val="99"/>
    <w:semiHidden/>
    <w:rsid w:val="000C08E5"/>
    <w:pPr>
      <w:spacing w:after="0" w:line="240" w:lineRule="auto"/>
    </w:pPr>
    <w:rPr>
      <w:rFonts w:ascii="Times New Roman" w:hAnsi="Times New Roman"/>
      <w:sz w:val="24"/>
    </w:rPr>
  </w:style>
  <w:style w:type="paragraph" w:customStyle="1" w:styleId="Heading31">
    <w:name w:val="Heading 31"/>
    <w:basedOn w:val="Normal"/>
    <w:next w:val="Normal"/>
    <w:uiPriority w:val="9"/>
    <w:semiHidden/>
    <w:unhideWhenUsed/>
    <w:qFormat/>
    <w:rsid w:val="00842D3D"/>
    <w:pPr>
      <w:keepNext/>
      <w:keepLines/>
      <w:spacing w:before="160" w:after="80" w:line="278"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842D3D"/>
    <w:pPr>
      <w:keepNext/>
      <w:keepLines/>
      <w:spacing w:before="80" w:after="40" w:line="278" w:lineRule="auto"/>
      <w:outlineLvl w:val="3"/>
    </w:pPr>
    <w:rPr>
      <w:rFonts w:ascii="Aptos" w:eastAsia="Times New Roman" w:hAnsi="Aptos" w:cs="Times New Roman"/>
      <w:i/>
      <w:iCs/>
      <w:color w:val="0F4761"/>
      <w:kern w:val="2"/>
      <w:szCs w:val="24"/>
      <w14:ligatures w14:val="standardContextual"/>
    </w:rPr>
  </w:style>
  <w:style w:type="paragraph" w:customStyle="1" w:styleId="Heading51">
    <w:name w:val="Heading 51"/>
    <w:basedOn w:val="Normal"/>
    <w:next w:val="Normal"/>
    <w:uiPriority w:val="9"/>
    <w:semiHidden/>
    <w:unhideWhenUsed/>
    <w:qFormat/>
    <w:rsid w:val="00842D3D"/>
    <w:pPr>
      <w:keepNext/>
      <w:keepLines/>
      <w:spacing w:before="80" w:after="40" w:line="278" w:lineRule="auto"/>
      <w:outlineLvl w:val="4"/>
    </w:pPr>
    <w:rPr>
      <w:rFonts w:ascii="Aptos" w:eastAsia="Times New Roman" w:hAnsi="Aptos" w:cs="Times New Roman"/>
      <w:color w:val="0F4761"/>
      <w:kern w:val="2"/>
      <w:szCs w:val="24"/>
      <w14:ligatures w14:val="standardContextual"/>
    </w:rPr>
  </w:style>
  <w:style w:type="paragraph" w:customStyle="1" w:styleId="Heading61">
    <w:name w:val="Heading 61"/>
    <w:basedOn w:val="Normal"/>
    <w:next w:val="Normal"/>
    <w:uiPriority w:val="9"/>
    <w:semiHidden/>
    <w:unhideWhenUsed/>
    <w:qFormat/>
    <w:rsid w:val="00842D3D"/>
    <w:pPr>
      <w:keepNext/>
      <w:keepLines/>
      <w:spacing w:before="40" w:line="278" w:lineRule="auto"/>
      <w:outlineLvl w:val="5"/>
    </w:pPr>
    <w:rPr>
      <w:rFonts w:ascii="Aptos" w:eastAsia="Times New Roman" w:hAnsi="Aptos" w:cs="Times New Roman"/>
      <w:i/>
      <w:iCs/>
      <w:color w:val="595959"/>
      <w:kern w:val="2"/>
      <w:szCs w:val="24"/>
      <w14:ligatures w14:val="standardContextual"/>
    </w:rPr>
  </w:style>
  <w:style w:type="paragraph" w:customStyle="1" w:styleId="Heading71">
    <w:name w:val="Heading 71"/>
    <w:basedOn w:val="Normal"/>
    <w:next w:val="Normal"/>
    <w:uiPriority w:val="9"/>
    <w:semiHidden/>
    <w:unhideWhenUsed/>
    <w:qFormat/>
    <w:rsid w:val="00842D3D"/>
    <w:pPr>
      <w:keepNext/>
      <w:keepLines/>
      <w:spacing w:before="40" w:line="278" w:lineRule="auto"/>
      <w:outlineLvl w:val="6"/>
    </w:pPr>
    <w:rPr>
      <w:rFonts w:ascii="Aptos" w:eastAsia="Times New Roman" w:hAnsi="Aptos" w:cs="Times New Roman"/>
      <w:color w:val="595959"/>
      <w:kern w:val="2"/>
      <w:szCs w:val="24"/>
      <w14:ligatures w14:val="standardContextual"/>
    </w:rPr>
  </w:style>
  <w:style w:type="paragraph" w:customStyle="1" w:styleId="Heading81">
    <w:name w:val="Heading 81"/>
    <w:basedOn w:val="Normal"/>
    <w:next w:val="Normal"/>
    <w:uiPriority w:val="9"/>
    <w:semiHidden/>
    <w:unhideWhenUsed/>
    <w:qFormat/>
    <w:rsid w:val="00842D3D"/>
    <w:pPr>
      <w:keepNext/>
      <w:keepLines/>
      <w:spacing w:line="278" w:lineRule="auto"/>
      <w:outlineLvl w:val="7"/>
    </w:pPr>
    <w:rPr>
      <w:rFonts w:ascii="Aptos" w:eastAsia="Times New Roman" w:hAnsi="Aptos" w:cs="Times New Roman"/>
      <w:i/>
      <w:iCs/>
      <w:color w:val="272727"/>
      <w:kern w:val="2"/>
      <w:szCs w:val="24"/>
      <w14:ligatures w14:val="standardContextual"/>
    </w:rPr>
  </w:style>
  <w:style w:type="paragraph" w:customStyle="1" w:styleId="Heading91">
    <w:name w:val="Heading 91"/>
    <w:basedOn w:val="Normal"/>
    <w:next w:val="Normal"/>
    <w:uiPriority w:val="9"/>
    <w:semiHidden/>
    <w:unhideWhenUsed/>
    <w:qFormat/>
    <w:rsid w:val="00842D3D"/>
    <w:pPr>
      <w:keepNext/>
      <w:keepLines/>
      <w:spacing w:line="278" w:lineRule="auto"/>
      <w:outlineLvl w:val="8"/>
    </w:pPr>
    <w:rPr>
      <w:rFonts w:ascii="Aptos" w:eastAsia="Times New Roman" w:hAnsi="Aptos" w:cs="Times New Roman"/>
      <w:color w:val="272727"/>
      <w:kern w:val="2"/>
      <w:szCs w:val="24"/>
      <w14:ligatures w14:val="standardContextual"/>
    </w:rPr>
  </w:style>
  <w:style w:type="numbering" w:customStyle="1" w:styleId="NoList1">
    <w:name w:val="No List1"/>
    <w:next w:val="NoList"/>
    <w:uiPriority w:val="99"/>
    <w:semiHidden/>
    <w:unhideWhenUsed/>
    <w:rsid w:val="00842D3D"/>
  </w:style>
  <w:style w:type="character" w:customStyle="1" w:styleId="Heading3Char">
    <w:name w:val="Heading 3 Char"/>
    <w:basedOn w:val="DefaultParagraphFont"/>
    <w:link w:val="Heading3"/>
    <w:uiPriority w:val="9"/>
    <w:semiHidden/>
    <w:rsid w:val="00842D3D"/>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842D3D"/>
    <w:rPr>
      <w:rFonts w:eastAsia="Times New Roman" w:cs="Times New Roman"/>
      <w:i/>
      <w:iCs/>
      <w:color w:val="0F4761"/>
    </w:rPr>
  </w:style>
  <w:style w:type="character" w:customStyle="1" w:styleId="Heading5Char">
    <w:name w:val="Heading 5 Char"/>
    <w:basedOn w:val="DefaultParagraphFont"/>
    <w:link w:val="Heading5"/>
    <w:uiPriority w:val="9"/>
    <w:semiHidden/>
    <w:rsid w:val="00842D3D"/>
    <w:rPr>
      <w:rFonts w:eastAsia="Times New Roman" w:cs="Times New Roman"/>
      <w:color w:val="0F4761"/>
    </w:rPr>
  </w:style>
  <w:style w:type="character" w:customStyle="1" w:styleId="Heading6Char">
    <w:name w:val="Heading 6 Char"/>
    <w:basedOn w:val="DefaultParagraphFont"/>
    <w:link w:val="Heading6"/>
    <w:uiPriority w:val="9"/>
    <w:semiHidden/>
    <w:rsid w:val="00842D3D"/>
    <w:rPr>
      <w:rFonts w:eastAsia="Times New Roman" w:cs="Times New Roman"/>
      <w:i/>
      <w:iCs/>
      <w:color w:val="595959"/>
    </w:rPr>
  </w:style>
  <w:style w:type="character" w:customStyle="1" w:styleId="Heading7Char">
    <w:name w:val="Heading 7 Char"/>
    <w:basedOn w:val="DefaultParagraphFont"/>
    <w:link w:val="Heading7"/>
    <w:uiPriority w:val="9"/>
    <w:semiHidden/>
    <w:rsid w:val="00842D3D"/>
    <w:rPr>
      <w:rFonts w:eastAsia="Times New Roman" w:cs="Times New Roman"/>
      <w:color w:val="595959"/>
    </w:rPr>
  </w:style>
  <w:style w:type="character" w:customStyle="1" w:styleId="Heading8Char">
    <w:name w:val="Heading 8 Char"/>
    <w:basedOn w:val="DefaultParagraphFont"/>
    <w:link w:val="Heading8"/>
    <w:uiPriority w:val="9"/>
    <w:semiHidden/>
    <w:rsid w:val="00842D3D"/>
    <w:rPr>
      <w:rFonts w:eastAsia="Times New Roman" w:cs="Times New Roman"/>
      <w:i/>
      <w:iCs/>
      <w:color w:val="272727"/>
    </w:rPr>
  </w:style>
  <w:style w:type="character" w:customStyle="1" w:styleId="Heading9Char">
    <w:name w:val="Heading 9 Char"/>
    <w:basedOn w:val="DefaultParagraphFont"/>
    <w:link w:val="Heading9"/>
    <w:uiPriority w:val="9"/>
    <w:semiHidden/>
    <w:rsid w:val="00842D3D"/>
    <w:rPr>
      <w:rFonts w:eastAsia="Times New Roman" w:cs="Times New Roman"/>
      <w:color w:val="272727"/>
    </w:rPr>
  </w:style>
  <w:style w:type="paragraph" w:customStyle="1" w:styleId="Title1">
    <w:name w:val="Title1"/>
    <w:basedOn w:val="Normal"/>
    <w:next w:val="Normal"/>
    <w:uiPriority w:val="10"/>
    <w:qFormat/>
    <w:rsid w:val="00842D3D"/>
    <w:pPr>
      <w:spacing w:after="80"/>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842D3D"/>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42D3D"/>
    <w:pPr>
      <w:numPr>
        <w:ilvl w:val="1"/>
      </w:numPr>
      <w:spacing w:after="160" w:line="278" w:lineRule="auto"/>
    </w:pPr>
    <w:rPr>
      <w:rFonts w:ascii="Aptos" w:eastAsia="Times New Roman" w:hAnsi="Aptos"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842D3D"/>
    <w:rPr>
      <w:rFonts w:eastAsia="Times New Roman" w:cs="Times New Roman"/>
      <w:color w:val="595959"/>
      <w:spacing w:val="15"/>
      <w:sz w:val="28"/>
      <w:szCs w:val="28"/>
    </w:rPr>
  </w:style>
  <w:style w:type="paragraph" w:customStyle="1" w:styleId="Quote1">
    <w:name w:val="Quote1"/>
    <w:basedOn w:val="Normal"/>
    <w:next w:val="Normal"/>
    <w:uiPriority w:val="29"/>
    <w:qFormat/>
    <w:rsid w:val="00842D3D"/>
    <w:pPr>
      <w:spacing w:before="160" w:after="160" w:line="278" w:lineRule="auto"/>
      <w:jc w:val="center"/>
    </w:pPr>
    <w:rPr>
      <w:rFonts w:ascii="Aptos" w:hAnsi="Aptos"/>
      <w:i/>
      <w:iCs/>
      <w:color w:val="404040"/>
      <w:kern w:val="2"/>
      <w:szCs w:val="24"/>
      <w14:ligatures w14:val="standardContextual"/>
    </w:rPr>
  </w:style>
  <w:style w:type="character" w:customStyle="1" w:styleId="QuoteChar">
    <w:name w:val="Quote Char"/>
    <w:basedOn w:val="DefaultParagraphFont"/>
    <w:link w:val="Quote"/>
    <w:uiPriority w:val="29"/>
    <w:rsid w:val="00842D3D"/>
    <w:rPr>
      <w:i/>
      <w:iCs/>
      <w:color w:val="404040"/>
    </w:rPr>
  </w:style>
  <w:style w:type="character" w:customStyle="1" w:styleId="IntenseEmphasis1">
    <w:name w:val="Intense Emphasis1"/>
    <w:basedOn w:val="DefaultParagraphFont"/>
    <w:uiPriority w:val="21"/>
    <w:qFormat/>
    <w:rsid w:val="00842D3D"/>
    <w:rPr>
      <w:i/>
      <w:iCs/>
      <w:color w:val="0F4761"/>
    </w:rPr>
  </w:style>
  <w:style w:type="paragraph" w:customStyle="1" w:styleId="IntenseQuote1">
    <w:name w:val="Intense Quote1"/>
    <w:basedOn w:val="Normal"/>
    <w:next w:val="Normal"/>
    <w:uiPriority w:val="30"/>
    <w:qFormat/>
    <w:rsid w:val="00842D3D"/>
    <w:pPr>
      <w:pBdr>
        <w:top w:val="single" w:sz="4" w:space="10" w:color="0F4761"/>
        <w:bottom w:val="single" w:sz="4" w:space="10" w:color="0F4761"/>
      </w:pBdr>
      <w:spacing w:before="360" w:after="360" w:line="278" w:lineRule="auto"/>
      <w:ind w:left="864" w:right="864"/>
      <w:jc w:val="center"/>
    </w:pPr>
    <w:rPr>
      <w:rFonts w:ascii="Aptos" w:hAnsi="Aptos"/>
      <w:i/>
      <w:iCs/>
      <w:color w:val="0F4761"/>
      <w:kern w:val="2"/>
      <w:szCs w:val="24"/>
      <w14:ligatures w14:val="standardContextual"/>
    </w:rPr>
  </w:style>
  <w:style w:type="character" w:customStyle="1" w:styleId="IntenseQuoteChar">
    <w:name w:val="Intense Quote Char"/>
    <w:basedOn w:val="DefaultParagraphFont"/>
    <w:link w:val="IntenseQuote"/>
    <w:uiPriority w:val="30"/>
    <w:rsid w:val="00842D3D"/>
    <w:rPr>
      <w:i/>
      <w:iCs/>
      <w:color w:val="0F4761"/>
    </w:rPr>
  </w:style>
  <w:style w:type="character" w:customStyle="1" w:styleId="IntenseReference1">
    <w:name w:val="Intense Reference1"/>
    <w:basedOn w:val="DefaultParagraphFont"/>
    <w:uiPriority w:val="32"/>
    <w:qFormat/>
    <w:rsid w:val="00842D3D"/>
    <w:rPr>
      <w:b/>
      <w:bCs/>
      <w:smallCaps/>
      <w:color w:val="0F4761"/>
      <w:spacing w:val="5"/>
    </w:rPr>
  </w:style>
  <w:style w:type="numbering" w:customStyle="1" w:styleId="NoList11">
    <w:name w:val="No List11"/>
    <w:next w:val="NoList"/>
    <w:uiPriority w:val="99"/>
    <w:semiHidden/>
    <w:unhideWhenUsed/>
    <w:rsid w:val="00842D3D"/>
  </w:style>
  <w:style w:type="paragraph" w:customStyle="1" w:styleId="TOCHeading1">
    <w:name w:val="TOC Heading1"/>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character" w:customStyle="1" w:styleId="Hyperlink1">
    <w:name w:val="Hyperlink1"/>
    <w:basedOn w:val="DefaultParagraphFont"/>
    <w:uiPriority w:val="99"/>
    <w:unhideWhenUsed/>
    <w:rsid w:val="00842D3D"/>
    <w:rPr>
      <w:color w:val="0563C1"/>
      <w:u w:val="single"/>
    </w:rPr>
  </w:style>
  <w:style w:type="paragraph" w:customStyle="1" w:styleId="TOC31">
    <w:name w:val="TOC 31"/>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1">
    <w:name w:val="TOC 41"/>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1">
    <w:name w:val="TOC 61"/>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1">
    <w:name w:val="TOC 71"/>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1">
    <w:name w:val="TOC 81"/>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1">
    <w:name w:val="TOC 91"/>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FollowedHyperlink1">
    <w:name w:val="FollowedHyperlink1"/>
    <w:basedOn w:val="DefaultParagraphFont"/>
    <w:uiPriority w:val="99"/>
    <w:semiHidden/>
    <w:unhideWhenUsed/>
    <w:rsid w:val="00842D3D"/>
    <w:rPr>
      <w:color w:val="954F72"/>
      <w:u w:val="single"/>
    </w:rPr>
  </w:style>
  <w:style w:type="numbering" w:customStyle="1" w:styleId="NoList2">
    <w:name w:val="No List2"/>
    <w:next w:val="NoList"/>
    <w:uiPriority w:val="99"/>
    <w:semiHidden/>
    <w:unhideWhenUsed/>
    <w:rsid w:val="00842D3D"/>
  </w:style>
  <w:style w:type="paragraph" w:customStyle="1" w:styleId="TOCHeading2">
    <w:name w:val="TOC Heading2"/>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paragraph" w:customStyle="1" w:styleId="TOC32">
    <w:name w:val="TOC 32"/>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2">
    <w:name w:val="TOC 42"/>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2">
    <w:name w:val="TOC 62"/>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2">
    <w:name w:val="TOC 72"/>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2">
    <w:name w:val="TOC 82"/>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2">
    <w:name w:val="TOC 92"/>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Heading3Char1">
    <w:name w:val="Heading 3 Char1"/>
    <w:basedOn w:val="DefaultParagraphFont"/>
    <w:uiPriority w:val="9"/>
    <w:semiHidden/>
    <w:rsid w:val="00842D3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842D3D"/>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842D3D"/>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842D3D"/>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842D3D"/>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842D3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2D3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42D3D"/>
    <w:pPr>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84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D3D"/>
    <w:pPr>
      <w:numPr>
        <w:ilvl w:val="1"/>
      </w:numPr>
      <w:spacing w:after="160"/>
    </w:pPr>
    <w:rPr>
      <w:rFonts w:asciiTheme="minorHAnsi" w:eastAsia="Times New Roman" w:hAnsiTheme="minorHAnsi" w:cs="Times New Roman"/>
      <w:color w:val="595959"/>
      <w:spacing w:val="15"/>
      <w:sz w:val="28"/>
      <w:szCs w:val="28"/>
    </w:rPr>
  </w:style>
  <w:style w:type="character" w:customStyle="1" w:styleId="SubtitleChar1">
    <w:name w:val="Subtitle Char1"/>
    <w:basedOn w:val="DefaultParagraphFont"/>
    <w:uiPriority w:val="11"/>
    <w:rsid w:val="00842D3D"/>
    <w:rPr>
      <w:rFonts w:eastAsiaTheme="minorEastAsia"/>
      <w:color w:val="5A5A5A" w:themeColor="text1" w:themeTint="A5"/>
      <w:spacing w:val="15"/>
    </w:rPr>
  </w:style>
  <w:style w:type="paragraph" w:styleId="Quote">
    <w:name w:val="Quote"/>
    <w:basedOn w:val="Normal"/>
    <w:next w:val="Normal"/>
    <w:link w:val="QuoteChar"/>
    <w:uiPriority w:val="29"/>
    <w:qFormat/>
    <w:rsid w:val="00842D3D"/>
    <w:pPr>
      <w:spacing w:before="200" w:after="160"/>
      <w:ind w:left="864" w:right="864"/>
      <w:jc w:val="center"/>
    </w:pPr>
    <w:rPr>
      <w:rFonts w:asciiTheme="minorHAnsi" w:hAnsiTheme="minorHAnsi"/>
      <w:i/>
      <w:iCs/>
      <w:color w:val="404040"/>
      <w:sz w:val="22"/>
    </w:rPr>
  </w:style>
  <w:style w:type="character" w:customStyle="1" w:styleId="QuoteChar1">
    <w:name w:val="Quote Char1"/>
    <w:basedOn w:val="DefaultParagraphFont"/>
    <w:uiPriority w:val="29"/>
    <w:rsid w:val="00842D3D"/>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842D3D"/>
    <w:rPr>
      <w:i/>
      <w:iCs/>
      <w:color w:val="4472C4" w:themeColor="accent1"/>
    </w:rPr>
  </w:style>
  <w:style w:type="paragraph" w:styleId="IntenseQuote">
    <w:name w:val="Intense Quote"/>
    <w:basedOn w:val="Normal"/>
    <w:next w:val="Normal"/>
    <w:link w:val="IntenseQuoteChar"/>
    <w:uiPriority w:val="30"/>
    <w:qFormat/>
    <w:rsid w:val="00842D3D"/>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0F4761"/>
      <w:sz w:val="22"/>
    </w:rPr>
  </w:style>
  <w:style w:type="character" w:customStyle="1" w:styleId="IntenseQuoteChar1">
    <w:name w:val="Intense Quote Char1"/>
    <w:basedOn w:val="DefaultParagraphFont"/>
    <w:uiPriority w:val="30"/>
    <w:rsid w:val="00842D3D"/>
    <w:rPr>
      <w:rFonts w:ascii="Times New Roman" w:hAnsi="Times New Roman"/>
      <w:i/>
      <w:iCs/>
      <w:color w:val="4472C4" w:themeColor="accent1"/>
      <w:sz w:val="24"/>
    </w:rPr>
  </w:style>
  <w:style w:type="character" w:styleId="IntenseReference">
    <w:name w:val="Intense Reference"/>
    <w:basedOn w:val="DefaultParagraphFont"/>
    <w:uiPriority w:val="32"/>
    <w:qFormat/>
    <w:rsid w:val="00842D3D"/>
    <w:rPr>
      <w:b/>
      <w:bCs/>
      <w:smallCaps/>
      <w:color w:val="4472C4" w:themeColor="accent1"/>
      <w:spacing w:val="5"/>
    </w:rPr>
  </w:style>
  <w:style w:type="numbering" w:customStyle="1" w:styleId="NoList3">
    <w:name w:val="No List3"/>
    <w:next w:val="NoList"/>
    <w:uiPriority w:val="99"/>
    <w:semiHidden/>
    <w:unhideWhenUsed/>
    <w:rsid w:val="00842D3D"/>
  </w:style>
  <w:style w:type="numbering" w:customStyle="1" w:styleId="NoList12">
    <w:name w:val="No List12"/>
    <w:next w:val="NoList"/>
    <w:uiPriority w:val="99"/>
    <w:semiHidden/>
    <w:unhideWhenUsed/>
    <w:rsid w:val="00842D3D"/>
  </w:style>
  <w:style w:type="numbering" w:customStyle="1" w:styleId="NoList21">
    <w:name w:val="No List21"/>
    <w:next w:val="NoList"/>
    <w:uiPriority w:val="99"/>
    <w:semiHidden/>
    <w:unhideWhenUsed/>
    <w:rsid w:val="00842D3D"/>
  </w:style>
  <w:style w:type="table" w:styleId="TableGrid">
    <w:name w:val="Table Grid"/>
    <w:basedOn w:val="TableNormal"/>
    <w:uiPriority w:val="39"/>
    <w:rsid w:val="00EC61F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4006">
      <w:bodyDiv w:val="1"/>
      <w:marLeft w:val="0"/>
      <w:marRight w:val="0"/>
      <w:marTop w:val="0"/>
      <w:marBottom w:val="0"/>
      <w:divBdr>
        <w:top w:val="none" w:sz="0" w:space="0" w:color="auto"/>
        <w:left w:val="none" w:sz="0" w:space="0" w:color="auto"/>
        <w:bottom w:val="none" w:sz="0" w:space="0" w:color="auto"/>
        <w:right w:val="none" w:sz="0" w:space="0" w:color="auto"/>
      </w:divBdr>
    </w:div>
    <w:div w:id="398214735">
      <w:bodyDiv w:val="1"/>
      <w:marLeft w:val="0"/>
      <w:marRight w:val="0"/>
      <w:marTop w:val="0"/>
      <w:marBottom w:val="0"/>
      <w:divBdr>
        <w:top w:val="none" w:sz="0" w:space="0" w:color="auto"/>
        <w:left w:val="none" w:sz="0" w:space="0" w:color="auto"/>
        <w:bottom w:val="none" w:sz="0" w:space="0" w:color="auto"/>
        <w:right w:val="none" w:sz="0" w:space="0" w:color="auto"/>
      </w:divBdr>
      <w:divsChild>
        <w:div w:id="16346554">
          <w:marLeft w:val="0"/>
          <w:marRight w:val="0"/>
          <w:marTop w:val="0"/>
          <w:marBottom w:val="0"/>
          <w:divBdr>
            <w:top w:val="none" w:sz="0" w:space="0" w:color="3D3D3D"/>
            <w:left w:val="none" w:sz="0" w:space="0" w:color="3D3D3D"/>
            <w:bottom w:val="none" w:sz="0" w:space="0" w:color="3D3D3D"/>
            <w:right w:val="none" w:sz="0" w:space="0" w:color="3D3D3D"/>
          </w:divBdr>
          <w:divsChild>
            <w:div w:id="7227542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3942841">
      <w:bodyDiv w:val="1"/>
      <w:marLeft w:val="0"/>
      <w:marRight w:val="0"/>
      <w:marTop w:val="0"/>
      <w:marBottom w:val="0"/>
      <w:divBdr>
        <w:top w:val="none" w:sz="0" w:space="0" w:color="auto"/>
        <w:left w:val="none" w:sz="0" w:space="0" w:color="auto"/>
        <w:bottom w:val="none" w:sz="0" w:space="0" w:color="auto"/>
        <w:right w:val="none" w:sz="0" w:space="0" w:color="auto"/>
      </w:divBdr>
      <w:divsChild>
        <w:div w:id="1091896908">
          <w:marLeft w:val="0"/>
          <w:marRight w:val="0"/>
          <w:marTop w:val="0"/>
          <w:marBottom w:val="0"/>
          <w:divBdr>
            <w:top w:val="none" w:sz="0" w:space="0" w:color="3D3D3D"/>
            <w:left w:val="none" w:sz="0" w:space="0" w:color="3D3D3D"/>
            <w:bottom w:val="none" w:sz="0" w:space="0" w:color="3D3D3D"/>
            <w:right w:val="none" w:sz="0" w:space="0" w:color="3D3D3D"/>
          </w:divBdr>
          <w:divsChild>
            <w:div w:id="393509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074339">
      <w:bodyDiv w:val="1"/>
      <w:marLeft w:val="0"/>
      <w:marRight w:val="0"/>
      <w:marTop w:val="0"/>
      <w:marBottom w:val="0"/>
      <w:divBdr>
        <w:top w:val="none" w:sz="0" w:space="0" w:color="auto"/>
        <w:left w:val="none" w:sz="0" w:space="0" w:color="auto"/>
        <w:bottom w:val="none" w:sz="0" w:space="0" w:color="auto"/>
        <w:right w:val="none" w:sz="0" w:space="0" w:color="auto"/>
      </w:divBdr>
    </w:div>
    <w:div w:id="804663060">
      <w:bodyDiv w:val="1"/>
      <w:marLeft w:val="0"/>
      <w:marRight w:val="0"/>
      <w:marTop w:val="0"/>
      <w:marBottom w:val="0"/>
      <w:divBdr>
        <w:top w:val="none" w:sz="0" w:space="0" w:color="auto"/>
        <w:left w:val="none" w:sz="0" w:space="0" w:color="auto"/>
        <w:bottom w:val="none" w:sz="0" w:space="0" w:color="auto"/>
        <w:right w:val="none" w:sz="0" w:space="0" w:color="auto"/>
      </w:divBdr>
    </w:div>
    <w:div w:id="849879736">
      <w:bodyDiv w:val="1"/>
      <w:marLeft w:val="0"/>
      <w:marRight w:val="0"/>
      <w:marTop w:val="0"/>
      <w:marBottom w:val="0"/>
      <w:divBdr>
        <w:top w:val="none" w:sz="0" w:space="0" w:color="auto"/>
        <w:left w:val="none" w:sz="0" w:space="0" w:color="auto"/>
        <w:bottom w:val="none" w:sz="0" w:space="0" w:color="auto"/>
        <w:right w:val="none" w:sz="0" w:space="0" w:color="auto"/>
      </w:divBdr>
    </w:div>
    <w:div w:id="1097404038">
      <w:bodyDiv w:val="1"/>
      <w:marLeft w:val="0"/>
      <w:marRight w:val="0"/>
      <w:marTop w:val="0"/>
      <w:marBottom w:val="0"/>
      <w:divBdr>
        <w:top w:val="none" w:sz="0" w:space="0" w:color="auto"/>
        <w:left w:val="none" w:sz="0" w:space="0" w:color="auto"/>
        <w:bottom w:val="none" w:sz="0" w:space="0" w:color="auto"/>
        <w:right w:val="none" w:sz="0" w:space="0" w:color="auto"/>
      </w:divBdr>
    </w:div>
    <w:div w:id="1441101843">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737971980">
      <w:bodyDiv w:val="1"/>
      <w:marLeft w:val="0"/>
      <w:marRight w:val="0"/>
      <w:marTop w:val="0"/>
      <w:marBottom w:val="0"/>
      <w:divBdr>
        <w:top w:val="none" w:sz="0" w:space="0" w:color="auto"/>
        <w:left w:val="none" w:sz="0" w:space="0" w:color="auto"/>
        <w:bottom w:val="none" w:sz="0" w:space="0" w:color="auto"/>
        <w:right w:val="none" w:sz="0" w:space="0" w:color="auto"/>
      </w:divBdr>
    </w:div>
    <w:div w:id="1759405278">
      <w:bodyDiv w:val="1"/>
      <w:marLeft w:val="0"/>
      <w:marRight w:val="0"/>
      <w:marTop w:val="0"/>
      <w:marBottom w:val="0"/>
      <w:divBdr>
        <w:top w:val="none" w:sz="0" w:space="0" w:color="auto"/>
        <w:left w:val="none" w:sz="0" w:space="0" w:color="auto"/>
        <w:bottom w:val="none" w:sz="0" w:space="0" w:color="auto"/>
        <w:right w:val="none" w:sz="0" w:space="0" w:color="auto"/>
      </w:divBdr>
    </w:div>
    <w:div w:id="209662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9.uscourts.gov/jury-instructions/model-civil" TargetMode="External"/><Relationship Id="rId13" Type="http://schemas.openxmlformats.org/officeDocument/2006/relationships/hyperlink" Target="https://www.ca11.uscourts.gov/sites/default/files/courtdocs/clk/FormCivilPatternJuryInstructionsRevisedAPR2024.pdf" TargetMode="External"/><Relationship Id="rId18" Type="http://schemas.openxmlformats.org/officeDocument/2006/relationships/hyperlink" Target="https://perma.cc/GHB2-93X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perma.cc/GHB2-93X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a9.uscourts.gov/guides/section-1983-outline/"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erma.cc/GHB2-93XS" TargetMode="External"/><Relationship Id="rId20" Type="http://schemas.openxmlformats.org/officeDocument/2006/relationships/hyperlink" Target="https://www.ca9.uscourts.gov/guides/section-1983-outli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erma.cc/9XGC-LHVT" TargetMode="External"/><Relationship Id="rId5" Type="http://schemas.openxmlformats.org/officeDocument/2006/relationships/webSettings" Target="webSettings.xml"/><Relationship Id="rId15" Type="http://schemas.openxmlformats.org/officeDocument/2006/relationships/hyperlink" Target="https://www.ca9.uscourts.gov/guides/section-1983-outline/" TargetMode="External"/><Relationship Id="rId23" Type="http://schemas.openxmlformats.org/officeDocument/2006/relationships/hyperlink" Target="https://cand.uscourts.gov/wp-content/uploads/forms/jury-instructions/NDCA_Model_Patent_Jury_Instructions_erroneous-citation-omitted-10-28-24.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a9.uscourts.gov/guides/section-1983-outline/" TargetMode="External"/><Relationship Id="rId4" Type="http://schemas.openxmlformats.org/officeDocument/2006/relationships/settings" Target="settings.xml"/><Relationship Id="rId9" Type="http://schemas.openxmlformats.org/officeDocument/2006/relationships/hyperlink" Target="mailto:juryinstructions@ce9.uscourts.gov" TargetMode="External"/><Relationship Id="rId14" Type="http://schemas.openxmlformats.org/officeDocument/2006/relationships/hyperlink" Target="https://perma.cc/47JL-KDVS" TargetMode="External"/><Relationship Id="rId22" Type="http://schemas.openxmlformats.org/officeDocument/2006/relationships/hyperlink" Target="https://1.next.westlaw.com/Link/Document/FullText?findType=Y&amp;serNum=1980106884&amp;pubNum=350&amp;originatingDoc=I9a5ded2c945811d9a707f4371c9c34f0&amp;refType=RP&amp;fi=co_pp_sp_350_1214&amp;originationContext=document&amp;transitionType=DocumentItem&amp;ppcid=12f35abafcfa4124b478d9a9e3da2406&amp;contextData=(sc.UserEnteredCitation)"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TotalTime>
  <Pages>612</Pages>
  <Words>204923</Words>
  <Characters>1168064</Characters>
  <Application>Microsoft Office Word</Application>
  <DocSecurity>0</DocSecurity>
  <Lines>9733</Lines>
  <Paragraphs>2740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Samriddhi Rana</cp:lastModifiedBy>
  <cp:revision>59</cp:revision>
  <cp:lastPrinted>2026-02-09T19:56:00Z</cp:lastPrinted>
  <dcterms:created xsi:type="dcterms:W3CDTF">2025-05-30T22:05:00Z</dcterms:created>
  <dcterms:modified xsi:type="dcterms:W3CDTF">2026-05-01T21:00:00Z</dcterms:modified>
</cp:coreProperties>
</file>