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9DA8" w14:textId="77777777" w:rsidR="002D2353" w:rsidRDefault="00A64334" w:rsidP="00A64334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21"/>
      <w:bookmarkStart w:id="1" w:name="_Toc83310677"/>
      <w:bookmarkStart w:id="2" w:name="_Toc83362476"/>
      <w:bookmarkStart w:id="3" w:name="_Toc83362885"/>
      <w:bookmarkStart w:id="4" w:name="_Toc90309943"/>
      <w:bookmarkStart w:id="5" w:name="_Toc90389801"/>
      <w:bookmarkStart w:id="6" w:name="_Toc90860381"/>
      <w:r w:rsidRPr="00A64334">
        <w:rPr>
          <w:rFonts w:cs="Times New Roman"/>
          <w:b/>
          <w:bCs/>
          <w:szCs w:val="24"/>
        </w:rPr>
        <w:t xml:space="preserve">10.8 Illegal Gratuity to Witness </w:t>
      </w:r>
    </w:p>
    <w:p w14:paraId="455C8C11" w14:textId="1AA80F33" w:rsidR="00A64334" w:rsidRPr="00A64334" w:rsidRDefault="00A64334" w:rsidP="00A64334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A64334">
        <w:rPr>
          <w:rFonts w:cs="Times New Roman"/>
          <w:b/>
          <w:bCs/>
          <w:szCs w:val="24"/>
        </w:rPr>
        <w:t>(18 U.S.C. § 201(c)(2))</w:t>
      </w:r>
      <w:bookmarkEnd w:id="0"/>
      <w:bookmarkEnd w:id="1"/>
      <w:bookmarkEnd w:id="2"/>
      <w:bookmarkEnd w:id="3"/>
      <w:bookmarkEnd w:id="4"/>
      <w:bookmarkEnd w:id="5"/>
      <w:bookmarkEnd w:id="6"/>
    </w:p>
    <w:p w14:paraId="0A764C49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</w:p>
    <w:p w14:paraId="77593367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  <w:r w:rsidRPr="00A64334">
        <w:rPr>
          <w:rFonts w:eastAsia="Times New Roman" w:cs="Times New Roman"/>
          <w:color w:val="000000"/>
          <w:szCs w:val="24"/>
        </w:rPr>
        <w:tab/>
        <w:t>The defendant is charged in [Count _______ of] the indictment with [giving] [offering] [promising] an illegal gratuity in violation of Section 201(c)(2) of Title 18 of the United States Code.  For the defendant to be found guilty of that charge, the government must prove beyond a reasonable doubt that the defendant [gave] [offered] [promised] something of value, [</w:t>
      </w:r>
      <w:r w:rsidRPr="00A64334">
        <w:rPr>
          <w:rFonts w:eastAsia="Times New Roman" w:cs="Times New Roman"/>
          <w:i/>
          <w:color w:val="000000"/>
          <w:szCs w:val="24"/>
          <w:u w:val="single"/>
        </w:rPr>
        <w:t>specify the thing of value</w:t>
      </w:r>
      <w:r w:rsidRPr="00A64334">
        <w:rPr>
          <w:rFonts w:eastAsia="Times New Roman" w:cs="Times New Roman"/>
          <w:color w:val="000000"/>
          <w:szCs w:val="24"/>
        </w:rPr>
        <w:t>], to [</w:t>
      </w:r>
      <w:r w:rsidRPr="00A64334">
        <w:rPr>
          <w:rFonts w:eastAsia="Times New Roman" w:cs="Times New Roman"/>
          <w:i/>
          <w:color w:val="000000"/>
          <w:szCs w:val="24"/>
          <w:u w:val="single"/>
        </w:rPr>
        <w:t>name of witness</w:t>
      </w:r>
      <w:r w:rsidRPr="00A64334">
        <w:rPr>
          <w:rFonts w:eastAsia="Times New Roman" w:cs="Times New Roman"/>
          <w:color w:val="000000"/>
          <w:szCs w:val="24"/>
        </w:rPr>
        <w:t>] [for testimony to be given under oath by [him] [her] in [</w:t>
      </w:r>
      <w:r w:rsidRPr="00A64334">
        <w:rPr>
          <w:rFonts w:eastAsia="Times New Roman" w:cs="Times New Roman"/>
          <w:i/>
          <w:color w:val="000000"/>
          <w:szCs w:val="24"/>
          <w:u w:val="single"/>
        </w:rPr>
        <w:t>specify proceeding</w:t>
      </w:r>
      <w:r w:rsidRPr="00A64334">
        <w:rPr>
          <w:rFonts w:eastAsia="Times New Roman" w:cs="Times New Roman"/>
          <w:color w:val="000000"/>
          <w:szCs w:val="24"/>
        </w:rPr>
        <w:t>]] [because of testimony given under oath by [</w:t>
      </w:r>
      <w:r w:rsidRPr="00A64334">
        <w:rPr>
          <w:rFonts w:eastAsia="Times New Roman" w:cs="Times New Roman"/>
          <w:i/>
          <w:color w:val="000000"/>
          <w:szCs w:val="24"/>
          <w:u w:val="single"/>
        </w:rPr>
        <w:t>name of witness</w:t>
      </w:r>
      <w:r w:rsidRPr="00A64334">
        <w:rPr>
          <w:rFonts w:eastAsia="Times New Roman" w:cs="Times New Roman"/>
          <w:color w:val="000000"/>
          <w:szCs w:val="24"/>
        </w:rPr>
        <w:t xml:space="preserve">] at/in </w:t>
      </w:r>
      <w:r w:rsidRPr="00A64334">
        <w:rPr>
          <w:rFonts w:eastAsia="Times New Roman" w:cs="Times New Roman"/>
          <w:color w:val="000000"/>
          <w:szCs w:val="24"/>
          <w:u w:val="single"/>
        </w:rPr>
        <w:t>[</w:t>
      </w:r>
      <w:r w:rsidRPr="00A64334">
        <w:rPr>
          <w:rFonts w:eastAsia="Times New Roman" w:cs="Times New Roman"/>
          <w:i/>
          <w:color w:val="000000"/>
          <w:szCs w:val="24"/>
          <w:u w:val="single"/>
        </w:rPr>
        <w:t>specify proceeding</w:t>
      </w:r>
      <w:r w:rsidRPr="00A64334">
        <w:rPr>
          <w:rFonts w:eastAsia="Times New Roman" w:cs="Times New Roman"/>
          <w:color w:val="000000"/>
          <w:szCs w:val="24"/>
        </w:rPr>
        <w:t xml:space="preserve">]] [for being absent from </w:t>
      </w:r>
      <w:r w:rsidRPr="00A64334">
        <w:rPr>
          <w:rFonts w:eastAsia="Times New Roman" w:cs="Times New Roman"/>
          <w:color w:val="000000"/>
          <w:szCs w:val="24"/>
          <w:u w:val="single"/>
        </w:rPr>
        <w:t>[</w:t>
      </w:r>
      <w:r w:rsidRPr="00A64334">
        <w:rPr>
          <w:rFonts w:eastAsia="Times New Roman" w:cs="Times New Roman"/>
          <w:i/>
          <w:color w:val="000000"/>
          <w:szCs w:val="24"/>
          <w:u w:val="single"/>
        </w:rPr>
        <w:t>specify proceeding</w:t>
      </w:r>
      <w:r w:rsidRPr="00A64334">
        <w:rPr>
          <w:rFonts w:eastAsia="Times New Roman" w:cs="Times New Roman"/>
          <w:color w:val="000000"/>
          <w:szCs w:val="24"/>
          <w:u w:val="single"/>
        </w:rPr>
        <w:t>]</w:t>
      </w:r>
      <w:r w:rsidRPr="00A64334">
        <w:rPr>
          <w:rFonts w:eastAsia="Times New Roman" w:cs="Times New Roman"/>
          <w:color w:val="000000"/>
          <w:szCs w:val="24"/>
        </w:rPr>
        <w:t xml:space="preserve"> so that [he] [she] could not testify as a witness].</w:t>
      </w:r>
    </w:p>
    <w:p w14:paraId="34160109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</w:p>
    <w:p w14:paraId="4B32919B" w14:textId="77777777" w:rsidR="00A64334" w:rsidRPr="00A64334" w:rsidRDefault="00A64334" w:rsidP="00A64334">
      <w:pPr>
        <w:widowControl w:val="0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A64334">
        <w:rPr>
          <w:rFonts w:eastAsia="Times New Roman" w:cs="Times New Roman"/>
          <w:b/>
          <w:color w:val="000000"/>
          <w:szCs w:val="24"/>
        </w:rPr>
        <w:t>Comment</w:t>
      </w:r>
    </w:p>
    <w:p w14:paraId="6E08D141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</w:p>
    <w:p w14:paraId="6350A4AB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  <w:r w:rsidRPr="00A64334">
        <w:rPr>
          <w:rFonts w:eastAsia="Times New Roman" w:cs="Times New Roman"/>
          <w:color w:val="000000"/>
          <w:szCs w:val="24"/>
        </w:rPr>
        <w:tab/>
        <w:t xml:space="preserve">It is recommended that the instruction specifically describe the thing of value just as it is described in the indictment to avoid a variance.  </w:t>
      </w:r>
      <w:r w:rsidRPr="00A64334">
        <w:rPr>
          <w:rFonts w:eastAsia="Times New Roman" w:cs="Times New Roman"/>
          <w:i/>
          <w:color w:val="000000"/>
          <w:szCs w:val="24"/>
        </w:rPr>
        <w:t>See</w:t>
      </w:r>
      <w:r w:rsidRPr="00A64334">
        <w:rPr>
          <w:rFonts w:eastAsia="Times New Roman" w:cs="Times New Roman"/>
          <w:color w:val="000000"/>
          <w:szCs w:val="24"/>
        </w:rPr>
        <w:t xml:space="preserve"> Comment to Instruction 10.2 (Bribery of Federal Public Official). </w:t>
      </w:r>
    </w:p>
    <w:p w14:paraId="27CA3047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</w:p>
    <w:p w14:paraId="12AAECD0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  <w:r w:rsidRPr="00A64334">
        <w:rPr>
          <w:rFonts w:eastAsia="Times New Roman" w:cs="Times New Roman"/>
          <w:color w:val="000000"/>
          <w:szCs w:val="24"/>
        </w:rPr>
        <w:tab/>
      </w:r>
      <w:r w:rsidRPr="00A64334">
        <w:rPr>
          <w:rFonts w:eastAsia="Times New Roman" w:cs="Times New Roman"/>
          <w:i/>
          <w:color w:val="000000"/>
          <w:szCs w:val="24"/>
        </w:rPr>
        <w:t>See</w:t>
      </w:r>
      <w:r w:rsidRPr="00A64334">
        <w:rPr>
          <w:rFonts w:eastAsia="Times New Roman" w:cs="Times New Roman"/>
          <w:color w:val="000000"/>
          <w:szCs w:val="24"/>
        </w:rPr>
        <w:t xml:space="preserve"> Comment to Instruction 10.6 (Illegal Gratuity to Public Official).</w:t>
      </w:r>
    </w:p>
    <w:p w14:paraId="424B92F2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</w:p>
    <w:p w14:paraId="68512E45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  <w:r w:rsidRPr="00A64334">
        <w:rPr>
          <w:rFonts w:eastAsia="Times New Roman" w:cs="Times New Roman"/>
          <w:color w:val="000000"/>
          <w:szCs w:val="24"/>
        </w:rPr>
        <w:tab/>
        <w:t xml:space="preserve">Section 201(c)(2) does not prohibit the government from paying fees, housing, expenses, and cash rewards to a cooperating witness so long as the payment does not recompense any corruption of the truth of testimony.  </w:t>
      </w:r>
      <w:r w:rsidRPr="00A64334">
        <w:rPr>
          <w:rFonts w:eastAsia="Times New Roman" w:cs="Times New Roman"/>
          <w:i/>
          <w:color w:val="000000"/>
          <w:szCs w:val="24"/>
        </w:rPr>
        <w:t>United States v. Ihnatenko</w:t>
      </w:r>
      <w:r w:rsidRPr="00A64334">
        <w:rPr>
          <w:rFonts w:eastAsia="Times New Roman" w:cs="Times New Roman"/>
          <w:color w:val="000000"/>
          <w:szCs w:val="24"/>
        </w:rPr>
        <w:t xml:space="preserve">, 482 F.3d 1097, 1100 (9th Cir. 2007), </w:t>
      </w:r>
      <w:r w:rsidRPr="00A64334">
        <w:rPr>
          <w:rFonts w:eastAsia="Times New Roman" w:cs="Times New Roman"/>
          <w:i/>
          <w:color w:val="000000"/>
          <w:szCs w:val="24"/>
        </w:rPr>
        <w:t>cert. denied</w:t>
      </w:r>
      <w:r w:rsidRPr="00A64334">
        <w:rPr>
          <w:rFonts w:eastAsia="Times New Roman" w:cs="Times New Roman"/>
          <w:color w:val="000000"/>
          <w:szCs w:val="24"/>
        </w:rPr>
        <w:t xml:space="preserve">, 552 U.S. 904 (2007).  Section 201(c)(2) also does not prohibit the government from providing immigration benefits or leniency, immunity from prosecution, or leniency to a cooperating witness.  </w:t>
      </w:r>
      <w:r w:rsidRPr="00A64334">
        <w:rPr>
          <w:rFonts w:eastAsia="Times New Roman" w:cs="Times New Roman"/>
          <w:i/>
          <w:color w:val="000000"/>
          <w:szCs w:val="24"/>
        </w:rPr>
        <w:t>See United States v. Feng</w:t>
      </w:r>
      <w:r w:rsidRPr="00A64334">
        <w:rPr>
          <w:rFonts w:eastAsia="Times New Roman" w:cs="Times New Roman"/>
          <w:color w:val="000000"/>
          <w:szCs w:val="24"/>
        </w:rPr>
        <w:t xml:space="preserve">, 277 F.3d 1151, 1154 (9th Cir. 2002) (immigration benefits); </w:t>
      </w:r>
      <w:r w:rsidRPr="00A64334">
        <w:rPr>
          <w:rFonts w:eastAsia="Times New Roman" w:cs="Times New Roman"/>
          <w:i/>
          <w:color w:val="000000"/>
          <w:szCs w:val="24"/>
        </w:rPr>
        <w:t>United States v. Smith</w:t>
      </w:r>
      <w:r w:rsidRPr="00A64334">
        <w:rPr>
          <w:rFonts w:eastAsia="Times New Roman" w:cs="Times New Roman"/>
          <w:color w:val="000000"/>
          <w:szCs w:val="24"/>
        </w:rPr>
        <w:t xml:space="preserve">, 196 F.3d 1034, 1038–40 (9th Cir. 1999) (immunity); </w:t>
      </w:r>
      <w:r w:rsidRPr="00A64334">
        <w:rPr>
          <w:rFonts w:eastAsia="Times New Roman" w:cs="Times New Roman"/>
          <w:i/>
          <w:color w:val="000000"/>
          <w:szCs w:val="24"/>
        </w:rPr>
        <w:t>United States v. Mattarolo</w:t>
      </w:r>
      <w:r w:rsidRPr="00A64334">
        <w:rPr>
          <w:rFonts w:eastAsia="Times New Roman" w:cs="Times New Roman"/>
          <w:color w:val="000000"/>
          <w:szCs w:val="24"/>
        </w:rPr>
        <w:t>, 209 F.3d 1153, 1160 (9th Cir. 2000) (leniency).</w:t>
      </w:r>
    </w:p>
    <w:p w14:paraId="0D68FD8A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</w:p>
    <w:p w14:paraId="35D40C03" w14:textId="5EB52D7C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  <w:r w:rsidRPr="00A64334">
        <w:rPr>
          <w:rFonts w:eastAsia="Times New Roman" w:cs="Times New Roman"/>
          <w:color w:val="000000"/>
          <w:szCs w:val="24"/>
        </w:rPr>
        <w:tab/>
        <w:t>Depending on the facts in evidence, it may be appropriate to amend this instruction with language requiring specific jury unanimity (</w:t>
      </w:r>
      <w:r w:rsidRPr="00A64334">
        <w:rPr>
          <w:rFonts w:eastAsia="Times New Roman" w:cs="Times New Roman"/>
          <w:i/>
          <w:color w:val="000000"/>
          <w:szCs w:val="24"/>
        </w:rPr>
        <w:t>e.g.</w:t>
      </w:r>
      <w:r w:rsidRPr="00A64334">
        <w:rPr>
          <w:rFonts w:eastAsia="Times New Roman" w:cs="Times New Roman"/>
          <w:color w:val="000000"/>
          <w:szCs w:val="24"/>
        </w:rPr>
        <w:t xml:space="preserve">, “with all of you agreeing as to what the defendant intended the witness to do in return for the gratuity”).  </w:t>
      </w:r>
      <w:r w:rsidRPr="00A64334">
        <w:rPr>
          <w:rFonts w:eastAsia="Times New Roman" w:cs="Times New Roman"/>
          <w:i/>
          <w:color w:val="000000"/>
          <w:szCs w:val="24"/>
        </w:rPr>
        <w:t>See</w:t>
      </w:r>
      <w:r w:rsidRPr="00A64334">
        <w:rPr>
          <w:rFonts w:eastAsia="Times New Roman" w:cs="Times New Roman"/>
          <w:color w:val="000000"/>
          <w:szCs w:val="24"/>
        </w:rPr>
        <w:t xml:space="preserve"> Instruction 6.27 (Specific Issue Unanimity).</w:t>
      </w:r>
    </w:p>
    <w:p w14:paraId="22DD9B5E" w14:textId="77777777" w:rsidR="00A64334" w:rsidRPr="00A64334" w:rsidRDefault="00A64334" w:rsidP="00A64334">
      <w:pPr>
        <w:widowControl w:val="0"/>
        <w:rPr>
          <w:rFonts w:eastAsia="Times New Roman" w:cs="Times New Roman"/>
          <w:color w:val="000000"/>
          <w:szCs w:val="24"/>
        </w:rPr>
      </w:pPr>
    </w:p>
    <w:p w14:paraId="2A9E3B8B" w14:textId="77777777" w:rsidR="00A64334" w:rsidRPr="00A64334" w:rsidRDefault="00A64334" w:rsidP="00A64334">
      <w:pPr>
        <w:widowControl w:val="0"/>
        <w:jc w:val="right"/>
        <w:rPr>
          <w:rFonts w:eastAsia="Times New Roman" w:cs="Times New Roman"/>
          <w:color w:val="000000"/>
          <w:szCs w:val="24"/>
        </w:rPr>
      </w:pPr>
      <w:r w:rsidRPr="00A64334">
        <w:rPr>
          <w:rFonts w:eastAsia="Times New Roman" w:cs="Times New Roman"/>
          <w:i/>
          <w:color w:val="000000"/>
          <w:szCs w:val="24"/>
        </w:rPr>
        <w:t>Revised Apr. 2019</w:t>
      </w:r>
    </w:p>
    <w:p w14:paraId="0ACE18C0" w14:textId="76D83033" w:rsidR="00C97E04" w:rsidRPr="00A64334" w:rsidRDefault="00C97E04" w:rsidP="00A64334"/>
    <w:sectPr w:rsidR="00C97E04" w:rsidRPr="00A64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56526"/>
    <w:rsid w:val="001A0B87"/>
    <w:rsid w:val="001B4048"/>
    <w:rsid w:val="001D0020"/>
    <w:rsid w:val="001D1F41"/>
    <w:rsid w:val="00220C16"/>
    <w:rsid w:val="00251B8E"/>
    <w:rsid w:val="00276DB7"/>
    <w:rsid w:val="002810F9"/>
    <w:rsid w:val="00292D67"/>
    <w:rsid w:val="00294291"/>
    <w:rsid w:val="002A23F9"/>
    <w:rsid w:val="002C3980"/>
    <w:rsid w:val="002D2353"/>
    <w:rsid w:val="00311B89"/>
    <w:rsid w:val="00385EAC"/>
    <w:rsid w:val="003A725E"/>
    <w:rsid w:val="003B4349"/>
    <w:rsid w:val="003D3221"/>
    <w:rsid w:val="003E3B95"/>
    <w:rsid w:val="003F44F6"/>
    <w:rsid w:val="00412CD5"/>
    <w:rsid w:val="00420260"/>
    <w:rsid w:val="004232A7"/>
    <w:rsid w:val="00443346"/>
    <w:rsid w:val="00443FE7"/>
    <w:rsid w:val="004A2CFB"/>
    <w:rsid w:val="004D1662"/>
    <w:rsid w:val="004E4259"/>
    <w:rsid w:val="00542361"/>
    <w:rsid w:val="00550ED2"/>
    <w:rsid w:val="005A7428"/>
    <w:rsid w:val="005D7F8A"/>
    <w:rsid w:val="00623212"/>
    <w:rsid w:val="00646A26"/>
    <w:rsid w:val="006752C5"/>
    <w:rsid w:val="00675651"/>
    <w:rsid w:val="006B3C0B"/>
    <w:rsid w:val="006C06EF"/>
    <w:rsid w:val="006E4558"/>
    <w:rsid w:val="007008EB"/>
    <w:rsid w:val="007437A7"/>
    <w:rsid w:val="00755375"/>
    <w:rsid w:val="00765755"/>
    <w:rsid w:val="007847F9"/>
    <w:rsid w:val="007A1B33"/>
    <w:rsid w:val="007C6517"/>
    <w:rsid w:val="007D1A93"/>
    <w:rsid w:val="00812338"/>
    <w:rsid w:val="00813014"/>
    <w:rsid w:val="00890E7A"/>
    <w:rsid w:val="008962A3"/>
    <w:rsid w:val="008B4376"/>
    <w:rsid w:val="008B6CE7"/>
    <w:rsid w:val="00906160"/>
    <w:rsid w:val="00960C76"/>
    <w:rsid w:val="00970FFD"/>
    <w:rsid w:val="009947F5"/>
    <w:rsid w:val="009A2700"/>
    <w:rsid w:val="009A792F"/>
    <w:rsid w:val="009C0C69"/>
    <w:rsid w:val="009D0413"/>
    <w:rsid w:val="009F0A7C"/>
    <w:rsid w:val="009F5ED7"/>
    <w:rsid w:val="00A64334"/>
    <w:rsid w:val="00AA2B06"/>
    <w:rsid w:val="00AE279C"/>
    <w:rsid w:val="00AF516D"/>
    <w:rsid w:val="00B0682D"/>
    <w:rsid w:val="00B21672"/>
    <w:rsid w:val="00B43CDA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E04"/>
    <w:rsid w:val="00CB6ACA"/>
    <w:rsid w:val="00D0777F"/>
    <w:rsid w:val="00DC38EF"/>
    <w:rsid w:val="00DE0E57"/>
    <w:rsid w:val="00DF451A"/>
    <w:rsid w:val="00E56A96"/>
    <w:rsid w:val="00E90670"/>
    <w:rsid w:val="00EA658F"/>
    <w:rsid w:val="00EA72FC"/>
    <w:rsid w:val="00EB0197"/>
    <w:rsid w:val="00EC15D6"/>
    <w:rsid w:val="00EE714D"/>
    <w:rsid w:val="00F85877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Aejung Yoon</cp:lastModifiedBy>
  <cp:revision>4</cp:revision>
  <dcterms:created xsi:type="dcterms:W3CDTF">2022-05-19T18:00:00Z</dcterms:created>
  <dcterms:modified xsi:type="dcterms:W3CDTF">2022-09-29T23:07:00Z</dcterms:modified>
</cp:coreProperties>
</file>