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4F89" w14:textId="77777777" w:rsidR="00AE2FCD" w:rsidRPr="00AE2FCD" w:rsidRDefault="00AE2FCD" w:rsidP="00AE2FC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29"/>
      <w:bookmarkStart w:id="1" w:name="_Toc83310685"/>
      <w:bookmarkStart w:id="2" w:name="_Toc83362484"/>
      <w:bookmarkStart w:id="3" w:name="_Toc83362893"/>
      <w:bookmarkStart w:id="4" w:name="_Toc90309951"/>
      <w:bookmarkStart w:id="5" w:name="_Toc90389809"/>
      <w:bookmarkStart w:id="6" w:name="_Toc90860389"/>
      <w:r w:rsidRPr="00AE2FCD">
        <w:rPr>
          <w:rFonts w:cs="Times New Roman"/>
          <w:b/>
          <w:bCs/>
          <w:szCs w:val="24"/>
        </w:rPr>
        <w:t xml:space="preserve">11.6 Conspiracy—Liability for Substantive Offense Committed </w:t>
      </w:r>
    </w:p>
    <w:p w14:paraId="6FB120D2" w14:textId="77777777" w:rsidR="00AE2FCD" w:rsidRPr="00AE2FCD" w:rsidRDefault="00AE2FCD" w:rsidP="00AE2FC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AE2FCD">
        <w:rPr>
          <w:rFonts w:cs="Times New Roman"/>
          <w:b/>
          <w:bCs/>
          <w:szCs w:val="24"/>
        </w:rPr>
        <w:t>by Co-Conspirator (</w:t>
      </w:r>
      <w:r w:rsidRPr="00AE2FCD">
        <w:rPr>
          <w:rFonts w:cs="Times New Roman"/>
          <w:b/>
          <w:bCs/>
          <w:i/>
          <w:szCs w:val="24"/>
        </w:rPr>
        <w:t xml:space="preserve">Pinkerton </w:t>
      </w:r>
      <w:r w:rsidRPr="00AE2FCD">
        <w:rPr>
          <w:rFonts w:cs="Times New Roman"/>
          <w:b/>
          <w:bCs/>
          <w:szCs w:val="24"/>
        </w:rPr>
        <w:t>Charge)</w:t>
      </w:r>
      <w:bookmarkEnd w:id="0"/>
      <w:bookmarkEnd w:id="1"/>
      <w:bookmarkEnd w:id="2"/>
      <w:bookmarkEnd w:id="3"/>
      <w:bookmarkEnd w:id="4"/>
      <w:bookmarkEnd w:id="5"/>
      <w:bookmarkEnd w:id="6"/>
    </w:p>
    <w:p w14:paraId="79450143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674E539C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>Each member of the conspiracy is responsible for the actions of the other conspirators performed during the course and in furtherance of the conspiracy.  If one member of a conspiracy commits a crime in furtherance of a conspiracy, the other members have also, under the law, committed that crime.</w:t>
      </w:r>
    </w:p>
    <w:p w14:paraId="42EA73A5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376350F7" w14:textId="226C0696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>Therefore, you may find the defendant guilty of [</w:t>
      </w:r>
      <w:r w:rsidRPr="00AE2FCD">
        <w:rPr>
          <w:rFonts w:eastAsia="Times New Roman" w:cs="Times New Roman"/>
          <w:i/>
          <w:color w:val="000000"/>
          <w:szCs w:val="24"/>
          <w:u w:val="single"/>
        </w:rPr>
        <w:t>specify crime</w:t>
      </w:r>
      <w:r w:rsidRPr="00AE2FCD">
        <w:rPr>
          <w:rFonts w:eastAsia="Times New Roman" w:cs="Times New Roman"/>
          <w:color w:val="000000"/>
          <w:szCs w:val="24"/>
        </w:rPr>
        <w:t xml:space="preserve">] as charged in </w:t>
      </w:r>
      <w:r w:rsidR="00457373">
        <w:rPr>
          <w:rFonts w:eastAsia="Times New Roman" w:cs="Times New Roman"/>
          <w:color w:val="000000"/>
          <w:szCs w:val="24"/>
        </w:rPr>
        <w:t>[</w:t>
      </w:r>
      <w:r w:rsidRPr="00AE2FCD">
        <w:rPr>
          <w:rFonts w:eastAsia="Times New Roman" w:cs="Times New Roman"/>
          <w:color w:val="000000"/>
          <w:szCs w:val="24"/>
        </w:rPr>
        <w:t>Count ___</w:t>
      </w:r>
      <w:r w:rsidR="00457373">
        <w:rPr>
          <w:rFonts w:eastAsia="Times New Roman" w:cs="Times New Roman"/>
          <w:color w:val="000000"/>
          <w:szCs w:val="24"/>
        </w:rPr>
        <w:t>]</w:t>
      </w:r>
      <w:r w:rsidRPr="00AE2FCD">
        <w:rPr>
          <w:rFonts w:eastAsia="Times New Roman" w:cs="Times New Roman"/>
          <w:color w:val="000000"/>
          <w:szCs w:val="24"/>
        </w:rPr>
        <w:t xml:space="preserve"> of the indictment if the government has proved each of the following elements beyond a reasonable doubt:</w:t>
      </w:r>
    </w:p>
    <w:p w14:paraId="7825ED44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620C4C3A" w14:textId="73E5883C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 xml:space="preserve">First, a person named in </w:t>
      </w:r>
      <w:r w:rsidR="00457373">
        <w:rPr>
          <w:rFonts w:eastAsia="Times New Roman" w:cs="Times New Roman"/>
          <w:color w:val="000000"/>
          <w:szCs w:val="24"/>
        </w:rPr>
        <w:t>[</w:t>
      </w:r>
      <w:r w:rsidRPr="00AE2FCD">
        <w:rPr>
          <w:rFonts w:eastAsia="Times New Roman" w:cs="Times New Roman"/>
          <w:color w:val="000000"/>
          <w:szCs w:val="24"/>
        </w:rPr>
        <w:t>Count _______</w:t>
      </w:r>
      <w:r w:rsidR="00457373">
        <w:rPr>
          <w:rFonts w:eastAsia="Times New Roman" w:cs="Times New Roman"/>
          <w:color w:val="000000"/>
          <w:szCs w:val="24"/>
        </w:rPr>
        <w:t>]</w:t>
      </w:r>
      <w:r w:rsidRPr="00AE2FCD">
        <w:rPr>
          <w:rFonts w:eastAsia="Times New Roman" w:cs="Times New Roman"/>
          <w:color w:val="000000"/>
          <w:szCs w:val="24"/>
        </w:rPr>
        <w:t xml:space="preserve"> of the indictment committed the crime of [</w:t>
      </w:r>
      <w:r w:rsidRPr="00AE2FCD">
        <w:rPr>
          <w:rFonts w:eastAsia="Times New Roman" w:cs="Times New Roman"/>
          <w:i/>
          <w:color w:val="000000"/>
          <w:szCs w:val="24"/>
          <w:u w:val="single"/>
        </w:rPr>
        <w:t>specify crime</w:t>
      </w:r>
      <w:r w:rsidRPr="00AE2FCD">
        <w:rPr>
          <w:rFonts w:eastAsia="Times New Roman" w:cs="Times New Roman"/>
          <w:color w:val="000000"/>
          <w:szCs w:val="24"/>
        </w:rPr>
        <w:t xml:space="preserve">] as alleged in that </w:t>
      </w:r>
      <w:proofErr w:type="gramStart"/>
      <w:r w:rsidRPr="00AE2FCD">
        <w:rPr>
          <w:rFonts w:eastAsia="Times New Roman" w:cs="Times New Roman"/>
          <w:color w:val="000000"/>
          <w:szCs w:val="24"/>
        </w:rPr>
        <w:t>count;</w:t>
      </w:r>
      <w:proofErr w:type="gramEnd"/>
    </w:p>
    <w:p w14:paraId="0CD53719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6AAF6E61" w14:textId="1E616D96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 xml:space="preserve">Second, the person was a member of the conspiracy charged in </w:t>
      </w:r>
      <w:r w:rsidR="00457373">
        <w:rPr>
          <w:rFonts w:eastAsia="Times New Roman" w:cs="Times New Roman"/>
          <w:color w:val="000000"/>
          <w:szCs w:val="24"/>
        </w:rPr>
        <w:t>[</w:t>
      </w:r>
      <w:r w:rsidRPr="00AE2FCD">
        <w:rPr>
          <w:rFonts w:eastAsia="Times New Roman" w:cs="Times New Roman"/>
          <w:color w:val="000000"/>
          <w:szCs w:val="24"/>
        </w:rPr>
        <w:t>Count</w:t>
      </w:r>
      <w:bookmarkStart w:id="7" w:name="_Hlk115360373"/>
      <w:r w:rsidRPr="00AE2FCD">
        <w:rPr>
          <w:rFonts w:eastAsia="Times New Roman" w:cs="Times New Roman"/>
          <w:color w:val="000000"/>
          <w:szCs w:val="24"/>
        </w:rPr>
        <w:t xml:space="preserve"> _______</w:t>
      </w:r>
      <w:r w:rsidR="00457373">
        <w:rPr>
          <w:rFonts w:eastAsia="Times New Roman" w:cs="Times New Roman"/>
          <w:color w:val="000000"/>
          <w:szCs w:val="24"/>
        </w:rPr>
        <w:t>]</w:t>
      </w:r>
      <w:bookmarkEnd w:id="7"/>
      <w:r w:rsidRPr="00AE2FCD">
        <w:rPr>
          <w:rFonts w:eastAsia="Times New Roman" w:cs="Times New Roman"/>
          <w:color w:val="000000"/>
          <w:szCs w:val="24"/>
        </w:rPr>
        <w:t xml:space="preserve"> of the </w:t>
      </w:r>
      <w:proofErr w:type="gramStart"/>
      <w:r w:rsidRPr="00AE2FCD">
        <w:rPr>
          <w:rFonts w:eastAsia="Times New Roman" w:cs="Times New Roman"/>
          <w:color w:val="000000"/>
          <w:szCs w:val="24"/>
        </w:rPr>
        <w:t>indictment;</w:t>
      </w:r>
      <w:proofErr w:type="gramEnd"/>
    </w:p>
    <w:p w14:paraId="672A7732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632BB1F2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b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>Third, the person committed the crime of [</w:t>
      </w:r>
      <w:r w:rsidRPr="00AE2FCD">
        <w:rPr>
          <w:rFonts w:eastAsia="Times New Roman" w:cs="Times New Roman"/>
          <w:i/>
          <w:color w:val="000000"/>
          <w:szCs w:val="24"/>
          <w:u w:val="single"/>
        </w:rPr>
        <w:t>specify crime</w:t>
      </w:r>
      <w:r w:rsidRPr="00AE2FCD">
        <w:rPr>
          <w:rFonts w:eastAsia="Times New Roman" w:cs="Times New Roman"/>
          <w:color w:val="000000"/>
          <w:szCs w:val="24"/>
        </w:rPr>
        <w:t xml:space="preserve">] in furtherance of the </w:t>
      </w:r>
      <w:proofErr w:type="gramStart"/>
      <w:r w:rsidRPr="00AE2FCD">
        <w:rPr>
          <w:rFonts w:eastAsia="Times New Roman" w:cs="Times New Roman"/>
          <w:color w:val="000000"/>
          <w:szCs w:val="24"/>
        </w:rPr>
        <w:t>conspiracy;</w:t>
      </w:r>
      <w:proofErr w:type="gramEnd"/>
    </w:p>
    <w:p w14:paraId="1E5689A0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78EA8A80" w14:textId="15FB7A1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>Fourth, the defendant was a member of the same conspiracy at the time the offense charged in</w:t>
      </w:r>
      <w:r w:rsidR="00457373">
        <w:rPr>
          <w:rFonts w:eastAsia="Times New Roman" w:cs="Times New Roman"/>
          <w:color w:val="000000"/>
          <w:szCs w:val="24"/>
        </w:rPr>
        <w:t xml:space="preserve"> </w:t>
      </w:r>
      <w:r w:rsidR="00457373">
        <w:rPr>
          <w:rFonts w:eastAsia="Times New Roman" w:cs="Times New Roman"/>
          <w:color w:val="000000"/>
          <w:szCs w:val="24"/>
        </w:rPr>
        <w:t>[</w:t>
      </w:r>
      <w:r w:rsidR="00457373" w:rsidRPr="00AE2FCD">
        <w:rPr>
          <w:rFonts w:eastAsia="Times New Roman" w:cs="Times New Roman"/>
          <w:color w:val="000000"/>
          <w:szCs w:val="24"/>
        </w:rPr>
        <w:t>Count</w:t>
      </w:r>
      <w:r w:rsidR="00457373" w:rsidRPr="00457373">
        <w:rPr>
          <w:rFonts w:eastAsia="Times New Roman" w:cs="Times New Roman"/>
          <w:color w:val="000000"/>
          <w:szCs w:val="24"/>
          <w:u w:val="single"/>
        </w:rPr>
        <w:t xml:space="preserve"> _______</w:t>
      </w:r>
      <w:r w:rsidR="00457373">
        <w:rPr>
          <w:rFonts w:eastAsia="Times New Roman" w:cs="Times New Roman"/>
          <w:color w:val="000000"/>
          <w:szCs w:val="24"/>
        </w:rPr>
        <w:t>]</w:t>
      </w:r>
      <w:r w:rsidR="00457373" w:rsidRPr="00AE2FCD">
        <w:rPr>
          <w:rFonts w:eastAsia="Times New Roman" w:cs="Times New Roman"/>
          <w:color w:val="000000"/>
          <w:szCs w:val="24"/>
        </w:rPr>
        <w:t xml:space="preserve"> </w:t>
      </w:r>
      <w:r w:rsidRPr="00AE2FCD">
        <w:rPr>
          <w:rFonts w:eastAsia="Times New Roman" w:cs="Times New Roman"/>
          <w:color w:val="000000"/>
          <w:szCs w:val="24"/>
        </w:rPr>
        <w:t>was committed; and</w:t>
      </w:r>
    </w:p>
    <w:p w14:paraId="58D0465C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49282CFC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>Fifth, the offense fell within the scope of the unlawful agreement and could reasonably have been foreseen to be a necessary or natural consequence of the unlawful agreement.</w:t>
      </w:r>
    </w:p>
    <w:p w14:paraId="2552992A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6CCA9D06" w14:textId="77777777" w:rsidR="00AE2FCD" w:rsidRPr="00AE2FCD" w:rsidRDefault="00AE2FCD" w:rsidP="00AE2FCD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b/>
          <w:color w:val="000000"/>
          <w:szCs w:val="24"/>
        </w:rPr>
        <w:t>Comment</w:t>
      </w:r>
    </w:p>
    <w:p w14:paraId="33F6D4EF" w14:textId="77777777" w:rsidR="00AE2FCD" w:rsidRPr="00AE2FCD" w:rsidRDefault="00AE2FCD" w:rsidP="00AE2FCD">
      <w:pPr>
        <w:ind w:right="144"/>
        <w:rPr>
          <w:rFonts w:eastAsia="Times New Roman" w:cs="Times New Roman"/>
          <w:szCs w:val="24"/>
        </w:rPr>
      </w:pPr>
    </w:p>
    <w:p w14:paraId="1F53A214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 xml:space="preserve">The </w:t>
      </w:r>
      <w:r w:rsidRPr="00AE2FCD">
        <w:rPr>
          <w:rFonts w:eastAsia="Times New Roman" w:cs="Times New Roman"/>
          <w:i/>
          <w:color w:val="000000"/>
          <w:szCs w:val="24"/>
        </w:rPr>
        <w:t xml:space="preserve">Pinkerton </w:t>
      </w:r>
      <w:r w:rsidRPr="00AE2FCD">
        <w:rPr>
          <w:rFonts w:eastAsia="Times New Roman" w:cs="Times New Roman"/>
          <w:color w:val="000000"/>
          <w:szCs w:val="24"/>
        </w:rPr>
        <w:t xml:space="preserve">charge derives its name from </w:t>
      </w:r>
      <w:r w:rsidRPr="00AE2FCD">
        <w:rPr>
          <w:rFonts w:eastAsia="Times New Roman" w:cs="Times New Roman"/>
          <w:i/>
          <w:color w:val="000000"/>
          <w:szCs w:val="24"/>
        </w:rPr>
        <w:t>Pinkerton v. United States</w:t>
      </w:r>
      <w:r w:rsidRPr="00AE2FCD">
        <w:rPr>
          <w:rFonts w:eastAsia="Times New Roman" w:cs="Times New Roman"/>
          <w:color w:val="000000"/>
          <w:szCs w:val="24"/>
        </w:rPr>
        <w:t xml:space="preserve">, 328 U.S. 640 (1946), which held that a defendant could be held liable for a substantive offense committed by a co-conspirator </w:t>
      </w:r>
      <w:proofErr w:type="gramStart"/>
      <w:r w:rsidRPr="00AE2FCD">
        <w:rPr>
          <w:rFonts w:eastAsia="Times New Roman" w:cs="Times New Roman"/>
          <w:color w:val="000000"/>
          <w:szCs w:val="24"/>
        </w:rPr>
        <w:t>as long as</w:t>
      </w:r>
      <w:proofErr w:type="gramEnd"/>
      <w:r w:rsidRPr="00AE2FCD">
        <w:rPr>
          <w:rFonts w:eastAsia="Times New Roman" w:cs="Times New Roman"/>
          <w:color w:val="000000"/>
          <w:szCs w:val="24"/>
        </w:rPr>
        <w:t xml:space="preserve"> the offense occurred within the course of the conspiracy, was within the scope of the agreement, and could reasonably have been foreseen as a necessary or natural consequence of the unlawful agreement.  </w:t>
      </w:r>
      <w:r w:rsidRPr="00AE2FCD">
        <w:rPr>
          <w:rFonts w:eastAsia="Times New Roman" w:cs="Times New Roman"/>
          <w:i/>
          <w:color w:val="000000"/>
          <w:szCs w:val="24"/>
        </w:rPr>
        <w:t>United States v. Alvarez-Valenzuela</w:t>
      </w:r>
      <w:r w:rsidRPr="00AE2FCD">
        <w:rPr>
          <w:rFonts w:eastAsia="Times New Roman" w:cs="Times New Roman"/>
          <w:color w:val="000000"/>
          <w:szCs w:val="24"/>
        </w:rPr>
        <w:t>, 231 F.3d 1198, 1202 (9th Cir. 2</w:t>
      </w:r>
      <w:r w:rsidRPr="00AE2FCD">
        <w:rPr>
          <w:rFonts w:eastAsia="Times New Roman" w:cs="Times New Roman"/>
          <w:szCs w:val="24"/>
        </w:rPr>
        <w:t>000)</w:t>
      </w:r>
      <w:r w:rsidRPr="00AE2FCD">
        <w:rPr>
          <w:szCs w:val="24"/>
        </w:rPr>
        <w:t xml:space="preserve">; </w:t>
      </w:r>
      <w:r w:rsidRPr="00AE2FCD">
        <w:rPr>
          <w:i/>
          <w:iCs/>
          <w:szCs w:val="24"/>
        </w:rPr>
        <w:t>United States v. Henry</w:t>
      </w:r>
      <w:r w:rsidRPr="00AE2FCD">
        <w:rPr>
          <w:szCs w:val="24"/>
        </w:rPr>
        <w:t>, 984 F.3d 1343, 1355-1356 (9th Cir. 2021).</w:t>
      </w:r>
    </w:p>
    <w:p w14:paraId="667D9728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7B1CB4B7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>When this instruction is appropriate, it should be given in addition to Instruction 11.1 (Conspiracy—Elements).</w:t>
      </w:r>
    </w:p>
    <w:p w14:paraId="174DD2DC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1F9EF77F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>This instruction is based upon</w:t>
      </w:r>
      <w:r w:rsidRPr="00AE2FCD">
        <w:rPr>
          <w:rFonts w:eastAsia="Times New Roman" w:cs="Times New Roman"/>
          <w:i/>
          <w:color w:val="000000"/>
          <w:szCs w:val="24"/>
        </w:rPr>
        <w:t xml:space="preserve"> United States v. Alvarez-Valenzuela</w:t>
      </w:r>
      <w:r w:rsidRPr="00AE2FCD">
        <w:rPr>
          <w:rFonts w:eastAsia="Times New Roman" w:cs="Times New Roman"/>
          <w:color w:val="000000"/>
          <w:szCs w:val="24"/>
        </w:rPr>
        <w:t>, 231 F.</w:t>
      </w:r>
      <w:r w:rsidRPr="00AE2FCD">
        <w:rPr>
          <w:rFonts w:eastAsia="Times New Roman" w:cs="Times New Roman"/>
          <w:szCs w:val="24"/>
        </w:rPr>
        <w:t xml:space="preserve">3d 1198 </w:t>
      </w:r>
      <w:r w:rsidRPr="00AE2FCD">
        <w:rPr>
          <w:rFonts w:eastAsia="Times New Roman" w:cs="Times New Roman"/>
          <w:color w:val="000000"/>
          <w:szCs w:val="24"/>
        </w:rPr>
        <w:t>at 1202-03, in which the Ninth Circuit approved of the 1997 version of Instruction 8.5.5 (Conspiracy—</w:t>
      </w:r>
      <w:r w:rsidRPr="00AE2FCD">
        <w:rPr>
          <w:rFonts w:eastAsia="Times New Roman" w:cs="Times New Roman"/>
          <w:i/>
          <w:color w:val="000000"/>
          <w:szCs w:val="24"/>
        </w:rPr>
        <w:t>Pinkerton</w:t>
      </w:r>
      <w:r w:rsidRPr="00AE2FCD">
        <w:rPr>
          <w:rFonts w:eastAsia="Times New Roman" w:cs="Times New Roman"/>
          <w:color w:val="000000"/>
          <w:szCs w:val="24"/>
        </w:rPr>
        <w:t xml:space="preserve"> Charge) </w:t>
      </w:r>
      <w:r w:rsidRPr="00AE2FCD">
        <w:rPr>
          <w:rFonts w:eastAsia="Times New Roman" w:cs="Times New Roman"/>
          <w:szCs w:val="24"/>
        </w:rPr>
        <w:t xml:space="preserve">(now Instruction 11.6), </w:t>
      </w:r>
      <w:r w:rsidRPr="00AE2FCD">
        <w:rPr>
          <w:rFonts w:eastAsia="Times New Roman" w:cs="Times New Roman"/>
          <w:color w:val="000000"/>
          <w:szCs w:val="24"/>
        </w:rPr>
        <w:t>and</w:t>
      </w:r>
      <w:r w:rsidRPr="00AE2FCD">
        <w:rPr>
          <w:rFonts w:eastAsia="Times New Roman" w:cs="Times New Roman"/>
          <w:i/>
          <w:color w:val="000000"/>
          <w:szCs w:val="24"/>
        </w:rPr>
        <w:t xml:space="preserve"> United States v. Montgomery</w:t>
      </w:r>
      <w:r w:rsidRPr="00AE2FCD">
        <w:rPr>
          <w:rFonts w:eastAsia="Times New Roman" w:cs="Times New Roman"/>
          <w:color w:val="000000"/>
          <w:szCs w:val="24"/>
        </w:rPr>
        <w:t xml:space="preserve">, 150 F.3d 983, 996-97 (9th Cir. 1998).  </w:t>
      </w:r>
      <w:r w:rsidRPr="00AE2FCD">
        <w:rPr>
          <w:rFonts w:eastAsia="Times New Roman" w:cs="Times New Roman"/>
          <w:i/>
          <w:color w:val="000000"/>
          <w:szCs w:val="24"/>
        </w:rPr>
        <w:t>See</w:t>
      </w:r>
      <w:r w:rsidRPr="00AE2FCD">
        <w:rPr>
          <w:rFonts w:eastAsia="Times New Roman" w:cs="Times New Roman"/>
          <w:color w:val="000000"/>
          <w:szCs w:val="24"/>
        </w:rPr>
        <w:t xml:space="preserve"> </w:t>
      </w:r>
      <w:r w:rsidRPr="00AE2FCD">
        <w:rPr>
          <w:rFonts w:eastAsia="Times New Roman" w:cs="Times New Roman"/>
          <w:i/>
          <w:color w:val="000000"/>
          <w:szCs w:val="24"/>
        </w:rPr>
        <w:t>also United States v. Gonzalez</w:t>
      </w:r>
      <w:r w:rsidRPr="00AE2FCD">
        <w:rPr>
          <w:rFonts w:eastAsia="Times New Roman" w:cs="Times New Roman"/>
          <w:color w:val="000000"/>
          <w:szCs w:val="24"/>
        </w:rPr>
        <w:t xml:space="preserve">, 906 F.3d 784, 791-92 (9th Cir. 2018); </w:t>
      </w:r>
      <w:r w:rsidRPr="00AE2FCD">
        <w:rPr>
          <w:rFonts w:eastAsia="Times New Roman" w:cs="Times New Roman"/>
          <w:i/>
          <w:color w:val="000000"/>
          <w:szCs w:val="24"/>
        </w:rPr>
        <w:t>United States v. Gadson</w:t>
      </w:r>
      <w:r w:rsidRPr="00AE2FCD">
        <w:rPr>
          <w:rFonts w:eastAsia="Times New Roman" w:cs="Times New Roman"/>
          <w:color w:val="000000"/>
          <w:szCs w:val="24"/>
        </w:rPr>
        <w:t>, 763 F.3d 1189, 1216-17 (9th Cir. 2014).</w:t>
      </w:r>
    </w:p>
    <w:p w14:paraId="3089981B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299D1CE6" w14:textId="77777777" w:rsidR="00AE2FCD" w:rsidRPr="00AE2FCD" w:rsidRDefault="00AE2FCD" w:rsidP="00AE2FC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AE2FCD">
        <w:rPr>
          <w:rFonts w:eastAsia="Times New Roman" w:cs="Times New Roman"/>
          <w:color w:val="000000"/>
          <w:szCs w:val="24"/>
        </w:rPr>
        <w:tab/>
        <w:t xml:space="preserve">This instruction was found adequate in a case in which three separate conspiracies were </w:t>
      </w:r>
      <w:r w:rsidRPr="00AE2FCD">
        <w:rPr>
          <w:rFonts w:eastAsia="Times New Roman" w:cs="Times New Roman"/>
          <w:color w:val="000000"/>
          <w:szCs w:val="24"/>
        </w:rPr>
        <w:lastRenderedPageBreak/>
        <w:t xml:space="preserve">charged.  </w:t>
      </w:r>
      <w:r w:rsidRPr="00AE2FCD">
        <w:rPr>
          <w:rFonts w:eastAsia="Times New Roman" w:cs="Times New Roman"/>
          <w:i/>
          <w:color w:val="000000"/>
          <w:szCs w:val="24"/>
        </w:rPr>
        <w:t>See United States v. Moran</w:t>
      </w:r>
      <w:r w:rsidRPr="00AE2FCD">
        <w:rPr>
          <w:rFonts w:eastAsia="Times New Roman" w:cs="Times New Roman"/>
          <w:color w:val="000000"/>
          <w:szCs w:val="24"/>
        </w:rPr>
        <w:t xml:space="preserve">, 493 F.3d 1002, 1009-10 (9th Cir. 2007).  However, given the potential for ambiguity where more than one conspiracy is charged, the court should consider giving separate </w:t>
      </w:r>
      <w:r w:rsidRPr="00AE2FCD">
        <w:rPr>
          <w:rFonts w:eastAsia="Times New Roman" w:cs="Times New Roman"/>
          <w:i/>
          <w:color w:val="000000"/>
          <w:szCs w:val="24"/>
        </w:rPr>
        <w:t>Pinkerton</w:t>
      </w:r>
      <w:r w:rsidRPr="00AE2FCD">
        <w:rPr>
          <w:rFonts w:eastAsia="Times New Roman" w:cs="Times New Roman"/>
          <w:color w:val="000000"/>
          <w:szCs w:val="24"/>
        </w:rPr>
        <w:t xml:space="preserve"> instructions</w:t>
      </w:r>
      <w:r w:rsidRPr="00AE2FCD">
        <w:rPr>
          <w:rFonts w:eastAsia="Times New Roman" w:cs="Times New Roman"/>
          <w:i/>
          <w:color w:val="000000"/>
          <w:szCs w:val="24"/>
        </w:rPr>
        <w:t xml:space="preserve"> </w:t>
      </w:r>
      <w:r w:rsidRPr="00AE2FCD">
        <w:rPr>
          <w:rFonts w:eastAsia="Times New Roman" w:cs="Times New Roman"/>
          <w:color w:val="000000"/>
          <w:szCs w:val="24"/>
        </w:rPr>
        <w:t>for each conspiracy charged.</w:t>
      </w:r>
    </w:p>
    <w:p w14:paraId="0B6A7C46" w14:textId="77777777" w:rsidR="00AE2FCD" w:rsidRPr="00AE2FCD" w:rsidRDefault="00AE2FCD" w:rsidP="00AE2FCD">
      <w:pPr>
        <w:ind w:right="144"/>
        <w:rPr>
          <w:rFonts w:eastAsia="Times New Roman" w:cs="Times New Roman"/>
          <w:szCs w:val="24"/>
        </w:rPr>
      </w:pPr>
    </w:p>
    <w:p w14:paraId="0F2E3F4E" w14:textId="77777777" w:rsidR="00AE2FCD" w:rsidRPr="00AE2FCD" w:rsidRDefault="00AE2FCD" w:rsidP="00AE2FCD">
      <w:pPr>
        <w:ind w:right="144"/>
        <w:rPr>
          <w:rFonts w:eastAsia="Times New Roman" w:cs="Times New Roman"/>
          <w:szCs w:val="24"/>
        </w:rPr>
      </w:pPr>
    </w:p>
    <w:p w14:paraId="0ACE18C0" w14:textId="44B32BC8" w:rsidR="00C97E04" w:rsidRPr="00AE2FCD" w:rsidRDefault="00AE2FCD" w:rsidP="00AE2FCD">
      <w:pPr>
        <w:widowControl w:val="0"/>
        <w:ind w:right="144"/>
        <w:jc w:val="right"/>
      </w:pPr>
      <w:r w:rsidRPr="00AE2FCD">
        <w:rPr>
          <w:rFonts w:eastAsia="Times New Roman" w:cs="Times New Roman"/>
          <w:i/>
          <w:color w:val="000000"/>
          <w:szCs w:val="24"/>
        </w:rPr>
        <w:t>Revised Mar. 2021</w:t>
      </w:r>
    </w:p>
    <w:sectPr w:rsidR="00C97E04" w:rsidRPr="00AE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36279"/>
    <w:rsid w:val="00156526"/>
    <w:rsid w:val="001A0B87"/>
    <w:rsid w:val="001B4048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A725E"/>
    <w:rsid w:val="003B4349"/>
    <w:rsid w:val="003D3221"/>
    <w:rsid w:val="003E3B95"/>
    <w:rsid w:val="003F44F6"/>
    <w:rsid w:val="00412CD5"/>
    <w:rsid w:val="00420260"/>
    <w:rsid w:val="004232A7"/>
    <w:rsid w:val="00443346"/>
    <w:rsid w:val="00443FE7"/>
    <w:rsid w:val="00457373"/>
    <w:rsid w:val="004A2CFB"/>
    <w:rsid w:val="004D1662"/>
    <w:rsid w:val="004E4259"/>
    <w:rsid w:val="00542361"/>
    <w:rsid w:val="00550ED2"/>
    <w:rsid w:val="005A7428"/>
    <w:rsid w:val="005D7F8A"/>
    <w:rsid w:val="00623212"/>
    <w:rsid w:val="00646A26"/>
    <w:rsid w:val="006752C5"/>
    <w:rsid w:val="00675651"/>
    <w:rsid w:val="006B3C0B"/>
    <w:rsid w:val="006C06EF"/>
    <w:rsid w:val="006E4558"/>
    <w:rsid w:val="007008EB"/>
    <w:rsid w:val="007437A7"/>
    <w:rsid w:val="00755375"/>
    <w:rsid w:val="00765755"/>
    <w:rsid w:val="007847F9"/>
    <w:rsid w:val="007A1B33"/>
    <w:rsid w:val="007C6517"/>
    <w:rsid w:val="007D1A93"/>
    <w:rsid w:val="00812338"/>
    <w:rsid w:val="00813014"/>
    <w:rsid w:val="00850868"/>
    <w:rsid w:val="00890E7A"/>
    <w:rsid w:val="008962A3"/>
    <w:rsid w:val="008B4376"/>
    <w:rsid w:val="008B6CE7"/>
    <w:rsid w:val="00906160"/>
    <w:rsid w:val="00960C76"/>
    <w:rsid w:val="00970FFD"/>
    <w:rsid w:val="00986161"/>
    <w:rsid w:val="009947F5"/>
    <w:rsid w:val="009A2700"/>
    <w:rsid w:val="009A792F"/>
    <w:rsid w:val="009C0C69"/>
    <w:rsid w:val="009D0413"/>
    <w:rsid w:val="009F0A7C"/>
    <w:rsid w:val="009F5ED7"/>
    <w:rsid w:val="00A64334"/>
    <w:rsid w:val="00AA2B06"/>
    <w:rsid w:val="00AE279C"/>
    <w:rsid w:val="00AE2FCD"/>
    <w:rsid w:val="00AF516D"/>
    <w:rsid w:val="00B0682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E04"/>
    <w:rsid w:val="00CB6ACA"/>
    <w:rsid w:val="00D0777F"/>
    <w:rsid w:val="00D97F48"/>
    <w:rsid w:val="00DC38EF"/>
    <w:rsid w:val="00DE0E57"/>
    <w:rsid w:val="00DF451A"/>
    <w:rsid w:val="00E56A96"/>
    <w:rsid w:val="00E90670"/>
    <w:rsid w:val="00EA658F"/>
    <w:rsid w:val="00EA72FC"/>
    <w:rsid w:val="00EB0197"/>
    <w:rsid w:val="00EB427D"/>
    <w:rsid w:val="00EC15D6"/>
    <w:rsid w:val="00EE714D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Aejung Yoon</cp:lastModifiedBy>
  <cp:revision>3</cp:revision>
  <dcterms:created xsi:type="dcterms:W3CDTF">2022-05-19T18:07:00Z</dcterms:created>
  <dcterms:modified xsi:type="dcterms:W3CDTF">2022-09-29T23:13:00Z</dcterms:modified>
</cp:coreProperties>
</file>