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88731" w14:textId="77777777" w:rsidR="00401002" w:rsidRPr="00401002" w:rsidRDefault="00401002" w:rsidP="00401002">
      <w:pPr>
        <w:autoSpaceDE w:val="0"/>
        <w:autoSpaceDN w:val="0"/>
        <w:adjustRightInd w:val="0"/>
        <w:ind w:left="420" w:hanging="240"/>
        <w:jc w:val="center"/>
        <w:outlineLvl w:val="1"/>
        <w:rPr>
          <w:rFonts w:cs="Times New Roman"/>
          <w:b/>
          <w:bCs/>
          <w:szCs w:val="24"/>
        </w:rPr>
      </w:pPr>
      <w:bookmarkStart w:id="0" w:name="_Toc73698632"/>
      <w:bookmarkStart w:id="1" w:name="_Toc83310688"/>
      <w:bookmarkStart w:id="2" w:name="_Toc83362487"/>
      <w:bookmarkStart w:id="3" w:name="_Toc83362896"/>
      <w:bookmarkStart w:id="4" w:name="_Toc90309954"/>
      <w:bookmarkStart w:id="5" w:name="_Toc90389812"/>
      <w:bookmarkStart w:id="6" w:name="_Toc90860392"/>
      <w:r w:rsidRPr="00401002">
        <w:rPr>
          <w:rFonts w:cs="Times New Roman"/>
          <w:b/>
          <w:bCs/>
          <w:szCs w:val="24"/>
        </w:rPr>
        <w:t xml:space="preserve">12.1 Controlled Substance—Possession with </w:t>
      </w:r>
    </w:p>
    <w:p w14:paraId="23E73F90" w14:textId="77777777" w:rsidR="00401002" w:rsidRPr="00401002" w:rsidRDefault="00401002" w:rsidP="00401002">
      <w:pPr>
        <w:autoSpaceDE w:val="0"/>
        <w:autoSpaceDN w:val="0"/>
        <w:adjustRightInd w:val="0"/>
        <w:ind w:left="420" w:hanging="240"/>
        <w:jc w:val="center"/>
        <w:outlineLvl w:val="1"/>
        <w:rPr>
          <w:rFonts w:cs="Times New Roman"/>
          <w:b/>
          <w:bCs/>
          <w:szCs w:val="24"/>
        </w:rPr>
      </w:pPr>
      <w:r w:rsidRPr="00401002">
        <w:rPr>
          <w:rFonts w:cs="Times New Roman"/>
          <w:b/>
          <w:bCs/>
          <w:szCs w:val="24"/>
        </w:rPr>
        <w:t>Intent to Distribute (21 U.S.C. § 841(a)(1))</w:t>
      </w:r>
      <w:bookmarkEnd w:id="0"/>
      <w:bookmarkEnd w:id="1"/>
      <w:bookmarkEnd w:id="2"/>
      <w:bookmarkEnd w:id="3"/>
      <w:bookmarkEnd w:id="4"/>
      <w:bookmarkEnd w:id="5"/>
      <w:bookmarkEnd w:id="6"/>
    </w:p>
    <w:p w14:paraId="797E4C34" w14:textId="77777777" w:rsidR="00401002" w:rsidRPr="00401002" w:rsidRDefault="00401002" w:rsidP="00401002">
      <w:pPr>
        <w:rPr>
          <w:rFonts w:eastAsia="Times New Roman" w:cs="Times New Roman"/>
          <w:color w:val="000000"/>
          <w:szCs w:val="24"/>
        </w:rPr>
      </w:pPr>
    </w:p>
    <w:p w14:paraId="7D3E5F5F"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The defendant is charged in [Count _______ of] the indictment with possession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with intent to distribute in violation of Section 841(a)(1) of Title 21 of the United States Code.  For the defendant to be found guilty of that charge, the government must prove each of the following elements beyond a reasonable doubt:</w:t>
      </w:r>
    </w:p>
    <w:p w14:paraId="5CDDC2B6" w14:textId="77777777" w:rsidR="00401002" w:rsidRPr="00401002" w:rsidRDefault="00401002" w:rsidP="00401002">
      <w:pPr>
        <w:rPr>
          <w:rFonts w:eastAsia="Times New Roman" w:cs="Times New Roman"/>
          <w:color w:val="000000"/>
          <w:szCs w:val="24"/>
        </w:rPr>
      </w:pPr>
    </w:p>
    <w:p w14:paraId="42839C0E" w14:textId="019EACDB"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 xml:space="preserve">First, the defendant knowingly possessed </w:t>
      </w:r>
      <w:r w:rsidR="00C11603">
        <w:rPr>
          <w:rFonts w:eastAsia="Times New Roman" w:cs="Times New Roman"/>
          <w:color w:val="000000"/>
          <w:szCs w:val="24"/>
        </w:rPr>
        <w:t>any controlled substance</w:t>
      </w:r>
      <w:r w:rsidRPr="00401002">
        <w:rPr>
          <w:rFonts w:eastAsia="Times New Roman" w:cs="Times New Roman"/>
          <w:color w:val="000000"/>
          <w:szCs w:val="24"/>
        </w:rPr>
        <w:t>; and</w:t>
      </w:r>
    </w:p>
    <w:p w14:paraId="4E069A0E" w14:textId="77777777" w:rsidR="00401002" w:rsidRPr="00401002" w:rsidRDefault="00401002" w:rsidP="00401002">
      <w:pPr>
        <w:rPr>
          <w:rFonts w:eastAsia="Times New Roman" w:cs="Times New Roman"/>
          <w:color w:val="000000"/>
          <w:szCs w:val="24"/>
        </w:rPr>
      </w:pPr>
    </w:p>
    <w:p w14:paraId="6E50E42C"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Second, the defendant possessed it with the intent to distribute it to another person.</w:t>
      </w:r>
    </w:p>
    <w:p w14:paraId="304E6B10" w14:textId="77777777" w:rsidR="00401002" w:rsidRPr="00401002" w:rsidRDefault="00401002" w:rsidP="00401002">
      <w:pPr>
        <w:rPr>
          <w:rFonts w:eastAsia="Times New Roman" w:cs="Times New Roman"/>
          <w:color w:val="000000"/>
          <w:szCs w:val="24"/>
        </w:rPr>
      </w:pPr>
    </w:p>
    <w:p w14:paraId="4B6E210D"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[The government is not required to prove the amount or quantity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w:t>
      </w:r>
      <w:r w:rsidRPr="00401002">
        <w:rPr>
          <w:rFonts w:eastAsia="Times New Roman" w:cs="Times New Roman"/>
          <w:color w:val="000000"/>
          <w:szCs w:val="24"/>
        </w:rPr>
        <w:t xml:space="preserve"> </w:t>
      </w:r>
      <w:r w:rsidRPr="00401002">
        <w:rPr>
          <w:rFonts w:eastAsia="Times New Roman" w:cs="Times New Roman"/>
          <w:i/>
          <w:color w:val="000000"/>
          <w:szCs w:val="24"/>
          <w:u w:val="single"/>
        </w:rPr>
        <w:t>substance</w:t>
      </w:r>
      <w:r w:rsidRPr="00401002">
        <w:rPr>
          <w:rFonts w:eastAsia="Times New Roman" w:cs="Times New Roman"/>
          <w:color w:val="000000"/>
          <w:szCs w:val="24"/>
        </w:rPr>
        <w:t>].  It need only prove beyond a reasonable doubt that there was a measurable or detectable amount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w:t>
      </w:r>
    </w:p>
    <w:p w14:paraId="5AF6BA33" w14:textId="77777777" w:rsidR="00401002" w:rsidRPr="00401002" w:rsidRDefault="00401002" w:rsidP="00401002">
      <w:pPr>
        <w:rPr>
          <w:rFonts w:eastAsia="Times New Roman" w:cs="Times New Roman"/>
          <w:color w:val="000000"/>
          <w:szCs w:val="24"/>
        </w:rPr>
      </w:pPr>
    </w:p>
    <w:p w14:paraId="4652257F"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It does not matter whether the defendant knew that the substance was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It is sufficient that the defendant knew that it was some kind of a federally controlled substance.</w:t>
      </w:r>
    </w:p>
    <w:p w14:paraId="58755359" w14:textId="77777777" w:rsidR="00401002" w:rsidRPr="00401002" w:rsidRDefault="00401002" w:rsidP="00401002">
      <w:pPr>
        <w:rPr>
          <w:rFonts w:eastAsia="Times New Roman" w:cs="Times New Roman"/>
          <w:color w:val="000000"/>
          <w:szCs w:val="24"/>
        </w:rPr>
      </w:pPr>
    </w:p>
    <w:p w14:paraId="280B71D9"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To “possess with intent to distribute” means to possess with intent to deliver or transfer possession of [</w:t>
      </w:r>
      <w:r w:rsidRPr="00401002">
        <w:rPr>
          <w:rFonts w:eastAsia="Times New Roman" w:cs="Times New Roman"/>
          <w:i/>
          <w:color w:val="000000"/>
          <w:szCs w:val="24"/>
          <w:u w:val="single"/>
        </w:rPr>
        <w:t>specify</w:t>
      </w:r>
      <w:r w:rsidRPr="00401002">
        <w:rPr>
          <w:rFonts w:eastAsia="Times New Roman" w:cs="Times New Roman"/>
          <w:color w:val="000000"/>
          <w:szCs w:val="24"/>
          <w:u w:val="single"/>
        </w:rPr>
        <w:t xml:space="preserve"> </w:t>
      </w:r>
      <w:r w:rsidRPr="00401002">
        <w:rPr>
          <w:rFonts w:eastAsia="Times New Roman" w:cs="Times New Roman"/>
          <w:i/>
          <w:color w:val="000000"/>
          <w:szCs w:val="24"/>
          <w:u w:val="single"/>
        </w:rPr>
        <w:t>controlled substance</w:t>
      </w:r>
      <w:r w:rsidRPr="00401002">
        <w:rPr>
          <w:rFonts w:eastAsia="Times New Roman" w:cs="Times New Roman"/>
          <w:color w:val="000000"/>
          <w:szCs w:val="24"/>
        </w:rPr>
        <w:t>] to another person, with or without any financial interest in the transaction.</w:t>
      </w:r>
    </w:p>
    <w:p w14:paraId="5A1B569D" w14:textId="77777777" w:rsidR="00401002" w:rsidRPr="00401002" w:rsidRDefault="00401002" w:rsidP="00401002">
      <w:pPr>
        <w:rPr>
          <w:rFonts w:eastAsia="Times New Roman" w:cs="Times New Roman"/>
          <w:color w:val="000000"/>
          <w:szCs w:val="24"/>
        </w:rPr>
      </w:pPr>
    </w:p>
    <w:p w14:paraId="65D6BB7F" w14:textId="77777777" w:rsidR="00401002" w:rsidRPr="00401002" w:rsidRDefault="00401002" w:rsidP="00401002">
      <w:pPr>
        <w:ind w:right="-180"/>
        <w:jc w:val="center"/>
        <w:rPr>
          <w:rFonts w:eastAsia="Times New Roman" w:cs="Times New Roman"/>
          <w:color w:val="000000"/>
          <w:szCs w:val="24"/>
        </w:rPr>
      </w:pPr>
      <w:r w:rsidRPr="00401002">
        <w:rPr>
          <w:rFonts w:eastAsia="Times New Roman" w:cs="Times New Roman"/>
          <w:b/>
          <w:color w:val="000000"/>
          <w:szCs w:val="24"/>
        </w:rPr>
        <w:t>Comment</w:t>
      </w:r>
    </w:p>
    <w:p w14:paraId="79E3D7A4" w14:textId="77777777" w:rsidR="00401002" w:rsidRPr="00401002" w:rsidRDefault="00401002" w:rsidP="00401002">
      <w:pPr>
        <w:rPr>
          <w:rFonts w:eastAsia="Times New Roman" w:cs="Times New Roman"/>
          <w:szCs w:val="24"/>
        </w:rPr>
      </w:pPr>
    </w:p>
    <w:p w14:paraId="34D4ACFC"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r>
      <w:r w:rsidRPr="00401002">
        <w:rPr>
          <w:rFonts w:eastAsia="Times New Roman" w:cs="Times New Roman"/>
          <w:i/>
          <w:color w:val="000000"/>
          <w:szCs w:val="24"/>
        </w:rPr>
        <w:t>See</w:t>
      </w:r>
      <w:r w:rsidRPr="00401002">
        <w:rPr>
          <w:rFonts w:eastAsia="Times New Roman" w:cs="Times New Roman"/>
          <w:color w:val="000000"/>
          <w:szCs w:val="24"/>
        </w:rPr>
        <w:t xml:space="preserve"> Comment to Instruction 12.4 (Controlled Substance—Distribution or Manufacture), if death or serious bodily injury occurred. </w:t>
      </w:r>
    </w:p>
    <w:p w14:paraId="5DFD0381" w14:textId="77777777" w:rsidR="00401002" w:rsidRPr="00401002" w:rsidRDefault="00401002" w:rsidP="00401002">
      <w:pPr>
        <w:rPr>
          <w:rFonts w:eastAsia="Times New Roman" w:cs="Times New Roman"/>
          <w:color w:val="000000"/>
          <w:szCs w:val="24"/>
        </w:rPr>
      </w:pPr>
    </w:p>
    <w:p w14:paraId="4E7C6266"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Use the bracketed paragraph only when quantity is not at issue.</w:t>
      </w:r>
    </w:p>
    <w:p w14:paraId="14D7CA89" w14:textId="77777777" w:rsidR="00401002" w:rsidRPr="00401002" w:rsidRDefault="00401002" w:rsidP="00401002">
      <w:pPr>
        <w:rPr>
          <w:rFonts w:eastAsia="Times New Roman" w:cs="Times New Roman"/>
          <w:szCs w:val="24"/>
        </w:rPr>
      </w:pPr>
    </w:p>
    <w:p w14:paraId="35819754"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 xml:space="preserve">The defendant does not need to know what the controlled substance is so long as the defendant knows that he or she has possession of such a substance.  </w:t>
      </w:r>
      <w:r w:rsidRPr="00401002">
        <w:rPr>
          <w:rFonts w:eastAsia="Times New Roman" w:cs="Times New Roman"/>
          <w:i/>
          <w:color w:val="000000"/>
          <w:szCs w:val="24"/>
        </w:rPr>
        <w:t>United States v. Jewell</w:t>
      </w:r>
      <w:r w:rsidRPr="00401002">
        <w:rPr>
          <w:rFonts w:eastAsia="Times New Roman" w:cs="Times New Roman"/>
          <w:color w:val="000000"/>
          <w:szCs w:val="24"/>
        </w:rPr>
        <w:t>, 532 F.2d 697, 698 (9th Cir. 1976) (</w:t>
      </w:r>
      <w:proofErr w:type="spellStart"/>
      <w:r w:rsidRPr="00401002">
        <w:rPr>
          <w:rFonts w:eastAsia="Times New Roman" w:cs="Times New Roman"/>
          <w:color w:val="000000"/>
          <w:szCs w:val="24"/>
        </w:rPr>
        <w:t>en</w:t>
      </w:r>
      <w:proofErr w:type="spellEnd"/>
      <w:r w:rsidRPr="00401002">
        <w:rPr>
          <w:rFonts w:eastAsia="Times New Roman" w:cs="Times New Roman"/>
          <w:color w:val="000000"/>
          <w:szCs w:val="24"/>
        </w:rPr>
        <w:t xml:space="preserve"> banc).  </w:t>
      </w:r>
      <w:r w:rsidRPr="00401002">
        <w:rPr>
          <w:rFonts w:eastAsia="Times New Roman" w:cs="Times New Roman"/>
          <w:i/>
          <w:color w:val="000000"/>
          <w:szCs w:val="24"/>
        </w:rPr>
        <w:t>See also United States v. Soto-Zuniga</w:t>
      </w:r>
      <w:r w:rsidRPr="00401002">
        <w:rPr>
          <w:rFonts w:eastAsia="Times New Roman" w:cs="Times New Roman"/>
          <w:color w:val="000000"/>
          <w:szCs w:val="24"/>
        </w:rPr>
        <w:t>, 837 F.3d 992, 1004-05 (9th Cir. 2016) (knowledge of type and quantity of drugs not element of offense).</w:t>
      </w:r>
    </w:p>
    <w:p w14:paraId="479735C6" w14:textId="77777777" w:rsidR="00401002" w:rsidRPr="00401002" w:rsidRDefault="00401002" w:rsidP="00401002">
      <w:pPr>
        <w:rPr>
          <w:rFonts w:eastAsia="Times New Roman" w:cs="Times New Roman"/>
          <w:szCs w:val="24"/>
        </w:rPr>
      </w:pPr>
    </w:p>
    <w:p w14:paraId="0EF6D8FB" w14:textId="5634F771"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r>
      <w:r w:rsidR="00D67A1C">
        <w:rPr>
          <w:rFonts w:eastAsia="Times New Roman" w:cs="Times New Roman"/>
          <w:color w:val="000000"/>
          <w:szCs w:val="24"/>
        </w:rPr>
        <w:t>After</w:t>
      </w:r>
      <w:r w:rsidRPr="00401002">
        <w:rPr>
          <w:rFonts w:eastAsia="Times New Roman" w:cs="Times New Roman"/>
          <w:color w:val="000000"/>
          <w:szCs w:val="24"/>
        </w:rPr>
        <w:t xml:space="preserve"> </w:t>
      </w:r>
      <w:proofErr w:type="spellStart"/>
      <w:r w:rsidRPr="00401002">
        <w:rPr>
          <w:rFonts w:eastAsia="Times New Roman" w:cs="Times New Roman"/>
          <w:i/>
          <w:color w:val="000000"/>
          <w:szCs w:val="24"/>
        </w:rPr>
        <w:t>Apprendi</w:t>
      </w:r>
      <w:proofErr w:type="spellEnd"/>
      <w:r w:rsidRPr="00401002">
        <w:rPr>
          <w:rFonts w:eastAsia="Times New Roman" w:cs="Times New Roman"/>
          <w:i/>
          <w:color w:val="000000"/>
          <w:szCs w:val="24"/>
        </w:rPr>
        <w:t xml:space="preserve"> v. New Jersey</w:t>
      </w:r>
      <w:r w:rsidRPr="00401002">
        <w:rPr>
          <w:rFonts w:eastAsia="Times New Roman" w:cs="Times New Roman"/>
          <w:iCs/>
          <w:color w:val="000000"/>
          <w:szCs w:val="24"/>
        </w:rPr>
        <w:t xml:space="preserve">, </w:t>
      </w:r>
      <w:r w:rsidRPr="00401002">
        <w:rPr>
          <w:rFonts w:eastAsia="Times New Roman" w:cs="Times New Roman"/>
          <w:color w:val="000000"/>
          <w:szCs w:val="24"/>
        </w:rPr>
        <w:t xml:space="preserve">530 U.S. 466 (2000), the Ninth Circuit has held that where the </w:t>
      </w:r>
      <w:proofErr w:type="gramStart"/>
      <w:r w:rsidRPr="00401002">
        <w:rPr>
          <w:rFonts w:eastAsia="Times New Roman" w:cs="Times New Roman"/>
          <w:color w:val="000000"/>
          <w:szCs w:val="24"/>
        </w:rPr>
        <w:t>amount</w:t>
      </w:r>
      <w:proofErr w:type="gramEnd"/>
      <w:r w:rsidRPr="00401002">
        <w:rPr>
          <w:rFonts w:eastAsia="Times New Roman" w:cs="Times New Roman"/>
          <w:color w:val="000000"/>
          <w:szCs w:val="24"/>
        </w:rPr>
        <w:t xml:space="preserve"> of drugs “increases the prescribed statutory maximum penalty to which a criminal defendant is exposed,” the amount of drugs must be decided by a jury beyond a reasonable doubt.  </w:t>
      </w:r>
      <w:r w:rsidRPr="00401002">
        <w:rPr>
          <w:rFonts w:eastAsia="Times New Roman" w:cs="Times New Roman"/>
          <w:i/>
          <w:color w:val="000000"/>
          <w:szCs w:val="24"/>
        </w:rPr>
        <w:t>See United States v. Garcia-Guizar</w:t>
      </w:r>
      <w:r w:rsidRPr="00401002">
        <w:rPr>
          <w:rFonts w:eastAsia="Times New Roman" w:cs="Times New Roman"/>
          <w:color w:val="000000"/>
          <w:szCs w:val="24"/>
        </w:rPr>
        <w:t xml:space="preserve">, 234 F.3d 483, 488 (9th Cir. 2000).  However, the government need not prove that the defendant knew the type or quantity of controlled substance he possessed to obtain either a conviction under § 841(a) or a particular sentence under § 841(b).  It is sufficient that the jury finds beyond a reasonable doubt that the defendant actually possessed a certain type and quantity of drugs.  </w:t>
      </w:r>
      <w:r w:rsidRPr="00401002">
        <w:rPr>
          <w:rFonts w:eastAsia="Times New Roman" w:cs="Times New Roman"/>
          <w:i/>
          <w:color w:val="000000"/>
          <w:szCs w:val="24"/>
        </w:rPr>
        <w:t>United States v. Jefferson</w:t>
      </w:r>
      <w:r w:rsidRPr="00401002">
        <w:rPr>
          <w:rFonts w:eastAsia="Times New Roman" w:cs="Times New Roman"/>
          <w:color w:val="000000"/>
          <w:szCs w:val="24"/>
        </w:rPr>
        <w:t xml:space="preserve">, 791 F.3d 1013, 1015 (9th Cir. 2015) (holding in context of parallel statute, 21 U.S.C. § 960, that government is not required to prove defendant’s knowledge of type or quantity of drugs either for conviction or for heightened </w:t>
      </w:r>
      <w:r w:rsidRPr="00401002">
        <w:rPr>
          <w:rFonts w:eastAsia="Times New Roman" w:cs="Times New Roman"/>
          <w:color w:val="000000"/>
          <w:szCs w:val="24"/>
        </w:rPr>
        <w:lastRenderedPageBreak/>
        <w:t xml:space="preserve">statutory penalties to apply).  As a result, if applicable, the court should obtain a jury determination of the </w:t>
      </w:r>
      <w:proofErr w:type="gramStart"/>
      <w:r w:rsidRPr="00401002">
        <w:rPr>
          <w:rFonts w:eastAsia="Times New Roman" w:cs="Times New Roman"/>
          <w:color w:val="000000"/>
          <w:szCs w:val="24"/>
        </w:rPr>
        <w:t>amount</w:t>
      </w:r>
      <w:proofErr w:type="gramEnd"/>
      <w:r w:rsidRPr="00401002">
        <w:rPr>
          <w:rFonts w:eastAsia="Times New Roman" w:cs="Times New Roman"/>
          <w:color w:val="000000"/>
          <w:szCs w:val="24"/>
        </w:rPr>
        <w:t xml:space="preserve"> of drugs involved.  </w:t>
      </w:r>
      <w:r w:rsidRPr="00401002">
        <w:rPr>
          <w:rFonts w:eastAsia="Times New Roman" w:cs="Times New Roman"/>
          <w:i/>
          <w:color w:val="000000"/>
          <w:szCs w:val="24"/>
        </w:rPr>
        <w:t>See also United States v. Booker</w:t>
      </w:r>
      <w:r w:rsidRPr="00401002">
        <w:rPr>
          <w:rFonts w:eastAsia="Times New Roman" w:cs="Times New Roman"/>
          <w:color w:val="000000"/>
          <w:szCs w:val="24"/>
        </w:rPr>
        <w:t xml:space="preserve">, 543 U.S. 220 (2005); </w:t>
      </w:r>
      <w:r w:rsidRPr="00401002">
        <w:rPr>
          <w:rFonts w:eastAsia="Times New Roman" w:cs="Times New Roman"/>
          <w:i/>
          <w:color w:val="000000"/>
          <w:szCs w:val="24"/>
        </w:rPr>
        <w:t>United States v. Ameline</w:t>
      </w:r>
      <w:r w:rsidRPr="00401002">
        <w:rPr>
          <w:rFonts w:eastAsia="Times New Roman" w:cs="Times New Roman"/>
          <w:iCs/>
          <w:color w:val="000000"/>
          <w:szCs w:val="24"/>
        </w:rPr>
        <w:t>,</w:t>
      </w:r>
      <w:r w:rsidRPr="00401002">
        <w:rPr>
          <w:rFonts w:eastAsia="Times New Roman" w:cs="Times New Roman"/>
          <w:i/>
          <w:color w:val="000000"/>
          <w:szCs w:val="24"/>
        </w:rPr>
        <w:t xml:space="preserve"> </w:t>
      </w:r>
      <w:r w:rsidRPr="00401002">
        <w:rPr>
          <w:rFonts w:eastAsia="Times New Roman" w:cs="Times New Roman"/>
          <w:color w:val="000000"/>
          <w:szCs w:val="24"/>
        </w:rPr>
        <w:t>409 F.3d 1073 (9th Cir. 2005) (</w:t>
      </w:r>
      <w:proofErr w:type="spellStart"/>
      <w:r w:rsidRPr="00401002">
        <w:rPr>
          <w:rFonts w:eastAsia="Times New Roman" w:cs="Times New Roman"/>
          <w:color w:val="000000"/>
          <w:szCs w:val="24"/>
        </w:rPr>
        <w:t>en</w:t>
      </w:r>
      <w:proofErr w:type="spellEnd"/>
      <w:r w:rsidRPr="00401002">
        <w:rPr>
          <w:rFonts w:eastAsia="Times New Roman" w:cs="Times New Roman"/>
          <w:color w:val="000000"/>
          <w:szCs w:val="24"/>
        </w:rPr>
        <w:t xml:space="preserve"> banc).  When it is necessary to determine an amount of controlled substance, use this instruction with Instruction 12.2 (Determining Amount of Controlled Substance), together with a verdict form similar to the example provided in the Comment to Instruction 12.5.  </w:t>
      </w:r>
      <w:r w:rsidRPr="00401002">
        <w:rPr>
          <w:rFonts w:eastAsia="Times New Roman" w:cs="Times New Roman"/>
          <w:i/>
          <w:color w:val="000000"/>
          <w:szCs w:val="24"/>
        </w:rPr>
        <w:t>But see United States v. Hunt</w:t>
      </w:r>
      <w:r w:rsidRPr="00401002">
        <w:rPr>
          <w:rFonts w:eastAsia="Times New Roman" w:cs="Times New Roman"/>
          <w:color w:val="000000"/>
          <w:szCs w:val="24"/>
        </w:rPr>
        <w:t>, 656 F.3d 906 (9th Cir. 2011) (discussing effect on sentencing of knowledge of type of drug in attempted possession with intent to distribute case).</w:t>
      </w:r>
    </w:p>
    <w:p w14:paraId="2EEEC5D0" w14:textId="77777777" w:rsidR="00401002" w:rsidRPr="00401002" w:rsidRDefault="00401002" w:rsidP="00401002">
      <w:pPr>
        <w:rPr>
          <w:rFonts w:eastAsia="Times New Roman" w:cs="Times New Roman"/>
          <w:color w:val="000000"/>
          <w:szCs w:val="24"/>
        </w:rPr>
      </w:pPr>
    </w:p>
    <w:p w14:paraId="192791FC"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 xml:space="preserve">The defendant may be entitled to a jury instruction on a lesser included offense of simple possession, 21 U.S.C. § 844(a).  </w:t>
      </w:r>
      <w:r w:rsidRPr="00401002">
        <w:rPr>
          <w:rFonts w:eastAsia="Times New Roman" w:cs="Times New Roman"/>
          <w:i/>
          <w:color w:val="000000"/>
          <w:szCs w:val="24"/>
        </w:rPr>
        <w:t>See</w:t>
      </w:r>
      <w:r w:rsidRPr="00401002">
        <w:rPr>
          <w:rFonts w:eastAsia="Times New Roman" w:cs="Times New Roman"/>
          <w:color w:val="000000"/>
          <w:szCs w:val="24"/>
        </w:rPr>
        <w:t xml:space="preserve"> Instruction 6.15.  </w:t>
      </w:r>
      <w:r w:rsidRPr="00401002">
        <w:rPr>
          <w:rFonts w:eastAsia="Times New Roman" w:cs="Times New Roman"/>
          <w:i/>
          <w:color w:val="000000"/>
          <w:szCs w:val="24"/>
        </w:rPr>
        <w:t>See also United States v. Hernandez</w:t>
      </w:r>
      <w:r w:rsidRPr="00401002">
        <w:rPr>
          <w:rFonts w:eastAsia="Times New Roman" w:cs="Times New Roman"/>
          <w:color w:val="000000"/>
          <w:szCs w:val="24"/>
        </w:rPr>
        <w:t>, 476 F.3d 791, 798-800 (9th Cir. 2007).</w:t>
      </w:r>
    </w:p>
    <w:p w14:paraId="1E1826B9" w14:textId="77777777" w:rsidR="00401002" w:rsidRPr="00401002" w:rsidRDefault="00401002" w:rsidP="00401002">
      <w:pPr>
        <w:rPr>
          <w:rFonts w:eastAsia="Times New Roman" w:cs="Times New Roman"/>
          <w:color w:val="000000"/>
          <w:szCs w:val="24"/>
        </w:rPr>
      </w:pPr>
    </w:p>
    <w:p w14:paraId="1F924733" w14:textId="77777777" w:rsidR="00401002" w:rsidRPr="00401002" w:rsidRDefault="00401002" w:rsidP="00401002">
      <w:pPr>
        <w:rPr>
          <w:rFonts w:eastAsia="Times New Roman" w:cs="Times New Roman"/>
          <w:color w:val="000000"/>
          <w:szCs w:val="24"/>
        </w:rPr>
      </w:pPr>
      <w:r w:rsidRPr="00401002">
        <w:rPr>
          <w:rFonts w:eastAsia="Times New Roman" w:cs="Times New Roman"/>
          <w:color w:val="000000"/>
          <w:szCs w:val="24"/>
        </w:rPr>
        <w:tab/>
        <w:t xml:space="preserve">Possession of a controlled substance with intent to distribute requires the jury to find that the defendant (1) knowingly possessed drugs and (2) possessed them with the intent to deliver them to another person.  </w:t>
      </w:r>
      <w:r w:rsidRPr="00401002">
        <w:rPr>
          <w:rFonts w:eastAsia="Times New Roman" w:cs="Times New Roman"/>
          <w:i/>
          <w:color w:val="000000"/>
          <w:szCs w:val="24"/>
        </w:rPr>
        <w:t>See, for example</w:t>
      </w:r>
      <w:r w:rsidRPr="00401002">
        <w:rPr>
          <w:rFonts w:eastAsia="Times New Roman" w:cs="Times New Roman"/>
          <w:iCs/>
          <w:color w:val="000000"/>
          <w:szCs w:val="24"/>
        </w:rPr>
        <w:t>,</w:t>
      </w:r>
      <w:r w:rsidRPr="00401002">
        <w:rPr>
          <w:rFonts w:eastAsia="Times New Roman" w:cs="Times New Roman"/>
          <w:i/>
          <w:color w:val="000000"/>
          <w:szCs w:val="24"/>
        </w:rPr>
        <w:t xml:space="preserve"> United States v. Orduno-Aguilera</w:t>
      </w:r>
      <w:r w:rsidRPr="00401002">
        <w:rPr>
          <w:rFonts w:eastAsia="Times New Roman" w:cs="Times New Roman"/>
          <w:color w:val="000000"/>
          <w:szCs w:val="24"/>
        </w:rPr>
        <w:t xml:space="preserve">, 183 F.3d 1138, 1140 (9th Cir. 1999); </w:t>
      </w:r>
      <w:r w:rsidRPr="00401002">
        <w:rPr>
          <w:rFonts w:eastAsia="Times New Roman" w:cs="Times New Roman"/>
          <w:i/>
          <w:color w:val="000000"/>
          <w:szCs w:val="24"/>
        </w:rPr>
        <w:t>United States v. Seley</w:t>
      </w:r>
      <w:r w:rsidRPr="00401002">
        <w:rPr>
          <w:rFonts w:eastAsia="Times New Roman" w:cs="Times New Roman"/>
          <w:color w:val="000000"/>
          <w:szCs w:val="24"/>
        </w:rPr>
        <w:t xml:space="preserve">, 957 F.2d 717, 721 (9th Cir. 1992).  </w:t>
      </w:r>
      <w:r w:rsidRPr="00401002">
        <w:rPr>
          <w:rFonts w:eastAsia="Times New Roman" w:cs="Times New Roman"/>
          <w:i/>
          <w:color w:val="000000"/>
          <w:szCs w:val="24"/>
        </w:rPr>
        <w:t>See also United States v. Magallon-Jimenez</w:t>
      </w:r>
      <w:r w:rsidRPr="00401002">
        <w:rPr>
          <w:rFonts w:eastAsia="Times New Roman" w:cs="Times New Roman"/>
          <w:iCs/>
          <w:color w:val="000000"/>
          <w:szCs w:val="24"/>
        </w:rPr>
        <w:t xml:space="preserve">, </w:t>
      </w:r>
      <w:r w:rsidRPr="00401002">
        <w:rPr>
          <w:rFonts w:eastAsia="Times New Roman" w:cs="Times New Roman"/>
          <w:color w:val="000000"/>
          <w:szCs w:val="24"/>
        </w:rPr>
        <w:t>219 F.3d 1109, 1112 (9th Cir. 2000).</w:t>
      </w:r>
    </w:p>
    <w:p w14:paraId="49C227A6" w14:textId="77777777" w:rsidR="00401002" w:rsidRPr="00401002" w:rsidRDefault="00401002" w:rsidP="00401002">
      <w:pPr>
        <w:rPr>
          <w:rFonts w:eastAsia="Times New Roman" w:cs="Times New Roman"/>
          <w:color w:val="000000"/>
          <w:szCs w:val="24"/>
        </w:rPr>
      </w:pPr>
    </w:p>
    <w:p w14:paraId="3877E705" w14:textId="788AD993" w:rsidR="00401002" w:rsidRPr="00D03A8D" w:rsidRDefault="00401002" w:rsidP="00E846AE">
      <w:pPr>
        <w:rPr>
          <w:rFonts w:eastAsia="Times New Roman" w:cs="Times New Roman"/>
          <w:i/>
          <w:iCs/>
          <w:color w:val="000000"/>
          <w:szCs w:val="24"/>
        </w:rPr>
      </w:pPr>
      <w:r w:rsidRPr="00401002">
        <w:rPr>
          <w:rFonts w:eastAsia="Times New Roman" w:cs="Times New Roman"/>
          <w:color w:val="000000"/>
          <w:szCs w:val="24"/>
        </w:rPr>
        <w:tab/>
        <w:t xml:space="preserve">Regarding cases involving a “controlled substance analogue” as it is defined in 21 U.S.C. § 802(32)(A), the Supreme Court held in </w:t>
      </w:r>
      <w:r w:rsidRPr="00401002">
        <w:rPr>
          <w:rFonts w:eastAsia="Times New Roman" w:cs="Times New Roman"/>
          <w:i/>
          <w:color w:val="000000"/>
          <w:szCs w:val="24"/>
        </w:rPr>
        <w:t>McFadden v. United States</w:t>
      </w:r>
      <w:r w:rsidRPr="00401002">
        <w:rPr>
          <w:rFonts w:eastAsia="Times New Roman" w:cs="Times New Roman"/>
          <w:color w:val="000000"/>
          <w:szCs w:val="24"/>
        </w:rPr>
        <w:t xml:space="preserve">, </w:t>
      </w:r>
      <w:r w:rsidR="00A30E8C" w:rsidRPr="00D03A8D">
        <w:rPr>
          <w:rFonts w:eastAsia="Times New Roman" w:cs="Times New Roman"/>
          <w:color w:val="000000"/>
          <w:szCs w:val="24"/>
        </w:rPr>
        <w:t>576 U.S. 186</w:t>
      </w:r>
      <w:r w:rsidRPr="00401002">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401002">
        <w:rPr>
          <w:rFonts w:eastAsia="Times New Roman" w:cs="Times New Roman"/>
          <w:i/>
          <w:color w:val="000000"/>
          <w:szCs w:val="24"/>
        </w:rPr>
        <w:t>Id</w:t>
      </w:r>
      <w:r w:rsidRPr="00401002">
        <w:rPr>
          <w:rFonts w:eastAsia="Times New Roman" w:cs="Times New Roman"/>
          <w:color w:val="000000"/>
          <w:szCs w:val="24"/>
        </w:rPr>
        <w:t xml:space="preserve">. at </w:t>
      </w:r>
      <w:r w:rsidR="00E846AE">
        <w:rPr>
          <w:rFonts w:eastAsia="Times New Roman" w:cs="Times New Roman"/>
          <w:color w:val="000000"/>
          <w:szCs w:val="24"/>
        </w:rPr>
        <w:t>194-95</w:t>
      </w:r>
      <w:r w:rsidR="00AD0D97" w:rsidRPr="00D03A8D">
        <w:rPr>
          <w:rFonts w:eastAsia="Times New Roman" w:cs="Times New Roman"/>
          <w:color w:val="000000"/>
          <w:szCs w:val="24"/>
        </w:rPr>
        <w:t>.</w:t>
      </w:r>
      <w:r w:rsidR="00E846AE" w:rsidRPr="00D03A8D">
        <w:rPr>
          <w:rFonts w:eastAsia="Times New Roman" w:cs="Times New Roman"/>
          <w:color w:val="000000"/>
          <w:szCs w:val="24"/>
        </w:rPr>
        <w:t xml:space="preserve"> </w:t>
      </w:r>
      <w:r w:rsidR="00AD0D97" w:rsidRPr="00D03A8D">
        <w:rPr>
          <w:rFonts w:eastAsia="Times New Roman" w:cs="Times New Roman"/>
          <w:color w:val="000000"/>
          <w:szCs w:val="24"/>
        </w:rPr>
        <w:t xml:space="preserve"> </w:t>
      </w:r>
      <w:r w:rsidR="00E846AE" w:rsidRPr="00D03A8D">
        <w:rPr>
          <w:rFonts w:eastAsia="Times New Roman" w:cs="Times New Roman"/>
          <w:color w:val="000000"/>
          <w:szCs w:val="24"/>
        </w:rPr>
        <w:t>With respect to the definition of “controlled substance analogue” as meaning “a substance . . . (</w:t>
      </w:r>
      <w:proofErr w:type="spellStart"/>
      <w:r w:rsidR="00E846AE" w:rsidRPr="00D03A8D">
        <w:rPr>
          <w:rFonts w:eastAsia="Times New Roman" w:cs="Times New Roman"/>
          <w:color w:val="000000"/>
          <w:szCs w:val="24"/>
        </w:rPr>
        <w:t>i</w:t>
      </w:r>
      <w:proofErr w:type="spellEnd"/>
      <w:r w:rsidR="00E846AE" w:rsidRPr="00D03A8D">
        <w:rPr>
          <w:rFonts w:eastAsia="Times New Roman" w:cs="Times New Roman"/>
          <w:color w:val="000000"/>
          <w:szCs w:val="24"/>
        </w:rPr>
        <w:t>) the chemical structure of which is substantially similar to the chemical structure of a controlled substance in schedule I or II,” 21 U.S.C. § 802(32)(A)(</w:t>
      </w:r>
      <w:proofErr w:type="spellStart"/>
      <w:r w:rsidR="00E846AE" w:rsidRPr="00D03A8D">
        <w:rPr>
          <w:rFonts w:eastAsia="Times New Roman" w:cs="Times New Roman"/>
          <w:color w:val="000000"/>
          <w:szCs w:val="24"/>
        </w:rPr>
        <w:t>i</w:t>
      </w:r>
      <w:proofErr w:type="spellEnd"/>
      <w:r w:rsidR="00E846AE" w:rsidRPr="00D03A8D">
        <w:rPr>
          <w:rFonts w:eastAsia="Times New Roman" w:cs="Times New Roman"/>
          <w:color w:val="000000"/>
          <w:szCs w:val="24"/>
        </w:rPr>
        <w:t xml:space="preserve">), substances are “substantially similar” for </w:t>
      </w:r>
      <w:r w:rsidR="00A978BB" w:rsidRPr="00D03A8D">
        <w:rPr>
          <w:rFonts w:eastAsia="Times New Roman" w:cs="Times New Roman"/>
          <w:color w:val="000000"/>
          <w:szCs w:val="24"/>
        </w:rPr>
        <w:t xml:space="preserve">purposes of the statute if he two chemicals </w:t>
      </w:r>
      <w:r w:rsidR="00E846AE" w:rsidRPr="00D03A8D">
        <w:rPr>
          <w:rFonts w:eastAsia="Times New Roman" w:cs="Times New Roman"/>
          <w:color w:val="000000"/>
          <w:szCs w:val="24"/>
        </w:rPr>
        <w:t>“share a common core of identical chemical structural features and that the subset of differences between the two chemicals does not make a difference in the substance’s ‘relevant characteristics’”</w:t>
      </w:r>
      <w:r w:rsidR="00E846AE" w:rsidRPr="00D03A8D">
        <w:rPr>
          <w:rFonts w:ascii="TimesNewRomanPSMT,Italic" w:hAnsi="TimesNewRomanPSMT,Italic" w:cs="TimesNewRomanPSMT,Italic"/>
          <w:i/>
          <w:iCs/>
          <w:color w:val="FF0000"/>
          <w:sz w:val="28"/>
          <w:szCs w:val="28"/>
        </w:rPr>
        <w:t xml:space="preserve"> </w:t>
      </w:r>
      <w:r w:rsidR="00E846AE" w:rsidRPr="00D03A8D">
        <w:rPr>
          <w:rFonts w:eastAsia="Times New Roman" w:cs="Times New Roman"/>
          <w:i/>
          <w:iCs/>
          <w:color w:val="000000"/>
          <w:szCs w:val="24"/>
        </w:rPr>
        <w:t>United States v. Galecki</w:t>
      </w:r>
      <w:r w:rsidR="00E846AE" w:rsidRPr="00D03A8D">
        <w:rPr>
          <w:rFonts w:eastAsia="Times New Roman" w:cs="Times New Roman"/>
          <w:color w:val="000000"/>
          <w:szCs w:val="24"/>
        </w:rPr>
        <w:t>, 89</w:t>
      </w:r>
      <w:r w:rsidR="00E846AE" w:rsidRPr="00D03A8D">
        <w:rPr>
          <w:rFonts w:eastAsia="Times New Roman" w:cs="Times New Roman"/>
          <w:i/>
          <w:iCs/>
          <w:color w:val="000000"/>
          <w:szCs w:val="24"/>
        </w:rPr>
        <w:t xml:space="preserve"> </w:t>
      </w:r>
      <w:r w:rsidR="00E846AE" w:rsidRPr="00D03A8D">
        <w:rPr>
          <w:rFonts w:eastAsia="Times New Roman" w:cs="Times New Roman"/>
          <w:color w:val="000000"/>
          <w:szCs w:val="24"/>
        </w:rPr>
        <w:t xml:space="preserve">F.4th 713, 731 (9th Cir. 2023) (quoting </w:t>
      </w:r>
      <w:r w:rsidR="00E846AE" w:rsidRPr="00D03A8D">
        <w:rPr>
          <w:rFonts w:eastAsia="Times New Roman" w:cs="Times New Roman"/>
          <w:i/>
          <w:iCs/>
          <w:color w:val="000000"/>
          <w:szCs w:val="24"/>
        </w:rPr>
        <w:t>United States v. Roberts</w:t>
      </w:r>
      <w:r w:rsidR="00E846AE" w:rsidRPr="00D03A8D">
        <w:rPr>
          <w:rFonts w:eastAsia="Times New Roman" w:cs="Times New Roman"/>
          <w:color w:val="000000"/>
          <w:szCs w:val="24"/>
        </w:rPr>
        <w:t>, 363 F.3d 118, 124 (2d Cir. 2004))</w:t>
      </w:r>
      <w:r w:rsidRPr="00D03A8D">
        <w:rPr>
          <w:rFonts w:eastAsia="Times New Roman" w:cs="Times New Roman"/>
          <w:color w:val="000000"/>
          <w:szCs w:val="24"/>
        </w:rPr>
        <w:t>.</w:t>
      </w:r>
    </w:p>
    <w:p w14:paraId="6AE66AE1" w14:textId="77777777" w:rsidR="00401002" w:rsidRPr="00401002" w:rsidRDefault="00401002" w:rsidP="00401002">
      <w:pPr>
        <w:rPr>
          <w:rFonts w:eastAsia="Times New Roman" w:cs="Times New Roman"/>
          <w:color w:val="000000"/>
          <w:szCs w:val="24"/>
        </w:rPr>
      </w:pPr>
    </w:p>
    <w:p w14:paraId="249F1F31" w14:textId="77777777" w:rsidR="00401002" w:rsidRPr="00401002" w:rsidRDefault="00401002" w:rsidP="00401002">
      <w:pPr>
        <w:rPr>
          <w:rFonts w:eastAsia="Times New Roman" w:cs="Times New Roman"/>
          <w:color w:val="000000"/>
          <w:szCs w:val="24"/>
        </w:rPr>
      </w:pPr>
    </w:p>
    <w:p w14:paraId="077C728C" w14:textId="49058EE7" w:rsidR="00401002" w:rsidRPr="00401002" w:rsidRDefault="00401002" w:rsidP="00401002">
      <w:pPr>
        <w:jc w:val="right"/>
        <w:rPr>
          <w:rFonts w:eastAsia="Times New Roman" w:cs="Times New Roman"/>
          <w:color w:val="000000"/>
          <w:szCs w:val="24"/>
        </w:rPr>
      </w:pPr>
      <w:r w:rsidRPr="00401002">
        <w:rPr>
          <w:rFonts w:eastAsia="Times New Roman" w:cs="Times New Roman"/>
          <w:i/>
          <w:color w:val="000000"/>
          <w:szCs w:val="24"/>
        </w:rPr>
        <w:t>Revised</w:t>
      </w:r>
      <w:r w:rsidR="00E846AE">
        <w:rPr>
          <w:rFonts w:eastAsia="Times New Roman" w:cs="Times New Roman"/>
          <w:i/>
          <w:color w:val="000000"/>
          <w:szCs w:val="24"/>
        </w:rPr>
        <w:t xml:space="preserve"> </w:t>
      </w:r>
      <w:r w:rsidR="00D67A1C">
        <w:rPr>
          <w:rFonts w:eastAsia="Times New Roman" w:cs="Times New Roman"/>
          <w:i/>
          <w:color w:val="000000"/>
          <w:szCs w:val="24"/>
        </w:rPr>
        <w:t>Nov</w:t>
      </w:r>
      <w:r w:rsidR="00F1291F">
        <w:rPr>
          <w:rFonts w:eastAsia="Times New Roman" w:cs="Times New Roman"/>
          <w:i/>
          <w:color w:val="000000"/>
          <w:szCs w:val="24"/>
        </w:rPr>
        <w:t>ember</w:t>
      </w:r>
      <w:r w:rsidR="00D67A1C">
        <w:rPr>
          <w:rFonts w:eastAsia="Times New Roman" w:cs="Times New Roman"/>
          <w:i/>
          <w:color w:val="000000"/>
          <w:szCs w:val="24"/>
        </w:rPr>
        <w:t xml:space="preserve"> </w:t>
      </w:r>
      <w:r w:rsidR="00E846AE">
        <w:rPr>
          <w:rFonts w:eastAsia="Times New Roman" w:cs="Times New Roman"/>
          <w:i/>
          <w:color w:val="000000"/>
          <w:szCs w:val="24"/>
        </w:rPr>
        <w:t>2024</w:t>
      </w:r>
    </w:p>
    <w:p w14:paraId="0ACE18C0" w14:textId="77CAC2B0" w:rsidR="00C97E04" w:rsidRPr="00401002" w:rsidRDefault="00C97E04" w:rsidP="00401002"/>
    <w:sectPr w:rsidR="00C97E04" w:rsidRPr="00401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15880"/>
    <w:rsid w:val="00136279"/>
    <w:rsid w:val="00156526"/>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A725E"/>
    <w:rsid w:val="003B4349"/>
    <w:rsid w:val="003D3221"/>
    <w:rsid w:val="003E3B95"/>
    <w:rsid w:val="003F44F6"/>
    <w:rsid w:val="00401002"/>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2282"/>
    <w:rsid w:val="00765755"/>
    <w:rsid w:val="007847F9"/>
    <w:rsid w:val="007A1B33"/>
    <w:rsid w:val="007C6517"/>
    <w:rsid w:val="007D1A93"/>
    <w:rsid w:val="00812338"/>
    <w:rsid w:val="00813014"/>
    <w:rsid w:val="00850868"/>
    <w:rsid w:val="00890E7A"/>
    <w:rsid w:val="008962A3"/>
    <w:rsid w:val="008B4376"/>
    <w:rsid w:val="008B6CE7"/>
    <w:rsid w:val="00906160"/>
    <w:rsid w:val="00960C76"/>
    <w:rsid w:val="00970FFD"/>
    <w:rsid w:val="00986161"/>
    <w:rsid w:val="009947F5"/>
    <w:rsid w:val="009A2700"/>
    <w:rsid w:val="009A792F"/>
    <w:rsid w:val="009C0C69"/>
    <w:rsid w:val="009D0413"/>
    <w:rsid w:val="009F0A7C"/>
    <w:rsid w:val="009F5ED7"/>
    <w:rsid w:val="00A20325"/>
    <w:rsid w:val="00A30E8C"/>
    <w:rsid w:val="00A36FC1"/>
    <w:rsid w:val="00A64334"/>
    <w:rsid w:val="00A978BB"/>
    <w:rsid w:val="00AA2B06"/>
    <w:rsid w:val="00AD0D97"/>
    <w:rsid w:val="00AE279C"/>
    <w:rsid w:val="00AE2FCD"/>
    <w:rsid w:val="00AF516D"/>
    <w:rsid w:val="00B0682D"/>
    <w:rsid w:val="00B21672"/>
    <w:rsid w:val="00B43CDA"/>
    <w:rsid w:val="00B46909"/>
    <w:rsid w:val="00B84EB9"/>
    <w:rsid w:val="00B951E2"/>
    <w:rsid w:val="00B961AC"/>
    <w:rsid w:val="00BA3B85"/>
    <w:rsid w:val="00BD1E72"/>
    <w:rsid w:val="00BE1BC9"/>
    <w:rsid w:val="00C11603"/>
    <w:rsid w:val="00C3129B"/>
    <w:rsid w:val="00C53BB2"/>
    <w:rsid w:val="00C75965"/>
    <w:rsid w:val="00C97E04"/>
    <w:rsid w:val="00CB6ACA"/>
    <w:rsid w:val="00D03A8D"/>
    <w:rsid w:val="00D0777F"/>
    <w:rsid w:val="00D67A1C"/>
    <w:rsid w:val="00D97F48"/>
    <w:rsid w:val="00DC38EF"/>
    <w:rsid w:val="00DE0E57"/>
    <w:rsid w:val="00DF451A"/>
    <w:rsid w:val="00E56A96"/>
    <w:rsid w:val="00E846AE"/>
    <w:rsid w:val="00E90670"/>
    <w:rsid w:val="00EA658F"/>
    <w:rsid w:val="00EA72FC"/>
    <w:rsid w:val="00EB0197"/>
    <w:rsid w:val="00EB427D"/>
    <w:rsid w:val="00EC15D6"/>
    <w:rsid w:val="00EE714D"/>
    <w:rsid w:val="00F1291F"/>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11603"/>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10</cp:revision>
  <dcterms:created xsi:type="dcterms:W3CDTF">2022-08-24T21:44:00Z</dcterms:created>
  <dcterms:modified xsi:type="dcterms:W3CDTF">2025-01-06T17:26:00Z</dcterms:modified>
</cp:coreProperties>
</file>