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A839" w14:textId="77777777" w:rsidR="00D56222" w:rsidRPr="00D56222" w:rsidRDefault="00D56222" w:rsidP="00D56222">
      <w:pPr>
        <w:autoSpaceDE w:val="0"/>
        <w:autoSpaceDN w:val="0"/>
        <w:adjustRightInd w:val="0"/>
        <w:ind w:left="420" w:hanging="240"/>
        <w:jc w:val="center"/>
        <w:outlineLvl w:val="1"/>
        <w:rPr>
          <w:rFonts w:cs="Times New Roman"/>
          <w:b/>
          <w:bCs/>
          <w:szCs w:val="24"/>
        </w:rPr>
      </w:pPr>
      <w:bookmarkStart w:id="0" w:name="_Toc73698635"/>
      <w:bookmarkStart w:id="1" w:name="_Toc83310691"/>
      <w:bookmarkStart w:id="2" w:name="_Toc83362490"/>
      <w:bookmarkStart w:id="3" w:name="_Toc83362899"/>
      <w:bookmarkStart w:id="4" w:name="_Toc90309957"/>
      <w:bookmarkStart w:id="5" w:name="_Toc90389815"/>
      <w:bookmarkStart w:id="6" w:name="_Toc90860395"/>
      <w:r w:rsidRPr="00D56222">
        <w:rPr>
          <w:rFonts w:cs="Times New Roman"/>
          <w:b/>
          <w:bCs/>
          <w:szCs w:val="24"/>
        </w:rPr>
        <w:t>12.4 Controlled Substance—Distribution or Manufacture</w:t>
      </w:r>
    </w:p>
    <w:p w14:paraId="64A95D8F" w14:textId="77777777" w:rsidR="00D56222" w:rsidRPr="00D56222" w:rsidRDefault="00D56222" w:rsidP="00D56222">
      <w:pPr>
        <w:autoSpaceDE w:val="0"/>
        <w:autoSpaceDN w:val="0"/>
        <w:adjustRightInd w:val="0"/>
        <w:ind w:left="420" w:hanging="240"/>
        <w:jc w:val="center"/>
        <w:outlineLvl w:val="1"/>
        <w:rPr>
          <w:rFonts w:cs="Times New Roman"/>
          <w:b/>
          <w:bCs/>
          <w:szCs w:val="24"/>
        </w:rPr>
      </w:pPr>
      <w:r w:rsidRPr="00D56222">
        <w:rPr>
          <w:rFonts w:cs="Times New Roman"/>
          <w:b/>
          <w:bCs/>
          <w:szCs w:val="24"/>
        </w:rPr>
        <w:t xml:space="preserve"> (21 U.S.C. § 841(a)(1))</w:t>
      </w:r>
      <w:bookmarkEnd w:id="0"/>
      <w:bookmarkEnd w:id="1"/>
      <w:bookmarkEnd w:id="2"/>
      <w:bookmarkEnd w:id="3"/>
      <w:bookmarkEnd w:id="4"/>
      <w:bookmarkEnd w:id="5"/>
      <w:bookmarkEnd w:id="6"/>
    </w:p>
    <w:p w14:paraId="50772265" w14:textId="77777777" w:rsidR="00D56222" w:rsidRPr="00D56222" w:rsidRDefault="00D56222" w:rsidP="00D56222">
      <w:pPr>
        <w:rPr>
          <w:rFonts w:eastAsia="Times New Roman" w:cs="Times New Roman"/>
          <w:color w:val="000000"/>
          <w:szCs w:val="24"/>
        </w:rPr>
      </w:pPr>
    </w:p>
    <w:p w14:paraId="056F68AB" w14:textId="77777777"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t>The defendant is charged in [Count _______ of] the indictment with [distribution] [manufacture]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in violation of Section 841(a)(1) of Title 21 of the United States Code.  For the defendant to be found guilty of that charge, the government must prove each of the following elements beyond a reasonable doubt:</w:t>
      </w:r>
    </w:p>
    <w:p w14:paraId="1E0F11C9" w14:textId="77777777" w:rsidR="00D56222" w:rsidRPr="00D56222" w:rsidRDefault="00D56222" w:rsidP="00D56222">
      <w:pPr>
        <w:rPr>
          <w:rFonts w:eastAsia="Times New Roman" w:cs="Times New Roman"/>
          <w:color w:val="000000"/>
          <w:szCs w:val="24"/>
        </w:rPr>
      </w:pPr>
    </w:p>
    <w:p w14:paraId="4329FF32" w14:textId="77777777"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t>First, the defendant knowingly [[distributed] [manufactured]]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and</w:t>
      </w:r>
    </w:p>
    <w:p w14:paraId="3D2FFD54" w14:textId="77777777" w:rsidR="00D56222" w:rsidRPr="00D56222" w:rsidRDefault="00D56222" w:rsidP="00D56222">
      <w:pPr>
        <w:rPr>
          <w:rFonts w:eastAsia="Times New Roman" w:cs="Times New Roman"/>
          <w:color w:val="000000"/>
          <w:szCs w:val="24"/>
        </w:rPr>
      </w:pPr>
    </w:p>
    <w:p w14:paraId="75164306" w14:textId="77777777"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t>Second, the defendant knew that it was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or some other federally controlled substance.</w:t>
      </w:r>
    </w:p>
    <w:p w14:paraId="72163044" w14:textId="77777777" w:rsidR="00D56222" w:rsidRPr="00D56222" w:rsidRDefault="00D56222" w:rsidP="00D56222">
      <w:pPr>
        <w:rPr>
          <w:rFonts w:eastAsia="Times New Roman" w:cs="Times New Roman"/>
          <w:color w:val="000000"/>
          <w:szCs w:val="24"/>
        </w:rPr>
      </w:pPr>
    </w:p>
    <w:p w14:paraId="5846A0E7" w14:textId="77777777"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t>[“Distributing” means delivering or transferring possession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 to another person, with or without any financial interest in that transaction.]</w:t>
      </w:r>
    </w:p>
    <w:p w14:paraId="2897B608" w14:textId="77777777" w:rsidR="00D56222" w:rsidRPr="00D56222" w:rsidRDefault="00D56222" w:rsidP="00D56222">
      <w:pPr>
        <w:rPr>
          <w:rFonts w:eastAsia="Times New Roman" w:cs="Times New Roman"/>
          <w:color w:val="000000"/>
          <w:szCs w:val="24"/>
        </w:rPr>
      </w:pPr>
    </w:p>
    <w:p w14:paraId="5F2F0AE6" w14:textId="77777777" w:rsidR="00D56222" w:rsidRDefault="00D56222" w:rsidP="00D56222">
      <w:pPr>
        <w:rPr>
          <w:rFonts w:eastAsia="Times New Roman" w:cs="Times New Roman"/>
          <w:color w:val="000000"/>
          <w:szCs w:val="24"/>
        </w:rPr>
      </w:pPr>
      <w:r w:rsidRPr="00D56222">
        <w:rPr>
          <w:rFonts w:eastAsia="Times New Roman" w:cs="Times New Roman"/>
          <w:color w:val="000000"/>
          <w:szCs w:val="24"/>
        </w:rPr>
        <w:tab/>
        <w:t>[The government is not required to prove the amount or quantity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w:t>
      </w:r>
      <w:r w:rsidRPr="00D56222">
        <w:rPr>
          <w:rFonts w:eastAsia="Times New Roman" w:cs="Times New Roman"/>
          <w:color w:val="000000"/>
          <w:szCs w:val="24"/>
        </w:rPr>
        <w:t xml:space="preserve"> </w:t>
      </w:r>
      <w:r w:rsidRPr="00D56222">
        <w:rPr>
          <w:rFonts w:eastAsia="Times New Roman" w:cs="Times New Roman"/>
          <w:i/>
          <w:color w:val="000000"/>
          <w:szCs w:val="24"/>
          <w:u w:val="single"/>
        </w:rPr>
        <w:t>substance</w:t>
      </w:r>
      <w:r w:rsidRPr="00D56222">
        <w:rPr>
          <w:rFonts w:eastAsia="Times New Roman" w:cs="Times New Roman"/>
          <w:color w:val="000000"/>
          <w:szCs w:val="24"/>
        </w:rPr>
        <w:t>].  It need only prove beyond a reasonable doubt that there was a measurable or detectable amount of [</w:t>
      </w:r>
      <w:r w:rsidRPr="00D56222">
        <w:rPr>
          <w:rFonts w:eastAsia="Times New Roman" w:cs="Times New Roman"/>
          <w:i/>
          <w:color w:val="000000"/>
          <w:szCs w:val="24"/>
          <w:u w:val="single"/>
        </w:rPr>
        <w:t>specify</w:t>
      </w:r>
      <w:r w:rsidRPr="00D56222">
        <w:rPr>
          <w:rFonts w:eastAsia="Times New Roman" w:cs="Times New Roman"/>
          <w:color w:val="000000"/>
          <w:szCs w:val="24"/>
          <w:u w:val="single"/>
        </w:rPr>
        <w:t xml:space="preserve"> </w:t>
      </w:r>
      <w:r w:rsidRPr="00D56222">
        <w:rPr>
          <w:rFonts w:eastAsia="Times New Roman" w:cs="Times New Roman"/>
          <w:i/>
          <w:color w:val="000000"/>
          <w:szCs w:val="24"/>
          <w:u w:val="single"/>
        </w:rPr>
        <w:t>controlled substance</w:t>
      </w:r>
      <w:r w:rsidRPr="00D56222">
        <w:rPr>
          <w:rFonts w:eastAsia="Times New Roman" w:cs="Times New Roman"/>
          <w:color w:val="000000"/>
          <w:szCs w:val="24"/>
        </w:rPr>
        <w:t>].]</w:t>
      </w:r>
    </w:p>
    <w:p w14:paraId="5FF38DBC" w14:textId="77777777" w:rsidR="005A5BF7" w:rsidRDefault="005A5BF7" w:rsidP="00D56222">
      <w:pPr>
        <w:rPr>
          <w:rFonts w:eastAsia="Times New Roman" w:cs="Times New Roman"/>
          <w:color w:val="000000"/>
          <w:szCs w:val="24"/>
        </w:rPr>
      </w:pPr>
    </w:p>
    <w:p w14:paraId="40600085" w14:textId="39ED1686" w:rsidR="005A5BF7" w:rsidRPr="00353487" w:rsidRDefault="005A5BF7" w:rsidP="005A5BF7">
      <w:pPr>
        <w:ind w:firstLine="720"/>
        <w:rPr>
          <w:rFonts w:eastAsia="Times New Roman" w:cs="Times New Roman"/>
          <w:color w:val="000000"/>
          <w:szCs w:val="24"/>
          <w:u w:val="single"/>
        </w:rPr>
      </w:pPr>
      <w:bookmarkStart w:id="7" w:name="Instruction_12.4"/>
      <w:bookmarkEnd w:id="7"/>
      <w:r w:rsidRPr="00353487">
        <w:rPr>
          <w:rFonts w:eastAsia="Times New Roman" w:cs="Times New Roman"/>
          <w:color w:val="000000"/>
          <w:szCs w:val="24"/>
        </w:rPr>
        <w:t>[If you find that the defendant is guilty of [[distributing] [manufacturing]] [</w:t>
      </w:r>
      <w:r w:rsidRPr="00353487">
        <w:rPr>
          <w:rFonts w:eastAsia="Times New Roman" w:cs="Times New Roman"/>
          <w:i/>
          <w:iCs/>
          <w:color w:val="000000"/>
          <w:szCs w:val="24"/>
          <w:u w:val="single"/>
        </w:rPr>
        <w:t>specify</w:t>
      </w:r>
    </w:p>
    <w:p w14:paraId="3E00D7D1" w14:textId="1DB3A9B2" w:rsidR="005A5BF7" w:rsidRPr="00353487" w:rsidRDefault="005A5BF7" w:rsidP="005A5BF7">
      <w:pPr>
        <w:rPr>
          <w:rFonts w:eastAsia="Times New Roman" w:cs="Times New Roman"/>
          <w:color w:val="000000"/>
          <w:szCs w:val="24"/>
        </w:rPr>
      </w:pPr>
      <w:r w:rsidRPr="00353487">
        <w:rPr>
          <w:rFonts w:eastAsia="Times New Roman" w:cs="Times New Roman"/>
          <w:i/>
          <w:iCs/>
          <w:color w:val="000000"/>
          <w:szCs w:val="24"/>
          <w:u w:val="single"/>
        </w:rPr>
        <w:t>controlled substance</w:t>
      </w:r>
      <w:r w:rsidRPr="00353487">
        <w:rPr>
          <w:rFonts w:eastAsia="Times New Roman" w:cs="Times New Roman"/>
          <w:color w:val="000000"/>
          <w:szCs w:val="24"/>
        </w:rPr>
        <w:t>], then you must determine whether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 xml:space="preserve">]’s </w:t>
      </w:r>
      <w:r w:rsidR="00C6640E" w:rsidRPr="00353487">
        <w:rPr>
          <w:rFonts w:eastAsia="Times New Roman" w:cs="Times New Roman"/>
          <w:color w:val="000000"/>
          <w:szCs w:val="24"/>
        </w:rPr>
        <w:t>[[</w:t>
      </w:r>
      <w:r w:rsidRPr="00353487">
        <w:rPr>
          <w:rFonts w:eastAsia="Times New Roman" w:cs="Times New Roman"/>
          <w:color w:val="000000"/>
          <w:szCs w:val="24"/>
        </w:rPr>
        <w:t>death</w:t>
      </w:r>
      <w:r w:rsidR="00C6640E" w:rsidRPr="00353487">
        <w:rPr>
          <w:rFonts w:eastAsia="Times New Roman" w:cs="Times New Roman"/>
          <w:color w:val="000000"/>
          <w:szCs w:val="24"/>
        </w:rPr>
        <w:t>] [serious bodily injury]]</w:t>
      </w:r>
      <w:r w:rsidRPr="00353487">
        <w:rPr>
          <w:rFonts w:eastAsia="Times New Roman" w:cs="Times New Roman"/>
          <w:color w:val="000000"/>
          <w:szCs w:val="24"/>
        </w:rPr>
        <w:t xml:space="preserve"> was a result of the</w:t>
      </w:r>
      <w:r w:rsidR="00C6640E" w:rsidRPr="00353487">
        <w:rPr>
          <w:rFonts w:eastAsia="Times New Roman" w:cs="Times New Roman"/>
          <w:color w:val="000000"/>
          <w:szCs w:val="24"/>
        </w:rPr>
        <w:t xml:space="preserve"> use of the</w:t>
      </w:r>
      <w:r w:rsidRPr="00353487">
        <w:rPr>
          <w:rFonts w:eastAsia="Times New Roman" w:cs="Times New Roman"/>
          <w:color w:val="000000"/>
          <w:szCs w:val="24"/>
        </w:rPr>
        <w:t xml:space="preserv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xml:space="preserve">] [[distributed] [manufactured]] by the defendant. To find that </w:t>
      </w:r>
      <w:r w:rsidR="00C6640E" w:rsidRPr="00353487">
        <w:rPr>
          <w:rFonts w:eastAsia="Times New Roman" w:cs="Times New Roman"/>
          <w:color w:val="000000"/>
          <w:szCs w:val="24"/>
        </w:rPr>
        <w:t xml:space="preserve">the use of </w:t>
      </w:r>
      <w:r w:rsidRPr="00353487">
        <w:rPr>
          <w:rFonts w:eastAsia="Times New Roman" w:cs="Times New Roman"/>
          <w:color w:val="000000"/>
          <w:szCs w:val="24"/>
        </w:rPr>
        <w:t xml:space="preserve">a drug resulted in </w:t>
      </w:r>
      <w:r w:rsidR="00C6640E" w:rsidRPr="00353487">
        <w:rPr>
          <w:rFonts w:eastAsia="Times New Roman" w:cs="Times New Roman"/>
          <w:color w:val="000000"/>
          <w:szCs w:val="24"/>
        </w:rPr>
        <w:t>[[</w:t>
      </w:r>
      <w:r w:rsidRPr="00353487">
        <w:rPr>
          <w:rFonts w:eastAsia="Times New Roman" w:cs="Times New Roman"/>
          <w:color w:val="000000"/>
          <w:szCs w:val="24"/>
        </w:rPr>
        <w:t>death</w:t>
      </w:r>
      <w:r w:rsidR="00C6640E" w:rsidRPr="00353487">
        <w:rPr>
          <w:rFonts w:eastAsia="Times New Roman" w:cs="Times New Roman"/>
          <w:color w:val="000000"/>
          <w:szCs w:val="24"/>
        </w:rPr>
        <w:t>] [serious bodily injury]]</w:t>
      </w:r>
      <w:r w:rsidRPr="00353487">
        <w:rPr>
          <w:rFonts w:eastAsia="Times New Roman" w:cs="Times New Roman"/>
          <w:color w:val="000000"/>
          <w:szCs w:val="24"/>
        </w:rPr>
        <w:t>, you must unanimously and beyond a reasonable doubt find that “but for” the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that the defendant [[distributed] [manufactured]], [</w:t>
      </w:r>
      <w:r w:rsidRPr="00353487">
        <w:rPr>
          <w:rFonts w:eastAsia="Times New Roman" w:cs="Times New Roman"/>
          <w:i/>
          <w:iCs/>
          <w:color w:val="000000"/>
          <w:szCs w:val="24"/>
          <w:u w:val="single"/>
        </w:rPr>
        <w:t>name of decedent</w:t>
      </w:r>
      <w:r w:rsidRPr="00353487">
        <w:rPr>
          <w:rFonts w:eastAsia="Times New Roman" w:cs="Times New Roman"/>
          <w:color w:val="000000"/>
          <w:szCs w:val="24"/>
        </w:rPr>
        <w:t>] would not have died.</w:t>
      </w:r>
    </w:p>
    <w:p w14:paraId="41643D2D" w14:textId="77777777" w:rsidR="005A5BF7" w:rsidRPr="00353487" w:rsidRDefault="005A5BF7" w:rsidP="005A5BF7">
      <w:pPr>
        <w:rPr>
          <w:rFonts w:eastAsia="Times New Roman" w:cs="Times New Roman"/>
          <w:color w:val="000000"/>
          <w:szCs w:val="24"/>
        </w:rPr>
      </w:pPr>
    </w:p>
    <w:p w14:paraId="3D8BAF6E" w14:textId="377329EB" w:rsidR="005A5BF7" w:rsidRPr="00353487" w:rsidRDefault="005A5BF7" w:rsidP="005A5BF7">
      <w:pPr>
        <w:ind w:firstLine="720"/>
        <w:rPr>
          <w:rFonts w:eastAsia="Times New Roman" w:cs="Times New Roman"/>
          <w:color w:val="000000"/>
          <w:szCs w:val="24"/>
        </w:rPr>
      </w:pPr>
      <w:r w:rsidRPr="00353487">
        <w:rPr>
          <w:rFonts w:eastAsia="Times New Roman" w:cs="Times New Roman"/>
          <w:color w:val="000000"/>
          <w:szCs w:val="24"/>
        </w:rPr>
        <w:t>To find a particular controlled substance [[distributed] [manufactured]] by the defendant was a “but for” cause of death, you must find beyond a reasonable doubt that, but for the decedent’s use of the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xml:space="preserve">], the decedent would </w:t>
      </w:r>
      <w:r w:rsidR="001B4B93" w:rsidRPr="00353487">
        <w:rPr>
          <w:rFonts w:eastAsia="Times New Roman" w:cs="Times New Roman"/>
          <w:color w:val="000000"/>
          <w:szCs w:val="24"/>
        </w:rPr>
        <w:t>not have died</w:t>
      </w:r>
      <w:r w:rsidRPr="00353487">
        <w:rPr>
          <w:rFonts w:eastAsia="Times New Roman" w:cs="Times New Roman"/>
          <w:color w:val="000000"/>
          <w:szCs w:val="24"/>
        </w:rPr>
        <w:t>.</w:t>
      </w:r>
    </w:p>
    <w:p w14:paraId="32D5DEC3" w14:textId="77777777" w:rsidR="005A5BF7" w:rsidRPr="00353487" w:rsidRDefault="005A5BF7" w:rsidP="005A5BF7">
      <w:pPr>
        <w:rPr>
          <w:rFonts w:eastAsia="Times New Roman" w:cs="Times New Roman"/>
          <w:color w:val="000000"/>
          <w:szCs w:val="24"/>
        </w:rPr>
      </w:pPr>
    </w:p>
    <w:p w14:paraId="672A0153" w14:textId="77777777" w:rsidR="005A5BF7" w:rsidRPr="00353487" w:rsidRDefault="005A5BF7" w:rsidP="005A5BF7">
      <w:pPr>
        <w:ind w:firstLine="720"/>
        <w:rPr>
          <w:rFonts w:eastAsia="Times New Roman" w:cs="Times New Roman"/>
          <w:color w:val="000000"/>
          <w:szCs w:val="24"/>
        </w:rPr>
      </w:pPr>
      <w:r w:rsidRPr="00353487">
        <w:rPr>
          <w:rFonts w:eastAsia="Times New Roman" w:cs="Times New Roman"/>
          <w:color w:val="000000"/>
          <w:szCs w:val="24"/>
        </w:rPr>
        <w:t>The government does not have the burden of establishing that the defendant intended that death result from the use of [</w:t>
      </w:r>
      <w:r w:rsidRPr="00353487">
        <w:rPr>
          <w:rFonts w:eastAsia="Times New Roman" w:cs="Times New Roman"/>
          <w:i/>
          <w:iCs/>
          <w:color w:val="000000"/>
          <w:szCs w:val="24"/>
          <w:u w:val="single"/>
        </w:rPr>
        <w:t>specify controlled substance</w:t>
      </w:r>
      <w:r w:rsidRPr="00353487">
        <w:rPr>
          <w:rFonts w:eastAsia="Times New Roman" w:cs="Times New Roman"/>
          <w:color w:val="000000"/>
          <w:szCs w:val="24"/>
        </w:rPr>
        <w:t>]. Nor does the government have the burden of establishing that the defendant knew, or should have known, that death would result</w:t>
      </w:r>
    </w:p>
    <w:p w14:paraId="5181BF91" w14:textId="3712DE2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 xml:space="preserve">from the </w:t>
      </w:r>
      <w:r w:rsidR="001B4B93" w:rsidRPr="00353487">
        <w:rPr>
          <w:rFonts w:eastAsia="Times New Roman" w:cs="Times New Roman"/>
          <w:color w:val="000000"/>
          <w:szCs w:val="24"/>
        </w:rPr>
        <w:t>use of the [</w:t>
      </w:r>
      <w:r w:rsidR="001B4B93" w:rsidRPr="00353487">
        <w:rPr>
          <w:rFonts w:eastAsia="Times New Roman" w:cs="Times New Roman"/>
          <w:i/>
          <w:iCs/>
          <w:color w:val="000000"/>
          <w:szCs w:val="24"/>
          <w:u w:val="single"/>
        </w:rPr>
        <w:t>specify controlled substance</w:t>
      </w:r>
      <w:r w:rsidR="001B4B93" w:rsidRPr="00353487">
        <w:rPr>
          <w:rFonts w:eastAsia="Times New Roman" w:cs="Times New Roman"/>
          <w:color w:val="000000"/>
          <w:szCs w:val="24"/>
        </w:rPr>
        <w:t>] that the defendant [[distributed] [manufactured]]</w:t>
      </w:r>
      <w:r w:rsidRPr="00353487">
        <w:rPr>
          <w:rFonts w:eastAsia="Times New Roman" w:cs="Times New Roman"/>
          <w:color w:val="000000"/>
          <w:szCs w:val="24"/>
        </w:rPr>
        <w:t>.</w:t>
      </w:r>
    </w:p>
    <w:p w14:paraId="2AC20A06" w14:textId="77777777" w:rsidR="00D56222" w:rsidRPr="00D56222" w:rsidRDefault="00D56222" w:rsidP="00D56222">
      <w:pPr>
        <w:rPr>
          <w:rFonts w:eastAsia="Times New Roman" w:cs="Times New Roman"/>
          <w:color w:val="000000"/>
          <w:szCs w:val="24"/>
        </w:rPr>
      </w:pPr>
    </w:p>
    <w:p w14:paraId="7107544E" w14:textId="77777777" w:rsidR="00D56222" w:rsidRPr="00D56222" w:rsidRDefault="00D56222" w:rsidP="00D56222">
      <w:pPr>
        <w:ind w:right="-180"/>
        <w:jc w:val="center"/>
        <w:rPr>
          <w:rFonts w:eastAsia="Times New Roman" w:cs="Times New Roman"/>
          <w:color w:val="000000"/>
          <w:szCs w:val="24"/>
        </w:rPr>
      </w:pPr>
      <w:r w:rsidRPr="00D56222">
        <w:rPr>
          <w:rFonts w:eastAsia="Times New Roman" w:cs="Times New Roman"/>
          <w:b/>
          <w:color w:val="000000"/>
          <w:szCs w:val="24"/>
        </w:rPr>
        <w:t>Comment</w:t>
      </w:r>
    </w:p>
    <w:p w14:paraId="413A2328" w14:textId="77777777" w:rsidR="00D56222" w:rsidRPr="00D56222" w:rsidRDefault="00D56222" w:rsidP="00D56222">
      <w:pPr>
        <w:rPr>
          <w:rFonts w:eastAsia="Times New Roman" w:cs="Times New Roman"/>
          <w:color w:val="000000"/>
          <w:szCs w:val="24"/>
        </w:rPr>
      </w:pPr>
    </w:p>
    <w:p w14:paraId="6E6381E1" w14:textId="77777777"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r>
      <w:r w:rsidRPr="00D56222">
        <w:rPr>
          <w:rFonts w:eastAsia="Times New Roman" w:cs="Times New Roman"/>
          <w:i/>
          <w:color w:val="000000"/>
          <w:szCs w:val="24"/>
        </w:rPr>
        <w:t>See</w:t>
      </w:r>
      <w:r w:rsidRPr="00D56222">
        <w:rPr>
          <w:rFonts w:eastAsia="Times New Roman" w:cs="Times New Roman"/>
          <w:color w:val="000000"/>
          <w:szCs w:val="24"/>
        </w:rPr>
        <w:t xml:space="preserve"> Comment to Instructions 12.1 (Controlled Substance–Possession with Intent to Distribute) and 12.2 (Determining Amount of Controlled Substance).</w:t>
      </w:r>
    </w:p>
    <w:p w14:paraId="7A7A9876" w14:textId="77777777" w:rsidR="00D56222" w:rsidRPr="00D56222" w:rsidRDefault="00D56222" w:rsidP="00D56222">
      <w:pPr>
        <w:rPr>
          <w:rFonts w:eastAsia="Times New Roman" w:cs="Times New Roman"/>
          <w:color w:val="000000"/>
          <w:szCs w:val="24"/>
        </w:rPr>
      </w:pPr>
    </w:p>
    <w:p w14:paraId="31C9AF03" w14:textId="77777777" w:rsidR="005A5BF7" w:rsidRPr="00353487" w:rsidRDefault="00D56222" w:rsidP="005A5BF7">
      <w:pPr>
        <w:rPr>
          <w:rFonts w:eastAsia="Times New Roman" w:cs="Times New Roman"/>
          <w:color w:val="000000"/>
          <w:szCs w:val="24"/>
        </w:rPr>
      </w:pPr>
      <w:r w:rsidRPr="00D56222">
        <w:rPr>
          <w:rFonts w:eastAsia="Times New Roman" w:cs="Times New Roman"/>
          <w:b/>
          <w:color w:val="000000"/>
          <w:szCs w:val="24"/>
        </w:rPr>
        <w:tab/>
      </w:r>
      <w:r w:rsidRPr="00D56222">
        <w:rPr>
          <w:rFonts w:eastAsia="Times New Roman" w:cs="Times New Roman"/>
          <w:color w:val="000000"/>
          <w:szCs w:val="24"/>
        </w:rPr>
        <w:t xml:space="preserve">A similar instruction was explicitly approved in </w:t>
      </w:r>
      <w:r w:rsidRPr="00D56222">
        <w:rPr>
          <w:rFonts w:eastAsia="Times New Roman" w:cs="Times New Roman"/>
          <w:i/>
          <w:color w:val="000000"/>
          <w:szCs w:val="24"/>
        </w:rPr>
        <w:t>United States v. Houston</w:t>
      </w:r>
      <w:r w:rsidRPr="00D56222">
        <w:rPr>
          <w:rFonts w:eastAsia="Times New Roman" w:cs="Times New Roman"/>
          <w:color w:val="000000"/>
          <w:szCs w:val="24"/>
        </w:rPr>
        <w:t>, 406 F.3d 1121, 1122 n.2 (9th Cir. 2005)</w:t>
      </w:r>
      <w:r w:rsidR="005A5BF7" w:rsidRPr="00353487">
        <w:rPr>
          <w:rFonts w:eastAsia="Times New Roman" w:cs="Times New Roman"/>
          <w:color w:val="000000"/>
          <w:szCs w:val="24"/>
        </w:rPr>
        <w:t xml:space="preserve"> (“In order for the defendant to be found guilty of this charge, the</w:t>
      </w:r>
    </w:p>
    <w:p w14:paraId="214BE2DA"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lastRenderedPageBreak/>
        <w:t>government must prove each of the following elements beyond a reasonable doubt: First, the</w:t>
      </w:r>
    </w:p>
    <w:p w14:paraId="774A9A16"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defendant knowingly delivered methadone to Trina Bradford. Second, the defendant knew it was</w:t>
      </w:r>
    </w:p>
    <w:p w14:paraId="0523D97E" w14:textId="7A948311" w:rsidR="00D56222" w:rsidRPr="00D56222" w:rsidRDefault="005A5BF7" w:rsidP="00D56222">
      <w:pPr>
        <w:rPr>
          <w:rFonts w:eastAsia="Times New Roman" w:cs="Times New Roman"/>
          <w:color w:val="000000"/>
          <w:szCs w:val="24"/>
        </w:rPr>
      </w:pPr>
      <w:r w:rsidRPr="00353487">
        <w:rPr>
          <w:rFonts w:eastAsia="Times New Roman" w:cs="Times New Roman"/>
          <w:color w:val="000000"/>
          <w:szCs w:val="24"/>
        </w:rPr>
        <w:t>methadone or some other prohibited drug.”).</w:t>
      </w:r>
    </w:p>
    <w:p w14:paraId="4B5B7317" w14:textId="63C6BB8A" w:rsidR="00D56222" w:rsidRPr="00D56222" w:rsidRDefault="00D56222" w:rsidP="00D56222">
      <w:pPr>
        <w:rPr>
          <w:rFonts w:eastAsia="Times New Roman" w:cs="Times New Roman"/>
          <w:color w:val="000000"/>
          <w:szCs w:val="24"/>
        </w:rPr>
      </w:pPr>
    </w:p>
    <w:p w14:paraId="0E5B1BAA" w14:textId="6FF96022" w:rsidR="00D56222" w:rsidRPr="00D56222" w:rsidRDefault="00D56222" w:rsidP="00D56222">
      <w:pPr>
        <w:rPr>
          <w:rFonts w:eastAsia="Times New Roman" w:cs="Times New Roman"/>
          <w:color w:val="000000"/>
          <w:szCs w:val="24"/>
        </w:rPr>
      </w:pPr>
      <w:r w:rsidRPr="00D56222">
        <w:rPr>
          <w:rFonts w:eastAsia="Times New Roman" w:cs="Times New Roman"/>
          <w:color w:val="000000"/>
          <w:szCs w:val="24"/>
        </w:rPr>
        <w:tab/>
        <w:t xml:space="preserve">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D56222">
        <w:rPr>
          <w:rFonts w:eastAsia="Times New Roman" w:cs="Times New Roman"/>
          <w:i/>
          <w:color w:val="000000"/>
          <w:szCs w:val="24"/>
        </w:rPr>
        <w:t>Houston</w:t>
      </w:r>
      <w:r w:rsidRPr="00D56222">
        <w:rPr>
          <w:rFonts w:eastAsia="Times New Roman" w:cs="Times New Roman"/>
          <w:color w:val="000000"/>
          <w:szCs w:val="24"/>
        </w:rPr>
        <w:t>, 406 F.3d at 1125 (“Cause-in-fact is required by the ‘results’ language, but proximate cause, at least insofar as it requires that the death have been foreseeable, is not a required element.”).</w:t>
      </w:r>
    </w:p>
    <w:p w14:paraId="58410839" w14:textId="77777777" w:rsidR="00D56222" w:rsidRPr="00D56222" w:rsidRDefault="00D56222" w:rsidP="00D56222">
      <w:pPr>
        <w:rPr>
          <w:rFonts w:eastAsia="Times New Roman" w:cs="Times New Roman"/>
          <w:color w:val="000000"/>
          <w:szCs w:val="24"/>
        </w:rPr>
      </w:pPr>
    </w:p>
    <w:p w14:paraId="51E546C7" w14:textId="5F4082D1" w:rsidR="00D56222" w:rsidRDefault="00D56222" w:rsidP="00D56222">
      <w:pPr>
        <w:rPr>
          <w:rFonts w:eastAsia="Times New Roman" w:cs="Times New Roman"/>
          <w:color w:val="000000"/>
          <w:szCs w:val="24"/>
        </w:rPr>
      </w:pPr>
      <w:r w:rsidRPr="00D56222">
        <w:rPr>
          <w:rFonts w:eastAsia="Times New Roman" w:cs="Times New Roman"/>
          <w:color w:val="000000"/>
          <w:szCs w:val="24"/>
        </w:rPr>
        <w:tab/>
        <w:t xml:space="preserve">“[W]hen Congress made it a crime to ‘knowingly . . . possess with intent to manufacture, distribute, or dispense, a controlled substance </w:t>
      </w:r>
      <w:proofErr w:type="gramStart"/>
      <w:r w:rsidRPr="00D56222">
        <w:rPr>
          <w:rFonts w:eastAsia="Times New Roman" w:cs="Times New Roman"/>
          <w:color w:val="000000"/>
          <w:szCs w:val="24"/>
        </w:rPr>
        <w:t>. . . ,</w:t>
      </w:r>
      <w:proofErr w:type="gramEnd"/>
      <w:r w:rsidRPr="00D56222">
        <w:rPr>
          <w:rFonts w:eastAsia="Times New Roman" w:cs="Times New Roman"/>
          <w:color w:val="000000"/>
          <w:szCs w:val="24"/>
        </w:rPr>
        <w:t xml:space="preserve"> it meant to punish not only those who know they possess a controlled substance, but also those who don’t know because they don’t want to know.”  </w:t>
      </w:r>
      <w:r w:rsidRPr="00D56222">
        <w:rPr>
          <w:rFonts w:eastAsia="Times New Roman" w:cs="Times New Roman"/>
          <w:i/>
          <w:color w:val="000000"/>
          <w:szCs w:val="24"/>
        </w:rPr>
        <w:t>United States v. Heredia</w:t>
      </w:r>
      <w:r w:rsidRPr="00D56222">
        <w:rPr>
          <w:rFonts w:eastAsia="Times New Roman" w:cs="Times New Roman"/>
          <w:color w:val="000000"/>
          <w:szCs w:val="24"/>
        </w:rPr>
        <w:t>, 483 F.3d 913, 918 (9th Cir. 2007) (</w:t>
      </w:r>
      <w:proofErr w:type="spellStart"/>
      <w:r w:rsidRPr="00D56222">
        <w:rPr>
          <w:rFonts w:eastAsia="Times New Roman" w:cs="Times New Roman"/>
          <w:color w:val="000000"/>
          <w:szCs w:val="24"/>
        </w:rPr>
        <w:t>en</w:t>
      </w:r>
      <w:proofErr w:type="spellEnd"/>
      <w:r w:rsidRPr="00D56222">
        <w:rPr>
          <w:rFonts w:eastAsia="Times New Roman" w:cs="Times New Roman"/>
          <w:color w:val="000000"/>
          <w:szCs w:val="24"/>
        </w:rPr>
        <w:t xml:space="preserve"> banc).  </w:t>
      </w:r>
      <w:r w:rsidRPr="00D56222">
        <w:rPr>
          <w:rFonts w:eastAsia="Times New Roman" w:cs="Times New Roman"/>
          <w:i/>
          <w:color w:val="000000"/>
          <w:szCs w:val="24"/>
        </w:rPr>
        <w:t>See also</w:t>
      </w:r>
      <w:r w:rsidRPr="00D56222">
        <w:rPr>
          <w:rFonts w:eastAsia="Times New Roman" w:cs="Times New Roman"/>
          <w:color w:val="000000"/>
          <w:szCs w:val="24"/>
        </w:rPr>
        <w:t xml:space="preserve"> Instruction 4.9 (Deliberate Ignorance).</w:t>
      </w:r>
    </w:p>
    <w:p w14:paraId="48E77606" w14:textId="77777777" w:rsidR="00D56222" w:rsidRPr="00D56222" w:rsidRDefault="00D56222" w:rsidP="00D56222">
      <w:pPr>
        <w:rPr>
          <w:rFonts w:eastAsia="Times New Roman" w:cs="Times New Roman"/>
          <w:color w:val="000000"/>
          <w:szCs w:val="24"/>
        </w:rPr>
      </w:pPr>
    </w:p>
    <w:p w14:paraId="174BB086" w14:textId="77777777" w:rsidR="005A5BF7" w:rsidRDefault="00D56222" w:rsidP="00D56222">
      <w:pPr>
        <w:rPr>
          <w:rFonts w:eastAsia="Times New Roman" w:cs="Times New Roman"/>
          <w:color w:val="000000"/>
          <w:szCs w:val="24"/>
        </w:rPr>
      </w:pPr>
      <w:r w:rsidRPr="00D56222">
        <w:rPr>
          <w:rFonts w:eastAsia="Times New Roman" w:cs="Times New Roman"/>
          <w:color w:val="000000"/>
          <w:szCs w:val="24"/>
        </w:rPr>
        <w:tab/>
        <w:t xml:space="preserve">Regarding cases involving a “controlled substance analogue” as it is defined in 21 U.S.C. § 802(32)(A), the Supreme Court held in </w:t>
      </w:r>
      <w:r w:rsidRPr="00D56222">
        <w:rPr>
          <w:rFonts w:eastAsia="Times New Roman" w:cs="Times New Roman"/>
          <w:i/>
          <w:color w:val="000000"/>
          <w:szCs w:val="24"/>
        </w:rPr>
        <w:t>McFadden v. United States</w:t>
      </w:r>
      <w:r w:rsidRPr="00D56222">
        <w:rPr>
          <w:rFonts w:eastAsia="Times New Roman" w:cs="Times New Roman"/>
          <w:color w:val="000000"/>
          <w:szCs w:val="24"/>
        </w:rPr>
        <w:t xml:space="preserve">, </w:t>
      </w:r>
      <w:r w:rsidR="00497753" w:rsidRPr="000765F9">
        <w:rPr>
          <w:rFonts w:eastAsia="Times New Roman" w:cs="Times New Roman"/>
          <w:color w:val="000000"/>
          <w:szCs w:val="24"/>
        </w:rPr>
        <w:t>576 U.S. 186</w:t>
      </w:r>
      <w:r w:rsidRPr="000765F9">
        <w:rPr>
          <w:rFonts w:eastAsia="Times New Roman" w:cs="Times New Roman"/>
          <w:color w:val="000000"/>
          <w:szCs w:val="24"/>
        </w:rPr>
        <w:t xml:space="preserve"> </w:t>
      </w:r>
      <w:r w:rsidRPr="00D56222">
        <w:rPr>
          <w:rFonts w:eastAsia="Times New Roman" w:cs="Times New Roman"/>
          <w:color w:val="000000"/>
          <w:szCs w:val="24"/>
        </w:rPr>
        <w:t xml:space="preserve">(2015),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D56222">
        <w:rPr>
          <w:rFonts w:eastAsia="Times New Roman" w:cs="Times New Roman"/>
          <w:i/>
          <w:color w:val="000000"/>
          <w:szCs w:val="24"/>
        </w:rPr>
        <w:t>Id</w:t>
      </w:r>
      <w:r w:rsidRPr="00D56222">
        <w:rPr>
          <w:rFonts w:eastAsia="Times New Roman" w:cs="Times New Roman"/>
          <w:color w:val="000000"/>
          <w:szCs w:val="24"/>
        </w:rPr>
        <w:t xml:space="preserve">. at </w:t>
      </w:r>
      <w:r w:rsidR="00497753" w:rsidRPr="002E081B">
        <w:rPr>
          <w:rFonts w:eastAsia="Times New Roman" w:cs="Times New Roman"/>
          <w:color w:val="000000"/>
          <w:szCs w:val="24"/>
        </w:rPr>
        <w:t>194-95</w:t>
      </w:r>
      <w:r w:rsidRPr="00D56222">
        <w:rPr>
          <w:rFonts w:eastAsia="Times New Roman" w:cs="Times New Roman"/>
          <w:color w:val="000000"/>
          <w:szCs w:val="24"/>
        </w:rPr>
        <w:t>.</w:t>
      </w:r>
      <w:r w:rsidR="00497753">
        <w:rPr>
          <w:rFonts w:eastAsia="Times New Roman" w:cs="Times New Roman"/>
          <w:color w:val="000000"/>
          <w:szCs w:val="24"/>
        </w:rPr>
        <w:t xml:space="preserve">  </w:t>
      </w:r>
      <w:r w:rsidR="00497753" w:rsidRPr="000765F9">
        <w:rPr>
          <w:rFonts w:eastAsia="Times New Roman" w:cs="Times New Roman"/>
          <w:color w:val="000000"/>
          <w:szCs w:val="24"/>
        </w:rPr>
        <w:t>With respect to the definition of “controlled substance analogue” as meaning “a substance . . . (</w:t>
      </w:r>
      <w:proofErr w:type="spellStart"/>
      <w:r w:rsidR="00497753" w:rsidRPr="000765F9">
        <w:rPr>
          <w:rFonts w:eastAsia="Times New Roman" w:cs="Times New Roman"/>
          <w:color w:val="000000"/>
          <w:szCs w:val="24"/>
        </w:rPr>
        <w:t>i</w:t>
      </w:r>
      <w:proofErr w:type="spellEnd"/>
      <w:r w:rsidR="00497753" w:rsidRPr="000765F9">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497753" w:rsidRPr="000765F9">
        <w:rPr>
          <w:rFonts w:eastAsia="Times New Roman" w:cs="Times New Roman"/>
          <w:color w:val="000000"/>
          <w:szCs w:val="24"/>
        </w:rPr>
        <w:t>i</w:t>
      </w:r>
      <w:proofErr w:type="spellEnd"/>
      <w:r w:rsidR="00497753" w:rsidRPr="000765F9">
        <w:rPr>
          <w:rFonts w:eastAsia="Times New Roman" w:cs="Times New Roman"/>
          <w:color w:val="000000"/>
          <w:szCs w:val="24"/>
        </w:rPr>
        <w:t xml:space="preserve">), substances are “substantially similar” for </w:t>
      </w:r>
      <w:r w:rsidR="00664170" w:rsidRPr="000765F9">
        <w:rPr>
          <w:rFonts w:eastAsia="Times New Roman" w:cs="Times New Roman"/>
          <w:color w:val="000000"/>
          <w:szCs w:val="24"/>
        </w:rPr>
        <w:t xml:space="preserve">purposes of the statute if he two chemicals </w:t>
      </w:r>
      <w:r w:rsidR="00497753" w:rsidRPr="000765F9">
        <w:rPr>
          <w:rFonts w:eastAsia="Times New Roman" w:cs="Times New Roman"/>
          <w:color w:val="000000"/>
          <w:szCs w:val="24"/>
        </w:rPr>
        <w:t>“share a common core of identical chemical structural features and that the subset of differences between the two chemicals does not make a difference in the substance’s ‘relevant characteristics’”</w:t>
      </w:r>
      <w:r w:rsidR="00497753" w:rsidRPr="000765F9">
        <w:rPr>
          <w:rFonts w:eastAsia="Times New Roman" w:cs="Times New Roman"/>
          <w:i/>
          <w:iCs/>
          <w:color w:val="000000"/>
          <w:szCs w:val="24"/>
        </w:rPr>
        <w:t xml:space="preserve"> United States v. Galecki</w:t>
      </w:r>
      <w:r w:rsidR="00497753" w:rsidRPr="000765F9">
        <w:rPr>
          <w:rFonts w:eastAsia="Times New Roman" w:cs="Times New Roman"/>
          <w:color w:val="000000"/>
          <w:szCs w:val="24"/>
        </w:rPr>
        <w:t>, 89</w:t>
      </w:r>
      <w:r w:rsidR="00497753" w:rsidRPr="000765F9">
        <w:rPr>
          <w:rFonts w:eastAsia="Times New Roman" w:cs="Times New Roman"/>
          <w:i/>
          <w:iCs/>
          <w:color w:val="000000"/>
          <w:szCs w:val="24"/>
        </w:rPr>
        <w:t xml:space="preserve"> </w:t>
      </w:r>
      <w:r w:rsidR="00497753" w:rsidRPr="000765F9">
        <w:rPr>
          <w:rFonts w:eastAsia="Times New Roman" w:cs="Times New Roman"/>
          <w:color w:val="000000"/>
          <w:szCs w:val="24"/>
        </w:rPr>
        <w:t xml:space="preserve">F.4th 713, 731 (9th Cir. 2023) (quoting </w:t>
      </w:r>
      <w:r w:rsidR="00497753" w:rsidRPr="000765F9">
        <w:rPr>
          <w:rFonts w:eastAsia="Times New Roman" w:cs="Times New Roman"/>
          <w:i/>
          <w:iCs/>
          <w:color w:val="000000"/>
          <w:szCs w:val="24"/>
        </w:rPr>
        <w:t>United States v. Roberts</w:t>
      </w:r>
      <w:r w:rsidR="00497753" w:rsidRPr="000765F9">
        <w:rPr>
          <w:rFonts w:eastAsia="Times New Roman" w:cs="Times New Roman"/>
          <w:color w:val="000000"/>
          <w:szCs w:val="24"/>
        </w:rPr>
        <w:t>, 363 F.3d 118, 124 (2d Cir. 2004)).</w:t>
      </w:r>
      <w:r w:rsidR="005A5BF7" w:rsidRPr="005A5BF7">
        <w:rPr>
          <w:rFonts w:eastAsia="Times New Roman" w:cs="Times New Roman"/>
          <w:color w:val="000000"/>
          <w:szCs w:val="24"/>
        </w:rPr>
        <w:t xml:space="preserve"> </w:t>
      </w:r>
    </w:p>
    <w:p w14:paraId="1B02732A" w14:textId="77777777" w:rsidR="00C6640E" w:rsidRDefault="00C6640E" w:rsidP="00D56222">
      <w:pPr>
        <w:rPr>
          <w:rFonts w:eastAsia="Times New Roman" w:cs="Times New Roman"/>
          <w:color w:val="000000"/>
          <w:szCs w:val="24"/>
        </w:rPr>
      </w:pPr>
    </w:p>
    <w:p w14:paraId="63D9127D" w14:textId="789F6DFE" w:rsidR="00D56222" w:rsidRPr="000765F9" w:rsidRDefault="005A5BF7" w:rsidP="005A5BF7">
      <w:pPr>
        <w:ind w:firstLine="720"/>
        <w:rPr>
          <w:rFonts w:eastAsia="Times New Roman" w:cs="Times New Roman"/>
          <w:color w:val="000000"/>
          <w:szCs w:val="24"/>
        </w:rPr>
      </w:pPr>
      <w:r w:rsidRPr="00D56222">
        <w:rPr>
          <w:rFonts w:eastAsia="Times New Roman" w:cs="Times New Roman"/>
          <w:color w:val="000000"/>
          <w:szCs w:val="24"/>
        </w:rPr>
        <w:t>It is also unlawful under 21 U.S.C. § 841(a)(1) to dispense or possess with intent to dispense a controlled substance.  If that crime is charged, the instruction should be modified accordingly.</w:t>
      </w:r>
    </w:p>
    <w:p w14:paraId="2EAD8FE2" w14:textId="4277D503" w:rsidR="004D7F1F" w:rsidRDefault="004D7F1F" w:rsidP="00D56222">
      <w:pPr>
        <w:rPr>
          <w:rFonts w:eastAsia="Times New Roman" w:cs="Times New Roman"/>
          <w:color w:val="000000"/>
          <w:szCs w:val="24"/>
        </w:rPr>
      </w:pPr>
    </w:p>
    <w:p w14:paraId="4DC71089" w14:textId="77777777" w:rsidR="004D7F1F" w:rsidRPr="004D7F1F" w:rsidRDefault="004D7F1F" w:rsidP="004D7F1F">
      <w:pPr>
        <w:ind w:firstLine="720"/>
        <w:rPr>
          <w:rFonts w:eastAsia="Times New Roman" w:cs="Times New Roman"/>
          <w:color w:val="000000"/>
          <w:szCs w:val="24"/>
        </w:rPr>
      </w:pPr>
      <w:r w:rsidRPr="004D7F1F">
        <w:rPr>
          <w:rFonts w:eastAsia="Times New Roman" w:cs="Times New Roman"/>
          <w:color w:val="000000"/>
          <w:szCs w:val="24"/>
        </w:rPr>
        <w:t>In prosecutions involving a physician charged with distributing controlled substances not</w:t>
      </w:r>
    </w:p>
    <w:p w14:paraId="63C02B18" w14:textId="249968E3" w:rsidR="004D7F1F" w:rsidRPr="004D7F1F" w:rsidRDefault="004D7F1F" w:rsidP="004D7F1F">
      <w:pPr>
        <w:rPr>
          <w:rFonts w:eastAsia="Times New Roman" w:cs="Times New Roman"/>
          <w:color w:val="000000"/>
          <w:szCs w:val="24"/>
        </w:rPr>
      </w:pPr>
      <w:r w:rsidRPr="004D7F1F">
        <w:rPr>
          <w:rFonts w:eastAsia="Times New Roman" w:cs="Times New Roman"/>
          <w:color w:val="000000"/>
          <w:szCs w:val="24"/>
        </w:rPr>
        <w:t xml:space="preserve">“as authorized,” if the defendant produces evidence that his or her conduct was “authorized,” the government must prove beyond a reasonable doubt that the defendant knowingly or intentionally acted in an unauthorized manner. </w:t>
      </w:r>
      <w:r>
        <w:rPr>
          <w:rFonts w:eastAsia="Times New Roman" w:cs="Times New Roman"/>
          <w:color w:val="000000"/>
          <w:szCs w:val="24"/>
        </w:rPr>
        <w:t xml:space="preserve"> </w:t>
      </w:r>
      <w:r w:rsidRPr="004D7F1F">
        <w:rPr>
          <w:rFonts w:eastAsia="Times New Roman" w:cs="Times New Roman"/>
          <w:i/>
          <w:iCs/>
          <w:color w:val="000000"/>
          <w:szCs w:val="24"/>
        </w:rPr>
        <w:t>Ruan v. United States</w:t>
      </w:r>
      <w:r w:rsidRPr="004D7F1F">
        <w:rPr>
          <w:rFonts w:eastAsia="Times New Roman" w:cs="Times New Roman"/>
          <w:color w:val="000000"/>
          <w:szCs w:val="24"/>
        </w:rPr>
        <w:t xml:space="preserve">, </w:t>
      </w:r>
      <w:r w:rsidR="003A2234">
        <w:rPr>
          <w:rFonts w:eastAsia="Times New Roman" w:cs="Times New Roman"/>
          <w:color w:val="000000"/>
          <w:szCs w:val="24"/>
        </w:rPr>
        <w:t>597 U.S. 450</w:t>
      </w:r>
      <w:r w:rsidRPr="004D7F1F">
        <w:rPr>
          <w:rFonts w:eastAsia="Times New Roman" w:cs="Times New Roman"/>
          <w:color w:val="000000"/>
          <w:szCs w:val="24"/>
        </w:rPr>
        <w:t xml:space="preserve">, </w:t>
      </w:r>
      <w:r w:rsidR="003A2234">
        <w:rPr>
          <w:rFonts w:eastAsia="Times New Roman" w:cs="Times New Roman"/>
          <w:color w:val="000000"/>
          <w:szCs w:val="24"/>
        </w:rPr>
        <w:t>457</w:t>
      </w:r>
      <w:r>
        <w:rPr>
          <w:rFonts w:eastAsia="Times New Roman" w:cs="Times New Roman"/>
          <w:color w:val="000000"/>
          <w:szCs w:val="24"/>
        </w:rPr>
        <w:t xml:space="preserve"> </w:t>
      </w:r>
      <w:r w:rsidRPr="004D7F1F">
        <w:rPr>
          <w:rFonts w:eastAsia="Times New Roman" w:cs="Times New Roman"/>
          <w:color w:val="000000"/>
          <w:szCs w:val="24"/>
        </w:rPr>
        <w:t>(2022)</w:t>
      </w:r>
      <w:r w:rsidR="002A78B5">
        <w:rPr>
          <w:rFonts w:eastAsia="Times New Roman" w:cs="Times New Roman"/>
          <w:color w:val="000000"/>
          <w:szCs w:val="24"/>
        </w:rPr>
        <w:t xml:space="preserve">; </w:t>
      </w:r>
      <w:r w:rsidR="002A78B5">
        <w:rPr>
          <w:rFonts w:eastAsia="Times New Roman" w:cs="Times New Roman"/>
          <w:i/>
          <w:iCs/>
          <w:color w:val="000000"/>
          <w:szCs w:val="24"/>
        </w:rPr>
        <w:t>see also United States v. Pham</w:t>
      </w:r>
      <w:r w:rsidR="002A78B5">
        <w:rPr>
          <w:rFonts w:eastAsia="Times New Roman" w:cs="Times New Roman"/>
          <w:color w:val="000000"/>
          <w:szCs w:val="24"/>
        </w:rPr>
        <w:t>, 120 F.4th 1368, 1370-71 (9th Cir. 2024) (providing that a defendant’s “admission that he prescribed controlled substances with intent to act outside the usual course of professional practice and without a legitimate medical purpose” was an admission to the “requisite knowledge of the elements that made his prescriptions not authorized”)</w:t>
      </w:r>
      <w:r w:rsidRPr="004D7F1F">
        <w:rPr>
          <w:rFonts w:eastAsia="Times New Roman" w:cs="Times New Roman"/>
          <w:color w:val="000000"/>
          <w:szCs w:val="24"/>
        </w:rPr>
        <w:t>.</w:t>
      </w:r>
    </w:p>
    <w:p w14:paraId="0A33AD09" w14:textId="77777777" w:rsidR="004D7F1F" w:rsidRPr="00D56222" w:rsidRDefault="004D7F1F" w:rsidP="00D56222">
      <w:pPr>
        <w:rPr>
          <w:rFonts w:eastAsia="Times New Roman" w:cs="Times New Roman"/>
          <w:color w:val="000000"/>
          <w:szCs w:val="24"/>
        </w:rPr>
      </w:pPr>
    </w:p>
    <w:p w14:paraId="5D9D9EAF" w14:textId="1E23145F" w:rsidR="005A5BF7" w:rsidRPr="00353487" w:rsidRDefault="005A5BF7" w:rsidP="00C6640E">
      <w:pPr>
        <w:ind w:firstLine="720"/>
        <w:rPr>
          <w:rFonts w:eastAsia="Times New Roman" w:cs="Times New Roman"/>
          <w:color w:val="000000"/>
          <w:szCs w:val="24"/>
        </w:rPr>
      </w:pPr>
      <w:r w:rsidRPr="00353487">
        <w:rPr>
          <w:rFonts w:eastAsia="Times New Roman" w:cs="Times New Roman"/>
          <w:color w:val="000000"/>
          <w:szCs w:val="24"/>
        </w:rPr>
        <w:t>The last four paragraphs of the instruction may be used where the government is seeking</w:t>
      </w:r>
    </w:p>
    <w:p w14:paraId="02DD8CC0"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a sentencing enhancement “if death or serious bodily injury results from the use of such</w:t>
      </w:r>
    </w:p>
    <w:p w14:paraId="16F84284"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lastRenderedPageBreak/>
        <w:t>[controlled] substance[s].” 21 U.S.C. § 841(b)(1)(A)-(D). Several of the penalty sections for a violation of 21 U.S.C. §§ 841(a)(1), 846, 859, 860, and/or 861(a)(1) increase the sentence “if death or serious bodily injury results from the use of such [controlled] substance[s].”  21 U.S.C. § 841(b)(1)(A)-(C). “Because the ‘death results’ enhancement increased the minimum and</w:t>
      </w:r>
    </w:p>
    <w:p w14:paraId="4D1C8D8E"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maximum sentences to which [the defendant] was exposed, it is an element that must be</w:t>
      </w:r>
    </w:p>
    <w:p w14:paraId="5B822708" w14:textId="4047527B"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 xml:space="preserve">submitted to the jury and found beyond a reasonable doubt.” </w:t>
      </w:r>
      <w:r w:rsidRPr="00353487">
        <w:rPr>
          <w:rFonts w:eastAsia="Times New Roman" w:cs="Times New Roman"/>
          <w:i/>
          <w:iCs/>
          <w:color w:val="000000"/>
          <w:szCs w:val="24"/>
        </w:rPr>
        <w:t>Burrage v. United States</w:t>
      </w:r>
      <w:r w:rsidRPr="00353487">
        <w:rPr>
          <w:rFonts w:eastAsia="Times New Roman" w:cs="Times New Roman"/>
          <w:color w:val="000000"/>
          <w:szCs w:val="24"/>
        </w:rPr>
        <w:t xml:space="preserve">, 571 U.S. 204, 210 (2014). “[A] phrase such as ‘results from’ imposes a requirement of but-for causation.” </w:t>
      </w:r>
      <w:r w:rsidRPr="00353487">
        <w:rPr>
          <w:rFonts w:eastAsia="Times New Roman" w:cs="Times New Roman"/>
          <w:i/>
          <w:iCs/>
          <w:color w:val="000000"/>
          <w:szCs w:val="24"/>
        </w:rPr>
        <w:t xml:space="preserve">Id. </w:t>
      </w:r>
      <w:r w:rsidRPr="00353487">
        <w:rPr>
          <w:rFonts w:eastAsia="Times New Roman" w:cs="Times New Roman"/>
          <w:color w:val="000000"/>
          <w:szCs w:val="24"/>
        </w:rPr>
        <w:t xml:space="preserve">at 214. In </w:t>
      </w:r>
      <w:r w:rsidRPr="00353487">
        <w:rPr>
          <w:rFonts w:eastAsia="Times New Roman" w:cs="Times New Roman"/>
          <w:i/>
          <w:iCs/>
          <w:color w:val="000000"/>
          <w:szCs w:val="24"/>
        </w:rPr>
        <w:t>Burrage</w:t>
      </w:r>
      <w:r w:rsidRPr="00353487">
        <w:rPr>
          <w:rFonts w:eastAsia="Times New Roman" w:cs="Times New Roman"/>
          <w:color w:val="000000"/>
          <w:szCs w:val="24"/>
        </w:rPr>
        <w:t xml:space="preserve">, the Supreme Court </w:t>
      </w:r>
      <w:r w:rsidR="00C6640E" w:rsidRPr="00353487">
        <w:rPr>
          <w:rFonts w:eastAsia="Times New Roman" w:cs="Times New Roman"/>
          <w:color w:val="000000"/>
          <w:szCs w:val="24"/>
        </w:rPr>
        <w:t xml:space="preserve">declined to accept or reject a special rule allowing </w:t>
      </w:r>
      <w:r w:rsidRPr="00353487">
        <w:rPr>
          <w:rFonts w:eastAsia="Times New Roman" w:cs="Times New Roman"/>
          <w:color w:val="000000"/>
          <w:szCs w:val="24"/>
        </w:rPr>
        <w:t xml:space="preserve">the </w:t>
      </w:r>
      <w:r w:rsidR="00C6640E" w:rsidRPr="00353487">
        <w:rPr>
          <w:rFonts w:eastAsia="Times New Roman" w:cs="Times New Roman"/>
          <w:color w:val="000000"/>
          <w:szCs w:val="24"/>
        </w:rPr>
        <w:t>g</w:t>
      </w:r>
      <w:r w:rsidRPr="00353487">
        <w:rPr>
          <w:rFonts w:eastAsia="Times New Roman" w:cs="Times New Roman"/>
          <w:color w:val="000000"/>
          <w:szCs w:val="24"/>
        </w:rPr>
        <w:t xml:space="preserve">overnment </w:t>
      </w:r>
      <w:r w:rsidR="00C6640E" w:rsidRPr="00353487">
        <w:rPr>
          <w:rFonts w:eastAsia="Times New Roman" w:cs="Times New Roman"/>
          <w:color w:val="000000"/>
          <w:szCs w:val="24"/>
        </w:rPr>
        <w:t xml:space="preserve">to </w:t>
      </w:r>
      <w:r w:rsidRPr="00353487">
        <w:rPr>
          <w:rFonts w:eastAsia="Times New Roman" w:cs="Times New Roman"/>
          <w:color w:val="000000"/>
          <w:szCs w:val="24"/>
        </w:rPr>
        <w:t xml:space="preserve">satisfy the causation requirement by showing that use of the controlled substance was an independently sufficient cause of death or bodily injury. </w:t>
      </w:r>
      <w:r w:rsidRPr="00353487">
        <w:rPr>
          <w:rFonts w:eastAsia="Times New Roman" w:cs="Times New Roman"/>
          <w:i/>
          <w:iCs/>
          <w:color w:val="000000"/>
          <w:szCs w:val="24"/>
        </w:rPr>
        <w:t xml:space="preserve">Id. </w:t>
      </w:r>
      <w:r w:rsidRPr="00353487">
        <w:rPr>
          <w:rFonts w:eastAsia="Times New Roman" w:cs="Times New Roman"/>
          <w:color w:val="000000"/>
          <w:szCs w:val="24"/>
        </w:rPr>
        <w:t>at 214-15</w:t>
      </w:r>
      <w:r w:rsidR="00C6640E" w:rsidRPr="00353487">
        <w:rPr>
          <w:rFonts w:eastAsia="Times New Roman" w:cs="Times New Roman"/>
          <w:color w:val="000000"/>
          <w:szCs w:val="24"/>
        </w:rPr>
        <w:t xml:space="preserve">; </w:t>
      </w:r>
      <w:r w:rsidR="00C6640E" w:rsidRPr="00353487">
        <w:rPr>
          <w:rFonts w:eastAsia="Times New Roman" w:cs="Times New Roman"/>
          <w:i/>
          <w:iCs/>
          <w:color w:val="000000"/>
          <w:szCs w:val="24"/>
        </w:rPr>
        <w:t>s</w:t>
      </w:r>
      <w:r w:rsidRPr="00353487">
        <w:rPr>
          <w:rFonts w:eastAsia="Times New Roman" w:cs="Times New Roman"/>
          <w:i/>
          <w:iCs/>
          <w:color w:val="000000"/>
          <w:szCs w:val="24"/>
        </w:rPr>
        <w:t xml:space="preserve">ee id. </w:t>
      </w:r>
      <w:r w:rsidRPr="00353487">
        <w:rPr>
          <w:rFonts w:eastAsia="Times New Roman" w:cs="Times New Roman"/>
          <w:color w:val="000000"/>
          <w:szCs w:val="24"/>
        </w:rPr>
        <w:t>at 218-19 (“We hold that, at least where use of the drug distributed by the defendant is not an independently sufficient cause of the victim’s death or serious bodily injury, a defendant cannot be liable under the penalty enhancement provision of 21 U. S. C. §</w:t>
      </w:r>
      <w:r w:rsidR="00084D65">
        <w:rPr>
          <w:rFonts w:eastAsia="Times New Roman" w:cs="Times New Roman"/>
          <w:color w:val="000000"/>
          <w:szCs w:val="24"/>
        </w:rPr>
        <w:t xml:space="preserve"> </w:t>
      </w:r>
      <w:r w:rsidRPr="00353487">
        <w:rPr>
          <w:rFonts w:eastAsia="Times New Roman" w:cs="Times New Roman"/>
          <w:color w:val="000000"/>
          <w:szCs w:val="24"/>
        </w:rPr>
        <w:t xml:space="preserve">841(b)(1)(C) unless such use is a </w:t>
      </w:r>
      <w:proofErr w:type="spellStart"/>
      <w:r w:rsidRPr="00353487">
        <w:rPr>
          <w:rFonts w:eastAsia="Times New Roman" w:cs="Times New Roman"/>
          <w:color w:val="000000"/>
          <w:szCs w:val="24"/>
        </w:rPr>
        <w:t>but</w:t>
      </w:r>
      <w:proofErr w:type="spellEnd"/>
      <w:r w:rsidRPr="00353487">
        <w:rPr>
          <w:rFonts w:eastAsia="Times New Roman" w:cs="Times New Roman"/>
          <w:color w:val="000000"/>
          <w:szCs w:val="24"/>
        </w:rPr>
        <w:t xml:space="preserve">-for cause of the death or injury.”). And although the government must prove that death or serious bodily injury resulted from the use of the controlled substance for this enhancement to apply, the government need not prove that the death was a foreseeable result of the distribution of the controlled substance. </w:t>
      </w:r>
      <w:r w:rsidRPr="00353487">
        <w:rPr>
          <w:rFonts w:eastAsia="Times New Roman" w:cs="Times New Roman"/>
          <w:i/>
          <w:iCs/>
          <w:color w:val="000000"/>
          <w:szCs w:val="24"/>
        </w:rPr>
        <w:t>Houston</w:t>
      </w:r>
      <w:r w:rsidRPr="00353487">
        <w:rPr>
          <w:rFonts w:eastAsia="Times New Roman" w:cs="Times New Roman"/>
          <w:color w:val="000000"/>
          <w:szCs w:val="24"/>
        </w:rPr>
        <w:t>, 406 F.3d at 1125 (“Cause-in-fact is required by the ‘results’ language, but proximate cause, at least insofar as it requires that the death have been foreseeable, is not a</w:t>
      </w:r>
      <w:r w:rsidR="00CE09A7">
        <w:rPr>
          <w:rFonts w:eastAsia="Times New Roman" w:cs="Times New Roman"/>
          <w:color w:val="000000"/>
          <w:szCs w:val="24"/>
        </w:rPr>
        <w:t xml:space="preserve"> </w:t>
      </w:r>
      <w:r w:rsidRPr="00353487">
        <w:rPr>
          <w:rFonts w:eastAsia="Times New Roman" w:cs="Times New Roman"/>
          <w:color w:val="000000"/>
          <w:szCs w:val="24"/>
        </w:rPr>
        <w:t>required element.”).</w:t>
      </w:r>
    </w:p>
    <w:p w14:paraId="2B20580A" w14:textId="77777777" w:rsidR="005A5BF7" w:rsidRPr="00353487" w:rsidRDefault="005A5BF7" w:rsidP="005A5BF7">
      <w:pPr>
        <w:rPr>
          <w:rFonts w:eastAsia="Times New Roman" w:cs="Times New Roman"/>
          <w:color w:val="000000"/>
          <w:szCs w:val="24"/>
        </w:rPr>
      </w:pPr>
    </w:p>
    <w:p w14:paraId="12DE5452" w14:textId="484CA9EB" w:rsidR="005A5BF7" w:rsidRPr="00353487" w:rsidRDefault="005A5BF7" w:rsidP="005A5BF7">
      <w:pPr>
        <w:ind w:firstLine="720"/>
        <w:rPr>
          <w:rFonts w:eastAsia="Times New Roman" w:cs="Times New Roman"/>
          <w:i/>
          <w:iCs/>
          <w:color w:val="000000"/>
          <w:szCs w:val="24"/>
        </w:rPr>
      </w:pPr>
      <w:r w:rsidRPr="00353487">
        <w:rPr>
          <w:rFonts w:eastAsia="Times New Roman" w:cs="Times New Roman"/>
          <w:i/>
          <w:iCs/>
          <w:color w:val="000000"/>
          <w:szCs w:val="24"/>
        </w:rPr>
        <w:t xml:space="preserve">See </w:t>
      </w:r>
      <w:r w:rsidRPr="00353487">
        <w:rPr>
          <w:rFonts w:eastAsia="Times New Roman" w:cs="Times New Roman"/>
          <w:color w:val="000000"/>
          <w:szCs w:val="24"/>
        </w:rPr>
        <w:t>Comment to Instruction 12.21 (Controlled Substance—Statutory Enhancement Based</w:t>
      </w:r>
    </w:p>
    <w:p w14:paraId="76559BB6" w14:textId="77777777" w:rsidR="005A5BF7" w:rsidRPr="00353487" w:rsidRDefault="005A5BF7" w:rsidP="005A5BF7">
      <w:pPr>
        <w:rPr>
          <w:rFonts w:eastAsia="Times New Roman" w:cs="Times New Roman"/>
          <w:color w:val="000000"/>
          <w:szCs w:val="24"/>
        </w:rPr>
      </w:pPr>
      <w:r w:rsidRPr="00353487">
        <w:rPr>
          <w:rFonts w:eastAsia="Times New Roman" w:cs="Times New Roman"/>
          <w:color w:val="000000"/>
          <w:szCs w:val="24"/>
        </w:rPr>
        <w:t>on Prior Serious Drug Felony or Serious Violent Felony).</w:t>
      </w:r>
    </w:p>
    <w:p w14:paraId="19A72938" w14:textId="4D4391B9" w:rsidR="00D56222" w:rsidRPr="00353487" w:rsidRDefault="005A5BF7" w:rsidP="00D56222">
      <w:pPr>
        <w:rPr>
          <w:rFonts w:eastAsia="Times New Roman" w:cs="Times New Roman"/>
          <w:color w:val="000000"/>
          <w:szCs w:val="24"/>
        </w:rPr>
      </w:pPr>
      <w:r w:rsidRPr="00353487">
        <w:rPr>
          <w:rFonts w:eastAsia="Times New Roman" w:cs="Times New Roman"/>
          <w:color w:val="000000"/>
          <w:szCs w:val="24"/>
        </w:rPr>
        <w:t xml:space="preserve"> </w:t>
      </w:r>
    </w:p>
    <w:p w14:paraId="3CE4FAB9" w14:textId="77777777" w:rsidR="00D56222" w:rsidRPr="00D56222" w:rsidRDefault="00D56222" w:rsidP="00D56222">
      <w:pPr>
        <w:rPr>
          <w:rFonts w:eastAsia="Times New Roman" w:cs="Times New Roman"/>
          <w:color w:val="000000"/>
          <w:szCs w:val="24"/>
        </w:rPr>
      </w:pPr>
    </w:p>
    <w:p w14:paraId="37735995" w14:textId="045F6641" w:rsidR="00D56222" w:rsidRPr="00D56222" w:rsidRDefault="00D56222" w:rsidP="00D56222">
      <w:pPr>
        <w:jc w:val="right"/>
        <w:rPr>
          <w:rFonts w:eastAsia="Times New Roman" w:cs="Times New Roman"/>
          <w:color w:val="000000"/>
          <w:szCs w:val="24"/>
        </w:rPr>
      </w:pPr>
      <w:r w:rsidRPr="00D56222">
        <w:rPr>
          <w:rFonts w:eastAsia="Times New Roman" w:cs="Times New Roman"/>
          <w:i/>
          <w:color w:val="000000"/>
          <w:szCs w:val="24"/>
        </w:rPr>
        <w:t xml:space="preserve">Revised </w:t>
      </w:r>
      <w:r w:rsidR="00B671F0">
        <w:rPr>
          <w:rFonts w:eastAsia="Times New Roman" w:cs="Times New Roman"/>
          <w:i/>
          <w:color w:val="000000"/>
          <w:szCs w:val="24"/>
        </w:rPr>
        <w:t>March 2025</w:t>
      </w:r>
    </w:p>
    <w:p w14:paraId="0ACE18C0" w14:textId="77CAC2B0" w:rsidR="00C97E04" w:rsidRPr="00D56222" w:rsidRDefault="00C97E04" w:rsidP="00D56222"/>
    <w:sectPr w:rsidR="00C97E04" w:rsidRPr="00D56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765F9"/>
    <w:rsid w:val="00081D40"/>
    <w:rsid w:val="00084D65"/>
    <w:rsid w:val="000962BD"/>
    <w:rsid w:val="000C0753"/>
    <w:rsid w:val="000C374B"/>
    <w:rsid w:val="000C6EEA"/>
    <w:rsid w:val="000E46DD"/>
    <w:rsid w:val="00115880"/>
    <w:rsid w:val="00136279"/>
    <w:rsid w:val="00156526"/>
    <w:rsid w:val="001A0B87"/>
    <w:rsid w:val="001B4048"/>
    <w:rsid w:val="001B4B93"/>
    <w:rsid w:val="001C162D"/>
    <w:rsid w:val="001D0020"/>
    <w:rsid w:val="001D1F41"/>
    <w:rsid w:val="00220C16"/>
    <w:rsid w:val="00226C52"/>
    <w:rsid w:val="00251B8E"/>
    <w:rsid w:val="002810F9"/>
    <w:rsid w:val="00292D67"/>
    <w:rsid w:val="00294291"/>
    <w:rsid w:val="002A23F9"/>
    <w:rsid w:val="002A78B5"/>
    <w:rsid w:val="002B004A"/>
    <w:rsid w:val="002C3980"/>
    <w:rsid w:val="002D2353"/>
    <w:rsid w:val="00311B89"/>
    <w:rsid w:val="00352FED"/>
    <w:rsid w:val="00353487"/>
    <w:rsid w:val="00385EAC"/>
    <w:rsid w:val="003A2234"/>
    <w:rsid w:val="003A725E"/>
    <w:rsid w:val="003B4349"/>
    <w:rsid w:val="003D3221"/>
    <w:rsid w:val="003E3B95"/>
    <w:rsid w:val="003F44F6"/>
    <w:rsid w:val="00401002"/>
    <w:rsid w:val="00412CD5"/>
    <w:rsid w:val="00420260"/>
    <w:rsid w:val="004232A7"/>
    <w:rsid w:val="00443346"/>
    <w:rsid w:val="00443FE7"/>
    <w:rsid w:val="004656F4"/>
    <w:rsid w:val="00497753"/>
    <w:rsid w:val="004A2CFB"/>
    <w:rsid w:val="004D1662"/>
    <w:rsid w:val="004D7F1F"/>
    <w:rsid w:val="004E4259"/>
    <w:rsid w:val="00542361"/>
    <w:rsid w:val="00550ED2"/>
    <w:rsid w:val="005A5BF7"/>
    <w:rsid w:val="005A7428"/>
    <w:rsid w:val="005D7F8A"/>
    <w:rsid w:val="00623212"/>
    <w:rsid w:val="00646A26"/>
    <w:rsid w:val="00655338"/>
    <w:rsid w:val="00664170"/>
    <w:rsid w:val="006752C5"/>
    <w:rsid w:val="00675651"/>
    <w:rsid w:val="006B2A3B"/>
    <w:rsid w:val="006B3C0B"/>
    <w:rsid w:val="006C06EF"/>
    <w:rsid w:val="006E4558"/>
    <w:rsid w:val="006F38C5"/>
    <w:rsid w:val="007008EB"/>
    <w:rsid w:val="007437A7"/>
    <w:rsid w:val="00755375"/>
    <w:rsid w:val="00765755"/>
    <w:rsid w:val="007847F9"/>
    <w:rsid w:val="007A1B33"/>
    <w:rsid w:val="007C6517"/>
    <w:rsid w:val="007D1A93"/>
    <w:rsid w:val="00812338"/>
    <w:rsid w:val="00813014"/>
    <w:rsid w:val="00850868"/>
    <w:rsid w:val="00881EDA"/>
    <w:rsid w:val="00890E7A"/>
    <w:rsid w:val="008962A3"/>
    <w:rsid w:val="008B4376"/>
    <w:rsid w:val="008B6CE7"/>
    <w:rsid w:val="008D6F91"/>
    <w:rsid w:val="008E5CC5"/>
    <w:rsid w:val="00906160"/>
    <w:rsid w:val="00960C76"/>
    <w:rsid w:val="00970FFD"/>
    <w:rsid w:val="00986161"/>
    <w:rsid w:val="009947F5"/>
    <w:rsid w:val="009A2700"/>
    <w:rsid w:val="009A792F"/>
    <w:rsid w:val="009C0C69"/>
    <w:rsid w:val="009D0413"/>
    <w:rsid w:val="009F0A7C"/>
    <w:rsid w:val="009F5ED7"/>
    <w:rsid w:val="00A64334"/>
    <w:rsid w:val="00AA2B06"/>
    <w:rsid w:val="00AB3FBA"/>
    <w:rsid w:val="00AE279C"/>
    <w:rsid w:val="00AE2FCD"/>
    <w:rsid w:val="00AF516D"/>
    <w:rsid w:val="00B0682D"/>
    <w:rsid w:val="00B21672"/>
    <w:rsid w:val="00B376BC"/>
    <w:rsid w:val="00B43CDA"/>
    <w:rsid w:val="00B46909"/>
    <w:rsid w:val="00B671F0"/>
    <w:rsid w:val="00B84EB9"/>
    <w:rsid w:val="00B961AC"/>
    <w:rsid w:val="00BA3B85"/>
    <w:rsid w:val="00BD1E72"/>
    <w:rsid w:val="00BE0F07"/>
    <w:rsid w:val="00BE1BC9"/>
    <w:rsid w:val="00C3129B"/>
    <w:rsid w:val="00C53BB2"/>
    <w:rsid w:val="00C6640E"/>
    <w:rsid w:val="00C75965"/>
    <w:rsid w:val="00C97E04"/>
    <w:rsid w:val="00CB6ACA"/>
    <w:rsid w:val="00CE09A7"/>
    <w:rsid w:val="00D0777F"/>
    <w:rsid w:val="00D56222"/>
    <w:rsid w:val="00D97F48"/>
    <w:rsid w:val="00DC38EF"/>
    <w:rsid w:val="00DE0E57"/>
    <w:rsid w:val="00DE3AA1"/>
    <w:rsid w:val="00DF451A"/>
    <w:rsid w:val="00E56A96"/>
    <w:rsid w:val="00E90670"/>
    <w:rsid w:val="00EA658F"/>
    <w:rsid w:val="00EA72FC"/>
    <w:rsid w:val="00EB0197"/>
    <w:rsid w:val="00EB427D"/>
    <w:rsid w:val="00EC15D6"/>
    <w:rsid w:val="00EE714D"/>
    <w:rsid w:val="00F85877"/>
    <w:rsid w:val="00F919A4"/>
    <w:rsid w:val="00F95F64"/>
    <w:rsid w:val="00FA60CD"/>
    <w:rsid w:val="00FB0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7F1F"/>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5A5BF7"/>
    <w:pPr>
      <w:spacing w:after="120"/>
    </w:pPr>
  </w:style>
  <w:style w:type="character" w:customStyle="1" w:styleId="BodyTextChar">
    <w:name w:val="Body Text Char"/>
    <w:basedOn w:val="DefaultParagraphFont"/>
    <w:link w:val="BodyText"/>
    <w:uiPriority w:val="99"/>
    <w:semiHidden/>
    <w:rsid w:val="005A5BF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2022-09-21T01:02:00Z</dcterms:created>
  <dcterms:modified xsi:type="dcterms:W3CDTF">2025-04-17T20:15:00Z</dcterms:modified>
</cp:coreProperties>
</file>