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B92F8" w14:textId="77777777" w:rsidR="009940D5" w:rsidRDefault="009940D5" w:rsidP="009940D5">
      <w:pPr>
        <w:autoSpaceDE w:val="0"/>
        <w:autoSpaceDN w:val="0"/>
        <w:adjustRightInd w:val="0"/>
        <w:ind w:left="420" w:hanging="240"/>
        <w:jc w:val="center"/>
        <w:outlineLvl w:val="1"/>
        <w:rPr>
          <w:rFonts w:cs="Times New Roman"/>
          <w:b/>
          <w:bCs/>
          <w:szCs w:val="24"/>
        </w:rPr>
      </w:pPr>
      <w:bookmarkStart w:id="0" w:name="_Toc73698676"/>
      <w:bookmarkStart w:id="1" w:name="_Toc83310735"/>
      <w:bookmarkStart w:id="2" w:name="_Toc83362531"/>
      <w:bookmarkStart w:id="3" w:name="_Toc83362940"/>
      <w:bookmarkStart w:id="4" w:name="_Toc90309998"/>
      <w:bookmarkStart w:id="5" w:name="_Toc90389856"/>
      <w:bookmarkStart w:id="6" w:name="_Toc90860436"/>
      <w:r w:rsidRPr="009940D5">
        <w:rPr>
          <w:rFonts w:cs="Times New Roman"/>
          <w:b/>
          <w:bCs/>
          <w:szCs w:val="24"/>
        </w:rPr>
        <w:t xml:space="preserve">14.15 Firearms—Unlawful Possession </w:t>
      </w:r>
    </w:p>
    <w:p w14:paraId="544DDE7E" w14:textId="3281BA79" w:rsidR="009940D5" w:rsidRPr="009940D5" w:rsidRDefault="009940D5" w:rsidP="009940D5">
      <w:pPr>
        <w:autoSpaceDE w:val="0"/>
        <w:autoSpaceDN w:val="0"/>
        <w:adjustRightInd w:val="0"/>
        <w:ind w:left="420" w:hanging="240"/>
        <w:jc w:val="center"/>
        <w:outlineLvl w:val="1"/>
        <w:rPr>
          <w:rFonts w:cs="Times New Roman"/>
          <w:b/>
          <w:bCs/>
          <w:szCs w:val="24"/>
        </w:rPr>
      </w:pPr>
      <w:r w:rsidRPr="009940D5">
        <w:rPr>
          <w:rFonts w:cs="Times New Roman"/>
          <w:b/>
          <w:bCs/>
          <w:szCs w:val="24"/>
        </w:rPr>
        <w:t>(18 U.S.C. § 922(g))</w:t>
      </w:r>
      <w:bookmarkEnd w:id="0"/>
      <w:bookmarkEnd w:id="1"/>
      <w:bookmarkEnd w:id="2"/>
      <w:bookmarkEnd w:id="3"/>
      <w:bookmarkEnd w:id="4"/>
      <w:bookmarkEnd w:id="5"/>
      <w:bookmarkEnd w:id="6"/>
    </w:p>
    <w:p w14:paraId="4A5D6223" w14:textId="77777777" w:rsidR="009940D5" w:rsidRPr="009940D5" w:rsidRDefault="009940D5" w:rsidP="009940D5">
      <w:pPr>
        <w:rPr>
          <w:rFonts w:eastAsia="Times New Roman" w:cs="Times New Roman"/>
          <w:szCs w:val="24"/>
        </w:rPr>
      </w:pPr>
    </w:p>
    <w:p w14:paraId="7B8AB4CC" w14:textId="77777777" w:rsidR="009940D5" w:rsidRPr="009940D5" w:rsidRDefault="009940D5" w:rsidP="009940D5">
      <w:pPr>
        <w:rPr>
          <w:rFonts w:eastAsia="Times New Roman" w:cs="Times New Roman"/>
          <w:szCs w:val="24"/>
        </w:rPr>
      </w:pPr>
      <w:r w:rsidRPr="009940D5">
        <w:rPr>
          <w:rFonts w:eastAsia="Times New Roman" w:cs="Times New Roman"/>
          <w:szCs w:val="24"/>
        </w:rPr>
        <w:tab/>
        <w:t>The defendant is charged in [Count _______ of] the indictment with the possession of [a firearm] [ammunition] in violation of Section 922(g) of Title 18 of the United States Code.  For the defendant to be found guilty of that charge, the government must prove each of the following elements beyond a reasonable doubt:</w:t>
      </w:r>
    </w:p>
    <w:p w14:paraId="1346FF62" w14:textId="77777777" w:rsidR="009940D5" w:rsidRPr="009940D5" w:rsidRDefault="009940D5" w:rsidP="009940D5">
      <w:pPr>
        <w:rPr>
          <w:rFonts w:eastAsia="Times New Roman" w:cs="Times New Roman"/>
          <w:szCs w:val="24"/>
        </w:rPr>
      </w:pPr>
    </w:p>
    <w:p w14:paraId="25BFFD16" w14:textId="77777777" w:rsidR="009940D5" w:rsidRPr="009940D5" w:rsidRDefault="009940D5" w:rsidP="009940D5">
      <w:pPr>
        <w:rPr>
          <w:rFonts w:eastAsia="Times New Roman" w:cs="Times New Roman"/>
          <w:szCs w:val="24"/>
        </w:rPr>
      </w:pPr>
      <w:r w:rsidRPr="009940D5">
        <w:rPr>
          <w:rFonts w:eastAsia="Times New Roman" w:cs="Times New Roman"/>
          <w:szCs w:val="24"/>
        </w:rPr>
        <w:tab/>
        <w:t>First, the defendant knowingly possessed [</w:t>
      </w:r>
      <w:r w:rsidRPr="009940D5">
        <w:rPr>
          <w:rFonts w:eastAsia="Times New Roman" w:cs="Times New Roman"/>
          <w:i/>
          <w:szCs w:val="24"/>
          <w:u w:val="single"/>
        </w:rPr>
        <w:t>specify firearm</w:t>
      </w:r>
      <w:r w:rsidRPr="009940D5">
        <w:rPr>
          <w:rFonts w:eastAsia="Times New Roman" w:cs="Times New Roman"/>
          <w:szCs w:val="24"/>
        </w:rPr>
        <w:t>] [</w:t>
      </w:r>
      <w:r w:rsidRPr="009940D5">
        <w:rPr>
          <w:rFonts w:eastAsia="Times New Roman" w:cs="Times New Roman"/>
          <w:i/>
          <w:szCs w:val="24"/>
          <w:u w:val="single"/>
        </w:rPr>
        <w:t>specify ammunition</w:t>
      </w:r>
      <w:proofErr w:type="gramStart"/>
      <w:r w:rsidRPr="009940D5">
        <w:rPr>
          <w:rFonts w:eastAsia="Times New Roman" w:cs="Times New Roman"/>
          <w:szCs w:val="24"/>
        </w:rPr>
        <w:t>];</w:t>
      </w:r>
      <w:proofErr w:type="gramEnd"/>
    </w:p>
    <w:p w14:paraId="515D0E75" w14:textId="77777777" w:rsidR="009940D5" w:rsidRPr="009940D5" w:rsidRDefault="009940D5" w:rsidP="009940D5">
      <w:pPr>
        <w:rPr>
          <w:rFonts w:eastAsia="Times New Roman" w:cs="Times New Roman"/>
          <w:szCs w:val="24"/>
        </w:rPr>
      </w:pPr>
    </w:p>
    <w:p w14:paraId="7A0073B2" w14:textId="77777777" w:rsidR="009940D5" w:rsidRPr="009940D5" w:rsidRDefault="009940D5" w:rsidP="009940D5">
      <w:pPr>
        <w:rPr>
          <w:rFonts w:eastAsia="Times New Roman" w:cs="Times New Roman"/>
          <w:szCs w:val="24"/>
        </w:rPr>
      </w:pPr>
      <w:r w:rsidRPr="009940D5">
        <w:rPr>
          <w:rFonts w:eastAsia="Times New Roman" w:cs="Times New Roman"/>
          <w:szCs w:val="24"/>
        </w:rPr>
        <w:tab/>
        <w:t>Second, the [</w:t>
      </w:r>
      <w:r w:rsidRPr="009940D5">
        <w:rPr>
          <w:rFonts w:eastAsia="Times New Roman" w:cs="Times New Roman"/>
          <w:i/>
          <w:szCs w:val="24"/>
          <w:u w:val="single"/>
        </w:rPr>
        <w:t>specify firearm</w:t>
      </w:r>
      <w:r w:rsidRPr="009940D5">
        <w:rPr>
          <w:rFonts w:eastAsia="Times New Roman" w:cs="Times New Roman"/>
          <w:szCs w:val="24"/>
        </w:rPr>
        <w:t>] [</w:t>
      </w:r>
      <w:r w:rsidRPr="009940D5">
        <w:rPr>
          <w:rFonts w:eastAsia="Times New Roman" w:cs="Times New Roman"/>
          <w:i/>
          <w:szCs w:val="24"/>
          <w:u w:val="single"/>
        </w:rPr>
        <w:t>specify ammunition</w:t>
      </w:r>
      <w:r w:rsidRPr="009940D5">
        <w:rPr>
          <w:rFonts w:eastAsia="Times New Roman" w:cs="Times New Roman"/>
          <w:szCs w:val="24"/>
        </w:rPr>
        <w:t>] had been [[shipped] [transported]] [[from one state to another] [between a foreign nation and the United States]</w:t>
      </w:r>
      <w:proofErr w:type="gramStart"/>
      <w:r w:rsidRPr="009940D5">
        <w:rPr>
          <w:rFonts w:eastAsia="Times New Roman" w:cs="Times New Roman"/>
          <w:szCs w:val="24"/>
        </w:rPr>
        <w:t>];</w:t>
      </w:r>
      <w:proofErr w:type="gramEnd"/>
      <w:r w:rsidRPr="009940D5">
        <w:rPr>
          <w:rFonts w:eastAsia="Times New Roman" w:cs="Times New Roman"/>
          <w:szCs w:val="24"/>
        </w:rPr>
        <w:t xml:space="preserve"> </w:t>
      </w:r>
    </w:p>
    <w:p w14:paraId="7E6361A8" w14:textId="77777777" w:rsidR="009940D5" w:rsidRPr="009940D5" w:rsidRDefault="009940D5" w:rsidP="009940D5">
      <w:pPr>
        <w:rPr>
          <w:rFonts w:eastAsia="Times New Roman" w:cs="Times New Roman"/>
          <w:szCs w:val="24"/>
        </w:rPr>
      </w:pPr>
    </w:p>
    <w:p w14:paraId="45A65CBF" w14:textId="77777777" w:rsidR="009940D5" w:rsidRPr="009940D5" w:rsidRDefault="009940D5" w:rsidP="009940D5">
      <w:pPr>
        <w:rPr>
          <w:rFonts w:eastAsia="Times New Roman" w:cs="Times New Roman"/>
          <w:szCs w:val="24"/>
        </w:rPr>
      </w:pPr>
      <w:r w:rsidRPr="009940D5">
        <w:rPr>
          <w:rFonts w:eastAsia="Times New Roman" w:cs="Times New Roman"/>
          <w:szCs w:val="24"/>
        </w:rPr>
        <w:tab/>
        <w:t>Third, at the time the defendant possessed the [</w:t>
      </w:r>
      <w:r w:rsidRPr="009940D5">
        <w:rPr>
          <w:rFonts w:eastAsia="Times New Roman" w:cs="Times New Roman"/>
          <w:i/>
          <w:szCs w:val="24"/>
          <w:u w:val="single"/>
        </w:rPr>
        <w:t>specify firearm</w:t>
      </w:r>
      <w:r w:rsidRPr="009940D5">
        <w:rPr>
          <w:rFonts w:eastAsia="Times New Roman" w:cs="Times New Roman"/>
          <w:szCs w:val="24"/>
        </w:rPr>
        <w:t>] [</w:t>
      </w:r>
      <w:r w:rsidRPr="009940D5">
        <w:rPr>
          <w:rFonts w:eastAsia="Times New Roman" w:cs="Times New Roman"/>
          <w:i/>
          <w:szCs w:val="24"/>
          <w:u w:val="single"/>
        </w:rPr>
        <w:t>specify ammunition</w:t>
      </w:r>
      <w:r w:rsidRPr="009940D5">
        <w:rPr>
          <w:rFonts w:eastAsia="Times New Roman" w:cs="Times New Roman"/>
          <w:szCs w:val="24"/>
        </w:rPr>
        <w:t>], the defendant [</w:t>
      </w:r>
      <w:r w:rsidRPr="009940D5">
        <w:rPr>
          <w:rFonts w:eastAsia="Times New Roman" w:cs="Times New Roman"/>
          <w:i/>
          <w:szCs w:val="24"/>
          <w:u w:val="single"/>
        </w:rPr>
        <w:t>specify applicable prohibited status from 18 U.S.C. § 922(g)(1)-(9)</w:t>
      </w:r>
      <w:r w:rsidRPr="009940D5">
        <w:rPr>
          <w:rFonts w:eastAsia="Times New Roman" w:cs="Times New Roman"/>
          <w:szCs w:val="24"/>
        </w:rPr>
        <w:t xml:space="preserve">]; and </w:t>
      </w:r>
    </w:p>
    <w:p w14:paraId="1A40E8D3" w14:textId="77777777" w:rsidR="009940D5" w:rsidRPr="009940D5" w:rsidRDefault="009940D5" w:rsidP="009940D5">
      <w:pPr>
        <w:rPr>
          <w:rFonts w:eastAsia="Times New Roman" w:cs="Times New Roman"/>
          <w:szCs w:val="24"/>
        </w:rPr>
      </w:pPr>
    </w:p>
    <w:p w14:paraId="4730AD89" w14:textId="77777777" w:rsidR="009940D5" w:rsidRPr="009940D5" w:rsidRDefault="009940D5" w:rsidP="009940D5">
      <w:pPr>
        <w:rPr>
          <w:rFonts w:eastAsia="Times New Roman" w:cs="Times New Roman"/>
          <w:szCs w:val="24"/>
        </w:rPr>
      </w:pPr>
      <w:r w:rsidRPr="009940D5">
        <w:rPr>
          <w:rFonts w:eastAsia="Times New Roman" w:cs="Times New Roman"/>
          <w:szCs w:val="24"/>
        </w:rPr>
        <w:tab/>
        <w:t>Fourth, at the time the defendant possessed the [</w:t>
      </w:r>
      <w:r w:rsidRPr="009940D5">
        <w:rPr>
          <w:rFonts w:eastAsia="Times New Roman" w:cs="Times New Roman"/>
          <w:i/>
          <w:szCs w:val="24"/>
          <w:u w:val="single"/>
        </w:rPr>
        <w:t>specify firearm</w:t>
      </w:r>
      <w:r w:rsidRPr="009940D5">
        <w:rPr>
          <w:rFonts w:eastAsia="Times New Roman" w:cs="Times New Roman"/>
          <w:szCs w:val="24"/>
        </w:rPr>
        <w:t>] [</w:t>
      </w:r>
      <w:r w:rsidRPr="009940D5">
        <w:rPr>
          <w:rFonts w:eastAsia="Times New Roman" w:cs="Times New Roman"/>
          <w:i/>
          <w:szCs w:val="24"/>
          <w:u w:val="single"/>
        </w:rPr>
        <w:t>specify ammunition</w:t>
      </w:r>
      <w:r w:rsidRPr="009940D5">
        <w:rPr>
          <w:rFonts w:eastAsia="Times New Roman" w:cs="Times New Roman"/>
          <w:szCs w:val="24"/>
        </w:rPr>
        <w:t>], the</w:t>
      </w:r>
    </w:p>
    <w:p w14:paraId="317E342A" w14:textId="77777777" w:rsidR="009940D5" w:rsidRPr="009940D5" w:rsidRDefault="009940D5" w:rsidP="009940D5">
      <w:pPr>
        <w:rPr>
          <w:rFonts w:eastAsia="Times New Roman" w:cs="Times New Roman"/>
          <w:szCs w:val="24"/>
        </w:rPr>
      </w:pPr>
      <w:r w:rsidRPr="009940D5">
        <w:rPr>
          <w:rFonts w:eastAsia="Times New Roman" w:cs="Times New Roman"/>
          <w:szCs w:val="24"/>
        </w:rPr>
        <w:t>defendant knew [he] [she] was [</w:t>
      </w:r>
      <w:r w:rsidRPr="009940D5">
        <w:rPr>
          <w:rFonts w:eastAsia="Times New Roman" w:cs="Times New Roman"/>
          <w:i/>
          <w:szCs w:val="24"/>
          <w:u w:val="single"/>
        </w:rPr>
        <w:t>specify applicable prohibited status from 18 U.S.C. § 922(g)(1)-(9)</w:t>
      </w:r>
      <w:r w:rsidRPr="009940D5">
        <w:rPr>
          <w:rFonts w:eastAsia="Times New Roman" w:cs="Times New Roman"/>
          <w:szCs w:val="24"/>
        </w:rPr>
        <w:t>].</w:t>
      </w:r>
    </w:p>
    <w:p w14:paraId="51A40F77" w14:textId="77777777" w:rsidR="009940D5" w:rsidRPr="009940D5" w:rsidRDefault="009940D5" w:rsidP="009940D5">
      <w:pPr>
        <w:rPr>
          <w:rFonts w:eastAsia="Times New Roman" w:cs="Times New Roman"/>
          <w:i/>
          <w:szCs w:val="24"/>
          <w:u w:val="single"/>
        </w:rPr>
      </w:pPr>
    </w:p>
    <w:p w14:paraId="1DF22AC3" w14:textId="77777777" w:rsidR="009940D5" w:rsidRPr="009940D5" w:rsidRDefault="009940D5" w:rsidP="009940D5">
      <w:pPr>
        <w:spacing w:line="275" w:lineRule="auto"/>
        <w:ind w:right="-180"/>
        <w:jc w:val="center"/>
        <w:rPr>
          <w:rFonts w:eastAsia="Times New Roman" w:cs="Times New Roman"/>
          <w:color w:val="000000"/>
          <w:szCs w:val="24"/>
        </w:rPr>
      </w:pPr>
      <w:r w:rsidRPr="009940D5">
        <w:rPr>
          <w:rFonts w:eastAsia="Times New Roman" w:cs="Times New Roman"/>
          <w:b/>
          <w:color w:val="000000"/>
          <w:szCs w:val="24"/>
        </w:rPr>
        <w:t>Comment</w:t>
      </w:r>
    </w:p>
    <w:p w14:paraId="6E5F4F35" w14:textId="77777777" w:rsidR="009940D5" w:rsidRPr="009940D5" w:rsidRDefault="009940D5" w:rsidP="009940D5">
      <w:pPr>
        <w:rPr>
          <w:rFonts w:eastAsia="Times New Roman" w:cs="Times New Roman"/>
          <w:szCs w:val="24"/>
        </w:rPr>
      </w:pPr>
    </w:p>
    <w:p w14:paraId="596E9253" w14:textId="77777777" w:rsidR="009940D5" w:rsidRPr="009940D5" w:rsidRDefault="009940D5" w:rsidP="009940D5">
      <w:pPr>
        <w:rPr>
          <w:rFonts w:eastAsia="Times New Roman" w:cs="Times New Roman"/>
          <w:szCs w:val="24"/>
        </w:rPr>
      </w:pPr>
      <w:r w:rsidRPr="009940D5">
        <w:rPr>
          <w:rFonts w:eastAsia="Times New Roman" w:cs="Times New Roman"/>
          <w:szCs w:val="24"/>
        </w:rPr>
        <w:tab/>
      </w:r>
      <w:r w:rsidRPr="009940D5">
        <w:rPr>
          <w:rFonts w:eastAsia="Times New Roman" w:cs="Times New Roman"/>
          <w:i/>
          <w:szCs w:val="24"/>
        </w:rPr>
        <w:t>See</w:t>
      </w:r>
      <w:r w:rsidRPr="009940D5">
        <w:rPr>
          <w:rFonts w:eastAsia="Times New Roman" w:cs="Times New Roman"/>
          <w:szCs w:val="24"/>
        </w:rPr>
        <w:t xml:space="preserve"> Comment to Instruction 14.1 (Firearms).</w:t>
      </w:r>
    </w:p>
    <w:p w14:paraId="01F04D8D" w14:textId="77777777" w:rsidR="009940D5" w:rsidRPr="009940D5" w:rsidRDefault="009940D5" w:rsidP="009940D5">
      <w:pPr>
        <w:rPr>
          <w:rFonts w:eastAsia="Times New Roman" w:cs="Times New Roman"/>
          <w:szCs w:val="24"/>
        </w:rPr>
      </w:pPr>
    </w:p>
    <w:p w14:paraId="7ADBD410" w14:textId="22DC5BAB" w:rsidR="009940D5" w:rsidRPr="009940D5" w:rsidRDefault="009940D5" w:rsidP="009940D5">
      <w:pPr>
        <w:rPr>
          <w:rFonts w:eastAsia="Times New Roman" w:cs="Times New Roman"/>
          <w:szCs w:val="24"/>
        </w:rPr>
      </w:pPr>
      <w:r w:rsidRPr="009940D5">
        <w:rPr>
          <w:rFonts w:eastAsia="Times New Roman" w:cs="Times New Roman"/>
          <w:szCs w:val="24"/>
        </w:rPr>
        <w:tab/>
        <w:t xml:space="preserve">For a discussion of </w:t>
      </w:r>
      <w:r w:rsidR="005A70E5">
        <w:rPr>
          <w:rFonts w:eastAsia="Times New Roman" w:cs="Times New Roman"/>
          <w:szCs w:val="24"/>
        </w:rPr>
        <w:t>both knowledge elements for a prosecution under 18 U.S.C. § 922(g),</w:t>
      </w:r>
      <w:r w:rsidR="005A70E5" w:rsidRPr="00C71143">
        <w:rPr>
          <w:rFonts w:eastAsiaTheme="minorEastAsia" w:cs="Times New Roman"/>
          <w:sz w:val="26"/>
          <w:szCs w:val="26"/>
        </w:rPr>
        <w:t xml:space="preserve"> </w:t>
      </w:r>
      <w:r w:rsidR="005A70E5" w:rsidRPr="00A76A6F">
        <w:rPr>
          <w:rFonts w:eastAsiaTheme="minorEastAsia" w:cs="Times New Roman"/>
          <w:i/>
          <w:iCs/>
          <w:szCs w:val="24"/>
        </w:rPr>
        <w:t>see</w:t>
      </w:r>
      <w:r w:rsidR="005A70E5">
        <w:rPr>
          <w:rFonts w:eastAsiaTheme="minorEastAsia" w:cs="Times New Roman"/>
          <w:sz w:val="26"/>
          <w:szCs w:val="26"/>
        </w:rPr>
        <w:t xml:space="preserve"> </w:t>
      </w:r>
      <w:proofErr w:type="spellStart"/>
      <w:r w:rsidR="005A70E5" w:rsidRPr="00C71143">
        <w:rPr>
          <w:rFonts w:eastAsia="Times New Roman" w:cs="Times New Roman"/>
          <w:i/>
          <w:iCs/>
          <w:szCs w:val="24"/>
        </w:rPr>
        <w:t>Rehaif</w:t>
      </w:r>
      <w:proofErr w:type="spellEnd"/>
      <w:r w:rsidR="005A70E5" w:rsidRPr="00C71143">
        <w:rPr>
          <w:rFonts w:eastAsia="Times New Roman" w:cs="Times New Roman"/>
          <w:i/>
          <w:iCs/>
          <w:szCs w:val="24"/>
        </w:rPr>
        <w:t xml:space="preserve"> v. United States</w:t>
      </w:r>
      <w:r w:rsidR="005A70E5" w:rsidRPr="00C71143">
        <w:rPr>
          <w:rFonts w:eastAsia="Times New Roman" w:cs="Times New Roman"/>
          <w:szCs w:val="24"/>
        </w:rPr>
        <w:t>, 139 S. Ct. 2191, 2200</w:t>
      </w:r>
      <w:r w:rsidR="005A70E5">
        <w:rPr>
          <w:rFonts w:eastAsia="Times New Roman" w:cs="Times New Roman"/>
          <w:szCs w:val="24"/>
        </w:rPr>
        <w:t xml:space="preserve"> </w:t>
      </w:r>
      <w:r w:rsidR="005A70E5" w:rsidRPr="00C71143">
        <w:rPr>
          <w:rFonts w:eastAsia="Times New Roman" w:cs="Times New Roman"/>
          <w:szCs w:val="24"/>
        </w:rPr>
        <w:t xml:space="preserve">(2019) </w:t>
      </w:r>
      <w:r w:rsidR="005A70E5">
        <w:rPr>
          <w:rFonts w:eastAsia="Times New Roman" w:cs="Times New Roman"/>
          <w:szCs w:val="24"/>
        </w:rPr>
        <w:t>(</w:t>
      </w:r>
      <w:r w:rsidR="005A70E5" w:rsidRPr="00C71143">
        <w:rPr>
          <w:rFonts w:eastAsia="Times New Roman" w:cs="Times New Roman"/>
          <w:szCs w:val="24"/>
        </w:rPr>
        <w:t xml:space="preserve">“the Government must prove </w:t>
      </w:r>
      <w:r w:rsidR="005A70E5" w:rsidRPr="00A93699">
        <w:rPr>
          <w:rFonts w:eastAsia="Times New Roman" w:cs="Times New Roman"/>
          <w:szCs w:val="24"/>
          <w:u w:val="single"/>
        </w:rPr>
        <w:t>both</w:t>
      </w:r>
      <w:r w:rsidR="005A70E5" w:rsidRPr="00C71143">
        <w:rPr>
          <w:rFonts w:eastAsia="Times New Roman" w:cs="Times New Roman"/>
          <w:szCs w:val="24"/>
        </w:rPr>
        <w:t xml:space="preserve"> that the defendant knew he possessed a firearm </w:t>
      </w:r>
      <w:r w:rsidR="005A70E5" w:rsidRPr="00A93699">
        <w:rPr>
          <w:rFonts w:eastAsia="Times New Roman" w:cs="Times New Roman"/>
          <w:szCs w:val="24"/>
          <w:u w:val="single"/>
        </w:rPr>
        <w:t>and</w:t>
      </w:r>
      <w:r w:rsidR="005A70E5" w:rsidRPr="00A93699">
        <w:rPr>
          <w:rFonts w:eastAsia="Times New Roman" w:cs="Times New Roman"/>
          <w:szCs w:val="24"/>
        </w:rPr>
        <w:t xml:space="preserve"> t</w:t>
      </w:r>
      <w:r w:rsidR="005A70E5" w:rsidRPr="00C71143">
        <w:rPr>
          <w:rFonts w:eastAsia="Times New Roman" w:cs="Times New Roman"/>
          <w:szCs w:val="24"/>
        </w:rPr>
        <w:t>hat he knew he belonged to the relevant category of persons barred from possessing a firearm.”</w:t>
      </w:r>
      <w:r w:rsidR="005A70E5">
        <w:rPr>
          <w:rFonts w:eastAsia="Times New Roman" w:cs="Times New Roman"/>
          <w:szCs w:val="24"/>
        </w:rPr>
        <w:t>).</w:t>
      </w:r>
      <w:r w:rsidR="005A70E5" w:rsidRPr="009131BF">
        <w:rPr>
          <w:rFonts w:eastAsia="Times New Roman" w:cs="Times New Roman"/>
          <w:szCs w:val="24"/>
        </w:rPr>
        <w:t xml:space="preserve"> </w:t>
      </w:r>
      <w:r w:rsidR="005A70E5">
        <w:rPr>
          <w:rFonts w:eastAsia="Times New Roman" w:cs="Times New Roman"/>
          <w:szCs w:val="24"/>
        </w:rPr>
        <w:t xml:space="preserve">  For a discussion</w:t>
      </w:r>
      <w:r w:rsidR="005A70E5" w:rsidRPr="009131BF">
        <w:rPr>
          <w:rFonts w:eastAsia="Times New Roman" w:cs="Times New Roman"/>
          <w:szCs w:val="24"/>
        </w:rPr>
        <w:t xml:space="preserve"> </w:t>
      </w:r>
      <w:r w:rsidRPr="009940D5">
        <w:rPr>
          <w:rFonts w:eastAsia="Times New Roman" w:cs="Times New Roman"/>
          <w:szCs w:val="24"/>
        </w:rPr>
        <w:t xml:space="preserve">of the nine categories of prohibited status set forth in 18 U.S.C. § 922(g)(1)-(9), </w:t>
      </w:r>
      <w:r w:rsidRPr="009940D5">
        <w:rPr>
          <w:rFonts w:eastAsia="Times New Roman" w:cs="Times New Roman"/>
          <w:i/>
          <w:szCs w:val="24"/>
        </w:rPr>
        <w:t xml:space="preserve">see </w:t>
      </w:r>
      <w:r w:rsidRPr="009940D5">
        <w:rPr>
          <w:rFonts w:eastAsia="Times New Roman" w:cs="Times New Roman"/>
          <w:szCs w:val="24"/>
        </w:rPr>
        <w:t xml:space="preserve">Comment to Instruction 14.13 (Firearms—Unlawful Receipt).  For a definition of “possession,” </w:t>
      </w:r>
      <w:r w:rsidRPr="009940D5">
        <w:rPr>
          <w:rFonts w:eastAsia="Times New Roman" w:cs="Times New Roman"/>
          <w:i/>
          <w:szCs w:val="24"/>
        </w:rPr>
        <w:t>see</w:t>
      </w:r>
      <w:r w:rsidRPr="009940D5">
        <w:rPr>
          <w:rFonts w:eastAsia="Times New Roman" w:cs="Times New Roman"/>
          <w:szCs w:val="24"/>
        </w:rPr>
        <w:t xml:space="preserve"> Instruction 6.15 (Possession—Defined).</w:t>
      </w:r>
    </w:p>
    <w:p w14:paraId="5E6372B5" w14:textId="77777777" w:rsidR="009940D5" w:rsidRPr="009940D5" w:rsidRDefault="009940D5" w:rsidP="009940D5">
      <w:pPr>
        <w:rPr>
          <w:rFonts w:eastAsia="Times New Roman" w:cs="Times New Roman"/>
          <w:szCs w:val="24"/>
        </w:rPr>
      </w:pPr>
    </w:p>
    <w:p w14:paraId="28347521" w14:textId="77777777" w:rsidR="009940D5" w:rsidRPr="009940D5" w:rsidRDefault="009940D5" w:rsidP="009940D5">
      <w:pPr>
        <w:rPr>
          <w:rFonts w:eastAsia="Times New Roman" w:cs="Times New Roman"/>
          <w:i/>
          <w:szCs w:val="24"/>
        </w:rPr>
      </w:pPr>
      <w:r w:rsidRPr="009940D5">
        <w:rPr>
          <w:rFonts w:eastAsia="Times New Roman" w:cs="Times New Roman"/>
          <w:szCs w:val="24"/>
        </w:rPr>
        <w:tab/>
        <w:t xml:space="preserve">Depending on the facts in evidence, it may be appropriate to amend this instruction with language requiring specific jury unanimity as to when the possession occurred.  </w:t>
      </w:r>
      <w:r w:rsidRPr="009940D5">
        <w:rPr>
          <w:rFonts w:eastAsia="Times New Roman" w:cs="Times New Roman"/>
          <w:i/>
          <w:szCs w:val="24"/>
        </w:rPr>
        <w:t>See</w:t>
      </w:r>
      <w:r w:rsidRPr="009940D5">
        <w:rPr>
          <w:rFonts w:eastAsia="Times New Roman" w:cs="Times New Roman"/>
          <w:szCs w:val="24"/>
        </w:rPr>
        <w:t xml:space="preserve"> Instruction 6.27 (Specific Issue Unanimity); </w:t>
      </w:r>
      <w:r w:rsidRPr="009940D5">
        <w:rPr>
          <w:rFonts w:eastAsia="Times New Roman" w:cs="Times New Roman"/>
          <w:i/>
          <w:szCs w:val="24"/>
        </w:rPr>
        <w:t>United States v. Garcia-Rivera</w:t>
      </w:r>
      <w:r w:rsidRPr="009940D5">
        <w:rPr>
          <w:rFonts w:eastAsia="Times New Roman" w:cs="Times New Roman"/>
          <w:szCs w:val="24"/>
        </w:rPr>
        <w:t>, 353 F.3d 788, 792 (9th Cir. 2003).  For instance, an indictment may allege that the possession occurred at some point within an imprecise time frame.  In such a case, and if there was evidence that the defendant possessed the weapon or ammunition on more than one occasion during the interval, the jury should be instructed to find unanimously as follows</w:t>
      </w:r>
      <w:proofErr w:type="gramStart"/>
      <w:r w:rsidRPr="009940D5">
        <w:rPr>
          <w:rFonts w:eastAsia="Times New Roman" w:cs="Times New Roman"/>
          <w:szCs w:val="24"/>
        </w:rPr>
        <w:t>:  “</w:t>
      </w:r>
      <w:proofErr w:type="gramEnd"/>
      <w:r w:rsidRPr="009940D5">
        <w:rPr>
          <w:rFonts w:eastAsia="Times New Roman" w:cs="Times New Roman"/>
          <w:szCs w:val="24"/>
        </w:rPr>
        <w:t>You must unanimously agree that the possession occurred on or about a particular date.”  In such a case, it is advisable to require the jurors to answer a special interrogatory specifying the date(s) upon which all agreed that the possession occurred.</w:t>
      </w:r>
    </w:p>
    <w:p w14:paraId="7F7E31A0" w14:textId="77777777" w:rsidR="009940D5" w:rsidRPr="009940D5" w:rsidRDefault="009940D5" w:rsidP="009940D5">
      <w:pPr>
        <w:rPr>
          <w:rFonts w:eastAsia="Times New Roman" w:cs="Times New Roman"/>
          <w:szCs w:val="24"/>
        </w:rPr>
      </w:pPr>
    </w:p>
    <w:p w14:paraId="2742C1A2" w14:textId="77777777" w:rsidR="009940D5" w:rsidRPr="009940D5" w:rsidRDefault="009940D5" w:rsidP="009940D5">
      <w:pPr>
        <w:rPr>
          <w:rFonts w:eastAsia="Times New Roman" w:cs="Times New Roman"/>
          <w:szCs w:val="24"/>
        </w:rPr>
      </w:pPr>
      <w:r w:rsidRPr="009940D5">
        <w:rPr>
          <w:rFonts w:eastAsia="Times New Roman" w:cs="Times New Roman"/>
          <w:szCs w:val="24"/>
        </w:rPr>
        <w:tab/>
        <w:t xml:space="preserve">The Ninth Circuit does not recognize an “innocent possession” affirmative defense.  </w:t>
      </w:r>
      <w:r w:rsidRPr="009940D5">
        <w:rPr>
          <w:rFonts w:eastAsia="Times New Roman" w:cs="Times New Roman"/>
          <w:i/>
          <w:szCs w:val="24"/>
        </w:rPr>
        <w:t>See United States v. Johnson</w:t>
      </w:r>
      <w:r w:rsidRPr="009940D5">
        <w:rPr>
          <w:rFonts w:eastAsia="Times New Roman" w:cs="Times New Roman"/>
          <w:szCs w:val="24"/>
        </w:rPr>
        <w:t>, 459 F.3d 990, 995-98 (9th Cir. 2006).</w:t>
      </w:r>
    </w:p>
    <w:p w14:paraId="470B3D17" w14:textId="77777777" w:rsidR="009940D5" w:rsidRPr="009940D5" w:rsidRDefault="009940D5" w:rsidP="009940D5">
      <w:pPr>
        <w:spacing w:line="275" w:lineRule="auto"/>
        <w:rPr>
          <w:rFonts w:eastAsia="Times New Roman" w:cs="Times New Roman"/>
          <w:color w:val="000000"/>
          <w:szCs w:val="24"/>
        </w:rPr>
      </w:pPr>
    </w:p>
    <w:p w14:paraId="15338203" w14:textId="43A1F3DC" w:rsidR="009940D5" w:rsidRDefault="009940D5" w:rsidP="009940D5">
      <w:pPr>
        <w:rPr>
          <w:rFonts w:eastAsia="Times New Roman" w:cs="Times New Roman"/>
          <w:szCs w:val="24"/>
        </w:rPr>
      </w:pPr>
      <w:r w:rsidRPr="009940D5">
        <w:rPr>
          <w:rFonts w:eastAsia="Times New Roman" w:cs="Times New Roman"/>
          <w:szCs w:val="24"/>
        </w:rPr>
        <w:tab/>
        <w:t xml:space="preserve">Although brief handling of a weapon does not always satisfy the element of possession, a short length of possession does not preclude conviction.  </w:t>
      </w:r>
      <w:r w:rsidRPr="009940D5">
        <w:rPr>
          <w:rFonts w:eastAsia="Times New Roman" w:cs="Times New Roman"/>
          <w:i/>
          <w:iCs/>
          <w:szCs w:val="24"/>
        </w:rPr>
        <w:t>See id</w:t>
      </w:r>
      <w:r w:rsidRPr="009940D5">
        <w:rPr>
          <w:rFonts w:eastAsia="Times New Roman" w:cs="Times New Roman"/>
          <w:szCs w:val="24"/>
        </w:rPr>
        <w:t xml:space="preserve">. at 996.  The commission of the crime requires no “act” other than the knowing possession of a firearm or ammunition by someone not authorized to do so.  </w:t>
      </w:r>
      <w:r w:rsidRPr="009940D5">
        <w:rPr>
          <w:rFonts w:eastAsia="Times New Roman" w:cs="Times New Roman"/>
          <w:i/>
          <w:szCs w:val="24"/>
        </w:rPr>
        <w:t>United States v. Beasley</w:t>
      </w:r>
      <w:r w:rsidRPr="009940D5">
        <w:rPr>
          <w:rFonts w:eastAsia="Times New Roman" w:cs="Times New Roman"/>
          <w:szCs w:val="24"/>
        </w:rPr>
        <w:t xml:space="preserve">, 346 F.3d 930, 934 (9th Cir. 2003). </w:t>
      </w:r>
    </w:p>
    <w:p w14:paraId="37150881" w14:textId="77777777" w:rsidR="009940D5" w:rsidRPr="009940D5" w:rsidRDefault="009940D5" w:rsidP="009940D5">
      <w:pPr>
        <w:rPr>
          <w:rFonts w:eastAsia="Times New Roman" w:cs="Times New Roman"/>
          <w:szCs w:val="24"/>
        </w:rPr>
      </w:pPr>
    </w:p>
    <w:p w14:paraId="0C183670" w14:textId="77777777" w:rsidR="009940D5" w:rsidRPr="009940D5" w:rsidRDefault="009940D5" w:rsidP="009940D5">
      <w:pPr>
        <w:rPr>
          <w:rFonts w:eastAsia="Times New Roman" w:cs="Times New Roman"/>
          <w:szCs w:val="24"/>
        </w:rPr>
      </w:pPr>
      <w:r w:rsidRPr="009940D5">
        <w:rPr>
          <w:rFonts w:eastAsia="Times New Roman" w:cs="Times New Roman"/>
          <w:szCs w:val="24"/>
        </w:rPr>
        <w:tab/>
        <w:t xml:space="preserve">Constructive or joint possession may satisfy the possession element.  To show constructive possession, the government must prove a connection between the defendant and the firearm or ammunition sufficient “to support the inference that the defendant exercised dominion and control over” it.  </w:t>
      </w:r>
      <w:r w:rsidRPr="009940D5">
        <w:rPr>
          <w:rFonts w:eastAsia="Times New Roman" w:cs="Times New Roman"/>
          <w:i/>
          <w:szCs w:val="24"/>
        </w:rPr>
        <w:t>United States v. Carrasco</w:t>
      </w:r>
      <w:r w:rsidRPr="009940D5">
        <w:rPr>
          <w:rFonts w:eastAsia="Times New Roman" w:cs="Times New Roman"/>
          <w:szCs w:val="24"/>
        </w:rPr>
        <w:t>, 257 F.3d 1045, 1049 (9th Cir. 2001) (internal quotation marks and citation omitted);</w:t>
      </w:r>
      <w:r w:rsidRPr="009940D5">
        <w:rPr>
          <w:rFonts w:eastAsia="Times New Roman" w:cs="Times New Roman"/>
          <w:i/>
          <w:iCs/>
          <w:szCs w:val="24"/>
        </w:rPr>
        <w:t xml:space="preserve"> se</w:t>
      </w:r>
      <w:r w:rsidRPr="009940D5">
        <w:rPr>
          <w:rFonts w:eastAsia="Times New Roman" w:cs="Times New Roman"/>
          <w:i/>
          <w:szCs w:val="24"/>
        </w:rPr>
        <w:t>e generally</w:t>
      </w:r>
      <w:r w:rsidRPr="009940D5">
        <w:rPr>
          <w:rFonts w:eastAsia="Times New Roman" w:cs="Times New Roman"/>
          <w:szCs w:val="24"/>
        </w:rPr>
        <w:t xml:space="preserve">, </w:t>
      </w:r>
      <w:r w:rsidRPr="009940D5">
        <w:rPr>
          <w:rFonts w:eastAsia="Times New Roman" w:cs="Times New Roman"/>
          <w:i/>
          <w:szCs w:val="24"/>
        </w:rPr>
        <w:t>United States v. Tucker</w:t>
      </w:r>
      <w:r w:rsidRPr="009940D5">
        <w:rPr>
          <w:rFonts w:eastAsia="Times New Roman" w:cs="Times New Roman"/>
          <w:szCs w:val="24"/>
        </w:rPr>
        <w:t xml:space="preserve">, 641 F.3d 1110 (9th Cir. 2011).  Similarly, joint control of the premises where the firearm or ammunition was found may be sufficient to establish possession where a defendant “has knowledge of the weapon and both the power and the intention to exercise dominion and control over it.”  </w:t>
      </w:r>
      <w:r w:rsidRPr="009940D5">
        <w:rPr>
          <w:rFonts w:eastAsia="Times New Roman" w:cs="Times New Roman"/>
          <w:i/>
          <w:szCs w:val="24"/>
        </w:rPr>
        <w:t>Carrasco</w:t>
      </w:r>
      <w:r w:rsidRPr="009940D5">
        <w:rPr>
          <w:rFonts w:eastAsia="Times New Roman" w:cs="Times New Roman"/>
          <w:szCs w:val="24"/>
        </w:rPr>
        <w:t>, 257 F.3d at 1049 (internal quotation marks and citation omitted).</w:t>
      </w:r>
    </w:p>
    <w:p w14:paraId="17ED2841" w14:textId="77777777" w:rsidR="009940D5" w:rsidRPr="009940D5" w:rsidRDefault="009940D5" w:rsidP="009940D5">
      <w:pPr>
        <w:rPr>
          <w:rFonts w:eastAsia="Times New Roman" w:cs="Times New Roman"/>
          <w:szCs w:val="24"/>
        </w:rPr>
      </w:pPr>
    </w:p>
    <w:p w14:paraId="002DF69F" w14:textId="77777777" w:rsidR="009940D5" w:rsidRPr="009940D5" w:rsidRDefault="009940D5" w:rsidP="009940D5">
      <w:pPr>
        <w:rPr>
          <w:rFonts w:eastAsia="Times New Roman" w:cs="Times New Roman"/>
          <w:szCs w:val="24"/>
        </w:rPr>
      </w:pPr>
      <w:r w:rsidRPr="009940D5">
        <w:rPr>
          <w:rFonts w:eastAsia="Times New Roman" w:cs="Times New Roman"/>
          <w:szCs w:val="24"/>
        </w:rPr>
        <w:tab/>
        <w:t>For a defendant to be convicted of multiple counts under 18 U.S.C. § 922(g)(1) for</w:t>
      </w:r>
    </w:p>
    <w:p w14:paraId="7E5ADD4B" w14:textId="77777777" w:rsidR="009940D5" w:rsidRPr="009940D5" w:rsidRDefault="009940D5" w:rsidP="009940D5">
      <w:pPr>
        <w:rPr>
          <w:rFonts w:eastAsia="Times New Roman" w:cs="Times New Roman"/>
          <w:szCs w:val="24"/>
        </w:rPr>
      </w:pPr>
      <w:r w:rsidRPr="009940D5">
        <w:rPr>
          <w:rFonts w:eastAsia="Times New Roman" w:cs="Times New Roman"/>
          <w:szCs w:val="24"/>
        </w:rPr>
        <w:t xml:space="preserve">possession of multiple firearms and/or ammunition, the government must prove that the </w:t>
      </w:r>
      <w:proofErr w:type="gramStart"/>
      <w:r w:rsidRPr="009940D5">
        <w:rPr>
          <w:rFonts w:eastAsia="Times New Roman" w:cs="Times New Roman"/>
          <w:szCs w:val="24"/>
        </w:rPr>
        <w:t>firearms</w:t>
      </w:r>
      <w:proofErr w:type="gramEnd"/>
    </w:p>
    <w:p w14:paraId="7EE8748A" w14:textId="77777777" w:rsidR="009940D5" w:rsidRPr="009940D5" w:rsidRDefault="009940D5" w:rsidP="009940D5">
      <w:pPr>
        <w:rPr>
          <w:rFonts w:eastAsia="Times New Roman" w:cs="Times New Roman"/>
          <w:i/>
          <w:szCs w:val="24"/>
        </w:rPr>
      </w:pPr>
      <w:r w:rsidRPr="009940D5">
        <w:rPr>
          <w:rFonts w:eastAsia="Times New Roman" w:cs="Times New Roman"/>
          <w:szCs w:val="24"/>
        </w:rPr>
        <w:t xml:space="preserve">and/or ammunition at issue were acquired or possessed at different times or stored in different places.  </w:t>
      </w:r>
      <w:r w:rsidRPr="009940D5">
        <w:rPr>
          <w:rFonts w:eastAsia="Times New Roman" w:cs="Times New Roman"/>
          <w:i/>
          <w:szCs w:val="24"/>
        </w:rPr>
        <w:t>United States v. Keen</w:t>
      </w:r>
      <w:r w:rsidRPr="009940D5">
        <w:rPr>
          <w:rFonts w:eastAsia="Times New Roman" w:cs="Times New Roman"/>
          <w:szCs w:val="24"/>
        </w:rPr>
        <w:t xml:space="preserve">, 96 F.3d 425, 432 n.11 (9th Cir. 1996); </w:t>
      </w:r>
      <w:r w:rsidRPr="009940D5">
        <w:rPr>
          <w:rFonts w:eastAsia="Times New Roman" w:cs="Times New Roman"/>
          <w:i/>
          <w:szCs w:val="24"/>
        </w:rPr>
        <w:t xml:space="preserve">United States v. </w:t>
      </w:r>
      <w:proofErr w:type="spellStart"/>
      <w:r w:rsidRPr="009940D5">
        <w:rPr>
          <w:rFonts w:eastAsia="Times New Roman" w:cs="Times New Roman"/>
          <w:i/>
          <w:szCs w:val="24"/>
        </w:rPr>
        <w:t>Wiga</w:t>
      </w:r>
      <w:proofErr w:type="spellEnd"/>
      <w:r w:rsidRPr="009940D5">
        <w:rPr>
          <w:rFonts w:eastAsia="Times New Roman" w:cs="Times New Roman"/>
          <w:szCs w:val="24"/>
        </w:rPr>
        <w:t>, 662 F.2d 1325, 1336 (9th Cir. 1981).  If a defendant is charged with multiple counts, the jury should be instructed to make a finding of fact as to separate acquisition or possession.</w:t>
      </w:r>
      <w:r w:rsidRPr="009940D5">
        <w:rPr>
          <w:rFonts w:eastAsia="Times New Roman" w:cs="Times New Roman"/>
          <w:i/>
          <w:szCs w:val="24"/>
        </w:rPr>
        <w:t xml:space="preserve">  United States v.</w:t>
      </w:r>
    </w:p>
    <w:p w14:paraId="36CBC8BF" w14:textId="77777777" w:rsidR="009940D5" w:rsidRPr="009940D5" w:rsidRDefault="009940D5" w:rsidP="009940D5">
      <w:pPr>
        <w:rPr>
          <w:rFonts w:eastAsia="Times New Roman" w:cs="Times New Roman"/>
          <w:szCs w:val="24"/>
        </w:rPr>
      </w:pPr>
      <w:r w:rsidRPr="009940D5">
        <w:rPr>
          <w:rFonts w:eastAsia="Times New Roman" w:cs="Times New Roman"/>
          <w:i/>
          <w:szCs w:val="24"/>
        </w:rPr>
        <w:t>Ankeny</w:t>
      </w:r>
      <w:r w:rsidRPr="009940D5">
        <w:rPr>
          <w:rFonts w:eastAsia="Times New Roman" w:cs="Times New Roman"/>
          <w:szCs w:val="24"/>
        </w:rPr>
        <w:t xml:space="preserve">, 502 F.3d 829, 838 (9th Cir. 2007); </w:t>
      </w:r>
      <w:r w:rsidRPr="009940D5">
        <w:rPr>
          <w:rFonts w:eastAsia="Times New Roman" w:cs="Times New Roman"/>
          <w:i/>
          <w:szCs w:val="24"/>
        </w:rPr>
        <w:t xml:space="preserve">United States v. </w:t>
      </w:r>
      <w:proofErr w:type="spellStart"/>
      <w:r w:rsidRPr="009940D5">
        <w:rPr>
          <w:rFonts w:eastAsia="Times New Roman" w:cs="Times New Roman"/>
          <w:i/>
          <w:szCs w:val="24"/>
        </w:rPr>
        <w:t>Szalkiewicz</w:t>
      </w:r>
      <w:proofErr w:type="spellEnd"/>
      <w:r w:rsidRPr="009940D5">
        <w:rPr>
          <w:rFonts w:eastAsia="Times New Roman" w:cs="Times New Roman"/>
          <w:szCs w:val="24"/>
        </w:rPr>
        <w:t>, 944 F.2d 653, 653-54</w:t>
      </w:r>
    </w:p>
    <w:p w14:paraId="42E10F8B" w14:textId="77777777" w:rsidR="009940D5" w:rsidRPr="009940D5" w:rsidRDefault="009940D5" w:rsidP="009940D5">
      <w:pPr>
        <w:rPr>
          <w:rFonts w:eastAsia="Times New Roman" w:cs="Times New Roman"/>
          <w:szCs w:val="24"/>
        </w:rPr>
      </w:pPr>
      <w:r w:rsidRPr="009940D5">
        <w:rPr>
          <w:rFonts w:eastAsia="Times New Roman" w:cs="Times New Roman"/>
          <w:szCs w:val="24"/>
        </w:rPr>
        <w:t xml:space="preserve">(9th Cir. 1991) (per </w:t>
      </w:r>
      <w:proofErr w:type="spellStart"/>
      <w:r w:rsidRPr="009940D5">
        <w:rPr>
          <w:rFonts w:eastAsia="Times New Roman" w:cs="Times New Roman"/>
          <w:szCs w:val="24"/>
        </w:rPr>
        <w:t>curiam</w:t>
      </w:r>
      <w:proofErr w:type="spellEnd"/>
      <w:r w:rsidRPr="009940D5">
        <w:rPr>
          <w:rFonts w:eastAsia="Times New Roman" w:cs="Times New Roman"/>
          <w:szCs w:val="24"/>
        </w:rPr>
        <w:t>).  A possible instruction could be:</w:t>
      </w:r>
    </w:p>
    <w:p w14:paraId="4F1E1E43" w14:textId="77777777" w:rsidR="009940D5" w:rsidRPr="009940D5" w:rsidRDefault="009940D5" w:rsidP="009940D5">
      <w:pPr>
        <w:rPr>
          <w:rFonts w:eastAsia="Times New Roman" w:cs="Times New Roman"/>
          <w:szCs w:val="24"/>
        </w:rPr>
      </w:pPr>
    </w:p>
    <w:p w14:paraId="517BD737" w14:textId="77777777" w:rsidR="009940D5" w:rsidRPr="009940D5" w:rsidRDefault="009940D5" w:rsidP="009940D5">
      <w:pPr>
        <w:ind w:left="720" w:right="720"/>
        <w:rPr>
          <w:rFonts w:eastAsia="Times New Roman" w:cs="Times New Roman"/>
          <w:szCs w:val="24"/>
        </w:rPr>
      </w:pPr>
      <w:r w:rsidRPr="009940D5">
        <w:rPr>
          <w:rFonts w:eastAsia="Times New Roman" w:cs="Times New Roman"/>
          <w:szCs w:val="24"/>
        </w:rPr>
        <w:t>If you have found the defendant guilty of Count I, you may not find [him][her] guilty of Count II unless you also find that the government has proven beyond a reasonable doubt that the [firearm[s]] [and] [ammunition] charged in Counts I and II [were][was] acquired or possessed at different times or stored in different places.</w:t>
      </w:r>
    </w:p>
    <w:p w14:paraId="16FC41E2" w14:textId="77777777" w:rsidR="009940D5" w:rsidRDefault="009940D5" w:rsidP="009940D5">
      <w:pPr>
        <w:rPr>
          <w:rFonts w:eastAsia="Times New Roman" w:cs="Times New Roman"/>
          <w:szCs w:val="24"/>
        </w:rPr>
      </w:pPr>
    </w:p>
    <w:p w14:paraId="173E5147" w14:textId="6D9F8C4D" w:rsidR="00A52A1B" w:rsidRPr="00AE76AA" w:rsidRDefault="00A52A1B" w:rsidP="00A52A1B">
      <w:pPr>
        <w:ind w:firstLine="720"/>
        <w:rPr>
          <w:rFonts w:eastAsia="Times New Roman" w:cs="Times New Roman"/>
          <w:szCs w:val="24"/>
        </w:rPr>
      </w:pPr>
      <w:r w:rsidRPr="00AE76AA">
        <w:rPr>
          <w:rFonts w:eastAsia="Times New Roman" w:cs="Times New Roman"/>
          <w:szCs w:val="24"/>
        </w:rPr>
        <w:t>Section 922(g)(8)(C)(</w:t>
      </w:r>
      <w:proofErr w:type="spellStart"/>
      <w:r w:rsidRPr="00AE76AA">
        <w:rPr>
          <w:rFonts w:eastAsia="Times New Roman" w:cs="Times New Roman"/>
          <w:szCs w:val="24"/>
        </w:rPr>
        <w:t>i</w:t>
      </w:r>
      <w:proofErr w:type="spellEnd"/>
      <w:r w:rsidRPr="00AE76AA">
        <w:rPr>
          <w:rFonts w:eastAsia="Times New Roman" w:cs="Times New Roman"/>
          <w:szCs w:val="24"/>
        </w:rPr>
        <w:t xml:space="preserve">) (prohibiting a person subject to a domestic violence restraining order from possessing a firearm if the order includes a finding that the person represents a credible threat to the physical safety of an intimate partner) survived a facial Second Amendment challenge when the Supreme Court held that, “[w]hen an individual poses a clear threat of physical violence to another, the threatening individual may be disarmed.” </w:t>
      </w:r>
      <w:r w:rsidRPr="00AE76AA">
        <w:rPr>
          <w:rFonts w:eastAsia="Times New Roman" w:cs="Times New Roman"/>
          <w:i/>
          <w:iCs/>
          <w:szCs w:val="24"/>
        </w:rPr>
        <w:t>United States v. Rahimi</w:t>
      </w:r>
      <w:r w:rsidRPr="00AE76AA">
        <w:rPr>
          <w:rFonts w:eastAsia="Times New Roman" w:cs="Times New Roman"/>
          <w:szCs w:val="24"/>
        </w:rPr>
        <w:t xml:space="preserve">, 602 U.S. __, 144 S. Ct. 1889, 1896-902 (2024) (reiterating that the government need only provide a “historical </w:t>
      </w:r>
      <w:r w:rsidRPr="00AE76AA">
        <w:rPr>
          <w:rFonts w:eastAsia="Times New Roman" w:cs="Times New Roman"/>
          <w:i/>
          <w:iCs/>
          <w:szCs w:val="24"/>
        </w:rPr>
        <w:t>analogue</w:t>
      </w:r>
      <w:r w:rsidRPr="00AE76AA">
        <w:rPr>
          <w:rFonts w:eastAsia="Times New Roman" w:cs="Times New Roman"/>
          <w:szCs w:val="24"/>
        </w:rPr>
        <w:t xml:space="preserve">, not a historical </w:t>
      </w:r>
      <w:r w:rsidRPr="00AE76AA">
        <w:rPr>
          <w:rFonts w:eastAsia="Times New Roman" w:cs="Times New Roman"/>
          <w:i/>
          <w:iCs/>
          <w:szCs w:val="24"/>
        </w:rPr>
        <w:t>twin</w:t>
      </w:r>
      <w:r w:rsidRPr="00AE76AA">
        <w:rPr>
          <w:rFonts w:eastAsia="Times New Roman" w:cs="Times New Roman"/>
          <w:szCs w:val="24"/>
        </w:rPr>
        <w:t>” to meet its burden of showing that § 922(g)(8)(C)(</w:t>
      </w:r>
      <w:proofErr w:type="spellStart"/>
      <w:r w:rsidRPr="00AE76AA">
        <w:rPr>
          <w:rFonts w:eastAsia="Times New Roman" w:cs="Times New Roman"/>
          <w:szCs w:val="24"/>
        </w:rPr>
        <w:t>i</w:t>
      </w:r>
      <w:proofErr w:type="spellEnd"/>
      <w:r w:rsidRPr="00AE76AA">
        <w:rPr>
          <w:rFonts w:eastAsia="Times New Roman" w:cs="Times New Roman"/>
          <w:szCs w:val="24"/>
        </w:rPr>
        <w:t xml:space="preserve">) is “consistent with the Nation’s historical tradition of firearm regulation” (quoting </w:t>
      </w:r>
      <w:r w:rsidRPr="00AE76AA">
        <w:rPr>
          <w:rFonts w:eastAsia="Times New Roman" w:cs="Times New Roman"/>
          <w:i/>
          <w:iCs/>
          <w:szCs w:val="24"/>
        </w:rPr>
        <w:t xml:space="preserve">N.Y. State Rifle &amp; Pistol </w:t>
      </w:r>
      <w:proofErr w:type="spellStart"/>
      <w:r w:rsidRPr="00AE76AA">
        <w:rPr>
          <w:rFonts w:eastAsia="Times New Roman" w:cs="Times New Roman"/>
          <w:i/>
          <w:iCs/>
          <w:szCs w:val="24"/>
        </w:rPr>
        <w:t>Ass’n</w:t>
      </w:r>
      <w:proofErr w:type="spellEnd"/>
      <w:r w:rsidRPr="00AE76AA">
        <w:rPr>
          <w:rFonts w:eastAsia="Times New Roman" w:cs="Times New Roman"/>
          <w:i/>
          <w:iCs/>
          <w:szCs w:val="24"/>
        </w:rPr>
        <w:t xml:space="preserve"> v. </w:t>
      </w:r>
      <w:proofErr w:type="spellStart"/>
      <w:r w:rsidRPr="00AE76AA">
        <w:rPr>
          <w:rFonts w:eastAsia="Times New Roman" w:cs="Times New Roman"/>
          <w:i/>
          <w:iCs/>
          <w:szCs w:val="24"/>
        </w:rPr>
        <w:t>Bruen</w:t>
      </w:r>
      <w:proofErr w:type="spellEnd"/>
      <w:r w:rsidRPr="00AE76AA">
        <w:rPr>
          <w:rFonts w:eastAsia="Times New Roman" w:cs="Times New Roman"/>
          <w:szCs w:val="24"/>
        </w:rPr>
        <w:t>, 597 U.S. 1, 24, 30 (2022))).</w:t>
      </w:r>
    </w:p>
    <w:p w14:paraId="667839F7" w14:textId="77777777" w:rsidR="009940D5" w:rsidRPr="009940D5" w:rsidRDefault="009940D5" w:rsidP="009940D5">
      <w:pPr>
        <w:rPr>
          <w:rFonts w:eastAsia="Times New Roman" w:cs="Times New Roman"/>
          <w:szCs w:val="24"/>
        </w:rPr>
      </w:pPr>
    </w:p>
    <w:p w14:paraId="2D54A1C8" w14:textId="66F30984" w:rsidR="009940D5" w:rsidRPr="009940D5" w:rsidRDefault="009940D5" w:rsidP="009940D5">
      <w:pPr>
        <w:spacing w:line="275" w:lineRule="auto"/>
        <w:jc w:val="right"/>
        <w:rPr>
          <w:rFonts w:eastAsia="Times New Roman" w:cs="Times New Roman"/>
          <w:i/>
          <w:color w:val="000000"/>
          <w:szCs w:val="24"/>
        </w:rPr>
      </w:pPr>
      <w:r w:rsidRPr="009940D5">
        <w:rPr>
          <w:rFonts w:eastAsia="Times New Roman" w:cs="Times New Roman"/>
          <w:i/>
          <w:color w:val="000000"/>
          <w:szCs w:val="24"/>
        </w:rPr>
        <w:t xml:space="preserve">Revised </w:t>
      </w:r>
      <w:r w:rsidR="00A52A1B">
        <w:rPr>
          <w:rFonts w:eastAsia="Times New Roman" w:cs="Times New Roman"/>
          <w:i/>
          <w:color w:val="000000"/>
          <w:szCs w:val="24"/>
        </w:rPr>
        <w:t>September 2024</w:t>
      </w:r>
    </w:p>
    <w:p w14:paraId="0ACE18C0" w14:textId="1705CB1D" w:rsidR="00C97E04" w:rsidRPr="009940D5" w:rsidRDefault="00C97E04" w:rsidP="009940D5"/>
    <w:sectPr w:rsidR="00C97E04" w:rsidRPr="00994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16cid:durableId="201275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085"/>
    <w:rsid w:val="00057C6F"/>
    <w:rsid w:val="00061C42"/>
    <w:rsid w:val="00067581"/>
    <w:rsid w:val="00081D40"/>
    <w:rsid w:val="000962BD"/>
    <w:rsid w:val="000C0753"/>
    <w:rsid w:val="000C374B"/>
    <w:rsid w:val="000C6EEA"/>
    <w:rsid w:val="000E46DD"/>
    <w:rsid w:val="00115880"/>
    <w:rsid w:val="001170D8"/>
    <w:rsid w:val="00136279"/>
    <w:rsid w:val="00156233"/>
    <w:rsid w:val="00156526"/>
    <w:rsid w:val="0019527A"/>
    <w:rsid w:val="001A0B87"/>
    <w:rsid w:val="001B4048"/>
    <w:rsid w:val="001C162D"/>
    <w:rsid w:val="001D0020"/>
    <w:rsid w:val="001D1F41"/>
    <w:rsid w:val="00220C16"/>
    <w:rsid w:val="00226C52"/>
    <w:rsid w:val="00251B8E"/>
    <w:rsid w:val="002810F9"/>
    <w:rsid w:val="00292D67"/>
    <w:rsid w:val="00294291"/>
    <w:rsid w:val="002A23F9"/>
    <w:rsid w:val="002C3980"/>
    <w:rsid w:val="002D2353"/>
    <w:rsid w:val="00311B89"/>
    <w:rsid w:val="00385EAC"/>
    <w:rsid w:val="00392DA5"/>
    <w:rsid w:val="003A725E"/>
    <w:rsid w:val="003B4349"/>
    <w:rsid w:val="003D3221"/>
    <w:rsid w:val="003E3B95"/>
    <w:rsid w:val="003F44F6"/>
    <w:rsid w:val="00401002"/>
    <w:rsid w:val="00412CD5"/>
    <w:rsid w:val="00420260"/>
    <w:rsid w:val="004232A7"/>
    <w:rsid w:val="00443346"/>
    <w:rsid w:val="00443FE7"/>
    <w:rsid w:val="004A2CFB"/>
    <w:rsid w:val="004B5F30"/>
    <w:rsid w:val="004D1662"/>
    <w:rsid w:val="004E4259"/>
    <w:rsid w:val="00542361"/>
    <w:rsid w:val="00550ED2"/>
    <w:rsid w:val="005A70E5"/>
    <w:rsid w:val="005A7428"/>
    <w:rsid w:val="005D7F8A"/>
    <w:rsid w:val="00611990"/>
    <w:rsid w:val="00623212"/>
    <w:rsid w:val="00646A26"/>
    <w:rsid w:val="00666C6F"/>
    <w:rsid w:val="006752C5"/>
    <w:rsid w:val="00675651"/>
    <w:rsid w:val="006B3C0B"/>
    <w:rsid w:val="006C06EF"/>
    <w:rsid w:val="006E4558"/>
    <w:rsid w:val="006E580B"/>
    <w:rsid w:val="007008EB"/>
    <w:rsid w:val="007437A7"/>
    <w:rsid w:val="00755375"/>
    <w:rsid w:val="0075689F"/>
    <w:rsid w:val="00765755"/>
    <w:rsid w:val="00777E91"/>
    <w:rsid w:val="007847F9"/>
    <w:rsid w:val="007A1B33"/>
    <w:rsid w:val="007C6517"/>
    <w:rsid w:val="007D1A93"/>
    <w:rsid w:val="007D3281"/>
    <w:rsid w:val="007E1171"/>
    <w:rsid w:val="007E2515"/>
    <w:rsid w:val="007E6330"/>
    <w:rsid w:val="007E7D79"/>
    <w:rsid w:val="00812338"/>
    <w:rsid w:val="00813014"/>
    <w:rsid w:val="00833FBC"/>
    <w:rsid w:val="00850868"/>
    <w:rsid w:val="00890E7A"/>
    <w:rsid w:val="008962A3"/>
    <w:rsid w:val="008B4376"/>
    <w:rsid w:val="008B6CE7"/>
    <w:rsid w:val="008D6F91"/>
    <w:rsid w:val="008E0DF1"/>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D0413"/>
    <w:rsid w:val="009F0A7C"/>
    <w:rsid w:val="009F5ED7"/>
    <w:rsid w:val="00A52A1B"/>
    <w:rsid w:val="00A64334"/>
    <w:rsid w:val="00A67152"/>
    <w:rsid w:val="00A93699"/>
    <w:rsid w:val="00AA2B06"/>
    <w:rsid w:val="00AE0152"/>
    <w:rsid w:val="00AE279C"/>
    <w:rsid w:val="00AE2FCD"/>
    <w:rsid w:val="00AE76AA"/>
    <w:rsid w:val="00AF516D"/>
    <w:rsid w:val="00B0682D"/>
    <w:rsid w:val="00B1505D"/>
    <w:rsid w:val="00B21672"/>
    <w:rsid w:val="00B43CDA"/>
    <w:rsid w:val="00B451BD"/>
    <w:rsid w:val="00B46909"/>
    <w:rsid w:val="00B84EB9"/>
    <w:rsid w:val="00B961AC"/>
    <w:rsid w:val="00BA3B85"/>
    <w:rsid w:val="00BD1E72"/>
    <w:rsid w:val="00BE1BC9"/>
    <w:rsid w:val="00C3129B"/>
    <w:rsid w:val="00C53BB2"/>
    <w:rsid w:val="00C75965"/>
    <w:rsid w:val="00C97840"/>
    <w:rsid w:val="00C97E04"/>
    <w:rsid w:val="00CB6ACA"/>
    <w:rsid w:val="00CF41C5"/>
    <w:rsid w:val="00D0111A"/>
    <w:rsid w:val="00D0777F"/>
    <w:rsid w:val="00D56222"/>
    <w:rsid w:val="00D73064"/>
    <w:rsid w:val="00D97F48"/>
    <w:rsid w:val="00DA76C1"/>
    <w:rsid w:val="00DC38EF"/>
    <w:rsid w:val="00DE0E57"/>
    <w:rsid w:val="00DE3F24"/>
    <w:rsid w:val="00DF451A"/>
    <w:rsid w:val="00E010CD"/>
    <w:rsid w:val="00E04F77"/>
    <w:rsid w:val="00E56A96"/>
    <w:rsid w:val="00E90670"/>
    <w:rsid w:val="00EA658F"/>
    <w:rsid w:val="00EA72FC"/>
    <w:rsid w:val="00EB0197"/>
    <w:rsid w:val="00EB427D"/>
    <w:rsid w:val="00EB6AE0"/>
    <w:rsid w:val="00EC15D6"/>
    <w:rsid w:val="00EE714D"/>
    <w:rsid w:val="00F120A5"/>
    <w:rsid w:val="00F85877"/>
    <w:rsid w:val="00F919A4"/>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A70E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7</cp:revision>
  <dcterms:created xsi:type="dcterms:W3CDTF">2022-05-19T19:27:00Z</dcterms:created>
  <dcterms:modified xsi:type="dcterms:W3CDTF">2024-10-30T16:32:00Z</dcterms:modified>
</cp:coreProperties>
</file>