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B25E" w14:textId="1FE80BD3" w:rsidR="00F7390C" w:rsidRDefault="00F7390C" w:rsidP="00F02246">
      <w:pPr>
        <w:jc w:val="center"/>
        <w:rPr>
          <w:rFonts w:cs="Times New Roman"/>
          <w:b/>
          <w:bCs/>
          <w:szCs w:val="24"/>
        </w:rPr>
      </w:pPr>
      <w:bookmarkStart w:id="0" w:name="_Toc73698677"/>
      <w:bookmarkStart w:id="1" w:name="_Toc83310736"/>
      <w:bookmarkStart w:id="2" w:name="_Toc83362532"/>
      <w:bookmarkStart w:id="3" w:name="_Toc83362941"/>
      <w:bookmarkStart w:id="4" w:name="_Toc90309999"/>
      <w:bookmarkStart w:id="5" w:name="_Toc90389857"/>
      <w:bookmarkStart w:id="6" w:name="_Toc90860437"/>
      <w:r w:rsidRPr="00981B40">
        <w:rPr>
          <w:rFonts w:cs="Times New Roman"/>
          <w:b/>
          <w:bCs/>
          <w:szCs w:val="24"/>
        </w:rPr>
        <w:t>14.16 Firearms—</w:t>
      </w:r>
      <w:r w:rsidR="00BF552A" w:rsidRPr="00BF552A">
        <w:rPr>
          <w:rFonts w:cs="Times New Roman"/>
          <w:b/>
          <w:bCs/>
          <w:szCs w:val="24"/>
        </w:rPr>
        <w:t>Armed Career Criminal Act (18 U.S.C. § 924(e))</w:t>
      </w:r>
      <w:bookmarkEnd w:id="0"/>
      <w:bookmarkEnd w:id="1"/>
      <w:bookmarkEnd w:id="2"/>
      <w:bookmarkEnd w:id="3"/>
      <w:bookmarkEnd w:id="4"/>
      <w:bookmarkEnd w:id="5"/>
      <w:bookmarkEnd w:id="6"/>
    </w:p>
    <w:p w14:paraId="1155D7C0" w14:textId="77777777" w:rsidR="00F02246" w:rsidRPr="00981B40" w:rsidRDefault="00F02246" w:rsidP="00F02246">
      <w:pPr>
        <w:jc w:val="center"/>
        <w:rPr>
          <w:rFonts w:eastAsia="Times New Roman" w:cs="Times New Roman"/>
          <w:szCs w:val="24"/>
        </w:rPr>
      </w:pPr>
    </w:p>
    <w:p w14:paraId="5B35E12F" w14:textId="24A97639" w:rsidR="00BF552A" w:rsidRDefault="00F7390C" w:rsidP="00283E87">
      <w:pPr>
        <w:ind w:right="-180"/>
        <w:jc w:val="center"/>
        <w:rPr>
          <w:rFonts w:eastAsia="Times New Roman" w:cs="Times New Roman"/>
          <w:b/>
          <w:szCs w:val="24"/>
        </w:rPr>
      </w:pPr>
      <w:r w:rsidRPr="00981B40">
        <w:rPr>
          <w:rFonts w:eastAsia="Times New Roman" w:cs="Times New Roman"/>
          <w:b/>
          <w:szCs w:val="24"/>
        </w:rPr>
        <w:t>Comment</w:t>
      </w:r>
    </w:p>
    <w:p w14:paraId="5F37D05C" w14:textId="77777777" w:rsidR="00BF552A" w:rsidRPr="00BF552A" w:rsidRDefault="00BF552A" w:rsidP="00283E87">
      <w:pPr>
        <w:ind w:right="-180"/>
        <w:jc w:val="center"/>
        <w:rPr>
          <w:rFonts w:eastAsia="Times New Roman" w:cs="Times New Roman"/>
          <w:b/>
          <w:szCs w:val="24"/>
        </w:rPr>
      </w:pPr>
    </w:p>
    <w:p w14:paraId="385AE156" w14:textId="04664483" w:rsidR="00BF552A" w:rsidRPr="009D187C" w:rsidRDefault="00BF552A" w:rsidP="00283E87">
      <w:pPr>
        <w:pStyle w:val="BodyText"/>
        <w:kinsoku w:val="0"/>
        <w:overflowPunct w:val="0"/>
        <w:spacing w:after="0"/>
        <w:ind w:firstLine="720"/>
        <w:rPr>
          <w:rFonts w:cs="Times New Roman"/>
          <w:i/>
          <w:iCs/>
          <w:szCs w:val="24"/>
        </w:rPr>
      </w:pP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Armed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Career Criminal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Act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(“ACCA”),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18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U.S.C.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§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924(e)(1),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provides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that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defendant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who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violates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18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U.S.C.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§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922(g)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and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has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“three</w:t>
      </w:r>
      <w:r w:rsidRPr="009D187C">
        <w:rPr>
          <w:rFonts w:cs="Times New Roman"/>
          <w:spacing w:val="-5"/>
          <w:szCs w:val="24"/>
        </w:rPr>
        <w:t xml:space="preserve"> </w:t>
      </w:r>
      <w:r w:rsidRPr="009D187C">
        <w:rPr>
          <w:rFonts w:cs="Times New Roman"/>
          <w:szCs w:val="24"/>
        </w:rPr>
        <w:t>previous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convictions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by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any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court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referred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to in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section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922(g)(1)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of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this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title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for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violent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felony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or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serious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drug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offense,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or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both,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committed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on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occasions</w:t>
      </w:r>
      <w:r w:rsidRPr="009D187C">
        <w:rPr>
          <w:rFonts w:cs="Times New Roman"/>
          <w:spacing w:val="3"/>
          <w:szCs w:val="24"/>
        </w:rPr>
        <w:t xml:space="preserve"> </w:t>
      </w:r>
      <w:r w:rsidRPr="009D187C">
        <w:rPr>
          <w:rFonts w:cs="Times New Roman"/>
          <w:szCs w:val="24"/>
        </w:rPr>
        <w:t>different</w:t>
      </w:r>
      <w:r w:rsidRPr="009D187C">
        <w:rPr>
          <w:rFonts w:cs="Times New Roman"/>
          <w:spacing w:val="3"/>
          <w:szCs w:val="24"/>
        </w:rPr>
        <w:t xml:space="preserve"> </w:t>
      </w:r>
      <w:r w:rsidRPr="009D187C">
        <w:rPr>
          <w:rFonts w:cs="Times New Roman"/>
          <w:szCs w:val="24"/>
        </w:rPr>
        <w:t>from one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another,” is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subject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to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fifteen-year</w:t>
      </w:r>
      <w:r w:rsidRPr="009D187C">
        <w:rPr>
          <w:rFonts w:cs="Times New Roman"/>
          <w:spacing w:val="-5"/>
          <w:szCs w:val="24"/>
        </w:rPr>
        <w:t xml:space="preserve"> </w:t>
      </w:r>
      <w:r w:rsidRPr="009D187C">
        <w:rPr>
          <w:rFonts w:cs="Times New Roman"/>
          <w:szCs w:val="24"/>
        </w:rPr>
        <w:t>mandatory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minimum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sentence.</w:t>
      </w:r>
      <w:r w:rsidR="00283E87" w:rsidRPr="009D187C">
        <w:rPr>
          <w:rFonts w:cs="Times New Roman"/>
          <w:spacing w:val="58"/>
          <w:szCs w:val="24"/>
        </w:rPr>
        <w:t xml:space="preserve"> </w:t>
      </w:r>
      <w:r w:rsidRPr="009D187C">
        <w:rPr>
          <w:rFonts w:cs="Times New Roman"/>
          <w:szCs w:val="24"/>
        </w:rPr>
        <w:t>In</w:t>
      </w:r>
      <w:r w:rsidRPr="009D187C">
        <w:rPr>
          <w:rFonts w:cs="Times New Roman"/>
          <w:spacing w:val="3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Erlinger</w:t>
      </w:r>
      <w:r w:rsidRPr="009D187C">
        <w:rPr>
          <w:rFonts w:cs="Times New Roman"/>
          <w:i/>
          <w:iCs/>
          <w:spacing w:val="-4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v.</w:t>
      </w:r>
      <w:r w:rsidRPr="009D187C">
        <w:rPr>
          <w:rFonts w:cs="Times New Roman"/>
          <w:i/>
          <w:iCs/>
          <w:spacing w:val="-2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United</w:t>
      </w:r>
      <w:r w:rsidRPr="009D187C">
        <w:rPr>
          <w:rFonts w:cs="Times New Roman"/>
          <w:i/>
          <w:iCs/>
          <w:spacing w:val="-4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States</w:t>
      </w:r>
      <w:r w:rsidRPr="009D187C">
        <w:rPr>
          <w:rFonts w:cs="Times New Roman"/>
          <w:szCs w:val="24"/>
        </w:rPr>
        <w:t>,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602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U.S.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821,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835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(2024),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Supreme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Court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held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that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defendant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charged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with an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enhanced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mandatory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minimum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under 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ACCA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is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constitutionally “entitled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to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have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a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jury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resolve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ACCA’s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occasions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inquiry unanimously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and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beyond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reasonable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doubt.”</w:t>
      </w:r>
      <w:r w:rsidR="00283E87" w:rsidRPr="009D187C">
        <w:rPr>
          <w:rFonts w:cs="Times New Roman"/>
          <w:spacing w:val="56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Court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relied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on</w:t>
      </w:r>
      <w:r w:rsidRPr="009D187C">
        <w:rPr>
          <w:rFonts w:cs="Times New Roman"/>
          <w:spacing w:val="7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Wooden</w:t>
      </w:r>
      <w:r w:rsidRPr="009D187C">
        <w:rPr>
          <w:rFonts w:cs="Times New Roman"/>
          <w:i/>
          <w:iCs/>
          <w:spacing w:val="-4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v.</w:t>
      </w:r>
      <w:r w:rsidRPr="009D187C">
        <w:rPr>
          <w:rFonts w:cs="Times New Roman"/>
          <w:i/>
          <w:iCs/>
          <w:spacing w:val="-2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United</w:t>
      </w:r>
      <w:r w:rsidRPr="009D187C">
        <w:rPr>
          <w:rFonts w:cs="Times New Roman"/>
          <w:i/>
          <w:iCs/>
          <w:spacing w:val="-2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States</w:t>
      </w:r>
      <w:r w:rsidRPr="009D187C">
        <w:rPr>
          <w:rFonts w:cs="Times New Roman"/>
          <w:szCs w:val="24"/>
        </w:rPr>
        <w:t>, in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which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Supreme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Court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previously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held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that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“deciding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whether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those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past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offenses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occurred on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three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or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more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different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occasions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is a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fact-laden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task”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and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involves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questions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such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as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“Were</w:t>
      </w:r>
      <w:r w:rsidRPr="009D187C">
        <w:rPr>
          <w:rFonts w:cs="Times New Roman"/>
          <w:spacing w:val="-5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crimes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‘committed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close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in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time’?</w:t>
      </w:r>
      <w:r w:rsidRPr="009D187C">
        <w:rPr>
          <w:rFonts w:cs="Times New Roman"/>
          <w:spacing w:val="58"/>
          <w:szCs w:val="24"/>
        </w:rPr>
        <w:t xml:space="preserve"> </w:t>
      </w:r>
      <w:r w:rsidRPr="009D187C">
        <w:rPr>
          <w:rFonts w:cs="Times New Roman"/>
          <w:szCs w:val="24"/>
        </w:rPr>
        <w:t>How about the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‘[p]</w:t>
      </w:r>
      <w:proofErr w:type="spellStart"/>
      <w:r w:rsidRPr="009D187C">
        <w:rPr>
          <w:rFonts w:cs="Times New Roman"/>
          <w:szCs w:val="24"/>
        </w:rPr>
        <w:t>roximity</w:t>
      </w:r>
      <w:proofErr w:type="spellEnd"/>
      <w:r w:rsidRPr="009D187C">
        <w:rPr>
          <w:rFonts w:cs="Times New Roman"/>
          <w:szCs w:val="24"/>
        </w:rPr>
        <w:t>’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of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their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‘location[s]’?</w:t>
      </w:r>
      <w:r w:rsidRPr="009D187C">
        <w:rPr>
          <w:rFonts w:cs="Times New Roman"/>
          <w:spacing w:val="61"/>
          <w:szCs w:val="24"/>
        </w:rPr>
        <w:t xml:space="preserve"> </w:t>
      </w:r>
      <w:r w:rsidRPr="009D187C">
        <w:rPr>
          <w:rFonts w:cs="Times New Roman"/>
          <w:szCs w:val="24"/>
        </w:rPr>
        <w:t>Were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offenses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‘similar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or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intertwined’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in purpose and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character?”</w:t>
      </w:r>
      <w:r w:rsidRPr="009D187C">
        <w:rPr>
          <w:rFonts w:cs="Times New Roman"/>
          <w:spacing w:val="65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Erlinger</w:t>
      </w:r>
      <w:r w:rsidRPr="009D187C">
        <w:rPr>
          <w:rFonts w:cs="Times New Roman"/>
          <w:szCs w:val="24"/>
        </w:rPr>
        <w:t>,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602 U.S.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834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(quoting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Wooden</w:t>
      </w:r>
      <w:r w:rsidRPr="009D187C">
        <w:rPr>
          <w:rFonts w:cs="Times New Roman"/>
          <w:i/>
          <w:iCs/>
          <w:spacing w:val="-4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v.</w:t>
      </w:r>
      <w:r w:rsidRPr="009D187C">
        <w:rPr>
          <w:rFonts w:cs="Times New Roman"/>
          <w:i/>
          <w:iCs/>
          <w:spacing w:val="-2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United</w:t>
      </w:r>
      <w:r w:rsidRPr="009D187C">
        <w:rPr>
          <w:rFonts w:cs="Times New Roman"/>
          <w:i/>
          <w:iCs/>
          <w:spacing w:val="-2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States</w:t>
      </w:r>
      <w:r w:rsidRPr="009D187C">
        <w:rPr>
          <w:rFonts w:cs="Times New Roman"/>
          <w:szCs w:val="24"/>
        </w:rPr>
        <w:t>, 595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U.S.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360,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369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(2022)).</w:t>
      </w:r>
    </w:p>
    <w:p w14:paraId="118383FA" w14:textId="0A0B22A6" w:rsidR="00BF552A" w:rsidRPr="009D187C" w:rsidRDefault="00BF552A" w:rsidP="00283E87">
      <w:pPr>
        <w:kinsoku w:val="0"/>
        <w:overflowPunct w:val="0"/>
        <w:autoSpaceDE w:val="0"/>
        <w:autoSpaceDN w:val="0"/>
        <w:adjustRightInd w:val="0"/>
        <w:ind w:right="34" w:firstLine="720"/>
        <w:rPr>
          <w:rFonts w:cs="Times New Roman"/>
          <w:szCs w:val="24"/>
        </w:rPr>
      </w:pPr>
      <w:r w:rsidRPr="009D187C">
        <w:rPr>
          <w:rFonts w:cs="Times New Roman"/>
          <w:szCs w:val="24"/>
        </w:rPr>
        <w:t>Considering the “multi-factored” nature of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separate occasions inquiry, the trial court should instruct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jury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to consider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timing of the offenses, the proximity of each offense location, and 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character and relationship of 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offenses.</w:t>
      </w:r>
      <w:r w:rsidR="00283E87" w:rsidRPr="009D187C">
        <w:rPr>
          <w:rFonts w:cs="Times New Roman"/>
          <w:spacing w:val="73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Wooden</w:t>
      </w:r>
      <w:r w:rsidRPr="009D187C">
        <w:rPr>
          <w:rFonts w:cs="Times New Roman"/>
          <w:szCs w:val="24"/>
        </w:rPr>
        <w:t>, 595 U.S. at 369.</w:t>
      </w:r>
      <w:r w:rsidRPr="009D187C">
        <w:rPr>
          <w:rFonts w:cs="Times New Roman"/>
          <w:spacing w:val="62"/>
          <w:szCs w:val="24"/>
        </w:rPr>
        <w:t xml:space="preserve"> </w:t>
      </w:r>
      <w:r w:rsidRPr="009D187C">
        <w:rPr>
          <w:rFonts w:cs="Times New Roman"/>
          <w:szCs w:val="24"/>
        </w:rPr>
        <w:t>As part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of its instruction, the trial court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could also advise the jury that</w:t>
      </w:r>
    </w:p>
    <w:p w14:paraId="126CF751" w14:textId="77777777" w:rsidR="00283E87" w:rsidRPr="009D187C" w:rsidRDefault="00283E87" w:rsidP="00283E87">
      <w:pPr>
        <w:kinsoku w:val="0"/>
        <w:overflowPunct w:val="0"/>
        <w:autoSpaceDE w:val="0"/>
        <w:autoSpaceDN w:val="0"/>
        <w:adjustRightInd w:val="0"/>
        <w:ind w:right="34" w:firstLine="720"/>
        <w:rPr>
          <w:rFonts w:cs="Times New Roman"/>
          <w:szCs w:val="24"/>
        </w:rPr>
      </w:pPr>
    </w:p>
    <w:p w14:paraId="13143834" w14:textId="5E99DDB9" w:rsidR="00BF552A" w:rsidRPr="009D187C" w:rsidRDefault="00BF552A" w:rsidP="00283E87">
      <w:pPr>
        <w:kinsoku w:val="0"/>
        <w:overflowPunct w:val="0"/>
        <w:autoSpaceDE w:val="0"/>
        <w:autoSpaceDN w:val="0"/>
        <w:adjustRightInd w:val="0"/>
        <w:ind w:left="720" w:right="765"/>
        <w:rPr>
          <w:rFonts w:cs="Times New Roman"/>
          <w:szCs w:val="24"/>
        </w:rPr>
      </w:pPr>
      <w:r w:rsidRPr="009D187C">
        <w:rPr>
          <w:rFonts w:cs="Times New Roman"/>
          <w:szCs w:val="24"/>
        </w:rPr>
        <w:t>Offenses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committed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close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in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time,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in an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uninterrupted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course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of conduct, will often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count as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part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of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 xml:space="preserve">one </w:t>
      </w:r>
      <w:proofErr w:type="gramStart"/>
      <w:r w:rsidRPr="009D187C">
        <w:rPr>
          <w:rFonts w:cs="Times New Roman"/>
          <w:szCs w:val="24"/>
        </w:rPr>
        <w:t>occasion;</w:t>
      </w:r>
      <w:proofErr w:type="gramEnd"/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not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so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offenses separated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by substantial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gaps in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time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or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significant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intervening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events.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Proximity of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location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is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also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important; the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further away crimes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take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place,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less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likely they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are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components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of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 same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criminal event. And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character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and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relationship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of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offenses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may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make a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difference: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more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similar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or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intertwined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conduct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giving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rise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to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 offenses—the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more,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for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example,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they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share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a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common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scheme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or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purpose—the more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apt they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are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to compose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one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occasion.</w:t>
      </w:r>
    </w:p>
    <w:p w14:paraId="530C7C47" w14:textId="77777777" w:rsidR="00BF552A" w:rsidRPr="009D187C" w:rsidRDefault="00BF552A" w:rsidP="00283E87">
      <w:pPr>
        <w:kinsoku w:val="0"/>
        <w:overflowPunct w:val="0"/>
        <w:autoSpaceDE w:val="0"/>
        <w:autoSpaceDN w:val="0"/>
        <w:adjustRightInd w:val="0"/>
        <w:ind w:left="720" w:right="765"/>
        <w:rPr>
          <w:rFonts w:cs="Times New Roman"/>
          <w:szCs w:val="24"/>
        </w:rPr>
      </w:pPr>
    </w:p>
    <w:p w14:paraId="022A81EF" w14:textId="77777777" w:rsidR="00BF552A" w:rsidRPr="009D187C" w:rsidRDefault="00BF552A" w:rsidP="00283E87">
      <w:pPr>
        <w:kinsoku w:val="0"/>
        <w:overflowPunct w:val="0"/>
        <w:autoSpaceDE w:val="0"/>
        <w:autoSpaceDN w:val="0"/>
        <w:adjustRightInd w:val="0"/>
        <w:rPr>
          <w:rFonts w:cs="Times New Roman"/>
          <w:i/>
          <w:iCs/>
          <w:spacing w:val="-4"/>
          <w:szCs w:val="24"/>
        </w:rPr>
      </w:pPr>
      <w:r w:rsidRPr="009D187C">
        <w:rPr>
          <w:rFonts w:cs="Times New Roman"/>
          <w:i/>
          <w:iCs/>
          <w:spacing w:val="-4"/>
          <w:szCs w:val="24"/>
        </w:rPr>
        <w:t>Id.</w:t>
      </w:r>
    </w:p>
    <w:p w14:paraId="6FF25803" w14:textId="26F62E1C" w:rsidR="00F7390C" w:rsidRPr="00981B40" w:rsidRDefault="00F7390C" w:rsidP="00283E87">
      <w:pPr>
        <w:jc w:val="right"/>
        <w:rPr>
          <w:rFonts w:eastAsia="Times New Roman" w:cs="Times New Roman"/>
          <w:szCs w:val="24"/>
        </w:rPr>
      </w:pPr>
      <w:r w:rsidRPr="00981B40">
        <w:rPr>
          <w:rFonts w:eastAsia="Times New Roman" w:cs="Times New Roman"/>
          <w:i/>
          <w:szCs w:val="24"/>
        </w:rPr>
        <w:t xml:space="preserve">Revised </w:t>
      </w:r>
      <w:r w:rsidR="00BF552A">
        <w:rPr>
          <w:rFonts w:eastAsia="Times New Roman" w:cs="Times New Roman"/>
          <w:i/>
          <w:szCs w:val="24"/>
        </w:rPr>
        <w:t>June 2025</w:t>
      </w:r>
    </w:p>
    <w:p w14:paraId="0ACE18C0" w14:textId="1705CB1D" w:rsidR="00C97E04" w:rsidRPr="00981B40" w:rsidRDefault="00C97E04" w:rsidP="00283E87"/>
    <w:sectPr w:rsidR="00C97E04" w:rsidRPr="00981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 w16cid:durableId="201275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47FEE"/>
    <w:rsid w:val="00057085"/>
    <w:rsid w:val="00057C6F"/>
    <w:rsid w:val="00061C42"/>
    <w:rsid w:val="00067581"/>
    <w:rsid w:val="00081D40"/>
    <w:rsid w:val="000962BD"/>
    <w:rsid w:val="000C0753"/>
    <w:rsid w:val="000C374B"/>
    <w:rsid w:val="000C6EEA"/>
    <w:rsid w:val="000E46DD"/>
    <w:rsid w:val="00110AA0"/>
    <w:rsid w:val="00115880"/>
    <w:rsid w:val="001170D8"/>
    <w:rsid w:val="00136279"/>
    <w:rsid w:val="00156233"/>
    <w:rsid w:val="00156526"/>
    <w:rsid w:val="0019527A"/>
    <w:rsid w:val="001A0B87"/>
    <w:rsid w:val="001B4048"/>
    <w:rsid w:val="001C162D"/>
    <w:rsid w:val="001D0020"/>
    <w:rsid w:val="001D1F41"/>
    <w:rsid w:val="002150B6"/>
    <w:rsid w:val="00220C16"/>
    <w:rsid w:val="00226C52"/>
    <w:rsid w:val="00247C69"/>
    <w:rsid w:val="00251B8E"/>
    <w:rsid w:val="002810F9"/>
    <w:rsid w:val="00283E87"/>
    <w:rsid w:val="00292D67"/>
    <w:rsid w:val="00294291"/>
    <w:rsid w:val="002A23F9"/>
    <w:rsid w:val="002B0558"/>
    <w:rsid w:val="002C3980"/>
    <w:rsid w:val="002D2353"/>
    <w:rsid w:val="00311B89"/>
    <w:rsid w:val="00385EAC"/>
    <w:rsid w:val="00392DA5"/>
    <w:rsid w:val="003A725E"/>
    <w:rsid w:val="003B4349"/>
    <w:rsid w:val="003B4E54"/>
    <w:rsid w:val="003D3221"/>
    <w:rsid w:val="003E3B95"/>
    <w:rsid w:val="003F44F6"/>
    <w:rsid w:val="00401002"/>
    <w:rsid w:val="00412CD5"/>
    <w:rsid w:val="00420260"/>
    <w:rsid w:val="004232A7"/>
    <w:rsid w:val="00443346"/>
    <w:rsid w:val="00443FE7"/>
    <w:rsid w:val="004A2CFB"/>
    <w:rsid w:val="004B5F30"/>
    <w:rsid w:val="004D1662"/>
    <w:rsid w:val="004E4259"/>
    <w:rsid w:val="00503131"/>
    <w:rsid w:val="00542361"/>
    <w:rsid w:val="00543A34"/>
    <w:rsid w:val="00550ED2"/>
    <w:rsid w:val="005A6147"/>
    <w:rsid w:val="005A7428"/>
    <w:rsid w:val="005D7F8A"/>
    <w:rsid w:val="00611990"/>
    <w:rsid w:val="00623212"/>
    <w:rsid w:val="00646A26"/>
    <w:rsid w:val="00666C6F"/>
    <w:rsid w:val="006752C5"/>
    <w:rsid w:val="00675651"/>
    <w:rsid w:val="006B3C0B"/>
    <w:rsid w:val="006B58B0"/>
    <w:rsid w:val="006C06EF"/>
    <w:rsid w:val="006E4558"/>
    <w:rsid w:val="006E580B"/>
    <w:rsid w:val="007008EB"/>
    <w:rsid w:val="00704F55"/>
    <w:rsid w:val="00714B4F"/>
    <w:rsid w:val="0071558A"/>
    <w:rsid w:val="007437A7"/>
    <w:rsid w:val="00755375"/>
    <w:rsid w:val="0075689F"/>
    <w:rsid w:val="00765755"/>
    <w:rsid w:val="00777E91"/>
    <w:rsid w:val="007847F9"/>
    <w:rsid w:val="007A1B33"/>
    <w:rsid w:val="007B5E21"/>
    <w:rsid w:val="007C6517"/>
    <w:rsid w:val="007D1A93"/>
    <w:rsid w:val="007D3281"/>
    <w:rsid w:val="007E1171"/>
    <w:rsid w:val="007E2515"/>
    <w:rsid w:val="007E6330"/>
    <w:rsid w:val="007E7D79"/>
    <w:rsid w:val="00812338"/>
    <w:rsid w:val="00813014"/>
    <w:rsid w:val="00833FBC"/>
    <w:rsid w:val="00850868"/>
    <w:rsid w:val="00890E7A"/>
    <w:rsid w:val="008962A3"/>
    <w:rsid w:val="008B4376"/>
    <w:rsid w:val="008B6CE7"/>
    <w:rsid w:val="008D6F91"/>
    <w:rsid w:val="008E0DF1"/>
    <w:rsid w:val="008E5CC5"/>
    <w:rsid w:val="008F4DD0"/>
    <w:rsid w:val="00905381"/>
    <w:rsid w:val="00906160"/>
    <w:rsid w:val="009131BF"/>
    <w:rsid w:val="00914718"/>
    <w:rsid w:val="00960109"/>
    <w:rsid w:val="00960C76"/>
    <w:rsid w:val="00970FDC"/>
    <w:rsid w:val="00970FFD"/>
    <w:rsid w:val="00981B40"/>
    <w:rsid w:val="00986161"/>
    <w:rsid w:val="009864D4"/>
    <w:rsid w:val="009940D5"/>
    <w:rsid w:val="009947F5"/>
    <w:rsid w:val="009A2700"/>
    <w:rsid w:val="009A4384"/>
    <w:rsid w:val="009A792F"/>
    <w:rsid w:val="009B677D"/>
    <w:rsid w:val="009C0C69"/>
    <w:rsid w:val="009D0413"/>
    <w:rsid w:val="009D187C"/>
    <w:rsid w:val="009F0A7C"/>
    <w:rsid w:val="009F5ED7"/>
    <w:rsid w:val="00A64334"/>
    <w:rsid w:val="00A67152"/>
    <w:rsid w:val="00A75584"/>
    <w:rsid w:val="00A76A6F"/>
    <w:rsid w:val="00AA2B06"/>
    <w:rsid w:val="00AE0152"/>
    <w:rsid w:val="00AE279C"/>
    <w:rsid w:val="00AE2FCD"/>
    <w:rsid w:val="00AF516D"/>
    <w:rsid w:val="00B0682D"/>
    <w:rsid w:val="00B1505D"/>
    <w:rsid w:val="00B21672"/>
    <w:rsid w:val="00B43CDA"/>
    <w:rsid w:val="00B451BD"/>
    <w:rsid w:val="00B46909"/>
    <w:rsid w:val="00B84EB9"/>
    <w:rsid w:val="00B961AC"/>
    <w:rsid w:val="00BA3B85"/>
    <w:rsid w:val="00BD1E72"/>
    <w:rsid w:val="00BE1BC9"/>
    <w:rsid w:val="00BF552A"/>
    <w:rsid w:val="00C3129B"/>
    <w:rsid w:val="00C53BB2"/>
    <w:rsid w:val="00C71143"/>
    <w:rsid w:val="00C75965"/>
    <w:rsid w:val="00C97840"/>
    <w:rsid w:val="00C97E04"/>
    <w:rsid w:val="00CB6ACA"/>
    <w:rsid w:val="00CF41C5"/>
    <w:rsid w:val="00D0111A"/>
    <w:rsid w:val="00D0777F"/>
    <w:rsid w:val="00D26E0B"/>
    <w:rsid w:val="00D56222"/>
    <w:rsid w:val="00D56588"/>
    <w:rsid w:val="00D73064"/>
    <w:rsid w:val="00D97F48"/>
    <w:rsid w:val="00DA76C1"/>
    <w:rsid w:val="00DC38EF"/>
    <w:rsid w:val="00DE0E57"/>
    <w:rsid w:val="00DE3F24"/>
    <w:rsid w:val="00DF451A"/>
    <w:rsid w:val="00E010CD"/>
    <w:rsid w:val="00E04F77"/>
    <w:rsid w:val="00E56A96"/>
    <w:rsid w:val="00E90670"/>
    <w:rsid w:val="00EA658F"/>
    <w:rsid w:val="00EA72FC"/>
    <w:rsid w:val="00EB0197"/>
    <w:rsid w:val="00EB427D"/>
    <w:rsid w:val="00EC15D6"/>
    <w:rsid w:val="00EE714D"/>
    <w:rsid w:val="00F02246"/>
    <w:rsid w:val="00F120A5"/>
    <w:rsid w:val="00F56474"/>
    <w:rsid w:val="00F7390C"/>
    <w:rsid w:val="00F85877"/>
    <w:rsid w:val="00F919A4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03131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5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52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Samriddhi Rana</cp:lastModifiedBy>
  <cp:revision>12</cp:revision>
  <dcterms:created xsi:type="dcterms:W3CDTF">2022-08-24T21:47:00Z</dcterms:created>
  <dcterms:modified xsi:type="dcterms:W3CDTF">2025-08-25T20:14:00Z</dcterms:modified>
</cp:coreProperties>
</file>