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085E" w14:textId="77777777" w:rsidR="00C02A50" w:rsidRPr="00C02A50" w:rsidRDefault="00C02A50" w:rsidP="00C02A50">
      <w:pPr>
        <w:autoSpaceDE w:val="0"/>
        <w:autoSpaceDN w:val="0"/>
        <w:adjustRightInd w:val="0"/>
        <w:ind w:left="420" w:hanging="240"/>
        <w:jc w:val="center"/>
        <w:outlineLvl w:val="1"/>
        <w:rPr>
          <w:rFonts w:cs="Times New Roman"/>
          <w:b/>
          <w:bCs/>
          <w:szCs w:val="24"/>
        </w:rPr>
      </w:pPr>
      <w:bookmarkStart w:id="0" w:name="_Toc73698685"/>
      <w:bookmarkStart w:id="1" w:name="_Toc83310744"/>
      <w:bookmarkStart w:id="2" w:name="_Toc83362540"/>
      <w:bookmarkStart w:id="3" w:name="_Toc83362949"/>
      <w:bookmarkStart w:id="4" w:name="_Toc90310007"/>
      <w:bookmarkStart w:id="5" w:name="_Toc90389865"/>
      <w:bookmarkStart w:id="6" w:name="_Toc90860445"/>
      <w:r w:rsidRPr="00C02A50">
        <w:rPr>
          <w:rFonts w:cs="Times New Roman"/>
          <w:b/>
          <w:bCs/>
          <w:szCs w:val="24"/>
        </w:rPr>
        <w:t xml:space="preserve">14.24  </w:t>
      </w:r>
      <w:r w:rsidRPr="00C02A50">
        <w:rPr>
          <w:rFonts w:cs="Times New Roman"/>
          <w:b/>
          <w:bCs/>
          <w:szCs w:val="24"/>
          <w:lang w:val="en-CA"/>
        </w:rPr>
        <w:fldChar w:fldCharType="begin"/>
      </w:r>
      <w:r w:rsidRPr="00C02A50">
        <w:rPr>
          <w:rFonts w:cs="Times New Roman"/>
          <w:b/>
          <w:bCs/>
          <w:szCs w:val="24"/>
          <w:lang w:val="en-CA"/>
        </w:rPr>
        <w:instrText xml:space="preserve"> SEQ CHAPTER \h \r 1</w:instrText>
      </w:r>
      <w:r w:rsidRPr="00C02A50">
        <w:rPr>
          <w:rFonts w:cs="Times New Roman"/>
          <w:b/>
          <w:bCs/>
          <w:szCs w:val="24"/>
          <w:lang w:val="en-CA"/>
        </w:rPr>
        <w:fldChar w:fldCharType="end"/>
      </w:r>
      <w:r w:rsidRPr="00C02A50">
        <w:rPr>
          <w:rFonts w:cs="Times New Roman"/>
          <w:b/>
          <w:bCs/>
          <w:szCs w:val="24"/>
        </w:rPr>
        <w:t xml:space="preserve"> Firearms—Unlawful Possession of Body Armor </w:t>
      </w:r>
    </w:p>
    <w:p w14:paraId="7A94B37E" w14:textId="77777777" w:rsidR="00C02A50" w:rsidRPr="00C02A50" w:rsidRDefault="00C02A50" w:rsidP="00C02A50">
      <w:pPr>
        <w:autoSpaceDE w:val="0"/>
        <w:autoSpaceDN w:val="0"/>
        <w:adjustRightInd w:val="0"/>
        <w:ind w:left="420" w:hanging="240"/>
        <w:jc w:val="center"/>
        <w:outlineLvl w:val="1"/>
        <w:rPr>
          <w:rFonts w:cs="Times New Roman"/>
          <w:b/>
          <w:bCs/>
          <w:szCs w:val="24"/>
        </w:rPr>
      </w:pPr>
      <w:r w:rsidRPr="00C02A50">
        <w:rPr>
          <w:rFonts w:cs="Times New Roman"/>
          <w:b/>
          <w:bCs/>
          <w:szCs w:val="24"/>
        </w:rPr>
        <w:t>(18 U.S.C. § 931(a))</w:t>
      </w:r>
      <w:bookmarkEnd w:id="0"/>
      <w:bookmarkEnd w:id="1"/>
      <w:bookmarkEnd w:id="2"/>
      <w:bookmarkEnd w:id="3"/>
      <w:bookmarkEnd w:id="4"/>
      <w:bookmarkEnd w:id="5"/>
      <w:bookmarkEnd w:id="6"/>
    </w:p>
    <w:p w14:paraId="35B6F591" w14:textId="77777777" w:rsidR="00C02A50" w:rsidRPr="00C02A50" w:rsidRDefault="00C02A50" w:rsidP="00C02A50">
      <w:pPr>
        <w:rPr>
          <w:szCs w:val="24"/>
        </w:rPr>
      </w:pPr>
    </w:p>
    <w:p w14:paraId="46F77AD7" w14:textId="77777777" w:rsidR="00C02A50" w:rsidRPr="00C02A50" w:rsidRDefault="00C02A50" w:rsidP="00C02A50">
      <w:pPr>
        <w:rPr>
          <w:szCs w:val="24"/>
        </w:rPr>
      </w:pPr>
      <w:r w:rsidRPr="00C02A50">
        <w:rPr>
          <w:szCs w:val="24"/>
        </w:rPr>
        <w:tab/>
        <w:t>The defendant is charged in [Count _______ of] the indictment with possessing body armor in violation of Section 931(a) of Title 18 of the United States Code.  For the defendant to be found guilty of that charge, the government must prove each of the following elements beyond a reasonable doubt:</w:t>
      </w:r>
    </w:p>
    <w:p w14:paraId="1F3068AB" w14:textId="77777777" w:rsidR="00C02A50" w:rsidRPr="00C02A50" w:rsidRDefault="00C02A50" w:rsidP="00C02A50">
      <w:pPr>
        <w:rPr>
          <w:szCs w:val="24"/>
        </w:rPr>
      </w:pPr>
    </w:p>
    <w:p w14:paraId="1F2C2471" w14:textId="77777777" w:rsidR="00C02A50" w:rsidRPr="00C02A50" w:rsidRDefault="00C02A50" w:rsidP="00C02A50">
      <w:pPr>
        <w:rPr>
          <w:szCs w:val="24"/>
        </w:rPr>
      </w:pPr>
      <w:r w:rsidRPr="00C02A50">
        <w:rPr>
          <w:szCs w:val="24"/>
        </w:rPr>
        <w:tab/>
        <w:t xml:space="preserve">First, the defendant knowingly possessed body </w:t>
      </w:r>
      <w:proofErr w:type="gramStart"/>
      <w:r w:rsidRPr="00C02A50">
        <w:rPr>
          <w:szCs w:val="24"/>
        </w:rPr>
        <w:t>armor;</w:t>
      </w:r>
      <w:proofErr w:type="gramEnd"/>
    </w:p>
    <w:p w14:paraId="7B7EBEFD" w14:textId="77777777" w:rsidR="00C02A50" w:rsidRPr="00C02A50" w:rsidRDefault="00C02A50" w:rsidP="00C02A50">
      <w:pPr>
        <w:rPr>
          <w:szCs w:val="24"/>
        </w:rPr>
      </w:pPr>
      <w:r w:rsidRPr="00C02A50">
        <w:rPr>
          <w:szCs w:val="24"/>
        </w:rPr>
        <w:tab/>
      </w:r>
      <w:r w:rsidRPr="00C02A50">
        <w:rPr>
          <w:szCs w:val="24"/>
        </w:rPr>
        <w:tab/>
      </w:r>
      <w:r w:rsidRPr="00C02A50">
        <w:rPr>
          <w:szCs w:val="24"/>
        </w:rPr>
        <w:tab/>
      </w:r>
      <w:r w:rsidRPr="00C02A50">
        <w:rPr>
          <w:szCs w:val="24"/>
        </w:rPr>
        <w:tab/>
      </w:r>
      <w:r w:rsidRPr="00C02A50">
        <w:rPr>
          <w:szCs w:val="24"/>
        </w:rPr>
        <w:tab/>
      </w:r>
    </w:p>
    <w:p w14:paraId="4871FC1A" w14:textId="77777777" w:rsidR="00C02A50" w:rsidRPr="00C02A50" w:rsidRDefault="00C02A50" w:rsidP="00C02A50">
      <w:pPr>
        <w:rPr>
          <w:rFonts w:cs="Times New Roman"/>
          <w:szCs w:val="24"/>
        </w:rPr>
      </w:pPr>
      <w:r w:rsidRPr="00C02A50">
        <w:rPr>
          <w:rFonts w:cs="Times New Roman"/>
          <w:szCs w:val="24"/>
        </w:rPr>
        <w:tab/>
        <w:t xml:space="preserve">Second, the defendant had previously been convicted of a felony; and </w:t>
      </w:r>
    </w:p>
    <w:p w14:paraId="57E14597" w14:textId="77777777" w:rsidR="00C02A50" w:rsidRPr="00C02A50" w:rsidRDefault="00C02A50" w:rsidP="00C02A50">
      <w:pPr>
        <w:rPr>
          <w:rFonts w:cs="Times New Roman"/>
          <w:szCs w:val="24"/>
        </w:rPr>
      </w:pPr>
    </w:p>
    <w:p w14:paraId="78378B04" w14:textId="77777777" w:rsidR="00C02A50" w:rsidRPr="00C02A50" w:rsidRDefault="00C02A50" w:rsidP="00C02A50">
      <w:pPr>
        <w:rPr>
          <w:rFonts w:cs="Times New Roman"/>
          <w:szCs w:val="24"/>
        </w:rPr>
      </w:pPr>
      <w:r w:rsidRPr="00C02A50">
        <w:rPr>
          <w:rFonts w:cs="Times New Roman"/>
          <w:szCs w:val="24"/>
        </w:rPr>
        <w:tab/>
        <w:t>Third, the defendant knew that [his][her] felony conviction had as an element the use, attempted use, or threatened use of physical force.</w:t>
      </w:r>
    </w:p>
    <w:p w14:paraId="05DD1E81" w14:textId="77777777" w:rsidR="00C02A50" w:rsidRPr="00C02A50" w:rsidRDefault="00C02A50" w:rsidP="00C02A50">
      <w:pPr>
        <w:rPr>
          <w:rFonts w:cs="Times New Roman"/>
          <w:szCs w:val="24"/>
        </w:rPr>
      </w:pPr>
    </w:p>
    <w:p w14:paraId="0EE7ECB2" w14:textId="77777777" w:rsidR="00C02A50" w:rsidRPr="00C02A50" w:rsidRDefault="00C02A50" w:rsidP="00C02A50">
      <w:pPr>
        <w:ind w:right="-180"/>
        <w:jc w:val="center"/>
        <w:rPr>
          <w:rFonts w:cs="Times New Roman"/>
          <w:szCs w:val="24"/>
        </w:rPr>
      </w:pPr>
      <w:r w:rsidRPr="00C02A50">
        <w:rPr>
          <w:rFonts w:cs="Times New Roman"/>
          <w:b/>
          <w:bCs/>
          <w:szCs w:val="24"/>
        </w:rPr>
        <w:t>Comment</w:t>
      </w:r>
    </w:p>
    <w:p w14:paraId="7270141F" w14:textId="77777777" w:rsidR="00C02A50" w:rsidRPr="00C02A50" w:rsidRDefault="00C02A50" w:rsidP="00C02A50">
      <w:pPr>
        <w:rPr>
          <w:rFonts w:cs="Times New Roman"/>
          <w:szCs w:val="24"/>
        </w:rPr>
      </w:pPr>
    </w:p>
    <w:p w14:paraId="50C0D096" w14:textId="77777777" w:rsidR="00C02A50" w:rsidRPr="00C02A50" w:rsidRDefault="00C02A50" w:rsidP="00C02A50">
      <w:pPr>
        <w:rPr>
          <w:rFonts w:cs="Times New Roman"/>
          <w:szCs w:val="24"/>
        </w:rPr>
      </w:pPr>
      <w:r w:rsidRPr="00C02A50">
        <w:rPr>
          <w:rFonts w:cs="Times New Roman"/>
          <w:szCs w:val="24"/>
        </w:rPr>
        <w:tab/>
        <w:t>“</w:t>
      </w:r>
      <w:r w:rsidRPr="00C02A50">
        <w:rPr>
          <w:rFonts w:cs="Times New Roman"/>
          <w:szCs w:val="24"/>
          <w:shd w:val="clear" w:color="auto" w:fill="FFFFFF"/>
        </w:rPr>
        <w:t xml:space="preserve">The term body armor means any product sold or offered for sale, in interstate or foreign commerce, as personal protective body covering intended to protect against gunfire, regardless of whether the product is to be worn alone or is sold as a complement to another product or garment.”  </w:t>
      </w:r>
      <w:hyperlink r:id="rId5" w:anchor="a_35" w:history="1">
        <w:r w:rsidRPr="00C02A50">
          <w:rPr>
            <w:rFonts w:cs="Times New Roman"/>
            <w:szCs w:val="24"/>
            <w:shd w:val="clear" w:color="auto" w:fill="FFFFFF"/>
          </w:rPr>
          <w:t>18 USC § 921(a)(35)</w:t>
        </w:r>
      </w:hyperlink>
      <w:r w:rsidRPr="00C02A50">
        <w:rPr>
          <w:rFonts w:cs="Times New Roman"/>
          <w:szCs w:val="24"/>
        </w:rPr>
        <w:t xml:space="preserve">. </w:t>
      </w:r>
    </w:p>
    <w:p w14:paraId="100EF6EB" w14:textId="77777777" w:rsidR="00C02A50" w:rsidRPr="00C02A50" w:rsidRDefault="00C02A50" w:rsidP="00C02A50">
      <w:pPr>
        <w:rPr>
          <w:rFonts w:cs="Times New Roman"/>
          <w:szCs w:val="24"/>
        </w:rPr>
      </w:pPr>
    </w:p>
    <w:p w14:paraId="2923427B" w14:textId="77777777" w:rsidR="00C02A50" w:rsidRPr="00C02A50" w:rsidRDefault="00C02A50" w:rsidP="00C02A50">
      <w:pPr>
        <w:rPr>
          <w:rFonts w:cs="Times New Roman"/>
          <w:szCs w:val="24"/>
        </w:rPr>
      </w:pPr>
      <w:r w:rsidRPr="00C02A50">
        <w:rPr>
          <w:rFonts w:cs="Times New Roman"/>
          <w:szCs w:val="24"/>
        </w:rPr>
        <w:tab/>
        <w:t xml:space="preserve">In </w:t>
      </w:r>
      <w:r w:rsidRPr="00C02A50">
        <w:rPr>
          <w:rFonts w:eastAsia="Times New Roman" w:cs="Times New Roman"/>
          <w:i/>
          <w:iCs/>
          <w:szCs w:val="24"/>
        </w:rPr>
        <w:t>United States v. Door</w:t>
      </w:r>
      <w:r w:rsidRPr="00C02A50">
        <w:rPr>
          <w:rFonts w:eastAsia="Times New Roman" w:cs="Times New Roman"/>
          <w:szCs w:val="24"/>
        </w:rPr>
        <w:t xml:space="preserve">, </w:t>
      </w:r>
      <w:r w:rsidRPr="00C02A50">
        <w:rPr>
          <w:rFonts w:cs="Times New Roman"/>
          <w:szCs w:val="24"/>
        </w:rPr>
        <w:t>996 F.3d 606, 615 (9th Cir. 2021), the Ninth Circuit held that “the government must prove that a defendant who possessed body armor knew that (1) he was convicted of a felony and, (2) the felony of which he was convicted had as an element ‘the use, attempted use, or threatened use of physical force.’”</w:t>
      </w:r>
    </w:p>
    <w:p w14:paraId="48BA297F" w14:textId="77777777" w:rsidR="00C02A50" w:rsidRPr="00C02A50" w:rsidRDefault="00C02A50" w:rsidP="00C02A50">
      <w:pPr>
        <w:rPr>
          <w:rFonts w:cs="Times New Roman"/>
          <w:szCs w:val="24"/>
        </w:rPr>
      </w:pPr>
    </w:p>
    <w:p w14:paraId="28D6CB8C" w14:textId="77777777" w:rsidR="00C02A50" w:rsidRPr="00C02A50" w:rsidRDefault="00C02A50" w:rsidP="00C02A50">
      <w:pPr>
        <w:jc w:val="right"/>
        <w:rPr>
          <w:rFonts w:cs="Times New Roman"/>
          <w:i/>
          <w:iCs/>
          <w:szCs w:val="24"/>
        </w:rPr>
      </w:pPr>
    </w:p>
    <w:p w14:paraId="534B8E9A" w14:textId="77777777" w:rsidR="00C02A50" w:rsidRPr="00C02A50" w:rsidRDefault="00C02A50" w:rsidP="00C02A50">
      <w:pPr>
        <w:jc w:val="right"/>
        <w:rPr>
          <w:rFonts w:cs="Times New Roman"/>
          <w:i/>
          <w:iCs/>
          <w:szCs w:val="24"/>
        </w:rPr>
      </w:pPr>
      <w:r w:rsidRPr="00C02A50">
        <w:rPr>
          <w:rFonts w:cs="Times New Roman"/>
          <w:i/>
          <w:iCs/>
          <w:szCs w:val="24"/>
        </w:rPr>
        <w:t>Revised June 2021</w:t>
      </w:r>
    </w:p>
    <w:p w14:paraId="0ACE18C0" w14:textId="3FA29F92" w:rsidR="00C97E04" w:rsidRPr="00C02A50" w:rsidRDefault="00C97E04" w:rsidP="00C02A50"/>
    <w:sectPr w:rsidR="00C97E04" w:rsidRPr="00C02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E72"/>
    <w:rsid w:val="00BE1BC9"/>
    <w:rsid w:val="00C02A50"/>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46EC"/>
    <w:rsid w:val="00E56A96"/>
    <w:rsid w:val="00E90670"/>
    <w:rsid w:val="00EA3C29"/>
    <w:rsid w:val="00EA658F"/>
    <w:rsid w:val="00EA72FC"/>
    <w:rsid w:val="00EB0197"/>
    <w:rsid w:val="00EB427D"/>
    <w:rsid w:val="00EC15D6"/>
    <w:rsid w:val="00EE714D"/>
    <w:rsid w:val="00F120A5"/>
    <w:rsid w:val="00F7390C"/>
    <w:rsid w:val="00F81D28"/>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cornell.edu/uscode/text/18/9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1191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2022-05-19T20:46:00Z</dcterms:created>
  <dcterms:modified xsi:type="dcterms:W3CDTF">2022-05-19T20:46:00Z</dcterms:modified>
</cp:coreProperties>
</file>