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423A" w14:textId="4A32FDF9" w:rsidR="00E42CC1" w:rsidRPr="00E42CC1" w:rsidRDefault="00E42CC1" w:rsidP="00E42CC1">
      <w:pPr>
        <w:autoSpaceDE w:val="0"/>
        <w:autoSpaceDN w:val="0"/>
        <w:adjustRightInd w:val="0"/>
        <w:ind w:left="420" w:hanging="240"/>
        <w:jc w:val="center"/>
        <w:outlineLvl w:val="1"/>
        <w:rPr>
          <w:rFonts w:cs="Times New Roman"/>
          <w:b/>
          <w:bCs/>
          <w:szCs w:val="24"/>
        </w:rPr>
      </w:pPr>
      <w:bookmarkStart w:id="0" w:name="_Toc83310780"/>
      <w:bookmarkStart w:id="1" w:name="_Toc73698721"/>
      <w:bookmarkStart w:id="2" w:name="_Toc83362576"/>
      <w:bookmarkStart w:id="3" w:name="_Toc83362985"/>
      <w:bookmarkStart w:id="4" w:name="_Toc90310043"/>
      <w:bookmarkStart w:id="5" w:name="_Toc90389901"/>
      <w:bookmarkStart w:id="6" w:name="_Toc90860481"/>
      <w:r w:rsidRPr="00E42CC1">
        <w:rPr>
          <w:rFonts w:cs="Times New Roman"/>
          <w:b/>
          <w:bCs/>
          <w:szCs w:val="24"/>
        </w:rPr>
        <w:t xml:space="preserve">15.32 </w:t>
      </w:r>
      <w:bookmarkStart w:id="7" w:name="_Hlk173222649"/>
      <w:r w:rsidRPr="00E42CC1">
        <w:rPr>
          <w:rFonts w:cs="Times New Roman"/>
          <w:b/>
          <w:bCs/>
          <w:szCs w:val="24"/>
        </w:rPr>
        <w:t xml:space="preserve">Mail Fraud—Scheme to Defraud to Obtain Money </w:t>
      </w:r>
    </w:p>
    <w:p w14:paraId="24C992A0" w14:textId="77777777" w:rsidR="00E42CC1" w:rsidRPr="00E42CC1" w:rsidRDefault="00E42CC1" w:rsidP="00E42CC1">
      <w:pPr>
        <w:autoSpaceDE w:val="0"/>
        <w:autoSpaceDN w:val="0"/>
        <w:adjustRightInd w:val="0"/>
        <w:ind w:left="420" w:hanging="240"/>
        <w:jc w:val="center"/>
        <w:outlineLvl w:val="1"/>
        <w:rPr>
          <w:rFonts w:cs="Times New Roman"/>
          <w:b/>
          <w:bCs/>
          <w:szCs w:val="24"/>
        </w:rPr>
      </w:pPr>
      <w:r w:rsidRPr="00E42CC1">
        <w:rPr>
          <w:rFonts w:cs="Times New Roman"/>
          <w:b/>
          <w:bCs/>
          <w:szCs w:val="24"/>
        </w:rPr>
        <w:t>or Property by False Promises</w:t>
      </w:r>
      <w:bookmarkEnd w:id="0"/>
      <w:r w:rsidRPr="00E42CC1">
        <w:rPr>
          <w:rFonts w:cs="Times New Roman"/>
          <w:b/>
          <w:bCs/>
          <w:szCs w:val="24"/>
        </w:rPr>
        <w:t xml:space="preserve"> </w:t>
      </w:r>
      <w:bookmarkStart w:id="8" w:name="_Toc83310781"/>
      <w:r w:rsidRPr="00E42CC1">
        <w:rPr>
          <w:rFonts w:cs="Times New Roman"/>
          <w:b/>
          <w:bCs/>
          <w:szCs w:val="24"/>
        </w:rPr>
        <w:t>(18 U.S.C. § 1341)</w:t>
      </w:r>
      <w:bookmarkEnd w:id="1"/>
      <w:bookmarkEnd w:id="2"/>
      <w:bookmarkEnd w:id="3"/>
      <w:bookmarkEnd w:id="4"/>
      <w:bookmarkEnd w:id="5"/>
      <w:bookmarkEnd w:id="6"/>
      <w:bookmarkEnd w:id="8"/>
    </w:p>
    <w:bookmarkEnd w:id="7"/>
    <w:p w14:paraId="640AB8A6" w14:textId="77777777" w:rsidR="00E42CC1" w:rsidRPr="00E42CC1" w:rsidRDefault="00E42CC1" w:rsidP="00E42CC1">
      <w:pPr>
        <w:ind w:left="720" w:hanging="720"/>
        <w:rPr>
          <w:rFonts w:eastAsia="Times New Roman" w:cs="Times New Roman"/>
          <w:color w:val="000000"/>
          <w:szCs w:val="24"/>
        </w:rPr>
      </w:pPr>
    </w:p>
    <w:p w14:paraId="0A5A9ECF" w14:textId="3CE1B099"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The defendant is charged in [Count _______ of] the indictment with mail fraud in violation of Section 1341 of Title 18 of the United States Code</w:t>
      </w:r>
      <w:r w:rsidR="00B46FCE">
        <w:rPr>
          <w:rFonts w:eastAsia="Times New Roman" w:cs="Times New Roman"/>
          <w:color w:val="000000"/>
          <w:szCs w:val="24"/>
        </w:rPr>
        <w:t xml:space="preserve">. </w:t>
      </w:r>
      <w:r w:rsidRPr="00E42CC1">
        <w:rPr>
          <w:rFonts w:eastAsia="Times New Roman" w:cs="Times New Roman"/>
          <w:color w:val="000000"/>
          <w:szCs w:val="24"/>
        </w:rPr>
        <w:t>For the defendant to be found guilty of that charge, the government must prove each of the following elements beyond a reasonable doubt:</w:t>
      </w:r>
    </w:p>
    <w:p w14:paraId="518B3142" w14:textId="77777777" w:rsidR="00E42CC1" w:rsidRPr="00E42CC1" w:rsidRDefault="00E42CC1" w:rsidP="00E42CC1">
      <w:pPr>
        <w:rPr>
          <w:rFonts w:eastAsia="Times New Roman" w:cs="Times New Roman"/>
          <w:color w:val="000000"/>
          <w:szCs w:val="24"/>
        </w:rPr>
      </w:pPr>
    </w:p>
    <w:p w14:paraId="63ED8472" w14:textId="265B3990"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 xml:space="preserve">First, the defendant knowingly [participated in] [devised] [intended to devise] a scheme or plan to defraud for </w:t>
      </w:r>
      <w:r w:rsidR="00143B90" w:rsidRPr="00143B90">
        <w:rPr>
          <w:rFonts w:eastAsia="Times New Roman" w:cs="Times New Roman"/>
          <w:color w:val="000000"/>
          <w:szCs w:val="24"/>
        </w:rPr>
        <w:t xml:space="preserve">the purpose of </w:t>
      </w:r>
      <w:r w:rsidRPr="00E42CC1">
        <w:rPr>
          <w:rFonts w:eastAsia="Times New Roman" w:cs="Times New Roman"/>
          <w:color w:val="000000"/>
          <w:szCs w:val="24"/>
        </w:rPr>
        <w:t>obtaining money or property by means of false or fraudulent pretenses, representations, or promises[, or omitted facts.]  [Deceitful statements of half-truths may constitute false or fraudulent representations</w:t>
      </w:r>
      <w:proofErr w:type="gramStart"/>
      <w:r w:rsidRPr="00E42CC1">
        <w:rPr>
          <w:rFonts w:eastAsia="Times New Roman" w:cs="Times New Roman"/>
          <w:color w:val="000000"/>
          <w:szCs w:val="24"/>
        </w:rPr>
        <w:t>];</w:t>
      </w:r>
      <w:proofErr w:type="gramEnd"/>
      <w:r w:rsidRPr="00E42CC1">
        <w:rPr>
          <w:rFonts w:eastAsia="Times New Roman" w:cs="Times New Roman"/>
          <w:color w:val="000000"/>
          <w:szCs w:val="24"/>
        </w:rPr>
        <w:t xml:space="preserve">  </w:t>
      </w:r>
    </w:p>
    <w:p w14:paraId="29FEF098" w14:textId="77777777" w:rsidR="00E42CC1" w:rsidRPr="00E42CC1" w:rsidRDefault="00E42CC1" w:rsidP="00E42CC1">
      <w:pPr>
        <w:rPr>
          <w:rFonts w:eastAsia="Times New Roman" w:cs="Times New Roman"/>
          <w:color w:val="000000"/>
          <w:szCs w:val="24"/>
        </w:rPr>
      </w:pPr>
    </w:p>
    <w:p w14:paraId="3460AF44" w14:textId="77777777"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 xml:space="preserve">Second, the statements made [or facts omitted] as part of the scheme were material; that is, they had a natural tendency to influence, or were capable of influencing, a person to part with money or </w:t>
      </w:r>
      <w:proofErr w:type="gramStart"/>
      <w:r w:rsidRPr="00E42CC1">
        <w:rPr>
          <w:rFonts w:eastAsia="Times New Roman" w:cs="Times New Roman"/>
          <w:color w:val="000000"/>
          <w:szCs w:val="24"/>
        </w:rPr>
        <w:t>property;</w:t>
      </w:r>
      <w:proofErr w:type="gramEnd"/>
    </w:p>
    <w:p w14:paraId="7C309872" w14:textId="77777777" w:rsidR="00E42CC1" w:rsidRPr="00E42CC1" w:rsidRDefault="00E42CC1" w:rsidP="00E42CC1">
      <w:pPr>
        <w:rPr>
          <w:rFonts w:eastAsia="Times New Roman" w:cs="Times New Roman"/>
          <w:color w:val="000000"/>
          <w:szCs w:val="24"/>
        </w:rPr>
      </w:pPr>
    </w:p>
    <w:p w14:paraId="6F5537F6" w14:textId="77777777"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Third, the defendant acted with the intent to defraud; that is, the intent to deceive and cheat; and</w:t>
      </w:r>
    </w:p>
    <w:p w14:paraId="3350BD99" w14:textId="77777777" w:rsidR="00E42CC1" w:rsidRPr="00E42CC1" w:rsidRDefault="00E42CC1" w:rsidP="00E42CC1">
      <w:pPr>
        <w:rPr>
          <w:rFonts w:eastAsia="Times New Roman" w:cs="Times New Roman"/>
          <w:color w:val="000000"/>
          <w:szCs w:val="24"/>
        </w:rPr>
      </w:pPr>
    </w:p>
    <w:p w14:paraId="32BE4775" w14:textId="6E5871DB" w:rsidR="00143B90" w:rsidRPr="00E42CC1" w:rsidRDefault="00E42CC1" w:rsidP="00E42CC1">
      <w:pPr>
        <w:rPr>
          <w:rFonts w:eastAsia="Times New Roman" w:cs="Times New Roman"/>
          <w:color w:val="000000"/>
          <w:szCs w:val="24"/>
        </w:rPr>
      </w:pPr>
      <w:r w:rsidRPr="00E42CC1">
        <w:rPr>
          <w:rFonts w:eastAsia="Times New Roman" w:cs="Times New Roman"/>
          <w:color w:val="000000"/>
          <w:szCs w:val="24"/>
        </w:rPr>
        <w:tab/>
        <w:t>Fourth, the defendant used, or caused to be used, the mails to carry out or attempt to carry out an essential part of the scheme.</w:t>
      </w:r>
    </w:p>
    <w:p w14:paraId="2C1E58BD" w14:textId="77777777" w:rsidR="00E42CC1" w:rsidRPr="00E42CC1" w:rsidRDefault="00E42CC1" w:rsidP="00E42CC1">
      <w:pPr>
        <w:rPr>
          <w:rFonts w:eastAsia="Times New Roman" w:cs="Times New Roman"/>
          <w:color w:val="000000"/>
          <w:szCs w:val="24"/>
        </w:rPr>
      </w:pPr>
    </w:p>
    <w:p w14:paraId="233F2759" w14:textId="77777777"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In determining whether a scheme to defraud exists, you may consider not only the defendant’s words and statements, but also the circumstances in which they are used as a whole.</w:t>
      </w:r>
    </w:p>
    <w:p w14:paraId="48D54F42" w14:textId="77777777" w:rsidR="00E42CC1" w:rsidRPr="00E42CC1" w:rsidRDefault="00E42CC1" w:rsidP="00E42CC1">
      <w:pPr>
        <w:rPr>
          <w:rFonts w:eastAsia="Times New Roman" w:cs="Times New Roman"/>
          <w:color w:val="000000"/>
          <w:szCs w:val="24"/>
        </w:rPr>
      </w:pPr>
    </w:p>
    <w:p w14:paraId="3A4E6D38" w14:textId="01E0A663" w:rsidR="00E42CC1" w:rsidRDefault="00E42CC1" w:rsidP="00E42CC1">
      <w:pPr>
        <w:rPr>
          <w:rFonts w:eastAsia="Times New Roman" w:cs="Times New Roman"/>
          <w:color w:val="000000"/>
          <w:szCs w:val="24"/>
        </w:rPr>
      </w:pPr>
      <w:r w:rsidRPr="00E42CC1">
        <w:rPr>
          <w:rFonts w:eastAsia="Times New Roman" w:cs="Times New Roman"/>
          <w:color w:val="000000"/>
          <w:szCs w:val="24"/>
        </w:rPr>
        <w:tab/>
        <w:t>[To convict the defendant of mail fraud based on omission[s] of material fact[s], you must find that the defendant had a duty to disclose the omitted fact[s] arising out of a relationship of trust</w:t>
      </w:r>
      <w:r w:rsidR="00B46FCE">
        <w:rPr>
          <w:rFonts w:eastAsia="Times New Roman" w:cs="Times New Roman"/>
          <w:color w:val="000000"/>
          <w:szCs w:val="24"/>
        </w:rPr>
        <w:t xml:space="preserve">. </w:t>
      </w:r>
      <w:r w:rsidRPr="00E42CC1">
        <w:rPr>
          <w:rFonts w:eastAsia="Times New Roman" w:cs="Times New Roman"/>
          <w:color w:val="000000"/>
          <w:szCs w:val="24"/>
        </w:rPr>
        <w:t>That duty can arise either out of a formal fiduciary relationship, or an informal, trusting relationship in which one party acts for the benefit of another and induces the trusting party to relax the care and vigilance that it would ordinarily exercise.]</w:t>
      </w:r>
    </w:p>
    <w:p w14:paraId="73CE9604" w14:textId="77777777" w:rsidR="007B67BD" w:rsidRPr="00E42CC1" w:rsidRDefault="007B67BD" w:rsidP="00E42CC1">
      <w:pPr>
        <w:rPr>
          <w:rFonts w:eastAsia="Times New Roman" w:cs="Times New Roman"/>
          <w:color w:val="000000"/>
          <w:szCs w:val="24"/>
        </w:rPr>
      </w:pPr>
    </w:p>
    <w:p w14:paraId="1182B65E" w14:textId="03956470" w:rsidR="007B67BD" w:rsidRPr="007B67BD" w:rsidRDefault="0060528A" w:rsidP="007B67BD">
      <w:pPr>
        <w:ind w:firstLine="720"/>
        <w:rPr>
          <w:rFonts w:eastAsia="Times New Roman" w:cs="Times New Roman"/>
          <w:color w:val="000000"/>
          <w:szCs w:val="24"/>
        </w:rPr>
      </w:pPr>
      <w:r>
        <w:rPr>
          <w:rFonts w:eastAsia="Times New Roman" w:cs="Times New Roman"/>
          <w:color w:val="000000"/>
          <w:szCs w:val="24"/>
        </w:rPr>
        <w:t>[</w:t>
      </w:r>
      <w:r w:rsidR="007B67BD" w:rsidRPr="007B67BD">
        <w:rPr>
          <w:rFonts w:eastAsia="Times New Roman" w:cs="Times New Roman"/>
          <w:color w:val="000000"/>
          <w:szCs w:val="24"/>
        </w:rPr>
        <w:t>To convict [a] defendant[s] of mail fraud</w:t>
      </w:r>
      <w:r w:rsidRPr="0060528A">
        <w:rPr>
          <w:rFonts w:cs="Times New Roman"/>
          <w:sz w:val="28"/>
          <w:szCs w:val="28"/>
        </w:rPr>
        <w:t xml:space="preserve"> </w:t>
      </w:r>
      <w:r w:rsidRPr="0060528A">
        <w:rPr>
          <w:rFonts w:eastAsia="Times New Roman" w:cs="Times New Roman"/>
          <w:color w:val="000000"/>
          <w:szCs w:val="24"/>
        </w:rPr>
        <w:t>based on a scheme to induce a victim to enter a bargain</w:t>
      </w:r>
      <w:r w:rsidR="007B67BD" w:rsidRPr="007B67BD">
        <w:rPr>
          <w:rFonts w:eastAsia="Times New Roman" w:cs="Times New Roman"/>
          <w:color w:val="000000"/>
          <w:szCs w:val="24"/>
        </w:rPr>
        <w:t xml:space="preserve">,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t>
      </w:r>
      <w:r w:rsidR="007B67BD">
        <w:rPr>
          <w:rFonts w:eastAsia="Times New Roman" w:cs="Times New Roman"/>
          <w:color w:val="000000"/>
          <w:szCs w:val="24"/>
        </w:rPr>
        <w:t>[</w:t>
      </w:r>
      <w:r w:rsidR="007B67BD" w:rsidRPr="007B67BD">
        <w:rPr>
          <w:rFonts w:eastAsia="Times New Roman" w:cs="Times New Roman"/>
          <w:color w:val="000000"/>
          <w:szCs w:val="24"/>
        </w:rPr>
        <w:t>Whether a misrepresentation goes to the nature of the bargain may depend on the specific transaction at issue.</w:t>
      </w:r>
      <w:r w:rsidR="007B67BD">
        <w:rPr>
          <w:rFonts w:eastAsia="Times New Roman" w:cs="Times New Roman"/>
          <w:color w:val="000000"/>
          <w:szCs w:val="24"/>
        </w:rPr>
        <w:t>]</w:t>
      </w:r>
      <w:r>
        <w:rPr>
          <w:rFonts w:eastAsia="Times New Roman" w:cs="Times New Roman"/>
          <w:color w:val="000000"/>
          <w:szCs w:val="24"/>
        </w:rPr>
        <w:t>]</w:t>
      </w:r>
    </w:p>
    <w:p w14:paraId="6DC0D9CE" w14:textId="77777777" w:rsidR="00E42CC1" w:rsidRPr="00E42CC1" w:rsidRDefault="00E42CC1" w:rsidP="00E42CC1">
      <w:pPr>
        <w:rPr>
          <w:rFonts w:eastAsia="Times New Roman" w:cs="Times New Roman"/>
          <w:color w:val="000000"/>
          <w:szCs w:val="24"/>
        </w:rPr>
      </w:pPr>
    </w:p>
    <w:p w14:paraId="1A709339" w14:textId="369BD04A" w:rsidR="00E42CC1" w:rsidRDefault="00E42CC1" w:rsidP="00E42CC1">
      <w:pPr>
        <w:rPr>
          <w:rFonts w:eastAsia="Times New Roman" w:cs="Times New Roman"/>
          <w:color w:val="000000"/>
          <w:szCs w:val="24"/>
        </w:rPr>
      </w:pPr>
      <w:r w:rsidRPr="00E42CC1">
        <w:rPr>
          <w:rFonts w:eastAsia="Times New Roman" w:cs="Times New Roman"/>
          <w:color w:val="000000"/>
          <w:szCs w:val="24"/>
        </w:rPr>
        <w:tab/>
        <w:t>A mailing is caused when one knows that the mails will be used in the ordinary course of business or when one can reasonably foresee such use</w:t>
      </w:r>
      <w:r w:rsidR="00B46FCE">
        <w:rPr>
          <w:rFonts w:eastAsia="Times New Roman" w:cs="Times New Roman"/>
          <w:color w:val="000000"/>
          <w:szCs w:val="24"/>
        </w:rPr>
        <w:t xml:space="preserve">. </w:t>
      </w:r>
      <w:r w:rsidRPr="00E42CC1">
        <w:rPr>
          <w:rFonts w:eastAsia="Times New Roman" w:cs="Times New Roman"/>
          <w:color w:val="000000"/>
          <w:szCs w:val="24"/>
        </w:rPr>
        <w:t>It does not matter whether the material mailed was itself false or deceptive so long as the mail was used as a part of the scheme, nor does it matter whether the scheme or plan was successful or that any money or property was obtained.</w:t>
      </w:r>
    </w:p>
    <w:p w14:paraId="3849B0B3" w14:textId="77777777" w:rsidR="00215E95" w:rsidRPr="00E42CC1" w:rsidRDefault="00215E95" w:rsidP="00E42CC1">
      <w:pPr>
        <w:rPr>
          <w:rFonts w:eastAsia="Times New Roman" w:cs="Times New Roman"/>
          <w:color w:val="000000"/>
          <w:szCs w:val="24"/>
        </w:rPr>
      </w:pPr>
    </w:p>
    <w:p w14:paraId="6BCCAE06" w14:textId="77777777" w:rsidR="00E42CC1" w:rsidRPr="00E42CC1" w:rsidRDefault="00E42CC1" w:rsidP="00E42CC1">
      <w:pPr>
        <w:rPr>
          <w:rFonts w:eastAsia="Times New Roman" w:cs="Times New Roman"/>
          <w:color w:val="000000"/>
          <w:szCs w:val="24"/>
        </w:rPr>
      </w:pPr>
    </w:p>
    <w:p w14:paraId="263CFE7D" w14:textId="77777777" w:rsidR="00E42CC1" w:rsidRPr="00E42CC1" w:rsidRDefault="00E42CC1" w:rsidP="00E42CC1">
      <w:pPr>
        <w:ind w:right="-180"/>
        <w:jc w:val="center"/>
        <w:rPr>
          <w:rFonts w:eastAsia="Times New Roman" w:cs="Times New Roman"/>
          <w:color w:val="000000"/>
          <w:szCs w:val="24"/>
        </w:rPr>
      </w:pPr>
      <w:r w:rsidRPr="00E42CC1">
        <w:rPr>
          <w:rFonts w:eastAsia="Times New Roman" w:cs="Times New Roman"/>
          <w:b/>
          <w:color w:val="000000"/>
          <w:szCs w:val="24"/>
        </w:rPr>
        <w:lastRenderedPageBreak/>
        <w:t>Comment</w:t>
      </w:r>
    </w:p>
    <w:p w14:paraId="0CFBC0E1" w14:textId="77777777" w:rsidR="00E42CC1" w:rsidRPr="00E42CC1" w:rsidRDefault="00E42CC1" w:rsidP="00E42CC1">
      <w:pPr>
        <w:rPr>
          <w:rFonts w:eastAsia="Times New Roman" w:cs="Times New Roman"/>
          <w:color w:val="000000"/>
          <w:szCs w:val="24"/>
        </w:rPr>
      </w:pPr>
    </w:p>
    <w:p w14:paraId="31232572" w14:textId="77777777"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Use this instruction with respect to a crime charged under the second clause of 18 U.S.C. § 1341.</w:t>
      </w:r>
    </w:p>
    <w:p w14:paraId="2C60589D" w14:textId="77777777" w:rsidR="00E42CC1" w:rsidRPr="00E42CC1" w:rsidRDefault="00E42CC1" w:rsidP="00E42CC1">
      <w:pPr>
        <w:rPr>
          <w:rFonts w:eastAsia="Times New Roman" w:cs="Times New Roman"/>
          <w:color w:val="000000"/>
          <w:szCs w:val="24"/>
        </w:rPr>
      </w:pPr>
    </w:p>
    <w:p w14:paraId="12F67185" w14:textId="372E9C5B" w:rsidR="00143B90" w:rsidRDefault="00E42CC1" w:rsidP="00143B90">
      <w:pPr>
        <w:rPr>
          <w:rFonts w:eastAsia="Times New Roman" w:cs="Times New Roman"/>
          <w:color w:val="000000"/>
          <w:szCs w:val="24"/>
        </w:rPr>
      </w:pPr>
      <w:r w:rsidRPr="00E42CC1">
        <w:rPr>
          <w:rFonts w:eastAsia="Times New Roman" w:cs="Times New Roman"/>
          <w:color w:val="000000"/>
          <w:szCs w:val="24"/>
        </w:rPr>
        <w:tab/>
      </w:r>
      <w:bookmarkStart w:id="9" w:name="_Hlk147339582"/>
      <w:r w:rsidRPr="00E42CC1">
        <w:rPr>
          <w:rFonts w:eastAsia="Times New Roman" w:cs="Times New Roman"/>
          <w:color w:val="000000"/>
          <w:szCs w:val="24"/>
        </w:rPr>
        <w:t xml:space="preserve"> </w:t>
      </w:r>
      <w:r w:rsidR="00143B90" w:rsidRPr="00143B90">
        <w:rPr>
          <w:rFonts w:eastAsia="Times New Roman" w:cs="Times New Roman"/>
          <w:color w:val="000000"/>
          <w:szCs w:val="24"/>
        </w:rPr>
        <w:t xml:space="preserve">In </w:t>
      </w:r>
      <w:r w:rsidR="00143B90" w:rsidRPr="00143B90">
        <w:rPr>
          <w:rFonts w:eastAsia="Times New Roman" w:cs="Times New Roman"/>
          <w:i/>
          <w:iCs/>
          <w:color w:val="000000"/>
          <w:szCs w:val="24"/>
        </w:rPr>
        <w:t>Ciminelli v. United States</w:t>
      </w:r>
      <w:r w:rsidR="00143B90" w:rsidRPr="00143B90">
        <w:rPr>
          <w:rFonts w:eastAsia="Times New Roman" w:cs="Times New Roman"/>
          <w:color w:val="000000"/>
          <w:szCs w:val="24"/>
        </w:rPr>
        <w:t xml:space="preserve">, 598 U.S. </w:t>
      </w:r>
      <w:r w:rsidR="00143B90">
        <w:rPr>
          <w:rFonts w:eastAsia="Times New Roman" w:cs="Times New Roman"/>
          <w:color w:val="000000"/>
          <w:szCs w:val="24"/>
        </w:rPr>
        <w:t>306,</w:t>
      </w:r>
      <w:r w:rsidR="00143B90" w:rsidRPr="00143B90">
        <w:rPr>
          <w:rFonts w:eastAsia="Times New Roman" w:cs="Times New Roman"/>
          <w:color w:val="000000"/>
          <w:szCs w:val="24"/>
        </w:rPr>
        <w:t xml:space="preserve"> </w:t>
      </w:r>
      <w:r w:rsidR="00143B90">
        <w:rPr>
          <w:rFonts w:eastAsia="Times New Roman" w:cs="Times New Roman"/>
          <w:color w:val="000000"/>
          <w:szCs w:val="24"/>
        </w:rPr>
        <w:t>308-09</w:t>
      </w:r>
      <w:r w:rsidR="00143B90"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00143B90" w:rsidRPr="00143B90">
        <w:rPr>
          <w:rFonts w:eastAsia="Times New Roman" w:cs="Times New Roman"/>
          <w:i/>
          <w:iCs/>
          <w:color w:val="000000"/>
          <w:szCs w:val="24"/>
        </w:rPr>
        <w:t xml:space="preserve">Id. </w:t>
      </w:r>
      <w:r w:rsidR="00143B90" w:rsidRPr="00143B90">
        <w:rPr>
          <w:rFonts w:eastAsia="Times New Roman" w:cs="Times New Roman"/>
          <w:color w:val="000000"/>
          <w:szCs w:val="24"/>
        </w:rPr>
        <w:t xml:space="preserve">at </w:t>
      </w:r>
      <w:r w:rsidR="00143B90">
        <w:rPr>
          <w:rFonts w:eastAsia="Times New Roman" w:cs="Times New Roman"/>
          <w:color w:val="000000"/>
          <w:szCs w:val="24"/>
        </w:rPr>
        <w:t>312</w:t>
      </w:r>
      <w:r w:rsidR="00143B90" w:rsidRPr="00143B90">
        <w:rPr>
          <w:rFonts w:eastAsia="Times New Roman" w:cs="Times New Roman"/>
          <w:color w:val="000000"/>
          <w:szCs w:val="24"/>
        </w:rPr>
        <w:t xml:space="preserve"> (quoting </w:t>
      </w:r>
      <w:r w:rsidR="00143B90" w:rsidRPr="00143B90">
        <w:rPr>
          <w:rFonts w:eastAsia="Times New Roman" w:cs="Times New Roman"/>
          <w:i/>
          <w:iCs/>
          <w:color w:val="000000"/>
          <w:szCs w:val="24"/>
        </w:rPr>
        <w:t>Cleveland v. United States</w:t>
      </w:r>
      <w:r w:rsidR="00143B90"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00143B90" w:rsidRPr="00143B90">
        <w:rPr>
          <w:rFonts w:eastAsia="Times New Roman" w:cs="Times New Roman"/>
          <w:i/>
          <w:iCs/>
          <w:color w:val="000000"/>
          <w:szCs w:val="24"/>
        </w:rPr>
        <w:t>Id</w:t>
      </w:r>
      <w:r w:rsidR="00143B90" w:rsidRPr="00143B90">
        <w:rPr>
          <w:rFonts w:eastAsia="Times New Roman" w:cs="Times New Roman"/>
          <w:color w:val="000000"/>
          <w:szCs w:val="24"/>
        </w:rPr>
        <w:t xml:space="preserve">. </w:t>
      </w:r>
      <w:bookmarkEnd w:id="9"/>
    </w:p>
    <w:p w14:paraId="08C319C8" w14:textId="77777777" w:rsidR="00143B90" w:rsidRPr="00143B90" w:rsidRDefault="00143B90" w:rsidP="00143B90">
      <w:pPr>
        <w:rPr>
          <w:rFonts w:eastAsia="Times New Roman" w:cs="Times New Roman"/>
          <w:color w:val="000000"/>
          <w:szCs w:val="24"/>
        </w:rPr>
      </w:pPr>
    </w:p>
    <w:p w14:paraId="0A143BB4" w14:textId="46241A84" w:rsidR="002C318B" w:rsidRDefault="002C318B" w:rsidP="00215E95">
      <w:pPr>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(Oct. 30, 2018)</w:t>
      </w:r>
      <w:r w:rsidR="00B46FCE">
        <w:rPr>
          <w:rFonts w:eastAsia="Times New Roman" w:cs="Times New Roman"/>
          <w:color w:val="000000"/>
          <w:szCs w:val="24"/>
        </w:rPr>
        <w:t xml:space="preserve">. </w:t>
      </w:r>
      <w:r w:rsidRPr="00742622">
        <w:rPr>
          <w:rFonts w:eastAsia="Times New Roman" w:cs="Times New Roman"/>
          <w:color w:val="000000"/>
          <w:szCs w:val="24"/>
        </w:rPr>
        <w:t xml:space="preserve">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the intent language in Instruction </w:t>
      </w:r>
      <w:r>
        <w:rPr>
          <w:rFonts w:eastAsia="Times New Roman" w:cs="Times New Roman"/>
          <w:color w:val="000000"/>
          <w:szCs w:val="24"/>
        </w:rPr>
        <w:t>15.35</w:t>
      </w:r>
      <w:r w:rsidRPr="00742622">
        <w:rPr>
          <w:rFonts w:eastAsia="Times New Roman" w:cs="Times New Roman"/>
          <w:color w:val="000000"/>
          <w:szCs w:val="24"/>
        </w:rPr>
        <w:t xml:space="preserve"> (Wire Fraud), which mirrors the intent language for mail fraud in this instruction and held that wire fraud (and thus mail fraud) requires the intent to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The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Court thus overruled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0002195C" w:rsidRPr="0002195C">
        <w:rPr>
          <w:rFonts w:eastAsia="Times New Roman" w:cs="Times New Roman"/>
          <w:color w:val="000000"/>
          <w:szCs w:val="24"/>
        </w:rPr>
        <w:t>580 U.S. 63, 71-72</w:t>
      </w:r>
      <w:r w:rsidR="0002195C" w:rsidRPr="0002195C" w:rsidDel="0002195C">
        <w:rPr>
          <w:rFonts w:eastAsia="Times New Roman" w:cs="Times New Roman"/>
          <w:color w:val="000000"/>
          <w:szCs w:val="24"/>
        </w:rPr>
        <w:t xml:space="preserve"> </w:t>
      </w:r>
      <w:r w:rsidRPr="00742622">
        <w:rPr>
          <w:rFonts w:eastAsia="Times New Roman" w:cs="Times New Roman"/>
          <w:color w:val="000000"/>
          <w:szCs w:val="24"/>
        </w:rPr>
        <w:t>(2016)</w:t>
      </w:r>
      <w:r w:rsidR="00B46FCE">
        <w:rPr>
          <w:rFonts w:eastAsia="Times New Roman" w:cs="Times New Roman"/>
          <w:color w:val="000000"/>
          <w:szCs w:val="24"/>
        </w:rPr>
        <w:t xml:space="preserve">. </w:t>
      </w:r>
      <w:r w:rsidRPr="006F66D3">
        <w:rPr>
          <w:rFonts w:eastAsia="Times New Roman" w:cs="Times New Roman"/>
          <w:i/>
          <w:iCs/>
          <w:color w:val="000000"/>
          <w:szCs w:val="24"/>
        </w:rPr>
        <w:t>M</w:t>
      </w:r>
      <w:r w:rsidRPr="00742622">
        <w:rPr>
          <w:rFonts w:eastAsia="Times New Roman" w:cs="Times New Roman"/>
          <w:i/>
          <w:color w:val="000000"/>
          <w:szCs w:val="24"/>
        </w:rPr>
        <w:t>iller</w:t>
      </w:r>
      <w:r>
        <w:rPr>
          <w:rFonts w:eastAsia="Times New Roman" w:cs="Times New Roman"/>
          <w:i/>
          <w:color w:val="000000"/>
          <w:szCs w:val="24"/>
        </w:rPr>
        <w:t xml:space="preserve">, </w:t>
      </w:r>
      <w:r w:rsidRPr="006F66D3">
        <w:rPr>
          <w:rFonts w:eastAsia="Times New Roman" w:cs="Times New Roman"/>
          <w:iCs/>
          <w:color w:val="000000"/>
          <w:szCs w:val="24"/>
        </w:rPr>
        <w:t>953</w:t>
      </w:r>
      <w:r>
        <w:rPr>
          <w:rFonts w:eastAsia="Times New Roman" w:cs="Times New Roman"/>
          <w:iCs/>
          <w:color w:val="000000"/>
          <w:szCs w:val="24"/>
        </w:rPr>
        <w:t xml:space="preserve"> </w:t>
      </w:r>
      <w:r w:rsidRPr="006F66D3">
        <w:rPr>
          <w:rFonts w:eastAsia="Times New Roman" w:cs="Times New Roman"/>
          <w:iCs/>
          <w:color w:val="000000"/>
          <w:szCs w:val="24"/>
        </w:rPr>
        <w:t>F.3d at 1102</w:t>
      </w:r>
      <w:r>
        <w:rPr>
          <w:rFonts w:eastAsia="Times New Roman" w:cs="Times New Roman"/>
          <w:i/>
          <w:color w:val="000000"/>
          <w:szCs w:val="24"/>
        </w:rPr>
        <w:t xml:space="preserve">. Miller </w:t>
      </w:r>
      <w:r w:rsidRPr="00742622">
        <w:rPr>
          <w:rFonts w:eastAsia="Times New Roman" w:cs="Times New Roman"/>
          <w:color w:val="000000"/>
          <w:szCs w:val="24"/>
        </w:rPr>
        <w:t xml:space="preserve">does not disturb </w:t>
      </w:r>
      <w:r w:rsidRPr="00742622">
        <w:rPr>
          <w:rFonts w:eastAsia="Times New Roman" w:cs="Times New Roman"/>
          <w:i/>
          <w:color w:val="000000"/>
          <w:szCs w:val="24"/>
        </w:rPr>
        <w:t>Holden</w:t>
      </w:r>
      <w:r w:rsidRPr="00742622">
        <w:rPr>
          <w:rFonts w:eastAsia="Times New Roman" w:cs="Times New Roman"/>
          <w:color w:val="000000"/>
          <w:szCs w:val="24"/>
        </w:rPr>
        <w:t>’s ruling that, although the mail and wire fraud statutes expressly punish only those who “devise . . . or intend . . . to devise” a fraudulent scheme, those who “participate in” such a scheme also fall within the statute’s ambit</w:t>
      </w:r>
      <w:r w:rsidR="00B46FCE">
        <w:rPr>
          <w:rFonts w:eastAsia="Times New Roman" w:cs="Times New Roman"/>
          <w:color w:val="000000"/>
          <w:szCs w:val="24"/>
        </w:rPr>
        <w:t xml:space="preserve">.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p>
    <w:p w14:paraId="7FF02DF8" w14:textId="37F97FCE" w:rsidR="0002195C" w:rsidRPr="00742622" w:rsidRDefault="0002195C" w:rsidP="0002195C">
      <w:pPr>
        <w:spacing w:after="19"/>
        <w:rPr>
          <w:rFonts w:eastAsia="Times New Roman" w:cs="Times New Roman"/>
          <w:color w:val="000000"/>
          <w:szCs w:val="24"/>
        </w:rPr>
      </w:pPr>
    </w:p>
    <w:p w14:paraId="3C2077C2" w14:textId="77777777" w:rsidR="0002195C" w:rsidRDefault="0002195C" w:rsidP="0002195C">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proofErr w:type="spellStart"/>
      <w:r w:rsidRPr="00797622">
        <w:rPr>
          <w:rFonts w:eastAsia="Times New Roman" w:cs="Times New Roman"/>
          <w:i/>
          <w:iCs/>
          <w:color w:val="000000"/>
          <w:szCs w:val="24"/>
        </w:rPr>
        <w:t>Kousisis</w:t>
      </w:r>
      <w:proofErr w:type="spellEnd"/>
      <w:r w:rsidRPr="00797622">
        <w:rPr>
          <w:rFonts w:eastAsia="Times New Roman" w:cs="Times New Roman"/>
          <w:i/>
          <w:iCs/>
          <w:color w:val="000000"/>
          <w:szCs w:val="24"/>
        </w:rPr>
        <w:t xml:space="preserve">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p w14:paraId="242DABF0" w14:textId="77777777" w:rsidR="0002195C" w:rsidRDefault="0002195C" w:rsidP="0002195C">
      <w:pPr>
        <w:spacing w:after="19"/>
        <w:rPr>
          <w:rFonts w:eastAsia="Times New Roman" w:cs="Times New Roman"/>
          <w:color w:val="000000"/>
          <w:szCs w:val="24"/>
        </w:rPr>
      </w:pPr>
    </w:p>
    <w:p w14:paraId="1D392624" w14:textId="3DCE4FB6" w:rsidR="007B67BD" w:rsidRPr="007B67BD" w:rsidRDefault="00E42CC1" w:rsidP="0002195C">
      <w:pPr>
        <w:ind w:firstLine="720"/>
        <w:rPr>
          <w:rFonts w:eastAsia="Times New Roman" w:cs="Times New Roman"/>
          <w:color w:val="000000"/>
          <w:szCs w:val="24"/>
        </w:rPr>
      </w:pPr>
      <w:r w:rsidRPr="00E42CC1">
        <w:rPr>
          <w:rFonts w:eastAsia="Times New Roman" w:cs="Times New Roman"/>
          <w:color w:val="000000"/>
          <w:szCs w:val="24"/>
        </w:rPr>
        <w:t xml:space="preserve">Much of the language in this instruction comes from the instructions approved in </w:t>
      </w:r>
      <w:r w:rsidRPr="00E42CC1">
        <w:rPr>
          <w:rFonts w:eastAsia="Times New Roman" w:cs="Times New Roman"/>
          <w:i/>
          <w:color w:val="000000"/>
          <w:szCs w:val="24"/>
        </w:rPr>
        <w:t>United States v. Woods</w:t>
      </w:r>
      <w:r w:rsidRPr="00E42CC1">
        <w:rPr>
          <w:rFonts w:eastAsia="Times New Roman" w:cs="Times New Roman"/>
          <w:color w:val="000000"/>
          <w:szCs w:val="24"/>
        </w:rPr>
        <w:t>, 335 F.3d 993 (9th Cir. 2003)</w:t>
      </w:r>
      <w:r w:rsidR="00B46FCE">
        <w:rPr>
          <w:rFonts w:eastAsia="Times New Roman" w:cs="Times New Roman"/>
          <w:color w:val="000000"/>
          <w:szCs w:val="24"/>
        </w:rPr>
        <w:t xml:space="preserve">. </w:t>
      </w:r>
      <w:r w:rsidRPr="00E42CC1">
        <w:rPr>
          <w:rFonts w:eastAsia="Times New Roman" w:cs="Times New Roman"/>
          <w:color w:val="000000"/>
          <w:szCs w:val="24"/>
        </w:rPr>
        <w:t>Materiality is an essential element of the crime of mail fraud</w:t>
      </w:r>
      <w:r w:rsidR="00B46FCE">
        <w:rPr>
          <w:rFonts w:eastAsia="Times New Roman" w:cs="Times New Roman"/>
          <w:color w:val="000000"/>
          <w:szCs w:val="24"/>
        </w:rPr>
        <w:t xml:space="preserve">. </w:t>
      </w:r>
      <w:r w:rsidRPr="00E42CC1">
        <w:rPr>
          <w:rFonts w:eastAsia="Times New Roman" w:cs="Times New Roman"/>
          <w:i/>
          <w:color w:val="000000"/>
          <w:szCs w:val="24"/>
        </w:rPr>
        <w:t>Neder v. United States</w:t>
      </w:r>
      <w:r w:rsidRPr="00E42CC1">
        <w:rPr>
          <w:rFonts w:eastAsia="Times New Roman" w:cs="Times New Roman"/>
          <w:color w:val="000000"/>
          <w:szCs w:val="24"/>
        </w:rPr>
        <w:t>, 527 U.S. 1 (1999)</w:t>
      </w:r>
      <w:r w:rsidR="00B46FCE">
        <w:rPr>
          <w:rFonts w:eastAsia="Times New Roman" w:cs="Times New Roman"/>
          <w:color w:val="000000"/>
          <w:szCs w:val="24"/>
        </w:rPr>
        <w:t xml:space="preserve">. </w:t>
      </w:r>
      <w:r w:rsidRPr="00E42CC1">
        <w:rPr>
          <w:rFonts w:eastAsia="Times New Roman" w:cs="Times New Roman"/>
          <w:color w:val="000000"/>
          <w:szCs w:val="24"/>
        </w:rPr>
        <w:t xml:space="preserve">Materiality of statements or promises must be established, </w:t>
      </w:r>
      <w:r w:rsidRPr="00E42CC1">
        <w:rPr>
          <w:rFonts w:eastAsia="Times New Roman" w:cs="Times New Roman"/>
          <w:i/>
          <w:color w:val="000000"/>
          <w:szCs w:val="24"/>
        </w:rPr>
        <w:t>United States v. Halbert</w:t>
      </w:r>
      <w:r w:rsidRPr="00E42CC1">
        <w:rPr>
          <w:rFonts w:eastAsia="Times New Roman" w:cs="Times New Roman"/>
          <w:color w:val="000000"/>
          <w:szCs w:val="24"/>
        </w:rPr>
        <w:t xml:space="preserve">, 640 F.2d 1000, 1007 (9th Cir. 1981), but the jury need not unanimously agree that a specific </w:t>
      </w:r>
      <w:proofErr w:type="gramStart"/>
      <w:r w:rsidRPr="00E42CC1">
        <w:rPr>
          <w:rFonts w:eastAsia="Times New Roman" w:cs="Times New Roman"/>
          <w:color w:val="000000"/>
          <w:szCs w:val="24"/>
        </w:rPr>
        <w:t>material</w:t>
      </w:r>
      <w:proofErr w:type="gramEnd"/>
      <w:r w:rsidRPr="00E42CC1">
        <w:rPr>
          <w:rFonts w:eastAsia="Times New Roman" w:cs="Times New Roman"/>
          <w:color w:val="000000"/>
          <w:szCs w:val="24"/>
        </w:rPr>
        <w:t xml:space="preserve"> false statement was made</w:t>
      </w:r>
      <w:r w:rsidR="00B46FCE">
        <w:rPr>
          <w:rFonts w:eastAsia="Times New Roman" w:cs="Times New Roman"/>
          <w:color w:val="000000"/>
          <w:szCs w:val="24"/>
        </w:rPr>
        <w:t xml:space="preserve">. </w:t>
      </w:r>
      <w:r w:rsidRPr="00E42CC1">
        <w:rPr>
          <w:rFonts w:eastAsia="Times New Roman" w:cs="Times New Roman"/>
          <w:i/>
          <w:color w:val="000000"/>
          <w:szCs w:val="24"/>
        </w:rPr>
        <w:t>United States v. Lyons</w:t>
      </w:r>
      <w:r w:rsidRPr="00E42CC1">
        <w:rPr>
          <w:rFonts w:eastAsia="Times New Roman" w:cs="Times New Roman"/>
          <w:color w:val="000000"/>
          <w:szCs w:val="24"/>
        </w:rPr>
        <w:t>, 472 F.3d 1055, 1068 (9th Cir. 2007)</w:t>
      </w:r>
      <w:r w:rsidR="00B46FCE">
        <w:rPr>
          <w:rFonts w:eastAsia="Times New Roman" w:cs="Times New Roman"/>
          <w:color w:val="000000"/>
          <w:szCs w:val="24"/>
        </w:rPr>
        <w:t xml:space="preserve">. </w:t>
      </w:r>
      <w:r w:rsidRPr="00E42CC1">
        <w:rPr>
          <w:rFonts w:eastAsia="Times New Roman" w:cs="Times New Roman"/>
          <w:color w:val="000000"/>
          <w:szCs w:val="24"/>
        </w:rPr>
        <w:t>Materiality is a question of fact for the jury</w:t>
      </w:r>
      <w:r w:rsidR="00B46FCE">
        <w:rPr>
          <w:rFonts w:eastAsia="Times New Roman" w:cs="Times New Roman"/>
          <w:color w:val="000000"/>
          <w:szCs w:val="24"/>
        </w:rPr>
        <w:t xml:space="preserve">. </w:t>
      </w:r>
      <w:r w:rsidRPr="00E42CC1">
        <w:rPr>
          <w:rFonts w:eastAsia="Times New Roman" w:cs="Times New Roman"/>
          <w:i/>
          <w:color w:val="000000"/>
          <w:szCs w:val="24"/>
        </w:rPr>
        <w:t>United States v. Carpenter</w:t>
      </w:r>
      <w:r w:rsidRPr="00E42CC1">
        <w:rPr>
          <w:rFonts w:eastAsia="Times New Roman" w:cs="Times New Roman"/>
          <w:color w:val="000000"/>
          <w:szCs w:val="24"/>
        </w:rPr>
        <w:t>, 95 F.3d 773, 776 (9th Cir. 1996). The common</w:t>
      </w:r>
      <w:r w:rsidR="00726C7A">
        <w:rPr>
          <w:rFonts w:eastAsia="Times New Roman" w:cs="Times New Roman"/>
          <w:color w:val="000000"/>
          <w:szCs w:val="24"/>
        </w:rPr>
        <w:t xml:space="preserve"> </w:t>
      </w:r>
      <w:r w:rsidRPr="00E42CC1">
        <w:rPr>
          <w:rFonts w:eastAsia="Times New Roman" w:cs="Times New Roman"/>
          <w:color w:val="000000"/>
          <w:szCs w:val="24"/>
        </w:rPr>
        <w:t xml:space="preserve">law test for materiality in the false-statement statutes, as reflected in the second element of this instruction, is the preferred </w:t>
      </w:r>
      <w:r w:rsidRPr="00E42CC1">
        <w:rPr>
          <w:rFonts w:eastAsia="Times New Roman" w:cs="Times New Roman"/>
          <w:color w:val="000000"/>
          <w:szCs w:val="24"/>
        </w:rPr>
        <w:lastRenderedPageBreak/>
        <w:t>formulation</w:t>
      </w:r>
      <w:r w:rsidR="00B46FCE">
        <w:rPr>
          <w:rFonts w:eastAsia="Times New Roman" w:cs="Times New Roman"/>
          <w:color w:val="000000"/>
          <w:szCs w:val="24"/>
        </w:rPr>
        <w:t xml:space="preserve">. </w:t>
      </w:r>
      <w:r w:rsidRPr="00E42CC1">
        <w:rPr>
          <w:rFonts w:eastAsia="Times New Roman" w:cs="Times New Roman"/>
          <w:i/>
          <w:color w:val="000000"/>
          <w:szCs w:val="24"/>
        </w:rPr>
        <w:t>United States v. Peterson</w:t>
      </w:r>
      <w:r w:rsidRPr="00E42CC1">
        <w:rPr>
          <w:rFonts w:eastAsia="Times New Roman" w:cs="Times New Roman"/>
          <w:color w:val="000000"/>
          <w:szCs w:val="24"/>
        </w:rPr>
        <w:t>, 538 F.3d 1064, 1072 (9th Cir. 2008)</w:t>
      </w:r>
      <w:r w:rsidR="00B46FCE">
        <w:rPr>
          <w:rFonts w:eastAsia="Times New Roman" w:cs="Times New Roman"/>
          <w:color w:val="000000"/>
          <w:szCs w:val="24"/>
        </w:rPr>
        <w:t xml:space="preserve">. </w:t>
      </w:r>
      <w:r w:rsidR="0060528A" w:rsidRPr="0060528A">
        <w:rPr>
          <w:rFonts w:eastAsia="Times New Roman" w:cs="Times New Roman"/>
          <w:color w:val="000000"/>
          <w:szCs w:val="24"/>
        </w:rPr>
        <w:t xml:space="preserve">For cases involving a scheme to induce a victim to enter a bargain, in order for a misrepresentation to constitute fraud, the misrepresentation “must . . . go to the nature of the bargain.” </w:t>
      </w:r>
      <w:r w:rsidR="0060528A" w:rsidRPr="0060528A">
        <w:rPr>
          <w:rFonts w:eastAsia="Times New Roman" w:cs="Times New Roman"/>
          <w:i/>
          <w:iCs/>
          <w:color w:val="000000"/>
          <w:szCs w:val="24"/>
        </w:rPr>
        <w:t>United States v. Milheiser</w:t>
      </w:r>
      <w:r w:rsidR="0060528A" w:rsidRPr="0060528A">
        <w:rPr>
          <w:rFonts w:eastAsia="Times New Roman" w:cs="Times New Roman"/>
          <w:color w:val="000000"/>
          <w:szCs w:val="24"/>
        </w:rPr>
        <w:t xml:space="preserve">, 98 F.4th 935, 938, 944-45 (9th Cir. 2024) (“The nature of the bargain requirement properly excludes from liability cases in which a defendant’s misrepresentations about collateral matters may have led to the </w:t>
      </w:r>
      <w:proofErr w:type="gramStart"/>
      <w:r w:rsidR="0060528A" w:rsidRPr="0060528A">
        <w:rPr>
          <w:rFonts w:eastAsia="Times New Roman" w:cs="Times New Roman"/>
          <w:color w:val="000000"/>
          <w:szCs w:val="24"/>
        </w:rPr>
        <w:t>transaction</w:t>
      </w:r>
      <w:proofErr w:type="gramEnd"/>
      <w:r w:rsidR="0060528A" w:rsidRPr="0060528A">
        <w:rPr>
          <w:rFonts w:eastAsia="Times New Roman" w:cs="Times New Roman"/>
          <w:color w:val="000000"/>
          <w:szCs w:val="24"/>
        </w:rPr>
        <w:t xml:space="preserve"> but the buyer still got the product that she expected at the price she expected.”).</w:t>
      </w:r>
    </w:p>
    <w:p w14:paraId="3E473B47" w14:textId="77777777" w:rsidR="00E42CC1" w:rsidRPr="00E42CC1" w:rsidRDefault="00E42CC1" w:rsidP="00E42CC1">
      <w:pPr>
        <w:rPr>
          <w:rFonts w:eastAsia="Times New Roman" w:cs="Times New Roman"/>
          <w:color w:val="000000"/>
          <w:szCs w:val="24"/>
        </w:rPr>
      </w:pPr>
    </w:p>
    <w:p w14:paraId="6365DBFC" w14:textId="721A234D"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 xml:space="preserve">For cases involving the failure to disclose material information, </w:t>
      </w:r>
      <w:r w:rsidRPr="00E42CC1">
        <w:rPr>
          <w:rFonts w:eastAsia="Times New Roman" w:cs="Times New Roman"/>
          <w:i/>
          <w:color w:val="000000"/>
          <w:szCs w:val="24"/>
        </w:rPr>
        <w:t>see United States v. Shields</w:t>
      </w:r>
      <w:r w:rsidRPr="00E42CC1">
        <w:rPr>
          <w:rFonts w:eastAsia="Times New Roman" w:cs="Times New Roman"/>
          <w:color w:val="000000"/>
          <w:szCs w:val="24"/>
        </w:rPr>
        <w:t xml:space="preserve">, 844 F.3d 819, 822-23 (9th Cir. 2016); </w:t>
      </w:r>
      <w:r w:rsidRPr="00E42CC1">
        <w:rPr>
          <w:rFonts w:eastAsia="Times New Roman" w:cs="Times New Roman"/>
          <w:i/>
          <w:color w:val="000000"/>
          <w:szCs w:val="24"/>
        </w:rPr>
        <w:t>United States v. Milovanovic</w:t>
      </w:r>
      <w:r w:rsidRPr="00E42CC1">
        <w:rPr>
          <w:rFonts w:eastAsia="Times New Roman" w:cs="Times New Roman"/>
          <w:color w:val="000000"/>
          <w:szCs w:val="24"/>
        </w:rPr>
        <w:t>, 678 F.3d 713, 723-24 (9th Cir. 2012).</w:t>
      </w:r>
      <w:r w:rsidR="00B46FCE">
        <w:rPr>
          <w:rFonts w:eastAsia="Times New Roman" w:cs="Times New Roman"/>
          <w:color w:val="000000"/>
          <w:szCs w:val="24"/>
        </w:rPr>
        <w:t xml:space="preserve"> </w:t>
      </w:r>
      <w:r w:rsidRPr="00E42CC1">
        <w:rPr>
          <w:rFonts w:eastAsia="Times New Roman" w:cs="Times New Roman"/>
          <w:color w:val="000000"/>
          <w:szCs w:val="24"/>
        </w:rPr>
        <w:t xml:space="preserve">For a definition of “fiduciary” duty, </w:t>
      </w:r>
      <w:r w:rsidRPr="00E42CC1">
        <w:rPr>
          <w:rFonts w:eastAsia="Times New Roman" w:cs="Times New Roman"/>
          <w:i/>
          <w:color w:val="000000"/>
          <w:szCs w:val="24"/>
        </w:rPr>
        <w:t xml:space="preserve">see </w:t>
      </w:r>
      <w:r w:rsidRPr="00E42CC1">
        <w:rPr>
          <w:rFonts w:eastAsia="Times New Roman" w:cs="Times New Roman"/>
          <w:color w:val="000000"/>
          <w:szCs w:val="24"/>
        </w:rPr>
        <w:t>Instruction 15.34 (Mail Fraud—Scheme to Defraud—Deprivation of Intangible Right of Honest Services).</w:t>
      </w:r>
    </w:p>
    <w:p w14:paraId="55B544A9" w14:textId="77777777" w:rsidR="00E42CC1" w:rsidRPr="00E42CC1" w:rsidRDefault="00E42CC1" w:rsidP="00E42CC1">
      <w:pPr>
        <w:rPr>
          <w:rFonts w:eastAsia="Times New Roman" w:cs="Times New Roman"/>
          <w:color w:val="000000"/>
          <w:szCs w:val="24"/>
        </w:rPr>
      </w:pPr>
    </w:p>
    <w:p w14:paraId="2617F9BD" w14:textId="77777777"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 xml:space="preserve">Success of the scheme is immaterial. </w:t>
      </w:r>
      <w:r w:rsidRPr="00E42CC1">
        <w:rPr>
          <w:rFonts w:eastAsia="Times New Roman" w:cs="Times New Roman"/>
          <w:i/>
          <w:color w:val="000000"/>
          <w:szCs w:val="24"/>
        </w:rPr>
        <w:t>United States v. Rude</w:t>
      </w:r>
      <w:r w:rsidRPr="00E42CC1">
        <w:rPr>
          <w:rFonts w:eastAsia="Times New Roman" w:cs="Times New Roman"/>
          <w:color w:val="000000"/>
          <w:szCs w:val="24"/>
        </w:rPr>
        <w:t xml:space="preserve">, 88 F.3d 1538, 1547 (9th Cir. 1996); </w:t>
      </w:r>
      <w:r w:rsidRPr="00E42CC1">
        <w:rPr>
          <w:rFonts w:eastAsia="Times New Roman" w:cs="Times New Roman"/>
          <w:i/>
          <w:color w:val="000000"/>
          <w:szCs w:val="24"/>
        </w:rPr>
        <w:t>United States v. Utz</w:t>
      </w:r>
      <w:r w:rsidRPr="00E42CC1">
        <w:rPr>
          <w:rFonts w:eastAsia="Times New Roman" w:cs="Times New Roman"/>
          <w:color w:val="000000"/>
          <w:szCs w:val="24"/>
        </w:rPr>
        <w:t>, 886 F.2d 1148, 1150-51 (9th Cir. 1989).</w:t>
      </w:r>
    </w:p>
    <w:p w14:paraId="00D4822F" w14:textId="77777777" w:rsidR="00E42CC1" w:rsidRPr="00E42CC1" w:rsidRDefault="00E42CC1" w:rsidP="00E42CC1">
      <w:pPr>
        <w:rPr>
          <w:rFonts w:eastAsia="Times New Roman" w:cs="Times New Roman"/>
          <w:color w:val="000000"/>
          <w:szCs w:val="24"/>
        </w:rPr>
      </w:pPr>
    </w:p>
    <w:p w14:paraId="7392F33A" w14:textId="334C6E18"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t>“[M]</w:t>
      </w:r>
      <w:proofErr w:type="spellStart"/>
      <w:r w:rsidRPr="00E42CC1">
        <w:rPr>
          <w:rFonts w:eastAsia="Times New Roman" w:cs="Times New Roman"/>
          <w:color w:val="000000"/>
          <w:szCs w:val="24"/>
        </w:rPr>
        <w:t>ailings</w:t>
      </w:r>
      <w:proofErr w:type="spellEnd"/>
      <w:r w:rsidRPr="00E42CC1">
        <w:rPr>
          <w:rFonts w:eastAsia="Times New Roman" w:cs="Times New Roman"/>
          <w:color w:val="000000"/>
          <w:szCs w:val="24"/>
        </w:rPr>
        <w:t xml:space="preserve"> designed to avoid detection or responsibility for a fraudulent scheme”—even if sent after the proceeds of the fraud have been obtained—may satisfy the fourth element of the instruction if “they are sent prior to the scheme’s completion.”  </w:t>
      </w:r>
      <w:r w:rsidRPr="00E42CC1">
        <w:rPr>
          <w:rFonts w:eastAsia="Times New Roman" w:cs="Times New Roman"/>
          <w:i/>
          <w:color w:val="000000"/>
          <w:szCs w:val="24"/>
        </w:rPr>
        <w:t>United States v. Tanke</w:t>
      </w:r>
      <w:r w:rsidRPr="00E42CC1">
        <w:rPr>
          <w:rFonts w:eastAsia="Times New Roman" w:cs="Times New Roman"/>
          <w:color w:val="000000"/>
          <w:szCs w:val="24"/>
        </w:rPr>
        <w:t>, 743 F.3d 1296, 1305 (9th Cir. 2014)</w:t>
      </w:r>
      <w:r w:rsidR="00B46FCE">
        <w:rPr>
          <w:rFonts w:eastAsia="Times New Roman" w:cs="Times New Roman"/>
          <w:color w:val="000000"/>
          <w:szCs w:val="24"/>
        </w:rPr>
        <w:t xml:space="preserve">. </w:t>
      </w:r>
      <w:r w:rsidRPr="00E42CC1">
        <w:rPr>
          <w:rFonts w:eastAsia="Times New Roman" w:cs="Times New Roman"/>
          <w:color w:val="000000"/>
          <w:szCs w:val="24"/>
        </w:rPr>
        <w:t>To determine when the scheme ends, the jury must look to the scope of the scheme as devised by the perpetrator</w:t>
      </w:r>
      <w:r w:rsidR="00B46FCE">
        <w:rPr>
          <w:rFonts w:eastAsia="Times New Roman" w:cs="Times New Roman"/>
          <w:color w:val="000000"/>
          <w:szCs w:val="24"/>
        </w:rPr>
        <w:t xml:space="preserve">. </w:t>
      </w:r>
      <w:r w:rsidRPr="00E42CC1">
        <w:rPr>
          <w:rFonts w:eastAsia="Times New Roman" w:cs="Times New Roman"/>
          <w:i/>
          <w:color w:val="000000"/>
          <w:szCs w:val="24"/>
        </w:rPr>
        <w:t>Id</w:t>
      </w:r>
      <w:r w:rsidR="00B46FCE">
        <w:rPr>
          <w:rFonts w:eastAsia="Times New Roman" w:cs="Times New Roman"/>
          <w:i/>
          <w:color w:val="000000"/>
          <w:szCs w:val="24"/>
        </w:rPr>
        <w:t xml:space="preserve">. </w:t>
      </w:r>
      <w:r w:rsidRPr="00E42CC1">
        <w:rPr>
          <w:rFonts w:eastAsia="Times New Roman" w:cs="Times New Roman"/>
          <w:color w:val="000000"/>
          <w:szCs w:val="24"/>
        </w:rPr>
        <w:t xml:space="preserve">But allowance must be made for the reality that fraudulent schemes “may evolve over time, contemplate no fixed end date or adapt to changed circumstances.”  </w:t>
      </w:r>
      <w:proofErr w:type="gramStart"/>
      <w:r w:rsidRPr="00E42CC1">
        <w:rPr>
          <w:rFonts w:eastAsia="Times New Roman" w:cs="Times New Roman"/>
          <w:i/>
          <w:color w:val="000000"/>
          <w:szCs w:val="24"/>
        </w:rPr>
        <w:t>Id.;</w:t>
      </w:r>
      <w:proofErr w:type="gramEnd"/>
      <w:r w:rsidRPr="00E42CC1">
        <w:rPr>
          <w:rFonts w:eastAsia="Times New Roman" w:cs="Times New Roman"/>
          <w:i/>
          <w:color w:val="000000"/>
          <w:szCs w:val="24"/>
        </w:rPr>
        <w:t xml:space="preserve"> see also Schmuck v. United States</w:t>
      </w:r>
      <w:r w:rsidRPr="00E42CC1">
        <w:rPr>
          <w:rFonts w:eastAsia="Times New Roman" w:cs="Times New Roman"/>
          <w:color w:val="000000"/>
          <w:szCs w:val="24"/>
        </w:rPr>
        <w:t xml:space="preserve">, 489 U.S. 705, 712 (1989) (holding that mailing that is “incident to an essential part of the scheme” or “a step in the plot” satisfies mailing element of offense); </w:t>
      </w:r>
      <w:r w:rsidRPr="00E42CC1">
        <w:rPr>
          <w:rFonts w:eastAsia="Times New Roman" w:cs="Times New Roman"/>
          <w:i/>
          <w:color w:val="000000"/>
          <w:szCs w:val="24"/>
        </w:rPr>
        <w:t>United States v. Hubbard</w:t>
      </w:r>
      <w:r w:rsidRPr="00E42CC1">
        <w:rPr>
          <w:rFonts w:eastAsia="Times New Roman" w:cs="Times New Roman"/>
          <w:color w:val="000000"/>
          <w:szCs w:val="24"/>
        </w:rPr>
        <w:t>, 96 F.3d 1223, 1228-29 (9th Cir. 1996) (same).</w:t>
      </w:r>
      <w:r w:rsidRPr="00E42CC1">
        <w:rPr>
          <w:rFonts w:eastAsia="Times New Roman" w:cs="Times New Roman"/>
          <w:color w:val="000000"/>
          <w:szCs w:val="24"/>
        </w:rPr>
        <w:br/>
      </w:r>
    </w:p>
    <w:p w14:paraId="6789F413" w14:textId="77777777" w:rsidR="00E42CC1" w:rsidRPr="00E42CC1" w:rsidRDefault="00E42CC1" w:rsidP="00E42CC1">
      <w:pPr>
        <w:rPr>
          <w:rFonts w:eastAsia="Times New Roman" w:cs="Times New Roman"/>
          <w:color w:val="000000"/>
          <w:szCs w:val="24"/>
        </w:rPr>
      </w:pPr>
      <w:r w:rsidRPr="00E42CC1">
        <w:rPr>
          <w:rFonts w:eastAsia="Times New Roman" w:cs="Times New Roman"/>
          <w:color w:val="000000"/>
          <w:szCs w:val="24"/>
        </w:rPr>
        <w:tab/>
      </w:r>
      <w:r w:rsidRPr="00E42CC1">
        <w:rPr>
          <w:rFonts w:eastAsia="Times New Roman" w:cs="Times New Roman"/>
          <w:i/>
          <w:color w:val="000000"/>
          <w:szCs w:val="24"/>
        </w:rPr>
        <w:t xml:space="preserve">See United States v. </w:t>
      </w:r>
      <w:proofErr w:type="spellStart"/>
      <w:r w:rsidRPr="00E42CC1">
        <w:rPr>
          <w:rFonts w:eastAsia="Times New Roman" w:cs="Times New Roman"/>
          <w:i/>
          <w:color w:val="000000"/>
          <w:szCs w:val="24"/>
        </w:rPr>
        <w:t>LeVeque</w:t>
      </w:r>
      <w:proofErr w:type="spellEnd"/>
      <w:r w:rsidRPr="00E42CC1">
        <w:rPr>
          <w:rFonts w:eastAsia="Times New Roman" w:cs="Times New Roman"/>
          <w:i/>
          <w:color w:val="000000"/>
          <w:szCs w:val="24"/>
        </w:rPr>
        <w:t>,</w:t>
      </w:r>
      <w:r w:rsidRPr="00E42CC1">
        <w:rPr>
          <w:rFonts w:eastAsia="Times New Roman" w:cs="Times New Roman"/>
          <w:color w:val="000000"/>
          <w:szCs w:val="24"/>
        </w:rPr>
        <w:t xml:space="preserve"> 283 F.3d 1098, 1102 (9th Cir. 2002) (holding that government-issued license does not constitute property for purposes of § 1341).</w:t>
      </w:r>
    </w:p>
    <w:p w14:paraId="326579F5" w14:textId="77777777" w:rsidR="00E42CC1" w:rsidRPr="00E42CC1" w:rsidRDefault="00E42CC1" w:rsidP="00E42CC1">
      <w:pPr>
        <w:rPr>
          <w:rFonts w:eastAsia="Times New Roman" w:cs="Times New Roman"/>
          <w:color w:val="000000"/>
          <w:szCs w:val="24"/>
        </w:rPr>
      </w:pPr>
    </w:p>
    <w:p w14:paraId="7A048BE9" w14:textId="0C26368D" w:rsidR="00E42CC1" w:rsidRPr="00E42CC1" w:rsidRDefault="00E42CC1" w:rsidP="00E42CC1">
      <w:pPr>
        <w:rPr>
          <w:rFonts w:eastAsia="Times New Roman" w:cs="Times New Roman"/>
          <w:color w:val="000000"/>
          <w:szCs w:val="24"/>
        </w:rPr>
      </w:pPr>
      <w:r w:rsidRPr="00E42CC1">
        <w:rPr>
          <w:rFonts w:eastAsia="Times New Roman" w:cs="Times New Roman"/>
          <w:szCs w:val="24"/>
        </w:rPr>
        <w:tab/>
        <w:t xml:space="preserve">A charge of mail fraud can be premised on a mailing that, although not sent by the defendant, was “incident to an essential part of the scheme.”  </w:t>
      </w:r>
      <w:r w:rsidRPr="00E42CC1">
        <w:rPr>
          <w:rFonts w:eastAsia="Times New Roman" w:cs="Times New Roman"/>
          <w:i/>
          <w:szCs w:val="24"/>
        </w:rPr>
        <w:t xml:space="preserve">United States v. </w:t>
      </w:r>
      <w:proofErr w:type="spellStart"/>
      <w:r w:rsidRPr="00E42CC1">
        <w:rPr>
          <w:rFonts w:eastAsia="Times New Roman" w:cs="Times New Roman"/>
          <w:i/>
          <w:szCs w:val="24"/>
        </w:rPr>
        <w:t>Eglash</w:t>
      </w:r>
      <w:proofErr w:type="spellEnd"/>
      <w:r w:rsidRPr="00E42CC1">
        <w:rPr>
          <w:rFonts w:eastAsia="Times New Roman" w:cs="Times New Roman"/>
          <w:szCs w:val="24"/>
        </w:rPr>
        <w:t xml:space="preserve">, 813 F.3d 882, 886 (9th Cir. 2016) (quoting </w:t>
      </w:r>
      <w:r w:rsidRPr="00E42CC1">
        <w:rPr>
          <w:rFonts w:eastAsia="Times New Roman" w:cs="Times New Roman"/>
          <w:i/>
          <w:szCs w:val="24"/>
        </w:rPr>
        <w:t>Schmuck</w:t>
      </w:r>
      <w:r w:rsidRPr="00E42CC1">
        <w:rPr>
          <w:rFonts w:eastAsia="Times New Roman" w:cs="Times New Roman"/>
          <w:szCs w:val="24"/>
        </w:rPr>
        <w:t>, 489 U.S. at 721</w:t>
      </w:r>
      <w:r w:rsidR="00726C7A">
        <w:rPr>
          <w:rFonts w:eastAsia="Times New Roman" w:cs="Times New Roman"/>
          <w:szCs w:val="24"/>
        </w:rPr>
        <w:t>)</w:t>
      </w:r>
      <w:r w:rsidRPr="00E42CC1">
        <w:rPr>
          <w:rFonts w:eastAsia="Times New Roman" w:cs="Times New Roman"/>
          <w:szCs w:val="24"/>
        </w:rPr>
        <w:t xml:space="preserve"> </w:t>
      </w:r>
      <w:r w:rsidRPr="00E42CC1">
        <w:rPr>
          <w:rFonts w:eastAsia="Times New Roman" w:cs="Times New Roman"/>
          <w:color w:val="000000"/>
          <w:szCs w:val="24"/>
        </w:rPr>
        <w:t xml:space="preserve">(affirming conviction for mail fraud premised on Social Security Administration’s mailing of notice of disability award); </w:t>
      </w:r>
      <w:r w:rsidRPr="00E42CC1">
        <w:rPr>
          <w:rFonts w:eastAsia="Times New Roman" w:cs="Times New Roman"/>
          <w:i/>
          <w:color w:val="000000"/>
          <w:szCs w:val="24"/>
        </w:rPr>
        <w:t>see also United States v. Brown</w:t>
      </w:r>
      <w:r w:rsidRPr="00E42CC1">
        <w:rPr>
          <w:rFonts w:eastAsia="Times New Roman" w:cs="Times New Roman"/>
          <w:color w:val="000000"/>
          <w:szCs w:val="24"/>
        </w:rPr>
        <w:t>, 771 F.3d 1149, 1158 (9th Cir. 2014) (affirming conviction for mail fraud based on mailings by bankruptcy court of Notice of Chapter 7 Bankruptcy Case and Notice of Discharge).</w:t>
      </w:r>
    </w:p>
    <w:p w14:paraId="0ACE18C0" w14:textId="6FC929A5" w:rsidR="00C97E04" w:rsidRPr="00E42CC1" w:rsidRDefault="00E42CC1" w:rsidP="00E42CC1">
      <w:pPr>
        <w:jc w:val="right"/>
      </w:pPr>
      <w:r w:rsidRPr="00E42CC1">
        <w:rPr>
          <w:rFonts w:eastAsia="Times New Roman" w:cs="Times New Roman"/>
          <w:i/>
          <w:color w:val="000000"/>
          <w:szCs w:val="24"/>
        </w:rPr>
        <w:t xml:space="preserve">Revised </w:t>
      </w:r>
      <w:r w:rsidR="0002195C">
        <w:rPr>
          <w:rFonts w:eastAsia="Times New Roman" w:cs="Times New Roman"/>
          <w:i/>
          <w:iCs/>
          <w:szCs w:val="20"/>
        </w:rPr>
        <w:t xml:space="preserve">September </w:t>
      </w:r>
      <w:r w:rsidR="0060528A">
        <w:rPr>
          <w:rFonts w:eastAsia="Times New Roman" w:cs="Times New Roman"/>
          <w:i/>
          <w:iCs/>
          <w:szCs w:val="20"/>
        </w:rPr>
        <w:t>2025</w:t>
      </w:r>
    </w:p>
    <w:sectPr w:rsidR="00C97E04" w:rsidRPr="00E42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70DB"/>
    <w:rsid w:val="0002195C"/>
    <w:rsid w:val="00047FEE"/>
    <w:rsid w:val="00057085"/>
    <w:rsid w:val="00057C6F"/>
    <w:rsid w:val="00061C42"/>
    <w:rsid w:val="00067581"/>
    <w:rsid w:val="00081D40"/>
    <w:rsid w:val="000962BD"/>
    <w:rsid w:val="000C0753"/>
    <w:rsid w:val="000C374B"/>
    <w:rsid w:val="000C6EEA"/>
    <w:rsid w:val="000E46DD"/>
    <w:rsid w:val="00111C8E"/>
    <w:rsid w:val="00115880"/>
    <w:rsid w:val="001170D8"/>
    <w:rsid w:val="00120EE6"/>
    <w:rsid w:val="001260EC"/>
    <w:rsid w:val="00136279"/>
    <w:rsid w:val="001434E7"/>
    <w:rsid w:val="00143B90"/>
    <w:rsid w:val="00156233"/>
    <w:rsid w:val="00156526"/>
    <w:rsid w:val="00194460"/>
    <w:rsid w:val="0019527A"/>
    <w:rsid w:val="001A0B87"/>
    <w:rsid w:val="001B4048"/>
    <w:rsid w:val="001C162D"/>
    <w:rsid w:val="001D0020"/>
    <w:rsid w:val="001D1F41"/>
    <w:rsid w:val="001D621E"/>
    <w:rsid w:val="00215E95"/>
    <w:rsid w:val="00220C16"/>
    <w:rsid w:val="00226C52"/>
    <w:rsid w:val="002330DD"/>
    <w:rsid w:val="00251B8E"/>
    <w:rsid w:val="00266991"/>
    <w:rsid w:val="002810F9"/>
    <w:rsid w:val="00292D67"/>
    <w:rsid w:val="00294291"/>
    <w:rsid w:val="002A23F9"/>
    <w:rsid w:val="002B4922"/>
    <w:rsid w:val="002C008C"/>
    <w:rsid w:val="002C318B"/>
    <w:rsid w:val="002C3980"/>
    <w:rsid w:val="002D2353"/>
    <w:rsid w:val="002D6651"/>
    <w:rsid w:val="002F2125"/>
    <w:rsid w:val="00311B89"/>
    <w:rsid w:val="00385EAC"/>
    <w:rsid w:val="00392DA5"/>
    <w:rsid w:val="003A725E"/>
    <w:rsid w:val="003B4349"/>
    <w:rsid w:val="003C523D"/>
    <w:rsid w:val="003D3221"/>
    <w:rsid w:val="003E3B95"/>
    <w:rsid w:val="003F44F6"/>
    <w:rsid w:val="00401002"/>
    <w:rsid w:val="00412CD5"/>
    <w:rsid w:val="00420260"/>
    <w:rsid w:val="004232A7"/>
    <w:rsid w:val="00430CFC"/>
    <w:rsid w:val="00443346"/>
    <w:rsid w:val="00443FE7"/>
    <w:rsid w:val="004A2CFB"/>
    <w:rsid w:val="004B5F30"/>
    <w:rsid w:val="004D1662"/>
    <w:rsid w:val="004E4259"/>
    <w:rsid w:val="00542361"/>
    <w:rsid w:val="00550ED2"/>
    <w:rsid w:val="00563751"/>
    <w:rsid w:val="005A5D41"/>
    <w:rsid w:val="005A7428"/>
    <w:rsid w:val="005D7F8A"/>
    <w:rsid w:val="005F3127"/>
    <w:rsid w:val="0060528A"/>
    <w:rsid w:val="00611990"/>
    <w:rsid w:val="00623212"/>
    <w:rsid w:val="00646A26"/>
    <w:rsid w:val="006648F6"/>
    <w:rsid w:val="00666C6F"/>
    <w:rsid w:val="006752C5"/>
    <w:rsid w:val="00675651"/>
    <w:rsid w:val="006831BD"/>
    <w:rsid w:val="006B3C0B"/>
    <w:rsid w:val="006C06EF"/>
    <w:rsid w:val="006E4558"/>
    <w:rsid w:val="006E580B"/>
    <w:rsid w:val="006F1137"/>
    <w:rsid w:val="007008EB"/>
    <w:rsid w:val="00726C7A"/>
    <w:rsid w:val="00727B2F"/>
    <w:rsid w:val="007437A7"/>
    <w:rsid w:val="00755375"/>
    <w:rsid w:val="0075689F"/>
    <w:rsid w:val="00765755"/>
    <w:rsid w:val="00777E91"/>
    <w:rsid w:val="007847F9"/>
    <w:rsid w:val="007A1B33"/>
    <w:rsid w:val="007A64D2"/>
    <w:rsid w:val="007B67BD"/>
    <w:rsid w:val="007C6517"/>
    <w:rsid w:val="007D1A93"/>
    <w:rsid w:val="007D3281"/>
    <w:rsid w:val="007E1171"/>
    <w:rsid w:val="007E2515"/>
    <w:rsid w:val="007E26F8"/>
    <w:rsid w:val="007E6330"/>
    <w:rsid w:val="007E7D79"/>
    <w:rsid w:val="00812338"/>
    <w:rsid w:val="00813014"/>
    <w:rsid w:val="00833FBC"/>
    <w:rsid w:val="0084557C"/>
    <w:rsid w:val="00850868"/>
    <w:rsid w:val="00890E7A"/>
    <w:rsid w:val="008962A3"/>
    <w:rsid w:val="008B4376"/>
    <w:rsid w:val="008B6CE7"/>
    <w:rsid w:val="008D6F91"/>
    <w:rsid w:val="008E0DF1"/>
    <w:rsid w:val="008E5173"/>
    <w:rsid w:val="008E5CC5"/>
    <w:rsid w:val="008E7EEF"/>
    <w:rsid w:val="008F4DD0"/>
    <w:rsid w:val="00905381"/>
    <w:rsid w:val="00906160"/>
    <w:rsid w:val="009131BF"/>
    <w:rsid w:val="00914718"/>
    <w:rsid w:val="00960109"/>
    <w:rsid w:val="00960C76"/>
    <w:rsid w:val="00970FDC"/>
    <w:rsid w:val="00970FFD"/>
    <w:rsid w:val="00986161"/>
    <w:rsid w:val="009864D4"/>
    <w:rsid w:val="009940D5"/>
    <w:rsid w:val="009947F5"/>
    <w:rsid w:val="009A2700"/>
    <w:rsid w:val="009A792F"/>
    <w:rsid w:val="009B677D"/>
    <w:rsid w:val="009C0C69"/>
    <w:rsid w:val="009C26D0"/>
    <w:rsid w:val="009D0413"/>
    <w:rsid w:val="009E60A8"/>
    <w:rsid w:val="009F0A7C"/>
    <w:rsid w:val="009F5EAA"/>
    <w:rsid w:val="009F5ED7"/>
    <w:rsid w:val="00A061FD"/>
    <w:rsid w:val="00A61FA2"/>
    <w:rsid w:val="00A64334"/>
    <w:rsid w:val="00A67152"/>
    <w:rsid w:val="00AA2B06"/>
    <w:rsid w:val="00AE0152"/>
    <w:rsid w:val="00AE279C"/>
    <w:rsid w:val="00AE2DFC"/>
    <w:rsid w:val="00AE2FCD"/>
    <w:rsid w:val="00AF516D"/>
    <w:rsid w:val="00B0682D"/>
    <w:rsid w:val="00B1505D"/>
    <w:rsid w:val="00B21672"/>
    <w:rsid w:val="00B43CDA"/>
    <w:rsid w:val="00B451BD"/>
    <w:rsid w:val="00B46909"/>
    <w:rsid w:val="00B46FCE"/>
    <w:rsid w:val="00B50EA4"/>
    <w:rsid w:val="00B84EB9"/>
    <w:rsid w:val="00B961AC"/>
    <w:rsid w:val="00BA3B85"/>
    <w:rsid w:val="00BD186E"/>
    <w:rsid w:val="00BD1E72"/>
    <w:rsid w:val="00BE0F07"/>
    <w:rsid w:val="00BE1BC9"/>
    <w:rsid w:val="00C02A50"/>
    <w:rsid w:val="00C3129B"/>
    <w:rsid w:val="00C53BB2"/>
    <w:rsid w:val="00C75965"/>
    <w:rsid w:val="00C97840"/>
    <w:rsid w:val="00C97E04"/>
    <w:rsid w:val="00CB05C6"/>
    <w:rsid w:val="00CB6759"/>
    <w:rsid w:val="00CB6ACA"/>
    <w:rsid w:val="00CF41C5"/>
    <w:rsid w:val="00D0111A"/>
    <w:rsid w:val="00D0777F"/>
    <w:rsid w:val="00D56222"/>
    <w:rsid w:val="00D5685E"/>
    <w:rsid w:val="00D73064"/>
    <w:rsid w:val="00D97F48"/>
    <w:rsid w:val="00DA76C1"/>
    <w:rsid w:val="00DC38EF"/>
    <w:rsid w:val="00DE0E57"/>
    <w:rsid w:val="00DE3F24"/>
    <w:rsid w:val="00DF451A"/>
    <w:rsid w:val="00E010CD"/>
    <w:rsid w:val="00E04F77"/>
    <w:rsid w:val="00E42CC1"/>
    <w:rsid w:val="00E448E7"/>
    <w:rsid w:val="00E546EC"/>
    <w:rsid w:val="00E56A96"/>
    <w:rsid w:val="00E90670"/>
    <w:rsid w:val="00E9121D"/>
    <w:rsid w:val="00EA3C29"/>
    <w:rsid w:val="00EA658F"/>
    <w:rsid w:val="00EA72FC"/>
    <w:rsid w:val="00EB0197"/>
    <w:rsid w:val="00EB427D"/>
    <w:rsid w:val="00EB72BD"/>
    <w:rsid w:val="00EC15D6"/>
    <w:rsid w:val="00EC33A9"/>
    <w:rsid w:val="00EE714D"/>
    <w:rsid w:val="00F120A5"/>
    <w:rsid w:val="00F42DFD"/>
    <w:rsid w:val="00F67264"/>
    <w:rsid w:val="00F7390C"/>
    <w:rsid w:val="00F75EC9"/>
    <w:rsid w:val="00F81D28"/>
    <w:rsid w:val="00F82CCC"/>
    <w:rsid w:val="00F85877"/>
    <w:rsid w:val="00F919A4"/>
    <w:rsid w:val="00F95F64"/>
    <w:rsid w:val="00FA60CD"/>
    <w:rsid w:val="00FC51BC"/>
    <w:rsid w:val="00FD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43B9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4</cp:revision>
  <dcterms:created xsi:type="dcterms:W3CDTF">2025-10-08T18:56:00Z</dcterms:created>
  <dcterms:modified xsi:type="dcterms:W3CDTF">2025-10-17T19:02:00Z</dcterms:modified>
</cp:coreProperties>
</file>