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260B" w14:textId="77777777" w:rsidR="00EC6772" w:rsidRPr="00EC6772" w:rsidRDefault="00EC6772" w:rsidP="00EC6772">
      <w:pPr>
        <w:autoSpaceDE w:val="0"/>
        <w:autoSpaceDN w:val="0"/>
        <w:adjustRightInd w:val="0"/>
        <w:ind w:left="420" w:hanging="240"/>
        <w:jc w:val="center"/>
        <w:outlineLvl w:val="1"/>
        <w:rPr>
          <w:rFonts w:cs="Times New Roman"/>
          <w:b/>
          <w:bCs/>
          <w:szCs w:val="24"/>
        </w:rPr>
      </w:pPr>
      <w:bookmarkStart w:id="0" w:name="_Toc73698722"/>
      <w:bookmarkStart w:id="1" w:name="_Toc83310782"/>
      <w:bookmarkStart w:id="2" w:name="_Toc83362577"/>
      <w:bookmarkStart w:id="3" w:name="_Toc83362986"/>
      <w:bookmarkStart w:id="4" w:name="_Toc90310044"/>
      <w:bookmarkStart w:id="5" w:name="_Toc90389902"/>
      <w:bookmarkStart w:id="6" w:name="_Toc90860482"/>
      <w:r w:rsidRPr="00EC6772">
        <w:rPr>
          <w:rFonts w:cs="Times New Roman"/>
          <w:b/>
          <w:bCs/>
          <w:szCs w:val="24"/>
        </w:rPr>
        <w:t xml:space="preserve">15.33 Scheme to Defraud—Vicarious Liability </w:t>
      </w:r>
    </w:p>
    <w:p w14:paraId="482D6969" w14:textId="77777777" w:rsidR="00EC6772" w:rsidRPr="00EC6772" w:rsidRDefault="00EC6772" w:rsidP="00EC6772">
      <w:pPr>
        <w:autoSpaceDE w:val="0"/>
        <w:autoSpaceDN w:val="0"/>
        <w:adjustRightInd w:val="0"/>
        <w:ind w:left="420" w:hanging="240"/>
        <w:jc w:val="center"/>
        <w:outlineLvl w:val="1"/>
        <w:rPr>
          <w:rFonts w:cs="Times New Roman"/>
          <w:b/>
          <w:bCs/>
          <w:szCs w:val="24"/>
        </w:rPr>
      </w:pPr>
      <w:r w:rsidRPr="00EC6772">
        <w:rPr>
          <w:rFonts w:cs="Times New Roman"/>
          <w:b/>
          <w:bCs/>
          <w:szCs w:val="24"/>
        </w:rPr>
        <w:t>(18 U.S.C. §§ 1341, 1343, 1344, 1346)</w:t>
      </w:r>
      <w:bookmarkEnd w:id="0"/>
      <w:bookmarkEnd w:id="1"/>
      <w:bookmarkEnd w:id="2"/>
      <w:bookmarkEnd w:id="3"/>
      <w:bookmarkEnd w:id="4"/>
      <w:bookmarkEnd w:id="5"/>
      <w:bookmarkEnd w:id="6"/>
    </w:p>
    <w:p w14:paraId="1131ACD3" w14:textId="77777777" w:rsidR="00EC6772" w:rsidRPr="00EC6772" w:rsidRDefault="00EC6772" w:rsidP="00EC6772">
      <w:pPr>
        <w:rPr>
          <w:rFonts w:eastAsia="Times New Roman" w:cs="Times New Roman"/>
          <w:szCs w:val="24"/>
        </w:rPr>
      </w:pPr>
    </w:p>
    <w:p w14:paraId="39BFDFA9" w14:textId="77777777" w:rsidR="00EC6772" w:rsidRPr="00EC6772" w:rsidRDefault="00EC6772" w:rsidP="00EC6772">
      <w:pPr>
        <w:rPr>
          <w:rFonts w:eastAsia="Times New Roman" w:cs="Times New Roman"/>
          <w:color w:val="000000"/>
          <w:szCs w:val="24"/>
        </w:rPr>
      </w:pPr>
      <w:r w:rsidRPr="00EC6772">
        <w:rPr>
          <w:rFonts w:eastAsia="Times New Roman" w:cs="Times New Roman"/>
          <w:color w:val="000000"/>
          <w:szCs w:val="24"/>
        </w:rPr>
        <w:tab/>
        <w:t xml:space="preserve">If you decide that the defendant was a member of a scheme to defraud and that the defendant had the intent to defraud, the defendant may be responsible for other co-schemers’ actions </w:t>
      </w:r>
      <w:proofErr w:type="gramStart"/>
      <w:r w:rsidRPr="00EC6772">
        <w:rPr>
          <w:rFonts w:eastAsia="Times New Roman" w:cs="Times New Roman"/>
          <w:color w:val="000000"/>
          <w:szCs w:val="24"/>
        </w:rPr>
        <w:t>during the course of</w:t>
      </w:r>
      <w:proofErr w:type="gramEnd"/>
      <w:r w:rsidRPr="00EC6772">
        <w:rPr>
          <w:rFonts w:eastAsia="Times New Roman" w:cs="Times New Roman"/>
          <w:color w:val="000000"/>
          <w:szCs w:val="24"/>
        </w:rPr>
        <w:t xml:space="preserve"> and in furtherance of the scheme, even if the defendant did not know what the other co-schemers said or did.  </w:t>
      </w:r>
    </w:p>
    <w:p w14:paraId="10F43B67" w14:textId="77777777" w:rsidR="00EC6772" w:rsidRPr="00EC6772" w:rsidRDefault="00EC6772" w:rsidP="00EC6772">
      <w:pPr>
        <w:rPr>
          <w:rFonts w:eastAsia="Times New Roman" w:cs="Times New Roman"/>
          <w:color w:val="000000"/>
          <w:szCs w:val="24"/>
        </w:rPr>
      </w:pPr>
    </w:p>
    <w:p w14:paraId="04978C34" w14:textId="77777777" w:rsidR="00EC6772" w:rsidRPr="00EC6772" w:rsidRDefault="00EC6772" w:rsidP="00EC6772">
      <w:pPr>
        <w:rPr>
          <w:rFonts w:eastAsia="Times New Roman" w:cs="Times New Roman"/>
          <w:color w:val="000000"/>
          <w:szCs w:val="24"/>
        </w:rPr>
      </w:pPr>
      <w:r w:rsidRPr="00EC6772">
        <w:rPr>
          <w:rFonts w:eastAsia="Times New Roman" w:cs="Times New Roman"/>
          <w:color w:val="000000"/>
          <w:szCs w:val="24"/>
        </w:rPr>
        <w:tab/>
        <w:t>For the defendant to be guilty of an offense committed by a co-schemer in furtherance of the scheme, the offense must be one that the defendant could reasonably foresee as a necessary and natural consequence of the scheme to defraud.</w:t>
      </w:r>
    </w:p>
    <w:p w14:paraId="44EA59B1" w14:textId="77777777" w:rsidR="00EC6772" w:rsidRPr="00EC6772" w:rsidRDefault="00EC6772" w:rsidP="00EC6772">
      <w:pPr>
        <w:rPr>
          <w:rFonts w:eastAsia="Times New Roman" w:cs="Times New Roman"/>
          <w:b/>
          <w:color w:val="000000"/>
          <w:szCs w:val="24"/>
        </w:rPr>
      </w:pPr>
    </w:p>
    <w:p w14:paraId="6D7FBAFB" w14:textId="77777777" w:rsidR="00EC6772" w:rsidRPr="00EC6772" w:rsidRDefault="00EC6772" w:rsidP="00EC6772">
      <w:pPr>
        <w:ind w:right="-180"/>
        <w:jc w:val="center"/>
        <w:rPr>
          <w:rFonts w:eastAsia="Times New Roman" w:cs="Times New Roman"/>
          <w:color w:val="000000"/>
          <w:szCs w:val="24"/>
        </w:rPr>
      </w:pPr>
      <w:r w:rsidRPr="00EC6772">
        <w:rPr>
          <w:rFonts w:eastAsia="Times New Roman" w:cs="Times New Roman"/>
          <w:b/>
          <w:color w:val="000000"/>
          <w:szCs w:val="24"/>
        </w:rPr>
        <w:t>Comment</w:t>
      </w:r>
    </w:p>
    <w:p w14:paraId="58352DA9" w14:textId="77777777" w:rsidR="00EC6772" w:rsidRPr="00EC6772" w:rsidRDefault="00EC6772" w:rsidP="00EC6772">
      <w:pPr>
        <w:rPr>
          <w:rFonts w:eastAsia="Times New Roman" w:cs="Times New Roman"/>
          <w:color w:val="000000"/>
          <w:szCs w:val="24"/>
        </w:rPr>
      </w:pPr>
    </w:p>
    <w:p w14:paraId="0B259D9D" w14:textId="77777777" w:rsidR="00EC6772" w:rsidRPr="00EC6772" w:rsidRDefault="00EC6772" w:rsidP="00EC6772">
      <w:pPr>
        <w:rPr>
          <w:rFonts w:eastAsia="Times New Roman" w:cs="Times New Roman"/>
          <w:color w:val="000000"/>
          <w:szCs w:val="24"/>
        </w:rPr>
      </w:pPr>
      <w:r w:rsidRPr="00EC6772">
        <w:rPr>
          <w:rFonts w:eastAsia="Times New Roman" w:cs="Times New Roman"/>
          <w:color w:val="000000"/>
          <w:szCs w:val="24"/>
        </w:rPr>
        <w:tab/>
        <w:t xml:space="preserve">This instruction is based on the co-schemer liability instruction approved in </w:t>
      </w:r>
      <w:r w:rsidRPr="00EC6772">
        <w:rPr>
          <w:rFonts w:eastAsia="Times New Roman" w:cs="Times New Roman"/>
          <w:i/>
          <w:color w:val="000000"/>
          <w:szCs w:val="24"/>
        </w:rPr>
        <w:t>United States v. Stapleton</w:t>
      </w:r>
      <w:r w:rsidRPr="00EC6772">
        <w:rPr>
          <w:rFonts w:eastAsia="Times New Roman" w:cs="Times New Roman"/>
          <w:color w:val="000000"/>
          <w:szCs w:val="24"/>
        </w:rPr>
        <w:t xml:space="preserve">, 293 F.3d 1111, 1115-18 (9th Cir. 2002) (holding that there was no error of law in court’s instruction on elements of co-schemer vicarious liability when court also correctly instructed on scheme to defraud) and the Ninth Circuit’s guidance on vicarious liability in </w:t>
      </w:r>
      <w:r w:rsidRPr="00EC6772">
        <w:rPr>
          <w:rFonts w:eastAsia="Times New Roman" w:cs="Times New Roman"/>
          <w:i/>
          <w:color w:val="000000"/>
          <w:szCs w:val="24"/>
        </w:rPr>
        <w:t>United States v. Green</w:t>
      </w:r>
      <w:r w:rsidRPr="00EC6772">
        <w:rPr>
          <w:rFonts w:eastAsia="Times New Roman" w:cs="Times New Roman"/>
          <w:color w:val="000000"/>
          <w:szCs w:val="24"/>
        </w:rPr>
        <w:t>, 592 F.3d 1057, 1070-71 (9th Cir. 2010).</w:t>
      </w:r>
    </w:p>
    <w:p w14:paraId="3D1C551F" w14:textId="77777777" w:rsidR="00EC6772" w:rsidRPr="00EC6772" w:rsidRDefault="00EC6772" w:rsidP="00EC6772">
      <w:pPr>
        <w:rPr>
          <w:rFonts w:eastAsia="Times New Roman" w:cs="Times New Roman"/>
          <w:color w:val="000000"/>
          <w:szCs w:val="24"/>
        </w:rPr>
      </w:pPr>
    </w:p>
    <w:p w14:paraId="02FA4BE0" w14:textId="77777777" w:rsidR="00EC6772" w:rsidRPr="00EC6772" w:rsidRDefault="00EC6772" w:rsidP="00EC6772">
      <w:pPr>
        <w:rPr>
          <w:rFonts w:eastAsia="Times New Roman" w:cs="Times New Roman"/>
          <w:color w:val="000000"/>
          <w:szCs w:val="24"/>
        </w:rPr>
      </w:pPr>
      <w:r w:rsidRPr="00EC6772">
        <w:rPr>
          <w:rFonts w:eastAsia="Times New Roman" w:cs="Times New Roman"/>
          <w:color w:val="000000"/>
          <w:szCs w:val="24"/>
        </w:rPr>
        <w:tab/>
        <w:t xml:space="preserve">When this instruction is appropriate, it should be given in addition to Instructions 15.32 (Mail Fraud—Scheme to Defraud or to Obtain Money or Property by False Promises), 15.34 (Mail Fraud—Scheme to Defraud—Deprivation of Intangible Right of Honest Services), 15.35 (Wire Fraud), or 15.39 (Bank Fraud—Scheme to Defraud by False Promises).  </w:t>
      </w:r>
      <w:r w:rsidRPr="00EC6772">
        <w:rPr>
          <w:rFonts w:eastAsia="Times New Roman" w:cs="Times New Roman"/>
          <w:i/>
          <w:color w:val="000000"/>
          <w:szCs w:val="24"/>
        </w:rPr>
        <w:t>See</w:t>
      </w:r>
      <w:r w:rsidRPr="00EC6772">
        <w:rPr>
          <w:rFonts w:eastAsia="Times New Roman" w:cs="Times New Roman"/>
          <w:color w:val="000000"/>
          <w:szCs w:val="24"/>
        </w:rPr>
        <w:t xml:space="preserve"> </w:t>
      </w:r>
      <w:r w:rsidRPr="00EC6772">
        <w:rPr>
          <w:rFonts w:eastAsia="Times New Roman" w:cs="Times New Roman"/>
          <w:i/>
          <w:color w:val="000000"/>
          <w:szCs w:val="24"/>
        </w:rPr>
        <w:t>Stapleton</w:t>
      </w:r>
      <w:r w:rsidRPr="00EC6772">
        <w:rPr>
          <w:rFonts w:eastAsia="Times New Roman" w:cs="Times New Roman"/>
          <w:color w:val="000000"/>
          <w:szCs w:val="24"/>
        </w:rPr>
        <w:t>, 293 F.3d at 1118-20.</w:t>
      </w:r>
    </w:p>
    <w:p w14:paraId="573D7A09" w14:textId="77777777" w:rsidR="00EC6772" w:rsidRPr="00EC6772" w:rsidRDefault="00EC6772" w:rsidP="00EC6772">
      <w:pPr>
        <w:rPr>
          <w:rFonts w:eastAsia="Times New Roman" w:cs="Times New Roman"/>
          <w:color w:val="000000"/>
          <w:szCs w:val="24"/>
        </w:rPr>
      </w:pPr>
    </w:p>
    <w:p w14:paraId="6C7F84CF" w14:textId="77777777" w:rsidR="00EC6772" w:rsidRPr="00EC6772" w:rsidRDefault="00EC6772" w:rsidP="00EC6772">
      <w:pPr>
        <w:rPr>
          <w:rFonts w:eastAsia="Times New Roman" w:cs="Times New Roman"/>
          <w:color w:val="000000"/>
          <w:szCs w:val="24"/>
        </w:rPr>
      </w:pPr>
      <w:r w:rsidRPr="00EC6772">
        <w:rPr>
          <w:rFonts w:eastAsia="Times New Roman" w:cs="Times New Roman"/>
          <w:color w:val="000000"/>
          <w:szCs w:val="24"/>
        </w:rPr>
        <w:tab/>
        <w:t xml:space="preserve">On co-schemer liability generally, </w:t>
      </w:r>
      <w:r w:rsidRPr="00EC6772">
        <w:rPr>
          <w:rFonts w:eastAsia="Times New Roman" w:cs="Times New Roman"/>
          <w:i/>
          <w:color w:val="000000"/>
          <w:szCs w:val="24"/>
        </w:rPr>
        <w:t>see</w:t>
      </w:r>
      <w:r w:rsidRPr="00EC6772">
        <w:rPr>
          <w:rFonts w:eastAsia="Times New Roman" w:cs="Times New Roman"/>
          <w:iCs/>
          <w:color w:val="000000"/>
          <w:szCs w:val="24"/>
        </w:rPr>
        <w:t xml:space="preserve"> </w:t>
      </w:r>
      <w:r w:rsidRPr="00EC6772">
        <w:rPr>
          <w:rFonts w:eastAsia="Times New Roman" w:cs="Times New Roman"/>
          <w:i/>
          <w:color w:val="000000"/>
          <w:szCs w:val="24"/>
        </w:rPr>
        <w:t>United States v. Blitz</w:t>
      </w:r>
      <w:r w:rsidRPr="00EC6772">
        <w:rPr>
          <w:rFonts w:eastAsia="Times New Roman" w:cs="Times New Roman"/>
          <w:color w:val="000000"/>
          <w:szCs w:val="24"/>
        </w:rPr>
        <w:t>, 151 F.3d 1002, 1006 (9th Cir. 1998) (stating that knowing participant in scheme to defraud is liable for fraudulent acts of co-schemers);</w:t>
      </w:r>
      <w:r w:rsidRPr="00EC6772">
        <w:rPr>
          <w:rFonts w:eastAsia="Times New Roman" w:cs="Times New Roman"/>
          <w:i/>
          <w:color w:val="000000"/>
          <w:szCs w:val="24"/>
        </w:rPr>
        <w:t xml:space="preserve"> United States v. Lothian</w:t>
      </w:r>
      <w:r w:rsidRPr="00EC6772">
        <w:rPr>
          <w:rFonts w:eastAsia="Times New Roman" w:cs="Times New Roman"/>
          <w:color w:val="000000"/>
          <w:szCs w:val="24"/>
        </w:rPr>
        <w:t xml:space="preserve">, 976 F.2d 1257, 1262-63 (9th Cir. 1992) (discussing similarity of co-conspirator and co-schemer liability); and </w:t>
      </w:r>
      <w:r w:rsidRPr="00EC6772">
        <w:rPr>
          <w:rFonts w:eastAsia="Times New Roman" w:cs="Times New Roman"/>
          <w:i/>
          <w:color w:val="000000"/>
          <w:szCs w:val="24"/>
        </w:rPr>
        <w:t xml:space="preserve">United States v. </w:t>
      </w:r>
      <w:proofErr w:type="spellStart"/>
      <w:r w:rsidRPr="00EC6772">
        <w:rPr>
          <w:rFonts w:eastAsia="Times New Roman" w:cs="Times New Roman"/>
          <w:i/>
          <w:color w:val="000000"/>
          <w:szCs w:val="24"/>
        </w:rPr>
        <w:t>Dadanian</w:t>
      </w:r>
      <w:proofErr w:type="spellEnd"/>
      <w:r w:rsidRPr="00EC6772">
        <w:rPr>
          <w:rFonts w:eastAsia="Times New Roman" w:cs="Times New Roman"/>
          <w:color w:val="000000"/>
          <w:szCs w:val="24"/>
        </w:rPr>
        <w:t xml:space="preserve">, 818 F.2d 1443, 1446 (9th Cir. 1987), </w:t>
      </w:r>
      <w:r w:rsidRPr="00EC6772">
        <w:rPr>
          <w:rFonts w:eastAsia="Times New Roman" w:cs="Times New Roman"/>
          <w:i/>
          <w:color w:val="000000"/>
          <w:szCs w:val="24"/>
        </w:rPr>
        <w:t>modified</w:t>
      </w:r>
      <w:r w:rsidRPr="00EC6772">
        <w:rPr>
          <w:rFonts w:eastAsia="Times New Roman" w:cs="Times New Roman"/>
          <w:color w:val="000000"/>
          <w:szCs w:val="24"/>
        </w:rPr>
        <w:t>, 856 F.2d 1391 (1988) (like co-conspirators, “knowing participants in the scheme are legally liable” for their co-schemer’s use of mails or wires).</w:t>
      </w:r>
    </w:p>
    <w:p w14:paraId="7316EC5C" w14:textId="77777777" w:rsidR="00EC6772" w:rsidRPr="00EC6772" w:rsidRDefault="00EC6772" w:rsidP="00EC6772">
      <w:pPr>
        <w:rPr>
          <w:rFonts w:eastAsia="Times New Roman" w:cs="Times New Roman"/>
          <w:color w:val="000000"/>
          <w:szCs w:val="24"/>
        </w:rPr>
      </w:pPr>
    </w:p>
    <w:p w14:paraId="51768CAB" w14:textId="77777777" w:rsidR="00EC6772" w:rsidRPr="00EC6772" w:rsidRDefault="00EC6772" w:rsidP="00EC6772">
      <w:pPr>
        <w:ind w:left="7200"/>
        <w:jc w:val="right"/>
        <w:rPr>
          <w:rFonts w:eastAsia="Times New Roman" w:cs="Times New Roman"/>
          <w:i/>
          <w:iCs/>
          <w:color w:val="000000"/>
          <w:szCs w:val="24"/>
        </w:rPr>
      </w:pPr>
    </w:p>
    <w:p w14:paraId="4BFF50B7" w14:textId="77777777" w:rsidR="00EC6772" w:rsidRPr="00EC6772" w:rsidRDefault="00EC6772" w:rsidP="00EC6772">
      <w:pPr>
        <w:ind w:left="7200"/>
        <w:jc w:val="right"/>
        <w:rPr>
          <w:rFonts w:eastAsia="Times New Roman" w:cs="Times New Roman"/>
          <w:i/>
          <w:iCs/>
          <w:color w:val="000000"/>
          <w:szCs w:val="24"/>
        </w:rPr>
      </w:pPr>
      <w:r w:rsidRPr="00EC6772">
        <w:rPr>
          <w:rFonts w:eastAsia="Times New Roman" w:cs="Times New Roman"/>
          <w:i/>
          <w:iCs/>
          <w:color w:val="000000"/>
          <w:szCs w:val="24"/>
        </w:rPr>
        <w:t>Revised June 2021</w:t>
      </w:r>
    </w:p>
    <w:p w14:paraId="0ACE18C0" w14:textId="7BD5CE1D" w:rsidR="00C97E04" w:rsidRPr="00EC6772" w:rsidRDefault="00C97E04" w:rsidP="00EC6772"/>
    <w:sectPr w:rsidR="00C97E04" w:rsidRPr="00EC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1723</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2022-05-20T18:50:00Z</dcterms:created>
  <dcterms:modified xsi:type="dcterms:W3CDTF">2022-05-20T18:50:00Z</dcterms:modified>
</cp:coreProperties>
</file>