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7409A" w14:textId="77777777" w:rsidR="00B70629" w:rsidRPr="00B70629" w:rsidRDefault="00B70629" w:rsidP="00B70629">
      <w:pPr>
        <w:autoSpaceDE w:val="0"/>
        <w:autoSpaceDN w:val="0"/>
        <w:adjustRightInd w:val="0"/>
        <w:ind w:left="420" w:hanging="240"/>
        <w:jc w:val="center"/>
        <w:outlineLvl w:val="1"/>
        <w:rPr>
          <w:rFonts w:cs="Times New Roman"/>
          <w:b/>
          <w:bCs/>
          <w:szCs w:val="24"/>
        </w:rPr>
      </w:pPr>
      <w:bookmarkStart w:id="0" w:name="_Toc73698724"/>
      <w:bookmarkStart w:id="1" w:name="_Toc83310784"/>
      <w:bookmarkStart w:id="2" w:name="_Toc83362579"/>
      <w:bookmarkStart w:id="3" w:name="_Toc83362988"/>
      <w:bookmarkStart w:id="4" w:name="_Toc90310046"/>
      <w:bookmarkStart w:id="5" w:name="_Toc90389904"/>
      <w:bookmarkStart w:id="6" w:name="_Toc90860484"/>
      <w:r w:rsidRPr="00B70629">
        <w:rPr>
          <w:rFonts w:cs="Times New Roman"/>
          <w:b/>
          <w:bCs/>
          <w:szCs w:val="24"/>
        </w:rPr>
        <w:t>15.35 Wire Fraud (18 U.S.C. § 1343)</w:t>
      </w:r>
      <w:bookmarkEnd w:id="0"/>
      <w:bookmarkEnd w:id="1"/>
      <w:bookmarkEnd w:id="2"/>
      <w:bookmarkEnd w:id="3"/>
      <w:bookmarkEnd w:id="4"/>
      <w:bookmarkEnd w:id="5"/>
      <w:bookmarkEnd w:id="6"/>
    </w:p>
    <w:p w14:paraId="71260878" w14:textId="77777777" w:rsidR="00B70629" w:rsidRPr="00B70629" w:rsidRDefault="00B70629" w:rsidP="00B70629">
      <w:pPr>
        <w:rPr>
          <w:rFonts w:eastAsia="Times New Roman" w:cs="Times New Roman"/>
          <w:color w:val="000000"/>
          <w:szCs w:val="24"/>
        </w:rPr>
      </w:pPr>
    </w:p>
    <w:p w14:paraId="6B4503F3" w14:textId="5B764FC7" w:rsidR="00825BE3" w:rsidRPr="00742622" w:rsidRDefault="00B70629" w:rsidP="00825BE3">
      <w:pPr>
        <w:spacing w:after="19"/>
        <w:rPr>
          <w:rFonts w:eastAsia="Times New Roman" w:cs="Times New Roman"/>
          <w:color w:val="000000"/>
          <w:szCs w:val="24"/>
        </w:rPr>
      </w:pPr>
      <w:r w:rsidRPr="00B70629">
        <w:rPr>
          <w:rFonts w:eastAsia="Times New Roman" w:cs="Times New Roman"/>
          <w:color w:val="000000"/>
          <w:szCs w:val="24"/>
        </w:rPr>
        <w:tab/>
      </w:r>
      <w:r w:rsidR="00825BE3" w:rsidRPr="00742622">
        <w:rPr>
          <w:rFonts w:eastAsia="Times New Roman" w:cs="Times New Roman"/>
          <w:color w:val="000000"/>
          <w:szCs w:val="24"/>
        </w:rPr>
        <w:t>The defendant is charged in [Count _______ of] the indictment with wire fraud in violation of Section 1343 of Title 18 of the United States Code.</w:t>
      </w:r>
      <w:r w:rsidR="00825BE3">
        <w:rPr>
          <w:rFonts w:eastAsia="Times New Roman" w:cs="Times New Roman"/>
          <w:color w:val="000000"/>
          <w:szCs w:val="24"/>
        </w:rPr>
        <w:t xml:space="preserve"> </w:t>
      </w:r>
      <w:r w:rsidR="00825BE3" w:rsidRPr="00742622">
        <w:rPr>
          <w:rFonts w:eastAsia="Times New Roman" w:cs="Times New Roman"/>
          <w:color w:val="000000"/>
          <w:szCs w:val="24"/>
        </w:rPr>
        <w:t xml:space="preserve"> </w:t>
      </w:r>
      <w:r w:rsidR="00825BE3">
        <w:rPr>
          <w:rFonts w:eastAsia="Times New Roman" w:cs="Times New Roman"/>
          <w:color w:val="000000"/>
          <w:szCs w:val="24"/>
        </w:rPr>
        <w:t>For</w:t>
      </w:r>
      <w:r w:rsidR="00825BE3" w:rsidRPr="00742622">
        <w:rPr>
          <w:rFonts w:eastAsia="Times New Roman" w:cs="Times New Roman"/>
          <w:color w:val="000000"/>
          <w:szCs w:val="24"/>
        </w:rPr>
        <w:t xml:space="preserve"> the defendant to be found guilty of that charge, the government must prove each of the following elements beyond a reasonable doubt:</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 xml:space="preserve">First, the defendant knowingly [participated in] [devised] [intended to devise] a scheme or plan to defraud for </w:t>
      </w:r>
      <w:r w:rsidR="00AB5B00" w:rsidRPr="00AB5B00">
        <w:rPr>
          <w:rFonts w:eastAsia="Times New Roman" w:cs="Times New Roman"/>
          <w:color w:val="000000"/>
          <w:szCs w:val="24"/>
        </w:rPr>
        <w:t xml:space="preserve">the purpose of </w:t>
      </w:r>
      <w:r w:rsidR="00825BE3" w:rsidRPr="00742622">
        <w:rPr>
          <w:rFonts w:eastAsia="Times New Roman" w:cs="Times New Roman"/>
          <w:color w:val="000000"/>
          <w:szCs w:val="24"/>
        </w:rPr>
        <w:t>obtaining money or property by means of false or fraudulent pretenses, representations, or promises [, or omitted facts.] [Deceitful statements of half-truths may constitute false or fraudulent representations];</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 xml:space="preserve">Second, the statements made </w:t>
      </w:r>
      <w:r w:rsidR="00825BE3">
        <w:rPr>
          <w:rFonts w:eastAsia="Times New Roman" w:cs="Times New Roman"/>
          <w:color w:val="000000"/>
          <w:szCs w:val="24"/>
        </w:rPr>
        <w:t>[</w:t>
      </w:r>
      <w:r w:rsidR="00825BE3" w:rsidRPr="00742622">
        <w:rPr>
          <w:rFonts w:eastAsia="Times New Roman" w:cs="Times New Roman"/>
          <w:color w:val="000000"/>
          <w:szCs w:val="24"/>
        </w:rPr>
        <w:t>or facts omitted</w:t>
      </w:r>
      <w:r w:rsidR="00825BE3">
        <w:rPr>
          <w:rFonts w:eastAsia="Times New Roman" w:cs="Times New Roman"/>
          <w:color w:val="000000"/>
          <w:szCs w:val="24"/>
        </w:rPr>
        <w:t>]</w:t>
      </w:r>
      <w:r w:rsidR="00825BE3" w:rsidRPr="00742622">
        <w:rPr>
          <w:rFonts w:eastAsia="Times New Roman" w:cs="Times New Roman"/>
          <w:color w:val="000000"/>
          <w:szCs w:val="24"/>
        </w:rPr>
        <w:t xml:space="preserve"> as part of the scheme were material; that is, they had a natural tendency to influence, or were capable of influencing, a person to part with money or property;</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Third, the defendant acted with the intent to defraud, that is, the intent to deceive and cheat; and</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Fourth, the defendant used, or caused to be used, an interstate [or foreign] wire communication to carry out or attempt to carry out an essential part of the scheme.</w:t>
      </w:r>
      <w:r w:rsidR="00825BE3" w:rsidRPr="00742622">
        <w:rPr>
          <w:rFonts w:eastAsia="Times New Roman" w:cs="Times New Roman"/>
          <w:color w:val="000000"/>
          <w:szCs w:val="24"/>
        </w:rPr>
        <w:br/>
      </w:r>
      <w:r w:rsidR="00825BE3" w:rsidRPr="00742622">
        <w:rPr>
          <w:rFonts w:eastAsia="Times New Roman" w:cs="Times New Roman"/>
          <w:color w:val="000000"/>
          <w:szCs w:val="24"/>
        </w:rPr>
        <w:br/>
      </w:r>
      <w:r w:rsidR="00825BE3" w:rsidRPr="00742622">
        <w:rPr>
          <w:rFonts w:eastAsia="Times New Roman" w:cs="Times New Roman"/>
          <w:color w:val="000000"/>
          <w:szCs w:val="24"/>
        </w:rPr>
        <w:tab/>
        <w:t xml:space="preserve">In determining whether a scheme to defraud exists, you may consider not only the defendant’s words and statements but also the circumstances in which they are used as a whole. </w:t>
      </w:r>
    </w:p>
    <w:p w14:paraId="51B56BE6" w14:textId="77777777" w:rsidR="00825BE3" w:rsidRPr="00742622" w:rsidRDefault="00825BE3" w:rsidP="00825BE3">
      <w:pPr>
        <w:spacing w:after="19"/>
        <w:rPr>
          <w:rFonts w:eastAsia="Times New Roman" w:cs="Times New Roman"/>
          <w:color w:val="000000"/>
          <w:szCs w:val="24"/>
        </w:rPr>
      </w:pPr>
    </w:p>
    <w:p w14:paraId="37F942AD" w14:textId="77777777"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t xml:space="preserve">[To convict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of wire fraud based on omission[s] of material fact[s], you must find that </w:t>
      </w:r>
      <w:r>
        <w:rPr>
          <w:rFonts w:eastAsia="Times New Roman" w:cs="Times New Roman"/>
          <w:color w:val="000000"/>
          <w:szCs w:val="24"/>
        </w:rPr>
        <w:t xml:space="preserve">the </w:t>
      </w:r>
      <w:r w:rsidRPr="00742622">
        <w:rPr>
          <w:rFonts w:eastAsia="Times New Roman" w:cs="Times New Roman"/>
          <w:color w:val="000000"/>
          <w:szCs w:val="24"/>
        </w:rPr>
        <w:t>defendant</w:t>
      </w:r>
      <w:r>
        <w:rPr>
          <w:rFonts w:eastAsia="Times New Roman" w:cs="Times New Roman"/>
          <w:color w:val="000000"/>
          <w:szCs w:val="24"/>
        </w:rPr>
        <w:t xml:space="preserve"> </w:t>
      </w:r>
      <w:r w:rsidRPr="00742622">
        <w:rPr>
          <w:rFonts w:eastAsia="Times New Roman" w:cs="Times New Roman"/>
          <w:color w:val="000000"/>
          <w:szCs w:val="24"/>
        </w:rPr>
        <w:t xml:space="preserve">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t>
      </w:r>
      <w:r>
        <w:rPr>
          <w:rFonts w:eastAsia="Times New Roman" w:cs="Times New Roman"/>
          <w:color w:val="000000"/>
          <w:szCs w:val="24"/>
        </w:rPr>
        <w:t xml:space="preserve">that </w:t>
      </w:r>
      <w:r w:rsidRPr="00742622">
        <w:rPr>
          <w:rFonts w:eastAsia="Times New Roman" w:cs="Times New Roman"/>
          <w:color w:val="000000"/>
          <w:szCs w:val="24"/>
        </w:rPr>
        <w:t>it would ordinarily exercise.]</w:t>
      </w:r>
    </w:p>
    <w:p w14:paraId="707FC4CE" w14:textId="77777777" w:rsidR="00825BE3" w:rsidRPr="00742622" w:rsidRDefault="00825BE3" w:rsidP="00825BE3">
      <w:pPr>
        <w:spacing w:after="19"/>
        <w:rPr>
          <w:rFonts w:eastAsia="Times New Roman" w:cs="Times New Roman"/>
          <w:color w:val="000000"/>
          <w:szCs w:val="24"/>
        </w:rPr>
      </w:pPr>
    </w:p>
    <w:p w14:paraId="70AE0A7E" w14:textId="77777777" w:rsidR="00825BE3" w:rsidRDefault="00825BE3" w:rsidP="00825BE3">
      <w:pPr>
        <w:spacing w:after="19"/>
        <w:rPr>
          <w:rFonts w:eastAsia="Times New Roman" w:cs="Times New Roman"/>
          <w:color w:val="000000"/>
          <w:szCs w:val="24"/>
        </w:rPr>
      </w:pPr>
      <w:r w:rsidRPr="00742622">
        <w:rPr>
          <w:rFonts w:eastAsia="Times New Roman" w:cs="Times New Roman"/>
          <w:color w:val="000000"/>
          <w:szCs w:val="24"/>
        </w:rPr>
        <w:tab/>
        <w:t>A wiring is caused when one knows that a wire will be used in the ordinary course of business or when one can reasonably foresee such use.</w:t>
      </w:r>
    </w:p>
    <w:p w14:paraId="052BD843" w14:textId="77777777" w:rsidR="00881459" w:rsidRPr="00742622" w:rsidRDefault="00881459" w:rsidP="00825BE3">
      <w:pPr>
        <w:spacing w:after="19"/>
        <w:rPr>
          <w:rFonts w:eastAsia="Times New Roman" w:cs="Times New Roman"/>
          <w:color w:val="000000"/>
          <w:szCs w:val="24"/>
        </w:rPr>
      </w:pPr>
    </w:p>
    <w:p w14:paraId="5254C82C" w14:textId="554444E9" w:rsidR="00881459" w:rsidRPr="00881459" w:rsidRDefault="00526F78" w:rsidP="00881459">
      <w:pPr>
        <w:spacing w:after="19"/>
        <w:ind w:firstLine="720"/>
        <w:rPr>
          <w:rFonts w:eastAsia="Times New Roman" w:cs="Times New Roman"/>
          <w:color w:val="000000"/>
          <w:szCs w:val="24"/>
        </w:rPr>
      </w:pPr>
      <w:r>
        <w:rPr>
          <w:rFonts w:eastAsia="Times New Roman" w:cs="Times New Roman"/>
          <w:color w:val="000000"/>
          <w:szCs w:val="24"/>
        </w:rPr>
        <w:t>[</w:t>
      </w:r>
      <w:r w:rsidR="00881459" w:rsidRPr="00881459">
        <w:rPr>
          <w:rFonts w:eastAsia="Times New Roman" w:cs="Times New Roman"/>
          <w:color w:val="000000"/>
          <w:szCs w:val="24"/>
        </w:rPr>
        <w:t xml:space="preserve">To convict [a] defendant[s] of </w:t>
      </w:r>
      <w:r w:rsidR="00A946FE">
        <w:rPr>
          <w:rFonts w:eastAsia="Times New Roman" w:cs="Times New Roman"/>
          <w:color w:val="000000"/>
          <w:szCs w:val="24"/>
        </w:rPr>
        <w:t>wire</w:t>
      </w:r>
      <w:r w:rsidR="00881459" w:rsidRPr="00881459">
        <w:rPr>
          <w:rFonts w:eastAsia="Times New Roman" w:cs="Times New Roman"/>
          <w:color w:val="000000"/>
          <w:szCs w:val="24"/>
        </w:rPr>
        <w:t xml:space="preserve"> fraud</w:t>
      </w:r>
      <w:r w:rsidRPr="00526F78">
        <w:rPr>
          <w:rFonts w:cs="Times New Roman"/>
          <w:color w:val="FF0000"/>
          <w:sz w:val="28"/>
          <w:szCs w:val="28"/>
        </w:rPr>
        <w:t xml:space="preserve"> </w:t>
      </w:r>
      <w:r w:rsidRPr="00526F78">
        <w:rPr>
          <w:rFonts w:eastAsia="Times New Roman" w:cs="Times New Roman"/>
          <w:color w:val="000000"/>
          <w:szCs w:val="24"/>
        </w:rPr>
        <w:t>based on a scheme to induce a victim to enter a bargain</w:t>
      </w:r>
      <w:r w:rsidR="00881459" w:rsidRPr="00881459">
        <w:rPr>
          <w:rFonts w:eastAsia="Times New Roman" w:cs="Times New Roman"/>
          <w:color w:val="000000"/>
          <w:szCs w:val="24"/>
        </w:rPr>
        <w:t xml:space="preserve">, the false or fraudulent pretenses, representations, or </w:t>
      </w:r>
      <w:proofErr w:type="gramStart"/>
      <w:r w:rsidR="00881459" w:rsidRPr="00881459">
        <w:rPr>
          <w:rFonts w:eastAsia="Times New Roman" w:cs="Times New Roman"/>
          <w:color w:val="000000"/>
          <w:szCs w:val="24"/>
        </w:rPr>
        <w:t>promises[</w:t>
      </w:r>
      <w:proofErr w:type="gramEnd"/>
      <w:r w:rsidR="00881459" w:rsidRPr="00881459">
        <w:rPr>
          <w:rFonts w:eastAsia="Times New Roman" w:cs="Times New Roman"/>
          <w:color w:val="000000"/>
          <w:szCs w:val="24"/>
        </w:rPr>
        <w:t>, or omitted facts] must directly or indirectly deceive the victim about the nature of the bargain. A misrepresentation will go to the nature of the bargain if it goes to price or quality, or otherwise to essential aspects of the transaction. [Whether a misrepresentation goes to the nature of the bargain may depend on the specific transaction at issue.]</w:t>
      </w:r>
      <w:r>
        <w:rPr>
          <w:rFonts w:eastAsia="Times New Roman" w:cs="Times New Roman"/>
          <w:color w:val="000000"/>
          <w:szCs w:val="24"/>
        </w:rPr>
        <w:t>]</w:t>
      </w:r>
    </w:p>
    <w:p w14:paraId="5FD5871F" w14:textId="77777777" w:rsidR="00825BE3" w:rsidRPr="00742622" w:rsidRDefault="00825BE3" w:rsidP="00825BE3">
      <w:pPr>
        <w:spacing w:after="19"/>
        <w:rPr>
          <w:rFonts w:eastAsia="Times New Roman" w:cs="Times New Roman"/>
          <w:color w:val="000000"/>
          <w:szCs w:val="24"/>
        </w:rPr>
      </w:pPr>
    </w:p>
    <w:p w14:paraId="1DAD9A23" w14:textId="77777777"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t>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actually occurred in furtherance of the scheme.</w:t>
      </w:r>
    </w:p>
    <w:p w14:paraId="27FEFD71" w14:textId="77777777" w:rsidR="00825BE3" w:rsidRPr="00742622" w:rsidRDefault="00825BE3" w:rsidP="00825BE3">
      <w:pPr>
        <w:spacing w:after="19"/>
        <w:rPr>
          <w:rFonts w:eastAsia="Times New Roman" w:cs="Times New Roman"/>
          <w:color w:val="000000"/>
          <w:szCs w:val="24"/>
        </w:rPr>
      </w:pPr>
    </w:p>
    <w:p w14:paraId="7C4DB1E3" w14:textId="77777777" w:rsidR="00825BE3" w:rsidRPr="00742622" w:rsidRDefault="00825BE3" w:rsidP="00825BE3">
      <w:pPr>
        <w:spacing w:after="19"/>
        <w:ind w:right="-180"/>
        <w:jc w:val="center"/>
        <w:rPr>
          <w:rFonts w:eastAsia="Times New Roman" w:cs="Times New Roman"/>
          <w:color w:val="000000"/>
          <w:szCs w:val="24"/>
        </w:rPr>
      </w:pPr>
      <w:r w:rsidRPr="00742622">
        <w:rPr>
          <w:rFonts w:eastAsia="Times New Roman" w:cs="Times New Roman"/>
          <w:b/>
          <w:color w:val="000000"/>
          <w:szCs w:val="24"/>
        </w:rPr>
        <w:t>Comment</w:t>
      </w:r>
    </w:p>
    <w:p w14:paraId="4BAE4980" w14:textId="77777777" w:rsidR="00825BE3" w:rsidRPr="00742622" w:rsidRDefault="00825BE3" w:rsidP="00825BE3">
      <w:pPr>
        <w:spacing w:after="19"/>
        <w:rPr>
          <w:rFonts w:eastAsia="Times New Roman" w:cs="Times New Roman"/>
          <w:color w:val="000000"/>
          <w:szCs w:val="24"/>
        </w:rPr>
      </w:pPr>
    </w:p>
    <w:p w14:paraId="78468D09" w14:textId="77777777" w:rsidR="00825BE3" w:rsidRDefault="00825BE3" w:rsidP="00825BE3">
      <w:pPr>
        <w:spacing w:after="19"/>
        <w:rPr>
          <w:rFonts w:eastAsia="Times New Roman" w:cs="Times New Roman"/>
          <w:color w:val="000000"/>
          <w:szCs w:val="24"/>
        </w:rPr>
      </w:pPr>
      <w:r w:rsidRPr="00742622">
        <w:rPr>
          <w:rFonts w:eastAsia="Times New Roman" w:cs="Times New Roman"/>
          <w:color w:val="000000"/>
          <w:szCs w:val="24"/>
        </w:rPr>
        <w:tab/>
      </w:r>
      <w:r w:rsidRPr="00742622">
        <w:rPr>
          <w:rFonts w:eastAsia="Times New Roman" w:cs="Times New Roman"/>
          <w:i/>
          <w:color w:val="000000"/>
          <w:szCs w:val="24"/>
        </w:rPr>
        <w:t xml:space="preserve">See </w:t>
      </w:r>
      <w:r w:rsidRPr="00742622">
        <w:rPr>
          <w:rFonts w:eastAsia="Times New Roman" w:cs="Times New Roman"/>
          <w:color w:val="000000"/>
          <w:szCs w:val="24"/>
        </w:rPr>
        <w:t xml:space="preserve">Comment to Instruction </w:t>
      </w:r>
      <w:r>
        <w:rPr>
          <w:rFonts w:eastAsia="Times New Roman" w:cs="Times New Roman"/>
          <w:color w:val="000000"/>
          <w:szCs w:val="24"/>
        </w:rPr>
        <w:t>15.32</w:t>
      </w:r>
      <w:r w:rsidRPr="00742622">
        <w:rPr>
          <w:rFonts w:eastAsia="Times New Roman" w:cs="Times New Roman"/>
          <w:color w:val="000000"/>
          <w:szCs w:val="24"/>
        </w:rPr>
        <w:t xml:space="preserve"> (Mail Fraud—Scheme to Defraud or to Obtain Money or Property by False Promises).  For cases involving wire fraud by deprivation of honest services, </w:t>
      </w:r>
      <w:r w:rsidRPr="005F2B52">
        <w:rPr>
          <w:rFonts w:eastAsia="Times New Roman" w:cs="Times New Roman"/>
          <w:i/>
          <w:iCs/>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w:t>
      </w:r>
      <w:r w:rsidRPr="00742622">
        <w:rPr>
          <w:rFonts w:eastAsia="Times New Roman" w:cs="Times New Roman"/>
          <w:color w:val="000000"/>
          <w:szCs w:val="24"/>
        </w:rPr>
        <w:t xml:space="preserve"> (Mail Fraud—Scheme to Defraud—Deprivation of Intangible Right of Honest Services).</w:t>
      </w:r>
    </w:p>
    <w:p w14:paraId="13245535" w14:textId="77777777" w:rsidR="00881459" w:rsidRDefault="00881459" w:rsidP="00825BE3">
      <w:pPr>
        <w:spacing w:after="19"/>
        <w:rPr>
          <w:rFonts w:eastAsia="Times New Roman" w:cs="Times New Roman"/>
          <w:color w:val="000000"/>
          <w:szCs w:val="24"/>
        </w:rPr>
      </w:pPr>
    </w:p>
    <w:p w14:paraId="046FC27B" w14:textId="4B77BF5F" w:rsidR="00AB5B00" w:rsidRDefault="00825BE3" w:rsidP="00825BE3">
      <w:pPr>
        <w:spacing w:after="19"/>
        <w:rPr>
          <w:rFonts w:eastAsia="Times New Roman" w:cs="Times New Roman"/>
          <w:color w:val="000000"/>
          <w:szCs w:val="24"/>
        </w:rPr>
      </w:pPr>
      <w:r w:rsidRPr="00742622">
        <w:rPr>
          <w:rFonts w:eastAsia="Times New Roman" w:cs="Times New Roman"/>
          <w:color w:val="000000"/>
          <w:szCs w:val="24"/>
        </w:rPr>
        <w:tab/>
      </w:r>
      <w:r w:rsidR="00AB5B00" w:rsidRPr="00143B90">
        <w:rPr>
          <w:rFonts w:eastAsia="Times New Roman" w:cs="Times New Roman"/>
          <w:color w:val="000000"/>
          <w:szCs w:val="24"/>
        </w:rPr>
        <w:t xml:space="preserve">In </w:t>
      </w:r>
      <w:r w:rsidR="00AB5B00" w:rsidRPr="00143B90">
        <w:rPr>
          <w:rFonts w:eastAsia="Times New Roman" w:cs="Times New Roman"/>
          <w:i/>
          <w:iCs/>
          <w:color w:val="000000"/>
          <w:szCs w:val="24"/>
        </w:rPr>
        <w:t>Ciminelli v. United States</w:t>
      </w:r>
      <w:r w:rsidR="00AB5B00" w:rsidRPr="00143B90">
        <w:rPr>
          <w:rFonts w:eastAsia="Times New Roman" w:cs="Times New Roman"/>
          <w:color w:val="000000"/>
          <w:szCs w:val="24"/>
        </w:rPr>
        <w:t xml:space="preserve">, 598 U.S. </w:t>
      </w:r>
      <w:r w:rsidR="00AB5B00">
        <w:rPr>
          <w:rFonts w:eastAsia="Times New Roman" w:cs="Times New Roman"/>
          <w:color w:val="000000"/>
          <w:szCs w:val="24"/>
        </w:rPr>
        <w:t>306,</w:t>
      </w:r>
      <w:r w:rsidR="00AB5B00" w:rsidRPr="00143B90">
        <w:rPr>
          <w:rFonts w:eastAsia="Times New Roman" w:cs="Times New Roman"/>
          <w:color w:val="000000"/>
          <w:szCs w:val="24"/>
        </w:rPr>
        <w:t xml:space="preserve"> </w:t>
      </w:r>
      <w:r w:rsidR="00AB5B00">
        <w:rPr>
          <w:rFonts w:eastAsia="Times New Roman" w:cs="Times New Roman"/>
          <w:color w:val="000000"/>
          <w:szCs w:val="24"/>
        </w:rPr>
        <w:t>308-09</w:t>
      </w:r>
      <w:r w:rsidR="00AB5B00" w:rsidRPr="00143B90">
        <w:rPr>
          <w:rFonts w:eastAsia="Times New Roman" w:cs="Times New Roman"/>
          <w:color w:val="000000"/>
          <w:szCs w:val="24"/>
        </w:rPr>
        <w:t xml:space="preserve"> (2023), the Supreme Court held that a jury was improperly instructed that the term “property” in 18 U.S.C. § 1343 “includes intangible interests such as the right to control the use of one’s assets” because “the federal fraud statutes criminalize only schemes to deprive people of traditional property interests.” The Court explained that despite the inclusion of the term “or” in the phrase “or for obtaining money or property,” the Court has “consistently understood the ‘money or property’ requirement to limit the ‘scheme or artifice to defraud’ element because the ‘common understanding’ of the words ‘to defraud’ when the statute was enacted referred ‘to wrongdoing one in his property rights.’” </w:t>
      </w:r>
      <w:r w:rsidR="00AB5B00" w:rsidRPr="00143B90">
        <w:rPr>
          <w:rFonts w:eastAsia="Times New Roman" w:cs="Times New Roman"/>
          <w:i/>
          <w:iCs/>
          <w:color w:val="000000"/>
          <w:szCs w:val="24"/>
        </w:rPr>
        <w:t xml:space="preserve">Id. </w:t>
      </w:r>
      <w:r w:rsidR="00AB5B00" w:rsidRPr="00143B90">
        <w:rPr>
          <w:rFonts w:eastAsia="Times New Roman" w:cs="Times New Roman"/>
          <w:color w:val="000000"/>
          <w:szCs w:val="24"/>
        </w:rPr>
        <w:t xml:space="preserve">at </w:t>
      </w:r>
      <w:r w:rsidR="00AB5B00">
        <w:rPr>
          <w:rFonts w:eastAsia="Times New Roman" w:cs="Times New Roman"/>
          <w:color w:val="000000"/>
          <w:szCs w:val="24"/>
        </w:rPr>
        <w:t>312</w:t>
      </w:r>
      <w:r w:rsidR="00AB5B00" w:rsidRPr="00143B90">
        <w:rPr>
          <w:rFonts w:eastAsia="Times New Roman" w:cs="Times New Roman"/>
          <w:color w:val="000000"/>
          <w:szCs w:val="24"/>
        </w:rPr>
        <w:t xml:space="preserve"> (quoting </w:t>
      </w:r>
      <w:r w:rsidR="00AB5B00" w:rsidRPr="00143B90">
        <w:rPr>
          <w:rFonts w:eastAsia="Times New Roman" w:cs="Times New Roman"/>
          <w:i/>
          <w:iCs/>
          <w:color w:val="000000"/>
          <w:szCs w:val="24"/>
        </w:rPr>
        <w:t>Cleveland v. United States</w:t>
      </w:r>
      <w:r w:rsidR="00AB5B00" w:rsidRPr="00143B90">
        <w:rPr>
          <w:rFonts w:eastAsia="Times New Roman" w:cs="Times New Roman"/>
          <w:color w:val="000000"/>
          <w:szCs w:val="24"/>
        </w:rPr>
        <w:t xml:space="preserve">, 531 U.S. 12, 19 (2000)). “Accordingly, the Government must prove not only that wire fraud defendants ‘engaged in deception,’ but also that money or property was ‘an object of their fraud.’” </w:t>
      </w:r>
      <w:r w:rsidR="00AB5B00" w:rsidRPr="00143B90">
        <w:rPr>
          <w:rFonts w:eastAsia="Times New Roman" w:cs="Times New Roman"/>
          <w:i/>
          <w:iCs/>
          <w:color w:val="000000"/>
          <w:szCs w:val="24"/>
        </w:rPr>
        <w:t>Id</w:t>
      </w:r>
      <w:r w:rsidR="00AB5B00" w:rsidRPr="00143B90">
        <w:rPr>
          <w:rFonts w:eastAsia="Times New Roman" w:cs="Times New Roman"/>
          <w:color w:val="000000"/>
          <w:szCs w:val="24"/>
        </w:rPr>
        <w:t xml:space="preserve">. </w:t>
      </w:r>
    </w:p>
    <w:p w14:paraId="3B480D70" w14:textId="77777777" w:rsidR="00AB5B00" w:rsidRDefault="00AB5B00" w:rsidP="00825BE3">
      <w:pPr>
        <w:spacing w:after="19"/>
        <w:rPr>
          <w:rFonts w:eastAsia="Times New Roman" w:cs="Times New Roman"/>
          <w:color w:val="000000"/>
          <w:szCs w:val="24"/>
        </w:rPr>
      </w:pPr>
    </w:p>
    <w:p w14:paraId="496219C5" w14:textId="31B65783" w:rsidR="00825BE3" w:rsidRPr="00742622" w:rsidRDefault="00825BE3" w:rsidP="00AB5B00">
      <w:pPr>
        <w:spacing w:after="19"/>
        <w:ind w:firstLine="720"/>
        <w:rPr>
          <w:rFonts w:eastAsia="Times New Roman" w:cs="Times New Roman"/>
          <w:color w:val="000000"/>
          <w:szCs w:val="24"/>
        </w:rPr>
      </w:pPr>
      <w:r w:rsidRPr="00742622">
        <w:rPr>
          <w:rFonts w:eastAsia="Times New Roman" w:cs="Times New Roman"/>
          <w:color w:val="000000"/>
          <w:szCs w:val="24"/>
        </w:rPr>
        <w:t xml:space="preserve">The validity of this instruction was initially confirmed in </w:t>
      </w:r>
      <w:r w:rsidRPr="00742622">
        <w:rPr>
          <w:rFonts w:eastAsia="Times New Roman" w:cs="Times New Roman"/>
          <w:i/>
          <w:color w:val="000000"/>
          <w:szCs w:val="24"/>
        </w:rPr>
        <w:t>United States v. Holden</w:t>
      </w:r>
      <w:r w:rsidRPr="00742622">
        <w:rPr>
          <w:rFonts w:eastAsia="Times New Roman" w:cs="Times New Roman"/>
          <w:color w:val="000000"/>
          <w:szCs w:val="24"/>
        </w:rPr>
        <w:t xml:space="preserve">, 908 F.3d 395, 399-401 (9th Cir. 2018), </w:t>
      </w:r>
      <w:r w:rsidRPr="00742622">
        <w:rPr>
          <w:rFonts w:eastAsia="Times New Roman" w:cs="Times New Roman"/>
          <w:i/>
          <w:color w:val="000000"/>
          <w:szCs w:val="24"/>
        </w:rPr>
        <w:t xml:space="preserve">as amended on denial of reh’g </w:t>
      </w:r>
      <w:r w:rsidRPr="00742622">
        <w:rPr>
          <w:rFonts w:eastAsia="Times New Roman" w:cs="Times New Roman"/>
          <w:color w:val="000000"/>
          <w:szCs w:val="24"/>
        </w:rPr>
        <w:t xml:space="preserve">(9th Cir. 2018).  However, in </w:t>
      </w:r>
      <w:r w:rsidRPr="00742622">
        <w:rPr>
          <w:rFonts w:eastAsia="Times New Roman" w:cs="Times New Roman"/>
          <w:i/>
          <w:color w:val="000000"/>
          <w:szCs w:val="24"/>
        </w:rPr>
        <w:t>United States v. Miller</w:t>
      </w:r>
      <w:r w:rsidRPr="00742622">
        <w:rPr>
          <w:rFonts w:eastAsia="Times New Roman" w:cs="Times New Roman"/>
          <w:color w:val="000000"/>
          <w:szCs w:val="24"/>
        </w:rPr>
        <w:t xml:space="preserve">, 953 F.3d 1095, 1101-03 (9th Cir. 2020), the Ninth Circuit expressly considered this instruction and held that wire fraud requires the intent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w:t>
      </w:r>
      <w:r>
        <w:rPr>
          <w:rFonts w:eastAsia="Times New Roman" w:cs="Times New Roman"/>
          <w:color w:val="000000"/>
          <w:szCs w:val="24"/>
        </w:rPr>
        <w:t>,</w:t>
      </w:r>
      <w:r w:rsidRPr="00742622">
        <w:rPr>
          <w:rFonts w:eastAsia="Times New Roman" w:cs="Times New Roman"/>
          <w:color w:val="000000"/>
          <w:szCs w:val="24"/>
        </w:rPr>
        <w:t xml:space="preserve">” thereby overruling prior holdings approving the “deceive </w:t>
      </w:r>
      <w:r w:rsidRPr="00742622">
        <w:rPr>
          <w:rFonts w:eastAsia="Times New Roman" w:cs="Times New Roman"/>
          <w:i/>
          <w:color w:val="000000"/>
          <w:szCs w:val="24"/>
        </w:rPr>
        <w:t xml:space="preserve">or </w:t>
      </w:r>
      <w:r w:rsidRPr="00742622">
        <w:rPr>
          <w:rFonts w:eastAsia="Times New Roman" w:cs="Times New Roman"/>
          <w:color w:val="000000"/>
          <w:szCs w:val="24"/>
        </w:rPr>
        <w:t xml:space="preserve">cheat” language in light of the Supreme Court’s decision in </w:t>
      </w:r>
      <w:r w:rsidRPr="00742622">
        <w:rPr>
          <w:rFonts w:eastAsia="Times New Roman" w:cs="Times New Roman"/>
          <w:i/>
          <w:color w:val="000000"/>
          <w:szCs w:val="24"/>
        </w:rPr>
        <w:t>Shaw v. United States</w:t>
      </w:r>
      <w:r w:rsidRPr="00742622">
        <w:rPr>
          <w:rFonts w:eastAsia="Times New Roman" w:cs="Times New Roman"/>
          <w:color w:val="000000"/>
          <w:szCs w:val="24"/>
        </w:rPr>
        <w:t xml:space="preserve">, 137 S. Ct. 462, 469 (2016). </w:t>
      </w:r>
      <w:r w:rsidRPr="00F1268B">
        <w:rPr>
          <w:rFonts w:eastAsia="Times New Roman" w:cs="Times New Roman"/>
          <w:i/>
          <w:iCs/>
          <w:color w:val="000000"/>
          <w:szCs w:val="24"/>
        </w:rPr>
        <w:t>Miller</w:t>
      </w:r>
      <w:r>
        <w:rPr>
          <w:rFonts w:eastAsia="Times New Roman" w:cs="Times New Roman"/>
          <w:color w:val="000000"/>
          <w:szCs w:val="24"/>
        </w:rPr>
        <w:t>, 953 F.3d at 1102.</w:t>
      </w:r>
      <w:r w:rsidRPr="00742622">
        <w:rPr>
          <w:rFonts w:eastAsia="Times New Roman" w:cs="Times New Roman"/>
          <w:color w:val="000000"/>
          <w:szCs w:val="24"/>
        </w:rPr>
        <w:t xml:space="preserve"> </w:t>
      </w:r>
      <w:r w:rsidRPr="00742622">
        <w:rPr>
          <w:rFonts w:eastAsia="Times New Roman" w:cs="Times New Roman"/>
          <w:i/>
          <w:color w:val="000000"/>
          <w:szCs w:val="24"/>
        </w:rPr>
        <w:t>Miller</w:t>
      </w:r>
      <w:r w:rsidRPr="00742622">
        <w:rPr>
          <w:rFonts w:eastAsia="Times New Roman" w:cs="Times New Roman"/>
          <w:color w:val="000000"/>
          <w:szCs w:val="24"/>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742622">
        <w:rPr>
          <w:rFonts w:eastAsia="Times New Roman" w:cs="Times New Roman"/>
          <w:i/>
          <w:color w:val="000000"/>
          <w:szCs w:val="24"/>
        </w:rPr>
        <w:t>and</w:t>
      </w:r>
      <w:r w:rsidRPr="00742622">
        <w:rPr>
          <w:rFonts w:eastAsia="Times New Roman" w:cs="Times New Roman"/>
          <w:color w:val="000000"/>
          <w:szCs w:val="24"/>
        </w:rPr>
        <w:t xml:space="preserve"> cheat.”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1101.  </w:t>
      </w:r>
      <w:r w:rsidRPr="00742622">
        <w:rPr>
          <w:rFonts w:eastAsia="Times New Roman" w:cs="Times New Roman"/>
          <w:i/>
          <w:color w:val="000000"/>
          <w:szCs w:val="24"/>
        </w:rPr>
        <w:t>Miller</w:t>
      </w:r>
      <w:r w:rsidRPr="00742622">
        <w:rPr>
          <w:rFonts w:eastAsia="Times New Roman" w:cs="Times New Roman"/>
          <w:color w:val="000000"/>
          <w:szCs w:val="24"/>
        </w:rPr>
        <w:t xml:space="preserve"> does not disturb </w:t>
      </w:r>
      <w:r w:rsidRPr="00742622">
        <w:rPr>
          <w:rFonts w:eastAsia="Times New Roman" w:cs="Times New Roman"/>
          <w:i/>
          <w:color w:val="000000"/>
          <w:szCs w:val="24"/>
        </w:rPr>
        <w:t>Holden</w:t>
      </w:r>
      <w:r w:rsidRPr="00742622">
        <w:rPr>
          <w:rFonts w:eastAsia="Times New Roman" w:cs="Times New Roman"/>
          <w:color w:val="000000"/>
          <w:szCs w:val="24"/>
        </w:rPr>
        <w:t xml:space="preserve">’s ruling that although the mail and wire fraud statutes expressly punish only those who “devise . . . or intend . . . to devise” a fraudulent scheme, those who “participate in” such a scheme also fall within the statute’s ambit. </w:t>
      </w:r>
      <w:r w:rsidRPr="00742622">
        <w:rPr>
          <w:rFonts w:eastAsia="Times New Roman" w:cs="Times New Roman"/>
          <w:i/>
          <w:color w:val="000000"/>
          <w:szCs w:val="24"/>
        </w:rPr>
        <w:t>Holden</w:t>
      </w:r>
      <w:r w:rsidRPr="00742622">
        <w:rPr>
          <w:rFonts w:eastAsia="Times New Roman" w:cs="Times New Roman"/>
          <w:color w:val="000000"/>
          <w:szCs w:val="24"/>
        </w:rPr>
        <w:t xml:space="preserve">, 908 F.3d at 399-401.  </w:t>
      </w:r>
      <w:r w:rsidRPr="00742622">
        <w:rPr>
          <w:rFonts w:eastAsia="Times New Roman" w:cs="Times New Roman"/>
          <w:i/>
          <w:color w:val="000000"/>
          <w:szCs w:val="24"/>
        </w:rPr>
        <w:t xml:space="preserve">Miller </w:t>
      </w:r>
      <w:r w:rsidRPr="00742622">
        <w:rPr>
          <w:rFonts w:eastAsia="Times New Roman" w:cs="Times New Roman"/>
          <w:color w:val="000000"/>
          <w:szCs w:val="24"/>
        </w:rPr>
        <w:t>also left unchanged the precedent that inten</w:t>
      </w:r>
      <w:r>
        <w:rPr>
          <w:rFonts w:eastAsia="Times New Roman" w:cs="Times New Roman"/>
          <w:color w:val="000000"/>
          <w:szCs w:val="24"/>
        </w:rPr>
        <w:t>t</w:t>
      </w:r>
      <w:r w:rsidRPr="00742622">
        <w:rPr>
          <w:rFonts w:eastAsia="Times New Roman" w:cs="Times New Roman"/>
          <w:color w:val="000000"/>
          <w:szCs w:val="24"/>
        </w:rPr>
        <w:t xml:space="preserve"> to repay “is not a defense to wire fraud.” </w:t>
      </w:r>
      <w:r w:rsidRPr="00742622">
        <w:rPr>
          <w:rFonts w:eastAsia="Times New Roman" w:cs="Times New Roman"/>
          <w:i/>
          <w:color w:val="000000"/>
          <w:szCs w:val="24"/>
        </w:rPr>
        <w:t xml:space="preserve"> Miller</w:t>
      </w:r>
      <w:r w:rsidRPr="00742622">
        <w:rPr>
          <w:rFonts w:eastAsia="Times New Roman" w:cs="Times New Roman"/>
          <w:color w:val="000000"/>
          <w:szCs w:val="24"/>
        </w:rPr>
        <w:t xml:space="preserve">, 953. F.3d at 1103. </w:t>
      </w:r>
    </w:p>
    <w:p w14:paraId="5383753B" w14:textId="77777777" w:rsidR="00825BE3" w:rsidRPr="00742622" w:rsidRDefault="00825BE3" w:rsidP="00825BE3">
      <w:pPr>
        <w:spacing w:after="19"/>
        <w:rPr>
          <w:rFonts w:eastAsia="Times New Roman" w:cs="Times New Roman"/>
          <w:color w:val="000000"/>
          <w:szCs w:val="24"/>
        </w:rPr>
      </w:pPr>
    </w:p>
    <w:p w14:paraId="75352A07" w14:textId="77777777" w:rsidR="00825BE3" w:rsidRPr="00742622" w:rsidRDefault="00825BE3" w:rsidP="00825BE3">
      <w:pPr>
        <w:spacing w:after="19"/>
        <w:rPr>
          <w:rFonts w:eastAsia="Times New Roman" w:cs="Times New Roman"/>
          <w:i/>
          <w:color w:val="000000"/>
          <w:szCs w:val="24"/>
        </w:rPr>
      </w:pPr>
      <w:r w:rsidRPr="00742622">
        <w:rPr>
          <w:rFonts w:eastAsia="Times New Roman" w:cs="Times New Roman"/>
          <w:color w:val="000000"/>
          <w:szCs w:val="24"/>
        </w:rPr>
        <w:tab/>
        <w:t xml:space="preserve">A defendant acts with the intent to </w:t>
      </w:r>
      <w:r w:rsidRPr="00742622">
        <w:rPr>
          <w:rFonts w:eastAsia="Times New Roman" w:cs="Times New Roman"/>
          <w:i/>
          <w:color w:val="000000"/>
          <w:szCs w:val="24"/>
        </w:rPr>
        <w:t>deceive</w:t>
      </w:r>
      <w:r w:rsidRPr="00742622">
        <w:rPr>
          <w:rFonts w:eastAsia="Times New Roman" w:cs="Times New Roman"/>
          <w:color w:val="000000"/>
          <w:szCs w:val="24"/>
        </w:rPr>
        <w:t xml:space="preserve"> when he “make[s] false statements or utilize[s] other forms of deception[.]” </w:t>
      </w:r>
      <w:r w:rsidRPr="00742622">
        <w:rPr>
          <w:rFonts w:eastAsia="Times New Roman" w:cs="Times New Roman"/>
          <w:i/>
          <w:color w:val="000000"/>
          <w:szCs w:val="24"/>
        </w:rPr>
        <w:t>Miller</w:t>
      </w:r>
      <w:r w:rsidRPr="00742622">
        <w:rPr>
          <w:rFonts w:eastAsia="Times New Roman" w:cs="Times New Roman"/>
          <w:color w:val="000000"/>
          <w:szCs w:val="24"/>
        </w:rPr>
        <w:t xml:space="preserve">, 953 F.3d at 1101.  A defendant acts with the intent to </w:t>
      </w:r>
      <w:r w:rsidRPr="00742622">
        <w:rPr>
          <w:rFonts w:eastAsia="Times New Roman" w:cs="Times New Roman"/>
          <w:i/>
          <w:color w:val="000000"/>
          <w:szCs w:val="24"/>
        </w:rPr>
        <w:t>cheat</w:t>
      </w:r>
      <w:r w:rsidRPr="00742622">
        <w:rPr>
          <w:rFonts w:eastAsia="Times New Roman" w:cs="Times New Roman"/>
          <w:color w:val="000000"/>
          <w:szCs w:val="24"/>
        </w:rPr>
        <w:t xml:space="preserve"> when he engages in “a scheme or artifice to defraud or obtain money or property” and “deprive[s] a victim of money or property” thereby “cheat[</w:t>
      </w:r>
      <w:proofErr w:type="spellStart"/>
      <w:r w:rsidRPr="00742622">
        <w:rPr>
          <w:rFonts w:eastAsia="Times New Roman" w:cs="Times New Roman"/>
          <w:color w:val="000000"/>
          <w:szCs w:val="24"/>
        </w:rPr>
        <w:t>ing</w:t>
      </w:r>
      <w:proofErr w:type="spellEnd"/>
      <w:r w:rsidRPr="00742622">
        <w:rPr>
          <w:rFonts w:eastAsia="Times New Roman" w:cs="Times New Roman"/>
          <w:color w:val="000000"/>
          <w:szCs w:val="24"/>
        </w:rPr>
        <w:t xml:space="preserve">] someone out of something valuable.” </w:t>
      </w:r>
      <w:r w:rsidRPr="00742622">
        <w:rPr>
          <w:rFonts w:eastAsia="Times New Roman" w:cs="Times New Roman"/>
          <w:i/>
          <w:color w:val="000000"/>
          <w:szCs w:val="24"/>
        </w:rPr>
        <w:t xml:space="preserve"> Id. </w:t>
      </w:r>
    </w:p>
    <w:p w14:paraId="139A4755" w14:textId="77777777" w:rsidR="00825BE3" w:rsidRPr="00742622" w:rsidRDefault="00825BE3" w:rsidP="00825BE3">
      <w:pPr>
        <w:spacing w:after="19"/>
        <w:rPr>
          <w:rFonts w:eastAsia="Times New Roman" w:cs="Times New Roman"/>
          <w:i/>
          <w:color w:val="000000"/>
          <w:szCs w:val="24"/>
        </w:rPr>
      </w:pPr>
    </w:p>
    <w:p w14:paraId="20AF33DD" w14:textId="77777777" w:rsidR="00825BE3" w:rsidRPr="00742622" w:rsidRDefault="00825BE3" w:rsidP="00825BE3">
      <w:pPr>
        <w:spacing w:after="19"/>
        <w:rPr>
          <w:rFonts w:eastAsia="Times New Roman" w:cs="Times New Roman"/>
          <w:color w:val="000000"/>
          <w:szCs w:val="24"/>
        </w:rPr>
      </w:pPr>
      <w:r w:rsidRPr="00742622">
        <w:rPr>
          <w:rFonts w:eastAsia="Times New Roman" w:cs="Times New Roman"/>
          <w:i/>
          <w:color w:val="000000"/>
          <w:szCs w:val="24"/>
        </w:rPr>
        <w:tab/>
      </w:r>
      <w:r w:rsidRPr="00742622">
        <w:rPr>
          <w:rFonts w:eastAsia="Times New Roman" w:cs="Times New Roman"/>
          <w:color w:val="000000"/>
          <w:szCs w:val="24"/>
        </w:rPr>
        <w:t xml:space="preserve">In clarifying the distinction between “deceive” and “cheat,” </w:t>
      </w:r>
      <w:r w:rsidRPr="00742622">
        <w:rPr>
          <w:rFonts w:eastAsia="Times New Roman" w:cs="Times New Roman"/>
          <w:i/>
          <w:color w:val="000000"/>
          <w:szCs w:val="24"/>
        </w:rPr>
        <w:t xml:space="preserve">Miller </w:t>
      </w:r>
      <w:r w:rsidRPr="00742622">
        <w:rPr>
          <w:rFonts w:eastAsia="Times New Roman" w:cs="Times New Roman"/>
          <w:color w:val="000000"/>
          <w:szCs w:val="24"/>
        </w:rPr>
        <w:t xml:space="preserve">cites to </w:t>
      </w:r>
      <w:r w:rsidRPr="00742622">
        <w:rPr>
          <w:rFonts w:eastAsia="Times New Roman" w:cs="Times New Roman"/>
          <w:i/>
          <w:color w:val="000000"/>
          <w:szCs w:val="24"/>
        </w:rPr>
        <w:t>United States v. Walters</w:t>
      </w:r>
      <w:r w:rsidRPr="00742622">
        <w:rPr>
          <w:rFonts w:eastAsia="Times New Roman" w:cs="Times New Roman"/>
          <w:color w:val="000000"/>
          <w:szCs w:val="24"/>
        </w:rPr>
        <w:t xml:space="preserve">, 997 F.2d 1219 (7th Cir. 1993).  In </w:t>
      </w:r>
      <w:r w:rsidRPr="00742622">
        <w:rPr>
          <w:rFonts w:eastAsia="Times New Roman" w:cs="Times New Roman"/>
          <w:i/>
          <w:color w:val="000000"/>
          <w:szCs w:val="24"/>
        </w:rPr>
        <w:t>Walters</w:t>
      </w:r>
      <w:r w:rsidRPr="00742622">
        <w:rPr>
          <w:rFonts w:eastAsia="Times New Roman" w:cs="Times New Roman"/>
          <w:color w:val="000000"/>
          <w:szCs w:val="24"/>
        </w:rPr>
        <w:t xml:space="preserve">, the court reviewed the conviction for mail fraud of a sports agent who had defrauded the NCAA, not by stealing its property, but by inducing college </w:t>
      </w:r>
      <w:r>
        <w:rPr>
          <w:rFonts w:eastAsia="Times New Roman" w:cs="Times New Roman"/>
          <w:color w:val="000000"/>
          <w:szCs w:val="24"/>
        </w:rPr>
        <w:t>athletes</w:t>
      </w:r>
      <w:r w:rsidRPr="00742622">
        <w:rPr>
          <w:rFonts w:eastAsia="Times New Roman" w:cs="Times New Roman"/>
          <w:color w:val="000000"/>
          <w:szCs w:val="24"/>
        </w:rPr>
        <w:t xml:space="preserve"> to sign secret representation contracts in violation of the Association’s rules. </w:t>
      </w:r>
      <w:r w:rsidRPr="00F1268B">
        <w:rPr>
          <w:rFonts w:eastAsia="Times New Roman" w:cs="Times New Roman"/>
          <w:i/>
          <w:iCs/>
          <w:color w:val="000000"/>
          <w:szCs w:val="24"/>
        </w:rPr>
        <w:t>Walters</w:t>
      </w:r>
      <w:r>
        <w:rPr>
          <w:rFonts w:eastAsia="Times New Roman" w:cs="Times New Roman"/>
          <w:color w:val="000000"/>
          <w:szCs w:val="24"/>
        </w:rPr>
        <w:t xml:space="preserve">, 997 F.2d at 1221. </w:t>
      </w:r>
      <w:r w:rsidRPr="00742622">
        <w:rPr>
          <w:rFonts w:eastAsia="Times New Roman" w:cs="Times New Roman"/>
          <w:color w:val="000000"/>
          <w:szCs w:val="24"/>
        </w:rPr>
        <w:t xml:space="preserve"> Finding that the agent had deceived, but not cheated, his </w:t>
      </w:r>
      <w:r w:rsidRPr="00742622">
        <w:rPr>
          <w:rFonts w:eastAsia="Times New Roman" w:cs="Times New Roman"/>
          <w:color w:val="000000"/>
          <w:szCs w:val="24"/>
        </w:rPr>
        <w:lastRenderedPageBreak/>
        <w:t>victim, the Seventh Circuit reversed the agent’s conviction, holding that the statute requires “a scheme to obtain money or other property from the victim,” and that while a deprivation of money or property is a necessary condition of mail fraud, “[l]</w:t>
      </w:r>
      <w:proofErr w:type="spellStart"/>
      <w:r w:rsidRPr="00742622">
        <w:rPr>
          <w:rFonts w:eastAsia="Times New Roman" w:cs="Times New Roman"/>
          <w:color w:val="000000"/>
          <w:szCs w:val="24"/>
        </w:rPr>
        <w:t>osses</w:t>
      </w:r>
      <w:proofErr w:type="spellEnd"/>
      <w:r w:rsidRPr="00742622">
        <w:rPr>
          <w:rFonts w:eastAsia="Times New Roman" w:cs="Times New Roman"/>
          <w:color w:val="000000"/>
          <w:szCs w:val="24"/>
        </w:rPr>
        <w:t xml:space="preserve"> that occur as byproducts of a deceitful scheme do not satisfy the statutory requirement</w:t>
      </w:r>
      <w:r>
        <w:rPr>
          <w:rFonts w:eastAsia="Times New Roman" w:cs="Times New Roman"/>
          <w:color w:val="000000"/>
          <w:szCs w:val="24"/>
        </w:rPr>
        <w:t>.</w:t>
      </w:r>
      <w:r w:rsidRPr="00742622">
        <w:rPr>
          <w:rFonts w:eastAsia="Times New Roman" w:cs="Times New Roman"/>
          <w:color w:val="000000"/>
          <w:szCs w:val="24"/>
        </w:rPr>
        <w:t xml:space="preserve">”  </w:t>
      </w:r>
      <w:r w:rsidRPr="00742622">
        <w:rPr>
          <w:rFonts w:eastAsia="Times New Roman" w:cs="Times New Roman"/>
          <w:i/>
          <w:color w:val="000000"/>
          <w:szCs w:val="24"/>
        </w:rPr>
        <w:t xml:space="preserve">Id. </w:t>
      </w:r>
      <w:r w:rsidRPr="00742622">
        <w:rPr>
          <w:rFonts w:eastAsia="Times New Roman" w:cs="Times New Roman"/>
          <w:color w:val="000000"/>
          <w:szCs w:val="24"/>
        </w:rPr>
        <w:t xml:space="preserve">at 1227. </w:t>
      </w:r>
    </w:p>
    <w:p w14:paraId="7C6570A9" w14:textId="77777777" w:rsidR="00825BE3" w:rsidRPr="00742622" w:rsidRDefault="00825BE3" w:rsidP="00825BE3">
      <w:pPr>
        <w:spacing w:after="19"/>
        <w:rPr>
          <w:rFonts w:eastAsia="Times New Roman" w:cs="Times New Roman"/>
          <w:color w:val="000000"/>
          <w:szCs w:val="24"/>
        </w:rPr>
      </w:pPr>
    </w:p>
    <w:p w14:paraId="5A9FF941" w14:textId="3425AF64"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t xml:space="preserve">The only difference between mail fraud and wire fraud is that the former involves the use of the </w:t>
      </w:r>
      <w:proofErr w:type="gramStart"/>
      <w:r w:rsidRPr="00742622">
        <w:rPr>
          <w:rFonts w:eastAsia="Times New Roman" w:cs="Times New Roman"/>
          <w:color w:val="000000"/>
          <w:szCs w:val="24"/>
        </w:rPr>
        <w:t>mails</w:t>
      </w:r>
      <w:proofErr w:type="gramEnd"/>
      <w:r w:rsidRPr="00742622">
        <w:rPr>
          <w:rFonts w:eastAsia="Times New Roman" w:cs="Times New Roman"/>
          <w:color w:val="000000"/>
          <w:szCs w:val="24"/>
        </w:rPr>
        <w:t xml:space="preserve"> and the latter involves the use of wire, radio, or television communication in interstate or foreign commerce.</w:t>
      </w:r>
      <w:r>
        <w:rPr>
          <w:rFonts w:eastAsia="Times New Roman" w:cs="Times New Roman"/>
          <w:color w:val="000000"/>
          <w:szCs w:val="24"/>
        </w:rPr>
        <w:t xml:space="preserve"> </w:t>
      </w:r>
      <w:r w:rsidRPr="00742622">
        <w:rPr>
          <w:rFonts w:eastAsia="Times New Roman" w:cs="Times New Roman"/>
          <w:color w:val="000000"/>
          <w:szCs w:val="24"/>
        </w:rPr>
        <w:t xml:space="preserve"> Much of the language of this instruction </w:t>
      </w:r>
      <w:r>
        <w:rPr>
          <w:rFonts w:eastAsia="Times New Roman" w:cs="Times New Roman"/>
          <w:color w:val="000000"/>
          <w:szCs w:val="24"/>
        </w:rPr>
        <w:t>comes</w:t>
      </w:r>
      <w:r w:rsidRPr="00742622">
        <w:rPr>
          <w:rFonts w:eastAsia="Times New Roman" w:cs="Times New Roman"/>
          <w:color w:val="000000"/>
          <w:szCs w:val="24"/>
        </w:rPr>
        <w:t xml:space="preserve"> from the instructions </w:t>
      </w:r>
      <w:r>
        <w:rPr>
          <w:rFonts w:eastAsia="Times New Roman" w:cs="Times New Roman"/>
          <w:color w:val="000000"/>
          <w:szCs w:val="24"/>
        </w:rPr>
        <w:t>approved</w:t>
      </w:r>
      <w:r w:rsidRPr="00742622">
        <w:rPr>
          <w:rFonts w:eastAsia="Times New Roman" w:cs="Times New Roman"/>
          <w:color w:val="000000"/>
          <w:szCs w:val="24"/>
        </w:rPr>
        <w:t xml:space="preserve"> in </w:t>
      </w:r>
      <w:r w:rsidRPr="00742622">
        <w:rPr>
          <w:rFonts w:eastAsia="Times New Roman" w:cs="Times New Roman"/>
          <w:i/>
          <w:color w:val="000000"/>
          <w:szCs w:val="24"/>
        </w:rPr>
        <w:t xml:space="preserve">United States v. </w:t>
      </w:r>
      <w:proofErr w:type="spellStart"/>
      <w:r w:rsidRPr="00742622">
        <w:rPr>
          <w:rFonts w:eastAsia="Times New Roman" w:cs="Times New Roman"/>
          <w:i/>
          <w:color w:val="000000"/>
          <w:szCs w:val="24"/>
        </w:rPr>
        <w:t>Jinian</w:t>
      </w:r>
      <w:proofErr w:type="spellEnd"/>
      <w:r w:rsidRPr="00742622">
        <w:rPr>
          <w:rFonts w:eastAsia="Times New Roman" w:cs="Times New Roman"/>
          <w:color w:val="000000"/>
          <w:szCs w:val="24"/>
        </w:rPr>
        <w:t>, 712 F.3d 1255, 1265-67 (9th Cir. 2013).</w:t>
      </w:r>
      <w:r w:rsidR="00881459">
        <w:rPr>
          <w:rFonts w:eastAsia="Times New Roman" w:cs="Times New Roman"/>
          <w:color w:val="000000"/>
          <w:szCs w:val="24"/>
        </w:rPr>
        <w:t xml:space="preserve"> </w:t>
      </w:r>
    </w:p>
    <w:p w14:paraId="462A282D" w14:textId="63C48A6A" w:rsidR="00825BE3" w:rsidRDefault="00825BE3" w:rsidP="00825BE3">
      <w:pPr>
        <w:rPr>
          <w:rFonts w:eastAsia="Times New Roman" w:cs="Times New Roman"/>
          <w:color w:val="000000"/>
          <w:szCs w:val="24"/>
        </w:rPr>
      </w:pPr>
      <w:r w:rsidRPr="00742622">
        <w:rPr>
          <w:rFonts w:eastAsia="Times New Roman" w:cs="Times New Roman"/>
          <w:color w:val="000000"/>
          <w:szCs w:val="24"/>
        </w:rPr>
        <w:br/>
      </w:r>
      <w:r w:rsidRPr="00742622">
        <w:rPr>
          <w:rFonts w:eastAsia="Times New Roman" w:cs="Times New Roman"/>
          <w:color w:val="000000"/>
          <w:szCs w:val="24"/>
        </w:rPr>
        <w:tab/>
        <w:t>As with mail fraud, materiality is an essential element of the crime of wire fraud.</w:t>
      </w:r>
      <w:r>
        <w:rPr>
          <w:rFonts w:eastAsia="Times New Roman" w:cs="Times New Roman"/>
          <w:color w:val="000000"/>
          <w:szCs w:val="24"/>
        </w:rPr>
        <w:t xml:space="preserve"> </w:t>
      </w:r>
      <w:r w:rsidRPr="00742622">
        <w:rPr>
          <w:rFonts w:eastAsia="Times New Roman" w:cs="Times New Roman"/>
          <w:color w:val="000000"/>
          <w:szCs w:val="24"/>
        </w:rPr>
        <w:t xml:space="preserve"> </w:t>
      </w:r>
      <w:r w:rsidRPr="00742622">
        <w:rPr>
          <w:rFonts w:eastAsia="Times New Roman" w:cs="Times New Roman"/>
          <w:i/>
          <w:color w:val="000000"/>
          <w:szCs w:val="24"/>
        </w:rPr>
        <w:t>Neder v. United States</w:t>
      </w:r>
      <w:r w:rsidRPr="00742622">
        <w:rPr>
          <w:rFonts w:eastAsia="Times New Roman" w:cs="Times New Roman"/>
          <w:color w:val="000000"/>
          <w:szCs w:val="24"/>
        </w:rPr>
        <w:t xml:space="preserve">, 527 U.S. 1 (1999); </w:t>
      </w:r>
      <w:r w:rsidRPr="00742622">
        <w:rPr>
          <w:rFonts w:eastAsia="Times New Roman" w:cs="Times New Roman"/>
          <w:i/>
          <w:color w:val="000000"/>
          <w:szCs w:val="24"/>
        </w:rPr>
        <w:t>United States v. Milovanovic</w:t>
      </w:r>
      <w:r w:rsidRPr="00742622">
        <w:rPr>
          <w:rFonts w:eastAsia="Times New Roman" w:cs="Times New Roman"/>
          <w:color w:val="000000"/>
          <w:szCs w:val="24"/>
        </w:rPr>
        <w:t>, 678 F.3d 713, 726-27 (9th Cir. 2012) (</w:t>
      </w:r>
      <w:proofErr w:type="spellStart"/>
      <w:r w:rsidRPr="00742622">
        <w:rPr>
          <w:rFonts w:eastAsia="Times New Roman" w:cs="Times New Roman"/>
          <w:color w:val="000000"/>
          <w:szCs w:val="24"/>
        </w:rPr>
        <w:t>en</w:t>
      </w:r>
      <w:proofErr w:type="spellEnd"/>
      <w:r w:rsidRPr="00742622">
        <w:rPr>
          <w:rFonts w:eastAsia="Times New Roman" w:cs="Times New Roman"/>
          <w:color w:val="000000"/>
          <w:szCs w:val="24"/>
        </w:rPr>
        <w:t xml:space="preserve"> banc).</w:t>
      </w:r>
    </w:p>
    <w:p w14:paraId="07F40124" w14:textId="77777777" w:rsidR="00526F78" w:rsidRPr="00742622" w:rsidRDefault="00526F78" w:rsidP="00825BE3">
      <w:pPr>
        <w:rPr>
          <w:rFonts w:eastAsia="Times New Roman" w:cs="Times New Roman"/>
          <w:color w:val="000000"/>
          <w:szCs w:val="24"/>
        </w:rPr>
      </w:pPr>
    </w:p>
    <w:p w14:paraId="236D76D7" w14:textId="18CE752E" w:rsidR="00526F78" w:rsidRPr="00526F78" w:rsidRDefault="00526F78" w:rsidP="00526F78">
      <w:pPr>
        <w:ind w:firstLine="720"/>
        <w:rPr>
          <w:rFonts w:eastAsia="Times New Roman" w:cs="Times New Roman"/>
          <w:color w:val="000000"/>
          <w:szCs w:val="24"/>
        </w:rPr>
      </w:pPr>
      <w:r w:rsidRPr="00526F78">
        <w:rPr>
          <w:rFonts w:eastAsia="Times New Roman" w:cs="Times New Roman"/>
          <w:color w:val="000000"/>
          <w:szCs w:val="24"/>
        </w:rPr>
        <w:t>For cases involving a scheme to induce a victim to enter a bargain, in order for a</w:t>
      </w:r>
      <w:r>
        <w:rPr>
          <w:rFonts w:eastAsia="Times New Roman" w:cs="Times New Roman"/>
          <w:color w:val="000000"/>
          <w:szCs w:val="24"/>
        </w:rPr>
        <w:t xml:space="preserve"> </w:t>
      </w:r>
      <w:r w:rsidRPr="00526F78">
        <w:rPr>
          <w:rFonts w:eastAsia="Times New Roman" w:cs="Times New Roman"/>
          <w:color w:val="000000"/>
          <w:szCs w:val="24"/>
        </w:rPr>
        <w:t xml:space="preserve">misrepresentation to constitute fraud, the misrepresentation “must . . . go to the nature of the bargain.” </w:t>
      </w:r>
      <w:r w:rsidRPr="00526F78">
        <w:rPr>
          <w:rFonts w:eastAsia="Times New Roman" w:cs="Times New Roman"/>
          <w:i/>
          <w:iCs/>
          <w:color w:val="000000"/>
          <w:szCs w:val="24"/>
        </w:rPr>
        <w:t>United States v. Milheiser</w:t>
      </w:r>
      <w:r w:rsidRPr="00526F78">
        <w:rPr>
          <w:rFonts w:eastAsia="Times New Roman" w:cs="Times New Roman"/>
          <w:color w:val="000000"/>
          <w:szCs w:val="24"/>
        </w:rPr>
        <w:t xml:space="preserve">, 98 F.4th 935, 938, 944-45 (9th Cir. 2024) (“The nature of the bargain requirement properly excludes from liability cases in which a defendant’s misrepresentations about collateral matters may have led to the </w:t>
      </w:r>
      <w:proofErr w:type="gramStart"/>
      <w:r w:rsidRPr="00526F78">
        <w:rPr>
          <w:rFonts w:eastAsia="Times New Roman" w:cs="Times New Roman"/>
          <w:color w:val="000000"/>
          <w:szCs w:val="24"/>
        </w:rPr>
        <w:t>transaction</w:t>
      </w:r>
      <w:proofErr w:type="gramEnd"/>
      <w:r w:rsidRPr="00526F78">
        <w:rPr>
          <w:rFonts w:eastAsia="Times New Roman" w:cs="Times New Roman"/>
          <w:color w:val="000000"/>
          <w:szCs w:val="24"/>
        </w:rPr>
        <w:t xml:space="preserve"> but the buyer still got the product that she expected at the price she expected.”).</w:t>
      </w:r>
    </w:p>
    <w:p w14:paraId="5A541FF6" w14:textId="77777777" w:rsidR="00825BE3" w:rsidRPr="00742622" w:rsidRDefault="00825BE3" w:rsidP="00825BE3">
      <w:pPr>
        <w:rPr>
          <w:rFonts w:eastAsia="Times New Roman" w:cs="Times New Roman"/>
          <w:color w:val="000000"/>
          <w:szCs w:val="24"/>
        </w:rPr>
      </w:pPr>
    </w:p>
    <w:p w14:paraId="685B037F" w14:textId="77777777" w:rsidR="00825BE3" w:rsidRDefault="00825BE3" w:rsidP="00825BE3">
      <w:pPr>
        <w:rPr>
          <w:rFonts w:eastAsia="Times New Roman" w:cs="Times New Roman"/>
          <w:color w:val="000000"/>
          <w:szCs w:val="24"/>
        </w:rPr>
      </w:pPr>
      <w:r w:rsidRPr="00742622">
        <w:rPr>
          <w:rFonts w:eastAsia="Times New Roman" w:cs="Times New Roman"/>
          <w:color w:val="000000"/>
          <w:szCs w:val="24"/>
        </w:rPr>
        <w:tab/>
      </w:r>
      <w:r>
        <w:rPr>
          <w:rFonts w:eastAsia="Times New Roman" w:cs="Times New Roman"/>
          <w:color w:val="000000"/>
          <w:szCs w:val="24"/>
        </w:rPr>
        <w:t>For</w:t>
      </w:r>
      <w:r w:rsidRPr="00742622">
        <w:rPr>
          <w:rFonts w:eastAsia="Times New Roman" w:cs="Times New Roman"/>
          <w:color w:val="000000"/>
          <w:szCs w:val="24"/>
        </w:rPr>
        <w:t xml:space="preserve"> a case involving wire fraud that “affects a financial institution” within the meaning of 18 U.S.C. § 1343, </w:t>
      </w:r>
      <w:r w:rsidRPr="00742622">
        <w:rPr>
          <w:rFonts w:eastAsia="Times New Roman" w:cs="Times New Roman"/>
          <w:i/>
          <w:color w:val="000000"/>
          <w:szCs w:val="24"/>
        </w:rPr>
        <w:t>see</w:t>
      </w:r>
      <w:r w:rsidRPr="00742622">
        <w:rPr>
          <w:rFonts w:eastAsia="Times New Roman" w:cs="Times New Roman"/>
          <w:color w:val="000000"/>
          <w:szCs w:val="24"/>
        </w:rPr>
        <w:t xml:space="preserve"> </w:t>
      </w:r>
      <w:r w:rsidRPr="00742622">
        <w:rPr>
          <w:rFonts w:eastAsia="Times New Roman" w:cs="Times New Roman"/>
          <w:i/>
          <w:color w:val="000000"/>
          <w:szCs w:val="24"/>
        </w:rPr>
        <w:t>United States v. Stargell</w:t>
      </w:r>
      <w:r w:rsidRPr="00742622">
        <w:rPr>
          <w:rFonts w:eastAsia="Times New Roman" w:cs="Times New Roman"/>
          <w:color w:val="000000"/>
          <w:szCs w:val="24"/>
        </w:rPr>
        <w:t>, 738 F.3d 1018, 1022-23 (9th Cir. 2013) (defining term “affects”).</w:t>
      </w:r>
    </w:p>
    <w:p w14:paraId="06A204E5" w14:textId="77777777" w:rsidR="00825BE3" w:rsidRPr="00742622" w:rsidRDefault="00825BE3" w:rsidP="00825BE3">
      <w:pPr>
        <w:rPr>
          <w:rFonts w:eastAsia="Times New Roman" w:cs="Times New Roman"/>
          <w:color w:val="000000"/>
          <w:szCs w:val="24"/>
        </w:rPr>
      </w:pPr>
    </w:p>
    <w:p w14:paraId="10A26BEF" w14:textId="77777777" w:rsidR="00825BE3" w:rsidRDefault="00825BE3" w:rsidP="00825BE3">
      <w:pPr>
        <w:rPr>
          <w:rFonts w:eastAsia="Times New Roman" w:cs="Times New Roman"/>
          <w:color w:val="000000"/>
          <w:szCs w:val="24"/>
        </w:rPr>
      </w:pPr>
      <w:r w:rsidRPr="00742622">
        <w:rPr>
          <w:rFonts w:eastAsia="Times New Roman" w:cs="Times New Roman"/>
          <w:color w:val="000000"/>
          <w:szCs w:val="24"/>
        </w:rPr>
        <w:tab/>
        <w:t xml:space="preserve">For cases involving the failure to disclose material information, </w:t>
      </w:r>
      <w:r w:rsidRPr="00F963E2">
        <w:rPr>
          <w:rFonts w:eastAsia="Times New Roman" w:cs="Times New Roman"/>
          <w:i/>
          <w:color w:val="000000"/>
          <w:szCs w:val="24"/>
        </w:rPr>
        <w:t>see</w:t>
      </w:r>
      <w:r w:rsidRPr="00742622">
        <w:rPr>
          <w:rFonts w:eastAsia="Times New Roman" w:cs="Times New Roman"/>
          <w:i/>
          <w:color w:val="000000"/>
          <w:szCs w:val="24"/>
        </w:rPr>
        <w:t xml:space="preserve"> United States v. Shields</w:t>
      </w:r>
      <w:r w:rsidRPr="00742622">
        <w:rPr>
          <w:rFonts w:eastAsia="Times New Roman" w:cs="Times New Roman"/>
          <w:color w:val="000000"/>
          <w:szCs w:val="24"/>
        </w:rPr>
        <w:t xml:space="preserve">, 844 F.3d 819, 822-23 (9th Cir. 2016); </w:t>
      </w:r>
      <w:r w:rsidRPr="00742622">
        <w:rPr>
          <w:rFonts w:eastAsia="Times New Roman" w:cs="Times New Roman"/>
          <w:i/>
          <w:color w:val="000000"/>
          <w:szCs w:val="24"/>
        </w:rPr>
        <w:t>Milovanovic</w:t>
      </w:r>
      <w:r w:rsidRPr="00742622">
        <w:rPr>
          <w:rFonts w:eastAsia="Times New Roman" w:cs="Times New Roman"/>
          <w:color w:val="000000"/>
          <w:szCs w:val="24"/>
        </w:rPr>
        <w:t>, 678 F.3d 723-24.</w:t>
      </w:r>
    </w:p>
    <w:p w14:paraId="235AD7C9" w14:textId="77777777" w:rsidR="00881459" w:rsidRDefault="00881459" w:rsidP="00825BE3">
      <w:pPr>
        <w:rPr>
          <w:rFonts w:eastAsia="Times New Roman" w:cs="Times New Roman"/>
          <w:color w:val="000000"/>
          <w:szCs w:val="24"/>
        </w:rPr>
      </w:pPr>
    </w:p>
    <w:p w14:paraId="7C4E38B8" w14:textId="77777777" w:rsidR="00825BE3" w:rsidRPr="00742622" w:rsidRDefault="00825BE3" w:rsidP="00825BE3">
      <w:pPr>
        <w:rPr>
          <w:rFonts w:eastAsia="Times New Roman" w:cs="Times New Roman"/>
          <w:color w:val="000000"/>
          <w:szCs w:val="24"/>
        </w:rPr>
      </w:pPr>
      <w:r w:rsidRPr="00742622">
        <w:rPr>
          <w:rFonts w:eastAsia="Times New Roman" w:cs="Times New Roman"/>
          <w:color w:val="000000"/>
          <w:szCs w:val="24"/>
        </w:rPr>
        <w:tab/>
        <w:t xml:space="preserve">For a definition of “fiduciary” duty, </w:t>
      </w:r>
      <w:r w:rsidRPr="00742622">
        <w:rPr>
          <w:rFonts w:eastAsia="Times New Roman" w:cs="Times New Roman"/>
          <w:i/>
          <w:color w:val="000000"/>
          <w:szCs w:val="24"/>
        </w:rPr>
        <w:t>see</w:t>
      </w:r>
      <w:r w:rsidRPr="00742622">
        <w:rPr>
          <w:rFonts w:eastAsia="Times New Roman" w:cs="Times New Roman"/>
          <w:color w:val="000000"/>
          <w:szCs w:val="24"/>
        </w:rPr>
        <w:t xml:space="preserve"> Instruction </w:t>
      </w:r>
      <w:r>
        <w:rPr>
          <w:rFonts w:eastAsia="Times New Roman" w:cs="Times New Roman"/>
          <w:color w:val="000000"/>
          <w:szCs w:val="24"/>
        </w:rPr>
        <w:t>15.34 (Mail Fraud—Scheme to Defraud—Deprivation of Intangible Right to Honest Services)</w:t>
      </w:r>
      <w:r w:rsidRPr="00742622">
        <w:rPr>
          <w:rFonts w:eastAsia="Times New Roman" w:cs="Times New Roman"/>
          <w:color w:val="000000"/>
          <w:szCs w:val="24"/>
        </w:rPr>
        <w:t>.</w:t>
      </w:r>
    </w:p>
    <w:p w14:paraId="5FE2EC78" w14:textId="77777777" w:rsidR="00825BE3" w:rsidRPr="00742622" w:rsidRDefault="00825BE3" w:rsidP="00825BE3">
      <w:pPr>
        <w:rPr>
          <w:rFonts w:eastAsia="Times New Roman" w:cs="Times New Roman"/>
          <w:color w:val="000000"/>
          <w:szCs w:val="24"/>
        </w:rPr>
      </w:pPr>
    </w:p>
    <w:p w14:paraId="1F969ABA" w14:textId="77777777" w:rsidR="00825BE3" w:rsidRPr="00742622" w:rsidRDefault="00825BE3" w:rsidP="00825BE3">
      <w:pPr>
        <w:spacing w:after="19"/>
        <w:rPr>
          <w:rFonts w:eastAsia="Times New Roman" w:cs="Times New Roman"/>
          <w:color w:val="000000"/>
          <w:szCs w:val="24"/>
        </w:rPr>
      </w:pPr>
      <w:r w:rsidRPr="00742622">
        <w:rPr>
          <w:rFonts w:eastAsia="Times New Roman" w:cs="Times New Roman"/>
          <w:color w:val="000000"/>
          <w:szCs w:val="24"/>
        </w:rPr>
        <w:tab/>
      </w:r>
      <w:r w:rsidRPr="003935A3">
        <w:rPr>
          <w:rFonts w:eastAsia="Times New Roman" w:cs="Times New Roman"/>
          <w:b/>
          <w:color w:val="000000"/>
          <w:szCs w:val="24"/>
        </w:rPr>
        <w:t>Cases Involving Mortgage Fraud</w:t>
      </w:r>
      <w:r w:rsidRPr="00857A9E">
        <w:rPr>
          <w:rFonts w:eastAsia="Times New Roman" w:cs="Times New Roman"/>
          <w:bCs/>
          <w:color w:val="000000"/>
          <w:szCs w:val="24"/>
        </w:rPr>
        <w:t>.</w:t>
      </w:r>
      <w:r w:rsidRPr="00742622">
        <w:rPr>
          <w:rFonts w:eastAsia="Times New Roman" w:cs="Times New Roman"/>
          <w:color w:val="000000"/>
          <w:szCs w:val="24"/>
        </w:rPr>
        <w:t xml:space="preserve">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742622">
        <w:rPr>
          <w:rFonts w:eastAsia="Times New Roman" w:cs="Times New Roman"/>
          <w:i/>
          <w:color w:val="000000"/>
          <w:szCs w:val="24"/>
        </w:rPr>
        <w:t xml:space="preserve">  </w:t>
      </w:r>
      <w:r>
        <w:rPr>
          <w:rFonts w:eastAsia="Times New Roman" w:cs="Times New Roman"/>
          <w:i/>
          <w:color w:val="000000"/>
          <w:szCs w:val="24"/>
        </w:rPr>
        <w:t xml:space="preserve">See </w:t>
      </w:r>
      <w:r w:rsidRPr="00742622">
        <w:rPr>
          <w:rFonts w:eastAsia="Times New Roman" w:cs="Times New Roman"/>
          <w:i/>
          <w:color w:val="000000"/>
          <w:szCs w:val="24"/>
        </w:rPr>
        <w:t>United States v. Lindsey</w:t>
      </w:r>
      <w:r w:rsidRPr="00742622">
        <w:rPr>
          <w:rFonts w:eastAsia="Times New Roman" w:cs="Times New Roman"/>
          <w:color w:val="000000"/>
          <w:szCs w:val="24"/>
        </w:rPr>
        <w:t xml:space="preserve">, 850 F.3d 1009, 1015 (9th Cir. 2017).  Also, when a lender requests specific information in its loan applications, that information is objectively material as a matter of law, regardless of the lenders’ policies or practices with respect to use of that information.  </w:t>
      </w:r>
      <w:r w:rsidRPr="00742622">
        <w:rPr>
          <w:rFonts w:eastAsia="Times New Roman" w:cs="Times New Roman"/>
          <w:i/>
          <w:color w:val="000000"/>
          <w:szCs w:val="24"/>
        </w:rPr>
        <w:t>Id</w:t>
      </w:r>
      <w:r w:rsidRPr="00742622">
        <w:rPr>
          <w:rFonts w:eastAsia="Times New Roman" w:cs="Times New Roman"/>
          <w:color w:val="000000"/>
          <w:szCs w:val="24"/>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742622">
        <w:rPr>
          <w:rFonts w:eastAsia="Times New Roman" w:cs="Times New Roman"/>
          <w:i/>
          <w:color w:val="000000"/>
          <w:szCs w:val="24"/>
        </w:rPr>
        <w:t>Id</w:t>
      </w:r>
      <w:r w:rsidRPr="00742622">
        <w:rPr>
          <w:rFonts w:eastAsia="Times New Roman" w:cs="Times New Roman"/>
          <w:color w:val="000000"/>
          <w:szCs w:val="24"/>
        </w:rPr>
        <w:t>. at 1016.</w:t>
      </w:r>
    </w:p>
    <w:p w14:paraId="6FBA90F5" w14:textId="77777777" w:rsidR="00825BE3" w:rsidRPr="00742622" w:rsidRDefault="00825BE3" w:rsidP="00825BE3">
      <w:pPr>
        <w:rPr>
          <w:rFonts w:eastAsia="Times New Roman" w:cs="Times New Roman"/>
          <w:color w:val="000000"/>
          <w:szCs w:val="24"/>
        </w:rPr>
      </w:pPr>
    </w:p>
    <w:p w14:paraId="0ACE18C0" w14:textId="7420947B" w:rsidR="00C97E04" w:rsidRPr="00B70629" w:rsidRDefault="00825BE3" w:rsidP="00825BE3">
      <w:pPr>
        <w:spacing w:after="19"/>
        <w:jc w:val="right"/>
      </w:pPr>
      <w:r w:rsidRPr="003C7876">
        <w:rPr>
          <w:rFonts w:eastAsia="Times New Roman" w:cs="Times New Roman"/>
          <w:i/>
          <w:iCs/>
          <w:szCs w:val="20"/>
        </w:rPr>
        <w:t xml:space="preserve">Revised </w:t>
      </w:r>
      <w:r w:rsidR="00526F78">
        <w:rPr>
          <w:rFonts w:eastAsia="Times New Roman" w:cs="Times New Roman"/>
          <w:i/>
          <w:iCs/>
          <w:szCs w:val="20"/>
        </w:rPr>
        <w:t>March 2025</w:t>
      </w:r>
    </w:p>
    <w:sectPr w:rsidR="00C97E04" w:rsidRPr="00B70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008C"/>
    <w:rsid w:val="002C3980"/>
    <w:rsid w:val="002D1446"/>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26F78"/>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57B00"/>
    <w:rsid w:val="00765755"/>
    <w:rsid w:val="00777E91"/>
    <w:rsid w:val="007847F9"/>
    <w:rsid w:val="007A1B33"/>
    <w:rsid w:val="007C6517"/>
    <w:rsid w:val="007D1A93"/>
    <w:rsid w:val="007D3281"/>
    <w:rsid w:val="007E1171"/>
    <w:rsid w:val="007E2515"/>
    <w:rsid w:val="007E6330"/>
    <w:rsid w:val="007E7D79"/>
    <w:rsid w:val="00812338"/>
    <w:rsid w:val="00813014"/>
    <w:rsid w:val="00825BE3"/>
    <w:rsid w:val="00833FBC"/>
    <w:rsid w:val="00850868"/>
    <w:rsid w:val="00881459"/>
    <w:rsid w:val="00890E7A"/>
    <w:rsid w:val="008962A3"/>
    <w:rsid w:val="008B4376"/>
    <w:rsid w:val="008B6CE7"/>
    <w:rsid w:val="008B7528"/>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946FE"/>
    <w:rsid w:val="00AA2B06"/>
    <w:rsid w:val="00AB5B00"/>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0F07"/>
    <w:rsid w:val="00BE1BC9"/>
    <w:rsid w:val="00C02A50"/>
    <w:rsid w:val="00C114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777B6"/>
    <w:rsid w:val="00D97F48"/>
    <w:rsid w:val="00DA76C1"/>
    <w:rsid w:val="00DC38EF"/>
    <w:rsid w:val="00DE0E57"/>
    <w:rsid w:val="00DE3F24"/>
    <w:rsid w:val="00DF451A"/>
    <w:rsid w:val="00DF517B"/>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B5B0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2023-10-11T17:53:00Z</dcterms:created>
  <dcterms:modified xsi:type="dcterms:W3CDTF">2025-04-17T20:16:00Z</dcterms:modified>
</cp:coreProperties>
</file>