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409A" w14:textId="77777777" w:rsidR="00B70629" w:rsidRPr="00B70629" w:rsidRDefault="00B70629" w:rsidP="00B70629">
      <w:pPr>
        <w:autoSpaceDE w:val="0"/>
        <w:autoSpaceDN w:val="0"/>
        <w:adjustRightInd w:val="0"/>
        <w:ind w:left="420" w:hanging="240"/>
        <w:jc w:val="center"/>
        <w:outlineLvl w:val="1"/>
        <w:rPr>
          <w:rFonts w:cs="Times New Roman"/>
          <w:b/>
          <w:bCs/>
          <w:szCs w:val="24"/>
        </w:rPr>
      </w:pPr>
      <w:bookmarkStart w:id="0" w:name="_Toc73698724"/>
      <w:bookmarkStart w:id="1" w:name="_Toc83310784"/>
      <w:bookmarkStart w:id="2" w:name="_Toc83362579"/>
      <w:bookmarkStart w:id="3" w:name="_Toc83362988"/>
      <w:bookmarkStart w:id="4" w:name="_Toc90310046"/>
      <w:bookmarkStart w:id="5" w:name="_Toc90389904"/>
      <w:bookmarkStart w:id="6" w:name="_Toc90860484"/>
      <w:r w:rsidRPr="00B70629">
        <w:rPr>
          <w:rFonts w:cs="Times New Roman"/>
          <w:b/>
          <w:bCs/>
          <w:szCs w:val="24"/>
        </w:rPr>
        <w:t>15.35 Wire Fraud (18 U.S.C. § 1343)</w:t>
      </w:r>
      <w:bookmarkEnd w:id="0"/>
      <w:bookmarkEnd w:id="1"/>
      <w:bookmarkEnd w:id="2"/>
      <w:bookmarkEnd w:id="3"/>
      <w:bookmarkEnd w:id="4"/>
      <w:bookmarkEnd w:id="5"/>
      <w:bookmarkEnd w:id="6"/>
    </w:p>
    <w:p w14:paraId="71260878" w14:textId="77777777" w:rsidR="00B70629" w:rsidRPr="00B70629" w:rsidRDefault="00B70629" w:rsidP="00B70629">
      <w:pPr>
        <w:rPr>
          <w:rFonts w:eastAsia="Times New Roman" w:cs="Times New Roman"/>
          <w:color w:val="000000"/>
          <w:szCs w:val="24"/>
        </w:rPr>
      </w:pPr>
    </w:p>
    <w:p w14:paraId="6B4503F3" w14:textId="5B764FC7" w:rsidR="00825BE3" w:rsidRPr="00742622" w:rsidRDefault="00B70629" w:rsidP="00825BE3">
      <w:pPr>
        <w:spacing w:after="19"/>
        <w:rPr>
          <w:rFonts w:eastAsia="Times New Roman" w:cs="Times New Roman"/>
          <w:color w:val="000000"/>
          <w:szCs w:val="24"/>
        </w:rPr>
      </w:pPr>
      <w:r w:rsidRPr="00B70629">
        <w:rPr>
          <w:rFonts w:eastAsia="Times New Roman" w:cs="Times New Roman"/>
          <w:color w:val="000000"/>
          <w:szCs w:val="24"/>
        </w:rPr>
        <w:tab/>
      </w:r>
      <w:r w:rsidR="00825BE3" w:rsidRPr="00742622">
        <w:rPr>
          <w:rFonts w:eastAsia="Times New Roman" w:cs="Times New Roman"/>
          <w:color w:val="000000"/>
          <w:szCs w:val="24"/>
        </w:rPr>
        <w:t>The defendant is charged in [Count _______ of] the indictment with wire fraud in violation of Section 1343 of Title 18 of the United States Code.</w:t>
      </w:r>
      <w:r w:rsidR="00825BE3">
        <w:rPr>
          <w:rFonts w:eastAsia="Times New Roman" w:cs="Times New Roman"/>
          <w:color w:val="000000"/>
          <w:szCs w:val="24"/>
        </w:rPr>
        <w:t xml:space="preserve"> </w:t>
      </w:r>
      <w:r w:rsidR="00825BE3" w:rsidRPr="00742622">
        <w:rPr>
          <w:rFonts w:eastAsia="Times New Roman" w:cs="Times New Roman"/>
          <w:color w:val="000000"/>
          <w:szCs w:val="24"/>
        </w:rPr>
        <w:t xml:space="preserve"> </w:t>
      </w:r>
      <w:r w:rsidR="00825BE3">
        <w:rPr>
          <w:rFonts w:eastAsia="Times New Roman" w:cs="Times New Roman"/>
          <w:color w:val="000000"/>
          <w:szCs w:val="24"/>
        </w:rPr>
        <w:t>For</w:t>
      </w:r>
      <w:r w:rsidR="00825BE3" w:rsidRPr="00742622">
        <w:rPr>
          <w:rFonts w:eastAsia="Times New Roman" w:cs="Times New Roman"/>
          <w:color w:val="000000"/>
          <w:szCs w:val="24"/>
        </w:rPr>
        <w:t xml:space="preserve"> the defendant to be found guilty of that charge, the government must prove each of the following elements beyond a reasonable doubt:</w:t>
      </w:r>
      <w:r w:rsidR="00825BE3" w:rsidRPr="00742622">
        <w:rPr>
          <w:rFonts w:eastAsia="Times New Roman" w:cs="Times New Roman"/>
          <w:color w:val="000000"/>
          <w:szCs w:val="24"/>
        </w:rPr>
        <w:br/>
      </w:r>
      <w:r w:rsidR="00825BE3" w:rsidRPr="00742622">
        <w:rPr>
          <w:rFonts w:eastAsia="Times New Roman" w:cs="Times New Roman"/>
          <w:color w:val="000000"/>
          <w:szCs w:val="24"/>
        </w:rPr>
        <w:br/>
      </w:r>
      <w:r w:rsidR="00825BE3" w:rsidRPr="00742622">
        <w:rPr>
          <w:rFonts w:eastAsia="Times New Roman" w:cs="Times New Roman"/>
          <w:color w:val="000000"/>
          <w:szCs w:val="24"/>
        </w:rPr>
        <w:tab/>
        <w:t xml:space="preserve">First, the defendant knowingly [participated in] [devised] [intended to devise] a scheme or plan to defraud for </w:t>
      </w:r>
      <w:r w:rsidR="00AB5B00" w:rsidRPr="00AB5B00">
        <w:rPr>
          <w:rFonts w:eastAsia="Times New Roman" w:cs="Times New Roman"/>
          <w:color w:val="000000"/>
          <w:szCs w:val="24"/>
        </w:rPr>
        <w:t xml:space="preserve">the purpose of </w:t>
      </w:r>
      <w:r w:rsidR="00825BE3" w:rsidRPr="00742622">
        <w:rPr>
          <w:rFonts w:eastAsia="Times New Roman" w:cs="Times New Roman"/>
          <w:color w:val="000000"/>
          <w:szCs w:val="24"/>
        </w:rPr>
        <w:t>obtaining money or property by means of false or fraudulent pretenses, representations, or promises [, or omitted facts.] [Deceitful statements of half-truths may constitute false or fraudulent representations];</w:t>
      </w:r>
      <w:r w:rsidR="00825BE3" w:rsidRPr="00742622">
        <w:rPr>
          <w:rFonts w:eastAsia="Times New Roman" w:cs="Times New Roman"/>
          <w:color w:val="000000"/>
          <w:szCs w:val="24"/>
        </w:rPr>
        <w:br/>
      </w:r>
      <w:r w:rsidR="00825BE3" w:rsidRPr="00742622">
        <w:rPr>
          <w:rFonts w:eastAsia="Times New Roman" w:cs="Times New Roman"/>
          <w:color w:val="000000"/>
          <w:szCs w:val="24"/>
        </w:rPr>
        <w:br/>
      </w:r>
      <w:r w:rsidR="00825BE3" w:rsidRPr="00742622">
        <w:rPr>
          <w:rFonts w:eastAsia="Times New Roman" w:cs="Times New Roman"/>
          <w:color w:val="000000"/>
          <w:szCs w:val="24"/>
        </w:rPr>
        <w:tab/>
        <w:t xml:space="preserve">Second, the statements made </w:t>
      </w:r>
      <w:r w:rsidR="00825BE3">
        <w:rPr>
          <w:rFonts w:eastAsia="Times New Roman" w:cs="Times New Roman"/>
          <w:color w:val="000000"/>
          <w:szCs w:val="24"/>
        </w:rPr>
        <w:t>[</w:t>
      </w:r>
      <w:r w:rsidR="00825BE3" w:rsidRPr="00742622">
        <w:rPr>
          <w:rFonts w:eastAsia="Times New Roman" w:cs="Times New Roman"/>
          <w:color w:val="000000"/>
          <w:szCs w:val="24"/>
        </w:rPr>
        <w:t>or facts omitted</w:t>
      </w:r>
      <w:r w:rsidR="00825BE3">
        <w:rPr>
          <w:rFonts w:eastAsia="Times New Roman" w:cs="Times New Roman"/>
          <w:color w:val="000000"/>
          <w:szCs w:val="24"/>
        </w:rPr>
        <w:t>]</w:t>
      </w:r>
      <w:r w:rsidR="00825BE3"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r w:rsidR="00825BE3" w:rsidRPr="00742622">
        <w:rPr>
          <w:rFonts w:eastAsia="Times New Roman" w:cs="Times New Roman"/>
          <w:color w:val="000000"/>
          <w:szCs w:val="24"/>
        </w:rPr>
        <w:br/>
      </w:r>
      <w:r w:rsidR="00825BE3" w:rsidRPr="00742622">
        <w:rPr>
          <w:rFonts w:eastAsia="Times New Roman" w:cs="Times New Roman"/>
          <w:color w:val="000000"/>
          <w:szCs w:val="24"/>
        </w:rPr>
        <w:br/>
      </w:r>
      <w:r w:rsidR="00825BE3" w:rsidRPr="00742622">
        <w:rPr>
          <w:rFonts w:eastAsia="Times New Roman" w:cs="Times New Roman"/>
          <w:color w:val="000000"/>
          <w:szCs w:val="24"/>
        </w:rPr>
        <w:tab/>
        <w:t>Third, the defendant acted with the intent to defraud, that is, the intent to deceive and cheat; and</w:t>
      </w:r>
      <w:r w:rsidR="00825BE3" w:rsidRPr="00742622">
        <w:rPr>
          <w:rFonts w:eastAsia="Times New Roman" w:cs="Times New Roman"/>
          <w:color w:val="000000"/>
          <w:szCs w:val="24"/>
        </w:rPr>
        <w:br/>
      </w:r>
      <w:r w:rsidR="00825BE3" w:rsidRPr="00742622">
        <w:rPr>
          <w:rFonts w:eastAsia="Times New Roman" w:cs="Times New Roman"/>
          <w:color w:val="000000"/>
          <w:szCs w:val="24"/>
        </w:rPr>
        <w:br/>
      </w:r>
      <w:r w:rsidR="00825BE3"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00825BE3" w:rsidRPr="00742622">
        <w:rPr>
          <w:rFonts w:eastAsia="Times New Roman" w:cs="Times New Roman"/>
          <w:color w:val="000000"/>
          <w:szCs w:val="24"/>
        </w:rPr>
        <w:br/>
      </w:r>
      <w:r w:rsidR="00825BE3" w:rsidRPr="00742622">
        <w:rPr>
          <w:rFonts w:eastAsia="Times New Roman" w:cs="Times New Roman"/>
          <w:color w:val="000000"/>
          <w:szCs w:val="24"/>
        </w:rPr>
        <w:br/>
      </w:r>
      <w:r w:rsidR="00825BE3" w:rsidRPr="00742622">
        <w:rPr>
          <w:rFonts w:eastAsia="Times New Roman" w:cs="Times New Roman"/>
          <w:color w:val="000000"/>
          <w:szCs w:val="24"/>
        </w:rPr>
        <w:tab/>
        <w:t xml:space="preserve">In determining whether a scheme to defraud exists, you may consider not only the defendant’s words and statements but also the circumstances in which they are used as a whole. </w:t>
      </w:r>
    </w:p>
    <w:p w14:paraId="51B56BE6" w14:textId="77777777" w:rsidR="00825BE3" w:rsidRPr="00742622" w:rsidRDefault="00825BE3" w:rsidP="00825BE3">
      <w:pPr>
        <w:spacing w:after="19"/>
        <w:rPr>
          <w:rFonts w:eastAsia="Times New Roman" w:cs="Times New Roman"/>
          <w:color w:val="000000"/>
          <w:szCs w:val="24"/>
        </w:rPr>
      </w:pPr>
    </w:p>
    <w:p w14:paraId="37F942AD" w14:textId="77777777" w:rsidR="00825BE3" w:rsidRPr="00742622" w:rsidRDefault="00825BE3" w:rsidP="00825BE3">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Pr>
          <w:rFonts w:eastAsia="Times New Roman" w:cs="Times New Roman"/>
          <w:color w:val="000000"/>
          <w:szCs w:val="24"/>
        </w:rPr>
        <w:t xml:space="preserve">the </w:t>
      </w:r>
      <w:r w:rsidRPr="00742622">
        <w:rPr>
          <w:rFonts w:eastAsia="Times New Roman" w:cs="Times New Roman"/>
          <w:color w:val="000000"/>
          <w:szCs w:val="24"/>
        </w:rPr>
        <w:t>defendant</w:t>
      </w:r>
      <w:r>
        <w:rPr>
          <w:rFonts w:eastAsia="Times New Roman" w:cs="Times New Roman"/>
          <w:color w:val="000000"/>
          <w:szCs w:val="24"/>
        </w:rPr>
        <w:t xml:space="preserve"> </w:t>
      </w:r>
      <w:r w:rsidRPr="00742622">
        <w:rPr>
          <w:rFonts w:eastAsia="Times New Roman" w:cs="Times New Roman"/>
          <w:color w:val="000000"/>
          <w:szCs w:val="24"/>
        </w:rPr>
        <w:t xml:space="preserve">of wire fraud based on omission[s] of material fact[s], you must find that </w:t>
      </w:r>
      <w:r>
        <w:rPr>
          <w:rFonts w:eastAsia="Times New Roman" w:cs="Times New Roman"/>
          <w:color w:val="000000"/>
          <w:szCs w:val="24"/>
        </w:rPr>
        <w:t xml:space="preserve">the </w:t>
      </w:r>
      <w:r w:rsidRPr="00742622">
        <w:rPr>
          <w:rFonts w:eastAsia="Times New Roman" w:cs="Times New Roman"/>
          <w:color w:val="000000"/>
          <w:szCs w:val="24"/>
        </w:rPr>
        <w:t>defendant</w:t>
      </w:r>
      <w:r>
        <w:rPr>
          <w:rFonts w:eastAsia="Times New Roman" w:cs="Times New Roman"/>
          <w:color w:val="000000"/>
          <w:szCs w:val="24"/>
        </w:rPr>
        <w:t xml:space="preserve"> </w:t>
      </w:r>
      <w:r w:rsidRPr="00742622">
        <w:rPr>
          <w:rFonts w:eastAsia="Times New Roman" w:cs="Times New Roman"/>
          <w:color w:val="000000"/>
          <w:szCs w:val="24"/>
        </w:rPr>
        <w:t xml:space="preserve">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707FC4CE" w14:textId="77777777" w:rsidR="00825BE3" w:rsidRPr="00742622" w:rsidRDefault="00825BE3" w:rsidP="00825BE3">
      <w:pPr>
        <w:spacing w:after="19"/>
        <w:rPr>
          <w:rFonts w:eastAsia="Times New Roman" w:cs="Times New Roman"/>
          <w:color w:val="000000"/>
          <w:szCs w:val="24"/>
        </w:rPr>
      </w:pPr>
    </w:p>
    <w:p w14:paraId="70AE0A7E" w14:textId="77777777" w:rsidR="00825BE3" w:rsidRPr="00742622" w:rsidRDefault="00825BE3" w:rsidP="00825BE3">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5FD5871F" w14:textId="77777777" w:rsidR="00825BE3" w:rsidRPr="00742622" w:rsidRDefault="00825BE3" w:rsidP="00825BE3">
      <w:pPr>
        <w:spacing w:after="19"/>
        <w:rPr>
          <w:rFonts w:eastAsia="Times New Roman" w:cs="Times New Roman"/>
          <w:color w:val="000000"/>
          <w:szCs w:val="24"/>
        </w:rPr>
      </w:pPr>
    </w:p>
    <w:p w14:paraId="1DAD9A23" w14:textId="77777777" w:rsidR="00825BE3" w:rsidRPr="00742622" w:rsidRDefault="00825BE3" w:rsidP="00825BE3">
      <w:pPr>
        <w:spacing w:after="19"/>
        <w:rPr>
          <w:rFonts w:eastAsia="Times New Roman" w:cs="Times New Roman"/>
          <w:color w:val="000000"/>
          <w:szCs w:val="24"/>
        </w:rPr>
      </w:pPr>
      <w:r w:rsidRPr="00742622">
        <w:rPr>
          <w:rFonts w:eastAsia="Times New Roman" w:cs="Times New Roman"/>
          <w:color w:val="000000"/>
          <w:szCs w:val="24"/>
        </w:rPr>
        <w:tab/>
        <w:t xml:space="preserve">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w:t>
      </w:r>
      <w:proofErr w:type="gramStart"/>
      <w:r w:rsidRPr="00742622">
        <w:rPr>
          <w:rFonts w:eastAsia="Times New Roman" w:cs="Times New Roman"/>
          <w:color w:val="000000"/>
          <w:szCs w:val="24"/>
        </w:rPr>
        <w:t>actually occurred</w:t>
      </w:r>
      <w:proofErr w:type="gramEnd"/>
      <w:r w:rsidRPr="00742622">
        <w:rPr>
          <w:rFonts w:eastAsia="Times New Roman" w:cs="Times New Roman"/>
          <w:color w:val="000000"/>
          <w:szCs w:val="24"/>
        </w:rPr>
        <w:t xml:space="preserve"> in furtherance of the scheme.</w:t>
      </w:r>
    </w:p>
    <w:p w14:paraId="27FEFD71" w14:textId="77777777" w:rsidR="00825BE3" w:rsidRPr="00742622" w:rsidRDefault="00825BE3" w:rsidP="00825BE3">
      <w:pPr>
        <w:spacing w:after="19"/>
        <w:rPr>
          <w:rFonts w:eastAsia="Times New Roman" w:cs="Times New Roman"/>
          <w:color w:val="000000"/>
          <w:szCs w:val="24"/>
        </w:rPr>
      </w:pPr>
    </w:p>
    <w:p w14:paraId="7C4DB1E3" w14:textId="77777777" w:rsidR="00825BE3" w:rsidRPr="00742622" w:rsidRDefault="00825BE3" w:rsidP="00825BE3">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4BAE4980" w14:textId="77777777" w:rsidR="00825BE3" w:rsidRPr="00742622" w:rsidRDefault="00825BE3" w:rsidP="00825BE3">
      <w:pPr>
        <w:spacing w:after="19"/>
        <w:rPr>
          <w:rFonts w:eastAsia="Times New Roman" w:cs="Times New Roman"/>
          <w:color w:val="000000"/>
          <w:szCs w:val="24"/>
        </w:rPr>
      </w:pPr>
    </w:p>
    <w:p w14:paraId="78468D09" w14:textId="77777777" w:rsidR="00825BE3" w:rsidRDefault="00825BE3" w:rsidP="00825BE3">
      <w:pPr>
        <w:spacing w:after="19"/>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046FC27B" w14:textId="4B77BF5F" w:rsidR="00AB5B00" w:rsidRDefault="00825BE3" w:rsidP="00825BE3">
      <w:pPr>
        <w:spacing w:after="19"/>
        <w:rPr>
          <w:rFonts w:eastAsia="Times New Roman" w:cs="Times New Roman"/>
          <w:color w:val="000000"/>
          <w:szCs w:val="24"/>
        </w:rPr>
      </w:pPr>
      <w:r w:rsidRPr="00742622">
        <w:rPr>
          <w:rFonts w:eastAsia="Times New Roman" w:cs="Times New Roman"/>
          <w:color w:val="000000"/>
          <w:szCs w:val="24"/>
        </w:rPr>
        <w:lastRenderedPageBreak/>
        <w:tab/>
      </w:r>
      <w:r w:rsidR="00AB5B00" w:rsidRPr="00143B90">
        <w:rPr>
          <w:rFonts w:eastAsia="Times New Roman" w:cs="Times New Roman"/>
          <w:color w:val="000000"/>
          <w:szCs w:val="24"/>
        </w:rPr>
        <w:t xml:space="preserve">In </w:t>
      </w:r>
      <w:proofErr w:type="spellStart"/>
      <w:r w:rsidR="00AB5B00" w:rsidRPr="00143B90">
        <w:rPr>
          <w:rFonts w:eastAsia="Times New Roman" w:cs="Times New Roman"/>
          <w:i/>
          <w:iCs/>
          <w:color w:val="000000"/>
          <w:szCs w:val="24"/>
        </w:rPr>
        <w:t>Ciminelli</w:t>
      </w:r>
      <w:proofErr w:type="spellEnd"/>
      <w:r w:rsidR="00AB5B00" w:rsidRPr="00143B90">
        <w:rPr>
          <w:rFonts w:eastAsia="Times New Roman" w:cs="Times New Roman"/>
          <w:i/>
          <w:iCs/>
          <w:color w:val="000000"/>
          <w:szCs w:val="24"/>
        </w:rPr>
        <w:t xml:space="preserve"> v. United States</w:t>
      </w:r>
      <w:r w:rsidR="00AB5B00" w:rsidRPr="00143B90">
        <w:rPr>
          <w:rFonts w:eastAsia="Times New Roman" w:cs="Times New Roman"/>
          <w:color w:val="000000"/>
          <w:szCs w:val="24"/>
        </w:rPr>
        <w:t xml:space="preserve">, 598 U.S. </w:t>
      </w:r>
      <w:r w:rsidR="00AB5B00">
        <w:rPr>
          <w:rFonts w:eastAsia="Times New Roman" w:cs="Times New Roman"/>
          <w:color w:val="000000"/>
          <w:szCs w:val="24"/>
        </w:rPr>
        <w:t>306,</w:t>
      </w:r>
      <w:r w:rsidR="00AB5B00" w:rsidRPr="00143B90">
        <w:rPr>
          <w:rFonts w:eastAsia="Times New Roman" w:cs="Times New Roman"/>
          <w:color w:val="000000"/>
          <w:szCs w:val="24"/>
        </w:rPr>
        <w:t xml:space="preserve"> </w:t>
      </w:r>
      <w:r w:rsidR="00AB5B00">
        <w:rPr>
          <w:rFonts w:eastAsia="Times New Roman" w:cs="Times New Roman"/>
          <w:color w:val="000000"/>
          <w:szCs w:val="24"/>
        </w:rPr>
        <w:t>308-09</w:t>
      </w:r>
      <w:r w:rsidR="00AB5B00" w:rsidRPr="00143B90">
        <w:rPr>
          <w:rFonts w:eastAsia="Times New Roman" w:cs="Times New Roman"/>
          <w:color w:val="000000"/>
          <w:szCs w:val="24"/>
        </w:rPr>
        <w:t xml:space="preserve"> (2023), the Supreme Court held that a jury was improperly instructed that the term “property” in 18 U.S.C. § 1343 “includes intangible interests such as the right to control the use of one’s assets” because “the federal fraud statutes criminalize only schemes to deprive people of traditional property interests.” The Court explained that despite the inclusion of the term “or” in the phrase “or for obtaining money or property,” the Court has “consistently understood the ‘money or property’ requirement to limit the ‘scheme or artifice to defraud’ element because the ‘common understanding’ of the words ‘to defraud’ when the statute was enacted referred ‘to wrongdoing one in his property rights.’” </w:t>
      </w:r>
      <w:r w:rsidR="00AB5B00" w:rsidRPr="00143B90">
        <w:rPr>
          <w:rFonts w:eastAsia="Times New Roman" w:cs="Times New Roman"/>
          <w:i/>
          <w:iCs/>
          <w:color w:val="000000"/>
          <w:szCs w:val="24"/>
        </w:rPr>
        <w:t xml:space="preserve">Id. </w:t>
      </w:r>
      <w:r w:rsidR="00AB5B00" w:rsidRPr="00143B90">
        <w:rPr>
          <w:rFonts w:eastAsia="Times New Roman" w:cs="Times New Roman"/>
          <w:color w:val="000000"/>
          <w:szCs w:val="24"/>
        </w:rPr>
        <w:t xml:space="preserve">at </w:t>
      </w:r>
      <w:r w:rsidR="00AB5B00">
        <w:rPr>
          <w:rFonts w:eastAsia="Times New Roman" w:cs="Times New Roman"/>
          <w:color w:val="000000"/>
          <w:szCs w:val="24"/>
        </w:rPr>
        <w:t>312</w:t>
      </w:r>
      <w:r w:rsidR="00AB5B00" w:rsidRPr="00143B90">
        <w:rPr>
          <w:rFonts w:eastAsia="Times New Roman" w:cs="Times New Roman"/>
          <w:color w:val="000000"/>
          <w:szCs w:val="24"/>
        </w:rPr>
        <w:t xml:space="preserve"> (quoting </w:t>
      </w:r>
      <w:r w:rsidR="00AB5B00" w:rsidRPr="00143B90">
        <w:rPr>
          <w:rFonts w:eastAsia="Times New Roman" w:cs="Times New Roman"/>
          <w:i/>
          <w:iCs/>
          <w:color w:val="000000"/>
          <w:szCs w:val="24"/>
        </w:rPr>
        <w:t>Cleveland v. United States</w:t>
      </w:r>
      <w:r w:rsidR="00AB5B00" w:rsidRPr="00143B90">
        <w:rPr>
          <w:rFonts w:eastAsia="Times New Roman" w:cs="Times New Roman"/>
          <w:color w:val="000000"/>
          <w:szCs w:val="24"/>
        </w:rPr>
        <w:t xml:space="preserve">, 531 U.S. 12, 19 (2000)). “Accordingly, the Government must prove not only that wire fraud defendants ‘engaged in deception,’ but also that money or property was ‘an object of their fraud.’” </w:t>
      </w:r>
      <w:r w:rsidR="00AB5B00" w:rsidRPr="00143B90">
        <w:rPr>
          <w:rFonts w:eastAsia="Times New Roman" w:cs="Times New Roman"/>
          <w:i/>
          <w:iCs/>
          <w:color w:val="000000"/>
          <w:szCs w:val="24"/>
        </w:rPr>
        <w:t>Id</w:t>
      </w:r>
      <w:r w:rsidR="00AB5B00" w:rsidRPr="00143B90">
        <w:rPr>
          <w:rFonts w:eastAsia="Times New Roman" w:cs="Times New Roman"/>
          <w:color w:val="000000"/>
          <w:szCs w:val="24"/>
        </w:rPr>
        <w:t xml:space="preserve">. </w:t>
      </w:r>
    </w:p>
    <w:p w14:paraId="3B480D70" w14:textId="77777777" w:rsidR="00AB5B00" w:rsidRDefault="00AB5B00" w:rsidP="00825BE3">
      <w:pPr>
        <w:spacing w:after="19"/>
        <w:rPr>
          <w:rFonts w:eastAsia="Times New Roman" w:cs="Times New Roman"/>
          <w:color w:val="000000"/>
          <w:szCs w:val="24"/>
        </w:rPr>
      </w:pPr>
    </w:p>
    <w:p w14:paraId="496219C5" w14:textId="31B65783" w:rsidR="00825BE3" w:rsidRPr="00742622" w:rsidRDefault="00825BE3" w:rsidP="00AB5B00">
      <w:pPr>
        <w:spacing w:after="19"/>
        <w:ind w:firstLine="720"/>
        <w:rPr>
          <w:rFonts w:eastAsia="Times New Roman" w:cs="Times New Roman"/>
          <w:color w:val="000000"/>
          <w:szCs w:val="24"/>
        </w:rPr>
      </w:pPr>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(9th Cir.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w:t>
      </w:r>
      <w:proofErr w:type="gramStart"/>
      <w:r w:rsidRPr="00742622">
        <w:rPr>
          <w:rFonts w:eastAsia="Times New Roman" w:cs="Times New Roman"/>
          <w:color w:val="000000"/>
          <w:szCs w:val="24"/>
        </w:rPr>
        <w:t>in light of</w:t>
      </w:r>
      <w:proofErr w:type="gramEnd"/>
      <w:r w:rsidRPr="00742622">
        <w:rPr>
          <w:rFonts w:eastAsia="Times New Roman" w:cs="Times New Roman"/>
          <w:color w:val="000000"/>
          <w:szCs w:val="24"/>
        </w:rPr>
        <w:t xml:space="preserve">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F1268B">
        <w:rPr>
          <w:rFonts w:eastAsia="Times New Roman" w:cs="Times New Roman"/>
          <w:i/>
          <w:iCs/>
          <w:color w:val="000000"/>
          <w:szCs w:val="24"/>
        </w:rPr>
        <w:t>Miller</w:t>
      </w:r>
      <w:r>
        <w:rPr>
          <w:rFonts w:eastAsia="Times New Roman" w:cs="Times New Roman"/>
          <w:color w:val="000000"/>
          <w:szCs w:val="24"/>
        </w:rPr>
        <w:t>, 953 F.3d at 1102.</w:t>
      </w:r>
      <w:r w:rsidRPr="00742622">
        <w:rPr>
          <w:rFonts w:eastAsia="Times New Roman" w:cs="Times New Roman"/>
          <w:color w:val="000000"/>
          <w:szCs w:val="24"/>
        </w:rPr>
        <w:t xml:space="preserve">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5383753B" w14:textId="77777777" w:rsidR="00825BE3" w:rsidRPr="00742622" w:rsidRDefault="00825BE3" w:rsidP="00825BE3">
      <w:pPr>
        <w:spacing w:after="19"/>
        <w:rPr>
          <w:rFonts w:eastAsia="Times New Roman" w:cs="Times New Roman"/>
          <w:color w:val="000000"/>
          <w:szCs w:val="24"/>
        </w:rPr>
      </w:pPr>
    </w:p>
    <w:p w14:paraId="75352A07" w14:textId="77777777" w:rsidR="00825BE3" w:rsidRPr="00742622" w:rsidRDefault="00825BE3" w:rsidP="00825BE3">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 </w:t>
      </w:r>
      <w:r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w:t>
      </w:r>
      <w:proofErr w:type="spellStart"/>
      <w:r w:rsidRPr="00742622">
        <w:rPr>
          <w:rFonts w:eastAsia="Times New Roman" w:cs="Times New Roman"/>
          <w:color w:val="000000"/>
          <w:szCs w:val="24"/>
        </w:rPr>
        <w:t>ing</w:t>
      </w:r>
      <w:proofErr w:type="spellEnd"/>
      <w:r w:rsidRPr="00742622">
        <w:rPr>
          <w:rFonts w:eastAsia="Times New Roman" w:cs="Times New Roman"/>
          <w:color w:val="000000"/>
          <w:szCs w:val="24"/>
        </w:rPr>
        <w:t xml:space="preserve">] someone out of something valuable.” </w:t>
      </w:r>
      <w:r w:rsidRPr="00742622">
        <w:rPr>
          <w:rFonts w:eastAsia="Times New Roman" w:cs="Times New Roman"/>
          <w:i/>
          <w:color w:val="000000"/>
          <w:szCs w:val="24"/>
        </w:rPr>
        <w:t xml:space="preserve"> Id. </w:t>
      </w:r>
    </w:p>
    <w:p w14:paraId="139A4755" w14:textId="77777777" w:rsidR="00825BE3" w:rsidRPr="00742622" w:rsidRDefault="00825BE3" w:rsidP="00825BE3">
      <w:pPr>
        <w:spacing w:after="19"/>
        <w:rPr>
          <w:rFonts w:eastAsia="Times New Roman" w:cs="Times New Roman"/>
          <w:i/>
          <w:color w:val="000000"/>
          <w:szCs w:val="24"/>
        </w:rPr>
      </w:pPr>
    </w:p>
    <w:p w14:paraId="20AF33DD" w14:textId="77777777" w:rsidR="00825BE3" w:rsidRPr="00742622" w:rsidRDefault="00825BE3" w:rsidP="00825BE3">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Pr="00F1268B">
        <w:rPr>
          <w:rFonts w:eastAsia="Times New Roman" w:cs="Times New Roman"/>
          <w:i/>
          <w:iCs/>
          <w:color w:val="000000"/>
          <w:szCs w:val="24"/>
        </w:rPr>
        <w:t>Walters</w:t>
      </w:r>
      <w:r>
        <w:rPr>
          <w:rFonts w:eastAsia="Times New Roman" w:cs="Times New Roman"/>
          <w:color w:val="000000"/>
          <w:szCs w:val="24"/>
        </w:rPr>
        <w:t xml:space="preserve">, 997 F.2d at 1221. </w:t>
      </w:r>
      <w:r w:rsidRPr="00742622">
        <w:rPr>
          <w:rFonts w:eastAsia="Times New Roman" w:cs="Times New Roman"/>
          <w:color w:val="000000"/>
          <w:szCs w:val="24"/>
        </w:rPr>
        <w:t xml:space="preserve">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w:t>
      </w:r>
      <w:proofErr w:type="spellStart"/>
      <w:r w:rsidRPr="00742622">
        <w:rPr>
          <w:rFonts w:eastAsia="Times New Roman" w:cs="Times New Roman"/>
          <w:color w:val="000000"/>
          <w:szCs w:val="24"/>
        </w:rPr>
        <w:t>osses</w:t>
      </w:r>
      <w:proofErr w:type="spellEnd"/>
      <w:r w:rsidRPr="00742622">
        <w:rPr>
          <w:rFonts w:eastAsia="Times New Roman" w:cs="Times New Roman"/>
          <w:color w:val="000000"/>
          <w:szCs w:val="24"/>
        </w:rPr>
        <w:t xml:space="preserve"> that occur as byproducts of a deceitful scheme do not satisfy the statutory requirement</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7C6570A9" w14:textId="77777777" w:rsidR="00825BE3" w:rsidRPr="00742622" w:rsidRDefault="00825BE3" w:rsidP="00825BE3">
      <w:pPr>
        <w:spacing w:after="19"/>
        <w:rPr>
          <w:rFonts w:eastAsia="Times New Roman" w:cs="Times New Roman"/>
          <w:color w:val="000000"/>
          <w:szCs w:val="24"/>
        </w:rPr>
      </w:pPr>
    </w:p>
    <w:p w14:paraId="5A9FF941" w14:textId="77777777" w:rsidR="00825BE3" w:rsidRPr="00742622" w:rsidRDefault="00825BE3" w:rsidP="00825BE3">
      <w:pPr>
        <w:spacing w:after="19"/>
        <w:rPr>
          <w:rFonts w:eastAsia="Times New Roman" w:cs="Times New Roman"/>
          <w:color w:val="000000"/>
          <w:szCs w:val="24"/>
        </w:rPr>
      </w:pPr>
      <w:r w:rsidRPr="00742622">
        <w:rPr>
          <w:rFonts w:eastAsia="Times New Roman" w:cs="Times New Roman"/>
          <w:color w:val="000000"/>
          <w:szCs w:val="24"/>
        </w:rPr>
        <w:tab/>
        <w:t xml:space="preserve">The only difference between mail fraud and wire fraud is that the former involves the use of the </w:t>
      </w:r>
      <w:proofErr w:type="gramStart"/>
      <w:r w:rsidRPr="00742622">
        <w:rPr>
          <w:rFonts w:eastAsia="Times New Roman" w:cs="Times New Roman"/>
          <w:color w:val="000000"/>
          <w:szCs w:val="24"/>
        </w:rPr>
        <w:t>mails</w:t>
      </w:r>
      <w:proofErr w:type="gramEnd"/>
      <w:r w:rsidRPr="00742622">
        <w:rPr>
          <w:rFonts w:eastAsia="Times New Roman" w:cs="Times New Roman"/>
          <w:color w:val="000000"/>
          <w:szCs w:val="24"/>
        </w:rPr>
        <w:t xml:space="preserve"> and the latter involves the use of wire, radio, or television communication in </w:t>
      </w:r>
      <w:r w:rsidRPr="00742622">
        <w:rPr>
          <w:rFonts w:eastAsia="Times New Roman" w:cs="Times New Roman"/>
          <w:color w:val="000000"/>
          <w:szCs w:val="24"/>
        </w:rPr>
        <w:lastRenderedPageBreak/>
        <w:t>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Jinian</w:t>
      </w:r>
      <w:proofErr w:type="spellEnd"/>
      <w:r w:rsidRPr="00742622">
        <w:rPr>
          <w:rFonts w:eastAsia="Times New Roman" w:cs="Times New Roman"/>
          <w:color w:val="000000"/>
          <w:szCs w:val="24"/>
        </w:rPr>
        <w:t>, 712 F.3d 1255, 1265-67 (9th Cir. 2013).</w:t>
      </w:r>
    </w:p>
    <w:p w14:paraId="462A282D" w14:textId="77777777" w:rsidR="00825BE3" w:rsidRPr="00742622" w:rsidRDefault="00825BE3" w:rsidP="00825BE3">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Pr>
          <w:rFonts w:eastAsia="Times New Roman" w:cs="Times New Roman"/>
          <w:color w:val="000000"/>
          <w:szCs w:val="24"/>
        </w:rPr>
        <w:t xml:space="preserve"> </w:t>
      </w:r>
      <w:r w:rsidRPr="00742622">
        <w:rPr>
          <w:rFonts w:eastAsia="Times New Roman" w:cs="Times New Roman"/>
          <w:color w:val="000000"/>
          <w:szCs w:val="24"/>
        </w:rPr>
        <w:t xml:space="preserve"> </w:t>
      </w:r>
      <w:proofErr w:type="spellStart"/>
      <w:r w:rsidRPr="00742622">
        <w:rPr>
          <w:rFonts w:eastAsia="Times New Roman" w:cs="Times New Roman"/>
          <w:i/>
          <w:color w:val="000000"/>
          <w:szCs w:val="24"/>
        </w:rPr>
        <w:t>Neder</w:t>
      </w:r>
      <w:proofErr w:type="spellEnd"/>
      <w:r w:rsidRPr="00742622">
        <w:rPr>
          <w:rFonts w:eastAsia="Times New Roman" w:cs="Times New Roman"/>
          <w:i/>
          <w:color w:val="000000"/>
          <w:szCs w:val="24"/>
        </w:rPr>
        <w:t xml:space="preserve"> v. 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w:t>
      </w:r>
      <w:proofErr w:type="spellStart"/>
      <w:r w:rsidRPr="00742622">
        <w:rPr>
          <w:rFonts w:eastAsia="Times New Roman" w:cs="Times New Roman"/>
          <w:color w:val="000000"/>
          <w:szCs w:val="24"/>
        </w:rPr>
        <w:t>en</w:t>
      </w:r>
      <w:proofErr w:type="spellEnd"/>
      <w:r w:rsidRPr="00742622">
        <w:rPr>
          <w:rFonts w:eastAsia="Times New Roman" w:cs="Times New Roman"/>
          <w:color w:val="000000"/>
          <w:szCs w:val="24"/>
        </w:rPr>
        <w:t xml:space="preserve"> banc).</w:t>
      </w:r>
    </w:p>
    <w:p w14:paraId="5A541FF6" w14:textId="77777777" w:rsidR="00825BE3" w:rsidRPr="00742622" w:rsidRDefault="00825BE3" w:rsidP="00825BE3">
      <w:pPr>
        <w:rPr>
          <w:rFonts w:eastAsia="Times New Roman" w:cs="Times New Roman"/>
          <w:color w:val="000000"/>
          <w:szCs w:val="24"/>
        </w:rPr>
      </w:pPr>
    </w:p>
    <w:p w14:paraId="685B037F" w14:textId="77777777" w:rsidR="00825BE3" w:rsidRDefault="00825BE3" w:rsidP="00825BE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For</w:t>
      </w:r>
      <w:r w:rsidRPr="00742622">
        <w:rPr>
          <w:rFonts w:eastAsia="Times New Roman" w:cs="Times New Roman"/>
          <w:color w:val="000000"/>
          <w:szCs w:val="24"/>
        </w:rPr>
        <w:t xml:space="preserve">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Stargell</w:t>
      </w:r>
      <w:proofErr w:type="spellEnd"/>
      <w:r w:rsidRPr="00742622">
        <w:rPr>
          <w:rFonts w:eastAsia="Times New Roman" w:cs="Times New Roman"/>
          <w:color w:val="000000"/>
          <w:szCs w:val="24"/>
        </w:rPr>
        <w:t>, 738 F.3d 1018, 1022-23 (9th Cir. 2013) (defining term “affects”).</w:t>
      </w:r>
    </w:p>
    <w:p w14:paraId="06A204E5" w14:textId="77777777" w:rsidR="00825BE3" w:rsidRPr="00742622" w:rsidRDefault="00825BE3" w:rsidP="00825BE3">
      <w:pPr>
        <w:rPr>
          <w:rFonts w:eastAsia="Times New Roman" w:cs="Times New Roman"/>
          <w:color w:val="000000"/>
          <w:szCs w:val="24"/>
        </w:rPr>
      </w:pPr>
    </w:p>
    <w:p w14:paraId="10A26BEF" w14:textId="77777777" w:rsidR="00825BE3" w:rsidRDefault="00825BE3" w:rsidP="00825BE3">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Milovanovic</w:t>
      </w:r>
      <w:r w:rsidRPr="00742622">
        <w:rPr>
          <w:rFonts w:eastAsia="Times New Roman" w:cs="Times New Roman"/>
          <w:color w:val="000000"/>
          <w:szCs w:val="24"/>
        </w:rPr>
        <w:t>, 678 F.3d 723-24.</w:t>
      </w:r>
    </w:p>
    <w:p w14:paraId="7C4E38B8" w14:textId="77777777" w:rsidR="00825BE3" w:rsidRPr="00742622" w:rsidRDefault="00825BE3" w:rsidP="00825BE3">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5FE2EC78" w14:textId="77777777" w:rsidR="00825BE3" w:rsidRPr="00742622" w:rsidRDefault="00825BE3" w:rsidP="00825BE3">
      <w:pPr>
        <w:rPr>
          <w:rFonts w:eastAsia="Times New Roman" w:cs="Times New Roman"/>
          <w:color w:val="000000"/>
          <w:szCs w:val="24"/>
        </w:rPr>
      </w:pPr>
    </w:p>
    <w:p w14:paraId="1F969ABA" w14:textId="77777777" w:rsidR="00825BE3" w:rsidRPr="00742622" w:rsidRDefault="00825BE3" w:rsidP="00825BE3">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p>
    <w:p w14:paraId="6FBA90F5" w14:textId="77777777" w:rsidR="00825BE3" w:rsidRPr="00742622" w:rsidRDefault="00825BE3" w:rsidP="00825BE3">
      <w:pPr>
        <w:rPr>
          <w:rFonts w:eastAsia="Times New Roman" w:cs="Times New Roman"/>
          <w:color w:val="000000"/>
          <w:szCs w:val="24"/>
        </w:rPr>
      </w:pPr>
    </w:p>
    <w:p w14:paraId="0ACE18C0" w14:textId="64DF607B" w:rsidR="00C97E04" w:rsidRPr="00B70629" w:rsidRDefault="00825BE3" w:rsidP="00825BE3">
      <w:pPr>
        <w:spacing w:after="19"/>
        <w:jc w:val="right"/>
      </w:pPr>
      <w:r w:rsidRPr="003C7876">
        <w:rPr>
          <w:rFonts w:eastAsia="Times New Roman" w:cs="Times New Roman"/>
          <w:i/>
          <w:iCs/>
          <w:szCs w:val="20"/>
        </w:rPr>
        <w:t xml:space="preserve">Revised </w:t>
      </w:r>
      <w:r w:rsidR="00AB5B00">
        <w:rPr>
          <w:rFonts w:eastAsia="Times New Roman" w:cs="Times New Roman"/>
          <w:i/>
          <w:iCs/>
          <w:szCs w:val="20"/>
        </w:rPr>
        <w:t>August 2023</w:t>
      </w:r>
    </w:p>
    <w:sectPr w:rsidR="00C97E04" w:rsidRPr="00B70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980"/>
    <w:rsid w:val="002D1446"/>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25BE3"/>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B5B00"/>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5B0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2</cp:revision>
  <dcterms:created xsi:type="dcterms:W3CDTF">2023-10-11T17:53:00Z</dcterms:created>
  <dcterms:modified xsi:type="dcterms:W3CDTF">2023-10-11T17:53:00Z</dcterms:modified>
</cp:coreProperties>
</file>