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2C63" w14:textId="77777777" w:rsidR="0021609F" w:rsidRPr="0021609F" w:rsidRDefault="0021609F" w:rsidP="0021609F">
      <w:pPr>
        <w:autoSpaceDE w:val="0"/>
        <w:autoSpaceDN w:val="0"/>
        <w:adjustRightInd w:val="0"/>
        <w:ind w:left="420" w:hanging="240"/>
        <w:jc w:val="center"/>
        <w:outlineLvl w:val="1"/>
        <w:rPr>
          <w:rFonts w:cs="Times New Roman"/>
          <w:b/>
          <w:bCs/>
          <w:szCs w:val="24"/>
        </w:rPr>
      </w:pPr>
      <w:bookmarkStart w:id="0" w:name="_Toc73698725"/>
      <w:bookmarkStart w:id="1" w:name="_Toc83310785"/>
      <w:bookmarkStart w:id="2" w:name="_Toc83362580"/>
      <w:bookmarkStart w:id="3" w:name="_Toc83362989"/>
      <w:bookmarkStart w:id="4" w:name="_Toc90310047"/>
      <w:bookmarkStart w:id="5" w:name="_Toc90389905"/>
      <w:bookmarkStart w:id="6" w:name="_Toc90860485"/>
      <w:r w:rsidRPr="0021609F">
        <w:rPr>
          <w:rFonts w:cs="Times New Roman"/>
          <w:b/>
          <w:bCs/>
          <w:szCs w:val="24"/>
        </w:rPr>
        <w:t xml:space="preserve">15.36 Bank Fraud—Scheme to Defraud Bank </w:t>
      </w:r>
    </w:p>
    <w:p w14:paraId="03E49D32" w14:textId="77777777" w:rsidR="0021609F" w:rsidRPr="0021609F" w:rsidRDefault="0021609F" w:rsidP="0021609F">
      <w:pPr>
        <w:autoSpaceDE w:val="0"/>
        <w:autoSpaceDN w:val="0"/>
        <w:adjustRightInd w:val="0"/>
        <w:ind w:left="420" w:hanging="240"/>
        <w:jc w:val="center"/>
        <w:outlineLvl w:val="1"/>
        <w:rPr>
          <w:rFonts w:cs="Times New Roman"/>
          <w:b/>
          <w:bCs/>
          <w:szCs w:val="24"/>
        </w:rPr>
      </w:pPr>
      <w:r w:rsidRPr="0021609F">
        <w:rPr>
          <w:rFonts w:cs="Times New Roman"/>
          <w:b/>
          <w:bCs/>
          <w:szCs w:val="24"/>
        </w:rPr>
        <w:t>(18 U.S.C. § 1344(1))</w:t>
      </w:r>
      <w:bookmarkEnd w:id="0"/>
      <w:bookmarkEnd w:id="1"/>
      <w:bookmarkEnd w:id="2"/>
      <w:bookmarkEnd w:id="3"/>
      <w:bookmarkEnd w:id="4"/>
      <w:bookmarkEnd w:id="5"/>
      <w:bookmarkEnd w:id="6"/>
    </w:p>
    <w:p w14:paraId="746F48B9" w14:textId="77777777" w:rsidR="0021609F" w:rsidRPr="0021609F" w:rsidRDefault="0021609F" w:rsidP="0021609F">
      <w:pPr>
        <w:rPr>
          <w:rFonts w:eastAsia="Times New Roman" w:cs="Times New Roman"/>
          <w:szCs w:val="24"/>
        </w:rPr>
      </w:pPr>
    </w:p>
    <w:p w14:paraId="6C45DEEF"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 xml:space="preserve">The defendant is charged in [Count _______ of] the indictment with bank fraud in violation of Section 1344(1) of Title 18 of the United States Code.  For the defendant to be found guilty of that charge, the government must prove each of the following beyond a reasonable doubt: </w:t>
      </w:r>
    </w:p>
    <w:p w14:paraId="4F866F3C" w14:textId="77777777" w:rsidR="0021609F" w:rsidRPr="0021609F" w:rsidRDefault="0021609F" w:rsidP="0021609F">
      <w:pPr>
        <w:rPr>
          <w:rFonts w:eastAsia="Times New Roman" w:cs="Times New Roman"/>
          <w:color w:val="000000"/>
          <w:szCs w:val="24"/>
        </w:rPr>
      </w:pPr>
    </w:p>
    <w:p w14:paraId="736626BD" w14:textId="30FF3F20"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 xml:space="preserve">First, the defendant knowingly executed or attempted to execute a scheme to defraud a financial institution </w:t>
      </w:r>
      <w:r w:rsidR="002D0D86">
        <w:rPr>
          <w:rFonts w:eastAsia="Times New Roman" w:cs="Times New Roman"/>
          <w:color w:val="000000"/>
          <w:szCs w:val="24"/>
        </w:rPr>
        <w:t>of</w:t>
      </w:r>
      <w:r w:rsidRPr="0021609F">
        <w:rPr>
          <w:rFonts w:eastAsia="Times New Roman" w:cs="Times New Roman"/>
          <w:color w:val="000000"/>
          <w:szCs w:val="24"/>
        </w:rPr>
        <w:t xml:space="preserve"> something of value;</w:t>
      </w:r>
    </w:p>
    <w:p w14:paraId="30E9079D" w14:textId="77777777" w:rsidR="0021609F" w:rsidRPr="0021609F" w:rsidRDefault="0021609F" w:rsidP="0021609F">
      <w:pPr>
        <w:rPr>
          <w:rFonts w:eastAsia="Times New Roman" w:cs="Times New Roman"/>
          <w:color w:val="000000"/>
          <w:szCs w:val="24"/>
        </w:rPr>
      </w:pPr>
    </w:p>
    <w:p w14:paraId="585AC583" w14:textId="77777777" w:rsidR="002D0D86" w:rsidRPr="002D0D86" w:rsidRDefault="0021609F" w:rsidP="002D0D86">
      <w:pPr>
        <w:rPr>
          <w:rFonts w:eastAsia="Times New Roman" w:cs="Times New Roman"/>
          <w:color w:val="000000"/>
          <w:szCs w:val="24"/>
        </w:rPr>
      </w:pPr>
      <w:r w:rsidRPr="0021609F">
        <w:rPr>
          <w:rFonts w:eastAsia="Times New Roman" w:cs="Times New Roman"/>
          <w:color w:val="000000"/>
          <w:szCs w:val="24"/>
        </w:rPr>
        <w:tab/>
      </w:r>
      <w:r w:rsidR="002D0D86" w:rsidRPr="002D0D86">
        <w:rPr>
          <w:rFonts w:eastAsia="Times New Roman" w:cs="Times New Roman"/>
          <w:color w:val="000000"/>
          <w:szCs w:val="24"/>
        </w:rPr>
        <w:t>Second, that the statements made [or facts omitted] as part of the scheme were material; that is, they had a natural tendency to influence, or were capable of influencing, a person to part with money or property;</w:t>
      </w:r>
    </w:p>
    <w:p w14:paraId="0D25D5A5" w14:textId="77777777" w:rsidR="002D0D86" w:rsidRDefault="002D0D86" w:rsidP="0021609F">
      <w:pPr>
        <w:rPr>
          <w:rFonts w:eastAsia="Times New Roman" w:cs="Times New Roman"/>
          <w:color w:val="000000"/>
          <w:szCs w:val="24"/>
        </w:rPr>
      </w:pPr>
    </w:p>
    <w:p w14:paraId="76D5DBB0" w14:textId="4C9CE5D2" w:rsidR="0021609F" w:rsidRPr="0021609F" w:rsidRDefault="002D0D86" w:rsidP="002D0D86">
      <w:pPr>
        <w:ind w:firstLine="720"/>
        <w:rPr>
          <w:rFonts w:eastAsia="Times New Roman" w:cs="Times New Roman"/>
          <w:color w:val="000000"/>
          <w:szCs w:val="24"/>
        </w:rPr>
      </w:pPr>
      <w:r>
        <w:rPr>
          <w:rFonts w:eastAsia="Times New Roman" w:cs="Times New Roman"/>
          <w:color w:val="000000"/>
          <w:szCs w:val="24"/>
        </w:rPr>
        <w:t>Third</w:t>
      </w:r>
      <w:r w:rsidR="0021609F" w:rsidRPr="0021609F">
        <w:rPr>
          <w:rFonts w:eastAsia="Times New Roman" w:cs="Times New Roman"/>
          <w:color w:val="000000"/>
          <w:szCs w:val="24"/>
        </w:rPr>
        <w:t>, the defendant did so with the intent to defraud the financial institution; and</w:t>
      </w:r>
    </w:p>
    <w:p w14:paraId="0559DDFC" w14:textId="77777777" w:rsidR="0021609F" w:rsidRPr="0021609F" w:rsidRDefault="0021609F" w:rsidP="0021609F">
      <w:pPr>
        <w:rPr>
          <w:rFonts w:eastAsia="Times New Roman" w:cs="Times New Roman"/>
          <w:color w:val="000000"/>
          <w:szCs w:val="24"/>
        </w:rPr>
      </w:pPr>
    </w:p>
    <w:p w14:paraId="63A5C783" w14:textId="3A2990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r>
      <w:r w:rsidR="002D0D86">
        <w:rPr>
          <w:rFonts w:eastAsia="Times New Roman" w:cs="Times New Roman"/>
          <w:color w:val="000000"/>
          <w:szCs w:val="24"/>
        </w:rPr>
        <w:t>Fourth</w:t>
      </w:r>
      <w:r w:rsidRPr="0021609F">
        <w:rPr>
          <w:rFonts w:eastAsia="Times New Roman" w:cs="Times New Roman"/>
          <w:color w:val="000000"/>
          <w:szCs w:val="24"/>
        </w:rPr>
        <w:t>, the financial institution was insured by the Federal Deposit Insurance Corporation.</w:t>
      </w:r>
    </w:p>
    <w:p w14:paraId="69E3EAEB" w14:textId="77777777" w:rsidR="0021609F" w:rsidRPr="0021609F" w:rsidRDefault="0021609F" w:rsidP="0021609F">
      <w:pPr>
        <w:rPr>
          <w:rFonts w:eastAsia="Times New Roman" w:cs="Times New Roman"/>
          <w:color w:val="000000"/>
          <w:szCs w:val="24"/>
        </w:rPr>
      </w:pPr>
    </w:p>
    <w:p w14:paraId="1D2FFFFF" w14:textId="0B1B2D5F"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r>
      <w:r w:rsidR="00080D8E">
        <w:rPr>
          <w:rFonts w:eastAsia="Times New Roman" w:cs="Times New Roman"/>
          <w:color w:val="000000"/>
          <w:szCs w:val="24"/>
        </w:rPr>
        <w:t>A</w:t>
      </w:r>
      <w:r w:rsidRPr="0021609F">
        <w:rPr>
          <w:rFonts w:eastAsia="Times New Roman" w:cs="Times New Roman"/>
          <w:color w:val="000000"/>
          <w:szCs w:val="24"/>
        </w:rPr>
        <w:t xml:space="preserve"> “scheme to defraud” means any deliberate plan of action or course of conduct by which someone intends to deceive </w:t>
      </w:r>
      <w:r w:rsidR="00AC65C2">
        <w:rPr>
          <w:rFonts w:eastAsia="Times New Roman" w:cs="Times New Roman"/>
          <w:color w:val="000000"/>
          <w:szCs w:val="24"/>
        </w:rPr>
        <w:t>and</w:t>
      </w:r>
      <w:r w:rsidR="00AC65C2" w:rsidRPr="0021609F">
        <w:rPr>
          <w:rFonts w:eastAsia="Times New Roman" w:cs="Times New Roman"/>
          <w:color w:val="000000"/>
          <w:szCs w:val="24"/>
        </w:rPr>
        <w:t xml:space="preserve"> </w:t>
      </w:r>
      <w:r w:rsidRPr="0021609F">
        <w:rPr>
          <w:rFonts w:eastAsia="Times New Roman" w:cs="Times New Roman"/>
          <w:color w:val="000000"/>
          <w:szCs w:val="24"/>
        </w:rPr>
        <w:t>cheat</w:t>
      </w:r>
      <w:r w:rsidR="00AC65C2">
        <w:rPr>
          <w:rFonts w:eastAsia="Times New Roman" w:cs="Times New Roman"/>
          <w:color w:val="000000"/>
          <w:szCs w:val="24"/>
        </w:rPr>
        <w:t>,</w:t>
      </w:r>
      <w:r w:rsidRPr="0021609F">
        <w:rPr>
          <w:rFonts w:eastAsia="Times New Roman" w:cs="Times New Roman"/>
          <w:color w:val="000000"/>
          <w:szCs w:val="24"/>
        </w:rPr>
        <w:t xml:space="preserve"> </w:t>
      </w:r>
      <w:r w:rsidR="00AC65C2">
        <w:rPr>
          <w:rFonts w:eastAsia="Times New Roman" w:cs="Times New Roman"/>
          <w:color w:val="000000"/>
          <w:szCs w:val="24"/>
        </w:rPr>
        <w:t>in other words to deprive the victim of money or property by means of deception</w:t>
      </w:r>
      <w:r w:rsidRPr="0021609F">
        <w:rPr>
          <w:rFonts w:eastAsia="Times New Roman" w:cs="Times New Roman"/>
          <w:color w:val="000000"/>
          <w:szCs w:val="24"/>
        </w:rPr>
        <w:t>.  It is not necessary for the government to prove that a financial institution was the only or sole victim of the scheme to defraud.  It is also not necessary for the government to prove that the defendant was actually successful in defrauding any financial institution.  Finally, it is not necessary for the government to prove that any financial institution lost any money or property as a result of the scheme to defraud.</w:t>
      </w:r>
    </w:p>
    <w:p w14:paraId="29FF76DB" w14:textId="77777777" w:rsidR="00080D8E" w:rsidRPr="00892D2F" w:rsidRDefault="0021609F" w:rsidP="00080D8E">
      <w:pPr>
        <w:autoSpaceDE w:val="0"/>
        <w:autoSpaceDN w:val="0"/>
        <w:adjustRightInd w:val="0"/>
        <w:rPr>
          <w:rFonts w:cs="Times New Roman"/>
          <w:szCs w:val="24"/>
        </w:rPr>
      </w:pPr>
      <w:r w:rsidRPr="0021609F">
        <w:rPr>
          <w:rFonts w:eastAsia="Times New Roman" w:cs="Times New Roman"/>
          <w:color w:val="000000"/>
          <w:szCs w:val="24"/>
        </w:rPr>
        <w:tab/>
      </w:r>
    </w:p>
    <w:p w14:paraId="28D94535" w14:textId="0A9F1BE8" w:rsidR="0021609F" w:rsidRDefault="00080D8E" w:rsidP="005D6F01">
      <w:pPr>
        <w:ind w:firstLine="720"/>
        <w:rPr>
          <w:rFonts w:cs="Times New Roman"/>
          <w:szCs w:val="24"/>
        </w:rPr>
      </w:pPr>
      <w:r w:rsidRPr="00892D2F">
        <w:rPr>
          <w:rFonts w:cs="Times New Roman"/>
          <w:szCs w:val="24"/>
        </w:rPr>
        <w:t xml:space="preserve">An “intent to defraud” means to act willfully and with the specific intent to deceive </w:t>
      </w:r>
      <w:r w:rsidR="00AC65C2">
        <w:rPr>
          <w:rFonts w:cs="Times New Roman"/>
          <w:szCs w:val="24"/>
        </w:rPr>
        <w:t>and</w:t>
      </w:r>
      <w:r w:rsidR="00AC65C2" w:rsidRPr="00892D2F">
        <w:rPr>
          <w:rFonts w:cs="Times New Roman"/>
          <w:szCs w:val="24"/>
        </w:rPr>
        <w:t xml:space="preserve"> </w:t>
      </w:r>
      <w:r w:rsidRPr="00892D2F">
        <w:rPr>
          <w:rFonts w:cs="Times New Roman"/>
          <w:szCs w:val="24"/>
        </w:rPr>
        <w:t>cheat</w:t>
      </w:r>
      <w:r w:rsidR="00AC65C2">
        <w:rPr>
          <w:rFonts w:cs="Times New Roman"/>
          <w:szCs w:val="24"/>
        </w:rPr>
        <w:t>.</w:t>
      </w:r>
    </w:p>
    <w:p w14:paraId="492C21AB" w14:textId="77777777" w:rsidR="0088215C" w:rsidRPr="0021609F" w:rsidRDefault="0088215C" w:rsidP="0021609F">
      <w:pPr>
        <w:rPr>
          <w:rFonts w:eastAsia="Times New Roman" w:cs="Times New Roman"/>
          <w:szCs w:val="24"/>
        </w:rPr>
      </w:pPr>
    </w:p>
    <w:p w14:paraId="3240B847" w14:textId="77777777" w:rsidR="0021609F" w:rsidRPr="0021609F" w:rsidRDefault="0021609F" w:rsidP="0021609F">
      <w:pPr>
        <w:ind w:right="-180"/>
        <w:jc w:val="center"/>
        <w:rPr>
          <w:rFonts w:eastAsia="Times New Roman" w:cs="Times New Roman"/>
          <w:color w:val="000000"/>
          <w:szCs w:val="24"/>
        </w:rPr>
      </w:pPr>
      <w:r w:rsidRPr="0021609F">
        <w:rPr>
          <w:rFonts w:eastAsia="Times New Roman" w:cs="Times New Roman"/>
          <w:b/>
          <w:color w:val="000000"/>
          <w:szCs w:val="24"/>
        </w:rPr>
        <w:t>Comment</w:t>
      </w:r>
    </w:p>
    <w:p w14:paraId="77EA5435" w14:textId="77777777" w:rsidR="0021609F" w:rsidRPr="0021609F" w:rsidRDefault="0021609F" w:rsidP="0021609F">
      <w:pPr>
        <w:rPr>
          <w:rFonts w:eastAsia="Times New Roman" w:cs="Times New Roman"/>
          <w:szCs w:val="24"/>
        </w:rPr>
      </w:pPr>
    </w:p>
    <w:p w14:paraId="73AD5BFA"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When the scheme or artifice to defraud is a scheme or artifice to deprive another of the intangible right to honest services under 18 U.S.C. § 1346, use Instruction 15.37 (Bank Fraud—Scheme to Deprive Bank of Intangible Right of Honest Services).</w:t>
      </w:r>
    </w:p>
    <w:p w14:paraId="5CAE8738" w14:textId="77777777" w:rsidR="0021609F" w:rsidRPr="0021609F" w:rsidRDefault="0021609F" w:rsidP="0021609F">
      <w:pPr>
        <w:rPr>
          <w:rFonts w:eastAsia="Times New Roman" w:cs="Times New Roman"/>
          <w:color w:val="000000"/>
          <w:szCs w:val="24"/>
        </w:rPr>
      </w:pPr>
    </w:p>
    <w:p w14:paraId="2E8663DC"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A “scheme to defraud” under 18 U.S.C. § 1344(1) “must be one to [both] deceive the</w:t>
      </w:r>
    </w:p>
    <w:p w14:paraId="74B1B3B4"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 xml:space="preserve">bank </w:t>
      </w:r>
      <w:r w:rsidRPr="0021609F">
        <w:rPr>
          <w:rFonts w:eastAsia="Times New Roman" w:cs="Times New Roman"/>
          <w:i/>
          <w:color w:val="000000"/>
          <w:szCs w:val="24"/>
        </w:rPr>
        <w:t xml:space="preserve">and </w:t>
      </w:r>
      <w:r w:rsidRPr="0021609F">
        <w:rPr>
          <w:rFonts w:eastAsia="Times New Roman" w:cs="Times New Roman"/>
          <w:color w:val="000000"/>
          <w:szCs w:val="24"/>
        </w:rPr>
        <w:t xml:space="preserve">deprive it of something of value.”  </w:t>
      </w:r>
      <w:r w:rsidRPr="0021609F">
        <w:rPr>
          <w:rFonts w:eastAsia="Times New Roman" w:cs="Times New Roman"/>
          <w:i/>
          <w:color w:val="000000"/>
          <w:szCs w:val="24"/>
        </w:rPr>
        <w:t>Shaw v. United States</w:t>
      </w:r>
      <w:r w:rsidRPr="0021609F">
        <w:rPr>
          <w:rFonts w:eastAsia="Times New Roman" w:cs="Times New Roman"/>
          <w:color w:val="000000"/>
          <w:szCs w:val="24"/>
        </w:rPr>
        <w:t>, 137 S. Ct. 462, 469 (2016).</w:t>
      </w:r>
    </w:p>
    <w:p w14:paraId="6047F6DA" w14:textId="77777777" w:rsidR="0021609F" w:rsidRPr="0021609F" w:rsidRDefault="0021609F" w:rsidP="0021609F">
      <w:pPr>
        <w:rPr>
          <w:rFonts w:eastAsia="Times New Roman" w:cs="Times New Roman"/>
          <w:color w:val="000000"/>
          <w:szCs w:val="24"/>
        </w:rPr>
      </w:pPr>
    </w:p>
    <w:p w14:paraId="43D5E9C7"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ab/>
        <w:t xml:space="preserve">In </w:t>
      </w:r>
      <w:r w:rsidRPr="0021609F">
        <w:rPr>
          <w:rFonts w:eastAsia="Times New Roman" w:cs="Times New Roman"/>
          <w:i/>
          <w:color w:val="000000"/>
          <w:szCs w:val="24"/>
        </w:rPr>
        <w:t>Shaw</w:t>
      </w:r>
      <w:r w:rsidRPr="0021609F">
        <w:rPr>
          <w:rFonts w:eastAsia="Times New Roman" w:cs="Times New Roman"/>
          <w:color w:val="000000"/>
          <w:szCs w:val="24"/>
        </w:rPr>
        <w:t>, the defendant created a scheme to siphon off funds from a bank depositor’s</w:t>
      </w:r>
    </w:p>
    <w:p w14:paraId="0076564E" w14:textId="77777777" w:rsidR="0021609F" w:rsidRPr="0021609F" w:rsidRDefault="0021609F" w:rsidP="0021609F">
      <w:pPr>
        <w:rPr>
          <w:rFonts w:eastAsia="Times New Roman" w:cs="Times New Roman"/>
          <w:color w:val="000000"/>
          <w:szCs w:val="24"/>
        </w:rPr>
      </w:pPr>
      <w:r w:rsidRPr="0021609F">
        <w:rPr>
          <w:rFonts w:eastAsia="Times New Roman" w:cs="Times New Roman"/>
          <w:color w:val="000000"/>
          <w:szCs w:val="24"/>
        </w:rPr>
        <w:t xml:space="preserve">account through the use of PayPal, an online payment and money transfer service.  The defendant argued that because the losses were eventually borne by the depositor and PayPal, and not the bank, he had not defrauded a “financial institution” within the meaning of § 1344(1).  The Supreme Court rejected this argument, holding that </w:t>
      </w:r>
    </w:p>
    <w:p w14:paraId="56D9AE19" w14:textId="77777777" w:rsidR="0021609F" w:rsidRPr="0021609F" w:rsidRDefault="0021609F" w:rsidP="0021609F">
      <w:pPr>
        <w:rPr>
          <w:rFonts w:eastAsia="Times New Roman" w:cs="Times New Roman"/>
          <w:szCs w:val="24"/>
        </w:rPr>
      </w:pPr>
    </w:p>
    <w:p w14:paraId="77F8E506" w14:textId="77777777" w:rsidR="0021609F" w:rsidRPr="0021609F" w:rsidRDefault="0021609F" w:rsidP="0021609F">
      <w:pPr>
        <w:ind w:left="720" w:right="720"/>
        <w:jc w:val="both"/>
        <w:rPr>
          <w:rFonts w:eastAsia="Times New Roman" w:cs="Times New Roman"/>
          <w:color w:val="000000"/>
          <w:szCs w:val="24"/>
        </w:rPr>
      </w:pPr>
      <w:r w:rsidRPr="0021609F">
        <w:rPr>
          <w:rFonts w:eastAsia="Times New Roman" w:cs="Times New Roman"/>
          <w:color w:val="000000"/>
          <w:szCs w:val="24"/>
        </w:rPr>
        <w:lastRenderedPageBreak/>
        <w:t>for purposes of the bank fraud statute, a scheme fraudulently to obtain funds from a bank depositor’s account normally is also a scheme fraudulently to obtain property from a “financial institution,” at least where, as here, the defendant knew that the bank held the deposits, the funds obtained came from the deposit account, and the defendant misled the bank in order to obtain those funds.</w:t>
      </w:r>
    </w:p>
    <w:p w14:paraId="22770AB9" w14:textId="77777777" w:rsidR="0021609F" w:rsidRPr="0021609F" w:rsidRDefault="0021609F" w:rsidP="0021609F">
      <w:pPr>
        <w:rPr>
          <w:rFonts w:eastAsia="Times New Roman" w:cs="Times New Roman"/>
          <w:szCs w:val="24"/>
        </w:rPr>
      </w:pPr>
    </w:p>
    <w:p w14:paraId="4DC7CADE" w14:textId="35B0CBC5" w:rsidR="002D0D86" w:rsidRPr="002D0D86" w:rsidRDefault="0021609F" w:rsidP="002D0D86">
      <w:pPr>
        <w:rPr>
          <w:rFonts w:eastAsia="Times New Roman" w:cs="Times New Roman"/>
          <w:color w:val="000000"/>
          <w:szCs w:val="24"/>
        </w:rPr>
      </w:pPr>
      <w:r w:rsidRPr="0021609F">
        <w:rPr>
          <w:rFonts w:eastAsia="Times New Roman" w:cs="Times New Roman"/>
          <w:i/>
          <w:color w:val="000000"/>
          <w:szCs w:val="24"/>
        </w:rPr>
        <w:t>Id</w:t>
      </w:r>
      <w:r w:rsidRPr="0021609F">
        <w:rPr>
          <w:rFonts w:eastAsia="Times New Roman" w:cs="Times New Roman"/>
          <w:color w:val="000000"/>
          <w:szCs w:val="24"/>
        </w:rPr>
        <w:t xml:space="preserve">. at 466.  The Court also clarified that in a prosecution under § 1344(1), the government is not required to prove that the bank ultimately suffered a financial loss, that the defendant intended the bank to suffer a financial loss, or that the defendant was aware the bank had a property interest in its customer accounts.  </w:t>
      </w:r>
      <w:r w:rsidRPr="0021609F">
        <w:rPr>
          <w:rFonts w:eastAsia="Times New Roman" w:cs="Times New Roman"/>
          <w:i/>
          <w:color w:val="000000"/>
          <w:szCs w:val="24"/>
        </w:rPr>
        <w:t>Id</w:t>
      </w:r>
      <w:r w:rsidRPr="0021609F">
        <w:rPr>
          <w:rFonts w:eastAsia="Times New Roman" w:cs="Times New Roman"/>
          <w:color w:val="000000"/>
          <w:szCs w:val="24"/>
        </w:rPr>
        <w:t xml:space="preserve">. at 467; </w:t>
      </w:r>
      <w:r w:rsidRPr="0021609F">
        <w:rPr>
          <w:rFonts w:eastAsia="Times New Roman" w:cs="Times New Roman"/>
          <w:i/>
          <w:color w:val="000000"/>
          <w:szCs w:val="24"/>
        </w:rPr>
        <w:t>see also United States v. Shaw</w:t>
      </w:r>
      <w:r w:rsidRPr="0021609F">
        <w:rPr>
          <w:rFonts w:eastAsia="Times New Roman" w:cs="Times New Roman"/>
          <w:color w:val="000000"/>
          <w:szCs w:val="24"/>
        </w:rPr>
        <w:t>, 885 F.3d 1217, 1219 (9th Cir. 2018) (“As the Supreme Court has now clarified, an intent to obtain money from a depositor’s bank account is sufficient to constitute bank fraud under 18 U.S.C. § 1344(1).  It is not necessary to show an intent to cause the bank itself a financial loss.”).</w:t>
      </w:r>
      <w:r w:rsidR="002D0D86" w:rsidRPr="002D0D86">
        <w:rPr>
          <w:rFonts w:eastAsia="Times New Roman" w:cs="Times New Roman"/>
          <w:color w:val="000000"/>
          <w:szCs w:val="24"/>
        </w:rPr>
        <w:t xml:space="preserve">  Although the government need not prove an intent for a bank to suffer a financial loss, the government must prove an intent to “defraud a financial institution.”  </w:t>
      </w:r>
      <w:proofErr w:type="spellStart"/>
      <w:r w:rsidR="002D0D86" w:rsidRPr="002D0D86">
        <w:rPr>
          <w:rFonts w:eastAsia="Times New Roman" w:cs="Times New Roman"/>
          <w:i/>
          <w:iCs/>
          <w:color w:val="000000"/>
          <w:szCs w:val="24"/>
        </w:rPr>
        <w:t>Loughrin</w:t>
      </w:r>
      <w:proofErr w:type="spellEnd"/>
      <w:r w:rsidR="002D0D86" w:rsidRPr="002D0D86">
        <w:rPr>
          <w:rFonts w:eastAsia="Times New Roman" w:cs="Times New Roman"/>
          <w:i/>
          <w:iCs/>
          <w:color w:val="000000"/>
          <w:szCs w:val="24"/>
        </w:rPr>
        <w:t xml:space="preserve"> v. United States</w:t>
      </w:r>
      <w:r w:rsidR="002D0D86" w:rsidRPr="002D0D86">
        <w:rPr>
          <w:rFonts w:eastAsia="Times New Roman" w:cs="Times New Roman"/>
          <w:color w:val="000000"/>
          <w:szCs w:val="24"/>
        </w:rPr>
        <w:t xml:space="preserve">, 573 U.S. 351, 355–57 (2014).  The Supreme Court has explained that a key difference between § 1344(1) and (2) is that subsection (1) requires an intent to defraud a bank, “indeed, that is § 1344(1)’s whole sum and substance”; whereas subsection (2) does not require proof of specific intent to defraud the financial institution, only the intent to “obtain bank property.”  </w:t>
      </w:r>
      <w:r w:rsidR="002D0D86" w:rsidRPr="002D0D86">
        <w:rPr>
          <w:rFonts w:eastAsia="Times New Roman" w:cs="Times New Roman"/>
          <w:i/>
          <w:iCs/>
          <w:color w:val="000000"/>
          <w:szCs w:val="24"/>
        </w:rPr>
        <w:t>Id</w:t>
      </w:r>
      <w:r w:rsidR="002D0D86" w:rsidRPr="002D0D86">
        <w:rPr>
          <w:rFonts w:eastAsia="Times New Roman" w:cs="Times New Roman"/>
          <w:color w:val="000000"/>
          <w:szCs w:val="24"/>
        </w:rPr>
        <w:t xml:space="preserve">.   </w:t>
      </w:r>
    </w:p>
    <w:p w14:paraId="3C0F6D87" w14:textId="77777777" w:rsidR="002D0D86" w:rsidRDefault="002D0D86" w:rsidP="002D0D86">
      <w:pPr>
        <w:rPr>
          <w:rFonts w:eastAsia="Times New Roman" w:cs="Times New Roman"/>
          <w:color w:val="000000"/>
          <w:szCs w:val="24"/>
        </w:rPr>
      </w:pPr>
    </w:p>
    <w:p w14:paraId="48C5E3B2" w14:textId="792AF2E3" w:rsidR="00080D8E" w:rsidRDefault="002D0D86" w:rsidP="0021609F">
      <w:pPr>
        <w:rPr>
          <w:rFonts w:eastAsia="Times New Roman" w:cs="Times New Roman"/>
          <w:color w:val="000000"/>
          <w:szCs w:val="24"/>
        </w:rPr>
      </w:pPr>
      <w:r w:rsidRPr="002D0D86">
        <w:rPr>
          <w:rFonts w:eastAsia="Times New Roman" w:cs="Times New Roman"/>
          <w:color w:val="000000"/>
          <w:szCs w:val="24"/>
        </w:rPr>
        <w:t>“Materiality of the scheme is an essential element of bank fraud in violation of 18 U.S.C. § 1344(1).”  </w:t>
      </w:r>
      <w:r w:rsidRPr="002D0D86">
        <w:rPr>
          <w:rFonts w:eastAsia="Times New Roman" w:cs="Times New Roman"/>
          <w:i/>
          <w:iCs/>
          <w:color w:val="000000"/>
          <w:szCs w:val="24"/>
        </w:rPr>
        <w:t>United States v. Omer</w:t>
      </w:r>
      <w:r w:rsidRPr="002D0D86">
        <w:rPr>
          <w:rFonts w:eastAsia="Times New Roman" w:cs="Times New Roman"/>
          <w:color w:val="000000"/>
          <w:szCs w:val="24"/>
        </w:rPr>
        <w:t xml:space="preserve">, 395 F.3d 1087, 1089 (9th Cir. 2005); </w:t>
      </w:r>
      <w:r w:rsidRPr="002D0D86">
        <w:rPr>
          <w:rFonts w:eastAsia="Times New Roman" w:cs="Times New Roman"/>
          <w:i/>
          <w:iCs/>
          <w:color w:val="000000"/>
          <w:szCs w:val="24"/>
        </w:rPr>
        <w:t xml:space="preserve">see also </w:t>
      </w:r>
      <w:proofErr w:type="spellStart"/>
      <w:r w:rsidRPr="002D0D86">
        <w:rPr>
          <w:rFonts w:eastAsia="Times New Roman" w:cs="Times New Roman"/>
          <w:i/>
          <w:iCs/>
          <w:color w:val="000000"/>
          <w:szCs w:val="24"/>
        </w:rPr>
        <w:t>Neder</w:t>
      </w:r>
      <w:proofErr w:type="spellEnd"/>
      <w:r w:rsidRPr="002D0D86">
        <w:rPr>
          <w:rFonts w:eastAsia="Times New Roman" w:cs="Times New Roman"/>
          <w:i/>
          <w:iCs/>
          <w:color w:val="000000"/>
          <w:szCs w:val="24"/>
        </w:rPr>
        <w:t xml:space="preserve"> v. United States</w:t>
      </w:r>
      <w:r w:rsidRPr="002D0D86">
        <w:rPr>
          <w:rFonts w:eastAsia="Times New Roman" w:cs="Times New Roman"/>
          <w:color w:val="000000"/>
          <w:szCs w:val="24"/>
        </w:rPr>
        <w:t>, 527 U.S. 1, 25 (1999) (“[M]</w:t>
      </w:r>
      <w:proofErr w:type="spellStart"/>
      <w:r w:rsidRPr="002D0D86">
        <w:rPr>
          <w:rFonts w:eastAsia="Times New Roman" w:cs="Times New Roman"/>
          <w:color w:val="000000"/>
          <w:szCs w:val="24"/>
        </w:rPr>
        <w:t>ateriality</w:t>
      </w:r>
      <w:proofErr w:type="spellEnd"/>
      <w:r w:rsidRPr="002D0D86">
        <w:rPr>
          <w:rFonts w:eastAsia="Times New Roman" w:cs="Times New Roman"/>
          <w:color w:val="000000"/>
          <w:szCs w:val="24"/>
        </w:rPr>
        <w:t xml:space="preserve"> of falsehood is an element of the federal mail fraud, wire fraud, and bank fraud statutes.”).</w:t>
      </w:r>
    </w:p>
    <w:p w14:paraId="7FB4F5EE" w14:textId="77777777" w:rsidR="00C07CFC" w:rsidRDefault="00C07CFC" w:rsidP="0021609F">
      <w:pPr>
        <w:rPr>
          <w:rFonts w:eastAsia="Times New Roman" w:cs="Times New Roman"/>
          <w:color w:val="000000"/>
          <w:szCs w:val="24"/>
        </w:rPr>
      </w:pPr>
    </w:p>
    <w:p w14:paraId="52516166" w14:textId="6B0BD782" w:rsidR="00080D8E" w:rsidRPr="0021609F" w:rsidRDefault="00080D8E" w:rsidP="0021609F">
      <w:pPr>
        <w:rPr>
          <w:rFonts w:eastAsia="Times New Roman" w:cs="Times New Roman"/>
          <w:color w:val="000000"/>
          <w:szCs w:val="24"/>
        </w:rPr>
      </w:pPr>
      <w:r>
        <w:rPr>
          <w:rFonts w:eastAsia="Times New Roman" w:cs="Times New Roman"/>
          <w:color w:val="000000"/>
          <w:szCs w:val="24"/>
        </w:rPr>
        <w:tab/>
      </w:r>
      <w:r w:rsidRPr="00080D8E">
        <w:rPr>
          <w:rFonts w:eastAsia="Times New Roman" w:cs="Times New Roman"/>
          <w:i/>
          <w:iCs/>
          <w:color w:val="000000"/>
          <w:szCs w:val="24"/>
        </w:rPr>
        <w:t>S</w:t>
      </w:r>
      <w:r w:rsidRPr="00080D8E">
        <w:rPr>
          <w:rFonts w:eastAsia="Times New Roman" w:cs="Times New Roman"/>
          <w:color w:val="000000"/>
          <w:szCs w:val="24"/>
        </w:rPr>
        <w:t>ee</w:t>
      </w:r>
      <w:r w:rsidR="00AC65C2">
        <w:rPr>
          <w:rFonts w:eastAsia="Times New Roman" w:cs="Times New Roman"/>
          <w:color w:val="000000"/>
          <w:szCs w:val="24"/>
        </w:rPr>
        <w:t xml:space="preserve"> </w:t>
      </w:r>
      <w:r w:rsidR="00AC65C2" w:rsidRPr="000835F2">
        <w:rPr>
          <w:rFonts w:eastAsia="Times New Roman" w:cs="Times New Roman"/>
          <w:i/>
          <w:iCs/>
          <w:color w:val="000000"/>
          <w:szCs w:val="24"/>
        </w:rPr>
        <w:t>United States v. Miller</w:t>
      </w:r>
      <w:r w:rsidR="00AC65C2">
        <w:rPr>
          <w:rFonts w:eastAsia="Times New Roman" w:cs="Times New Roman"/>
          <w:color w:val="000000"/>
          <w:szCs w:val="24"/>
        </w:rPr>
        <w:t>, F.3d 1095 (</w:t>
      </w:r>
      <w:r w:rsidR="00AC65C2" w:rsidRPr="002D0D86">
        <w:rPr>
          <w:rFonts w:eastAsia="Times New Roman" w:cs="Times New Roman"/>
          <w:color w:val="000000"/>
          <w:szCs w:val="24"/>
        </w:rPr>
        <w:t xml:space="preserve">9th Cir. </w:t>
      </w:r>
      <w:r w:rsidR="00AC65C2">
        <w:rPr>
          <w:rFonts w:eastAsia="Times New Roman" w:cs="Times New Roman"/>
          <w:color w:val="000000"/>
          <w:szCs w:val="24"/>
        </w:rPr>
        <w:t>2020)</w:t>
      </w:r>
      <w:r w:rsidR="00985884">
        <w:rPr>
          <w:rFonts w:eastAsia="Times New Roman" w:cs="Times New Roman"/>
          <w:color w:val="000000"/>
          <w:szCs w:val="24"/>
        </w:rPr>
        <w:t>,</w:t>
      </w:r>
      <w:r w:rsidRPr="00080D8E">
        <w:rPr>
          <w:rFonts w:eastAsia="Times New Roman" w:cs="Times New Roman"/>
          <w:color w:val="000000"/>
          <w:szCs w:val="24"/>
        </w:rPr>
        <w:t xml:space="preserve"> defining</w:t>
      </w:r>
      <w:r>
        <w:rPr>
          <w:rFonts w:eastAsia="Times New Roman" w:cs="Times New Roman"/>
          <w:color w:val="000000"/>
          <w:szCs w:val="24"/>
        </w:rPr>
        <w:t xml:space="preserve"> “intent to defraud”</w:t>
      </w:r>
      <w:r w:rsidR="00985884">
        <w:rPr>
          <w:rFonts w:eastAsia="Times New Roman" w:cs="Times New Roman"/>
          <w:color w:val="000000"/>
          <w:szCs w:val="24"/>
        </w:rPr>
        <w:t>.</w:t>
      </w:r>
      <w:r>
        <w:rPr>
          <w:rFonts w:eastAsia="Times New Roman" w:cs="Times New Roman"/>
          <w:color w:val="000000"/>
          <w:szCs w:val="24"/>
        </w:rPr>
        <w:t xml:space="preserve"> </w:t>
      </w:r>
      <w:r w:rsidR="00985884">
        <w:rPr>
          <w:rFonts w:eastAsia="Times New Roman" w:cs="Times New Roman"/>
          <w:color w:val="000000"/>
          <w:szCs w:val="24"/>
        </w:rPr>
        <w:t xml:space="preserve"> </w:t>
      </w:r>
    </w:p>
    <w:p w14:paraId="21A146C1" w14:textId="77777777" w:rsidR="0021609F" w:rsidRPr="0021609F" w:rsidRDefault="0021609F" w:rsidP="0021609F">
      <w:pPr>
        <w:rPr>
          <w:rFonts w:eastAsia="Times New Roman" w:cs="Times New Roman"/>
          <w:color w:val="000000"/>
          <w:szCs w:val="24"/>
        </w:rPr>
      </w:pPr>
    </w:p>
    <w:p w14:paraId="5A779C86" w14:textId="6A511CB9" w:rsidR="0021609F" w:rsidRDefault="0021609F" w:rsidP="002D0D86">
      <w:pPr>
        <w:ind w:firstLine="720"/>
        <w:rPr>
          <w:rFonts w:eastAsia="Times New Roman" w:cs="Times New Roman"/>
          <w:szCs w:val="24"/>
        </w:rPr>
      </w:pPr>
      <w:r w:rsidRPr="0021609F">
        <w:rPr>
          <w:rFonts w:eastAsia="Times New Roman" w:cs="Times New Roman"/>
          <w:szCs w:val="24"/>
        </w:rPr>
        <w:t xml:space="preserve">In </w:t>
      </w:r>
      <w:r w:rsidRPr="0021609F">
        <w:rPr>
          <w:rFonts w:eastAsia="Times New Roman" w:cs="Times New Roman"/>
          <w:i/>
          <w:iCs/>
          <w:szCs w:val="24"/>
        </w:rPr>
        <w:t>United States v. Yates</w:t>
      </w:r>
      <w:r w:rsidRPr="0021609F">
        <w:rPr>
          <w:rFonts w:eastAsia="Times New Roman" w:cs="Times New Roman"/>
          <w:szCs w:val="24"/>
        </w:rPr>
        <w:t xml:space="preserve">, 16 F.4th 256 (9th Cir. 2021), the Ninth Circuit vacated and remanded a conviction of two bank executives for bank fraud.  The court rejected the government’s theories that the deprivation of “accurate information” or the officers’ salaries and bonuses could constitute the requisite deprivation of “something of value.”  </w:t>
      </w:r>
      <w:r w:rsidRPr="0021609F">
        <w:rPr>
          <w:rFonts w:eastAsia="Times New Roman" w:cs="Times New Roman"/>
          <w:i/>
          <w:iCs/>
          <w:szCs w:val="24"/>
        </w:rPr>
        <w:t>Id</w:t>
      </w:r>
      <w:r w:rsidRPr="0021609F">
        <w:rPr>
          <w:rFonts w:eastAsia="Times New Roman" w:cs="Times New Roman"/>
          <w:szCs w:val="24"/>
        </w:rPr>
        <w:t>. at </w:t>
      </w:r>
      <w:r w:rsidRPr="0021609F">
        <w:rPr>
          <w:rFonts w:cs="Times New Roman"/>
          <w:color w:val="000000" w:themeColor="text1"/>
          <w:szCs w:val="24"/>
        </w:rPr>
        <w:t>264</w:t>
      </w:r>
      <w:r w:rsidRPr="0021609F">
        <w:rPr>
          <w:rFonts w:cs="Times New Roman"/>
          <w:color w:val="000000" w:themeColor="text1"/>
          <w:szCs w:val="24"/>
        </w:rPr>
        <w:noBreakHyphen/>
        <w:t xml:space="preserve">66.  The court explained that “property deprivation ‘must play more than some bit part in a scheme’—the loss to the victim ‘must be an “object of the fraud,”’ not a mere ‘implementation cost [ ]’ or ‘incidental byproduct of the scheme.’”  </w:t>
      </w:r>
      <w:r w:rsidRPr="0021609F">
        <w:rPr>
          <w:rFonts w:cs="Times New Roman"/>
          <w:i/>
          <w:iCs/>
          <w:color w:val="000000" w:themeColor="text1"/>
          <w:szCs w:val="24"/>
        </w:rPr>
        <w:t xml:space="preserve">Id. </w:t>
      </w:r>
      <w:r w:rsidRPr="0021609F">
        <w:rPr>
          <w:rFonts w:cs="Times New Roman"/>
          <w:color w:val="000000" w:themeColor="text1"/>
          <w:szCs w:val="24"/>
        </w:rPr>
        <w:t xml:space="preserve">at 264, quoting </w:t>
      </w:r>
      <w:r w:rsidRPr="0021609F">
        <w:rPr>
          <w:rFonts w:cs="Times New Roman"/>
          <w:i/>
          <w:iCs/>
          <w:color w:val="000000" w:themeColor="text1"/>
          <w:szCs w:val="24"/>
        </w:rPr>
        <w:t>Kelly v. United States</w:t>
      </w:r>
      <w:r w:rsidRPr="0021609F">
        <w:rPr>
          <w:rFonts w:cs="Times New Roman"/>
          <w:color w:val="000000" w:themeColor="text1"/>
          <w:szCs w:val="24"/>
        </w:rPr>
        <w:t>, 140 S. Ct. 1565, 1573-74 (2020).  The court, however, agreed with the government’s third theory of deprivation of something of value.  “[W]</w:t>
      </w:r>
      <w:r w:rsidRPr="0021609F">
        <w:rPr>
          <w:rFonts w:eastAsia="Times New Roman" w:cs="Times New Roman"/>
          <w:szCs w:val="24"/>
        </w:rPr>
        <w:t xml:space="preserve">e agree with the government that a bank has a property interest in its funds and that it ‘has the right to use [its] funds as a source of loans that help the bank earn profits.’”  </w:t>
      </w:r>
      <w:r w:rsidRPr="0021609F">
        <w:rPr>
          <w:rFonts w:eastAsia="Times New Roman" w:cs="Times New Roman"/>
          <w:i/>
          <w:iCs/>
          <w:szCs w:val="24"/>
        </w:rPr>
        <w:t>Id</w:t>
      </w:r>
      <w:r w:rsidRPr="0021609F">
        <w:rPr>
          <w:rFonts w:eastAsia="Times New Roman" w:cs="Times New Roman"/>
          <w:szCs w:val="24"/>
        </w:rPr>
        <w:t xml:space="preserve">. at 268, quoting </w:t>
      </w:r>
      <w:r w:rsidRPr="0021609F">
        <w:rPr>
          <w:rFonts w:eastAsia="Times New Roman" w:cs="Times New Roman"/>
          <w:i/>
          <w:iCs/>
          <w:szCs w:val="24"/>
        </w:rPr>
        <w:t>Shaw</w:t>
      </w:r>
      <w:r w:rsidRPr="0021609F">
        <w:rPr>
          <w:rFonts w:eastAsia="Times New Roman" w:cs="Times New Roman"/>
          <w:szCs w:val="24"/>
        </w:rPr>
        <w:t xml:space="preserve"> (alterations in original).  “In addition, a bank’s right to its funds extends to the right to decide how to use those funds.  So the fraudulent diversion of a bank’s funds for unauthorized purposes certainly could be the basis for a conviction under section 1344.”  </w:t>
      </w:r>
      <w:r w:rsidRPr="0021609F">
        <w:rPr>
          <w:rFonts w:eastAsia="Times New Roman" w:cs="Times New Roman"/>
          <w:i/>
          <w:iCs/>
          <w:szCs w:val="24"/>
        </w:rPr>
        <w:t>Id</w:t>
      </w:r>
      <w:r w:rsidRPr="0021609F">
        <w:rPr>
          <w:rFonts w:eastAsia="Times New Roman" w:cs="Times New Roman"/>
          <w:szCs w:val="24"/>
        </w:rPr>
        <w:t>.</w:t>
      </w:r>
    </w:p>
    <w:p w14:paraId="44C7E496" w14:textId="77777777" w:rsidR="002D0D86" w:rsidRPr="002D0D86" w:rsidRDefault="002D0D86" w:rsidP="002D0D86">
      <w:pPr>
        <w:ind w:firstLine="720"/>
        <w:rPr>
          <w:rFonts w:eastAsia="Times New Roman" w:cs="Times New Roman"/>
          <w:szCs w:val="24"/>
        </w:rPr>
      </w:pPr>
    </w:p>
    <w:p w14:paraId="25B9192E" w14:textId="77777777" w:rsidR="002D0D86" w:rsidRDefault="002D0D86" w:rsidP="002D0D86">
      <w:pPr>
        <w:ind w:firstLine="720"/>
        <w:rPr>
          <w:rFonts w:eastAsia="Times New Roman" w:cs="Times New Roman"/>
          <w:iCs/>
          <w:color w:val="000000"/>
          <w:szCs w:val="24"/>
        </w:rPr>
      </w:pPr>
      <w:r w:rsidRPr="002D0D86">
        <w:rPr>
          <w:rFonts w:eastAsia="Times New Roman" w:cs="Times New Roman"/>
          <w:iCs/>
          <w:color w:val="000000"/>
          <w:szCs w:val="24"/>
        </w:rPr>
        <w:t>The final element concerns proof that the institution’s deposits were federally insured.  For a definition of “financial institution,” see 18 U.S.C. § 20. </w:t>
      </w:r>
      <w:r>
        <w:rPr>
          <w:rFonts w:eastAsia="Times New Roman" w:cs="Times New Roman"/>
          <w:iCs/>
          <w:color w:val="000000"/>
          <w:szCs w:val="24"/>
        </w:rPr>
        <w:t xml:space="preserve"> </w:t>
      </w:r>
    </w:p>
    <w:p w14:paraId="22E84E6D" w14:textId="77777777" w:rsidR="002D0D86" w:rsidRDefault="002D0D86" w:rsidP="002D0D86">
      <w:pPr>
        <w:ind w:firstLine="720"/>
        <w:rPr>
          <w:rFonts w:eastAsia="Times New Roman" w:cs="Times New Roman"/>
          <w:iCs/>
          <w:color w:val="000000"/>
          <w:szCs w:val="24"/>
        </w:rPr>
      </w:pPr>
    </w:p>
    <w:p w14:paraId="2BC7628C" w14:textId="3F866BF4" w:rsidR="002D0D86" w:rsidRPr="002D0D86" w:rsidRDefault="002D0D86" w:rsidP="002D0D86">
      <w:pPr>
        <w:ind w:firstLine="720"/>
        <w:rPr>
          <w:rFonts w:eastAsia="Times New Roman" w:cs="Times New Roman"/>
          <w:iCs/>
          <w:color w:val="000000"/>
          <w:szCs w:val="24"/>
        </w:rPr>
      </w:pPr>
      <w:r w:rsidRPr="002D0D86">
        <w:rPr>
          <w:rFonts w:eastAsia="Times New Roman" w:cs="Times New Roman"/>
          <w:iCs/>
          <w:color w:val="000000"/>
          <w:szCs w:val="24"/>
        </w:rPr>
        <w:lastRenderedPageBreak/>
        <w:t>Effective May 20, 2009, the</w:t>
      </w:r>
      <w:r>
        <w:rPr>
          <w:rFonts w:eastAsia="Times New Roman" w:cs="Times New Roman"/>
          <w:iCs/>
          <w:color w:val="000000"/>
          <w:szCs w:val="24"/>
        </w:rPr>
        <w:t xml:space="preserve"> </w:t>
      </w:r>
      <w:r w:rsidRPr="002D0D86">
        <w:rPr>
          <w:rFonts w:eastAsia="Times New Roman" w:cs="Times New Roman"/>
          <w:iCs/>
          <w:color w:val="000000"/>
          <w:szCs w:val="24"/>
        </w:rPr>
        <w:t>definition of “financial institution” set forth in 18 U.S.C. § 20 was broadened substantially by the</w:t>
      </w:r>
      <w:r>
        <w:rPr>
          <w:rFonts w:eastAsia="Times New Roman" w:cs="Times New Roman"/>
          <w:iCs/>
          <w:color w:val="000000"/>
          <w:szCs w:val="24"/>
        </w:rPr>
        <w:t xml:space="preserve"> </w:t>
      </w:r>
      <w:r w:rsidRPr="002D0D86">
        <w:rPr>
          <w:rFonts w:eastAsia="Times New Roman" w:cs="Times New Roman"/>
          <w:iCs/>
          <w:color w:val="000000"/>
          <w:szCs w:val="24"/>
        </w:rPr>
        <w:t>Fraud Enforcement and Recovery Act, Pub. L. 111-21, to include several types of financial</w:t>
      </w:r>
      <w:r>
        <w:rPr>
          <w:rFonts w:eastAsia="Times New Roman" w:cs="Times New Roman"/>
          <w:iCs/>
          <w:color w:val="000000"/>
          <w:szCs w:val="24"/>
        </w:rPr>
        <w:t xml:space="preserve"> </w:t>
      </w:r>
      <w:r w:rsidRPr="002D0D86">
        <w:rPr>
          <w:rFonts w:eastAsia="Times New Roman" w:cs="Times New Roman"/>
          <w:iCs/>
          <w:color w:val="000000"/>
          <w:szCs w:val="24"/>
        </w:rPr>
        <w:t>institutions the assets of which might not be federally insured.  The definition of the term</w:t>
      </w:r>
      <w:r>
        <w:rPr>
          <w:rFonts w:eastAsia="Times New Roman" w:cs="Times New Roman"/>
          <w:iCs/>
          <w:color w:val="000000"/>
          <w:szCs w:val="24"/>
        </w:rPr>
        <w:t xml:space="preserve"> </w:t>
      </w:r>
      <w:r w:rsidRPr="002D0D86">
        <w:rPr>
          <w:rFonts w:eastAsia="Times New Roman" w:cs="Times New Roman"/>
          <w:iCs/>
          <w:color w:val="000000"/>
          <w:szCs w:val="24"/>
        </w:rPr>
        <w:t>“financial institution” set forth in § 20 is incorporated into § 1344, as well as into other statutes</w:t>
      </w:r>
      <w:r>
        <w:rPr>
          <w:rFonts w:eastAsia="Times New Roman" w:cs="Times New Roman"/>
          <w:iCs/>
          <w:color w:val="000000"/>
          <w:szCs w:val="24"/>
        </w:rPr>
        <w:t xml:space="preserve"> </w:t>
      </w:r>
      <w:r w:rsidRPr="002D0D86">
        <w:rPr>
          <w:rFonts w:eastAsia="Times New Roman" w:cs="Times New Roman"/>
          <w:iCs/>
          <w:color w:val="000000"/>
          <w:szCs w:val="24"/>
        </w:rPr>
        <w:t xml:space="preserve">such as 18 U.S.C. § 215 (bank bribery), and is also addressed in 18 U.S.C. §§ 1341 and 1343 in connection with mail or wire fraud schemes that affect a financial institution.  </w:t>
      </w:r>
      <w:r w:rsidRPr="00301783">
        <w:rPr>
          <w:rFonts w:eastAsia="Times New Roman" w:cs="Times New Roman"/>
          <w:i/>
          <w:color w:val="000000"/>
          <w:szCs w:val="24"/>
        </w:rPr>
        <w:t>See United States v. Grasso</w:t>
      </w:r>
      <w:r w:rsidRPr="002D0D86">
        <w:rPr>
          <w:rFonts w:eastAsia="Times New Roman" w:cs="Times New Roman"/>
          <w:iCs/>
          <w:color w:val="000000"/>
          <w:szCs w:val="24"/>
        </w:rPr>
        <w:t xml:space="preserve">, 724 F.3d 1077, 1089 n.13 (9th Cir. 2013) (explaining that Congress amended 18 U.S.C. § 20 to expand the definition of “financial institution” for purposes of § 1344(1) to cover “mortgage lending businesses”).  This instruction should be appropriately modified if the indictment charges a scheme directed at the money or property of a financial institution other than a federally insured bank. </w:t>
      </w:r>
    </w:p>
    <w:p w14:paraId="39BCAEC0" w14:textId="77777777" w:rsidR="0021609F" w:rsidRPr="0021609F" w:rsidRDefault="0021609F" w:rsidP="002D0D86">
      <w:pPr>
        <w:rPr>
          <w:rFonts w:eastAsia="Times New Roman" w:cs="Times New Roman"/>
          <w:i/>
          <w:color w:val="000000"/>
          <w:szCs w:val="24"/>
        </w:rPr>
      </w:pPr>
    </w:p>
    <w:p w14:paraId="1688CF13" w14:textId="6661CBA4" w:rsidR="0021609F" w:rsidRPr="0021609F" w:rsidRDefault="0021609F" w:rsidP="0021609F">
      <w:pPr>
        <w:jc w:val="right"/>
        <w:rPr>
          <w:rFonts w:eastAsia="Times New Roman" w:cs="Times New Roman"/>
          <w:i/>
          <w:color w:val="000000"/>
          <w:szCs w:val="24"/>
        </w:rPr>
      </w:pPr>
      <w:r w:rsidRPr="0021609F">
        <w:rPr>
          <w:rFonts w:eastAsia="Times New Roman" w:cs="Times New Roman"/>
          <w:i/>
          <w:color w:val="000000"/>
          <w:szCs w:val="24"/>
        </w:rPr>
        <w:t xml:space="preserve">Revised </w:t>
      </w:r>
      <w:r w:rsidR="002D0D86">
        <w:rPr>
          <w:rFonts w:eastAsia="Times New Roman" w:cs="Times New Roman"/>
          <w:i/>
          <w:color w:val="000000"/>
          <w:szCs w:val="24"/>
        </w:rPr>
        <w:t>Mar</w:t>
      </w:r>
      <w:r w:rsidR="00E61DC4">
        <w:rPr>
          <w:rFonts w:eastAsia="Times New Roman" w:cs="Times New Roman"/>
          <w:i/>
          <w:color w:val="000000"/>
          <w:szCs w:val="24"/>
        </w:rPr>
        <w:t>ch</w:t>
      </w:r>
      <w:r w:rsidR="002D0D86">
        <w:rPr>
          <w:rFonts w:eastAsia="Times New Roman" w:cs="Times New Roman"/>
          <w:i/>
          <w:color w:val="000000"/>
          <w:szCs w:val="24"/>
        </w:rPr>
        <w:t xml:space="preserve"> 2023</w:t>
      </w:r>
    </w:p>
    <w:p w14:paraId="0ACE18C0" w14:textId="613EEBB3" w:rsidR="00C97E04" w:rsidRPr="0021609F" w:rsidRDefault="00C97E04" w:rsidP="0021609F"/>
    <w:sectPr w:rsidR="00C97E04" w:rsidRPr="0021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0D8E"/>
    <w:rsid w:val="00081D40"/>
    <w:rsid w:val="000835F2"/>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3F9"/>
    <w:rsid w:val="002B4922"/>
    <w:rsid w:val="002C008C"/>
    <w:rsid w:val="002C3980"/>
    <w:rsid w:val="002D0D86"/>
    <w:rsid w:val="002D2353"/>
    <w:rsid w:val="002D6651"/>
    <w:rsid w:val="002F2125"/>
    <w:rsid w:val="00301783"/>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6F01"/>
    <w:rsid w:val="005D7F8A"/>
    <w:rsid w:val="005F3127"/>
    <w:rsid w:val="00611990"/>
    <w:rsid w:val="00623212"/>
    <w:rsid w:val="00646A26"/>
    <w:rsid w:val="006648F6"/>
    <w:rsid w:val="00666C6F"/>
    <w:rsid w:val="0067181D"/>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8215C"/>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5884"/>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C65C2"/>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07CFC"/>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61DC4"/>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80D8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10</cp:revision>
  <dcterms:created xsi:type="dcterms:W3CDTF">2022-08-24T21:56:00Z</dcterms:created>
  <dcterms:modified xsi:type="dcterms:W3CDTF">2023-05-02T15:10:00Z</dcterms:modified>
</cp:coreProperties>
</file>