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9ED1" w14:textId="77777777" w:rsidR="00A01957" w:rsidRDefault="002B628A" w:rsidP="002B628A">
      <w:pPr>
        <w:autoSpaceDE w:val="0"/>
        <w:autoSpaceDN w:val="0"/>
        <w:adjustRightInd w:val="0"/>
        <w:ind w:left="420" w:hanging="240"/>
        <w:jc w:val="center"/>
        <w:outlineLvl w:val="1"/>
        <w:rPr>
          <w:rFonts w:cs="Times New Roman"/>
          <w:b/>
          <w:bCs/>
          <w:szCs w:val="24"/>
        </w:rPr>
      </w:pPr>
      <w:bookmarkStart w:id="0" w:name="_Toc73698736"/>
      <w:bookmarkStart w:id="1" w:name="_Toc83310797"/>
      <w:bookmarkStart w:id="2" w:name="_Toc83362592"/>
      <w:bookmarkStart w:id="3" w:name="_Toc83363001"/>
      <w:bookmarkStart w:id="4" w:name="_Toc90310059"/>
      <w:bookmarkStart w:id="5" w:name="_Toc90389917"/>
      <w:bookmarkStart w:id="6" w:name="_Toc90860497"/>
      <w:r w:rsidRPr="002B628A">
        <w:rPr>
          <w:rFonts w:cs="Times New Roman"/>
          <w:b/>
          <w:bCs/>
          <w:szCs w:val="24"/>
        </w:rPr>
        <w:t>15.48 Sale of Unregistered Securities</w:t>
      </w:r>
      <w:bookmarkEnd w:id="0"/>
      <w:bookmarkEnd w:id="1"/>
      <w:bookmarkEnd w:id="2"/>
      <w:bookmarkEnd w:id="3"/>
      <w:r w:rsidRPr="002B628A">
        <w:rPr>
          <w:rFonts w:cs="Times New Roman"/>
          <w:b/>
          <w:bCs/>
          <w:szCs w:val="24"/>
        </w:rPr>
        <w:t xml:space="preserve"> </w:t>
      </w:r>
    </w:p>
    <w:p w14:paraId="4D764E6B" w14:textId="44CC4353" w:rsidR="002B628A" w:rsidRPr="002B628A" w:rsidRDefault="002B628A" w:rsidP="002B628A">
      <w:pPr>
        <w:autoSpaceDE w:val="0"/>
        <w:autoSpaceDN w:val="0"/>
        <w:adjustRightInd w:val="0"/>
        <w:ind w:left="420" w:hanging="240"/>
        <w:jc w:val="center"/>
        <w:outlineLvl w:val="1"/>
        <w:rPr>
          <w:rFonts w:cs="Times New Roman"/>
          <w:b/>
          <w:bCs/>
          <w:szCs w:val="24"/>
        </w:rPr>
      </w:pPr>
      <w:r w:rsidRPr="002B628A">
        <w:rPr>
          <w:rFonts w:cs="Times New Roman"/>
          <w:b/>
          <w:bCs/>
          <w:szCs w:val="24"/>
        </w:rPr>
        <w:t>(</w:t>
      </w:r>
      <w:bookmarkStart w:id="7" w:name="_Hlk90853143"/>
      <w:r w:rsidRPr="002B628A">
        <w:rPr>
          <w:rFonts w:cs="Times New Roman"/>
          <w:b/>
          <w:bCs/>
          <w:szCs w:val="24"/>
        </w:rPr>
        <w:t>15 U.S.C. § 77e</w:t>
      </w:r>
      <w:bookmarkEnd w:id="7"/>
      <w:r w:rsidRPr="002B628A">
        <w:rPr>
          <w:rFonts w:cs="Times New Roman"/>
          <w:b/>
          <w:bCs/>
          <w:szCs w:val="24"/>
        </w:rPr>
        <w:t>)</w:t>
      </w:r>
      <w:bookmarkEnd w:id="4"/>
      <w:bookmarkEnd w:id="5"/>
      <w:bookmarkEnd w:id="6"/>
    </w:p>
    <w:p w14:paraId="4EAB48E5" w14:textId="77777777" w:rsidR="002B628A" w:rsidRPr="002B628A" w:rsidRDefault="002B628A" w:rsidP="002B628A">
      <w:pPr>
        <w:rPr>
          <w:rFonts w:eastAsia="Times New Roman" w:cs="Times New Roman"/>
          <w:color w:val="000000"/>
          <w:szCs w:val="24"/>
        </w:rPr>
      </w:pPr>
    </w:p>
    <w:p w14:paraId="1C1853DB" w14:textId="77777777" w:rsidR="002B628A" w:rsidRPr="002B628A" w:rsidRDefault="002B628A" w:rsidP="002B628A">
      <w:pPr>
        <w:rPr>
          <w:rFonts w:eastAsia="Times New Roman" w:cs="Times New Roman"/>
          <w:szCs w:val="24"/>
        </w:rPr>
      </w:pPr>
      <w:r w:rsidRPr="002B628A">
        <w:rPr>
          <w:rFonts w:eastAsia="Times New Roman" w:cs="Times New Roman"/>
          <w:color w:val="000000"/>
          <w:szCs w:val="24"/>
        </w:rPr>
        <w:tab/>
      </w:r>
      <w:r w:rsidRPr="002B628A">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6C55CA27" w14:textId="77777777" w:rsidR="002B628A" w:rsidRPr="002B628A" w:rsidRDefault="002B628A" w:rsidP="002B628A">
      <w:pPr>
        <w:rPr>
          <w:rFonts w:eastAsia="Times New Roman" w:cs="Times New Roman"/>
          <w:szCs w:val="24"/>
        </w:rPr>
      </w:pPr>
    </w:p>
    <w:p w14:paraId="323932F4"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First, the defendant sold </w:t>
      </w:r>
      <w:proofErr w:type="gramStart"/>
      <w:r w:rsidRPr="002B628A">
        <w:rPr>
          <w:rFonts w:eastAsia="Times New Roman" w:cs="Times New Roman"/>
          <w:szCs w:val="24"/>
        </w:rPr>
        <w:t>securities;</w:t>
      </w:r>
      <w:proofErr w:type="gramEnd"/>
    </w:p>
    <w:p w14:paraId="57648CFC" w14:textId="77777777" w:rsidR="002B628A" w:rsidRPr="002B628A" w:rsidRDefault="002B628A" w:rsidP="002B628A">
      <w:pPr>
        <w:rPr>
          <w:rFonts w:eastAsia="Times New Roman" w:cs="Times New Roman"/>
          <w:szCs w:val="24"/>
        </w:rPr>
      </w:pPr>
    </w:p>
    <w:p w14:paraId="4781914A" w14:textId="6004BF41" w:rsidR="002B628A" w:rsidRPr="002B628A" w:rsidRDefault="002B628A" w:rsidP="002B628A">
      <w:pPr>
        <w:rPr>
          <w:rFonts w:eastAsia="Times New Roman" w:cs="Times New Roman"/>
          <w:szCs w:val="24"/>
        </w:rPr>
      </w:pPr>
      <w:r w:rsidRPr="002B628A">
        <w:rPr>
          <w:rFonts w:eastAsia="Times New Roman" w:cs="Times New Roman"/>
          <w:szCs w:val="24"/>
        </w:rPr>
        <w:tab/>
        <w:t>Second, the securities that were sold were required to be registered with the Securities and Exchange Commission—that is, the transactions were not exempt from registration;</w:t>
      </w:r>
    </w:p>
    <w:p w14:paraId="50AF9362" w14:textId="77777777" w:rsidR="002B628A" w:rsidRPr="002B628A" w:rsidRDefault="002B628A" w:rsidP="002B628A">
      <w:pPr>
        <w:rPr>
          <w:rFonts w:eastAsia="Times New Roman" w:cs="Times New Roman"/>
          <w:szCs w:val="24"/>
        </w:rPr>
      </w:pPr>
    </w:p>
    <w:p w14:paraId="7AB5E5B9"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Third, the securities that were sold were not registered with the Securities and Exchange </w:t>
      </w:r>
      <w:proofErr w:type="gramStart"/>
      <w:r w:rsidRPr="002B628A">
        <w:rPr>
          <w:rFonts w:eastAsia="Times New Roman" w:cs="Times New Roman"/>
          <w:szCs w:val="24"/>
        </w:rPr>
        <w:t>Commission;</w:t>
      </w:r>
      <w:proofErr w:type="gramEnd"/>
    </w:p>
    <w:p w14:paraId="2F3AE338" w14:textId="77777777" w:rsidR="002B628A" w:rsidRPr="002B628A" w:rsidRDefault="002B628A" w:rsidP="002B628A">
      <w:pPr>
        <w:rPr>
          <w:rFonts w:eastAsia="Times New Roman" w:cs="Times New Roman"/>
          <w:szCs w:val="24"/>
        </w:rPr>
      </w:pPr>
    </w:p>
    <w:p w14:paraId="012B9C50" w14:textId="77777777" w:rsidR="002B628A" w:rsidRPr="002B628A" w:rsidRDefault="002B628A" w:rsidP="002B628A">
      <w:pPr>
        <w:rPr>
          <w:rFonts w:eastAsia="Times New Roman" w:cs="Times New Roman"/>
          <w:szCs w:val="24"/>
        </w:rPr>
      </w:pPr>
      <w:r w:rsidRPr="002B628A">
        <w:rPr>
          <w:rFonts w:eastAsia="Times New Roman" w:cs="Times New Roman"/>
          <w:szCs w:val="24"/>
        </w:rPr>
        <w:tab/>
        <w:t>Fourth, knowing the shares were not registered and not exempt, the defendant willfully sold or caused the shares to be sold to the public; and</w:t>
      </w:r>
    </w:p>
    <w:p w14:paraId="011848B0" w14:textId="77777777" w:rsidR="002B628A" w:rsidRPr="002B628A" w:rsidRDefault="002B628A" w:rsidP="002B628A">
      <w:pPr>
        <w:rPr>
          <w:rFonts w:eastAsia="Times New Roman" w:cs="Times New Roman"/>
          <w:szCs w:val="24"/>
        </w:rPr>
      </w:pPr>
    </w:p>
    <w:p w14:paraId="1BA92E14"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Fifth, the defendant knowingly, </w:t>
      </w:r>
      <w:proofErr w:type="gramStart"/>
      <w:r w:rsidRPr="002B628A">
        <w:rPr>
          <w:rFonts w:eastAsia="Times New Roman" w:cs="Times New Roman"/>
          <w:szCs w:val="24"/>
        </w:rPr>
        <w:t>directly</w:t>
      </w:r>
      <w:proofErr w:type="gramEnd"/>
      <w:r w:rsidRPr="002B628A">
        <w:rPr>
          <w:rFonts w:eastAsia="Times New Roman" w:cs="Times New Roman"/>
          <w:szCs w:val="24"/>
        </w:rPr>
        <w:t xml:space="preserve"> or indirectly, used or caused to be used the mails or the means and instrumentalities of interstate commerce for the purpose of selling the securities.</w:t>
      </w:r>
    </w:p>
    <w:p w14:paraId="445985B3" w14:textId="77777777" w:rsidR="002B628A" w:rsidRPr="002B628A" w:rsidRDefault="002B628A" w:rsidP="002B628A">
      <w:pPr>
        <w:rPr>
          <w:rFonts w:eastAsia="Times New Roman" w:cs="Times New Roman"/>
          <w:szCs w:val="24"/>
        </w:rPr>
      </w:pPr>
    </w:p>
    <w:p w14:paraId="396AF9B5" w14:textId="77777777" w:rsidR="002B628A" w:rsidRPr="002B628A" w:rsidRDefault="002B628A" w:rsidP="002B628A">
      <w:pPr>
        <w:ind w:right="-180"/>
        <w:jc w:val="center"/>
        <w:rPr>
          <w:rFonts w:eastAsia="Times New Roman" w:cs="Times New Roman"/>
          <w:szCs w:val="24"/>
        </w:rPr>
      </w:pPr>
      <w:r w:rsidRPr="002B628A">
        <w:rPr>
          <w:rFonts w:eastAsia="Times New Roman" w:cs="Times New Roman"/>
          <w:b/>
          <w:szCs w:val="24"/>
        </w:rPr>
        <w:t>Comment</w:t>
      </w:r>
    </w:p>
    <w:p w14:paraId="57FA7676" w14:textId="77777777" w:rsidR="002B628A" w:rsidRPr="002B628A" w:rsidRDefault="002B628A" w:rsidP="002B628A">
      <w:pPr>
        <w:rPr>
          <w:rFonts w:eastAsia="Times New Roman" w:cs="Times New Roman"/>
          <w:szCs w:val="24"/>
        </w:rPr>
      </w:pPr>
    </w:p>
    <w:p w14:paraId="3E9F6150"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This instruction is for use in any case involving a violation of 15 U.S.C. § 77e, involving the offer or sale of an unregistered security in interstate commerce.  </w:t>
      </w:r>
    </w:p>
    <w:p w14:paraId="036508BE" w14:textId="77777777" w:rsidR="002B628A" w:rsidRPr="002B628A" w:rsidRDefault="002B628A" w:rsidP="002B628A">
      <w:pPr>
        <w:rPr>
          <w:rFonts w:eastAsia="Times New Roman" w:cs="Times New Roman"/>
          <w:szCs w:val="24"/>
        </w:rPr>
      </w:pPr>
    </w:p>
    <w:p w14:paraId="560D09DC"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“Security” is defined at 15 U.S.C. § 77b(a)(1). </w:t>
      </w:r>
    </w:p>
    <w:p w14:paraId="4D401689" w14:textId="77777777" w:rsidR="002B628A" w:rsidRPr="002B628A" w:rsidRDefault="002B628A" w:rsidP="002B628A">
      <w:pPr>
        <w:rPr>
          <w:rFonts w:eastAsia="Times New Roman" w:cs="Times New Roman"/>
          <w:szCs w:val="24"/>
        </w:rPr>
      </w:pPr>
    </w:p>
    <w:p w14:paraId="2EAD68E7"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2B628A">
        <w:rPr>
          <w:rFonts w:eastAsia="Times New Roman" w:cs="Times New Roman"/>
          <w:i/>
          <w:iCs/>
          <w:szCs w:val="24"/>
        </w:rPr>
        <w:t xml:space="preserve">See </w:t>
      </w:r>
      <w:r w:rsidRPr="002B628A">
        <w:rPr>
          <w:rFonts w:eastAsia="Times New Roman" w:cs="Times New Roman"/>
          <w:szCs w:val="24"/>
        </w:rPr>
        <w:t>15 U.S.C. § 77e(a)(2).</w:t>
      </w:r>
    </w:p>
    <w:p w14:paraId="4D9E254F" w14:textId="77777777" w:rsidR="002B628A" w:rsidRPr="002B628A" w:rsidRDefault="002B628A" w:rsidP="002B628A">
      <w:pPr>
        <w:rPr>
          <w:rFonts w:eastAsia="Times New Roman" w:cs="Times New Roman"/>
          <w:szCs w:val="24"/>
        </w:rPr>
      </w:pPr>
    </w:p>
    <w:p w14:paraId="470A14CD"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2B628A">
        <w:rPr>
          <w:rFonts w:eastAsia="Times New Roman" w:cs="Times New Roman"/>
          <w:i/>
          <w:szCs w:val="24"/>
        </w:rPr>
        <w:t>SEC v. CMKM Diamonds, Inc.</w:t>
      </w:r>
      <w:r w:rsidRPr="002B628A">
        <w:rPr>
          <w:rFonts w:eastAsia="Times New Roman" w:cs="Times New Roman"/>
          <w:szCs w:val="24"/>
        </w:rPr>
        <w:t xml:space="preserve">, 729 F.3d 1248, 1255 (9th Cir. 2013) (citing </w:t>
      </w:r>
      <w:r w:rsidRPr="002B628A">
        <w:rPr>
          <w:rFonts w:eastAsia="Times New Roman" w:cs="Times New Roman"/>
          <w:i/>
          <w:szCs w:val="24"/>
        </w:rPr>
        <w:t>SEC v. Phan</w:t>
      </w:r>
      <w:r w:rsidRPr="002B628A">
        <w:rPr>
          <w:rFonts w:eastAsia="Times New Roman" w:cs="Times New Roman"/>
          <w:szCs w:val="24"/>
        </w:rPr>
        <w:t xml:space="preserve">, 500 F.3d 895, 902 (9th Cir. 2007)).  </w:t>
      </w:r>
    </w:p>
    <w:p w14:paraId="68CCD2CA" w14:textId="77777777" w:rsidR="002B628A" w:rsidRPr="002B628A" w:rsidRDefault="002B628A" w:rsidP="002B628A">
      <w:pPr>
        <w:rPr>
          <w:rFonts w:eastAsia="Times New Roman" w:cs="Times New Roman"/>
          <w:szCs w:val="24"/>
        </w:rPr>
      </w:pPr>
    </w:p>
    <w:p w14:paraId="14BF72D1"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“‘Once the [government] introduces evidence that a defendant has violated the registration provisions, the defendant then has the burden of proof in showing entitlement to an exemption.’”  </w:t>
      </w:r>
      <w:r w:rsidRPr="002B628A">
        <w:rPr>
          <w:rFonts w:eastAsia="Times New Roman" w:cs="Times New Roman"/>
          <w:i/>
          <w:szCs w:val="24"/>
        </w:rPr>
        <w:t>CMKM Diamonds, Inc.</w:t>
      </w:r>
      <w:r w:rsidRPr="002B628A">
        <w:rPr>
          <w:rFonts w:eastAsia="Times New Roman" w:cs="Times New Roman"/>
          <w:szCs w:val="24"/>
        </w:rPr>
        <w:t xml:space="preserve">, 729 F.3d at 1255 (quoting </w:t>
      </w:r>
      <w:r w:rsidRPr="002B628A">
        <w:rPr>
          <w:rFonts w:eastAsia="Times New Roman" w:cs="Times New Roman"/>
          <w:i/>
          <w:szCs w:val="24"/>
        </w:rPr>
        <w:t>SEC v. Murphy</w:t>
      </w:r>
      <w:r w:rsidRPr="002B628A">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w:t>
      </w:r>
      <w:r w:rsidRPr="002B628A">
        <w:rPr>
          <w:rFonts w:eastAsia="Times New Roman" w:cs="Times New Roman"/>
          <w:szCs w:val="24"/>
        </w:rPr>
        <w:lastRenderedPageBreak/>
        <w:t xml:space="preserve">frauds in the sale thereof.’”  </w:t>
      </w:r>
      <w:r w:rsidRPr="002B628A">
        <w:rPr>
          <w:rFonts w:eastAsia="Times New Roman" w:cs="Times New Roman"/>
          <w:i/>
          <w:szCs w:val="24"/>
        </w:rPr>
        <w:t>SEC v. Platforms Wireless Int’l Corp.</w:t>
      </w:r>
      <w:r w:rsidRPr="002B628A">
        <w:rPr>
          <w:rFonts w:eastAsia="Times New Roman" w:cs="Times New Roman"/>
          <w:szCs w:val="24"/>
        </w:rPr>
        <w:t xml:space="preserve">, 617 F.3d 1072, 1086 (9th Cir. 2010) (quoting </w:t>
      </w:r>
      <w:r w:rsidRPr="002B628A">
        <w:rPr>
          <w:rFonts w:eastAsia="Times New Roman" w:cs="Times New Roman"/>
          <w:i/>
          <w:szCs w:val="24"/>
        </w:rPr>
        <w:t>Murphy</w:t>
      </w:r>
      <w:r w:rsidRPr="002B628A">
        <w:rPr>
          <w:rFonts w:eastAsia="Times New Roman" w:cs="Times New Roman"/>
          <w:szCs w:val="24"/>
        </w:rPr>
        <w:t xml:space="preserve">, 626 F.2d at 641). </w:t>
      </w:r>
    </w:p>
    <w:p w14:paraId="0FA470D4" w14:textId="77777777" w:rsidR="002B628A" w:rsidRPr="002B628A" w:rsidRDefault="002B628A" w:rsidP="002B628A">
      <w:pPr>
        <w:rPr>
          <w:rFonts w:eastAsia="Times New Roman" w:cs="Times New Roman"/>
          <w:szCs w:val="24"/>
        </w:rPr>
      </w:pPr>
    </w:p>
    <w:p w14:paraId="328931A2" w14:textId="77777777" w:rsidR="002B628A" w:rsidRPr="002B628A" w:rsidRDefault="002B628A" w:rsidP="002B628A">
      <w:pPr>
        <w:rPr>
          <w:rFonts w:eastAsia="Times New Roman" w:cs="Times New Roman"/>
          <w:szCs w:val="24"/>
        </w:rPr>
      </w:pPr>
      <w:r w:rsidRPr="002B628A">
        <w:rPr>
          <w:rFonts w:eastAsia="Times New Roman" w:cs="Times New Roman"/>
          <w:szCs w:val="24"/>
        </w:rPr>
        <w:tab/>
        <w:t xml:space="preserve">Scienter is not an element of liability for civil enforcement of 15 U.S.C. § 77e.  </w:t>
      </w:r>
      <w:r w:rsidRPr="002B628A">
        <w:rPr>
          <w:rFonts w:eastAsia="Times New Roman" w:cs="Times New Roman"/>
          <w:i/>
          <w:szCs w:val="24"/>
        </w:rPr>
        <w:t>See Aaron v. Sec. &amp; Exch. Comm'n</w:t>
      </w:r>
      <w:r w:rsidRPr="002B628A">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2B628A">
        <w:rPr>
          <w:rFonts w:eastAsia="Times New Roman" w:cs="Times New Roman"/>
          <w:i/>
          <w:szCs w:val="24"/>
        </w:rPr>
        <w:t>See United States v. Lloyd</w:t>
      </w:r>
      <w:r w:rsidRPr="002B628A">
        <w:rPr>
          <w:rFonts w:eastAsia="Times New Roman" w:cs="Times New Roman"/>
          <w:szCs w:val="24"/>
        </w:rPr>
        <w:t>, 807 F.3d 1128, 1166 (9th Cir. 2015).</w:t>
      </w:r>
    </w:p>
    <w:p w14:paraId="5441EBAB" w14:textId="77777777" w:rsidR="002B628A" w:rsidRPr="002B628A" w:rsidRDefault="002B628A" w:rsidP="002B628A">
      <w:pPr>
        <w:rPr>
          <w:rFonts w:eastAsia="Times New Roman" w:cs="Times New Roman"/>
          <w:color w:val="000000"/>
          <w:szCs w:val="24"/>
        </w:rPr>
      </w:pPr>
    </w:p>
    <w:p w14:paraId="7FFAD476" w14:textId="77777777" w:rsidR="002B628A" w:rsidRPr="002B628A" w:rsidRDefault="002B628A" w:rsidP="002B628A">
      <w:pPr>
        <w:rPr>
          <w:rFonts w:eastAsia="Times New Roman" w:cs="Times New Roman"/>
          <w:color w:val="000000"/>
          <w:szCs w:val="24"/>
        </w:rPr>
      </w:pPr>
    </w:p>
    <w:p w14:paraId="54B5AECC" w14:textId="77777777" w:rsidR="002B628A" w:rsidRPr="002B628A" w:rsidRDefault="002B628A" w:rsidP="002B628A">
      <w:pPr>
        <w:jc w:val="right"/>
        <w:rPr>
          <w:rFonts w:eastAsia="Times New Roman" w:cs="Times New Roman"/>
          <w:i/>
          <w:color w:val="000000"/>
          <w:szCs w:val="24"/>
        </w:rPr>
      </w:pPr>
      <w:r w:rsidRPr="002B628A">
        <w:rPr>
          <w:rFonts w:eastAsia="Times New Roman" w:cs="Times New Roman"/>
          <w:i/>
          <w:color w:val="000000"/>
          <w:szCs w:val="24"/>
        </w:rPr>
        <w:t>Revised Dec. 2021</w:t>
      </w:r>
    </w:p>
    <w:p w14:paraId="0ACE18C0" w14:textId="20993E1B" w:rsidR="00C97E04" w:rsidRPr="002B628A" w:rsidRDefault="00C97E04" w:rsidP="002B628A"/>
    <w:sectPr w:rsidR="00C97E04" w:rsidRPr="002B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552"/>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2022-08-23T01:42:00Z</dcterms:created>
  <dcterms:modified xsi:type="dcterms:W3CDTF">2022-08-23T01:42:00Z</dcterms:modified>
</cp:coreProperties>
</file>