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3B09" w14:textId="77777777" w:rsidR="0064376E" w:rsidRPr="00195660" w:rsidRDefault="0064376E" w:rsidP="0064376E">
      <w:pPr>
        <w:autoSpaceDE w:val="0"/>
        <w:autoSpaceDN w:val="0"/>
        <w:adjustRightInd w:val="0"/>
        <w:ind w:left="420" w:hanging="240"/>
        <w:jc w:val="center"/>
        <w:outlineLvl w:val="1"/>
        <w:rPr>
          <w:rFonts w:cs="Times New Roman"/>
          <w:b/>
          <w:bCs/>
          <w:szCs w:val="24"/>
        </w:rPr>
      </w:pPr>
      <w:bookmarkStart w:id="0" w:name="_Toc73698739"/>
      <w:bookmarkStart w:id="1" w:name="_Toc83310800"/>
      <w:bookmarkStart w:id="2" w:name="_Toc83362595"/>
      <w:bookmarkStart w:id="3" w:name="_Toc83363004"/>
      <w:bookmarkStart w:id="4" w:name="_Toc90310062"/>
      <w:bookmarkStart w:id="5" w:name="_Toc90389920"/>
      <w:bookmarkStart w:id="6" w:name="_Toc90860500"/>
      <w:r w:rsidRPr="00195660">
        <w:rPr>
          <w:rFonts w:cs="Times New Roman"/>
          <w:b/>
          <w:bCs/>
          <w:szCs w:val="24"/>
        </w:rPr>
        <w:t>16.2 Murder—Second Degree (18 U.S.C. § 1111)</w:t>
      </w:r>
      <w:bookmarkEnd w:id="0"/>
      <w:bookmarkEnd w:id="1"/>
      <w:bookmarkEnd w:id="2"/>
      <w:bookmarkEnd w:id="3"/>
      <w:bookmarkEnd w:id="4"/>
      <w:bookmarkEnd w:id="5"/>
      <w:bookmarkEnd w:id="6"/>
      <w:r w:rsidRPr="00195660">
        <w:rPr>
          <w:rFonts w:cs="Times New Roman"/>
          <w:b/>
          <w:bCs/>
          <w:szCs w:val="24"/>
        </w:rPr>
        <w:t xml:space="preserve"> </w:t>
      </w:r>
    </w:p>
    <w:p w14:paraId="4ECCD19D" w14:textId="77777777" w:rsidR="0064376E" w:rsidRPr="00195660" w:rsidRDefault="0064376E" w:rsidP="0064376E">
      <w:pPr>
        <w:rPr>
          <w:rFonts w:eastAsia="Times New Roman" w:cs="Times New Roman"/>
          <w:szCs w:val="24"/>
        </w:rPr>
      </w:pPr>
    </w:p>
    <w:p w14:paraId="22924BEE" w14:textId="77777777" w:rsidR="0064376E" w:rsidRPr="00195660" w:rsidRDefault="0064376E" w:rsidP="0064376E">
      <w:pPr>
        <w:rPr>
          <w:rFonts w:eastAsia="Times New Roman" w:cs="Times New Roman"/>
          <w:szCs w:val="24"/>
        </w:rPr>
      </w:pPr>
      <w:r w:rsidRPr="00195660">
        <w:rPr>
          <w:rFonts w:eastAsia="Times New Roman" w:cs="Times New Roman"/>
          <w:szCs w:val="24"/>
        </w:rPr>
        <w:tab/>
        <w:t>The defendant is charged in [Count _______ of] the indictment with murder in the second degree in violation of Section 1111 of Title 18 of the United States Code.  For the defendant to be found guilty of that charge, the government must prove each of the following elements beyond a reasonable doubt:</w:t>
      </w:r>
    </w:p>
    <w:p w14:paraId="61779F68" w14:textId="77777777" w:rsidR="0064376E" w:rsidRPr="00195660" w:rsidRDefault="0064376E" w:rsidP="0064376E">
      <w:pPr>
        <w:rPr>
          <w:rFonts w:eastAsia="Times New Roman" w:cs="Times New Roman"/>
          <w:szCs w:val="24"/>
        </w:rPr>
      </w:pPr>
    </w:p>
    <w:p w14:paraId="452B5097" w14:textId="77777777" w:rsidR="0064376E" w:rsidRPr="00195660" w:rsidRDefault="0064376E" w:rsidP="0064376E">
      <w:pPr>
        <w:rPr>
          <w:rFonts w:eastAsia="Times New Roman" w:cs="Times New Roman"/>
          <w:szCs w:val="24"/>
        </w:rPr>
      </w:pPr>
      <w:r w:rsidRPr="00195660">
        <w:rPr>
          <w:rFonts w:eastAsia="Times New Roman" w:cs="Times New Roman"/>
          <w:szCs w:val="24"/>
        </w:rPr>
        <w:tab/>
        <w:t>First, the defendant unlawfully killed [</w:t>
      </w:r>
      <w:r w:rsidRPr="00195660">
        <w:rPr>
          <w:rFonts w:eastAsia="Times New Roman" w:cs="Times New Roman"/>
          <w:i/>
          <w:szCs w:val="24"/>
          <w:u w:val="single"/>
        </w:rPr>
        <w:t>name of victim</w:t>
      </w:r>
      <w:proofErr w:type="gramStart"/>
      <w:r w:rsidRPr="00195660">
        <w:rPr>
          <w:rFonts w:eastAsia="Times New Roman" w:cs="Times New Roman"/>
          <w:szCs w:val="24"/>
        </w:rPr>
        <w:t>];</w:t>
      </w:r>
      <w:proofErr w:type="gramEnd"/>
    </w:p>
    <w:p w14:paraId="29BF9BB4" w14:textId="77777777" w:rsidR="0064376E" w:rsidRPr="00195660" w:rsidRDefault="0064376E" w:rsidP="0064376E">
      <w:pPr>
        <w:rPr>
          <w:rFonts w:eastAsia="Times New Roman" w:cs="Times New Roman"/>
          <w:szCs w:val="24"/>
        </w:rPr>
      </w:pPr>
    </w:p>
    <w:p w14:paraId="36C522FB" w14:textId="77777777" w:rsidR="0064376E" w:rsidRPr="00195660" w:rsidRDefault="0064376E" w:rsidP="0064376E">
      <w:pPr>
        <w:rPr>
          <w:rFonts w:eastAsia="Times New Roman" w:cs="Times New Roman"/>
          <w:szCs w:val="24"/>
        </w:rPr>
      </w:pPr>
      <w:r w:rsidRPr="00195660">
        <w:rPr>
          <w:rFonts w:eastAsia="Times New Roman" w:cs="Times New Roman"/>
          <w:szCs w:val="24"/>
        </w:rPr>
        <w:tab/>
        <w:t>Second, the defendant killed [</w:t>
      </w:r>
      <w:r w:rsidRPr="00195660">
        <w:rPr>
          <w:rFonts w:eastAsia="Times New Roman" w:cs="Times New Roman"/>
          <w:i/>
          <w:szCs w:val="24"/>
          <w:u w:val="single"/>
        </w:rPr>
        <w:t>name of victim</w:t>
      </w:r>
      <w:r w:rsidRPr="00195660">
        <w:rPr>
          <w:rFonts w:eastAsia="Times New Roman" w:cs="Times New Roman"/>
          <w:szCs w:val="24"/>
        </w:rPr>
        <w:t>] with malice aforethought; and</w:t>
      </w:r>
    </w:p>
    <w:p w14:paraId="43DBC1D0" w14:textId="77777777" w:rsidR="0064376E" w:rsidRPr="00195660" w:rsidRDefault="0064376E" w:rsidP="0064376E">
      <w:pPr>
        <w:rPr>
          <w:rFonts w:eastAsia="Times New Roman" w:cs="Times New Roman"/>
          <w:szCs w:val="24"/>
        </w:rPr>
      </w:pPr>
    </w:p>
    <w:p w14:paraId="60A71F1A" w14:textId="77777777" w:rsidR="0064376E" w:rsidRPr="00195660" w:rsidRDefault="0064376E" w:rsidP="0064376E">
      <w:pPr>
        <w:rPr>
          <w:rFonts w:eastAsia="Times New Roman" w:cs="Times New Roman"/>
          <w:szCs w:val="24"/>
        </w:rPr>
      </w:pPr>
      <w:r w:rsidRPr="00195660">
        <w:rPr>
          <w:rFonts w:eastAsia="Times New Roman" w:cs="Times New Roman"/>
          <w:szCs w:val="24"/>
        </w:rPr>
        <w:tab/>
        <w:t>Third, the killing occurred at [</w:t>
      </w:r>
      <w:r w:rsidRPr="00195660">
        <w:rPr>
          <w:rFonts w:eastAsia="Times New Roman" w:cs="Times New Roman"/>
          <w:i/>
          <w:szCs w:val="24"/>
          <w:u w:val="single"/>
        </w:rPr>
        <w:t>specify place of federal jurisdiction</w:t>
      </w:r>
      <w:r w:rsidRPr="00195660">
        <w:rPr>
          <w:rFonts w:eastAsia="Times New Roman" w:cs="Times New Roman"/>
          <w:szCs w:val="24"/>
        </w:rPr>
        <w:t>].</w:t>
      </w:r>
    </w:p>
    <w:p w14:paraId="066120C9" w14:textId="77777777" w:rsidR="0064376E" w:rsidRPr="00195660" w:rsidRDefault="0064376E" w:rsidP="0064376E">
      <w:pPr>
        <w:rPr>
          <w:rFonts w:eastAsia="Times New Roman" w:cs="Times New Roman"/>
          <w:szCs w:val="24"/>
        </w:rPr>
      </w:pPr>
    </w:p>
    <w:p w14:paraId="5733678E" w14:textId="77777777" w:rsidR="0064376E" w:rsidRPr="00195660" w:rsidRDefault="0064376E" w:rsidP="0064376E">
      <w:pPr>
        <w:rPr>
          <w:rFonts w:eastAsia="Times New Roman" w:cs="Times New Roman"/>
          <w:szCs w:val="24"/>
        </w:rPr>
      </w:pPr>
      <w:r w:rsidRPr="00195660">
        <w:rPr>
          <w:rFonts w:eastAsia="Times New Roman" w:cs="Times New Roman"/>
          <w:szCs w:val="24"/>
        </w:rPr>
        <w:tab/>
        <w:t>To kill with malice aforethought means to kill either deliberately and intentionally or recklessly with extreme disregard for human life.</w:t>
      </w:r>
    </w:p>
    <w:p w14:paraId="6A1896B0" w14:textId="77777777" w:rsidR="0064376E" w:rsidRPr="00195660" w:rsidRDefault="0064376E" w:rsidP="0064376E">
      <w:pPr>
        <w:rPr>
          <w:rFonts w:eastAsia="Times New Roman" w:cs="Times New Roman"/>
          <w:szCs w:val="24"/>
        </w:rPr>
      </w:pPr>
    </w:p>
    <w:p w14:paraId="4C59D18D" w14:textId="77777777" w:rsidR="0064376E" w:rsidRPr="00195660" w:rsidRDefault="0064376E" w:rsidP="0064376E">
      <w:pPr>
        <w:spacing w:line="275" w:lineRule="auto"/>
        <w:ind w:right="-180"/>
        <w:jc w:val="center"/>
        <w:rPr>
          <w:rFonts w:eastAsia="Times New Roman" w:cs="Times New Roman"/>
          <w:szCs w:val="24"/>
        </w:rPr>
      </w:pPr>
      <w:r w:rsidRPr="00195660">
        <w:rPr>
          <w:rFonts w:eastAsia="Times New Roman" w:cs="Times New Roman"/>
          <w:b/>
          <w:szCs w:val="24"/>
        </w:rPr>
        <w:t>Comment</w:t>
      </w:r>
    </w:p>
    <w:p w14:paraId="2CC8F27A" w14:textId="77777777" w:rsidR="0064376E" w:rsidRPr="00195660" w:rsidRDefault="0064376E" w:rsidP="0064376E">
      <w:pPr>
        <w:rPr>
          <w:rFonts w:eastAsia="Times New Roman" w:cs="Times New Roman"/>
          <w:szCs w:val="24"/>
        </w:rPr>
      </w:pPr>
    </w:p>
    <w:p w14:paraId="340B0D82" w14:textId="77777777" w:rsidR="0064376E" w:rsidRPr="00195660" w:rsidRDefault="0064376E" w:rsidP="0064376E">
      <w:pPr>
        <w:rPr>
          <w:rFonts w:eastAsia="Times New Roman" w:cs="Times New Roman"/>
          <w:szCs w:val="24"/>
        </w:rPr>
      </w:pPr>
      <w:r w:rsidRPr="00195660">
        <w:rPr>
          <w:rFonts w:eastAsia="Times New Roman" w:cs="Times New Roman"/>
          <w:szCs w:val="24"/>
        </w:rPr>
        <w:tab/>
      </w:r>
      <w:r w:rsidRPr="00195660">
        <w:rPr>
          <w:rFonts w:eastAsia="Times New Roman" w:cs="Times New Roman"/>
          <w:i/>
          <w:szCs w:val="24"/>
        </w:rPr>
        <w:t>See</w:t>
      </w:r>
      <w:r w:rsidRPr="00195660">
        <w:rPr>
          <w:rFonts w:eastAsia="Times New Roman" w:cs="Times New Roman"/>
          <w:szCs w:val="24"/>
        </w:rPr>
        <w:t xml:space="preserve"> Comment to Instruction 16.1 (Murder—First Degree).  Because the difference between first- and second-degree murder is the element of premeditation, </w:t>
      </w:r>
      <w:r w:rsidRPr="00195660">
        <w:rPr>
          <w:rFonts w:eastAsia="Times New Roman" w:cs="Times New Roman"/>
          <w:i/>
          <w:szCs w:val="24"/>
        </w:rPr>
        <w:t xml:space="preserve">United States v. Quintero, </w:t>
      </w:r>
      <w:r w:rsidRPr="00195660">
        <w:rPr>
          <w:rFonts w:eastAsia="Times New Roman" w:cs="Times New Roman"/>
          <w:szCs w:val="24"/>
        </w:rPr>
        <w:t>21 F.3d 885, 890 (9th Cir. 1994), most of that Comment is applicable to second degree murder.</w:t>
      </w:r>
    </w:p>
    <w:p w14:paraId="2712103E" w14:textId="77777777" w:rsidR="0064376E" w:rsidRPr="00195660" w:rsidRDefault="0064376E" w:rsidP="0064376E">
      <w:pPr>
        <w:rPr>
          <w:rFonts w:eastAsia="Times New Roman" w:cs="Times New Roman"/>
          <w:szCs w:val="24"/>
        </w:rPr>
      </w:pPr>
    </w:p>
    <w:p w14:paraId="7B05D018" w14:textId="77777777" w:rsidR="0064376E" w:rsidRPr="00195660" w:rsidRDefault="0064376E" w:rsidP="0064376E">
      <w:pPr>
        <w:rPr>
          <w:rFonts w:eastAsia="Times New Roman" w:cs="Times New Roman"/>
          <w:szCs w:val="24"/>
        </w:rPr>
      </w:pPr>
      <w:r w:rsidRPr="00195660">
        <w:rPr>
          <w:rFonts w:eastAsia="Times New Roman" w:cs="Times New Roman"/>
          <w:szCs w:val="24"/>
        </w:rPr>
        <w:tab/>
        <w:t xml:space="preserve">This instruction is derived from several sources.  It is primarily based upon </w:t>
      </w:r>
      <w:r w:rsidRPr="00195660">
        <w:rPr>
          <w:rFonts w:eastAsia="Times New Roman" w:cs="Times New Roman"/>
          <w:i/>
          <w:szCs w:val="24"/>
        </w:rPr>
        <w:t>Ornelas v. United States</w:t>
      </w:r>
      <w:r w:rsidRPr="00195660">
        <w:rPr>
          <w:rFonts w:eastAsia="Times New Roman" w:cs="Times New Roman"/>
          <w:szCs w:val="24"/>
        </w:rPr>
        <w:t xml:space="preserve">, 236 F.2d 392, 394 (9th Cir. 1956) (defendant could be convicted of second-degree murder at most when premeditation not part of murder charge).  </w:t>
      </w:r>
      <w:r w:rsidRPr="00195660">
        <w:rPr>
          <w:rFonts w:eastAsia="Times New Roman" w:cs="Times New Roman"/>
          <w:i/>
          <w:szCs w:val="24"/>
        </w:rPr>
        <w:t>See also Quintero,</w:t>
      </w:r>
      <w:r w:rsidRPr="00195660">
        <w:rPr>
          <w:rFonts w:eastAsia="Times New Roman" w:cs="Times New Roman"/>
          <w:szCs w:val="24"/>
        </w:rPr>
        <w:t xml:space="preserve"> 21 F.3d at</w:t>
      </w:r>
      <w:r w:rsidRPr="00195660">
        <w:rPr>
          <w:rFonts w:eastAsia="Times New Roman" w:cs="Times New Roman"/>
          <w:i/>
          <w:szCs w:val="24"/>
        </w:rPr>
        <w:t xml:space="preserve"> </w:t>
      </w:r>
      <w:r w:rsidRPr="00195660">
        <w:rPr>
          <w:rFonts w:eastAsia="Times New Roman" w:cs="Times New Roman"/>
          <w:szCs w:val="24"/>
        </w:rPr>
        <w:t xml:space="preserve">890.  </w:t>
      </w:r>
    </w:p>
    <w:p w14:paraId="290D240D" w14:textId="77777777" w:rsidR="0064376E" w:rsidRPr="00195660" w:rsidRDefault="0064376E" w:rsidP="0064376E">
      <w:pPr>
        <w:rPr>
          <w:rFonts w:eastAsia="Times New Roman" w:cs="Times New Roman"/>
          <w:szCs w:val="24"/>
        </w:rPr>
      </w:pPr>
    </w:p>
    <w:p w14:paraId="782CDFF6" w14:textId="44C35891" w:rsidR="0064376E" w:rsidRPr="00195660" w:rsidRDefault="0064376E" w:rsidP="0064376E">
      <w:pPr>
        <w:rPr>
          <w:rFonts w:eastAsia="Times New Roman" w:cs="Times New Roman"/>
          <w:szCs w:val="24"/>
        </w:rPr>
      </w:pPr>
      <w:r w:rsidRPr="00195660">
        <w:rPr>
          <w:rFonts w:eastAsia="Times New Roman" w:cs="Times New Roman"/>
          <w:szCs w:val="24"/>
        </w:rPr>
        <w:tab/>
        <w:t>As to the second element, the standard of malice was approved in</w:t>
      </w:r>
      <w:r w:rsidRPr="00195660">
        <w:rPr>
          <w:rFonts w:eastAsia="Times New Roman" w:cs="Times New Roman"/>
          <w:i/>
          <w:szCs w:val="24"/>
        </w:rPr>
        <w:t xml:space="preserve"> United States v. Houser</w:t>
      </w:r>
      <w:r w:rsidRPr="00195660">
        <w:rPr>
          <w:rFonts w:eastAsia="Times New Roman" w:cs="Times New Roman"/>
          <w:szCs w:val="24"/>
        </w:rPr>
        <w:t>, 130 F.3d 867, 871 (9th Cir. 1997) (in second degree murder prosecution, malice aforethought means “to kill either deliberately and intentionally or recklessly with extreme disregard for human life”)</w:t>
      </w:r>
      <w:r w:rsidR="00351E92" w:rsidRPr="00195660">
        <w:rPr>
          <w:rFonts w:eastAsia="Times New Roman" w:cs="Times New Roman"/>
          <w:szCs w:val="24"/>
        </w:rPr>
        <w:t xml:space="preserve">, and </w:t>
      </w:r>
      <w:r w:rsidR="00351E92" w:rsidRPr="00195660">
        <w:rPr>
          <w:rFonts w:eastAsia="Times New Roman" w:cs="Times New Roman"/>
          <w:i/>
          <w:iCs/>
          <w:szCs w:val="24"/>
        </w:rPr>
        <w:t>United States v. Begay</w:t>
      </w:r>
      <w:r w:rsidR="00351E92" w:rsidRPr="00195660">
        <w:rPr>
          <w:rFonts w:eastAsia="Times New Roman" w:cs="Times New Roman"/>
          <w:szCs w:val="24"/>
        </w:rPr>
        <w:t xml:space="preserve">, </w:t>
      </w:r>
      <w:r w:rsidR="00351E92" w:rsidRPr="00195660">
        <w:rPr>
          <w:rFonts w:cs="Times New Roman"/>
          <w:bCs/>
          <w:iCs/>
          <w:szCs w:val="24"/>
        </w:rPr>
        <w:t xml:space="preserve">33 F.4th 1081, 1091 </w:t>
      </w:r>
      <w:bookmarkStart w:id="7" w:name="_Hlk93405890"/>
      <w:r w:rsidR="00351E92" w:rsidRPr="00195660">
        <w:rPr>
          <w:rFonts w:cs="Times New Roman"/>
          <w:bCs/>
          <w:iCs/>
          <w:szCs w:val="24"/>
        </w:rPr>
        <w:t>(9th Cir. 2022)</w:t>
      </w:r>
      <w:bookmarkEnd w:id="7"/>
      <w:r w:rsidR="00351E92" w:rsidRPr="00195660">
        <w:rPr>
          <w:rFonts w:cs="Times New Roman"/>
          <w:bCs/>
          <w:iCs/>
          <w:szCs w:val="24"/>
        </w:rPr>
        <w:t xml:space="preserve"> </w:t>
      </w:r>
      <w:r w:rsidR="00351E92" w:rsidRPr="00195660">
        <w:rPr>
          <w:rFonts w:cs="Times New Roman"/>
          <w:szCs w:val="24"/>
        </w:rPr>
        <w:t>(</w:t>
      </w:r>
      <w:proofErr w:type="spellStart"/>
      <w:r w:rsidR="00351E92" w:rsidRPr="00195660">
        <w:rPr>
          <w:rFonts w:cs="Times New Roman"/>
          <w:szCs w:val="24"/>
        </w:rPr>
        <w:t>en</w:t>
      </w:r>
      <w:proofErr w:type="spellEnd"/>
      <w:r w:rsidR="00351E92" w:rsidRPr="00195660">
        <w:rPr>
          <w:rFonts w:cs="Times New Roman"/>
          <w:szCs w:val="24"/>
        </w:rPr>
        <w:t xml:space="preserve"> banc) (quoting standard of malice aforethought in Ninth Cir. Model Crim. Jury Instruction</w:t>
      </w:r>
      <w:r w:rsidR="00CB5032" w:rsidRPr="00195660">
        <w:rPr>
          <w:rFonts w:cs="Times New Roman"/>
          <w:szCs w:val="24"/>
        </w:rPr>
        <w:t xml:space="preserve"> </w:t>
      </w:r>
      <w:r w:rsidR="00351E92" w:rsidRPr="00195660">
        <w:rPr>
          <w:rFonts w:cs="Times New Roman"/>
          <w:szCs w:val="24"/>
        </w:rPr>
        <w:t>16.2)</w:t>
      </w:r>
      <w:r w:rsidRPr="00195660">
        <w:rPr>
          <w:rFonts w:eastAsia="Times New Roman" w:cs="Times New Roman"/>
          <w:szCs w:val="24"/>
        </w:rPr>
        <w:t xml:space="preserve">.  </w:t>
      </w:r>
    </w:p>
    <w:p w14:paraId="6C98C704" w14:textId="77777777" w:rsidR="0064376E" w:rsidRPr="00195660" w:rsidRDefault="0064376E" w:rsidP="0064376E">
      <w:pPr>
        <w:rPr>
          <w:rFonts w:eastAsia="Times New Roman" w:cs="Times New Roman"/>
          <w:szCs w:val="24"/>
        </w:rPr>
      </w:pPr>
    </w:p>
    <w:p w14:paraId="3C17DEF6" w14:textId="77777777" w:rsidR="0064376E" w:rsidRPr="00195660" w:rsidRDefault="0064376E" w:rsidP="0064376E">
      <w:pPr>
        <w:rPr>
          <w:rFonts w:eastAsia="Times New Roman" w:cs="Times New Roman"/>
          <w:szCs w:val="24"/>
        </w:rPr>
      </w:pPr>
      <w:r w:rsidRPr="00195660">
        <w:rPr>
          <w:rFonts w:eastAsia="Times New Roman" w:cs="Times New Roman"/>
          <w:szCs w:val="24"/>
        </w:rPr>
        <w:tab/>
        <w:t xml:space="preserve">As to the third element, that a jurisdiction element is necessary is suggested by </w:t>
      </w:r>
      <w:r w:rsidRPr="00195660">
        <w:rPr>
          <w:rFonts w:eastAsia="Times New Roman" w:cs="Times New Roman"/>
          <w:i/>
          <w:szCs w:val="24"/>
        </w:rPr>
        <w:t xml:space="preserve">United States v. Warren, </w:t>
      </w:r>
      <w:r w:rsidRPr="00195660">
        <w:rPr>
          <w:rFonts w:eastAsia="Times New Roman" w:cs="Times New Roman"/>
          <w:szCs w:val="24"/>
        </w:rPr>
        <w:t xml:space="preserve">984 F.2d 325, 327 (9th Cir. 1993).  Whether the crime alleged occurred at a particular location is a question of fact.  </w:t>
      </w:r>
      <w:r w:rsidRPr="00195660">
        <w:rPr>
          <w:rFonts w:eastAsia="Times New Roman" w:cs="Times New Roman"/>
          <w:i/>
          <w:iCs/>
          <w:szCs w:val="24"/>
        </w:rPr>
        <w:t>Warren</w:t>
      </w:r>
      <w:r w:rsidRPr="00195660">
        <w:rPr>
          <w:rFonts w:eastAsia="Times New Roman" w:cs="Times New Roman"/>
          <w:szCs w:val="24"/>
        </w:rPr>
        <w:t xml:space="preserve">, 984 F.2d at 327.  Whether the location is within the special maritime and territorial jurisdiction of the United States, or a federal prison is a question of law.  </w:t>
      </w:r>
      <w:r w:rsidRPr="00195660">
        <w:rPr>
          <w:rFonts w:eastAsia="Times New Roman" w:cs="Times New Roman"/>
          <w:i/>
          <w:szCs w:val="24"/>
        </w:rPr>
        <w:t xml:space="preserve">See United States v. </w:t>
      </w:r>
      <w:proofErr w:type="spellStart"/>
      <w:r w:rsidRPr="00195660">
        <w:rPr>
          <w:rFonts w:eastAsia="Times New Roman" w:cs="Times New Roman"/>
          <w:i/>
          <w:szCs w:val="24"/>
        </w:rPr>
        <w:t>Gipe</w:t>
      </w:r>
      <w:proofErr w:type="spellEnd"/>
      <w:r w:rsidRPr="00195660">
        <w:rPr>
          <w:rFonts w:eastAsia="Times New Roman" w:cs="Times New Roman"/>
          <w:szCs w:val="24"/>
        </w:rPr>
        <w:t>, 672 F.2d 777, 779 (9th Cir. 1982).</w:t>
      </w:r>
    </w:p>
    <w:p w14:paraId="7AD15C9B" w14:textId="77777777" w:rsidR="0064376E" w:rsidRPr="00195660" w:rsidRDefault="0064376E" w:rsidP="0064376E">
      <w:pPr>
        <w:rPr>
          <w:rFonts w:eastAsia="Times New Roman" w:cs="Times New Roman"/>
          <w:szCs w:val="24"/>
        </w:rPr>
      </w:pPr>
    </w:p>
    <w:p w14:paraId="4CDA8CF6" w14:textId="77777777" w:rsidR="0064376E" w:rsidRPr="00195660" w:rsidRDefault="0064376E" w:rsidP="0064376E">
      <w:pPr>
        <w:rPr>
          <w:rFonts w:eastAsia="Times New Roman" w:cs="Times New Roman"/>
          <w:szCs w:val="24"/>
        </w:rPr>
      </w:pPr>
      <w:r w:rsidRPr="00195660">
        <w:rPr>
          <w:rFonts w:eastAsia="Times New Roman" w:cs="Times New Roman"/>
          <w:szCs w:val="24"/>
        </w:rPr>
        <w:tab/>
        <w:t>The necessity for an additional element if a defense is raised is considered in</w:t>
      </w:r>
      <w:r w:rsidRPr="00195660">
        <w:rPr>
          <w:rFonts w:eastAsia="Times New Roman" w:cs="Times New Roman"/>
          <w:i/>
          <w:szCs w:val="24"/>
        </w:rPr>
        <w:t xml:space="preserve"> United States v. </w:t>
      </w:r>
      <w:proofErr w:type="spellStart"/>
      <w:r w:rsidRPr="00195660">
        <w:rPr>
          <w:rFonts w:eastAsia="Times New Roman" w:cs="Times New Roman"/>
          <w:i/>
          <w:szCs w:val="24"/>
        </w:rPr>
        <w:t>Lesina</w:t>
      </w:r>
      <w:proofErr w:type="spellEnd"/>
      <w:r w:rsidRPr="00195660">
        <w:rPr>
          <w:rFonts w:eastAsia="Times New Roman" w:cs="Times New Roman"/>
          <w:i/>
          <w:szCs w:val="24"/>
        </w:rPr>
        <w:t xml:space="preserve">, </w:t>
      </w:r>
      <w:r w:rsidRPr="00195660">
        <w:rPr>
          <w:rFonts w:eastAsia="Times New Roman" w:cs="Times New Roman"/>
          <w:szCs w:val="24"/>
        </w:rPr>
        <w:t>833 F.2d 156, 160 (9th Cir. 1987) (when defendant raised defense of accident to second degree murder charge, government bore burden of proving lack of heat of passion).</w:t>
      </w:r>
    </w:p>
    <w:p w14:paraId="775E8D82" w14:textId="77777777" w:rsidR="0064376E" w:rsidRPr="00195660" w:rsidRDefault="0064376E" w:rsidP="0064376E">
      <w:pPr>
        <w:rPr>
          <w:rFonts w:eastAsia="Times New Roman" w:cs="Times New Roman"/>
          <w:szCs w:val="24"/>
        </w:rPr>
      </w:pPr>
    </w:p>
    <w:p w14:paraId="0167B3C2" w14:textId="77777777" w:rsidR="0064376E" w:rsidRPr="00195660" w:rsidRDefault="0064376E" w:rsidP="0064376E">
      <w:pPr>
        <w:rPr>
          <w:rFonts w:eastAsia="Times New Roman" w:cs="Times New Roman"/>
          <w:szCs w:val="24"/>
        </w:rPr>
      </w:pPr>
      <w:r w:rsidRPr="00195660">
        <w:rPr>
          <w:rFonts w:eastAsia="Times New Roman" w:cs="Times New Roman"/>
          <w:szCs w:val="24"/>
        </w:rPr>
        <w:tab/>
        <w:t xml:space="preserve">If there is evidence that the defendant acted in self-defense, </w:t>
      </w:r>
      <w:r w:rsidRPr="00195660">
        <w:rPr>
          <w:rFonts w:eastAsia="Times New Roman" w:cs="Times New Roman"/>
          <w:i/>
          <w:szCs w:val="24"/>
        </w:rPr>
        <w:t xml:space="preserve">see </w:t>
      </w:r>
      <w:r w:rsidRPr="00195660">
        <w:rPr>
          <w:rFonts w:eastAsia="Times New Roman" w:cs="Times New Roman"/>
          <w:szCs w:val="24"/>
        </w:rPr>
        <w:t>Instruction 5.10 (Self-Defense).</w:t>
      </w:r>
    </w:p>
    <w:p w14:paraId="641473F7" w14:textId="62B5B7B3" w:rsidR="0064376E" w:rsidRPr="00195660" w:rsidRDefault="0064376E" w:rsidP="0064376E">
      <w:pPr>
        <w:rPr>
          <w:rFonts w:eastAsia="Times New Roman" w:cs="Times New Roman"/>
          <w:szCs w:val="24"/>
        </w:rPr>
      </w:pPr>
      <w:r w:rsidRPr="00195660">
        <w:rPr>
          <w:rFonts w:eastAsia="Times New Roman" w:cs="Times New Roman"/>
          <w:szCs w:val="24"/>
        </w:rPr>
        <w:lastRenderedPageBreak/>
        <w:tab/>
        <w:t xml:space="preserve">Evidence that the defendant acted upon a sudden quarrel or heat of passion “acts in the nature of a defense to the murder charge . </w:t>
      </w:r>
      <w:proofErr w:type="gramStart"/>
      <w:r w:rsidRPr="00195660">
        <w:rPr>
          <w:rFonts w:eastAsia="Times New Roman" w:cs="Times New Roman"/>
          <w:szCs w:val="24"/>
        </w:rPr>
        <w:t>. . .</w:t>
      </w:r>
      <w:proofErr w:type="gramEnd"/>
      <w:r w:rsidRPr="00195660">
        <w:rPr>
          <w:rFonts w:eastAsia="Times New Roman" w:cs="Times New Roman"/>
          <w:szCs w:val="24"/>
        </w:rPr>
        <w:t xml:space="preserve">  Once such evidence is raised, the burden is on the government to prove . . . the absence of sudden quarrel or heat of passion before a conviction for murder can be sustained.”  </w:t>
      </w:r>
      <w:r w:rsidRPr="00195660">
        <w:rPr>
          <w:rFonts w:eastAsia="Times New Roman" w:cs="Times New Roman"/>
          <w:i/>
          <w:szCs w:val="24"/>
        </w:rPr>
        <w:t>Quintero</w:t>
      </w:r>
      <w:r w:rsidRPr="00195660">
        <w:rPr>
          <w:rFonts w:eastAsia="Times New Roman" w:cs="Times New Roman"/>
          <w:szCs w:val="24"/>
        </w:rPr>
        <w:t>, 21 F.3d at 890</w:t>
      </w:r>
      <w:r w:rsidR="00263551" w:rsidRPr="00195660">
        <w:rPr>
          <w:rFonts w:eastAsia="Times New Roman" w:cs="Times New Roman"/>
          <w:szCs w:val="24"/>
        </w:rPr>
        <w:t xml:space="preserve">; </w:t>
      </w:r>
      <w:r w:rsidR="00263551" w:rsidRPr="00195660">
        <w:rPr>
          <w:rFonts w:eastAsia="Times New Roman" w:cs="Times New Roman"/>
          <w:i/>
          <w:iCs/>
          <w:szCs w:val="24"/>
        </w:rPr>
        <w:t>see Begay</w:t>
      </w:r>
      <w:r w:rsidR="00263551" w:rsidRPr="00195660">
        <w:rPr>
          <w:rFonts w:eastAsia="Times New Roman" w:cs="Times New Roman"/>
          <w:szCs w:val="24"/>
        </w:rPr>
        <w:t xml:space="preserve">, </w:t>
      </w:r>
      <w:r w:rsidR="00263551" w:rsidRPr="00195660">
        <w:rPr>
          <w:rFonts w:cs="Times New Roman"/>
          <w:bCs/>
          <w:iCs/>
          <w:szCs w:val="24"/>
        </w:rPr>
        <w:t>33 F.4th at 1088</w:t>
      </w:r>
      <w:r w:rsidRPr="00195660">
        <w:rPr>
          <w:rFonts w:eastAsia="Times New Roman" w:cs="Times New Roman"/>
          <w:szCs w:val="24"/>
        </w:rPr>
        <w:t>.  The following language might be added to address such circumstances:</w:t>
      </w:r>
    </w:p>
    <w:p w14:paraId="7FB1BF33" w14:textId="77777777" w:rsidR="0064376E" w:rsidRPr="00195660" w:rsidRDefault="0064376E" w:rsidP="0064376E">
      <w:pPr>
        <w:rPr>
          <w:rFonts w:eastAsia="Times New Roman" w:cs="Times New Roman"/>
          <w:szCs w:val="24"/>
        </w:rPr>
      </w:pPr>
    </w:p>
    <w:p w14:paraId="610111C5" w14:textId="77777777" w:rsidR="0064376E" w:rsidRPr="00195660" w:rsidRDefault="0064376E" w:rsidP="0064376E">
      <w:pPr>
        <w:ind w:left="720" w:right="720"/>
        <w:rPr>
          <w:rFonts w:eastAsia="Times New Roman" w:cs="Times New Roman"/>
          <w:szCs w:val="24"/>
        </w:rPr>
      </w:pPr>
      <w:r w:rsidRPr="00195660">
        <w:rPr>
          <w:rFonts w:eastAsia="Times New Roman" w:cs="Times New Roman"/>
          <w:szCs w:val="24"/>
        </w:rPr>
        <w:t>The defendant claims to have acted in sudden quarrel or in the heat of passion caused by adequate provocation, and therefore without malice aforethought.  Heat of passion may be provoked by fear, rage, anger, or terror.  Provocation, to be adequate, must be such as might arouse a reasonable and ordinary person to kill someone.</w:t>
      </w:r>
    </w:p>
    <w:p w14:paraId="0113915B" w14:textId="77777777" w:rsidR="0064376E" w:rsidRPr="00195660" w:rsidRDefault="0064376E" w:rsidP="0064376E">
      <w:pPr>
        <w:ind w:left="720" w:right="720"/>
        <w:rPr>
          <w:rFonts w:eastAsia="Times New Roman" w:cs="Times New Roman"/>
          <w:szCs w:val="24"/>
        </w:rPr>
      </w:pPr>
    </w:p>
    <w:p w14:paraId="66BBFAEA" w14:textId="77777777" w:rsidR="0064376E" w:rsidRPr="00195660" w:rsidRDefault="0064376E" w:rsidP="0064376E">
      <w:pPr>
        <w:ind w:left="720" w:right="720"/>
        <w:rPr>
          <w:rFonts w:eastAsia="Times New Roman" w:cs="Times New Roman"/>
          <w:szCs w:val="24"/>
        </w:rPr>
      </w:pPr>
      <w:r w:rsidRPr="00195660">
        <w:rPr>
          <w:rFonts w:eastAsia="Times New Roman" w:cs="Times New Roman"/>
          <w:szCs w:val="24"/>
        </w:rPr>
        <w:t xml:space="preserve">To show that the defendant acted with malice aforethought, the government must prove the absence of heat of passion beyond a reasonable doubt. </w:t>
      </w:r>
    </w:p>
    <w:p w14:paraId="5495DF50" w14:textId="77777777" w:rsidR="0064376E" w:rsidRPr="00195660" w:rsidRDefault="0064376E" w:rsidP="0064376E">
      <w:pPr>
        <w:rPr>
          <w:rFonts w:eastAsia="Times New Roman" w:cs="Times New Roman"/>
          <w:szCs w:val="24"/>
        </w:rPr>
      </w:pPr>
    </w:p>
    <w:p w14:paraId="14A4F27B" w14:textId="77777777" w:rsidR="0064376E" w:rsidRPr="00195660" w:rsidRDefault="0064376E" w:rsidP="0064376E">
      <w:pPr>
        <w:rPr>
          <w:rFonts w:eastAsia="Times New Roman" w:cs="Times New Roman"/>
          <w:szCs w:val="24"/>
        </w:rPr>
      </w:pPr>
      <w:r w:rsidRPr="00195660">
        <w:rPr>
          <w:rFonts w:eastAsia="Times New Roman" w:cs="Times New Roman"/>
          <w:szCs w:val="24"/>
        </w:rPr>
        <w:tab/>
        <w:t xml:space="preserve">The heat of passion standard set forth above is suggested by </w:t>
      </w:r>
      <w:r w:rsidRPr="00195660">
        <w:rPr>
          <w:rFonts w:eastAsia="Times New Roman" w:cs="Times New Roman"/>
          <w:i/>
          <w:szCs w:val="24"/>
        </w:rPr>
        <w:t xml:space="preserve">United States v. </w:t>
      </w:r>
      <w:proofErr w:type="spellStart"/>
      <w:r w:rsidRPr="00195660">
        <w:rPr>
          <w:rFonts w:eastAsia="Times New Roman" w:cs="Times New Roman"/>
          <w:i/>
          <w:szCs w:val="24"/>
        </w:rPr>
        <w:t>Roston</w:t>
      </w:r>
      <w:proofErr w:type="spellEnd"/>
      <w:r w:rsidRPr="00195660">
        <w:rPr>
          <w:rFonts w:eastAsia="Times New Roman" w:cs="Times New Roman"/>
          <w:szCs w:val="24"/>
        </w:rPr>
        <w:t>, 986 F.2d 1287, 1291 (9th Cir. 1993).</w:t>
      </w:r>
    </w:p>
    <w:p w14:paraId="16F71A2C" w14:textId="77777777" w:rsidR="0064376E" w:rsidRPr="00195660" w:rsidRDefault="0064376E" w:rsidP="0064376E">
      <w:pPr>
        <w:rPr>
          <w:rFonts w:eastAsia="Times New Roman" w:cs="Times New Roman"/>
          <w:szCs w:val="24"/>
        </w:rPr>
      </w:pPr>
    </w:p>
    <w:p w14:paraId="20B3DA62" w14:textId="77777777" w:rsidR="0064376E" w:rsidRPr="00195660" w:rsidRDefault="0064376E" w:rsidP="0064376E">
      <w:pPr>
        <w:rPr>
          <w:rFonts w:eastAsia="Times New Roman" w:cs="Times New Roman"/>
          <w:szCs w:val="24"/>
        </w:rPr>
      </w:pPr>
      <w:r w:rsidRPr="00195660">
        <w:rPr>
          <w:rFonts w:eastAsia="Times New Roman" w:cs="Times New Roman"/>
          <w:szCs w:val="24"/>
        </w:rPr>
        <w:tab/>
        <w:t xml:space="preserve">The Ninth Circuit has noted that heat of passion is not the only condition that might serve as a defense to a murder charge and reduce the offense to manslaughter.  In </w:t>
      </w:r>
      <w:proofErr w:type="spellStart"/>
      <w:r w:rsidRPr="00195660">
        <w:rPr>
          <w:rFonts w:eastAsia="Times New Roman" w:cs="Times New Roman"/>
          <w:i/>
          <w:szCs w:val="24"/>
        </w:rPr>
        <w:t>Kleeman</w:t>
      </w:r>
      <w:proofErr w:type="spellEnd"/>
      <w:r w:rsidRPr="00195660">
        <w:rPr>
          <w:rFonts w:eastAsia="Times New Roman" w:cs="Times New Roman"/>
          <w:i/>
          <w:szCs w:val="24"/>
        </w:rPr>
        <w:t xml:space="preserve"> v. United States Parole Commission</w:t>
      </w:r>
      <w:r w:rsidRPr="00195660">
        <w:rPr>
          <w:rFonts w:eastAsia="Times New Roman" w:cs="Times New Roman"/>
          <w:szCs w:val="24"/>
        </w:rPr>
        <w:t xml:space="preserve">, 125 F.3d 725, 732 (9th Cir. 1997), the circuit suggested that an “extremely irrational and paranoid state of mind that severely impairs a defendant’s capacity for </w:t>
      </w:r>
      <w:proofErr w:type="spellStart"/>
      <w:r w:rsidRPr="00195660">
        <w:rPr>
          <w:rFonts w:eastAsia="Times New Roman" w:cs="Times New Roman"/>
          <w:szCs w:val="24"/>
        </w:rPr>
        <w:t>self control</w:t>
      </w:r>
      <w:proofErr w:type="spellEnd"/>
      <w:r w:rsidRPr="00195660">
        <w:rPr>
          <w:rFonts w:eastAsia="Times New Roman" w:cs="Times New Roman"/>
          <w:szCs w:val="24"/>
        </w:rPr>
        <w:t xml:space="preserve">” may also negate the malice attached to an intentional killing.  If such a defense is raised, it may be appropriate to instruct the jury regarding the effect of such a theory.  A defendant is not automatically entitled to a voluntary manslaughter instruction.  There must be some evidence which supports the proposition that the defendant was acting out of passion rather than malice, such as evidence of provocation.  </w:t>
      </w:r>
      <w:r w:rsidRPr="00195660">
        <w:rPr>
          <w:rFonts w:eastAsia="Times New Roman" w:cs="Times New Roman"/>
          <w:i/>
          <w:iCs/>
          <w:szCs w:val="24"/>
        </w:rPr>
        <w:t>United States v. Begay</w:t>
      </w:r>
      <w:r w:rsidRPr="00195660">
        <w:rPr>
          <w:rFonts w:eastAsia="Times New Roman" w:cs="Times New Roman"/>
          <w:szCs w:val="24"/>
        </w:rPr>
        <w:t>, 673 F.3d 1038 (9th Cir. 2011) (</w:t>
      </w:r>
      <w:proofErr w:type="spellStart"/>
      <w:r w:rsidRPr="00195660">
        <w:rPr>
          <w:rFonts w:eastAsia="Times New Roman" w:cs="Times New Roman"/>
          <w:szCs w:val="24"/>
        </w:rPr>
        <w:t>en</w:t>
      </w:r>
      <w:proofErr w:type="spellEnd"/>
      <w:r w:rsidRPr="00195660">
        <w:rPr>
          <w:rFonts w:eastAsia="Times New Roman" w:cs="Times New Roman"/>
          <w:szCs w:val="24"/>
        </w:rPr>
        <w:t xml:space="preserve"> banc).  The district court, which instructed the jury following Instruction 8.89 (2003) (now this instruction), properly instructed the jury on the correct definition of premeditation.  </w:t>
      </w:r>
      <w:r w:rsidRPr="00195660">
        <w:rPr>
          <w:rFonts w:eastAsia="Times New Roman" w:cs="Times New Roman"/>
          <w:i/>
          <w:iCs/>
          <w:szCs w:val="24"/>
        </w:rPr>
        <w:t xml:space="preserve">Id. </w:t>
      </w:r>
      <w:r w:rsidRPr="00195660">
        <w:rPr>
          <w:rFonts w:eastAsia="Times New Roman" w:cs="Times New Roman"/>
          <w:szCs w:val="24"/>
        </w:rPr>
        <w:t>at 1043.</w:t>
      </w:r>
    </w:p>
    <w:p w14:paraId="2ECDB79F" w14:textId="77777777" w:rsidR="0064376E" w:rsidRPr="00195660" w:rsidRDefault="0064376E" w:rsidP="0064376E">
      <w:pPr>
        <w:rPr>
          <w:rFonts w:eastAsia="Times New Roman" w:cs="Times New Roman"/>
          <w:szCs w:val="24"/>
        </w:rPr>
      </w:pPr>
    </w:p>
    <w:p w14:paraId="250A1652" w14:textId="77777777" w:rsidR="0064376E" w:rsidRPr="00195660" w:rsidRDefault="0064376E" w:rsidP="0064376E">
      <w:pPr>
        <w:rPr>
          <w:rFonts w:eastAsia="Times New Roman" w:cs="Times New Roman"/>
          <w:szCs w:val="24"/>
        </w:rPr>
      </w:pPr>
      <w:r w:rsidRPr="00195660">
        <w:rPr>
          <w:rFonts w:eastAsia="Times New Roman" w:cs="Times New Roman"/>
          <w:szCs w:val="24"/>
        </w:rPr>
        <w:tab/>
        <w:t xml:space="preserve">The trial judge may be obligated to give an instruction on involuntary manslaughter in a murder case even when the defense does not offer the instruction.  In </w:t>
      </w:r>
      <w:r w:rsidRPr="00195660">
        <w:rPr>
          <w:rFonts w:eastAsia="Times New Roman" w:cs="Times New Roman"/>
          <w:i/>
          <w:szCs w:val="24"/>
        </w:rPr>
        <w:t>United States v. Anderson</w:t>
      </w:r>
      <w:r w:rsidRPr="00195660">
        <w:rPr>
          <w:rFonts w:eastAsia="Times New Roman" w:cs="Times New Roman"/>
          <w:szCs w:val="24"/>
        </w:rPr>
        <w:t xml:space="preserve">, 201 F.3d 1145, 1150 (9th Cir. 2000), the court of appeals held that it was plain error for the court not to instruct the jury on involuntary manslaughter, even though the defendant had not requested such an instruction, because there was evidence in the record to support the theory that the killing was accidental. </w:t>
      </w:r>
    </w:p>
    <w:p w14:paraId="0F070D2D" w14:textId="77777777" w:rsidR="0064376E" w:rsidRPr="00195660" w:rsidRDefault="0064376E" w:rsidP="0064376E">
      <w:pPr>
        <w:rPr>
          <w:rFonts w:eastAsia="Times New Roman" w:cs="Times New Roman"/>
          <w:szCs w:val="24"/>
        </w:rPr>
      </w:pPr>
    </w:p>
    <w:p w14:paraId="1C913278" w14:textId="77777777" w:rsidR="0064376E" w:rsidRPr="00195660" w:rsidRDefault="0064376E" w:rsidP="0064376E">
      <w:pPr>
        <w:rPr>
          <w:rFonts w:eastAsia="Times New Roman" w:cs="Times New Roman"/>
          <w:szCs w:val="24"/>
        </w:rPr>
      </w:pPr>
      <w:r w:rsidRPr="00195660">
        <w:rPr>
          <w:rFonts w:eastAsia="Times New Roman" w:cs="Times New Roman"/>
          <w:szCs w:val="24"/>
        </w:rPr>
        <w:tab/>
        <w:t xml:space="preserve">The trial judge is obligated to give an instruction on involuntary manslaughter in a murder case if the law and evidence satisfy a </w:t>
      </w:r>
      <w:proofErr w:type="gramStart"/>
      <w:r w:rsidRPr="00195660">
        <w:rPr>
          <w:rFonts w:eastAsia="Times New Roman" w:cs="Times New Roman"/>
          <w:szCs w:val="24"/>
        </w:rPr>
        <w:t>two part</w:t>
      </w:r>
      <w:proofErr w:type="gramEnd"/>
      <w:r w:rsidRPr="00195660">
        <w:rPr>
          <w:rFonts w:eastAsia="Times New Roman" w:cs="Times New Roman"/>
          <w:szCs w:val="24"/>
        </w:rPr>
        <w:t xml:space="preserve"> test.  </w:t>
      </w:r>
      <w:r w:rsidRPr="00195660">
        <w:rPr>
          <w:rFonts w:eastAsia="Times New Roman" w:cs="Times New Roman"/>
          <w:i/>
          <w:szCs w:val="24"/>
        </w:rPr>
        <w:t xml:space="preserve">United States v. </w:t>
      </w:r>
      <w:proofErr w:type="spellStart"/>
      <w:r w:rsidRPr="00195660">
        <w:rPr>
          <w:rFonts w:eastAsia="Times New Roman" w:cs="Times New Roman"/>
          <w:i/>
          <w:szCs w:val="24"/>
        </w:rPr>
        <w:t>Arnt</w:t>
      </w:r>
      <w:proofErr w:type="spellEnd"/>
      <w:r w:rsidRPr="00195660">
        <w:rPr>
          <w:rFonts w:eastAsia="Times New Roman" w:cs="Times New Roman"/>
          <w:szCs w:val="24"/>
        </w:rPr>
        <w:t xml:space="preserve">, 474 F.3d 1159, 1163 (9th Cir. 2007).  The first step is a legal question: “Is the offense for which the instruction is sought a lesser-included offense of the charged offense?”  </w:t>
      </w:r>
      <w:r w:rsidRPr="00195660">
        <w:rPr>
          <w:rFonts w:eastAsia="Times New Roman" w:cs="Times New Roman"/>
          <w:i/>
          <w:szCs w:val="24"/>
        </w:rPr>
        <w:t>Id.</w:t>
      </w:r>
      <w:r w:rsidRPr="00195660">
        <w:rPr>
          <w:rFonts w:eastAsia="Times New Roman" w:cs="Times New Roman"/>
          <w:szCs w:val="24"/>
        </w:rPr>
        <w:t xml:space="preserve">  “The second step is a factual inquiry: Does the record contain evidence that would support conviction of the lesser offense?”  </w:t>
      </w:r>
      <w:r w:rsidRPr="00195660">
        <w:rPr>
          <w:rFonts w:eastAsia="Times New Roman" w:cs="Times New Roman"/>
          <w:i/>
          <w:szCs w:val="24"/>
        </w:rPr>
        <w:t>Id.</w:t>
      </w:r>
      <w:r w:rsidRPr="00195660">
        <w:rPr>
          <w:rFonts w:eastAsia="Times New Roman" w:cs="Times New Roman"/>
          <w:szCs w:val="24"/>
        </w:rPr>
        <w:t xml:space="preserve">  </w:t>
      </w:r>
    </w:p>
    <w:p w14:paraId="0949E523" w14:textId="77777777" w:rsidR="0064376E" w:rsidRPr="00195660" w:rsidRDefault="0064376E" w:rsidP="0064376E">
      <w:pPr>
        <w:rPr>
          <w:rFonts w:eastAsia="Times New Roman" w:cs="Times New Roman"/>
          <w:szCs w:val="24"/>
        </w:rPr>
      </w:pPr>
    </w:p>
    <w:p w14:paraId="72E82463" w14:textId="77777777" w:rsidR="0064376E" w:rsidRPr="00195660" w:rsidRDefault="0064376E" w:rsidP="0064376E">
      <w:pPr>
        <w:rPr>
          <w:rFonts w:eastAsia="Times New Roman" w:cs="Times New Roman"/>
          <w:szCs w:val="24"/>
        </w:rPr>
      </w:pPr>
      <w:r w:rsidRPr="00195660">
        <w:rPr>
          <w:rFonts w:eastAsia="Times New Roman" w:cs="Times New Roman"/>
          <w:szCs w:val="24"/>
        </w:rPr>
        <w:tab/>
        <w:t>It is reversable error if the instructions “make it appear as though there is no difference</w:t>
      </w:r>
    </w:p>
    <w:p w14:paraId="4EC8DE67" w14:textId="77777777" w:rsidR="0064376E" w:rsidRPr="00195660" w:rsidRDefault="0064376E" w:rsidP="0064376E">
      <w:pPr>
        <w:rPr>
          <w:rFonts w:eastAsia="Times New Roman" w:cs="Times New Roman"/>
          <w:i/>
          <w:szCs w:val="24"/>
        </w:rPr>
      </w:pPr>
      <w:r w:rsidRPr="00195660">
        <w:rPr>
          <w:rFonts w:eastAsia="Times New Roman" w:cs="Times New Roman"/>
          <w:szCs w:val="24"/>
        </w:rPr>
        <w:lastRenderedPageBreak/>
        <w:t xml:space="preserve">between the severity of second degree murder and manslaughter </w:t>
      </w:r>
      <w:proofErr w:type="gramStart"/>
      <w:r w:rsidRPr="00195660">
        <w:rPr>
          <w:rFonts w:eastAsia="Times New Roman" w:cs="Times New Roman"/>
          <w:szCs w:val="24"/>
        </w:rPr>
        <w:t>. . . .</w:t>
      </w:r>
      <w:proofErr w:type="gramEnd"/>
      <w:r w:rsidRPr="00195660">
        <w:rPr>
          <w:rFonts w:eastAsia="Times New Roman" w:cs="Times New Roman"/>
          <w:szCs w:val="24"/>
        </w:rPr>
        <w:t xml:space="preserve">”  </w:t>
      </w:r>
      <w:r w:rsidRPr="00195660">
        <w:rPr>
          <w:rFonts w:eastAsia="Times New Roman" w:cs="Times New Roman"/>
          <w:i/>
          <w:szCs w:val="24"/>
        </w:rPr>
        <w:t>United States v.</w:t>
      </w:r>
    </w:p>
    <w:p w14:paraId="0B08F9C0" w14:textId="77777777" w:rsidR="0064376E" w:rsidRPr="00195660" w:rsidRDefault="0064376E" w:rsidP="0064376E">
      <w:pPr>
        <w:rPr>
          <w:rFonts w:eastAsia="Times New Roman" w:cs="Times New Roman"/>
          <w:szCs w:val="24"/>
        </w:rPr>
      </w:pPr>
      <w:proofErr w:type="spellStart"/>
      <w:r w:rsidRPr="00195660">
        <w:rPr>
          <w:rFonts w:eastAsia="Times New Roman" w:cs="Times New Roman"/>
          <w:i/>
          <w:szCs w:val="24"/>
        </w:rPr>
        <w:t>Lesina</w:t>
      </w:r>
      <w:proofErr w:type="spellEnd"/>
      <w:r w:rsidRPr="00195660">
        <w:rPr>
          <w:rFonts w:eastAsia="Times New Roman" w:cs="Times New Roman"/>
          <w:szCs w:val="24"/>
        </w:rPr>
        <w:t>, 833 F.2d 156, 158-59 (9th Cir. 1987) (language used in instructions did not provide meaningful distinction between second degree murder and involuntary manslaughter).</w:t>
      </w:r>
    </w:p>
    <w:p w14:paraId="7261F68A" w14:textId="77777777" w:rsidR="0064376E" w:rsidRPr="00195660" w:rsidRDefault="0064376E" w:rsidP="0064376E">
      <w:pPr>
        <w:rPr>
          <w:rFonts w:eastAsia="Times New Roman" w:cs="Times New Roman"/>
          <w:szCs w:val="24"/>
        </w:rPr>
      </w:pPr>
    </w:p>
    <w:p w14:paraId="333C0A63" w14:textId="717EC6C2" w:rsidR="0064376E" w:rsidRPr="00E34C09" w:rsidRDefault="0064376E" w:rsidP="0064376E">
      <w:pPr>
        <w:rPr>
          <w:rFonts w:eastAsia="Times New Roman" w:cs="Times New Roman"/>
          <w:szCs w:val="24"/>
        </w:rPr>
      </w:pPr>
      <w:r w:rsidRPr="00195660">
        <w:rPr>
          <w:rFonts w:eastAsia="Times New Roman" w:cs="Times New Roman"/>
          <w:szCs w:val="24"/>
        </w:rPr>
        <w:tab/>
        <w:t>Voluntary and involuntary manslaughter are lesser included offenses of murder.</w:t>
      </w:r>
      <w:r w:rsidRPr="00195660">
        <w:rPr>
          <w:rFonts w:eastAsia="Times New Roman" w:cs="Times New Roman"/>
          <w:i/>
          <w:szCs w:val="24"/>
        </w:rPr>
        <w:t xml:space="preserve">  </w:t>
      </w:r>
      <w:proofErr w:type="spellStart"/>
      <w:r w:rsidRPr="00195660">
        <w:rPr>
          <w:rFonts w:eastAsia="Times New Roman" w:cs="Times New Roman"/>
          <w:i/>
          <w:szCs w:val="24"/>
        </w:rPr>
        <w:t>Arnt</w:t>
      </w:r>
      <w:proofErr w:type="spellEnd"/>
      <w:r w:rsidRPr="00195660">
        <w:rPr>
          <w:rFonts w:eastAsia="Times New Roman" w:cs="Times New Roman"/>
          <w:szCs w:val="24"/>
        </w:rPr>
        <w:t xml:space="preserve">, 474 F.3d at 1163, however they are not lesser included offenses of felony murder.  </w:t>
      </w:r>
      <w:r w:rsidRPr="00195660">
        <w:rPr>
          <w:rFonts w:eastAsia="Times New Roman" w:cs="Times New Roman"/>
          <w:i/>
          <w:iCs/>
          <w:szCs w:val="24"/>
        </w:rPr>
        <w:t>United States v. Miguel</w:t>
      </w:r>
      <w:r w:rsidRPr="00195660">
        <w:rPr>
          <w:rFonts w:eastAsia="Times New Roman" w:cs="Times New Roman"/>
          <w:szCs w:val="24"/>
        </w:rPr>
        <w:t xml:space="preserve">, 338 F.3d 995, 1004-06 (9th Cir. 2003).  If any construction of the evidence would rationally support a jury’s conclusion that the killing was unintentional or accidental, even if there is conflicting evidence, an involuntary manslaughter instruction must be given.  </w:t>
      </w:r>
      <w:r w:rsidRPr="00195660">
        <w:rPr>
          <w:rFonts w:eastAsia="Times New Roman" w:cs="Times New Roman"/>
          <w:i/>
          <w:szCs w:val="24"/>
        </w:rPr>
        <w:t>United States v. Anderson</w:t>
      </w:r>
      <w:r w:rsidRPr="00195660">
        <w:rPr>
          <w:rFonts w:eastAsia="Times New Roman" w:cs="Times New Roman"/>
          <w:szCs w:val="24"/>
        </w:rPr>
        <w:t>, 201 F.3d 1145, 1150 (9th Cir. 2000).</w:t>
      </w:r>
    </w:p>
    <w:p w14:paraId="279BFC56" w14:textId="77777777" w:rsidR="00195660" w:rsidRPr="00195660" w:rsidRDefault="00195660" w:rsidP="0064376E">
      <w:pPr>
        <w:rPr>
          <w:rFonts w:eastAsia="Times New Roman" w:cs="Times New Roman"/>
          <w:szCs w:val="24"/>
        </w:rPr>
      </w:pPr>
    </w:p>
    <w:p w14:paraId="2167545B" w14:textId="51457AA4" w:rsidR="0064376E" w:rsidRPr="00195660" w:rsidRDefault="0064376E" w:rsidP="0064376E">
      <w:pPr>
        <w:spacing w:line="275" w:lineRule="auto"/>
        <w:jc w:val="right"/>
        <w:rPr>
          <w:rFonts w:eastAsia="Times New Roman" w:cs="Times New Roman"/>
          <w:i/>
          <w:szCs w:val="24"/>
        </w:rPr>
      </w:pPr>
      <w:r w:rsidRPr="00195660">
        <w:rPr>
          <w:rFonts w:eastAsia="Times New Roman" w:cs="Times New Roman"/>
          <w:i/>
          <w:szCs w:val="24"/>
        </w:rPr>
        <w:t>Revised June 20</w:t>
      </w:r>
      <w:r w:rsidR="00300B83" w:rsidRPr="00195660">
        <w:rPr>
          <w:rFonts w:eastAsia="Times New Roman" w:cs="Times New Roman"/>
          <w:i/>
          <w:szCs w:val="24"/>
        </w:rPr>
        <w:t>22</w:t>
      </w:r>
    </w:p>
    <w:p w14:paraId="0ACE18C0" w14:textId="20993E1B" w:rsidR="00C97E04" w:rsidRPr="00195660" w:rsidRDefault="00C97E04" w:rsidP="0064376E"/>
    <w:sectPr w:rsidR="00C97E04" w:rsidRPr="00195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03195"/>
    <w:rsid w:val="00111C8E"/>
    <w:rsid w:val="00115880"/>
    <w:rsid w:val="001170D8"/>
    <w:rsid w:val="00120EE6"/>
    <w:rsid w:val="001260EC"/>
    <w:rsid w:val="00136279"/>
    <w:rsid w:val="001434E7"/>
    <w:rsid w:val="00156233"/>
    <w:rsid w:val="00156526"/>
    <w:rsid w:val="00194460"/>
    <w:rsid w:val="0019527A"/>
    <w:rsid w:val="00195660"/>
    <w:rsid w:val="001A0B87"/>
    <w:rsid w:val="001B4048"/>
    <w:rsid w:val="001C162D"/>
    <w:rsid w:val="001D0020"/>
    <w:rsid w:val="001D1F41"/>
    <w:rsid w:val="001D621E"/>
    <w:rsid w:val="0021609F"/>
    <w:rsid w:val="00220C16"/>
    <w:rsid w:val="00226C52"/>
    <w:rsid w:val="002330DD"/>
    <w:rsid w:val="00251B8E"/>
    <w:rsid w:val="00263551"/>
    <w:rsid w:val="002810F9"/>
    <w:rsid w:val="00292D67"/>
    <w:rsid w:val="00294291"/>
    <w:rsid w:val="002A23F9"/>
    <w:rsid w:val="002B4922"/>
    <w:rsid w:val="002B628A"/>
    <w:rsid w:val="002C008C"/>
    <w:rsid w:val="002C3980"/>
    <w:rsid w:val="002D2353"/>
    <w:rsid w:val="002D6651"/>
    <w:rsid w:val="002F2125"/>
    <w:rsid w:val="00300B83"/>
    <w:rsid w:val="00311B89"/>
    <w:rsid w:val="00351E92"/>
    <w:rsid w:val="00385EAC"/>
    <w:rsid w:val="00392DA5"/>
    <w:rsid w:val="003A725E"/>
    <w:rsid w:val="003B4349"/>
    <w:rsid w:val="003C523D"/>
    <w:rsid w:val="003D3221"/>
    <w:rsid w:val="003E3B95"/>
    <w:rsid w:val="003F44F6"/>
    <w:rsid w:val="00401002"/>
    <w:rsid w:val="0040227C"/>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6517"/>
    <w:rsid w:val="007D1A93"/>
    <w:rsid w:val="007D3281"/>
    <w:rsid w:val="007E1171"/>
    <w:rsid w:val="007E2515"/>
    <w:rsid w:val="007E6330"/>
    <w:rsid w:val="007E7D79"/>
    <w:rsid w:val="007F19E2"/>
    <w:rsid w:val="00812338"/>
    <w:rsid w:val="00813014"/>
    <w:rsid w:val="00833FB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86AE0"/>
    <w:rsid w:val="00C97840"/>
    <w:rsid w:val="00C97E04"/>
    <w:rsid w:val="00CB05C6"/>
    <w:rsid w:val="00CB5032"/>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865DA"/>
    <w:rsid w:val="00E90670"/>
    <w:rsid w:val="00E9121D"/>
    <w:rsid w:val="00EA3C29"/>
    <w:rsid w:val="00EA658F"/>
    <w:rsid w:val="00EA72FC"/>
    <w:rsid w:val="00EB0197"/>
    <w:rsid w:val="00EB2014"/>
    <w:rsid w:val="00EB427D"/>
    <w:rsid w:val="00EB72BD"/>
    <w:rsid w:val="00EC15D6"/>
    <w:rsid w:val="00EC33A9"/>
    <w:rsid w:val="00EC6772"/>
    <w:rsid w:val="00ED52FC"/>
    <w:rsid w:val="00EE714D"/>
    <w:rsid w:val="00F120A5"/>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51E9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5616</Characters>
  <Application>Microsoft Office Word</Application>
  <DocSecurity>0</DocSecurity>
  <Lines>117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2022-08-24T21:57:00Z</dcterms:created>
  <dcterms:modified xsi:type="dcterms:W3CDTF">2022-08-24T21:57:00Z</dcterms:modified>
</cp:coreProperties>
</file>