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F526" w14:textId="77777777" w:rsidR="00101E36" w:rsidRPr="00101E36" w:rsidRDefault="00101E36" w:rsidP="00101E36">
      <w:pPr>
        <w:autoSpaceDE w:val="0"/>
        <w:autoSpaceDN w:val="0"/>
        <w:adjustRightInd w:val="0"/>
        <w:ind w:left="420" w:hanging="240"/>
        <w:jc w:val="center"/>
        <w:outlineLvl w:val="1"/>
        <w:rPr>
          <w:rFonts w:cs="Times New Roman"/>
          <w:b/>
          <w:bCs/>
          <w:szCs w:val="24"/>
        </w:rPr>
      </w:pPr>
      <w:bookmarkStart w:id="0" w:name="_Toc73698740"/>
      <w:bookmarkStart w:id="1" w:name="_Toc83310801"/>
      <w:bookmarkStart w:id="2" w:name="_Toc83362596"/>
      <w:bookmarkStart w:id="3" w:name="_Toc83363005"/>
      <w:bookmarkStart w:id="4" w:name="_Toc90310063"/>
      <w:bookmarkStart w:id="5" w:name="_Toc90389921"/>
      <w:bookmarkStart w:id="6" w:name="_Toc90860501"/>
      <w:r w:rsidRPr="00101E36">
        <w:rPr>
          <w:rFonts w:cs="Times New Roman"/>
          <w:b/>
          <w:bCs/>
          <w:szCs w:val="24"/>
        </w:rPr>
        <w:t>16.3 Manslaughter—Voluntary (18 U.S.C. § 1112)</w:t>
      </w:r>
      <w:bookmarkEnd w:id="0"/>
      <w:bookmarkEnd w:id="1"/>
      <w:bookmarkEnd w:id="2"/>
      <w:bookmarkEnd w:id="3"/>
      <w:bookmarkEnd w:id="4"/>
      <w:bookmarkEnd w:id="5"/>
      <w:bookmarkEnd w:id="6"/>
    </w:p>
    <w:p w14:paraId="5D336AA0" w14:textId="77777777" w:rsidR="00101E36" w:rsidRPr="00101E36" w:rsidRDefault="00101E36" w:rsidP="00101E36">
      <w:pPr>
        <w:rPr>
          <w:rFonts w:eastAsia="Times New Roman" w:cs="Times New Roman"/>
          <w:szCs w:val="24"/>
        </w:rPr>
      </w:pPr>
    </w:p>
    <w:p w14:paraId="5240D660" w14:textId="77777777" w:rsidR="00920521" w:rsidRPr="00742622" w:rsidRDefault="00101E36" w:rsidP="00920521">
      <w:pPr>
        <w:rPr>
          <w:rFonts w:eastAsia="Times New Roman" w:cs="Times New Roman"/>
          <w:szCs w:val="24"/>
        </w:rPr>
      </w:pPr>
      <w:r w:rsidRPr="00101E36">
        <w:rPr>
          <w:rFonts w:eastAsia="Times New Roman" w:cs="Times New Roman"/>
          <w:szCs w:val="24"/>
        </w:rPr>
        <w:tab/>
      </w:r>
      <w:r w:rsidR="00920521" w:rsidRPr="00742622">
        <w:rPr>
          <w:rFonts w:eastAsia="Times New Roman" w:cs="Times New Roman"/>
          <w:szCs w:val="24"/>
        </w:rPr>
        <w:t xml:space="preserve">The defendant is charged in [Count _______ of] the indictment with voluntary manslaughter in violation of Section 1112 of Title 18 of the United States Code.  </w:t>
      </w:r>
      <w:r w:rsidR="00920521">
        <w:rPr>
          <w:rFonts w:eastAsia="Times New Roman" w:cs="Times New Roman"/>
          <w:szCs w:val="24"/>
        </w:rPr>
        <w:t>For</w:t>
      </w:r>
      <w:r w:rsidR="00920521" w:rsidRPr="00742622">
        <w:rPr>
          <w:rFonts w:eastAsia="Times New Roman" w:cs="Times New Roman"/>
          <w:szCs w:val="24"/>
        </w:rPr>
        <w:t xml:space="preserve"> the defendant to be found guilty of that charge, the government must prove each of the following elements beyond a reasonable doubt:</w:t>
      </w:r>
    </w:p>
    <w:p w14:paraId="1C6D0402" w14:textId="77777777" w:rsidR="00920521" w:rsidRPr="00742622" w:rsidRDefault="00920521" w:rsidP="00920521">
      <w:pPr>
        <w:rPr>
          <w:rFonts w:eastAsia="Times New Roman" w:cs="Times New Roman"/>
          <w:szCs w:val="24"/>
        </w:rPr>
      </w:pPr>
    </w:p>
    <w:p w14:paraId="1D3F801E" w14:textId="77777777" w:rsidR="00920521" w:rsidRPr="00742622" w:rsidRDefault="00920521" w:rsidP="00920521">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2822CC00" w14:textId="77777777" w:rsidR="00920521" w:rsidRPr="00742622" w:rsidRDefault="00920521" w:rsidP="00920521">
      <w:pPr>
        <w:rPr>
          <w:rFonts w:eastAsia="Times New Roman" w:cs="Times New Roman"/>
          <w:szCs w:val="24"/>
        </w:rPr>
      </w:pPr>
    </w:p>
    <w:p w14:paraId="59F8F251" w14:textId="77777777" w:rsidR="00920521" w:rsidRPr="00742622" w:rsidRDefault="00920521" w:rsidP="00920521">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3E74F0DB" w14:textId="77777777" w:rsidR="00920521" w:rsidRPr="00742622" w:rsidRDefault="00920521" w:rsidP="00920521">
      <w:pPr>
        <w:rPr>
          <w:rFonts w:eastAsia="Times New Roman" w:cs="Times New Roman"/>
          <w:szCs w:val="24"/>
        </w:rPr>
      </w:pPr>
    </w:p>
    <w:p w14:paraId="2748DCD3" w14:textId="77777777" w:rsidR="00920521" w:rsidRPr="00742622" w:rsidRDefault="00920521" w:rsidP="00920521">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314C4745" w14:textId="77777777" w:rsidR="00920521" w:rsidRPr="00742622" w:rsidRDefault="00920521" w:rsidP="00920521">
      <w:pPr>
        <w:ind w:left="1440" w:hanging="720"/>
        <w:rPr>
          <w:rFonts w:eastAsia="Times New Roman" w:cs="Times New Roman"/>
          <w:szCs w:val="24"/>
        </w:rPr>
      </w:pPr>
    </w:p>
    <w:p w14:paraId="5656F9E2" w14:textId="77777777" w:rsidR="00920521" w:rsidRPr="00742622" w:rsidRDefault="00920521" w:rsidP="00920521">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61BD2871" w14:textId="77777777" w:rsidR="00920521" w:rsidRPr="00742622" w:rsidRDefault="00920521" w:rsidP="00920521">
      <w:pPr>
        <w:rPr>
          <w:rFonts w:eastAsia="Times New Roman" w:cs="Times New Roman"/>
          <w:szCs w:val="24"/>
        </w:rPr>
      </w:pPr>
    </w:p>
    <w:p w14:paraId="30C572FC" w14:textId="77777777" w:rsidR="00920521" w:rsidRPr="00742622" w:rsidRDefault="00920521" w:rsidP="00920521">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1D8F1A9" w14:textId="77777777" w:rsidR="00920521" w:rsidRPr="00742622" w:rsidRDefault="00920521" w:rsidP="00920521">
      <w:pPr>
        <w:rPr>
          <w:rFonts w:eastAsia="Times New Roman" w:cs="Times New Roman"/>
          <w:szCs w:val="24"/>
        </w:rPr>
      </w:pPr>
    </w:p>
    <w:p w14:paraId="1ABB9825" w14:textId="77777777" w:rsidR="00920521" w:rsidRPr="00742622" w:rsidRDefault="00920521" w:rsidP="00920521">
      <w:pPr>
        <w:rPr>
          <w:rFonts w:eastAsia="Times New Roman" w:cs="Times New Roman"/>
          <w:szCs w:val="24"/>
        </w:rPr>
      </w:pPr>
      <w:r w:rsidRPr="00742622">
        <w:rPr>
          <w:rFonts w:eastAsia="Times New Roman" w:cs="Times New Roman"/>
          <w:szCs w:val="24"/>
        </w:rPr>
        <w:tab/>
        <w:t>Heat of passion may be provoked by fear, rage, anger</w:t>
      </w:r>
      <w:r>
        <w:rPr>
          <w:rFonts w:eastAsia="Times New Roman" w:cs="Times New Roman"/>
          <w:szCs w:val="24"/>
        </w:rPr>
        <w:t>,</w:t>
      </w:r>
      <w:r w:rsidRPr="00742622">
        <w:rPr>
          <w:rFonts w:eastAsia="Times New Roman" w:cs="Times New Roman"/>
          <w:szCs w:val="24"/>
        </w:rPr>
        <w:t xml:space="preserve"> or terror.  Provocation, </w:t>
      </w:r>
      <w:r>
        <w:rPr>
          <w:rFonts w:eastAsia="Times New Roman" w:cs="Times New Roman"/>
          <w:szCs w:val="24"/>
        </w:rPr>
        <w:t>to</w:t>
      </w:r>
      <w:r w:rsidRPr="00742622">
        <w:rPr>
          <w:rFonts w:eastAsia="Times New Roman" w:cs="Times New Roman"/>
          <w:szCs w:val="24"/>
        </w:rPr>
        <w:t xml:space="preserve"> be adequate, must be such as might arouse a reasonable and ordinary person to kill someone.</w:t>
      </w:r>
    </w:p>
    <w:p w14:paraId="29C87C50" w14:textId="77777777" w:rsidR="00920521" w:rsidRPr="00742622" w:rsidRDefault="00920521" w:rsidP="00920521">
      <w:pPr>
        <w:rPr>
          <w:rFonts w:eastAsia="Times New Roman" w:cs="Times New Roman"/>
          <w:szCs w:val="24"/>
        </w:rPr>
      </w:pPr>
    </w:p>
    <w:p w14:paraId="0B55DDBC" w14:textId="77777777" w:rsidR="00920521" w:rsidRPr="00742622" w:rsidRDefault="00920521" w:rsidP="00920521">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8283283" w14:textId="77777777" w:rsidR="00920521" w:rsidRPr="00742622" w:rsidRDefault="00920521" w:rsidP="00920521">
      <w:pPr>
        <w:rPr>
          <w:rFonts w:eastAsia="Times New Roman" w:cs="Times New Roman"/>
          <w:szCs w:val="24"/>
        </w:rPr>
      </w:pPr>
    </w:p>
    <w:p w14:paraId="3926B4CA" w14:textId="77777777" w:rsidR="00920521" w:rsidRPr="00742622" w:rsidRDefault="00920521" w:rsidP="00920521">
      <w:pPr>
        <w:rPr>
          <w:rFonts w:eastAsia="Times New Roman" w:cs="Times New Roman"/>
          <w:szCs w:val="24"/>
        </w:rPr>
      </w:pPr>
      <w:r w:rsidRPr="00742622">
        <w:rPr>
          <w:rFonts w:eastAsia="Times New Roman" w:cs="Times New Roman"/>
          <w:szCs w:val="24"/>
        </w:rPr>
        <w:tab/>
        <w:t>As to the first element, if there is evidence of justification or excuse, the following</w:t>
      </w:r>
    </w:p>
    <w:p w14:paraId="1CF28420" w14:textId="77777777" w:rsidR="00920521" w:rsidRPr="00742622" w:rsidRDefault="00920521" w:rsidP="00920521">
      <w:pPr>
        <w:rPr>
          <w:rFonts w:eastAsia="Times New Roman" w:cs="Times New Roman"/>
          <w:szCs w:val="24"/>
        </w:rPr>
      </w:pPr>
      <w:r w:rsidRPr="00742622">
        <w:rPr>
          <w:rFonts w:eastAsia="Times New Roman" w:cs="Times New Roman"/>
          <w:szCs w:val="24"/>
        </w:rPr>
        <w:t>language should be added</w:t>
      </w:r>
      <w:proofErr w:type="gramStart"/>
      <w:r w:rsidRPr="00742622">
        <w:rPr>
          <w:rFonts w:eastAsia="Times New Roman" w:cs="Times New Roman"/>
          <w:szCs w:val="24"/>
        </w:rPr>
        <w:t xml:space="preserve">: </w:t>
      </w:r>
      <w:r>
        <w:rPr>
          <w:rFonts w:eastAsia="Times New Roman" w:cs="Times New Roman"/>
          <w:szCs w:val="24"/>
        </w:rPr>
        <w:t xml:space="preserve"> </w:t>
      </w:r>
      <w:r w:rsidRPr="00742622">
        <w:rPr>
          <w:rFonts w:eastAsia="Times New Roman" w:cs="Times New Roman"/>
          <w:szCs w:val="24"/>
        </w:rPr>
        <w:t>“</w:t>
      </w:r>
      <w:proofErr w:type="gramEnd"/>
      <w:r w:rsidRPr="00742622">
        <w:rPr>
          <w:rFonts w:eastAsia="Times New Roman" w:cs="Times New Roman"/>
          <w:szCs w:val="24"/>
        </w:rPr>
        <w:t>A killing is unlawful within the meaning of this instruction if</w:t>
      </w:r>
    </w:p>
    <w:p w14:paraId="1EC371D4" w14:textId="77777777" w:rsidR="00920521" w:rsidRPr="00742622" w:rsidRDefault="00920521" w:rsidP="00920521">
      <w:pPr>
        <w:rPr>
          <w:rFonts w:eastAsia="Times New Roman" w:cs="Times New Roman"/>
          <w:szCs w:val="24"/>
        </w:rPr>
      </w:pPr>
      <w:r w:rsidRPr="00742622">
        <w:rPr>
          <w:rFonts w:eastAsia="Times New Roman" w:cs="Times New Roman"/>
          <w:szCs w:val="24"/>
        </w:rPr>
        <w:t>it was [not justifiable] [not excusable] [neither justifiable nor excusable].”</w:t>
      </w:r>
    </w:p>
    <w:p w14:paraId="4AF2A051" w14:textId="77777777" w:rsidR="00920521" w:rsidRPr="00742622" w:rsidRDefault="00920521" w:rsidP="00920521">
      <w:pPr>
        <w:rPr>
          <w:rFonts w:eastAsia="Times New Roman" w:cs="Times New Roman"/>
          <w:szCs w:val="24"/>
        </w:rPr>
      </w:pPr>
      <w:r w:rsidRPr="00742622">
        <w:rPr>
          <w:rFonts w:eastAsia="Times New Roman" w:cs="Times New Roman"/>
          <w:szCs w:val="24"/>
        </w:rPr>
        <w:tab/>
      </w:r>
    </w:p>
    <w:p w14:paraId="58FD1625" w14:textId="77777777" w:rsidR="00920521" w:rsidRPr="00742622" w:rsidRDefault="00920521" w:rsidP="00920521">
      <w:pPr>
        <w:rPr>
          <w:rFonts w:eastAsia="Times New Roman" w:cs="Times New Roman"/>
          <w:szCs w:val="24"/>
        </w:rPr>
      </w:pPr>
      <w:r w:rsidRPr="00742622">
        <w:rPr>
          <w:rFonts w:eastAsia="Times New Roman" w:cs="Times New Roman"/>
          <w:szCs w:val="24"/>
        </w:rPr>
        <w:tab/>
        <w:t>As to the second element, the United States Code defines manslaughter as an “unlawful killing of a human being without malice.”  18 U.S.C. § 1112.  Such killing is voluntary manslaughter when it occurs “[u]</w:t>
      </w:r>
      <w:proofErr w:type="spellStart"/>
      <w:r w:rsidRPr="00742622">
        <w:rPr>
          <w:rFonts w:eastAsia="Times New Roman" w:cs="Times New Roman"/>
          <w:szCs w:val="24"/>
        </w:rPr>
        <w:t>pon</w:t>
      </w:r>
      <w:proofErr w:type="spellEnd"/>
      <w:r w:rsidRPr="00742622">
        <w:rPr>
          <w:rFonts w:eastAsia="Times New Roman" w:cs="Times New Roman"/>
          <w:szCs w:val="24"/>
        </w:rPr>
        <w:t xml:space="preserve">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w:t>
      </w:r>
      <w:r>
        <w:rPr>
          <w:rFonts w:eastAsia="Times New Roman" w:cs="Times New Roman"/>
          <w:szCs w:val="24"/>
        </w:rPr>
        <w:t xml:space="preserve">has </w:t>
      </w:r>
      <w:r w:rsidRPr="00742622">
        <w:rPr>
          <w:rFonts w:eastAsia="Times New Roman" w:cs="Times New Roman"/>
          <w:szCs w:val="24"/>
        </w:rPr>
        <w:t xml:space="preserve">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w:t>
      </w:r>
      <w:proofErr w:type="gramStart"/>
      <w:r w:rsidRPr="00742622">
        <w:rPr>
          <w:rFonts w:eastAsia="Times New Roman" w:cs="Times New Roman"/>
          <w:szCs w:val="24"/>
        </w:rPr>
        <w:t>so as to</w:t>
      </w:r>
      <w:proofErr w:type="gramEnd"/>
      <w:r w:rsidRPr="00742622">
        <w:rPr>
          <w:rFonts w:eastAsia="Times New Roman" w:cs="Times New Roman"/>
          <w:szCs w:val="24"/>
        </w:rPr>
        <w:t xml:space="preserve"> commit voluntary manslaughter).</w:t>
      </w:r>
    </w:p>
    <w:p w14:paraId="004777AA" w14:textId="77777777" w:rsidR="00920521" w:rsidRPr="00742622" w:rsidRDefault="00920521" w:rsidP="00920521">
      <w:pPr>
        <w:rPr>
          <w:rFonts w:eastAsia="Times New Roman" w:cs="Times New Roman"/>
          <w:szCs w:val="24"/>
        </w:rPr>
      </w:pPr>
    </w:p>
    <w:p w14:paraId="50C66FA7"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 xml:space="preserve">United States v. </w:t>
      </w:r>
      <w:proofErr w:type="spellStart"/>
      <w:r w:rsidRPr="00742622">
        <w:rPr>
          <w:rFonts w:eastAsia="Times New Roman" w:cs="Times New Roman"/>
          <w:i/>
          <w:szCs w:val="24"/>
        </w:rPr>
        <w:t>Roston</w:t>
      </w:r>
      <w:proofErr w:type="spellEnd"/>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w:t>
      </w:r>
      <w:r w:rsidRPr="00742622">
        <w:rPr>
          <w:rFonts w:eastAsia="Times New Roman" w:cs="Times New Roman"/>
          <w:szCs w:val="24"/>
        </w:rPr>
        <w:lastRenderedPageBreak/>
        <w:t xml:space="preserve">and adequate provocation negates malice that would otherwise attach if defendant killed with mental 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7B62AAA" w14:textId="77777777" w:rsidR="00920521" w:rsidRPr="00742622" w:rsidRDefault="00920521" w:rsidP="00920521">
      <w:pPr>
        <w:rPr>
          <w:rFonts w:eastAsia="Times New Roman" w:cs="Times New Roman"/>
          <w:szCs w:val="24"/>
        </w:rPr>
      </w:pPr>
    </w:p>
    <w:p w14:paraId="528FB18B"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proofErr w:type="spellStart"/>
      <w:r w:rsidRPr="00742622">
        <w:rPr>
          <w:rFonts w:eastAsia="Times New Roman" w:cs="Times New Roman"/>
          <w:i/>
          <w:szCs w:val="24"/>
        </w:rPr>
        <w:t>Roston</w:t>
      </w:r>
      <w:proofErr w:type="spellEnd"/>
      <w:r w:rsidRPr="00742622">
        <w:rPr>
          <w:rFonts w:eastAsia="Times New Roman" w:cs="Times New Roman"/>
          <w:szCs w:val="24"/>
        </w:rPr>
        <w:t>, 986 F.2d at 1291.</w:t>
      </w:r>
    </w:p>
    <w:p w14:paraId="6D9B1003" w14:textId="77777777" w:rsidR="00920521" w:rsidRPr="00742622" w:rsidRDefault="00920521" w:rsidP="00920521">
      <w:pPr>
        <w:rPr>
          <w:rFonts w:eastAsia="Times New Roman" w:cs="Times New Roman"/>
          <w:szCs w:val="24"/>
        </w:rPr>
      </w:pPr>
    </w:p>
    <w:p w14:paraId="70C24038" w14:textId="77777777" w:rsidR="00920521" w:rsidRPr="00742622" w:rsidRDefault="00920521" w:rsidP="00920521">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67268B5E" w14:textId="77777777" w:rsidR="00920521" w:rsidRPr="00742622" w:rsidRDefault="00920521" w:rsidP="00920521">
      <w:pPr>
        <w:rPr>
          <w:rFonts w:eastAsia="Times New Roman" w:cs="Times New Roman"/>
          <w:szCs w:val="24"/>
        </w:rPr>
      </w:pPr>
      <w:r w:rsidRPr="00742622">
        <w:rPr>
          <w:rFonts w:eastAsia="Times New Roman" w:cs="Times New Roman"/>
          <w:szCs w:val="24"/>
        </w:rPr>
        <w:t xml:space="preserve">question of fact.  </w:t>
      </w:r>
      <w:r w:rsidRPr="000E108B">
        <w:rPr>
          <w:rFonts w:eastAsia="Times New Roman" w:cs="Times New Roman"/>
          <w:i/>
          <w:iCs/>
          <w:szCs w:val="24"/>
        </w:rPr>
        <w:t>United States v. Warren</w:t>
      </w:r>
      <w:r>
        <w:rPr>
          <w:rFonts w:eastAsia="Times New Roman" w:cs="Times New Roman"/>
          <w:szCs w:val="24"/>
        </w:rPr>
        <w:t>, 984 F.3d 325, 327 (9</w:t>
      </w:r>
      <w:r w:rsidRPr="000E108B">
        <w:rPr>
          <w:rFonts w:eastAsia="Times New Roman" w:cs="Times New Roman"/>
          <w:szCs w:val="24"/>
        </w:rPr>
        <w:t>th</w:t>
      </w:r>
      <w:r>
        <w:rPr>
          <w:rFonts w:eastAsia="Times New Roman" w:cs="Times New Roman"/>
          <w:szCs w:val="24"/>
        </w:rPr>
        <w:t xml:space="preserve"> Cir. 1993).  </w:t>
      </w:r>
      <w:r w:rsidRPr="00742622">
        <w:rPr>
          <w:rFonts w:eastAsia="Times New Roman" w:cs="Times New Roman"/>
          <w:szCs w:val="24"/>
        </w:rPr>
        <w:t xml:space="preserve">Whether the location is within the special maritime and territorial jurisdiction of the United States, or a federal prison is a question of law.  </w:t>
      </w:r>
      <w:r w:rsidRPr="00742622">
        <w:rPr>
          <w:rFonts w:eastAsia="Times New Roman" w:cs="Times New Roman"/>
          <w:i/>
          <w:szCs w:val="24"/>
        </w:rPr>
        <w:t xml:space="preserve">See United States v. </w:t>
      </w:r>
      <w:proofErr w:type="spellStart"/>
      <w:r w:rsidRPr="00742622">
        <w:rPr>
          <w:rFonts w:eastAsia="Times New Roman" w:cs="Times New Roman"/>
          <w:i/>
          <w:szCs w:val="24"/>
        </w:rPr>
        <w:t>Gipe</w:t>
      </w:r>
      <w:proofErr w:type="spellEnd"/>
      <w:r w:rsidRPr="00742622">
        <w:rPr>
          <w:rFonts w:eastAsia="Times New Roman" w:cs="Times New Roman"/>
          <w:szCs w:val="24"/>
        </w:rPr>
        <w:t>, 672 F.2d 777, 779 (9th Cir. 1982).</w:t>
      </w:r>
    </w:p>
    <w:p w14:paraId="4CBD8C0F" w14:textId="77777777" w:rsidR="00920521" w:rsidRPr="00742622" w:rsidRDefault="00920521" w:rsidP="00920521">
      <w:pPr>
        <w:rPr>
          <w:rFonts w:eastAsia="Times New Roman" w:cs="Times New Roman"/>
          <w:szCs w:val="24"/>
        </w:rPr>
      </w:pPr>
    </w:p>
    <w:p w14:paraId="1EB2FF68"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proofErr w:type="spellStart"/>
      <w:r w:rsidRPr="00742622">
        <w:rPr>
          <w:rFonts w:eastAsia="Times New Roman" w:cs="Times New Roman"/>
          <w:i/>
          <w:szCs w:val="24"/>
        </w:rPr>
        <w:t>Kleeman</w:t>
      </w:r>
      <w:proofErr w:type="spellEnd"/>
      <w:r w:rsidRPr="00742622">
        <w:rPr>
          <w:rFonts w:eastAsia="Times New Roman" w:cs="Times New Roman"/>
          <w:i/>
          <w:szCs w:val="24"/>
        </w:rPr>
        <w:t xml:space="preserve"> v. United States Parole Commission</w:t>
      </w:r>
      <w:r w:rsidRPr="00742622">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742622">
        <w:rPr>
          <w:rFonts w:eastAsia="Times New Roman" w:cs="Times New Roman"/>
          <w:szCs w:val="24"/>
        </w:rPr>
        <w:t>self control</w:t>
      </w:r>
      <w:proofErr w:type="spellEnd"/>
      <w:r w:rsidRPr="00742622">
        <w:rPr>
          <w:rFonts w:eastAsia="Times New Roman" w:cs="Times New Roman"/>
          <w:szCs w:val="24"/>
        </w:rPr>
        <w:t>” may also negate the malice attached to an intentional killing.</w:t>
      </w:r>
    </w:p>
    <w:p w14:paraId="53FCF818" w14:textId="77777777" w:rsidR="00920521" w:rsidRPr="00742622" w:rsidRDefault="00920521" w:rsidP="00920521">
      <w:pPr>
        <w:rPr>
          <w:rFonts w:eastAsia="Times New Roman" w:cs="Times New Roman"/>
          <w:szCs w:val="24"/>
        </w:rPr>
      </w:pPr>
    </w:p>
    <w:p w14:paraId="2AC69D37"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208A216C" w14:textId="77777777" w:rsidR="00920521" w:rsidRPr="00742622" w:rsidRDefault="00920521" w:rsidP="00920521">
      <w:pPr>
        <w:rPr>
          <w:rFonts w:eastAsia="Times New Roman" w:cs="Times New Roman"/>
          <w:szCs w:val="24"/>
        </w:rPr>
      </w:pPr>
    </w:p>
    <w:p w14:paraId="6E30E8EC"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 xml:space="preserve">United States v. </w:t>
      </w:r>
      <w:proofErr w:type="spellStart"/>
      <w:r w:rsidRPr="00742622">
        <w:rPr>
          <w:rFonts w:eastAsia="Times New Roman" w:cs="Times New Roman"/>
          <w:i/>
          <w:szCs w:val="24"/>
        </w:rPr>
        <w:t>Arnt</w:t>
      </w:r>
      <w:proofErr w:type="spellEnd"/>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6564AAE1" w14:textId="77777777" w:rsidR="00920521" w:rsidRPr="00742622" w:rsidRDefault="00920521" w:rsidP="00920521">
      <w:pPr>
        <w:rPr>
          <w:rFonts w:eastAsia="Times New Roman" w:cs="Times New Roman"/>
          <w:szCs w:val="24"/>
        </w:rPr>
      </w:pPr>
    </w:p>
    <w:p w14:paraId="61FC7166" w14:textId="77777777" w:rsidR="00920521" w:rsidRPr="00742622" w:rsidRDefault="00920521" w:rsidP="00920521">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w:t>
      </w:r>
      <w:proofErr w:type="spellStart"/>
      <w:r w:rsidRPr="00742622">
        <w:rPr>
          <w:rFonts w:eastAsia="Times New Roman" w:cs="Times New Roman"/>
          <w:i/>
          <w:szCs w:val="24"/>
        </w:rPr>
        <w:t>Roston</w:t>
      </w:r>
      <w:proofErr w:type="spellEnd"/>
      <w:r w:rsidRPr="00742622">
        <w:rPr>
          <w:rFonts w:eastAsia="Times New Roman" w:cs="Times New Roman"/>
          <w:szCs w:val="24"/>
        </w:rPr>
        <w:t>, 986 F.2d 1290-91.</w:t>
      </w:r>
    </w:p>
    <w:p w14:paraId="2C9732F8" w14:textId="77777777" w:rsidR="00920521" w:rsidRPr="00742622" w:rsidRDefault="00920521" w:rsidP="00920521">
      <w:pPr>
        <w:rPr>
          <w:rFonts w:eastAsia="Times New Roman" w:cs="Times New Roman"/>
          <w:szCs w:val="24"/>
        </w:rPr>
      </w:pPr>
    </w:p>
    <w:p w14:paraId="3F8B1090" w14:textId="77777777" w:rsidR="00920521" w:rsidRPr="003C7876" w:rsidRDefault="00920521" w:rsidP="00920521">
      <w:pPr>
        <w:widowControl w:val="0"/>
        <w:jc w:val="right"/>
        <w:rPr>
          <w:rFonts w:eastAsia="Times New Roman" w:cs="Times New Roman"/>
          <w:i/>
          <w:iCs/>
          <w:szCs w:val="20"/>
        </w:rPr>
      </w:pPr>
      <w:r w:rsidRPr="00742622">
        <w:rPr>
          <w:rFonts w:eastAsia="Times New Roman" w:cs="Times New Roman"/>
          <w:szCs w:val="24"/>
        </w:rPr>
        <w:tab/>
        <w:t xml:space="preserve"> </w:t>
      </w:r>
      <w:r w:rsidRPr="003C7876">
        <w:rPr>
          <w:rFonts w:eastAsia="Times New Roman" w:cs="Times New Roman"/>
          <w:i/>
          <w:iCs/>
          <w:szCs w:val="20"/>
        </w:rPr>
        <w:t xml:space="preserve">Revised </w:t>
      </w:r>
      <w:r>
        <w:rPr>
          <w:rFonts w:eastAsia="Times New Roman" w:cs="Times New Roman"/>
          <w:i/>
          <w:iCs/>
          <w:szCs w:val="20"/>
        </w:rPr>
        <w:t>June 2019</w:t>
      </w:r>
    </w:p>
    <w:p w14:paraId="04F026A4" w14:textId="55072E31" w:rsidR="00101E36" w:rsidRPr="00101E36" w:rsidRDefault="00101E36" w:rsidP="00920521">
      <w:pPr>
        <w:rPr>
          <w:rFonts w:eastAsia="Times New Roman" w:cs="Times New Roman"/>
          <w:color w:val="000000"/>
          <w:szCs w:val="24"/>
        </w:rPr>
      </w:pPr>
    </w:p>
    <w:p w14:paraId="0ACE18C0" w14:textId="20993E1B" w:rsidR="00C97E04" w:rsidRPr="00101E36" w:rsidRDefault="00C97E04" w:rsidP="00101E36"/>
    <w:sectPr w:rsidR="00C97E04" w:rsidRPr="00101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20521"/>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2022-08-23T14:19:00Z</dcterms:created>
  <dcterms:modified xsi:type="dcterms:W3CDTF">2022-08-23T14:19:00Z</dcterms:modified>
</cp:coreProperties>
</file>