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8287" w14:textId="77777777" w:rsidR="00243357" w:rsidRPr="00243357" w:rsidRDefault="00243357" w:rsidP="00243357">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243357">
        <w:rPr>
          <w:rFonts w:ascii="Times New Roman" w:hAnsi="Times New Roman" w:cs="Times New Roman"/>
          <w:b/>
          <w:bCs/>
          <w:sz w:val="24"/>
          <w:szCs w:val="24"/>
        </w:rPr>
        <w:t>17.2 Kidnapping—Within Special Maritime and Territorial</w:t>
      </w:r>
    </w:p>
    <w:p w14:paraId="3916509B" w14:textId="77777777" w:rsidR="00243357" w:rsidRPr="00243357" w:rsidRDefault="00243357" w:rsidP="00243357">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243357">
        <w:rPr>
          <w:rFonts w:ascii="Times New Roman" w:hAnsi="Times New Roman" w:cs="Times New Roman"/>
          <w:b/>
          <w:bCs/>
          <w:sz w:val="24"/>
          <w:szCs w:val="24"/>
        </w:rPr>
        <w:t xml:space="preserve"> Jurisdiction of United States (18 U.S.C. § 1201(a)(2))</w:t>
      </w:r>
    </w:p>
    <w:p w14:paraId="281F22CD"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p>
    <w:p w14:paraId="4D86D9CE"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r w:rsidRPr="00243357">
        <w:rPr>
          <w:rFonts w:ascii="Times New Roman" w:eastAsia="Times New Roman" w:hAnsi="Times New Roman" w:cs="Times New Roman"/>
          <w:color w:val="000000"/>
          <w:sz w:val="24"/>
          <w:szCs w:val="24"/>
        </w:rPr>
        <w:tab/>
      </w:r>
      <w:bookmarkStart w:id="0" w:name="_Hlk101248417"/>
      <w:bookmarkStart w:id="1" w:name="_Hlk112136775"/>
      <w:r w:rsidRPr="00243357">
        <w:rPr>
          <w:rFonts w:ascii="Times New Roman" w:eastAsia="Times New Roman" w:hAnsi="Times New Roman" w:cs="Times New Roman"/>
          <w:color w:val="000000"/>
          <w:sz w:val="24"/>
          <w:szCs w:val="24"/>
        </w:rPr>
        <w:t>The defendant is charged in [Count _______ of] the indictment with kidnapping [</w:t>
      </w:r>
      <w:r w:rsidRPr="00243357">
        <w:rPr>
          <w:rFonts w:ascii="Times New Roman" w:eastAsia="Times New Roman" w:hAnsi="Times New Roman" w:cs="Times New Roman"/>
          <w:i/>
          <w:color w:val="000000"/>
          <w:sz w:val="24"/>
          <w:szCs w:val="24"/>
          <w:u w:val="single"/>
        </w:rPr>
        <w:t>name of kidnapped person</w:t>
      </w:r>
      <w:r w:rsidRPr="00243357">
        <w:rPr>
          <w:rFonts w:ascii="Times New Roman" w:eastAsia="Times New Roman" w:hAnsi="Times New Roman" w:cs="Times New Roman"/>
          <w:color w:val="000000"/>
          <w:sz w:val="24"/>
          <w:szCs w:val="24"/>
        </w:rPr>
        <w:t>] within the special maritime and territorial jurisdiction of the United States in violation of Section 1201(a)(2) of Title 18 of the United States Code.  For the defendant to be found guilty of that charge, the government must prove each of the following elements beyond a reasonable doubt:</w:t>
      </w:r>
    </w:p>
    <w:p w14:paraId="495E8AAD"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p>
    <w:p w14:paraId="4AFAFCB1"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r w:rsidRPr="00243357">
        <w:rPr>
          <w:rFonts w:ascii="Times New Roman" w:eastAsia="Times New Roman" w:hAnsi="Times New Roman" w:cs="Times New Roman"/>
          <w:color w:val="000000"/>
          <w:sz w:val="24"/>
          <w:szCs w:val="24"/>
        </w:rPr>
        <w:tab/>
        <w:t>First, the defendant [seized] [confined] [inveigled] [decoyed] [kidnapped] [abducted] [carried away] [</w:t>
      </w:r>
      <w:r w:rsidRPr="00243357">
        <w:rPr>
          <w:rFonts w:ascii="Times New Roman" w:eastAsia="Times New Roman" w:hAnsi="Times New Roman" w:cs="Times New Roman"/>
          <w:i/>
          <w:color w:val="000000"/>
          <w:sz w:val="24"/>
          <w:szCs w:val="24"/>
          <w:u w:val="single"/>
        </w:rPr>
        <w:t>name of kidnapped person</w:t>
      </w:r>
      <w:r w:rsidRPr="00243357">
        <w:rPr>
          <w:rFonts w:ascii="Times New Roman" w:eastAsia="Times New Roman" w:hAnsi="Times New Roman" w:cs="Times New Roman"/>
          <w:color w:val="000000"/>
          <w:sz w:val="24"/>
          <w:szCs w:val="24"/>
        </w:rPr>
        <w:t>] within [</w:t>
      </w:r>
      <w:r w:rsidRPr="00243357">
        <w:rPr>
          <w:rFonts w:ascii="Times New Roman" w:eastAsia="Times New Roman" w:hAnsi="Times New Roman" w:cs="Times New Roman"/>
          <w:i/>
          <w:color w:val="000000"/>
          <w:sz w:val="24"/>
          <w:szCs w:val="24"/>
          <w:u w:val="single"/>
        </w:rPr>
        <w:t>specify place of federal jurisdiction</w:t>
      </w:r>
      <w:r w:rsidRPr="00243357">
        <w:rPr>
          <w:rFonts w:ascii="Times New Roman" w:eastAsia="Times New Roman" w:hAnsi="Times New Roman" w:cs="Times New Roman"/>
          <w:color w:val="000000"/>
          <w:sz w:val="24"/>
          <w:szCs w:val="24"/>
        </w:rPr>
        <w:t xml:space="preserve">]; and </w:t>
      </w:r>
    </w:p>
    <w:p w14:paraId="19BCF715"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r w:rsidRPr="00243357">
        <w:rPr>
          <w:rFonts w:ascii="Times New Roman" w:eastAsia="Times New Roman" w:hAnsi="Times New Roman" w:cs="Times New Roman"/>
          <w:color w:val="000000"/>
          <w:sz w:val="24"/>
          <w:szCs w:val="24"/>
        </w:rPr>
        <w:tab/>
      </w:r>
    </w:p>
    <w:p w14:paraId="015F9FDF"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r w:rsidRPr="00243357">
        <w:rPr>
          <w:rFonts w:ascii="Times New Roman" w:eastAsia="Times New Roman" w:hAnsi="Times New Roman" w:cs="Times New Roman"/>
          <w:color w:val="000000"/>
          <w:sz w:val="24"/>
          <w:szCs w:val="24"/>
        </w:rPr>
        <w:tab/>
        <w:t>Second, the defendant [held] [detained] [</w:t>
      </w:r>
      <w:r w:rsidRPr="00243357">
        <w:rPr>
          <w:rFonts w:ascii="Times New Roman" w:eastAsia="Times New Roman" w:hAnsi="Times New Roman" w:cs="Times New Roman"/>
          <w:i/>
          <w:color w:val="000000"/>
          <w:sz w:val="24"/>
          <w:szCs w:val="24"/>
          <w:u w:val="single"/>
        </w:rPr>
        <w:t>name of kidnapped person</w:t>
      </w:r>
      <w:r w:rsidRPr="00243357">
        <w:rPr>
          <w:rFonts w:ascii="Times New Roman" w:eastAsia="Times New Roman" w:hAnsi="Times New Roman" w:cs="Times New Roman"/>
          <w:color w:val="000000"/>
          <w:sz w:val="24"/>
          <w:szCs w:val="24"/>
        </w:rPr>
        <w:t>] against [his][her] will.</w:t>
      </w:r>
    </w:p>
    <w:p w14:paraId="4C84ED2D"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p>
    <w:p w14:paraId="228BB5E9"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r w:rsidRPr="00243357">
        <w:rPr>
          <w:rFonts w:ascii="Times New Roman" w:eastAsia="Times New Roman" w:hAnsi="Times New Roman" w:cs="Times New Roman"/>
          <w:color w:val="000000"/>
          <w:sz w:val="24"/>
          <w:szCs w:val="24"/>
        </w:rPr>
        <w:tab/>
        <w:t>[The government is not required to prove that the defendant kidnapped [</w:t>
      </w:r>
      <w:r w:rsidRPr="00243357">
        <w:rPr>
          <w:rFonts w:ascii="Times New Roman" w:eastAsia="Times New Roman" w:hAnsi="Times New Roman" w:cs="Times New Roman"/>
          <w:i/>
          <w:color w:val="000000"/>
          <w:sz w:val="24"/>
          <w:szCs w:val="24"/>
          <w:u w:val="single"/>
        </w:rPr>
        <w:t>name of kidnapped person</w:t>
      </w:r>
      <w:r w:rsidRPr="00243357">
        <w:rPr>
          <w:rFonts w:ascii="Times New Roman" w:eastAsia="Times New Roman" w:hAnsi="Times New Roman" w:cs="Times New Roman"/>
          <w:color w:val="000000"/>
          <w:sz w:val="24"/>
          <w:szCs w:val="24"/>
        </w:rPr>
        <w:t>] for reward or ransom, or for any other purpose.]</w:t>
      </w:r>
    </w:p>
    <w:p w14:paraId="64CE736D"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p>
    <w:p w14:paraId="5F2EF6E2"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r w:rsidRPr="00243357">
        <w:rPr>
          <w:rFonts w:ascii="Times New Roman" w:eastAsia="Times New Roman" w:hAnsi="Times New Roman" w:cs="Times New Roman"/>
          <w:color w:val="000000"/>
          <w:sz w:val="24"/>
          <w:szCs w:val="24"/>
        </w:rPr>
        <w:tab/>
        <w:t>[The fact that [</w:t>
      </w:r>
      <w:r w:rsidRPr="00243357">
        <w:rPr>
          <w:rFonts w:ascii="Times New Roman" w:eastAsia="Times New Roman" w:hAnsi="Times New Roman" w:cs="Times New Roman"/>
          <w:i/>
          <w:color w:val="000000"/>
          <w:sz w:val="24"/>
          <w:szCs w:val="24"/>
          <w:u w:val="single"/>
        </w:rPr>
        <w:t>name of kidnapped person</w:t>
      </w:r>
      <w:r w:rsidRPr="00243357">
        <w:rPr>
          <w:rFonts w:ascii="Times New Roman" w:eastAsia="Times New Roman" w:hAnsi="Times New Roman" w:cs="Times New Roman"/>
          <w:color w:val="000000"/>
          <w:sz w:val="24"/>
          <w:szCs w:val="24"/>
        </w:rPr>
        <w:t>] [may have] initially voluntarily accompanied the defendant does not necessarily [prevent the occurrence] [negate the existence] of a later kidnapping.]</w:t>
      </w:r>
    </w:p>
    <w:p w14:paraId="27C23796"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p>
    <w:p w14:paraId="60DB3627" w14:textId="41DFD101" w:rsidR="00243357" w:rsidRPr="00243357" w:rsidRDefault="00243357" w:rsidP="00243357">
      <w:pPr>
        <w:spacing w:after="240" w:line="240" w:lineRule="auto"/>
        <w:ind w:firstLine="720"/>
        <w:jc w:val="both"/>
        <w:rPr>
          <w:rFonts w:ascii="Times New Roman" w:hAnsi="Times New Roman"/>
          <w:sz w:val="24"/>
        </w:rPr>
      </w:pPr>
      <w:r w:rsidRPr="00243357">
        <w:rPr>
          <w:rFonts w:ascii="Times New Roman" w:hAnsi="Times New Roman"/>
          <w:sz w:val="24"/>
          <w:szCs w:val="24"/>
          <w:u w:val="single"/>
        </w:rPr>
        <w:t>[</w:t>
      </w:r>
      <w:r w:rsidRPr="00243357">
        <w:rPr>
          <w:rFonts w:ascii="Times New Roman" w:hAnsi="Times New Roman" w:cs="Times New Roman"/>
          <w:bCs/>
          <w:iCs/>
          <w:sz w:val="24"/>
          <w:szCs w:val="24"/>
        </w:rPr>
        <w:t>Not every seizure of a person against his or her will is a kidnapping.  To decide whether such a s</w:t>
      </w:r>
      <w:r w:rsidRPr="00243357">
        <w:rPr>
          <w:rFonts w:ascii="Times New Roman" w:hAnsi="Times New Roman" w:cs="Times New Roman"/>
          <w:bCs/>
          <w:iCs/>
          <w:color w:val="000000" w:themeColor="text1"/>
          <w:sz w:val="24"/>
          <w:szCs w:val="24"/>
        </w:rPr>
        <w:t>eizure in this case amounts</w:t>
      </w:r>
      <w:r w:rsidRPr="00243357">
        <w:rPr>
          <w:rFonts w:ascii="Times New Roman" w:hAnsi="Times New Roman" w:cs="Times New Roman"/>
          <w:bCs/>
          <w:iCs/>
          <w:sz w:val="24"/>
          <w:szCs w:val="24"/>
        </w:rPr>
        <w:t xml:space="preserve"> to a </w:t>
      </w:r>
      <w:r w:rsidR="00D309A0">
        <w:rPr>
          <w:rFonts w:ascii="Times New Roman" w:hAnsi="Times New Roman"/>
          <w:sz w:val="24"/>
        </w:rPr>
        <w:t>kidnapping</w:t>
      </w:r>
      <w:r w:rsidRPr="00243357">
        <w:rPr>
          <w:rFonts w:ascii="Times New Roman" w:hAnsi="Times New Roman" w:cs="Times New Roman"/>
          <w:bCs/>
          <w:iCs/>
          <w:sz w:val="24"/>
          <w:szCs w:val="24"/>
        </w:rPr>
        <w:t>, you should consider the following factors</w:t>
      </w:r>
      <w:r w:rsidRPr="00243357">
        <w:rPr>
          <w:rFonts w:ascii="Times New Roman" w:hAnsi="Times New Roman"/>
          <w:sz w:val="24"/>
        </w:rPr>
        <w:t xml:space="preserve">: </w:t>
      </w:r>
    </w:p>
    <w:p w14:paraId="54B96D01" w14:textId="77777777" w:rsidR="00243357" w:rsidRPr="00243357" w:rsidRDefault="00243357" w:rsidP="00243357">
      <w:pPr>
        <w:spacing w:after="240" w:line="240" w:lineRule="auto"/>
        <w:ind w:firstLine="720"/>
        <w:jc w:val="both"/>
        <w:rPr>
          <w:rFonts w:ascii="Times New Roman" w:hAnsi="Times New Roman"/>
          <w:sz w:val="24"/>
        </w:rPr>
      </w:pPr>
      <w:r w:rsidRPr="00243357">
        <w:rPr>
          <w:rFonts w:ascii="Times New Roman" w:hAnsi="Times New Roman"/>
          <w:sz w:val="24"/>
        </w:rPr>
        <w:t>First, the duration of the [seizure] [confinement] [detention] [asportation],</w:t>
      </w:r>
    </w:p>
    <w:p w14:paraId="68979C59" w14:textId="77777777" w:rsidR="00243357" w:rsidRPr="00243357" w:rsidRDefault="00243357" w:rsidP="00243357">
      <w:pPr>
        <w:spacing w:after="240" w:line="240" w:lineRule="auto"/>
        <w:ind w:firstLine="720"/>
        <w:jc w:val="both"/>
        <w:rPr>
          <w:rFonts w:ascii="Times New Roman" w:hAnsi="Times New Roman"/>
          <w:sz w:val="24"/>
        </w:rPr>
      </w:pPr>
      <w:r w:rsidRPr="00243357">
        <w:rPr>
          <w:rFonts w:ascii="Times New Roman" w:hAnsi="Times New Roman"/>
          <w:sz w:val="24"/>
        </w:rPr>
        <w:t>Second, whether the [seizure] [confinement] [detention] [asportation] occurred during the commission of a separate offense,</w:t>
      </w:r>
    </w:p>
    <w:p w14:paraId="1B55EC22" w14:textId="4261E2F0" w:rsidR="00243357" w:rsidRPr="00243357" w:rsidRDefault="00243357" w:rsidP="00243357">
      <w:pPr>
        <w:spacing w:after="240" w:line="240" w:lineRule="auto"/>
        <w:ind w:firstLine="720"/>
        <w:jc w:val="both"/>
        <w:rPr>
          <w:rFonts w:ascii="Times New Roman" w:hAnsi="Times New Roman"/>
          <w:sz w:val="24"/>
        </w:rPr>
      </w:pPr>
      <w:r w:rsidRPr="00243357">
        <w:rPr>
          <w:rFonts w:ascii="Times New Roman" w:hAnsi="Times New Roman"/>
          <w:sz w:val="24"/>
        </w:rPr>
        <w:t xml:space="preserve">Third, whether the [seizure] [confinement] [detention] [asportation] </w:t>
      </w:r>
      <w:r w:rsidR="00034511">
        <w:rPr>
          <w:rFonts w:ascii="Times New Roman" w:hAnsi="Times New Roman"/>
          <w:sz w:val="24"/>
        </w:rPr>
        <w:t>that</w:t>
      </w:r>
      <w:r w:rsidRPr="00243357">
        <w:rPr>
          <w:rFonts w:ascii="Times New Roman" w:hAnsi="Times New Roman"/>
          <w:sz w:val="24"/>
        </w:rPr>
        <w:t xml:space="preserve"> occurred is an essential part of the separate offense, and</w:t>
      </w:r>
    </w:p>
    <w:p w14:paraId="4A509A1C" w14:textId="77777777" w:rsidR="00243357" w:rsidRPr="00243357" w:rsidRDefault="00243357" w:rsidP="00243357">
      <w:pPr>
        <w:spacing w:after="240" w:line="240" w:lineRule="auto"/>
        <w:ind w:firstLine="720"/>
        <w:jc w:val="both"/>
        <w:rPr>
          <w:rFonts w:ascii="Times New Roman" w:hAnsi="Times New Roman"/>
          <w:sz w:val="24"/>
        </w:rPr>
      </w:pPr>
      <w:r w:rsidRPr="00243357">
        <w:rPr>
          <w:rFonts w:ascii="Times New Roman" w:hAnsi="Times New Roman"/>
          <w:sz w:val="24"/>
        </w:rPr>
        <w:t>Fourth, whether the [seizure] [confinement] [detention] [asportation] created a significant danger to the victim independent of that posed by the separate offense.]</w:t>
      </w:r>
    </w:p>
    <w:p w14:paraId="11350223" w14:textId="77777777" w:rsidR="00243357" w:rsidRPr="00243357" w:rsidRDefault="00243357" w:rsidP="00243357">
      <w:pPr>
        <w:spacing w:after="0" w:line="240" w:lineRule="auto"/>
        <w:ind w:right="-180"/>
        <w:jc w:val="center"/>
        <w:rPr>
          <w:rFonts w:ascii="Times New Roman" w:eastAsia="Times New Roman" w:hAnsi="Times New Roman" w:cs="Times New Roman"/>
          <w:color w:val="000000"/>
          <w:sz w:val="24"/>
          <w:szCs w:val="24"/>
        </w:rPr>
      </w:pPr>
      <w:r w:rsidRPr="00243357">
        <w:rPr>
          <w:rFonts w:ascii="Times New Roman" w:eastAsia="Times New Roman" w:hAnsi="Times New Roman" w:cs="Times New Roman"/>
          <w:b/>
          <w:color w:val="000000"/>
          <w:sz w:val="24"/>
          <w:szCs w:val="24"/>
        </w:rPr>
        <w:t>Comment</w:t>
      </w:r>
    </w:p>
    <w:p w14:paraId="399FA3A6"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p>
    <w:p w14:paraId="3C55F437"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r w:rsidRPr="00243357">
        <w:rPr>
          <w:rFonts w:ascii="Times New Roman" w:eastAsia="Times New Roman" w:hAnsi="Times New Roman" w:cs="Times New Roman"/>
          <w:color w:val="000000"/>
          <w:sz w:val="24"/>
          <w:szCs w:val="24"/>
        </w:rPr>
        <w:tab/>
      </w:r>
      <w:r w:rsidRPr="00243357">
        <w:rPr>
          <w:rFonts w:ascii="Times New Roman" w:eastAsia="Times New Roman" w:hAnsi="Times New Roman" w:cs="Times New Roman"/>
          <w:i/>
          <w:color w:val="000000"/>
          <w:sz w:val="24"/>
          <w:szCs w:val="24"/>
        </w:rPr>
        <w:t xml:space="preserve">See </w:t>
      </w:r>
      <w:r w:rsidRPr="00243357">
        <w:rPr>
          <w:rFonts w:ascii="Times New Roman" w:eastAsia="Times New Roman" w:hAnsi="Times New Roman" w:cs="Times New Roman"/>
          <w:color w:val="000000"/>
          <w:sz w:val="24"/>
          <w:szCs w:val="24"/>
        </w:rPr>
        <w:t xml:space="preserve">Comment to Instruction 17.1 (Kidnapping—Interstate Transportation).  </w:t>
      </w:r>
    </w:p>
    <w:p w14:paraId="4886C4D0" w14:textId="77777777" w:rsidR="00243357" w:rsidRPr="00243357" w:rsidRDefault="00243357" w:rsidP="00243357">
      <w:pPr>
        <w:spacing w:after="0" w:line="240" w:lineRule="auto"/>
        <w:rPr>
          <w:rFonts w:ascii="Times New Roman" w:eastAsia="Times New Roman" w:hAnsi="Times New Roman" w:cs="Times New Roman"/>
          <w:color w:val="000000"/>
          <w:sz w:val="24"/>
          <w:szCs w:val="24"/>
        </w:rPr>
      </w:pPr>
    </w:p>
    <w:p w14:paraId="75392970" w14:textId="3F257531" w:rsidR="00243357" w:rsidRDefault="00243357" w:rsidP="00243357">
      <w:pPr>
        <w:spacing w:after="0" w:line="240" w:lineRule="auto"/>
        <w:rPr>
          <w:rFonts w:ascii="Times New Roman" w:eastAsia="Times New Roman" w:hAnsi="Times New Roman" w:cs="Times New Roman"/>
          <w:color w:val="000000"/>
          <w:sz w:val="24"/>
          <w:szCs w:val="24"/>
        </w:rPr>
      </w:pPr>
      <w:r w:rsidRPr="00243357">
        <w:rPr>
          <w:rFonts w:ascii="Times New Roman" w:eastAsia="Times New Roman" w:hAnsi="Times New Roman" w:cs="Times New Roman"/>
          <w:color w:val="000000"/>
          <w:sz w:val="24"/>
          <w:szCs w:val="24"/>
        </w:rPr>
        <w:tab/>
        <w:t xml:space="preserve">“Special maritime and territorial jurisdiction of the United States” is defined in 18 U.S.C. § 7.  While federal jurisdiction over the place may be determined as a matter of law, the locus of the offense within that place is an issue for the jury.  </w:t>
      </w:r>
      <w:r w:rsidRPr="00243357">
        <w:rPr>
          <w:rFonts w:ascii="Times New Roman" w:eastAsia="Times New Roman" w:hAnsi="Times New Roman" w:cs="Times New Roman"/>
          <w:i/>
          <w:color w:val="000000"/>
          <w:sz w:val="24"/>
          <w:szCs w:val="24"/>
        </w:rPr>
        <w:t xml:space="preserve">United States v. </w:t>
      </w:r>
      <w:proofErr w:type="spellStart"/>
      <w:r w:rsidRPr="00243357">
        <w:rPr>
          <w:rFonts w:ascii="Times New Roman" w:eastAsia="Times New Roman" w:hAnsi="Times New Roman" w:cs="Times New Roman"/>
          <w:i/>
          <w:color w:val="000000"/>
          <w:sz w:val="24"/>
          <w:szCs w:val="24"/>
        </w:rPr>
        <w:t>Gipe</w:t>
      </w:r>
      <w:proofErr w:type="spellEnd"/>
      <w:r w:rsidRPr="00243357">
        <w:rPr>
          <w:rFonts w:ascii="Times New Roman" w:eastAsia="Times New Roman" w:hAnsi="Times New Roman" w:cs="Times New Roman"/>
          <w:iCs/>
          <w:color w:val="000000"/>
          <w:sz w:val="24"/>
          <w:szCs w:val="24"/>
        </w:rPr>
        <w:t>,</w:t>
      </w:r>
      <w:r w:rsidRPr="00243357">
        <w:rPr>
          <w:rFonts w:ascii="Times New Roman" w:eastAsia="Times New Roman" w:hAnsi="Times New Roman" w:cs="Times New Roman"/>
          <w:color w:val="000000"/>
          <w:sz w:val="24"/>
          <w:szCs w:val="24"/>
        </w:rPr>
        <w:t xml:space="preserve"> 672 F.2d 777, 779 (9th Cir. 1982).</w:t>
      </w:r>
    </w:p>
    <w:p w14:paraId="1B0DBE7B" w14:textId="77777777" w:rsidR="00553CAE" w:rsidRPr="00243357" w:rsidRDefault="00553CAE" w:rsidP="00243357">
      <w:pPr>
        <w:spacing w:after="0" w:line="240" w:lineRule="auto"/>
        <w:rPr>
          <w:rFonts w:ascii="Times New Roman" w:eastAsia="Times New Roman" w:hAnsi="Times New Roman" w:cs="Times New Roman"/>
          <w:color w:val="000000"/>
          <w:sz w:val="24"/>
          <w:szCs w:val="24"/>
        </w:rPr>
      </w:pPr>
    </w:p>
    <w:p w14:paraId="2CF7B1A3" w14:textId="404BE748" w:rsidR="00243357" w:rsidRPr="00243357" w:rsidRDefault="00243357" w:rsidP="00243357">
      <w:pPr>
        <w:spacing w:after="240" w:line="240" w:lineRule="auto"/>
        <w:ind w:firstLine="720"/>
        <w:jc w:val="both"/>
        <w:rPr>
          <w:rFonts w:ascii="Times New Roman" w:hAnsi="Times New Roman"/>
          <w:sz w:val="24"/>
        </w:rPr>
      </w:pPr>
      <w:r w:rsidRPr="00243357">
        <w:rPr>
          <w:rFonts w:ascii="Times New Roman" w:hAnsi="Times New Roman"/>
          <w:sz w:val="24"/>
        </w:rPr>
        <w:lastRenderedPageBreak/>
        <w:t xml:space="preserve">The bracketed language beginning with </w:t>
      </w:r>
      <w:r w:rsidR="00D309A0">
        <w:rPr>
          <w:rFonts w:ascii="Times New Roman" w:hAnsi="Times New Roman"/>
          <w:sz w:val="24"/>
        </w:rPr>
        <w:t xml:space="preserve">“Not every seizure of a person” </w:t>
      </w:r>
      <w:r w:rsidRPr="00243357">
        <w:rPr>
          <w:rFonts w:ascii="Times New Roman" w:hAnsi="Times New Roman"/>
          <w:sz w:val="24"/>
        </w:rPr>
        <w:t xml:space="preserve">is derived from </w:t>
      </w:r>
      <w:r w:rsidRPr="00243357">
        <w:rPr>
          <w:rFonts w:ascii="Times New Roman" w:hAnsi="Times New Roman"/>
          <w:i/>
          <w:iCs/>
          <w:sz w:val="24"/>
        </w:rPr>
        <w:t>United States v. Jackson</w:t>
      </w:r>
      <w:r w:rsidRPr="00243357">
        <w:rPr>
          <w:rFonts w:ascii="Times New Roman" w:hAnsi="Times New Roman"/>
          <w:sz w:val="24"/>
        </w:rPr>
        <w:t>, 24 F.4th 1308 (9th Cir. 2022), which also illustrates when such an instruction would be appropriate.</w:t>
      </w:r>
    </w:p>
    <w:p w14:paraId="35668F1C" w14:textId="77777777" w:rsidR="00243357" w:rsidRPr="00243357" w:rsidRDefault="00243357" w:rsidP="00243357">
      <w:pPr>
        <w:spacing w:after="240" w:line="240" w:lineRule="auto"/>
        <w:ind w:firstLine="720"/>
        <w:jc w:val="both"/>
        <w:rPr>
          <w:rFonts w:ascii="Times New Roman" w:hAnsi="Times New Roman"/>
          <w:sz w:val="24"/>
        </w:rPr>
      </w:pPr>
      <w:r w:rsidRPr="00243357">
        <w:rPr>
          <w:rFonts w:ascii="Times New Roman" w:hAnsi="Times New Roman"/>
          <w:sz w:val="24"/>
        </w:rPr>
        <w:t xml:space="preserve">In </w:t>
      </w:r>
      <w:r w:rsidRPr="00243357">
        <w:rPr>
          <w:rFonts w:ascii="Times New Roman" w:hAnsi="Times New Roman"/>
          <w:i/>
          <w:iCs/>
          <w:sz w:val="24"/>
        </w:rPr>
        <w:t>Jackson</w:t>
      </w:r>
      <w:r w:rsidRPr="00243357">
        <w:rPr>
          <w:rFonts w:ascii="Times New Roman" w:hAnsi="Times New Roman"/>
          <w:sz w:val="24"/>
        </w:rPr>
        <w:t xml:space="preserve">, the defendant was charged with kidnapping under 18 U.S.C. § 1028(a)(2) after he violently assaulted his then-girlfriend.  </w:t>
      </w:r>
      <w:r w:rsidRPr="00243357">
        <w:rPr>
          <w:rFonts w:ascii="Times New Roman" w:hAnsi="Times New Roman"/>
          <w:i/>
          <w:iCs/>
          <w:sz w:val="24"/>
        </w:rPr>
        <w:t>Id.</w:t>
      </w:r>
      <w:r w:rsidRPr="00243357">
        <w:rPr>
          <w:rFonts w:ascii="Times New Roman" w:hAnsi="Times New Roman"/>
          <w:sz w:val="24"/>
        </w:rPr>
        <w:t xml:space="preserve"> at 1309-10.  The defendant moved for acquittal under Federal Rule of Criminal Procedure 29, arguing that the facts could not support a kidnapping conviction because there was no “seizure” of the victim, and whatever “seizure” occurred “didn’t occur beyond whatever beating there was.”  </w:t>
      </w:r>
      <w:r w:rsidRPr="00243357">
        <w:rPr>
          <w:rFonts w:ascii="Times New Roman" w:hAnsi="Times New Roman"/>
          <w:i/>
          <w:iCs/>
          <w:sz w:val="24"/>
        </w:rPr>
        <w:t>Id.</w:t>
      </w:r>
      <w:r w:rsidRPr="00243357">
        <w:rPr>
          <w:rFonts w:ascii="Times New Roman" w:hAnsi="Times New Roman"/>
          <w:sz w:val="24"/>
        </w:rPr>
        <w:t xml:space="preserve"> at 1310.  The attack on the victim lasted about six or seven minutes, during which the defendant “dragged her around by her hair, yanked her arms, punched her, and tried to pull her into” a small dwelling.  </w:t>
      </w:r>
      <w:r w:rsidRPr="00243357">
        <w:rPr>
          <w:rFonts w:ascii="Times New Roman" w:hAnsi="Times New Roman"/>
          <w:i/>
          <w:iCs/>
          <w:sz w:val="24"/>
        </w:rPr>
        <w:t>Id.</w:t>
      </w:r>
    </w:p>
    <w:p w14:paraId="3A8CF74B" w14:textId="77777777" w:rsidR="00243357" w:rsidRPr="00243357" w:rsidRDefault="00243357" w:rsidP="00243357">
      <w:pPr>
        <w:spacing w:after="240" w:line="240" w:lineRule="auto"/>
        <w:ind w:firstLine="720"/>
        <w:jc w:val="both"/>
        <w:rPr>
          <w:rFonts w:ascii="Times New Roman" w:hAnsi="Times New Roman"/>
          <w:sz w:val="24"/>
        </w:rPr>
      </w:pPr>
      <w:r w:rsidRPr="00243357">
        <w:rPr>
          <w:rFonts w:ascii="Times New Roman" w:hAnsi="Times New Roman"/>
          <w:sz w:val="24"/>
        </w:rPr>
        <w:t xml:space="preserve">Citing Supreme Court and Ninth Circuit precedent, the court reasoned that “kidnapping requires more than a transitory holding, and more than a simple mugging or assault” because “the facts must reflect the ‘essence of the crime of kidnaping.’”  </w:t>
      </w:r>
      <w:r w:rsidRPr="00243357">
        <w:rPr>
          <w:rFonts w:ascii="Times New Roman" w:hAnsi="Times New Roman"/>
          <w:i/>
          <w:iCs/>
          <w:sz w:val="24"/>
        </w:rPr>
        <w:t>Id.</w:t>
      </w:r>
      <w:r w:rsidRPr="00243357">
        <w:rPr>
          <w:rFonts w:ascii="Times New Roman" w:hAnsi="Times New Roman"/>
          <w:sz w:val="24"/>
        </w:rPr>
        <w:t xml:space="preserve"> at 1312 (quoting </w:t>
      </w:r>
      <w:proofErr w:type="spellStart"/>
      <w:r w:rsidRPr="00243357">
        <w:rPr>
          <w:rFonts w:ascii="Times New Roman" w:hAnsi="Times New Roman"/>
          <w:i/>
          <w:iCs/>
          <w:sz w:val="24"/>
        </w:rPr>
        <w:t>Chatwin</w:t>
      </w:r>
      <w:proofErr w:type="spellEnd"/>
      <w:r w:rsidRPr="00243357">
        <w:rPr>
          <w:rFonts w:ascii="Times New Roman" w:hAnsi="Times New Roman"/>
          <w:i/>
          <w:iCs/>
          <w:sz w:val="24"/>
        </w:rPr>
        <w:t xml:space="preserve"> v. United States</w:t>
      </w:r>
      <w:r w:rsidRPr="00243357">
        <w:rPr>
          <w:rFonts w:ascii="Times New Roman" w:hAnsi="Times New Roman"/>
          <w:sz w:val="24"/>
        </w:rPr>
        <w:t xml:space="preserve">, 326 U.S. 455, 464 (1946)); </w:t>
      </w:r>
      <w:r w:rsidRPr="00243357">
        <w:rPr>
          <w:rFonts w:ascii="Times New Roman" w:hAnsi="Times New Roman"/>
          <w:i/>
          <w:iCs/>
          <w:sz w:val="24"/>
        </w:rPr>
        <w:t xml:space="preserve">see also id. </w:t>
      </w:r>
      <w:r w:rsidRPr="00243357">
        <w:rPr>
          <w:rFonts w:ascii="Times New Roman" w:hAnsi="Times New Roman"/>
          <w:sz w:val="24"/>
        </w:rPr>
        <w:t xml:space="preserve">at 1311-12 (discussing </w:t>
      </w:r>
      <w:r w:rsidRPr="00243357">
        <w:rPr>
          <w:rFonts w:ascii="Times New Roman" w:hAnsi="Times New Roman"/>
          <w:i/>
          <w:iCs/>
          <w:sz w:val="24"/>
        </w:rPr>
        <w:t>United States v. Etsitty</w:t>
      </w:r>
      <w:r w:rsidRPr="00243357">
        <w:rPr>
          <w:rFonts w:ascii="Times New Roman" w:hAnsi="Times New Roman"/>
          <w:sz w:val="24"/>
        </w:rPr>
        <w:t xml:space="preserve">, 130 F.3d 420 (9th Cir. 1997)).  Accordingly, in </w:t>
      </w:r>
      <w:r w:rsidRPr="00243357">
        <w:rPr>
          <w:rFonts w:ascii="Times New Roman" w:hAnsi="Times New Roman"/>
          <w:i/>
          <w:iCs/>
          <w:sz w:val="24"/>
        </w:rPr>
        <w:t>Jackson</w:t>
      </w:r>
      <w:r w:rsidRPr="00243357">
        <w:rPr>
          <w:rFonts w:ascii="Times New Roman" w:hAnsi="Times New Roman"/>
          <w:sz w:val="24"/>
        </w:rPr>
        <w:t xml:space="preserve"> the court held that four factors should be evaluated when determining whether charged conduct constitutes kidnapping.  </w:t>
      </w:r>
      <w:r w:rsidRPr="00243357">
        <w:rPr>
          <w:rFonts w:ascii="Times New Roman" w:hAnsi="Times New Roman"/>
          <w:i/>
          <w:iCs/>
          <w:sz w:val="24"/>
        </w:rPr>
        <w:t>Id.</w:t>
      </w:r>
      <w:r w:rsidRPr="00243357">
        <w:rPr>
          <w:rFonts w:ascii="Times New Roman" w:hAnsi="Times New Roman"/>
          <w:sz w:val="24"/>
        </w:rPr>
        <w:t xml:space="preserve"> at 1312.  This “factual inquiry” may be taken up by a court in response to a Rule 29 motion, or “if appropriate based on the circumstances of the case, incorporated into jury instructions.”  </w:t>
      </w:r>
      <w:r w:rsidRPr="00243357">
        <w:rPr>
          <w:rFonts w:ascii="Times New Roman" w:hAnsi="Times New Roman"/>
          <w:i/>
          <w:iCs/>
          <w:sz w:val="24"/>
        </w:rPr>
        <w:t>Id.</w:t>
      </w:r>
      <w:r w:rsidRPr="00243357">
        <w:rPr>
          <w:rFonts w:ascii="Times New Roman" w:hAnsi="Times New Roman"/>
          <w:sz w:val="24"/>
        </w:rPr>
        <w:t xml:space="preserve"> at 1314.  The factors, derived from the Third Circuit’s opinion in </w:t>
      </w:r>
      <w:r w:rsidRPr="00243357">
        <w:rPr>
          <w:rFonts w:ascii="Times New Roman" w:hAnsi="Times New Roman"/>
          <w:i/>
          <w:iCs/>
          <w:sz w:val="24"/>
        </w:rPr>
        <w:t>Government of the Virgin Islands v. Berry</w:t>
      </w:r>
      <w:r w:rsidRPr="00243357">
        <w:rPr>
          <w:rFonts w:ascii="Times New Roman" w:hAnsi="Times New Roman"/>
          <w:sz w:val="24"/>
        </w:rPr>
        <w:t>, 604 F.2d 221, 224 (3d Cir. 1979), are:</w:t>
      </w:r>
    </w:p>
    <w:p w14:paraId="4CF7D515" w14:textId="77777777" w:rsidR="00243357" w:rsidRPr="00243357" w:rsidRDefault="00243357" w:rsidP="00243357">
      <w:pPr>
        <w:spacing w:after="240" w:line="240" w:lineRule="auto"/>
        <w:ind w:left="720" w:right="720"/>
        <w:jc w:val="both"/>
        <w:rPr>
          <w:rFonts w:ascii="Times New Roman" w:hAnsi="Times New Roman"/>
          <w:sz w:val="24"/>
        </w:rPr>
      </w:pPr>
      <w:r w:rsidRPr="00243357">
        <w:rPr>
          <w:rFonts w:ascii="Times New Roman" w:hAnsi="Times New Roman"/>
          <w:sz w:val="24"/>
        </w:rPr>
        <w:t xml:space="preserve">(1) the duration of the detention or </w:t>
      </w:r>
      <w:proofErr w:type="gramStart"/>
      <w:r w:rsidRPr="00243357">
        <w:rPr>
          <w:rFonts w:ascii="Times New Roman" w:hAnsi="Times New Roman"/>
          <w:sz w:val="24"/>
        </w:rPr>
        <w:t>asportation;</w:t>
      </w:r>
      <w:proofErr w:type="gramEnd"/>
    </w:p>
    <w:p w14:paraId="5AB6627D" w14:textId="77777777" w:rsidR="00243357" w:rsidRPr="00243357" w:rsidRDefault="00243357" w:rsidP="00243357">
      <w:pPr>
        <w:spacing w:after="240" w:line="240" w:lineRule="auto"/>
        <w:ind w:left="720" w:right="720"/>
        <w:jc w:val="both"/>
        <w:rPr>
          <w:rFonts w:ascii="Times New Roman" w:hAnsi="Times New Roman"/>
          <w:sz w:val="24"/>
        </w:rPr>
      </w:pPr>
      <w:r w:rsidRPr="00243357">
        <w:rPr>
          <w:rFonts w:ascii="Times New Roman" w:hAnsi="Times New Roman"/>
          <w:sz w:val="24"/>
        </w:rPr>
        <w:t xml:space="preserve">(2) whether the detention or asportation occurred during the commission of a separate </w:t>
      </w:r>
      <w:proofErr w:type="gramStart"/>
      <w:r w:rsidRPr="00243357">
        <w:rPr>
          <w:rFonts w:ascii="Times New Roman" w:hAnsi="Times New Roman"/>
          <w:sz w:val="24"/>
        </w:rPr>
        <w:t>offense;</w:t>
      </w:r>
      <w:proofErr w:type="gramEnd"/>
    </w:p>
    <w:p w14:paraId="21ED49C7" w14:textId="77777777" w:rsidR="00243357" w:rsidRPr="00243357" w:rsidRDefault="00243357" w:rsidP="00243357">
      <w:pPr>
        <w:spacing w:after="240" w:line="240" w:lineRule="auto"/>
        <w:ind w:left="720" w:right="720"/>
        <w:jc w:val="both"/>
        <w:rPr>
          <w:rFonts w:ascii="Times New Roman" w:hAnsi="Times New Roman"/>
          <w:sz w:val="24"/>
        </w:rPr>
      </w:pPr>
      <w:r w:rsidRPr="00243357">
        <w:rPr>
          <w:rFonts w:ascii="Times New Roman" w:hAnsi="Times New Roman"/>
          <w:sz w:val="24"/>
        </w:rPr>
        <w:t>(3) whether the detention or asportation which occurred is inherent in the separate offense; and</w:t>
      </w:r>
    </w:p>
    <w:p w14:paraId="27340E24" w14:textId="77777777" w:rsidR="00243357" w:rsidRPr="00243357" w:rsidRDefault="00243357" w:rsidP="00243357">
      <w:pPr>
        <w:spacing w:after="240" w:line="240" w:lineRule="auto"/>
        <w:ind w:left="720" w:right="720"/>
        <w:jc w:val="both"/>
        <w:rPr>
          <w:rFonts w:ascii="Times New Roman" w:hAnsi="Times New Roman"/>
          <w:sz w:val="24"/>
        </w:rPr>
      </w:pPr>
      <w:r w:rsidRPr="00243357">
        <w:rPr>
          <w:rFonts w:ascii="Times New Roman" w:hAnsi="Times New Roman"/>
          <w:sz w:val="24"/>
        </w:rPr>
        <w:t>(4) whether the asportation or detention created a significant danger to the victim independent of that posed by the separate offense.</w:t>
      </w:r>
    </w:p>
    <w:p w14:paraId="130F536C" w14:textId="77777777" w:rsidR="00243357" w:rsidRPr="00243357" w:rsidRDefault="00243357" w:rsidP="00243357">
      <w:pPr>
        <w:spacing w:after="0" w:line="240" w:lineRule="auto"/>
        <w:ind w:firstLine="720"/>
        <w:rPr>
          <w:rFonts w:ascii="Times New Roman" w:hAnsi="Times New Roman"/>
          <w:sz w:val="24"/>
        </w:rPr>
      </w:pPr>
      <w:r w:rsidRPr="00243357">
        <w:rPr>
          <w:rFonts w:ascii="Times New Roman" w:hAnsi="Times New Roman"/>
          <w:i/>
          <w:iCs/>
          <w:sz w:val="24"/>
        </w:rPr>
        <w:t>Id.</w:t>
      </w:r>
      <w:r w:rsidRPr="00243357">
        <w:rPr>
          <w:rFonts w:ascii="Times New Roman" w:hAnsi="Times New Roman"/>
          <w:sz w:val="24"/>
        </w:rPr>
        <w:t xml:space="preserve"> at 1312 (quoting </w:t>
      </w:r>
      <w:r w:rsidRPr="00243357">
        <w:rPr>
          <w:rFonts w:ascii="Times New Roman" w:hAnsi="Times New Roman"/>
          <w:i/>
          <w:iCs/>
          <w:sz w:val="24"/>
        </w:rPr>
        <w:t>Berry</w:t>
      </w:r>
      <w:r w:rsidRPr="00243357">
        <w:rPr>
          <w:rFonts w:ascii="Times New Roman" w:hAnsi="Times New Roman"/>
          <w:sz w:val="24"/>
        </w:rPr>
        <w:t xml:space="preserve">, 604 F.2d at 227)).  The </w:t>
      </w:r>
      <w:r w:rsidRPr="00243357">
        <w:rPr>
          <w:rFonts w:ascii="Times New Roman" w:hAnsi="Times New Roman"/>
          <w:i/>
          <w:iCs/>
          <w:sz w:val="24"/>
        </w:rPr>
        <w:t>Berry</w:t>
      </w:r>
      <w:r w:rsidRPr="00243357">
        <w:rPr>
          <w:rFonts w:ascii="Times New Roman" w:hAnsi="Times New Roman"/>
          <w:sz w:val="24"/>
        </w:rPr>
        <w:t xml:space="preserve"> factors are the basis for the proposed optional jury instruction, to be applied when appropriate, to distinguish kidnapping from other offenses.</w:t>
      </w:r>
      <w:bookmarkEnd w:id="0"/>
      <w:r w:rsidRPr="00243357">
        <w:rPr>
          <w:rFonts w:ascii="Times New Roman" w:hAnsi="Times New Roman"/>
          <w:sz w:val="24"/>
        </w:rPr>
        <w:t xml:space="preserve">  </w:t>
      </w:r>
    </w:p>
    <w:p w14:paraId="4E000FA1" w14:textId="77777777" w:rsidR="00243357" w:rsidRPr="00243357" w:rsidRDefault="00243357" w:rsidP="00243357">
      <w:pPr>
        <w:spacing w:after="0" w:line="240" w:lineRule="auto"/>
        <w:rPr>
          <w:rFonts w:ascii="Times New Roman" w:eastAsia="Times New Roman" w:hAnsi="Times New Roman" w:cs="Times New Roman"/>
          <w:sz w:val="24"/>
          <w:szCs w:val="24"/>
        </w:rPr>
      </w:pPr>
    </w:p>
    <w:p w14:paraId="73647292" w14:textId="77777777" w:rsidR="00243357" w:rsidRPr="00243357" w:rsidRDefault="00243357" w:rsidP="00243357">
      <w:pPr>
        <w:spacing w:after="0" w:line="240" w:lineRule="auto"/>
        <w:rPr>
          <w:rFonts w:ascii="Times New Roman" w:eastAsia="Times New Roman" w:hAnsi="Times New Roman" w:cs="Times New Roman"/>
          <w:i/>
          <w:color w:val="000000"/>
          <w:sz w:val="24"/>
          <w:szCs w:val="24"/>
        </w:rPr>
      </w:pPr>
      <w:bookmarkStart w:id="2" w:name="_Hlk101248468"/>
    </w:p>
    <w:p w14:paraId="2635C548" w14:textId="06069D2B" w:rsidR="00CB3A1A" w:rsidRPr="00243357" w:rsidRDefault="00243357" w:rsidP="00243357">
      <w:pPr>
        <w:jc w:val="right"/>
      </w:pPr>
      <w:r w:rsidRPr="00243357">
        <w:rPr>
          <w:rFonts w:ascii="Times New Roman" w:eastAsia="Times New Roman" w:hAnsi="Times New Roman" w:cs="Times New Roman"/>
          <w:i/>
          <w:color w:val="000000"/>
          <w:sz w:val="24"/>
          <w:szCs w:val="24"/>
        </w:rPr>
        <w:t xml:space="preserve">Revised </w:t>
      </w:r>
      <w:r w:rsidR="003069AA">
        <w:rPr>
          <w:rFonts w:ascii="Times New Roman" w:eastAsia="Times New Roman" w:hAnsi="Times New Roman" w:cs="Times New Roman"/>
          <w:i/>
          <w:color w:val="000000"/>
          <w:sz w:val="24"/>
          <w:szCs w:val="24"/>
        </w:rPr>
        <w:t>Sept.</w:t>
      </w:r>
      <w:r w:rsidRPr="00243357">
        <w:rPr>
          <w:rFonts w:ascii="Times New Roman" w:eastAsia="Times New Roman" w:hAnsi="Times New Roman" w:cs="Times New Roman"/>
          <w:i/>
          <w:color w:val="000000"/>
          <w:sz w:val="24"/>
          <w:szCs w:val="24"/>
        </w:rPr>
        <w:t xml:space="preserve"> 2022</w:t>
      </w:r>
      <w:bookmarkEnd w:id="2"/>
      <w:bookmarkEnd w:id="1"/>
    </w:p>
    <w:sectPr w:rsidR="00CB3A1A" w:rsidRPr="00243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034511"/>
    <w:rsid w:val="00243357"/>
    <w:rsid w:val="003069AA"/>
    <w:rsid w:val="00553CAE"/>
    <w:rsid w:val="00AD3598"/>
    <w:rsid w:val="00CB3A1A"/>
    <w:rsid w:val="00D309A0"/>
    <w:rsid w:val="00E74E1E"/>
    <w:rsid w:val="00EE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30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Aejung Yoon</cp:lastModifiedBy>
  <cp:revision>4</cp:revision>
  <dcterms:created xsi:type="dcterms:W3CDTF">2022-09-21T22:20:00Z</dcterms:created>
  <dcterms:modified xsi:type="dcterms:W3CDTF">2022-09-29T17:00:00Z</dcterms:modified>
</cp:coreProperties>
</file>