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6622" w14:textId="77777777" w:rsidR="00375FCB" w:rsidRPr="00375FCB" w:rsidRDefault="00375FCB" w:rsidP="00375FCB">
      <w:pPr>
        <w:autoSpaceDE w:val="0"/>
        <w:autoSpaceDN w:val="0"/>
        <w:adjustRightInd w:val="0"/>
        <w:ind w:left="420" w:hanging="240"/>
        <w:jc w:val="center"/>
        <w:outlineLvl w:val="1"/>
        <w:rPr>
          <w:rFonts w:cs="Times New Roman"/>
          <w:b/>
          <w:bCs/>
          <w:szCs w:val="24"/>
        </w:rPr>
      </w:pPr>
      <w:bookmarkStart w:id="0" w:name="_Toc73698766"/>
      <w:bookmarkStart w:id="1" w:name="_Toc83310828"/>
      <w:bookmarkStart w:id="2" w:name="_Toc83362622"/>
      <w:bookmarkStart w:id="3" w:name="_Toc83363031"/>
      <w:bookmarkStart w:id="4" w:name="_Toc90310089"/>
      <w:bookmarkStart w:id="5" w:name="_Toc90389947"/>
      <w:bookmarkStart w:id="6" w:name="_Toc90860527"/>
      <w:r w:rsidRPr="00375FCB">
        <w:rPr>
          <w:rFonts w:cs="Times New Roman"/>
          <w:b/>
          <w:bCs/>
          <w:szCs w:val="24"/>
        </w:rPr>
        <w:t xml:space="preserve">18.13 RICO—Racketeering Act—Not Charged as Separate </w:t>
      </w:r>
    </w:p>
    <w:p w14:paraId="50A7056F" w14:textId="77777777" w:rsidR="00375FCB" w:rsidRPr="00375FCB" w:rsidRDefault="00375FCB" w:rsidP="00375FCB">
      <w:pPr>
        <w:autoSpaceDE w:val="0"/>
        <w:autoSpaceDN w:val="0"/>
        <w:adjustRightInd w:val="0"/>
        <w:ind w:left="420" w:hanging="240"/>
        <w:jc w:val="center"/>
        <w:outlineLvl w:val="1"/>
        <w:rPr>
          <w:rFonts w:cs="Times New Roman"/>
          <w:b/>
          <w:bCs/>
          <w:szCs w:val="24"/>
        </w:rPr>
      </w:pPr>
      <w:r w:rsidRPr="00375FCB">
        <w:rPr>
          <w:rFonts w:cs="Times New Roman"/>
          <w:b/>
          <w:bCs/>
          <w:szCs w:val="24"/>
        </w:rPr>
        <w:t>Count in Indictment (18 U.S.C. § 1961(1))</w:t>
      </w:r>
      <w:bookmarkEnd w:id="0"/>
      <w:bookmarkEnd w:id="1"/>
      <w:bookmarkEnd w:id="2"/>
      <w:bookmarkEnd w:id="3"/>
      <w:bookmarkEnd w:id="4"/>
      <w:bookmarkEnd w:id="5"/>
      <w:bookmarkEnd w:id="6"/>
    </w:p>
    <w:p w14:paraId="3288606C" w14:textId="77777777" w:rsidR="00375FCB" w:rsidRPr="00375FCB" w:rsidRDefault="00375FCB" w:rsidP="00375FCB">
      <w:pPr>
        <w:rPr>
          <w:rFonts w:eastAsia="Times New Roman" w:cs="Times New Roman"/>
          <w:color w:val="000000"/>
          <w:szCs w:val="24"/>
        </w:rPr>
      </w:pPr>
    </w:p>
    <w:p w14:paraId="34E7D4B2" w14:textId="77777777" w:rsidR="00375FCB" w:rsidRPr="00375FCB" w:rsidRDefault="00375FCB" w:rsidP="00375FCB">
      <w:pPr>
        <w:rPr>
          <w:rFonts w:eastAsia="Times New Roman" w:cs="Times New Roman"/>
          <w:color w:val="000000"/>
          <w:szCs w:val="24"/>
        </w:rPr>
      </w:pPr>
      <w:r w:rsidRPr="00375FCB">
        <w:rPr>
          <w:rFonts w:eastAsia="Times New Roman" w:cs="Times New Roman"/>
          <w:color w:val="000000"/>
          <w:szCs w:val="24"/>
        </w:rPr>
        <w:tab/>
        <w:t>The crime of [</w:t>
      </w:r>
      <w:r w:rsidRPr="00375FCB">
        <w:rPr>
          <w:rFonts w:eastAsia="Times New Roman" w:cs="Times New Roman"/>
          <w:color w:val="000000"/>
          <w:szCs w:val="24"/>
          <w:u w:val="single"/>
        </w:rPr>
        <w:t>specify crime charged</w:t>
      </w:r>
      <w:r w:rsidRPr="00375FCB">
        <w:rPr>
          <w:rFonts w:eastAsia="Times New Roman" w:cs="Times New Roman"/>
          <w:color w:val="000000"/>
          <w:szCs w:val="24"/>
        </w:rPr>
        <w:t>] is a racketeering act.  For you to find that the defendant [committed] [aided and abetted others in committing] the crime of [</w:t>
      </w:r>
      <w:r w:rsidRPr="00375FCB">
        <w:rPr>
          <w:rFonts w:eastAsia="Times New Roman" w:cs="Times New Roman"/>
          <w:i/>
          <w:color w:val="000000"/>
          <w:szCs w:val="24"/>
          <w:u w:val="single"/>
        </w:rPr>
        <w:t>specify crime charged</w:t>
      </w:r>
      <w:r w:rsidRPr="00375FCB">
        <w:rPr>
          <w:rFonts w:eastAsia="Times New Roman" w:cs="Times New Roman"/>
          <w:color w:val="000000"/>
          <w:szCs w:val="24"/>
        </w:rPr>
        <w:t>], the government must prove each of the following elements beyond a reasonable doubt:</w:t>
      </w:r>
    </w:p>
    <w:p w14:paraId="3CD772C0" w14:textId="77777777" w:rsidR="00375FCB" w:rsidRPr="00375FCB" w:rsidRDefault="00375FCB" w:rsidP="00375FCB">
      <w:pPr>
        <w:rPr>
          <w:rFonts w:eastAsia="Times New Roman" w:cs="Times New Roman"/>
          <w:color w:val="000000"/>
          <w:szCs w:val="24"/>
        </w:rPr>
      </w:pPr>
    </w:p>
    <w:p w14:paraId="305A1188" w14:textId="77777777" w:rsidR="00375FCB" w:rsidRPr="00375FCB" w:rsidRDefault="00375FCB" w:rsidP="00375FCB">
      <w:pPr>
        <w:rPr>
          <w:rFonts w:eastAsia="Times New Roman" w:cs="Times New Roman"/>
          <w:color w:val="000000"/>
          <w:szCs w:val="24"/>
        </w:rPr>
      </w:pPr>
      <w:r w:rsidRPr="00375FCB">
        <w:rPr>
          <w:rFonts w:eastAsia="Times New Roman" w:cs="Times New Roman"/>
          <w:color w:val="000000"/>
          <w:szCs w:val="24"/>
        </w:rPr>
        <w:tab/>
        <w:t>[</w:t>
      </w:r>
      <w:r w:rsidRPr="00375FCB">
        <w:rPr>
          <w:rFonts w:eastAsia="Times New Roman" w:cs="Times New Roman"/>
          <w:i/>
          <w:color w:val="000000"/>
          <w:szCs w:val="24"/>
          <w:u w:val="single"/>
        </w:rPr>
        <w:t>Specify elements of the crime</w:t>
      </w:r>
      <w:r w:rsidRPr="00375FCB">
        <w:rPr>
          <w:rFonts w:eastAsia="Times New Roman" w:cs="Times New Roman"/>
          <w:color w:val="000000"/>
          <w:szCs w:val="24"/>
          <w:u w:val="single"/>
        </w:rPr>
        <w:t>.</w:t>
      </w:r>
      <w:r w:rsidRPr="00375FCB">
        <w:rPr>
          <w:rFonts w:eastAsia="Times New Roman" w:cs="Times New Roman"/>
          <w:color w:val="000000"/>
          <w:szCs w:val="24"/>
        </w:rPr>
        <w:t>]</w:t>
      </w:r>
    </w:p>
    <w:p w14:paraId="0A5F69D3" w14:textId="77777777" w:rsidR="00375FCB" w:rsidRPr="00375FCB" w:rsidRDefault="00375FCB" w:rsidP="00375FCB">
      <w:pPr>
        <w:rPr>
          <w:rFonts w:eastAsia="Times New Roman" w:cs="Times New Roman"/>
          <w:color w:val="000000"/>
          <w:szCs w:val="24"/>
        </w:rPr>
      </w:pPr>
    </w:p>
    <w:p w14:paraId="096B67D9" w14:textId="77777777" w:rsidR="00375FCB" w:rsidRPr="00375FCB" w:rsidRDefault="00375FCB" w:rsidP="00375FCB">
      <w:pPr>
        <w:rPr>
          <w:rFonts w:eastAsia="Times New Roman" w:cs="Times New Roman"/>
          <w:color w:val="000000"/>
          <w:szCs w:val="24"/>
        </w:rPr>
      </w:pPr>
      <w:r w:rsidRPr="00375FCB">
        <w:rPr>
          <w:rFonts w:eastAsia="Times New Roman" w:cs="Times New Roman"/>
          <w:color w:val="000000"/>
          <w:szCs w:val="24"/>
        </w:rPr>
        <w:tab/>
        <w:t>[All of you must agree on the same two racketeering acts that the defendant [committed] [aided and abetted in committing].]</w:t>
      </w:r>
    </w:p>
    <w:p w14:paraId="787B990A" w14:textId="77777777" w:rsidR="00375FCB" w:rsidRPr="00375FCB" w:rsidRDefault="00375FCB" w:rsidP="00375FCB">
      <w:pPr>
        <w:rPr>
          <w:rFonts w:eastAsia="Times New Roman" w:cs="Times New Roman"/>
          <w:color w:val="000000"/>
          <w:szCs w:val="24"/>
        </w:rPr>
      </w:pPr>
    </w:p>
    <w:p w14:paraId="38AB1117" w14:textId="77777777" w:rsidR="00375FCB" w:rsidRPr="00375FCB" w:rsidRDefault="00375FCB" w:rsidP="00375FCB">
      <w:pPr>
        <w:ind w:right="-180"/>
        <w:jc w:val="center"/>
        <w:rPr>
          <w:rFonts w:eastAsia="Times New Roman" w:cs="Times New Roman"/>
          <w:b/>
          <w:bCs/>
          <w:szCs w:val="24"/>
        </w:rPr>
      </w:pPr>
      <w:r w:rsidRPr="00375FCB">
        <w:rPr>
          <w:rFonts w:eastAsia="Times New Roman" w:cs="Times New Roman"/>
          <w:b/>
          <w:bCs/>
          <w:szCs w:val="24"/>
        </w:rPr>
        <w:t>Comment</w:t>
      </w:r>
    </w:p>
    <w:p w14:paraId="15BB6DF5" w14:textId="77777777" w:rsidR="00375FCB" w:rsidRPr="00375FCB" w:rsidRDefault="00375FCB" w:rsidP="00375FCB">
      <w:pPr>
        <w:rPr>
          <w:rFonts w:eastAsia="Times New Roman" w:cs="Times New Roman"/>
          <w:color w:val="000000"/>
          <w:szCs w:val="24"/>
        </w:rPr>
      </w:pPr>
    </w:p>
    <w:p w14:paraId="5276183C" w14:textId="6B97300B" w:rsidR="00375FCB" w:rsidRPr="00375FCB" w:rsidRDefault="00375FCB" w:rsidP="00375FCB">
      <w:pPr>
        <w:ind w:right="-180"/>
        <w:rPr>
          <w:rFonts w:eastAsia="Times New Roman" w:cs="Times New Roman"/>
          <w:color w:val="000000"/>
          <w:szCs w:val="24"/>
        </w:rPr>
      </w:pPr>
      <w:r w:rsidRPr="00375FCB">
        <w:rPr>
          <w:rFonts w:eastAsia="Times New Roman" w:cs="Times New Roman"/>
          <w:color w:val="000000"/>
          <w:szCs w:val="24"/>
        </w:rPr>
        <w:tab/>
        <w:t xml:space="preserve">There is no requirement that the defendant must have been convicted of the crime constituting an act of racketeering activity before the act can be used as part of the pattern of racketeering activity.  </w:t>
      </w:r>
      <w:proofErr w:type="spellStart"/>
      <w:r w:rsidRPr="00375FCB">
        <w:rPr>
          <w:rFonts w:eastAsia="Times New Roman" w:cs="Times New Roman"/>
          <w:i/>
          <w:color w:val="000000"/>
          <w:szCs w:val="24"/>
        </w:rPr>
        <w:t>Sedima</w:t>
      </w:r>
      <w:proofErr w:type="spellEnd"/>
      <w:r w:rsidRPr="00375FCB">
        <w:rPr>
          <w:rFonts w:eastAsia="Times New Roman" w:cs="Times New Roman"/>
          <w:i/>
          <w:color w:val="000000"/>
          <w:szCs w:val="24"/>
        </w:rPr>
        <w:t xml:space="preserve">, S.P.R.L. v. </w:t>
      </w:r>
      <w:proofErr w:type="spellStart"/>
      <w:r w:rsidRPr="00375FCB">
        <w:rPr>
          <w:rFonts w:eastAsia="Times New Roman" w:cs="Times New Roman"/>
          <w:i/>
          <w:color w:val="000000"/>
          <w:szCs w:val="24"/>
        </w:rPr>
        <w:t>Imrex</w:t>
      </w:r>
      <w:proofErr w:type="spellEnd"/>
      <w:r w:rsidRPr="00375FCB">
        <w:rPr>
          <w:rFonts w:eastAsia="Times New Roman" w:cs="Times New Roman"/>
          <w:i/>
          <w:color w:val="000000"/>
          <w:szCs w:val="24"/>
        </w:rPr>
        <w:t xml:space="preserve"> Co.,</w:t>
      </w:r>
      <w:r w:rsidRPr="00375FCB">
        <w:rPr>
          <w:rFonts w:eastAsia="Times New Roman" w:cs="Times New Roman"/>
          <w:color w:val="000000"/>
          <w:szCs w:val="24"/>
        </w:rPr>
        <w:t xml:space="preserve"> 473 U.S. 479, 495-97 (1985).  Even though a defendant has previously been acquitted of a crime in a state court, he or she can still be charged with violating the RICO statute “with the [same] crime as predicate acts.”  </w:t>
      </w:r>
      <w:r w:rsidRPr="00375FCB">
        <w:rPr>
          <w:rFonts w:eastAsia="Times New Roman" w:cs="Times New Roman"/>
          <w:i/>
          <w:color w:val="000000"/>
          <w:szCs w:val="24"/>
        </w:rPr>
        <w:t xml:space="preserve">United States v. </w:t>
      </w:r>
      <w:proofErr w:type="spellStart"/>
      <w:r w:rsidRPr="00375FCB">
        <w:rPr>
          <w:rFonts w:eastAsia="Times New Roman" w:cs="Times New Roman"/>
          <w:i/>
          <w:color w:val="000000"/>
          <w:szCs w:val="24"/>
        </w:rPr>
        <w:t>Licavoli</w:t>
      </w:r>
      <w:proofErr w:type="spellEnd"/>
      <w:r w:rsidRPr="00375FCB">
        <w:rPr>
          <w:rFonts w:eastAsia="Times New Roman" w:cs="Times New Roman"/>
          <w:iCs/>
          <w:color w:val="000000"/>
          <w:szCs w:val="24"/>
        </w:rPr>
        <w:t>,</w:t>
      </w:r>
      <w:r w:rsidRPr="00375FCB">
        <w:rPr>
          <w:rFonts w:eastAsia="Times New Roman" w:cs="Times New Roman"/>
          <w:color w:val="000000"/>
          <w:szCs w:val="24"/>
        </w:rPr>
        <w:t xml:space="preserve"> 725 F.2d 1040, 1047 (6th Cir. 1984).</w:t>
      </w:r>
    </w:p>
    <w:p w14:paraId="178C9389" w14:textId="77777777" w:rsidR="00375FCB" w:rsidRPr="00375FCB" w:rsidRDefault="00375FCB" w:rsidP="00375FCB">
      <w:pPr>
        <w:rPr>
          <w:rFonts w:eastAsia="Times New Roman" w:cs="Times New Roman"/>
          <w:color w:val="000000"/>
          <w:szCs w:val="24"/>
        </w:rPr>
      </w:pPr>
    </w:p>
    <w:p w14:paraId="0704AB2A" w14:textId="77777777" w:rsidR="00375FCB" w:rsidRPr="00375FCB" w:rsidRDefault="00375FCB" w:rsidP="00375FCB">
      <w:pPr>
        <w:rPr>
          <w:rFonts w:eastAsia="Times New Roman" w:cs="Times New Roman"/>
          <w:color w:val="000000"/>
          <w:szCs w:val="24"/>
        </w:rPr>
      </w:pPr>
      <w:r w:rsidRPr="00375FCB">
        <w:rPr>
          <w:rFonts w:eastAsia="Times New Roman" w:cs="Times New Roman"/>
          <w:color w:val="000000"/>
          <w:szCs w:val="24"/>
        </w:rPr>
        <w:tab/>
        <w:t>A pattern of racketeering activity requires at least two acts of racketeering activity.  18 U.S.C. § 1961(5).  More than one crime may be charged as a racketeering act.</w:t>
      </w:r>
    </w:p>
    <w:p w14:paraId="59272D2B" w14:textId="77777777" w:rsidR="00375FCB" w:rsidRPr="00375FCB" w:rsidRDefault="00375FCB" w:rsidP="00375FCB">
      <w:pPr>
        <w:rPr>
          <w:rFonts w:eastAsia="Times New Roman" w:cs="Times New Roman"/>
          <w:color w:val="000000"/>
          <w:szCs w:val="24"/>
        </w:rPr>
      </w:pPr>
    </w:p>
    <w:p w14:paraId="0ACE18C0" w14:textId="3C5C79E0" w:rsidR="00C97E04" w:rsidRPr="00375FCB" w:rsidRDefault="00C97E04" w:rsidP="00375FCB"/>
    <w:sectPr w:rsidR="00C97E04" w:rsidRPr="00375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A2CFB"/>
    <w:rsid w:val="004B5F30"/>
    <w:rsid w:val="004D1662"/>
    <w:rsid w:val="004E4259"/>
    <w:rsid w:val="004F317B"/>
    <w:rsid w:val="00542361"/>
    <w:rsid w:val="00550ED2"/>
    <w:rsid w:val="00563751"/>
    <w:rsid w:val="00582F3D"/>
    <w:rsid w:val="005A5D41"/>
    <w:rsid w:val="005A7428"/>
    <w:rsid w:val="005C3BB1"/>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2338"/>
    <w:rsid w:val="00813014"/>
    <w:rsid w:val="00833FBC"/>
    <w:rsid w:val="0084456C"/>
    <w:rsid w:val="00850868"/>
    <w:rsid w:val="00890E7A"/>
    <w:rsid w:val="008962A3"/>
    <w:rsid w:val="008B4376"/>
    <w:rsid w:val="008B6CE7"/>
    <w:rsid w:val="008D6F91"/>
    <w:rsid w:val="008E0DF1"/>
    <w:rsid w:val="008E2FE1"/>
    <w:rsid w:val="008E3729"/>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0DBF"/>
    <w:rsid w:val="00DA76C1"/>
    <w:rsid w:val="00DC38EF"/>
    <w:rsid w:val="00DE0E57"/>
    <w:rsid w:val="00DE3F24"/>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2022-08-23T17:00:00Z</dcterms:created>
  <dcterms:modified xsi:type="dcterms:W3CDTF">2022-08-23T17:00:00Z</dcterms:modified>
</cp:coreProperties>
</file>