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DC0C" w14:textId="77777777" w:rsidR="00641770" w:rsidRPr="00641770" w:rsidRDefault="00641770" w:rsidP="00641770">
      <w:pPr>
        <w:autoSpaceDE w:val="0"/>
        <w:autoSpaceDN w:val="0"/>
        <w:adjustRightInd w:val="0"/>
        <w:ind w:left="420" w:hanging="240"/>
        <w:jc w:val="center"/>
        <w:outlineLvl w:val="1"/>
        <w:rPr>
          <w:rFonts w:cs="Times New Roman"/>
          <w:b/>
          <w:bCs/>
          <w:szCs w:val="24"/>
        </w:rPr>
      </w:pPr>
      <w:bookmarkStart w:id="0" w:name="_Toc73698771"/>
      <w:bookmarkStart w:id="1" w:name="_Toc83310833"/>
      <w:bookmarkStart w:id="2" w:name="_Toc83362627"/>
      <w:bookmarkStart w:id="3" w:name="_Toc83363036"/>
      <w:bookmarkStart w:id="4" w:name="_Toc90310094"/>
      <w:bookmarkStart w:id="5" w:name="_Toc90389952"/>
      <w:bookmarkStart w:id="6" w:name="_Toc90860532"/>
      <w:r w:rsidRPr="00641770">
        <w:rPr>
          <w:rFonts w:cs="Times New Roman"/>
          <w:b/>
          <w:bCs/>
          <w:szCs w:val="24"/>
        </w:rPr>
        <w:t xml:space="preserve">18.18 RICO—Conducting Affairs of Association–in–Fact </w:t>
      </w:r>
    </w:p>
    <w:p w14:paraId="514FA59B" w14:textId="77777777" w:rsidR="00641770" w:rsidRPr="00641770" w:rsidRDefault="00641770" w:rsidP="00641770">
      <w:pPr>
        <w:autoSpaceDE w:val="0"/>
        <w:autoSpaceDN w:val="0"/>
        <w:adjustRightInd w:val="0"/>
        <w:ind w:left="420" w:hanging="240"/>
        <w:jc w:val="center"/>
        <w:outlineLvl w:val="1"/>
        <w:rPr>
          <w:rFonts w:cs="Times New Roman"/>
          <w:b/>
          <w:bCs/>
          <w:szCs w:val="24"/>
        </w:rPr>
      </w:pPr>
      <w:r w:rsidRPr="00641770">
        <w:rPr>
          <w:rFonts w:cs="Times New Roman"/>
          <w:b/>
          <w:bCs/>
          <w:szCs w:val="24"/>
        </w:rPr>
        <w:t>(18 U.S.C. § 1962(c))</w:t>
      </w:r>
      <w:bookmarkEnd w:id="0"/>
      <w:bookmarkEnd w:id="1"/>
      <w:bookmarkEnd w:id="2"/>
      <w:bookmarkEnd w:id="3"/>
      <w:bookmarkEnd w:id="4"/>
      <w:bookmarkEnd w:id="5"/>
      <w:bookmarkEnd w:id="6"/>
    </w:p>
    <w:p w14:paraId="7790FEB3" w14:textId="77777777" w:rsidR="00641770" w:rsidRPr="00641770" w:rsidRDefault="00641770" w:rsidP="00641770">
      <w:pPr>
        <w:rPr>
          <w:rFonts w:eastAsia="Times New Roman" w:cs="Times New Roman"/>
          <w:color w:val="000000"/>
          <w:szCs w:val="24"/>
        </w:rPr>
      </w:pPr>
    </w:p>
    <w:p w14:paraId="10881F9A"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The defendant is charged in [Count _______ of] the indictment with having [conducted] [participated in the conduct of] the affairs of an enterprise through a pattern of racketeering activity in violation of Section 1962(c) of Title 18 of the United States Code.  For the defendant to be found guilty of that charge, the government must prove each of the following elements beyond a reasonable doubt:</w:t>
      </w:r>
    </w:p>
    <w:p w14:paraId="5131131D" w14:textId="77777777" w:rsidR="00641770" w:rsidRPr="00641770" w:rsidRDefault="00641770" w:rsidP="00641770">
      <w:pPr>
        <w:rPr>
          <w:rFonts w:eastAsia="Times New Roman" w:cs="Times New Roman"/>
          <w:color w:val="000000"/>
          <w:szCs w:val="24"/>
        </w:rPr>
      </w:pPr>
    </w:p>
    <w:p w14:paraId="62B713E7" w14:textId="42D603FB"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First, there was an ongoing enterprise with some sort of formal or informal framework for carrying out its objectives consisting of a group of persons associated together for a common purpose of engaging in a course of </w:t>
      </w:r>
      <w:proofErr w:type="gramStart"/>
      <w:r w:rsidRPr="00641770">
        <w:rPr>
          <w:rFonts w:eastAsia="Times New Roman" w:cs="Times New Roman"/>
          <w:color w:val="000000"/>
          <w:szCs w:val="24"/>
        </w:rPr>
        <w:t>conduct;</w:t>
      </w:r>
      <w:proofErr w:type="gramEnd"/>
    </w:p>
    <w:p w14:paraId="248372FD" w14:textId="77777777" w:rsidR="00641770" w:rsidRPr="00641770" w:rsidRDefault="00641770" w:rsidP="00641770">
      <w:pPr>
        <w:rPr>
          <w:rFonts w:eastAsia="Times New Roman" w:cs="Times New Roman"/>
          <w:color w:val="000000"/>
          <w:szCs w:val="24"/>
        </w:rPr>
      </w:pPr>
    </w:p>
    <w:p w14:paraId="61DF273B"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Second, the defendant was employed by or associated with the </w:t>
      </w:r>
      <w:proofErr w:type="gramStart"/>
      <w:r w:rsidRPr="00641770">
        <w:rPr>
          <w:rFonts w:eastAsia="Times New Roman" w:cs="Times New Roman"/>
          <w:color w:val="000000"/>
          <w:szCs w:val="24"/>
        </w:rPr>
        <w:t>enterprise;</w:t>
      </w:r>
      <w:proofErr w:type="gramEnd"/>
    </w:p>
    <w:p w14:paraId="48F0DBAC" w14:textId="77777777" w:rsidR="00641770" w:rsidRPr="00641770" w:rsidRDefault="00641770" w:rsidP="00641770">
      <w:pPr>
        <w:rPr>
          <w:rFonts w:eastAsia="Times New Roman" w:cs="Times New Roman"/>
          <w:color w:val="000000"/>
          <w:szCs w:val="24"/>
        </w:rPr>
      </w:pPr>
    </w:p>
    <w:p w14:paraId="5B283C23"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641770">
        <w:rPr>
          <w:rFonts w:eastAsia="Times New Roman" w:cs="Times New Roman"/>
          <w:color w:val="000000"/>
          <w:szCs w:val="24"/>
        </w:rPr>
        <w:br/>
      </w:r>
    </w:p>
    <w:p w14:paraId="3197DEB6"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2A47B759" w14:textId="77777777" w:rsidR="00641770" w:rsidRPr="00641770" w:rsidRDefault="00641770" w:rsidP="00641770">
      <w:pPr>
        <w:rPr>
          <w:rFonts w:eastAsia="Times New Roman" w:cs="Times New Roman"/>
          <w:color w:val="000000"/>
          <w:szCs w:val="24"/>
        </w:rPr>
      </w:pPr>
    </w:p>
    <w:p w14:paraId="1C5192E6"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An enterprise need not be a formal entity such as a corporation and need not have a name, regular meetings, or established rules.   </w:t>
      </w:r>
    </w:p>
    <w:p w14:paraId="007D3290" w14:textId="77777777" w:rsidR="00641770" w:rsidRPr="00641770" w:rsidRDefault="00641770" w:rsidP="00641770">
      <w:pPr>
        <w:rPr>
          <w:rFonts w:eastAsia="Times New Roman" w:cs="Times New Roman"/>
          <w:color w:val="000000"/>
          <w:szCs w:val="24"/>
        </w:rPr>
      </w:pPr>
    </w:p>
    <w:p w14:paraId="5E0969D8" w14:textId="77777777" w:rsidR="00641770" w:rsidRPr="00641770" w:rsidRDefault="00641770" w:rsidP="00641770">
      <w:pPr>
        <w:ind w:right="-180"/>
        <w:jc w:val="center"/>
        <w:rPr>
          <w:rFonts w:eastAsia="Times New Roman" w:cs="Times New Roman"/>
          <w:b/>
          <w:color w:val="000000"/>
          <w:szCs w:val="24"/>
        </w:rPr>
      </w:pPr>
      <w:r w:rsidRPr="00641770">
        <w:rPr>
          <w:rFonts w:eastAsia="Times New Roman" w:cs="Times New Roman"/>
          <w:b/>
          <w:color w:val="000000"/>
          <w:szCs w:val="24"/>
        </w:rPr>
        <w:t>Comment</w:t>
      </w:r>
    </w:p>
    <w:p w14:paraId="2A2E71C4" w14:textId="77777777" w:rsidR="00641770" w:rsidRPr="00641770" w:rsidRDefault="00641770" w:rsidP="00641770">
      <w:pPr>
        <w:rPr>
          <w:rFonts w:eastAsia="Times New Roman" w:cs="Times New Roman"/>
          <w:szCs w:val="24"/>
        </w:rPr>
      </w:pPr>
    </w:p>
    <w:p w14:paraId="52CF3987"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When racketeering acts are charged as separate counts in the indictment, use this instruction in combination with Instructions 18.12 (RICO–Racketeering Act–Charged as Separate Count in Indictment) and 18.14 (RICO–Pattern of Racketeering Activity).  When the racketeering acts are not charged as separate counts in the indictment, use this instruction in combination with Instructions 18.13 (RICO–Racketeering Act–Not Charged as Separate Count in the Indictment) and 18.14 (RICO–Pattern of Racketeering Activity).</w:t>
      </w:r>
    </w:p>
    <w:p w14:paraId="72DEDB43" w14:textId="77777777" w:rsidR="00641770" w:rsidRPr="00641770" w:rsidRDefault="00641770" w:rsidP="00641770">
      <w:pPr>
        <w:rPr>
          <w:rFonts w:eastAsia="Times New Roman" w:cs="Times New Roman"/>
          <w:szCs w:val="24"/>
        </w:rPr>
      </w:pPr>
    </w:p>
    <w:p w14:paraId="6A8E96C4"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RICO requires that an association-in-fact enterprise must have a structure, but the word “structure” need not be used in the jury instruction.  </w:t>
      </w:r>
      <w:r w:rsidRPr="00641770">
        <w:rPr>
          <w:rFonts w:eastAsia="Times New Roman" w:cs="Times New Roman"/>
          <w:i/>
          <w:color w:val="000000"/>
          <w:szCs w:val="24"/>
        </w:rPr>
        <w:t>Boyle v. United States</w:t>
      </w:r>
      <w:r w:rsidRPr="00641770">
        <w:rPr>
          <w:rFonts w:eastAsia="Times New Roman" w:cs="Times New Roman"/>
          <w:color w:val="000000"/>
          <w:szCs w:val="24"/>
        </w:rPr>
        <w:t xml:space="preserve">, 556 U.S. 938, 946 (2009).  The definition of “enterprise” in the first element of the instruction is based on </w:t>
      </w:r>
      <w:r w:rsidRPr="00641770">
        <w:rPr>
          <w:rFonts w:eastAsia="Times New Roman" w:cs="Times New Roman"/>
          <w:i/>
          <w:color w:val="000000"/>
          <w:szCs w:val="24"/>
        </w:rPr>
        <w:t>Boyle</w:t>
      </w:r>
      <w:r w:rsidRPr="00641770">
        <w:rPr>
          <w:rFonts w:eastAsia="Times New Roman" w:cs="Times New Roman"/>
          <w:color w:val="000000"/>
          <w:szCs w:val="24"/>
        </w:rPr>
        <w:t xml:space="preserve">, 556 U.S. at 949, and </w:t>
      </w:r>
      <w:r w:rsidRPr="00641770">
        <w:rPr>
          <w:rFonts w:eastAsia="Times New Roman" w:cs="Times New Roman"/>
          <w:i/>
          <w:color w:val="000000"/>
          <w:szCs w:val="24"/>
        </w:rPr>
        <w:t xml:space="preserve">United States v. </w:t>
      </w:r>
      <w:proofErr w:type="spellStart"/>
      <w:r w:rsidRPr="00641770">
        <w:rPr>
          <w:rFonts w:eastAsia="Times New Roman" w:cs="Times New Roman"/>
          <w:i/>
          <w:color w:val="000000"/>
          <w:szCs w:val="24"/>
        </w:rPr>
        <w:t>Turkette</w:t>
      </w:r>
      <w:proofErr w:type="spellEnd"/>
      <w:r w:rsidRPr="00641770">
        <w:rPr>
          <w:rFonts w:eastAsia="Times New Roman" w:cs="Times New Roman"/>
          <w:iCs/>
          <w:color w:val="000000"/>
          <w:szCs w:val="24"/>
        </w:rPr>
        <w:t>,</w:t>
      </w:r>
      <w:r w:rsidRPr="00641770">
        <w:rPr>
          <w:rFonts w:eastAsia="Times New Roman" w:cs="Times New Roman"/>
          <w:color w:val="000000"/>
          <w:szCs w:val="24"/>
        </w:rPr>
        <w:t xml:space="preserve"> 452 U.S. 576, 583 (1981).</w:t>
      </w:r>
    </w:p>
    <w:p w14:paraId="7B3AE019" w14:textId="77777777" w:rsidR="00641770" w:rsidRPr="00641770" w:rsidRDefault="00641770" w:rsidP="00641770">
      <w:pPr>
        <w:rPr>
          <w:rFonts w:eastAsia="Times New Roman" w:cs="Times New Roman"/>
          <w:color w:val="000000"/>
          <w:szCs w:val="24"/>
        </w:rPr>
      </w:pPr>
    </w:p>
    <w:p w14:paraId="1CB42BCD" w14:textId="77777777"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For RICO purposes, an association-in-fact enterprise “need not have a name, regular meetings, dues, established rules and regulations, disciplinary procedures, or induction or initiation ceremonies.”  </w:t>
      </w:r>
      <w:r w:rsidRPr="00641770">
        <w:rPr>
          <w:rFonts w:eastAsia="Times New Roman" w:cs="Times New Roman"/>
          <w:i/>
          <w:color w:val="000000"/>
          <w:szCs w:val="24"/>
        </w:rPr>
        <w:t>Boyle</w:t>
      </w:r>
      <w:r w:rsidRPr="00641770">
        <w:rPr>
          <w:rFonts w:eastAsia="Times New Roman" w:cs="Times New Roman"/>
          <w:color w:val="000000"/>
          <w:szCs w:val="24"/>
        </w:rPr>
        <w:t>, 556 U.S. at 948.</w:t>
      </w:r>
    </w:p>
    <w:p w14:paraId="47010FBE" w14:textId="77777777" w:rsidR="00641770" w:rsidRPr="00641770" w:rsidRDefault="00641770" w:rsidP="00641770">
      <w:pPr>
        <w:rPr>
          <w:rFonts w:eastAsia="Times New Roman" w:cs="Times New Roman"/>
          <w:color w:val="000000"/>
          <w:szCs w:val="24"/>
        </w:rPr>
      </w:pPr>
    </w:p>
    <w:p w14:paraId="0EC5D5AD" w14:textId="3900854D" w:rsidR="00641770" w:rsidRPr="00641770" w:rsidRDefault="00641770" w:rsidP="00641770">
      <w:pPr>
        <w:rPr>
          <w:rFonts w:eastAsia="Times New Roman" w:cs="Times New Roman"/>
          <w:color w:val="000000"/>
          <w:szCs w:val="24"/>
        </w:rPr>
      </w:pPr>
      <w:r w:rsidRPr="00641770">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w:t>
      </w:r>
      <w:r w:rsidRPr="00641770">
        <w:rPr>
          <w:rFonts w:eastAsia="Times New Roman" w:cs="Times New Roman"/>
          <w:color w:val="000000"/>
          <w:szCs w:val="24"/>
        </w:rPr>
        <w:lastRenderedPageBreak/>
        <w:t xml:space="preserve">the requirement of a common purpose may be met so long as the defendants were “each aware of the essential nature and scope of [the] enterprise and intended to participate in it.”  </w:t>
      </w:r>
      <w:r w:rsidRPr="00641770">
        <w:rPr>
          <w:rFonts w:eastAsia="Times New Roman" w:cs="Times New Roman"/>
          <w:i/>
          <w:color w:val="000000"/>
          <w:szCs w:val="24"/>
        </w:rPr>
        <w:t>United States v. Christensen</w:t>
      </w:r>
      <w:r w:rsidRPr="00641770">
        <w:rPr>
          <w:rFonts w:eastAsia="Times New Roman" w:cs="Times New Roman"/>
          <w:color w:val="000000"/>
          <w:szCs w:val="24"/>
        </w:rPr>
        <w:t xml:space="preserve">, 828 F.3d 763, 780-81 (9th Cir. 2015), </w:t>
      </w:r>
      <w:r w:rsidRPr="00641770">
        <w:rPr>
          <w:rFonts w:eastAsia="Times New Roman" w:cs="Times New Roman"/>
          <w:i/>
          <w:color w:val="000000"/>
          <w:szCs w:val="24"/>
        </w:rPr>
        <w:t xml:space="preserve">as amended on denial of reh’g </w:t>
      </w:r>
      <w:r w:rsidRPr="00641770">
        <w:rPr>
          <w:rFonts w:eastAsia="Times New Roman" w:cs="Times New Roman"/>
          <w:color w:val="000000"/>
          <w:szCs w:val="24"/>
        </w:rPr>
        <w:t>(</w:t>
      </w:r>
      <w:r w:rsidR="002C4E29">
        <w:rPr>
          <w:rFonts w:eastAsia="Times New Roman" w:cs="Times New Roman"/>
          <w:color w:val="000000"/>
          <w:szCs w:val="24"/>
        </w:rPr>
        <w:t>9</w:t>
      </w:r>
      <w:r w:rsidR="002C4E29" w:rsidRPr="002C4E29">
        <w:rPr>
          <w:rFonts w:eastAsia="Times New Roman" w:cs="Times New Roman"/>
          <w:color w:val="000000"/>
          <w:szCs w:val="24"/>
        </w:rPr>
        <w:t>th</w:t>
      </w:r>
      <w:r w:rsidR="002C4E29">
        <w:rPr>
          <w:rFonts w:eastAsia="Times New Roman" w:cs="Times New Roman"/>
          <w:color w:val="000000"/>
          <w:szCs w:val="24"/>
        </w:rPr>
        <w:t xml:space="preserve"> Cir.</w:t>
      </w:r>
      <w:r w:rsidRPr="00641770">
        <w:rPr>
          <w:rFonts w:eastAsia="Times New Roman" w:cs="Times New Roman"/>
          <w:color w:val="000000"/>
          <w:szCs w:val="24"/>
        </w:rPr>
        <w:t xml:space="preserve"> 2016).  A RICO enterprise is not defeated even when some of the enterprise’s participants lack detailed knowledge of </w:t>
      </w:r>
      <w:proofErr w:type="gramStart"/>
      <w:r w:rsidRPr="00641770">
        <w:rPr>
          <w:rFonts w:eastAsia="Times New Roman" w:cs="Times New Roman"/>
          <w:color w:val="000000"/>
          <w:szCs w:val="24"/>
        </w:rPr>
        <w:t>all of</w:t>
      </w:r>
      <w:proofErr w:type="gramEnd"/>
      <w:r w:rsidRPr="00641770">
        <w:rPr>
          <w:rFonts w:eastAsia="Times New Roman" w:cs="Times New Roman"/>
          <w:color w:val="000000"/>
          <w:szCs w:val="24"/>
        </w:rPr>
        <w:t xml:space="preserve"> the other participants or their activities.  Instead, “it is sufficient that the defendant knows the general nature of the enterprise and know that the enterprise extends beyond his individual role.”  </w:t>
      </w:r>
      <w:r w:rsidRPr="00641770">
        <w:rPr>
          <w:rFonts w:eastAsia="Times New Roman" w:cs="Times New Roman"/>
          <w:i/>
          <w:color w:val="000000"/>
          <w:szCs w:val="24"/>
        </w:rPr>
        <w:t>Id.</w:t>
      </w:r>
      <w:r w:rsidRPr="00641770">
        <w:rPr>
          <w:rFonts w:eastAsia="Times New Roman" w:cs="Times New Roman"/>
          <w:color w:val="000000"/>
          <w:szCs w:val="24"/>
        </w:rPr>
        <w:t xml:space="preserve"> at 780.</w:t>
      </w:r>
    </w:p>
    <w:p w14:paraId="56A305AB" w14:textId="77777777" w:rsidR="00641770" w:rsidRPr="00641770" w:rsidRDefault="00641770" w:rsidP="00641770">
      <w:pPr>
        <w:rPr>
          <w:rFonts w:eastAsia="Times New Roman" w:cs="Times New Roman"/>
          <w:color w:val="000000"/>
          <w:szCs w:val="24"/>
        </w:rPr>
      </w:pPr>
    </w:p>
    <w:p w14:paraId="471D5753" w14:textId="77777777" w:rsidR="00641770" w:rsidRPr="00641770" w:rsidRDefault="00641770" w:rsidP="00641770">
      <w:pPr>
        <w:rPr>
          <w:rFonts w:eastAsia="Times New Roman" w:cs="Times New Roman"/>
          <w:color w:val="000000"/>
          <w:szCs w:val="24"/>
        </w:rPr>
      </w:pPr>
      <w:r w:rsidRPr="00641770">
        <w:rPr>
          <w:rFonts w:eastAsia="Times New Roman" w:cs="Times New Roman"/>
          <w:i/>
          <w:color w:val="000000"/>
          <w:szCs w:val="24"/>
        </w:rPr>
        <w:tab/>
        <w:t>See United States v. Shryock</w:t>
      </w:r>
      <w:r w:rsidRPr="00641770">
        <w:rPr>
          <w:rFonts w:eastAsia="Times New Roman" w:cs="Times New Roman"/>
          <w:color w:val="000000"/>
          <w:szCs w:val="24"/>
        </w:rPr>
        <w:t>, 342 F.3d 948, 985-86 (9th Cir. 2003) (defining “conducts or participates” in the affairs of the enterprise).</w:t>
      </w:r>
    </w:p>
    <w:p w14:paraId="4BABDBB3" w14:textId="77777777" w:rsidR="00641770" w:rsidRPr="00641770" w:rsidRDefault="00641770" w:rsidP="00641770">
      <w:pPr>
        <w:rPr>
          <w:rFonts w:eastAsia="Times New Roman" w:cs="Times New Roman"/>
          <w:color w:val="000000"/>
          <w:szCs w:val="24"/>
        </w:rPr>
      </w:pPr>
    </w:p>
    <w:p w14:paraId="1B1845FC" w14:textId="77777777" w:rsidR="00641770" w:rsidRPr="00641770" w:rsidRDefault="00641770" w:rsidP="00641770">
      <w:pPr>
        <w:rPr>
          <w:rFonts w:eastAsia="Times New Roman" w:cs="Times New Roman"/>
          <w:color w:val="000000"/>
          <w:szCs w:val="24"/>
        </w:rPr>
      </w:pPr>
    </w:p>
    <w:p w14:paraId="0D4193DD" w14:textId="77777777" w:rsidR="00641770" w:rsidRPr="00641770" w:rsidRDefault="00641770" w:rsidP="00641770">
      <w:pPr>
        <w:jc w:val="right"/>
        <w:rPr>
          <w:rFonts w:eastAsia="Times New Roman" w:cs="Times New Roman"/>
          <w:color w:val="000000"/>
          <w:szCs w:val="24"/>
        </w:rPr>
      </w:pPr>
      <w:r w:rsidRPr="00641770">
        <w:rPr>
          <w:rFonts w:eastAsia="Times New Roman" w:cs="Times New Roman"/>
          <w:i/>
          <w:color w:val="000000"/>
          <w:szCs w:val="24"/>
        </w:rPr>
        <w:t>Revised Dec. 2015</w:t>
      </w:r>
    </w:p>
    <w:p w14:paraId="0ACE18C0" w14:textId="4ACE3541" w:rsidR="00C97E04" w:rsidRPr="00641770" w:rsidRDefault="00C97E04" w:rsidP="00641770"/>
    <w:sectPr w:rsidR="00C97E04" w:rsidRPr="0064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C4E29"/>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2022-08-23T17:19:00Z</dcterms:created>
  <dcterms:modified xsi:type="dcterms:W3CDTF">2022-08-23T17:19:00Z</dcterms:modified>
</cp:coreProperties>
</file>