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DC0C" w14:textId="77777777" w:rsidR="00641770" w:rsidRPr="00641770" w:rsidRDefault="00641770" w:rsidP="00641770">
      <w:pPr>
        <w:autoSpaceDE w:val="0"/>
        <w:autoSpaceDN w:val="0"/>
        <w:adjustRightInd w:val="0"/>
        <w:ind w:left="420" w:hanging="240"/>
        <w:jc w:val="center"/>
        <w:outlineLvl w:val="1"/>
        <w:rPr>
          <w:rFonts w:cs="Times New Roman"/>
          <w:b/>
          <w:bCs/>
          <w:szCs w:val="24"/>
        </w:rPr>
      </w:pPr>
      <w:bookmarkStart w:id="0" w:name="_Toc73698771"/>
      <w:bookmarkStart w:id="1" w:name="_Toc83310833"/>
      <w:bookmarkStart w:id="2" w:name="_Toc83362627"/>
      <w:bookmarkStart w:id="3" w:name="_Toc83363036"/>
      <w:bookmarkStart w:id="4" w:name="_Toc90310094"/>
      <w:bookmarkStart w:id="5" w:name="_Toc90389952"/>
      <w:bookmarkStart w:id="6" w:name="_Toc90860532"/>
      <w:r w:rsidRPr="00641770">
        <w:rPr>
          <w:rFonts w:cs="Times New Roman"/>
          <w:b/>
          <w:bCs/>
          <w:szCs w:val="24"/>
        </w:rPr>
        <w:t xml:space="preserve">18.18 RICO—Conducting Affairs of Association–in–Fact </w:t>
      </w:r>
    </w:p>
    <w:p w14:paraId="514FA59B" w14:textId="77777777" w:rsidR="00641770" w:rsidRPr="00641770" w:rsidRDefault="00641770" w:rsidP="00641770">
      <w:pPr>
        <w:autoSpaceDE w:val="0"/>
        <w:autoSpaceDN w:val="0"/>
        <w:adjustRightInd w:val="0"/>
        <w:ind w:left="420" w:hanging="240"/>
        <w:jc w:val="center"/>
        <w:outlineLvl w:val="1"/>
        <w:rPr>
          <w:rFonts w:cs="Times New Roman"/>
          <w:b/>
          <w:bCs/>
          <w:szCs w:val="24"/>
        </w:rPr>
      </w:pPr>
      <w:r w:rsidRPr="00641770">
        <w:rPr>
          <w:rFonts w:cs="Times New Roman"/>
          <w:b/>
          <w:bCs/>
          <w:szCs w:val="24"/>
        </w:rPr>
        <w:t>(18 U.S.C. § 1962(c))</w:t>
      </w:r>
      <w:bookmarkEnd w:id="0"/>
      <w:bookmarkEnd w:id="1"/>
      <w:bookmarkEnd w:id="2"/>
      <w:bookmarkEnd w:id="3"/>
      <w:bookmarkEnd w:id="4"/>
      <w:bookmarkEnd w:id="5"/>
      <w:bookmarkEnd w:id="6"/>
    </w:p>
    <w:p w14:paraId="7790FEB3" w14:textId="77777777" w:rsidR="00641770" w:rsidRPr="00641770" w:rsidRDefault="00641770" w:rsidP="00641770">
      <w:pPr>
        <w:rPr>
          <w:rFonts w:eastAsia="Times New Roman" w:cs="Times New Roman"/>
          <w:color w:val="000000"/>
          <w:szCs w:val="24"/>
        </w:rPr>
      </w:pPr>
    </w:p>
    <w:p w14:paraId="10881F9A" w14:textId="77777777" w:rsidR="00641770" w:rsidRPr="00641770" w:rsidRDefault="00641770" w:rsidP="00641770">
      <w:pPr>
        <w:rPr>
          <w:rFonts w:eastAsia="Times New Roman" w:cs="Times New Roman"/>
          <w:color w:val="000000"/>
          <w:szCs w:val="24"/>
        </w:rPr>
      </w:pPr>
      <w:r w:rsidRPr="00641770">
        <w:rPr>
          <w:rFonts w:eastAsia="Times New Roman" w:cs="Times New Roman"/>
          <w:color w:val="000000"/>
          <w:szCs w:val="24"/>
        </w:rPr>
        <w:tab/>
        <w:t>The defendant is charged in [Count _______ of] the indictment with having [conducted] [participated in the conduct of] the affairs of an enterprise through a pattern of racketeering activity in violation of Section 1962(c) of Title 18 of the United States Code.  For the defendant to be found guilty of that charge, the government must prove each of the following elements beyond a reasonable doubt:</w:t>
      </w:r>
    </w:p>
    <w:p w14:paraId="5131131D" w14:textId="77777777" w:rsidR="00641770" w:rsidRPr="00641770" w:rsidRDefault="00641770" w:rsidP="00641770">
      <w:pPr>
        <w:rPr>
          <w:rFonts w:eastAsia="Times New Roman" w:cs="Times New Roman"/>
          <w:color w:val="000000"/>
          <w:szCs w:val="24"/>
        </w:rPr>
      </w:pPr>
    </w:p>
    <w:p w14:paraId="62B713E7" w14:textId="42D603FB" w:rsidR="00641770" w:rsidRPr="00641770" w:rsidRDefault="00641770" w:rsidP="00641770">
      <w:pPr>
        <w:rPr>
          <w:rFonts w:eastAsia="Times New Roman" w:cs="Times New Roman"/>
          <w:color w:val="000000"/>
          <w:szCs w:val="24"/>
        </w:rPr>
      </w:pPr>
      <w:r w:rsidRPr="00641770">
        <w:rPr>
          <w:rFonts w:eastAsia="Times New Roman" w:cs="Times New Roman"/>
          <w:color w:val="000000"/>
          <w:szCs w:val="24"/>
        </w:rPr>
        <w:tab/>
        <w:t xml:space="preserve">First, there was an ongoing enterprise with some sort of formal or informal framework for carrying out its objectives consisting of a group of persons associated together for a common purpose of engaging in a course of </w:t>
      </w:r>
      <w:proofErr w:type="gramStart"/>
      <w:r w:rsidRPr="00641770">
        <w:rPr>
          <w:rFonts w:eastAsia="Times New Roman" w:cs="Times New Roman"/>
          <w:color w:val="000000"/>
          <w:szCs w:val="24"/>
        </w:rPr>
        <w:t>conduct;</w:t>
      </w:r>
      <w:proofErr w:type="gramEnd"/>
    </w:p>
    <w:p w14:paraId="248372FD" w14:textId="77777777" w:rsidR="00641770" w:rsidRPr="00641770" w:rsidRDefault="00641770" w:rsidP="00641770">
      <w:pPr>
        <w:rPr>
          <w:rFonts w:eastAsia="Times New Roman" w:cs="Times New Roman"/>
          <w:color w:val="000000"/>
          <w:szCs w:val="24"/>
        </w:rPr>
      </w:pPr>
    </w:p>
    <w:p w14:paraId="61DF273B" w14:textId="77777777" w:rsidR="00641770" w:rsidRPr="00641770" w:rsidRDefault="00641770" w:rsidP="00641770">
      <w:pPr>
        <w:rPr>
          <w:rFonts w:eastAsia="Times New Roman" w:cs="Times New Roman"/>
          <w:color w:val="000000"/>
          <w:szCs w:val="24"/>
        </w:rPr>
      </w:pPr>
      <w:r w:rsidRPr="00641770">
        <w:rPr>
          <w:rFonts w:eastAsia="Times New Roman" w:cs="Times New Roman"/>
          <w:color w:val="000000"/>
          <w:szCs w:val="24"/>
        </w:rPr>
        <w:tab/>
        <w:t xml:space="preserve">Second, the defendant was employed by or associated with the </w:t>
      </w:r>
      <w:proofErr w:type="gramStart"/>
      <w:r w:rsidRPr="00641770">
        <w:rPr>
          <w:rFonts w:eastAsia="Times New Roman" w:cs="Times New Roman"/>
          <w:color w:val="000000"/>
          <w:szCs w:val="24"/>
        </w:rPr>
        <w:t>enterprise;</w:t>
      </w:r>
      <w:proofErr w:type="gramEnd"/>
    </w:p>
    <w:p w14:paraId="48F0DBAC" w14:textId="77777777" w:rsidR="00641770" w:rsidRPr="00641770" w:rsidRDefault="00641770" w:rsidP="00641770">
      <w:pPr>
        <w:rPr>
          <w:rFonts w:eastAsia="Times New Roman" w:cs="Times New Roman"/>
          <w:color w:val="000000"/>
          <w:szCs w:val="24"/>
        </w:rPr>
      </w:pPr>
    </w:p>
    <w:p w14:paraId="5B283C23" w14:textId="77777777" w:rsidR="00641770" w:rsidRPr="00641770" w:rsidRDefault="00641770" w:rsidP="00641770">
      <w:pPr>
        <w:rPr>
          <w:rFonts w:eastAsia="Times New Roman" w:cs="Times New Roman"/>
          <w:color w:val="000000"/>
          <w:szCs w:val="24"/>
        </w:rPr>
      </w:pPr>
      <w:r w:rsidRPr="00641770">
        <w:rPr>
          <w:rFonts w:eastAsia="Times New Roman" w:cs="Times New Roman"/>
          <w:color w:val="000000"/>
          <w:szCs w:val="24"/>
        </w:rPr>
        <w:tab/>
        <w:t>Third, the defendant [conducted] [participated, directly or indirectly, in the conduct of] the affairs of the enterprise through a pattern of racketeering activity or collection of unlawful debt.  To conduct or participate means that the defendant had to be involved in the operation or management of the enterprise; and</w:t>
      </w:r>
      <w:r w:rsidRPr="00641770">
        <w:rPr>
          <w:rFonts w:eastAsia="Times New Roman" w:cs="Times New Roman"/>
          <w:color w:val="000000"/>
          <w:szCs w:val="24"/>
        </w:rPr>
        <w:br/>
      </w:r>
    </w:p>
    <w:p w14:paraId="3197DEB6" w14:textId="77777777" w:rsidR="00641770" w:rsidRPr="00641770" w:rsidRDefault="00641770" w:rsidP="00641770">
      <w:pPr>
        <w:rPr>
          <w:rFonts w:eastAsia="Times New Roman" w:cs="Times New Roman"/>
          <w:color w:val="000000"/>
          <w:szCs w:val="24"/>
        </w:rPr>
      </w:pPr>
      <w:r w:rsidRPr="00641770">
        <w:rPr>
          <w:rFonts w:eastAsia="Times New Roman" w:cs="Times New Roman"/>
          <w:color w:val="000000"/>
          <w:szCs w:val="24"/>
        </w:rPr>
        <w:tab/>
        <w:t>Fourth, the enterprise engaged in or its activities in some way affected commerce between one state and [an]other state[s], or between the United States and a foreign country.</w:t>
      </w:r>
    </w:p>
    <w:p w14:paraId="2A47B759" w14:textId="77777777" w:rsidR="00641770" w:rsidRPr="00641770" w:rsidRDefault="00641770" w:rsidP="00641770">
      <w:pPr>
        <w:rPr>
          <w:rFonts w:eastAsia="Times New Roman" w:cs="Times New Roman"/>
          <w:color w:val="000000"/>
          <w:szCs w:val="24"/>
        </w:rPr>
      </w:pPr>
    </w:p>
    <w:p w14:paraId="1C5192E6" w14:textId="77777777" w:rsidR="00641770" w:rsidRPr="00641770" w:rsidRDefault="00641770" w:rsidP="00641770">
      <w:pPr>
        <w:rPr>
          <w:rFonts w:eastAsia="Times New Roman" w:cs="Times New Roman"/>
          <w:color w:val="000000"/>
          <w:szCs w:val="24"/>
        </w:rPr>
      </w:pPr>
      <w:r w:rsidRPr="00641770">
        <w:rPr>
          <w:rFonts w:eastAsia="Times New Roman" w:cs="Times New Roman"/>
          <w:color w:val="000000"/>
          <w:szCs w:val="24"/>
        </w:rPr>
        <w:tab/>
        <w:t xml:space="preserve">An enterprise need not be a formal entity such as a corporation and need not have a name, regular meetings, or established rules.   </w:t>
      </w:r>
    </w:p>
    <w:p w14:paraId="007D3290" w14:textId="77777777" w:rsidR="00641770" w:rsidRPr="00641770" w:rsidRDefault="00641770" w:rsidP="00641770">
      <w:pPr>
        <w:rPr>
          <w:rFonts w:eastAsia="Times New Roman" w:cs="Times New Roman"/>
          <w:color w:val="000000"/>
          <w:szCs w:val="24"/>
        </w:rPr>
      </w:pPr>
    </w:p>
    <w:p w14:paraId="5E0969D8" w14:textId="77777777" w:rsidR="00641770" w:rsidRPr="00641770" w:rsidRDefault="00641770" w:rsidP="00641770">
      <w:pPr>
        <w:ind w:right="-180"/>
        <w:jc w:val="center"/>
        <w:rPr>
          <w:rFonts w:eastAsia="Times New Roman" w:cs="Times New Roman"/>
          <w:b/>
          <w:color w:val="000000"/>
          <w:szCs w:val="24"/>
        </w:rPr>
      </w:pPr>
      <w:r w:rsidRPr="00641770">
        <w:rPr>
          <w:rFonts w:eastAsia="Times New Roman" w:cs="Times New Roman"/>
          <w:b/>
          <w:color w:val="000000"/>
          <w:szCs w:val="24"/>
        </w:rPr>
        <w:t>Comment</w:t>
      </w:r>
    </w:p>
    <w:p w14:paraId="2A2E71C4" w14:textId="77777777" w:rsidR="00641770" w:rsidRPr="00641770" w:rsidRDefault="00641770" w:rsidP="00641770">
      <w:pPr>
        <w:rPr>
          <w:rFonts w:eastAsia="Times New Roman" w:cs="Times New Roman"/>
          <w:szCs w:val="24"/>
        </w:rPr>
      </w:pPr>
    </w:p>
    <w:p w14:paraId="52CF3987" w14:textId="77777777" w:rsidR="00641770" w:rsidRPr="00641770" w:rsidRDefault="00641770" w:rsidP="00641770">
      <w:pPr>
        <w:rPr>
          <w:rFonts w:eastAsia="Times New Roman" w:cs="Times New Roman"/>
          <w:color w:val="000000"/>
          <w:szCs w:val="24"/>
        </w:rPr>
      </w:pPr>
      <w:r w:rsidRPr="00641770">
        <w:rPr>
          <w:rFonts w:eastAsia="Times New Roman" w:cs="Times New Roman"/>
          <w:color w:val="000000"/>
          <w:szCs w:val="24"/>
        </w:rPr>
        <w:tab/>
        <w:t>When racketeering acts are charged as separate counts in the indictment, use this instruction in combination with Instructions 18.12 (RICO–Racketeering Act–Charged as Separate Count in Indictment) and 18.14 (RICO–Pattern of Racketeering Activity).  When the racketeering acts are not charged as separate counts in the indictment, use this instruction in combination with Instructions 18.13 (RICO–Racketeering Act–Not Charged as Separate Count in the Indictment) and 18.14 (RICO–Pattern of Racketeering Activity).</w:t>
      </w:r>
    </w:p>
    <w:p w14:paraId="72DEDB43" w14:textId="77777777" w:rsidR="00641770" w:rsidRPr="00641770" w:rsidRDefault="00641770" w:rsidP="00641770">
      <w:pPr>
        <w:rPr>
          <w:rFonts w:eastAsia="Times New Roman" w:cs="Times New Roman"/>
          <w:szCs w:val="24"/>
        </w:rPr>
      </w:pPr>
    </w:p>
    <w:p w14:paraId="6A8E96C4" w14:textId="77777777" w:rsidR="00641770" w:rsidRPr="00641770" w:rsidRDefault="00641770" w:rsidP="00641770">
      <w:pPr>
        <w:rPr>
          <w:rFonts w:eastAsia="Times New Roman" w:cs="Times New Roman"/>
          <w:color w:val="000000"/>
          <w:szCs w:val="24"/>
        </w:rPr>
      </w:pPr>
      <w:r w:rsidRPr="00641770">
        <w:rPr>
          <w:rFonts w:eastAsia="Times New Roman" w:cs="Times New Roman"/>
          <w:color w:val="000000"/>
          <w:szCs w:val="24"/>
        </w:rPr>
        <w:tab/>
        <w:t xml:space="preserve">RICO requires that an association-in-fact enterprise must have a structure, but the word “structure” need not be used in the jury instruction.  </w:t>
      </w:r>
      <w:r w:rsidRPr="00641770">
        <w:rPr>
          <w:rFonts w:eastAsia="Times New Roman" w:cs="Times New Roman"/>
          <w:i/>
          <w:color w:val="000000"/>
          <w:szCs w:val="24"/>
        </w:rPr>
        <w:t>Boyle v. United States</w:t>
      </w:r>
      <w:r w:rsidRPr="00641770">
        <w:rPr>
          <w:rFonts w:eastAsia="Times New Roman" w:cs="Times New Roman"/>
          <w:color w:val="000000"/>
          <w:szCs w:val="24"/>
        </w:rPr>
        <w:t xml:space="preserve">, 556 U.S. 938, 946 (2009).  The definition of “enterprise” in the first element of the instruction is based on </w:t>
      </w:r>
      <w:r w:rsidRPr="00641770">
        <w:rPr>
          <w:rFonts w:eastAsia="Times New Roman" w:cs="Times New Roman"/>
          <w:i/>
          <w:color w:val="000000"/>
          <w:szCs w:val="24"/>
        </w:rPr>
        <w:t>Boyle</w:t>
      </w:r>
      <w:r w:rsidRPr="00641770">
        <w:rPr>
          <w:rFonts w:eastAsia="Times New Roman" w:cs="Times New Roman"/>
          <w:color w:val="000000"/>
          <w:szCs w:val="24"/>
        </w:rPr>
        <w:t xml:space="preserve">, 556 U.S. at 949, and </w:t>
      </w:r>
      <w:r w:rsidRPr="00641770">
        <w:rPr>
          <w:rFonts w:eastAsia="Times New Roman" w:cs="Times New Roman"/>
          <w:i/>
          <w:color w:val="000000"/>
          <w:szCs w:val="24"/>
        </w:rPr>
        <w:t xml:space="preserve">United States v. </w:t>
      </w:r>
      <w:proofErr w:type="spellStart"/>
      <w:r w:rsidRPr="00641770">
        <w:rPr>
          <w:rFonts w:eastAsia="Times New Roman" w:cs="Times New Roman"/>
          <w:i/>
          <w:color w:val="000000"/>
          <w:szCs w:val="24"/>
        </w:rPr>
        <w:t>Turkette</w:t>
      </w:r>
      <w:proofErr w:type="spellEnd"/>
      <w:r w:rsidRPr="00641770">
        <w:rPr>
          <w:rFonts w:eastAsia="Times New Roman" w:cs="Times New Roman"/>
          <w:iCs/>
          <w:color w:val="000000"/>
          <w:szCs w:val="24"/>
        </w:rPr>
        <w:t>,</w:t>
      </w:r>
      <w:r w:rsidRPr="00641770">
        <w:rPr>
          <w:rFonts w:eastAsia="Times New Roman" w:cs="Times New Roman"/>
          <w:color w:val="000000"/>
          <w:szCs w:val="24"/>
        </w:rPr>
        <w:t xml:space="preserve"> 452 U.S. 576, 583 (1981).</w:t>
      </w:r>
    </w:p>
    <w:p w14:paraId="7B3AE019" w14:textId="77777777" w:rsidR="00641770" w:rsidRPr="00641770" w:rsidRDefault="00641770" w:rsidP="00641770">
      <w:pPr>
        <w:rPr>
          <w:rFonts w:eastAsia="Times New Roman" w:cs="Times New Roman"/>
          <w:color w:val="000000"/>
          <w:szCs w:val="24"/>
        </w:rPr>
      </w:pPr>
    </w:p>
    <w:p w14:paraId="1CB42BCD" w14:textId="77777777" w:rsidR="00641770" w:rsidRPr="00641770" w:rsidRDefault="00641770" w:rsidP="00641770">
      <w:pPr>
        <w:rPr>
          <w:rFonts w:eastAsia="Times New Roman" w:cs="Times New Roman"/>
          <w:color w:val="000000"/>
          <w:szCs w:val="24"/>
        </w:rPr>
      </w:pPr>
      <w:r w:rsidRPr="00641770">
        <w:rPr>
          <w:rFonts w:eastAsia="Times New Roman" w:cs="Times New Roman"/>
          <w:color w:val="000000"/>
          <w:szCs w:val="24"/>
        </w:rPr>
        <w:tab/>
        <w:t xml:space="preserve">For RICO purposes, an association-in-fact enterprise “need not have a name, regular meetings, dues, established rules and regulations, disciplinary procedures, or induction or initiation ceremonies.”  </w:t>
      </w:r>
      <w:r w:rsidRPr="00641770">
        <w:rPr>
          <w:rFonts w:eastAsia="Times New Roman" w:cs="Times New Roman"/>
          <w:i/>
          <w:color w:val="000000"/>
          <w:szCs w:val="24"/>
        </w:rPr>
        <w:t>Boyle</w:t>
      </w:r>
      <w:r w:rsidRPr="00641770">
        <w:rPr>
          <w:rFonts w:eastAsia="Times New Roman" w:cs="Times New Roman"/>
          <w:color w:val="000000"/>
          <w:szCs w:val="24"/>
        </w:rPr>
        <w:t>, 556 U.S. at 948.</w:t>
      </w:r>
    </w:p>
    <w:p w14:paraId="47010FBE" w14:textId="77777777" w:rsidR="00641770" w:rsidRPr="00641770" w:rsidRDefault="00641770" w:rsidP="00641770">
      <w:pPr>
        <w:rPr>
          <w:rFonts w:eastAsia="Times New Roman" w:cs="Times New Roman"/>
          <w:color w:val="000000"/>
          <w:szCs w:val="24"/>
        </w:rPr>
      </w:pPr>
    </w:p>
    <w:p w14:paraId="0EC5D5AD" w14:textId="3900854D" w:rsidR="00641770" w:rsidRPr="00641770" w:rsidRDefault="00641770" w:rsidP="00641770">
      <w:pPr>
        <w:rPr>
          <w:rFonts w:eastAsia="Times New Roman" w:cs="Times New Roman"/>
          <w:color w:val="000000"/>
          <w:szCs w:val="24"/>
        </w:rPr>
      </w:pPr>
      <w:r w:rsidRPr="00641770">
        <w:rPr>
          <w:rFonts w:eastAsia="Times New Roman" w:cs="Times New Roman"/>
          <w:color w:val="000000"/>
          <w:szCs w:val="24"/>
        </w:rPr>
        <w:tab/>
        <w:t xml:space="preserve">Defendants in RICO actions must have had “some knowledge of the nature of the enterprise . . . to avoid an unjust association of the defendant[s] with the crimes of others,” but </w:t>
      </w:r>
      <w:r w:rsidRPr="00641770">
        <w:rPr>
          <w:rFonts w:eastAsia="Times New Roman" w:cs="Times New Roman"/>
          <w:color w:val="000000"/>
          <w:szCs w:val="24"/>
        </w:rPr>
        <w:lastRenderedPageBreak/>
        <w:t xml:space="preserve">the requirement of a common purpose may be met so long as the defendants were “each aware of the essential nature and scope of [the] enterprise and intended to participate in it.”  </w:t>
      </w:r>
      <w:r w:rsidRPr="00641770">
        <w:rPr>
          <w:rFonts w:eastAsia="Times New Roman" w:cs="Times New Roman"/>
          <w:i/>
          <w:color w:val="000000"/>
          <w:szCs w:val="24"/>
        </w:rPr>
        <w:t>United States v. Christensen</w:t>
      </w:r>
      <w:r w:rsidRPr="00641770">
        <w:rPr>
          <w:rFonts w:eastAsia="Times New Roman" w:cs="Times New Roman"/>
          <w:color w:val="000000"/>
          <w:szCs w:val="24"/>
        </w:rPr>
        <w:t xml:space="preserve">, 828 F.3d 763, 780-81 (9th Cir. 2015), </w:t>
      </w:r>
      <w:r w:rsidRPr="00641770">
        <w:rPr>
          <w:rFonts w:eastAsia="Times New Roman" w:cs="Times New Roman"/>
          <w:i/>
          <w:color w:val="000000"/>
          <w:szCs w:val="24"/>
        </w:rPr>
        <w:t xml:space="preserve">as amended on denial of reh’g </w:t>
      </w:r>
      <w:r w:rsidRPr="00641770">
        <w:rPr>
          <w:rFonts w:eastAsia="Times New Roman" w:cs="Times New Roman"/>
          <w:color w:val="000000"/>
          <w:szCs w:val="24"/>
        </w:rPr>
        <w:t>(</w:t>
      </w:r>
      <w:r w:rsidR="002C4E29">
        <w:rPr>
          <w:rFonts w:eastAsia="Times New Roman" w:cs="Times New Roman"/>
          <w:color w:val="000000"/>
          <w:szCs w:val="24"/>
        </w:rPr>
        <w:t>9</w:t>
      </w:r>
      <w:r w:rsidR="002C4E29" w:rsidRPr="002C4E29">
        <w:rPr>
          <w:rFonts w:eastAsia="Times New Roman" w:cs="Times New Roman"/>
          <w:color w:val="000000"/>
          <w:szCs w:val="24"/>
        </w:rPr>
        <w:t>th</w:t>
      </w:r>
      <w:r w:rsidR="002C4E29">
        <w:rPr>
          <w:rFonts w:eastAsia="Times New Roman" w:cs="Times New Roman"/>
          <w:color w:val="000000"/>
          <w:szCs w:val="24"/>
        </w:rPr>
        <w:t xml:space="preserve"> Cir.</w:t>
      </w:r>
      <w:r w:rsidRPr="00641770">
        <w:rPr>
          <w:rFonts w:eastAsia="Times New Roman" w:cs="Times New Roman"/>
          <w:color w:val="000000"/>
          <w:szCs w:val="24"/>
        </w:rPr>
        <w:t xml:space="preserve"> 2016).  A RICO enterprise is not defeated even when some of the enterprise’s participants lack detailed knowledge of </w:t>
      </w:r>
      <w:proofErr w:type="gramStart"/>
      <w:r w:rsidRPr="00641770">
        <w:rPr>
          <w:rFonts w:eastAsia="Times New Roman" w:cs="Times New Roman"/>
          <w:color w:val="000000"/>
          <w:szCs w:val="24"/>
        </w:rPr>
        <w:t>all of</w:t>
      </w:r>
      <w:proofErr w:type="gramEnd"/>
      <w:r w:rsidRPr="00641770">
        <w:rPr>
          <w:rFonts w:eastAsia="Times New Roman" w:cs="Times New Roman"/>
          <w:color w:val="000000"/>
          <w:szCs w:val="24"/>
        </w:rPr>
        <w:t xml:space="preserve"> the other participants or their activities.  Instead, “it is sufficient that the defendant knows the general nature of the enterprise and know that the enterprise extends beyond his individual role.”  </w:t>
      </w:r>
      <w:r w:rsidRPr="00641770">
        <w:rPr>
          <w:rFonts w:eastAsia="Times New Roman" w:cs="Times New Roman"/>
          <w:i/>
          <w:color w:val="000000"/>
          <w:szCs w:val="24"/>
        </w:rPr>
        <w:t>Id.</w:t>
      </w:r>
      <w:r w:rsidRPr="00641770">
        <w:rPr>
          <w:rFonts w:eastAsia="Times New Roman" w:cs="Times New Roman"/>
          <w:color w:val="000000"/>
          <w:szCs w:val="24"/>
        </w:rPr>
        <w:t xml:space="preserve"> at 780.</w:t>
      </w:r>
    </w:p>
    <w:p w14:paraId="56A305AB" w14:textId="77777777" w:rsidR="00641770" w:rsidRPr="00641770" w:rsidRDefault="00641770" w:rsidP="00641770">
      <w:pPr>
        <w:rPr>
          <w:rFonts w:eastAsia="Times New Roman" w:cs="Times New Roman"/>
          <w:color w:val="000000"/>
          <w:szCs w:val="24"/>
        </w:rPr>
      </w:pPr>
    </w:p>
    <w:p w14:paraId="471D5753" w14:textId="77777777" w:rsidR="00641770" w:rsidRPr="00641770" w:rsidRDefault="00641770" w:rsidP="00641770">
      <w:pPr>
        <w:rPr>
          <w:rFonts w:eastAsia="Times New Roman" w:cs="Times New Roman"/>
          <w:color w:val="000000"/>
          <w:szCs w:val="24"/>
        </w:rPr>
      </w:pPr>
      <w:r w:rsidRPr="00641770">
        <w:rPr>
          <w:rFonts w:eastAsia="Times New Roman" w:cs="Times New Roman"/>
          <w:i/>
          <w:color w:val="000000"/>
          <w:szCs w:val="24"/>
        </w:rPr>
        <w:tab/>
        <w:t>See United States v. Shryock</w:t>
      </w:r>
      <w:r w:rsidRPr="00641770">
        <w:rPr>
          <w:rFonts w:eastAsia="Times New Roman" w:cs="Times New Roman"/>
          <w:color w:val="000000"/>
          <w:szCs w:val="24"/>
        </w:rPr>
        <w:t>, 342 F.3d 948, 985-86 (9th Cir. 2003) (defining “conducts or participates” in the affairs of the enterprise).</w:t>
      </w:r>
    </w:p>
    <w:p w14:paraId="4BABDBB3" w14:textId="77777777" w:rsidR="00641770" w:rsidRPr="00641770" w:rsidRDefault="00641770" w:rsidP="00641770">
      <w:pPr>
        <w:rPr>
          <w:rFonts w:eastAsia="Times New Roman" w:cs="Times New Roman"/>
          <w:color w:val="000000"/>
          <w:szCs w:val="24"/>
        </w:rPr>
      </w:pPr>
    </w:p>
    <w:p w14:paraId="1B1845FC" w14:textId="77777777" w:rsidR="00641770" w:rsidRPr="00641770" w:rsidRDefault="00641770" w:rsidP="00641770">
      <w:pPr>
        <w:rPr>
          <w:rFonts w:eastAsia="Times New Roman" w:cs="Times New Roman"/>
          <w:color w:val="000000"/>
          <w:szCs w:val="24"/>
        </w:rPr>
      </w:pPr>
    </w:p>
    <w:p w14:paraId="0D4193DD" w14:textId="77777777" w:rsidR="00641770" w:rsidRPr="00641770" w:rsidRDefault="00641770" w:rsidP="00641770">
      <w:pPr>
        <w:jc w:val="right"/>
        <w:rPr>
          <w:rFonts w:eastAsia="Times New Roman" w:cs="Times New Roman"/>
          <w:color w:val="000000"/>
          <w:szCs w:val="24"/>
        </w:rPr>
      </w:pPr>
      <w:r w:rsidRPr="00641770">
        <w:rPr>
          <w:rFonts w:eastAsia="Times New Roman" w:cs="Times New Roman"/>
          <w:i/>
          <w:color w:val="000000"/>
          <w:szCs w:val="24"/>
        </w:rPr>
        <w:t>Revised Dec. 2015</w:t>
      </w:r>
    </w:p>
    <w:p w14:paraId="0ACE18C0" w14:textId="4ACE3541" w:rsidR="00C97E04" w:rsidRPr="00641770" w:rsidRDefault="00C97E04" w:rsidP="00641770"/>
    <w:sectPr w:rsidR="00C97E04" w:rsidRPr="00641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C4E29"/>
    <w:rsid w:val="002D2353"/>
    <w:rsid w:val="002D6651"/>
    <w:rsid w:val="002F2125"/>
    <w:rsid w:val="00311B89"/>
    <w:rsid w:val="003712CC"/>
    <w:rsid w:val="00375FCB"/>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A2CFB"/>
    <w:rsid w:val="004B5F30"/>
    <w:rsid w:val="004D1662"/>
    <w:rsid w:val="004E4259"/>
    <w:rsid w:val="004F317B"/>
    <w:rsid w:val="00542361"/>
    <w:rsid w:val="00550ED2"/>
    <w:rsid w:val="00563751"/>
    <w:rsid w:val="00582F3D"/>
    <w:rsid w:val="005A5D41"/>
    <w:rsid w:val="005A7428"/>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3729"/>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0DBF"/>
    <w:rsid w:val="00DA76C1"/>
    <w:rsid w:val="00DC38EF"/>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2022-08-23T17:19:00Z</dcterms:created>
  <dcterms:modified xsi:type="dcterms:W3CDTF">2022-08-23T17:19:00Z</dcterms:modified>
</cp:coreProperties>
</file>