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C395" w14:textId="41D6DE12" w:rsidR="00DD5667" w:rsidRPr="00536641" w:rsidRDefault="00DD5667" w:rsidP="00111019">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Cs w:val="20"/>
          <w14:ligatures w14:val="none"/>
        </w:rPr>
      </w:pPr>
      <w:r w:rsidRPr="00536641">
        <w:rPr>
          <w:rFonts w:ascii="Times New Roman" w:eastAsia="Times New Roman" w:hAnsi="Times New Roman" w:cs="Times New Roman"/>
          <w:b/>
          <w:bCs/>
          <w:color w:val="000000" w:themeColor="text1"/>
          <w:kern w:val="0"/>
          <w:szCs w:val="20"/>
          <w14:ligatures w14:val="none"/>
        </w:rPr>
        <w:t>19.6 Obstruction of Justice—Pending Proceeding Before United States Departments or Agencies</w:t>
      </w:r>
      <w:r w:rsidR="00CC4E08">
        <w:rPr>
          <w:rFonts w:ascii="Times New Roman" w:eastAsia="Times New Roman" w:hAnsi="Times New Roman" w:cs="Times New Roman"/>
          <w:b/>
          <w:bCs/>
          <w:color w:val="000000" w:themeColor="text1"/>
          <w:kern w:val="0"/>
          <w:szCs w:val="20"/>
          <w14:ligatures w14:val="none"/>
        </w:rPr>
        <w:t xml:space="preserve"> </w:t>
      </w:r>
      <w:r w:rsidRPr="00536641">
        <w:rPr>
          <w:rFonts w:ascii="Times New Roman" w:eastAsia="Times New Roman" w:hAnsi="Times New Roman" w:cs="Times New Roman"/>
          <w:b/>
          <w:bCs/>
          <w:color w:val="000000" w:themeColor="text1"/>
          <w:kern w:val="0"/>
          <w:szCs w:val="20"/>
          <w14:ligatures w14:val="none"/>
        </w:rPr>
        <w:t>(18 U.S.C. § 1505)</w:t>
      </w:r>
    </w:p>
    <w:p w14:paraId="1825020C" w14:textId="77777777" w:rsidR="00DD5667" w:rsidRPr="00536641" w:rsidRDefault="00DD5667" w:rsidP="00111019">
      <w:pPr>
        <w:autoSpaceDE w:val="0"/>
        <w:autoSpaceDN w:val="0"/>
        <w:adjustRightInd w:val="0"/>
        <w:spacing w:after="0" w:line="240" w:lineRule="auto"/>
        <w:rPr>
          <w:rFonts w:ascii="Times New Roman" w:eastAsia="Times New Roman" w:hAnsi="Times New Roman" w:cs="Times New Roman"/>
          <w:color w:val="000000" w:themeColor="text1"/>
          <w:kern w:val="0"/>
          <w:szCs w:val="20"/>
          <w14:ligatures w14:val="none"/>
        </w:rPr>
      </w:pPr>
    </w:p>
    <w:p w14:paraId="5ECC54CF" w14:textId="75212EF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The defendant</w:t>
      </w:r>
      <w:r w:rsidR="00416D2F" w:rsidRPr="00536641">
        <w:rPr>
          <w:rFonts w:ascii="Times New Roman" w:eastAsia="Times New Roman" w:hAnsi="Times New Roman" w:cs="Times New Roman"/>
          <w:color w:val="000000" w:themeColor="text1"/>
          <w:kern w:val="0"/>
          <w:szCs w:val="20"/>
          <w14:ligatures w14:val="none"/>
        </w:rPr>
        <w:t xml:space="preserve"> [</w:t>
      </w:r>
      <w:r w:rsidR="00416D2F" w:rsidRPr="00536641">
        <w:rPr>
          <w:rFonts w:ascii="Times New Roman" w:eastAsia="Times New Roman" w:hAnsi="Times New Roman" w:cs="Times New Roman"/>
          <w:i/>
          <w:iCs/>
          <w:color w:val="000000" w:themeColor="text1"/>
          <w:kern w:val="0"/>
          <w:szCs w:val="20"/>
          <w:u w:val="single"/>
          <w14:ligatures w14:val="none"/>
        </w:rPr>
        <w:t>name</w:t>
      </w:r>
      <w:r w:rsidR="00416D2F" w:rsidRPr="00536641">
        <w:rPr>
          <w:rFonts w:ascii="Times New Roman" w:eastAsia="Times New Roman" w:hAnsi="Times New Roman" w:cs="Times New Roman"/>
          <w:color w:val="000000" w:themeColor="text1"/>
          <w:kern w:val="0"/>
          <w:szCs w:val="20"/>
          <w14:ligatures w14:val="none"/>
        </w:rPr>
        <w:t>]</w:t>
      </w:r>
      <w:r w:rsidRPr="00536641">
        <w:rPr>
          <w:rFonts w:ascii="Times New Roman" w:eastAsia="Times New Roman" w:hAnsi="Times New Roman" w:cs="Times New Roman"/>
          <w:color w:val="000000" w:themeColor="text1"/>
          <w:kern w:val="0"/>
          <w:szCs w:val="20"/>
          <w14:ligatures w14:val="none"/>
        </w:rPr>
        <w:t xml:space="preserve"> is charged in [Count ______ of] the indictment with obstruction of</w:t>
      </w:r>
      <w:r w:rsidR="00111019" w:rsidRPr="00536641">
        <w:rPr>
          <w:rFonts w:ascii="Times New Roman" w:eastAsia="Times New Roman" w:hAnsi="Times New Roman" w:cs="Times New Roman"/>
          <w:color w:val="000000" w:themeColor="text1"/>
          <w:kern w:val="0"/>
          <w:szCs w:val="20"/>
          <w14:ligatures w14:val="none"/>
        </w:rPr>
        <w:t xml:space="preserve"> </w:t>
      </w:r>
      <w:r w:rsidRPr="00536641">
        <w:rPr>
          <w:rFonts w:ascii="Times New Roman" w:eastAsia="Times New Roman" w:hAnsi="Times New Roman" w:cs="Times New Roman"/>
          <w:color w:val="000000" w:themeColor="text1"/>
          <w:kern w:val="0"/>
          <w:szCs w:val="20"/>
          <w14:ligatures w14:val="none"/>
        </w:rPr>
        <w:t>a proceeding pending before a department or agency of the United States in violation of Section 1505 of Title 18 of the United States Code. For the defendant to be found guilty of that charge, the government must prove each of the following elements beyond a reasonable doubt:</w:t>
      </w:r>
    </w:p>
    <w:p w14:paraId="5FDE69DB"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p>
    <w:p w14:paraId="728FDC89"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 xml:space="preserve">First, there was a proceeding pending before a department or agency of the United </w:t>
      </w:r>
      <w:proofErr w:type="gramStart"/>
      <w:r w:rsidRPr="00536641">
        <w:rPr>
          <w:rFonts w:ascii="Times New Roman" w:eastAsia="Times New Roman" w:hAnsi="Times New Roman" w:cs="Times New Roman"/>
          <w:color w:val="000000" w:themeColor="text1"/>
          <w:kern w:val="0"/>
          <w:szCs w:val="20"/>
          <w14:ligatures w14:val="none"/>
        </w:rPr>
        <w:t>States;</w:t>
      </w:r>
      <w:proofErr w:type="gramEnd"/>
    </w:p>
    <w:p w14:paraId="140C55C7"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p>
    <w:p w14:paraId="38437D3F" w14:textId="38C8074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Second, the defendant</w:t>
      </w:r>
      <w:r w:rsidR="00416D2F" w:rsidRPr="00536641">
        <w:rPr>
          <w:rFonts w:ascii="Times New Roman" w:eastAsia="Times New Roman" w:hAnsi="Times New Roman" w:cs="Times New Roman"/>
          <w:color w:val="000000" w:themeColor="text1"/>
          <w:kern w:val="0"/>
          <w:szCs w:val="20"/>
          <w14:ligatures w14:val="none"/>
        </w:rPr>
        <w:t xml:space="preserve"> [</w:t>
      </w:r>
      <w:r w:rsidR="00416D2F" w:rsidRPr="00536641">
        <w:rPr>
          <w:rFonts w:ascii="Times New Roman" w:eastAsia="Times New Roman" w:hAnsi="Times New Roman" w:cs="Times New Roman"/>
          <w:i/>
          <w:iCs/>
          <w:color w:val="000000" w:themeColor="text1"/>
          <w:kern w:val="0"/>
          <w:szCs w:val="20"/>
          <w:u w:val="single"/>
          <w14:ligatures w14:val="none"/>
        </w:rPr>
        <w:t>name</w:t>
      </w:r>
      <w:r w:rsidR="00416D2F" w:rsidRPr="00536641">
        <w:rPr>
          <w:rFonts w:ascii="Times New Roman" w:eastAsia="Times New Roman" w:hAnsi="Times New Roman" w:cs="Times New Roman"/>
          <w:color w:val="000000" w:themeColor="text1"/>
          <w:kern w:val="0"/>
          <w:szCs w:val="20"/>
          <w14:ligatures w14:val="none"/>
        </w:rPr>
        <w:t>]</w:t>
      </w:r>
      <w:r w:rsidRPr="00536641">
        <w:rPr>
          <w:rFonts w:ascii="Times New Roman" w:eastAsia="Times New Roman" w:hAnsi="Times New Roman" w:cs="Times New Roman"/>
          <w:color w:val="000000" w:themeColor="text1"/>
          <w:kern w:val="0"/>
          <w:szCs w:val="20"/>
          <w14:ligatures w14:val="none"/>
        </w:rPr>
        <w:t xml:space="preserve"> was aware of the pending proceeding; and</w:t>
      </w:r>
    </w:p>
    <w:p w14:paraId="1028BE72"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p>
    <w:p w14:paraId="061EC5C1" w14:textId="6CCBF9DE"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 xml:space="preserve">Third, the defendant </w:t>
      </w:r>
      <w:r w:rsidR="00416D2F" w:rsidRPr="00536641">
        <w:rPr>
          <w:rFonts w:ascii="Times New Roman" w:eastAsia="Times New Roman" w:hAnsi="Times New Roman" w:cs="Times New Roman"/>
          <w:color w:val="000000" w:themeColor="text1"/>
          <w:kern w:val="0"/>
          <w:szCs w:val="20"/>
          <w14:ligatures w14:val="none"/>
        </w:rPr>
        <w:t>[</w:t>
      </w:r>
      <w:r w:rsidR="00416D2F" w:rsidRPr="00536641">
        <w:rPr>
          <w:rFonts w:ascii="Times New Roman" w:eastAsia="Times New Roman" w:hAnsi="Times New Roman" w:cs="Times New Roman"/>
          <w:i/>
          <w:iCs/>
          <w:color w:val="000000" w:themeColor="text1"/>
          <w:kern w:val="0"/>
          <w:szCs w:val="20"/>
          <w:u w:val="single"/>
          <w14:ligatures w14:val="none"/>
        </w:rPr>
        <w:t>name</w:t>
      </w:r>
      <w:r w:rsidR="00416D2F" w:rsidRPr="00536641">
        <w:rPr>
          <w:rFonts w:ascii="Times New Roman" w:eastAsia="Times New Roman" w:hAnsi="Times New Roman" w:cs="Times New Roman"/>
          <w:color w:val="000000" w:themeColor="text1"/>
          <w:kern w:val="0"/>
          <w:szCs w:val="20"/>
          <w14:ligatures w14:val="none"/>
        </w:rPr>
        <w:t xml:space="preserve">] </w:t>
      </w:r>
      <w:r w:rsidRPr="00536641">
        <w:rPr>
          <w:rFonts w:ascii="Times New Roman" w:eastAsia="Times New Roman" w:hAnsi="Times New Roman" w:cs="Times New Roman"/>
          <w:color w:val="000000" w:themeColor="text1"/>
          <w:kern w:val="0"/>
          <w:szCs w:val="20"/>
          <w14:ligatures w14:val="none"/>
        </w:rPr>
        <w:t>intentionally [and [corruptly] [by threats of force] [by threatening letter or communication] influenced, obstructed, or impeded] [endeavored to influence, obstruct, or impede] the pending proceeding’s due and proper administration of the law.</w:t>
      </w:r>
    </w:p>
    <w:p w14:paraId="65952247" w14:textId="77777777" w:rsidR="00DD5667" w:rsidRPr="00536641" w:rsidRDefault="00DD5667" w:rsidP="00111019">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Cs w:val="20"/>
          <w14:ligatures w14:val="none"/>
        </w:rPr>
      </w:pPr>
      <w:r w:rsidRPr="00536641">
        <w:rPr>
          <w:rFonts w:ascii="Times New Roman" w:eastAsia="Times New Roman" w:hAnsi="Times New Roman" w:cs="Times New Roman"/>
          <w:b/>
          <w:bCs/>
          <w:color w:val="000000" w:themeColor="text1"/>
          <w:kern w:val="0"/>
          <w:szCs w:val="20"/>
          <w14:ligatures w14:val="none"/>
        </w:rPr>
        <w:t>Comment</w:t>
      </w:r>
    </w:p>
    <w:p w14:paraId="61EC81A2" w14:textId="77777777" w:rsidR="00111019" w:rsidRPr="00536641" w:rsidRDefault="00111019" w:rsidP="00111019">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Cs w:val="20"/>
          <w14:ligatures w14:val="none"/>
        </w:rPr>
      </w:pPr>
    </w:p>
    <w:p w14:paraId="2550DB3B" w14:textId="2568567C"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 xml:space="preserve">A version of this Instruction was approved by Ninth Circuit in </w:t>
      </w:r>
      <w:r w:rsidRPr="00536641">
        <w:rPr>
          <w:rFonts w:ascii="Times New Roman" w:eastAsia="Times New Roman" w:hAnsi="Times New Roman" w:cs="Times New Roman"/>
          <w:i/>
          <w:iCs/>
          <w:color w:val="000000" w:themeColor="text1"/>
          <w:kern w:val="0"/>
          <w:szCs w:val="20"/>
          <w14:ligatures w14:val="none"/>
        </w:rPr>
        <w:t>United States v. Sullivan</w:t>
      </w:r>
      <w:r w:rsidRPr="00536641">
        <w:rPr>
          <w:rFonts w:ascii="Times New Roman" w:eastAsia="Times New Roman" w:hAnsi="Times New Roman" w:cs="Times New Roman"/>
          <w:color w:val="000000" w:themeColor="text1"/>
          <w:kern w:val="0"/>
          <w:szCs w:val="20"/>
          <w14:ligatures w14:val="none"/>
        </w:rPr>
        <w:t xml:space="preserve">, 131 F.4th 776, 782 (9th Cir. 2025) (citing </w:t>
      </w:r>
      <w:r w:rsidRPr="00536641">
        <w:rPr>
          <w:rFonts w:ascii="Times New Roman" w:eastAsia="Times New Roman" w:hAnsi="Times New Roman" w:cs="Times New Roman"/>
          <w:i/>
          <w:iCs/>
          <w:color w:val="000000" w:themeColor="text1"/>
          <w:kern w:val="0"/>
          <w:szCs w:val="20"/>
          <w14:ligatures w14:val="none"/>
        </w:rPr>
        <w:t>United States v. Price</w:t>
      </w:r>
      <w:r w:rsidRPr="00536641">
        <w:rPr>
          <w:rFonts w:ascii="Times New Roman" w:eastAsia="Times New Roman" w:hAnsi="Times New Roman" w:cs="Times New Roman"/>
          <w:color w:val="000000" w:themeColor="text1"/>
          <w:kern w:val="0"/>
          <w:szCs w:val="20"/>
          <w14:ligatures w14:val="none"/>
        </w:rPr>
        <w:t xml:space="preserve">, 951 F.2d 1028, 1031 (9th Cir.1991)). As used in § 1505, “corruptly” means “‘that the act must be done with the purpose of obstructing justice.’” </w:t>
      </w:r>
      <w:r w:rsidRPr="00536641">
        <w:rPr>
          <w:rFonts w:ascii="Times New Roman" w:eastAsia="Times New Roman" w:hAnsi="Times New Roman" w:cs="Times New Roman"/>
          <w:i/>
          <w:iCs/>
          <w:color w:val="000000" w:themeColor="text1"/>
          <w:kern w:val="0"/>
          <w:szCs w:val="20"/>
          <w14:ligatures w14:val="none"/>
        </w:rPr>
        <w:t>Price</w:t>
      </w:r>
      <w:r w:rsidRPr="00536641">
        <w:rPr>
          <w:rFonts w:ascii="Times New Roman" w:eastAsia="Times New Roman" w:hAnsi="Times New Roman" w:cs="Times New Roman"/>
          <w:color w:val="000000" w:themeColor="text1"/>
          <w:kern w:val="0"/>
          <w:szCs w:val="20"/>
          <w14:ligatures w14:val="none"/>
        </w:rPr>
        <w:t xml:space="preserve">, 951 F.2d at 1031 (quoting </w:t>
      </w:r>
      <w:r w:rsidRPr="00536641">
        <w:rPr>
          <w:rFonts w:ascii="Times New Roman" w:eastAsia="Times New Roman" w:hAnsi="Times New Roman" w:cs="Times New Roman"/>
          <w:i/>
          <w:iCs/>
          <w:color w:val="000000" w:themeColor="text1"/>
          <w:kern w:val="0"/>
          <w:szCs w:val="20"/>
          <w14:ligatures w14:val="none"/>
        </w:rPr>
        <w:t xml:space="preserve">United States v. </w:t>
      </w:r>
      <w:proofErr w:type="spellStart"/>
      <w:r w:rsidRPr="00536641">
        <w:rPr>
          <w:rFonts w:ascii="Times New Roman" w:eastAsia="Times New Roman" w:hAnsi="Times New Roman" w:cs="Times New Roman"/>
          <w:i/>
          <w:iCs/>
          <w:color w:val="000000" w:themeColor="text1"/>
          <w:kern w:val="0"/>
          <w:szCs w:val="20"/>
          <w14:ligatures w14:val="none"/>
        </w:rPr>
        <w:t>Laurins</w:t>
      </w:r>
      <w:proofErr w:type="spellEnd"/>
      <w:r w:rsidRPr="00536641">
        <w:rPr>
          <w:rFonts w:ascii="Times New Roman" w:eastAsia="Times New Roman" w:hAnsi="Times New Roman" w:cs="Times New Roman"/>
          <w:color w:val="000000" w:themeColor="text1"/>
          <w:kern w:val="0"/>
          <w:szCs w:val="20"/>
          <w14:ligatures w14:val="none"/>
        </w:rPr>
        <w:t>, 857 F.2d 529, 536-37 (9th Cir. 1988)). The Ninth Circuit has held that there is no need to supplement the above instruction with a “nexus” element (</w:t>
      </w:r>
      <w:r w:rsidRPr="00536641">
        <w:rPr>
          <w:rFonts w:ascii="Times New Roman" w:eastAsia="Times New Roman" w:hAnsi="Times New Roman" w:cs="Times New Roman"/>
          <w:i/>
          <w:iCs/>
          <w:color w:val="000000" w:themeColor="text1"/>
          <w:kern w:val="0"/>
          <w:szCs w:val="20"/>
          <w14:ligatures w14:val="none"/>
        </w:rPr>
        <w:t>i.e.</w:t>
      </w:r>
      <w:r w:rsidRPr="00536641">
        <w:rPr>
          <w:rFonts w:ascii="Times New Roman" w:eastAsia="Times New Roman" w:hAnsi="Times New Roman" w:cs="Times New Roman"/>
          <w:color w:val="000000" w:themeColor="text1"/>
          <w:kern w:val="0"/>
          <w:szCs w:val="20"/>
          <w14:ligatures w14:val="none"/>
        </w:rPr>
        <w:t xml:space="preserve">, an element requiring that there be a nexus between the defendant’s conduct and the pending proceeding). </w:t>
      </w:r>
      <w:r w:rsidRPr="00536641">
        <w:rPr>
          <w:rFonts w:ascii="Times New Roman" w:eastAsia="Times New Roman" w:hAnsi="Times New Roman" w:cs="Times New Roman"/>
          <w:i/>
          <w:iCs/>
          <w:color w:val="000000" w:themeColor="text1"/>
          <w:kern w:val="0"/>
          <w:szCs w:val="20"/>
          <w14:ligatures w14:val="none"/>
        </w:rPr>
        <w:t>See Sullivan</w:t>
      </w:r>
      <w:r w:rsidRPr="00536641">
        <w:rPr>
          <w:rFonts w:ascii="Times New Roman" w:eastAsia="Times New Roman" w:hAnsi="Times New Roman" w:cs="Times New Roman"/>
          <w:color w:val="000000" w:themeColor="text1"/>
          <w:kern w:val="0"/>
          <w:szCs w:val="20"/>
          <w14:ligatures w14:val="none"/>
        </w:rPr>
        <w:t xml:space="preserve">, 131 F.4th at 782-83, 783 n.3; </w:t>
      </w:r>
      <w:r w:rsidRPr="00536641">
        <w:rPr>
          <w:rFonts w:ascii="Times New Roman" w:eastAsia="Times New Roman" w:hAnsi="Times New Roman" w:cs="Times New Roman"/>
          <w:i/>
          <w:iCs/>
          <w:color w:val="000000" w:themeColor="text1"/>
          <w:kern w:val="0"/>
          <w:szCs w:val="20"/>
          <w14:ligatures w14:val="none"/>
        </w:rPr>
        <w:t>United States v. Bhagat</w:t>
      </w:r>
      <w:r w:rsidRPr="00536641">
        <w:rPr>
          <w:rFonts w:ascii="Times New Roman" w:eastAsia="Times New Roman" w:hAnsi="Times New Roman" w:cs="Times New Roman"/>
          <w:color w:val="000000" w:themeColor="text1"/>
          <w:kern w:val="0"/>
          <w:szCs w:val="20"/>
          <w14:ligatures w14:val="none"/>
        </w:rPr>
        <w:t>, 436 F.3d 1140, 1148 (9th Cir. 2006).</w:t>
      </w:r>
    </w:p>
    <w:p w14:paraId="29F72D51" w14:textId="77777777" w:rsidR="00DD5667" w:rsidRPr="00536641" w:rsidRDefault="00DD5667" w:rsidP="00111019">
      <w:pPr>
        <w:autoSpaceDE w:val="0"/>
        <w:autoSpaceDN w:val="0"/>
        <w:adjustRightInd w:val="0"/>
        <w:spacing w:after="0" w:line="240" w:lineRule="auto"/>
        <w:ind w:firstLine="720"/>
        <w:rPr>
          <w:rFonts w:ascii="Times New Roman" w:eastAsia="Times New Roman" w:hAnsi="Times New Roman" w:cs="Times New Roman"/>
          <w:b/>
          <w:bCs/>
          <w:color w:val="000000" w:themeColor="text1"/>
          <w:kern w:val="0"/>
          <w:szCs w:val="20"/>
          <w14:ligatures w14:val="none"/>
        </w:rPr>
      </w:pPr>
    </w:p>
    <w:p w14:paraId="0A924FD3" w14:textId="77777777" w:rsidR="00DD5667" w:rsidRPr="00536641" w:rsidRDefault="00DD5667" w:rsidP="00111019">
      <w:pPr>
        <w:autoSpaceDE w:val="0"/>
        <w:autoSpaceDN w:val="0"/>
        <w:adjustRightInd w:val="0"/>
        <w:spacing w:after="0" w:line="240" w:lineRule="auto"/>
        <w:rPr>
          <w:rFonts w:ascii="Times New Roman" w:eastAsia="Times New Roman" w:hAnsi="Times New Roman" w:cs="Times New Roman"/>
          <w:color w:val="000000" w:themeColor="text1"/>
          <w:kern w:val="0"/>
          <w:szCs w:val="20"/>
          <w14:ligatures w14:val="none"/>
        </w:rPr>
      </w:pPr>
      <w:r w:rsidRPr="00536641">
        <w:rPr>
          <w:rFonts w:ascii="Times New Roman" w:eastAsia="Times New Roman" w:hAnsi="Times New Roman" w:cs="Times New Roman"/>
          <w:color w:val="000000" w:themeColor="text1"/>
          <w:kern w:val="0"/>
          <w:szCs w:val="20"/>
          <w14:ligatures w14:val="none"/>
        </w:rPr>
        <w:tab/>
        <w:t>This instruction does not include two other ways 18 U.S.C. § 1505 can be violated. The first is set out in the first paragraph of § 1505 and concerns obstructing civil investigative demands made under the Antitrust Civil Process Act. The second is obstruction of the “due and proper exercise of the power of inquiry under which any inquiry or investigation is being had by either House, or any committee of either House or any joint committee of the Congress.” 18 U.S.C. § 1505.</w:t>
      </w:r>
    </w:p>
    <w:p w14:paraId="2A0D0B80" w14:textId="77777777" w:rsidR="00DD5667" w:rsidRPr="00536641" w:rsidRDefault="00DD5667" w:rsidP="00111019">
      <w:pPr>
        <w:autoSpaceDE w:val="0"/>
        <w:autoSpaceDN w:val="0"/>
        <w:adjustRightInd w:val="0"/>
        <w:spacing w:after="0" w:line="240" w:lineRule="auto"/>
        <w:rPr>
          <w:rFonts w:ascii="Times New Roman" w:eastAsia="Times New Roman" w:hAnsi="Times New Roman" w:cs="Times New Roman"/>
          <w:color w:val="000000" w:themeColor="text1"/>
          <w:kern w:val="0"/>
          <w:szCs w:val="20"/>
          <w14:ligatures w14:val="none"/>
        </w:rPr>
      </w:pPr>
    </w:p>
    <w:p w14:paraId="7E5D8533" w14:textId="77777777" w:rsidR="00147419" w:rsidRPr="00536641" w:rsidRDefault="00147419" w:rsidP="00111019">
      <w:pPr>
        <w:spacing w:after="0" w:line="240" w:lineRule="auto"/>
        <w:rPr>
          <w:color w:val="000000" w:themeColor="text1"/>
        </w:rPr>
      </w:pPr>
    </w:p>
    <w:sectPr w:rsidR="00147419" w:rsidRPr="00536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67"/>
    <w:rsid w:val="00111019"/>
    <w:rsid w:val="00147419"/>
    <w:rsid w:val="00416D2F"/>
    <w:rsid w:val="0042339F"/>
    <w:rsid w:val="00536641"/>
    <w:rsid w:val="006831BD"/>
    <w:rsid w:val="007A64D2"/>
    <w:rsid w:val="007E0761"/>
    <w:rsid w:val="00B951E2"/>
    <w:rsid w:val="00C36D00"/>
    <w:rsid w:val="00CC4E08"/>
    <w:rsid w:val="00D04691"/>
    <w:rsid w:val="00D54CA4"/>
    <w:rsid w:val="00DD5667"/>
    <w:rsid w:val="00F5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8144"/>
  <w15:chartTrackingRefBased/>
  <w15:docId w15:val="{AAA7FFA6-2BD4-4780-8A71-B954B509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667"/>
    <w:rPr>
      <w:rFonts w:eastAsiaTheme="majorEastAsia" w:cstheme="majorBidi"/>
      <w:color w:val="272727" w:themeColor="text1" w:themeTint="D8"/>
    </w:rPr>
  </w:style>
  <w:style w:type="paragraph" w:styleId="Title">
    <w:name w:val="Title"/>
    <w:basedOn w:val="Normal"/>
    <w:next w:val="Normal"/>
    <w:link w:val="TitleChar"/>
    <w:uiPriority w:val="10"/>
    <w:qFormat/>
    <w:rsid w:val="00DD5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667"/>
    <w:pPr>
      <w:spacing w:before="160"/>
      <w:jc w:val="center"/>
    </w:pPr>
    <w:rPr>
      <w:i/>
      <w:iCs/>
      <w:color w:val="404040" w:themeColor="text1" w:themeTint="BF"/>
    </w:rPr>
  </w:style>
  <w:style w:type="character" w:customStyle="1" w:styleId="QuoteChar">
    <w:name w:val="Quote Char"/>
    <w:basedOn w:val="DefaultParagraphFont"/>
    <w:link w:val="Quote"/>
    <w:uiPriority w:val="29"/>
    <w:rsid w:val="00DD5667"/>
    <w:rPr>
      <w:i/>
      <w:iCs/>
      <w:color w:val="404040" w:themeColor="text1" w:themeTint="BF"/>
    </w:rPr>
  </w:style>
  <w:style w:type="paragraph" w:styleId="ListParagraph">
    <w:name w:val="List Paragraph"/>
    <w:basedOn w:val="Normal"/>
    <w:uiPriority w:val="34"/>
    <w:qFormat/>
    <w:rsid w:val="00DD5667"/>
    <w:pPr>
      <w:ind w:left="720"/>
      <w:contextualSpacing/>
    </w:pPr>
  </w:style>
  <w:style w:type="character" w:styleId="IntenseEmphasis">
    <w:name w:val="Intense Emphasis"/>
    <w:basedOn w:val="DefaultParagraphFont"/>
    <w:uiPriority w:val="21"/>
    <w:qFormat/>
    <w:rsid w:val="00DD5667"/>
    <w:rPr>
      <w:i/>
      <w:iCs/>
      <w:color w:val="0F4761" w:themeColor="accent1" w:themeShade="BF"/>
    </w:rPr>
  </w:style>
  <w:style w:type="paragraph" w:styleId="IntenseQuote">
    <w:name w:val="Intense Quote"/>
    <w:basedOn w:val="Normal"/>
    <w:next w:val="Normal"/>
    <w:link w:val="IntenseQuoteChar"/>
    <w:uiPriority w:val="30"/>
    <w:qFormat/>
    <w:rsid w:val="00DD5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667"/>
    <w:rPr>
      <w:i/>
      <w:iCs/>
      <w:color w:val="0F4761" w:themeColor="accent1" w:themeShade="BF"/>
    </w:rPr>
  </w:style>
  <w:style w:type="character" w:styleId="IntenseReference">
    <w:name w:val="Intense Reference"/>
    <w:basedOn w:val="DefaultParagraphFont"/>
    <w:uiPriority w:val="32"/>
    <w:qFormat/>
    <w:rsid w:val="00DD5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5</cp:revision>
  <dcterms:created xsi:type="dcterms:W3CDTF">2025-10-14T21:18:00Z</dcterms:created>
  <dcterms:modified xsi:type="dcterms:W3CDTF">2025-10-17T19:05:00Z</dcterms:modified>
</cp:coreProperties>
</file>