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90950" w14:textId="77777777" w:rsidR="008367A4" w:rsidRPr="008367A4" w:rsidRDefault="008367A4" w:rsidP="008367A4">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bookmarkStart w:id="0" w:name="_Toc73690094"/>
      <w:bookmarkStart w:id="1" w:name="_Toc73698484"/>
      <w:bookmarkStart w:id="2" w:name="_Toc83310543"/>
      <w:bookmarkStart w:id="3" w:name="_Toc83362344"/>
      <w:bookmarkStart w:id="4" w:name="_Toc83362755"/>
      <w:bookmarkStart w:id="5" w:name="_Toc90309810"/>
      <w:bookmarkStart w:id="6" w:name="_Toc90389668"/>
      <w:bookmarkStart w:id="7" w:name="_Toc90860248"/>
      <w:r w:rsidRPr="008367A4">
        <w:rPr>
          <w:rFonts w:ascii="Times New Roman" w:hAnsi="Times New Roman" w:cs="Times New Roman"/>
          <w:b/>
          <w:bCs/>
          <w:sz w:val="24"/>
          <w:szCs w:val="24"/>
        </w:rPr>
        <w:t xml:space="preserve">2.11 Similar Acts in Sexual Assault and Child </w:t>
      </w:r>
    </w:p>
    <w:p w14:paraId="55B73E38" w14:textId="77777777" w:rsidR="008367A4" w:rsidRPr="008367A4" w:rsidRDefault="008367A4" w:rsidP="008367A4">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r w:rsidRPr="008367A4">
        <w:rPr>
          <w:rFonts w:ascii="Times New Roman" w:hAnsi="Times New Roman" w:cs="Times New Roman"/>
          <w:b/>
          <w:bCs/>
          <w:sz w:val="24"/>
          <w:szCs w:val="24"/>
        </w:rPr>
        <w:t>Molestation Cases (Fed. R. Evid. 413 and 414)</w:t>
      </w:r>
      <w:bookmarkEnd w:id="0"/>
      <w:bookmarkEnd w:id="1"/>
      <w:bookmarkEnd w:id="2"/>
      <w:bookmarkEnd w:id="3"/>
      <w:bookmarkEnd w:id="4"/>
      <w:bookmarkEnd w:id="5"/>
      <w:bookmarkEnd w:id="6"/>
      <w:bookmarkEnd w:id="7"/>
    </w:p>
    <w:p w14:paraId="71DAC35B" w14:textId="77777777" w:rsidR="008367A4" w:rsidRPr="008367A4" w:rsidRDefault="008367A4" w:rsidP="008367A4">
      <w:pPr>
        <w:widowControl w:val="0"/>
        <w:spacing w:after="0" w:line="240" w:lineRule="auto"/>
        <w:rPr>
          <w:rFonts w:ascii="Times New Roman" w:eastAsia="Times New Roman" w:hAnsi="Times New Roman" w:cs="Times New Roman"/>
          <w:sz w:val="24"/>
          <w:szCs w:val="20"/>
        </w:rPr>
      </w:pPr>
    </w:p>
    <w:p w14:paraId="7085722A" w14:textId="77777777" w:rsidR="008367A4" w:rsidRPr="008367A4" w:rsidRDefault="008367A4" w:rsidP="008367A4">
      <w:pPr>
        <w:widowControl w:val="0"/>
        <w:spacing w:after="0" w:line="240" w:lineRule="auto"/>
        <w:rPr>
          <w:rFonts w:ascii="Times New Roman" w:eastAsia="Times New Roman" w:hAnsi="Times New Roman" w:cs="Times New Roman"/>
          <w:sz w:val="24"/>
          <w:szCs w:val="20"/>
        </w:rPr>
      </w:pPr>
      <w:r w:rsidRPr="008367A4">
        <w:rPr>
          <w:rFonts w:ascii="Times New Roman" w:eastAsia="Times New Roman" w:hAnsi="Times New Roman" w:cs="Times New Roman"/>
          <w:sz w:val="24"/>
          <w:szCs w:val="20"/>
        </w:rPr>
        <w:tab/>
        <w:t xml:space="preserve">You are about to hear evidence that the defendant [may have committed] [was convicted of] a similar offense of [sexual assault] [child molestation]. </w:t>
      </w:r>
    </w:p>
    <w:p w14:paraId="4A79BC0E" w14:textId="77777777" w:rsidR="008367A4" w:rsidRPr="008367A4" w:rsidRDefault="008367A4" w:rsidP="008367A4">
      <w:pPr>
        <w:widowControl w:val="0"/>
        <w:spacing w:after="0" w:line="240" w:lineRule="auto"/>
        <w:rPr>
          <w:rFonts w:ascii="Times New Roman" w:eastAsia="Times New Roman" w:hAnsi="Times New Roman" w:cs="Times New Roman"/>
          <w:sz w:val="24"/>
          <w:szCs w:val="20"/>
        </w:rPr>
      </w:pPr>
    </w:p>
    <w:p w14:paraId="3B30363C" w14:textId="77777777" w:rsidR="008367A4" w:rsidRPr="008367A4" w:rsidRDefault="008367A4" w:rsidP="008367A4">
      <w:pPr>
        <w:widowControl w:val="0"/>
        <w:spacing w:after="0" w:line="240" w:lineRule="auto"/>
        <w:rPr>
          <w:rFonts w:ascii="Times New Roman" w:eastAsia="Times New Roman" w:hAnsi="Times New Roman" w:cs="Times New Roman"/>
          <w:sz w:val="24"/>
          <w:szCs w:val="20"/>
        </w:rPr>
      </w:pPr>
      <w:r w:rsidRPr="008367A4">
        <w:rPr>
          <w:rFonts w:ascii="Times New Roman" w:eastAsia="Times New Roman" w:hAnsi="Times New Roman" w:cs="Times New Roman"/>
          <w:sz w:val="24"/>
          <w:szCs w:val="20"/>
        </w:rPr>
        <w:tab/>
        <w:t xml:space="preserve">You may use this evidence to decide whether the defendant committed the act charged in the indictment.  You may not convict the defendant simply because he [may have committed] [was convicted of] other unlawful acts.  You may give this evidence such weight as you think it should receive or no weight.  </w:t>
      </w:r>
    </w:p>
    <w:p w14:paraId="439D6AC5" w14:textId="77777777" w:rsidR="008367A4" w:rsidRPr="008367A4" w:rsidRDefault="008367A4" w:rsidP="008367A4">
      <w:pPr>
        <w:widowControl w:val="0"/>
        <w:spacing w:after="0" w:line="240" w:lineRule="auto"/>
        <w:rPr>
          <w:rFonts w:ascii="Times New Roman" w:eastAsia="Times New Roman" w:hAnsi="Times New Roman" w:cs="Times New Roman"/>
          <w:sz w:val="24"/>
          <w:szCs w:val="20"/>
        </w:rPr>
      </w:pPr>
    </w:p>
    <w:p w14:paraId="0915F2A5" w14:textId="77777777" w:rsidR="008367A4" w:rsidRPr="008367A4" w:rsidRDefault="008367A4" w:rsidP="008367A4">
      <w:pPr>
        <w:widowControl w:val="0"/>
        <w:spacing w:after="0" w:line="240" w:lineRule="auto"/>
        <w:rPr>
          <w:rFonts w:ascii="Times New Roman" w:eastAsia="Times New Roman" w:hAnsi="Times New Roman" w:cs="Times New Roman"/>
          <w:sz w:val="24"/>
          <w:szCs w:val="20"/>
        </w:rPr>
      </w:pPr>
      <w:r w:rsidRPr="008367A4">
        <w:rPr>
          <w:rFonts w:ascii="Times New Roman" w:eastAsia="Times New Roman" w:hAnsi="Times New Roman" w:cs="Times New Roman"/>
          <w:sz w:val="24"/>
          <w:szCs w:val="20"/>
        </w:rPr>
        <w:tab/>
        <w:t>[You may not use this evidence, however, to decide whether the defendant [</w:t>
      </w:r>
      <w:r w:rsidRPr="008367A4">
        <w:rPr>
          <w:rFonts w:ascii="Times New Roman" w:eastAsia="Times New Roman" w:hAnsi="Times New Roman" w:cs="Times New Roman"/>
          <w:i/>
          <w:sz w:val="24"/>
          <w:szCs w:val="20"/>
          <w:u w:val="single"/>
        </w:rPr>
        <w:t>insert improper purpose, e.g., made a statement in this case or destroyed evidence in this case</w:t>
      </w:r>
      <w:r w:rsidRPr="008367A4">
        <w:rPr>
          <w:rFonts w:ascii="Times New Roman" w:eastAsia="Times New Roman" w:hAnsi="Times New Roman" w:cs="Times New Roman"/>
          <w:sz w:val="24"/>
          <w:szCs w:val="20"/>
        </w:rPr>
        <w:t>].]</w:t>
      </w:r>
    </w:p>
    <w:p w14:paraId="2A0A46B6" w14:textId="77777777" w:rsidR="008367A4" w:rsidRPr="008367A4" w:rsidRDefault="008367A4" w:rsidP="008367A4">
      <w:pPr>
        <w:widowControl w:val="0"/>
        <w:spacing w:after="0" w:line="240" w:lineRule="auto"/>
        <w:rPr>
          <w:rFonts w:ascii="Times New Roman" w:eastAsia="Times New Roman" w:hAnsi="Times New Roman" w:cs="Times New Roman"/>
          <w:sz w:val="24"/>
          <w:szCs w:val="20"/>
        </w:rPr>
      </w:pPr>
    </w:p>
    <w:p w14:paraId="67477261" w14:textId="77777777" w:rsidR="008367A4" w:rsidRPr="008367A4" w:rsidRDefault="008367A4" w:rsidP="008367A4">
      <w:pPr>
        <w:widowControl w:val="0"/>
        <w:spacing w:after="0" w:line="240" w:lineRule="auto"/>
        <w:ind w:right="-180"/>
        <w:jc w:val="center"/>
        <w:rPr>
          <w:rFonts w:ascii="Times New Roman" w:eastAsia="Times New Roman" w:hAnsi="Times New Roman" w:cs="Times New Roman"/>
          <w:sz w:val="24"/>
          <w:szCs w:val="20"/>
        </w:rPr>
      </w:pPr>
      <w:r w:rsidRPr="008367A4">
        <w:rPr>
          <w:rFonts w:ascii="Times New Roman" w:eastAsia="Times New Roman" w:hAnsi="Times New Roman" w:cs="Times New Roman"/>
          <w:b/>
          <w:sz w:val="24"/>
          <w:szCs w:val="20"/>
        </w:rPr>
        <w:t>Comment</w:t>
      </w:r>
    </w:p>
    <w:p w14:paraId="3AFBF145" w14:textId="77777777" w:rsidR="008367A4" w:rsidRPr="008367A4" w:rsidRDefault="008367A4" w:rsidP="008367A4">
      <w:pPr>
        <w:widowControl w:val="0"/>
        <w:spacing w:after="0" w:line="240" w:lineRule="auto"/>
        <w:rPr>
          <w:rFonts w:ascii="Times New Roman" w:eastAsia="Times New Roman" w:hAnsi="Times New Roman" w:cs="Times New Roman"/>
          <w:sz w:val="24"/>
          <w:szCs w:val="20"/>
        </w:rPr>
      </w:pPr>
    </w:p>
    <w:p w14:paraId="6E63AB78" w14:textId="4820DEDF" w:rsidR="008367A4" w:rsidRPr="008367A4" w:rsidRDefault="008367A4" w:rsidP="008367A4">
      <w:pPr>
        <w:widowControl w:val="0"/>
        <w:spacing w:after="0" w:line="240" w:lineRule="auto"/>
        <w:rPr>
          <w:rFonts w:ascii="Times New Roman" w:eastAsia="Times New Roman" w:hAnsi="Times New Roman" w:cs="Times New Roman"/>
          <w:sz w:val="24"/>
          <w:szCs w:val="20"/>
        </w:rPr>
      </w:pPr>
      <w:r w:rsidRPr="008367A4">
        <w:rPr>
          <w:rFonts w:ascii="Times New Roman" w:eastAsia="Times New Roman" w:hAnsi="Times New Roman" w:cs="Times New Roman"/>
          <w:sz w:val="24"/>
          <w:szCs w:val="20"/>
        </w:rPr>
        <w:tab/>
        <w:t xml:space="preserve">This instruction is based on Fed. R. Evid. 413 and 414.  </w:t>
      </w:r>
      <w:r w:rsidRPr="008367A4">
        <w:rPr>
          <w:rFonts w:ascii="Times New Roman" w:eastAsia="Times New Roman" w:hAnsi="Times New Roman" w:cs="Times New Roman"/>
          <w:i/>
          <w:sz w:val="24"/>
          <w:szCs w:val="20"/>
        </w:rPr>
        <w:t>See also</w:t>
      </w:r>
      <w:r w:rsidR="009A5EA3">
        <w:rPr>
          <w:rFonts w:ascii="Times New Roman" w:eastAsia="Times New Roman" w:hAnsi="Times New Roman" w:cs="Times New Roman"/>
          <w:i/>
          <w:sz w:val="24"/>
          <w:szCs w:val="20"/>
        </w:rPr>
        <w:t xml:space="preserve"> </w:t>
      </w:r>
      <w:r w:rsidR="009A5EA3" w:rsidRPr="009A5EA3">
        <w:rPr>
          <w:rFonts w:ascii="Times New Roman" w:eastAsia="Times New Roman" w:hAnsi="Times New Roman" w:cs="Times New Roman"/>
          <w:i/>
          <w:sz w:val="24"/>
          <w:szCs w:val="20"/>
        </w:rPr>
        <w:t>United States v. Porter</w:t>
      </w:r>
      <w:r w:rsidR="009A5EA3" w:rsidRPr="009A5EA3">
        <w:rPr>
          <w:rFonts w:ascii="Times New Roman" w:eastAsia="Times New Roman" w:hAnsi="Times New Roman" w:cs="Times New Roman"/>
          <w:sz w:val="24"/>
          <w:szCs w:val="20"/>
        </w:rPr>
        <w:t>, 121 F.4th 747, 749, 753 (9th Cir. 2024) (holding Rule 413 does not violate the Due Process Clause when applied in conjunction with Evidence Rule 403, and this instruction’s use was “appropriate” in a sexual assault case)</w:t>
      </w:r>
      <w:r w:rsidRPr="008367A4">
        <w:rPr>
          <w:rFonts w:ascii="Times New Roman" w:eastAsia="Times New Roman" w:hAnsi="Times New Roman" w:cs="Times New Roman"/>
          <w:sz w:val="24"/>
          <w:szCs w:val="20"/>
        </w:rPr>
        <w:t>.</w:t>
      </w:r>
    </w:p>
    <w:p w14:paraId="00B61EC5" w14:textId="77777777" w:rsidR="008367A4" w:rsidRPr="008367A4" w:rsidRDefault="008367A4" w:rsidP="008367A4">
      <w:pPr>
        <w:widowControl w:val="0"/>
        <w:spacing w:after="0" w:line="240" w:lineRule="auto"/>
        <w:rPr>
          <w:rFonts w:ascii="Times New Roman" w:eastAsia="Times New Roman" w:hAnsi="Times New Roman" w:cs="Times New Roman"/>
          <w:sz w:val="24"/>
          <w:szCs w:val="20"/>
        </w:rPr>
      </w:pPr>
    </w:p>
    <w:p w14:paraId="65C72EED" w14:textId="77777777" w:rsidR="008367A4" w:rsidRPr="008367A4" w:rsidRDefault="008367A4" w:rsidP="008367A4">
      <w:pPr>
        <w:widowControl w:val="0"/>
        <w:spacing w:after="0" w:line="240" w:lineRule="auto"/>
        <w:rPr>
          <w:rFonts w:ascii="Times New Roman" w:eastAsia="Times New Roman" w:hAnsi="Times New Roman" w:cs="Times New Roman"/>
          <w:sz w:val="24"/>
          <w:szCs w:val="20"/>
        </w:rPr>
      </w:pPr>
      <w:r w:rsidRPr="008367A4">
        <w:rPr>
          <w:rFonts w:ascii="Times New Roman" w:eastAsia="Times New Roman" w:hAnsi="Times New Roman" w:cs="Times New Roman"/>
          <w:sz w:val="24"/>
          <w:szCs w:val="20"/>
        </w:rPr>
        <w:tab/>
        <w:t xml:space="preserve">Federal Rules of Evidence 413 and 414 permit introduction of evidence the defendant committed a similar act of sexual assault or child molestation “for its bearing on any matter to which it is relevant,” including the defendant’s propensity to commit the crime charged.  The prosecution is not required to prove the defendant was charged with or convicted of a crime, to prove the other act beyond reasonable doubt, or to corroborate a percipient witness’s testimony that the other act occurred.  In addition, the evidence is frequently “emotional and highly charged.”  </w:t>
      </w:r>
      <w:r w:rsidRPr="008367A4">
        <w:rPr>
          <w:rFonts w:ascii="Times New Roman" w:eastAsia="Times New Roman" w:hAnsi="Times New Roman" w:cs="Times New Roman"/>
          <w:i/>
          <w:sz w:val="24"/>
          <w:szCs w:val="20"/>
        </w:rPr>
        <w:t>United States v. Lemay</w:t>
      </w:r>
      <w:r w:rsidRPr="008367A4">
        <w:rPr>
          <w:rFonts w:ascii="Times New Roman" w:eastAsia="Times New Roman" w:hAnsi="Times New Roman" w:cs="Times New Roman"/>
          <w:sz w:val="24"/>
          <w:szCs w:val="20"/>
        </w:rPr>
        <w:t>, 260 F.3d 1018, 1030 (9th Cir. 2001).  For these reasons, it is appropriate to remind the jury that it decides how to weigh the evidence and may not convict the defendant for acts not charged in the indictment.</w:t>
      </w:r>
    </w:p>
    <w:p w14:paraId="25601F41" w14:textId="77777777" w:rsidR="008367A4" w:rsidRPr="008367A4" w:rsidRDefault="008367A4" w:rsidP="008367A4">
      <w:pPr>
        <w:widowControl w:val="0"/>
        <w:spacing w:after="0" w:line="240" w:lineRule="auto"/>
        <w:rPr>
          <w:rFonts w:ascii="Times New Roman" w:eastAsia="Times New Roman" w:hAnsi="Times New Roman" w:cs="Times New Roman"/>
          <w:sz w:val="24"/>
          <w:szCs w:val="20"/>
        </w:rPr>
      </w:pPr>
    </w:p>
    <w:p w14:paraId="739BC7CB" w14:textId="5F1832D5" w:rsidR="008367A4" w:rsidRPr="008367A4" w:rsidRDefault="008367A4" w:rsidP="008367A4">
      <w:pPr>
        <w:widowControl w:val="0"/>
        <w:spacing w:after="0" w:line="240" w:lineRule="auto"/>
        <w:rPr>
          <w:rFonts w:ascii="Times New Roman" w:eastAsia="Times New Roman" w:hAnsi="Times New Roman" w:cs="Times New Roman"/>
          <w:sz w:val="24"/>
          <w:szCs w:val="20"/>
        </w:rPr>
      </w:pPr>
      <w:r w:rsidRPr="008367A4">
        <w:rPr>
          <w:rFonts w:ascii="Times New Roman" w:eastAsia="Times New Roman" w:hAnsi="Times New Roman" w:cs="Times New Roman"/>
          <w:sz w:val="24"/>
          <w:szCs w:val="20"/>
        </w:rPr>
        <w:tab/>
        <w:t xml:space="preserve">The </w:t>
      </w:r>
      <w:r w:rsidR="009A5EA3">
        <w:rPr>
          <w:rFonts w:ascii="Times New Roman" w:eastAsia="Times New Roman" w:hAnsi="Times New Roman" w:cs="Times New Roman"/>
          <w:sz w:val="24"/>
          <w:szCs w:val="20"/>
        </w:rPr>
        <w:t xml:space="preserve">court </w:t>
      </w:r>
      <w:r w:rsidRPr="008367A4">
        <w:rPr>
          <w:rFonts w:ascii="Times New Roman" w:eastAsia="Times New Roman" w:hAnsi="Times New Roman" w:cs="Times New Roman"/>
          <w:sz w:val="24"/>
          <w:szCs w:val="20"/>
        </w:rPr>
        <w:t xml:space="preserve">should consider </w:t>
      </w:r>
      <w:r w:rsidR="009A5EA3">
        <w:rPr>
          <w:rFonts w:ascii="Times New Roman" w:eastAsia="Times New Roman" w:hAnsi="Times New Roman" w:cs="Times New Roman"/>
          <w:sz w:val="24"/>
          <w:szCs w:val="20"/>
        </w:rPr>
        <w:t xml:space="preserve">giving the instruction </w:t>
      </w:r>
      <w:r w:rsidRPr="008367A4">
        <w:rPr>
          <w:rFonts w:ascii="Times New Roman" w:eastAsia="Times New Roman" w:hAnsi="Times New Roman" w:cs="Times New Roman"/>
          <w:sz w:val="24"/>
          <w:szCs w:val="20"/>
        </w:rPr>
        <w:t xml:space="preserve">before the evidence is admitted and again in the final instructions. </w:t>
      </w:r>
      <w:r w:rsidR="009A5EA3" w:rsidRPr="009A5EA3">
        <w:rPr>
          <w:rFonts w:ascii="Times New Roman" w:eastAsia="Times New Roman" w:hAnsi="Times New Roman" w:cs="Times New Roman"/>
          <w:i/>
          <w:iCs/>
          <w:sz w:val="24"/>
          <w:szCs w:val="20"/>
        </w:rPr>
        <w:t>See Porter</w:t>
      </w:r>
      <w:r w:rsidR="009A5EA3" w:rsidRPr="009A5EA3">
        <w:rPr>
          <w:rFonts w:ascii="Times New Roman" w:eastAsia="Times New Roman" w:hAnsi="Times New Roman" w:cs="Times New Roman"/>
          <w:sz w:val="24"/>
          <w:szCs w:val="20"/>
        </w:rPr>
        <w:t xml:space="preserve">, 121 F.4th at 749. </w:t>
      </w:r>
      <w:r w:rsidRPr="008367A4">
        <w:rPr>
          <w:rFonts w:ascii="Times New Roman" w:eastAsia="Times New Roman" w:hAnsi="Times New Roman" w:cs="Times New Roman"/>
          <w:sz w:val="24"/>
          <w:szCs w:val="20"/>
        </w:rPr>
        <w:t xml:space="preserve">For factors to consider in determining the admissibility of the evidence, </w:t>
      </w:r>
      <w:r w:rsidRPr="008367A4">
        <w:rPr>
          <w:rFonts w:ascii="Times New Roman" w:eastAsia="Times New Roman" w:hAnsi="Times New Roman" w:cs="Times New Roman"/>
          <w:i/>
          <w:sz w:val="24"/>
          <w:szCs w:val="20"/>
        </w:rPr>
        <w:t>see Lemay</w:t>
      </w:r>
      <w:r w:rsidRPr="008367A4">
        <w:rPr>
          <w:rFonts w:ascii="Times New Roman" w:eastAsia="Times New Roman" w:hAnsi="Times New Roman" w:cs="Times New Roman"/>
          <w:sz w:val="24"/>
          <w:szCs w:val="20"/>
        </w:rPr>
        <w:t>, 260 F.3d at 1027-28.</w:t>
      </w:r>
    </w:p>
    <w:p w14:paraId="3A4CA604" w14:textId="77777777" w:rsidR="008367A4" w:rsidRPr="008367A4" w:rsidRDefault="008367A4" w:rsidP="008367A4">
      <w:pPr>
        <w:widowControl w:val="0"/>
        <w:spacing w:after="0" w:line="240" w:lineRule="auto"/>
        <w:rPr>
          <w:rFonts w:ascii="Times New Roman" w:eastAsia="Times New Roman" w:hAnsi="Times New Roman" w:cs="Times New Roman"/>
          <w:sz w:val="24"/>
          <w:szCs w:val="20"/>
        </w:rPr>
      </w:pPr>
    </w:p>
    <w:p w14:paraId="2989B741" w14:textId="77777777" w:rsidR="008367A4" w:rsidRPr="008367A4" w:rsidRDefault="008367A4" w:rsidP="008367A4">
      <w:pPr>
        <w:widowControl w:val="0"/>
        <w:spacing w:after="0" w:line="240" w:lineRule="auto"/>
        <w:rPr>
          <w:rFonts w:ascii="Times New Roman" w:eastAsia="Times New Roman" w:hAnsi="Times New Roman" w:cs="Times New Roman"/>
          <w:sz w:val="24"/>
          <w:szCs w:val="20"/>
        </w:rPr>
      </w:pPr>
      <w:r w:rsidRPr="008367A4">
        <w:rPr>
          <w:rFonts w:ascii="Times New Roman" w:eastAsia="Times New Roman" w:hAnsi="Times New Roman" w:cs="Times New Roman"/>
          <w:sz w:val="24"/>
          <w:szCs w:val="20"/>
        </w:rPr>
        <w:tab/>
      </w:r>
      <w:proofErr w:type="gramStart"/>
      <w:r w:rsidRPr="008367A4">
        <w:rPr>
          <w:rFonts w:ascii="Times New Roman" w:eastAsia="Times New Roman" w:hAnsi="Times New Roman" w:cs="Times New Roman"/>
          <w:sz w:val="24"/>
          <w:szCs w:val="20"/>
        </w:rPr>
        <w:t>Rule</w:t>
      </w:r>
      <w:proofErr w:type="gramEnd"/>
      <w:r w:rsidRPr="008367A4">
        <w:rPr>
          <w:rFonts w:ascii="Times New Roman" w:eastAsia="Times New Roman" w:hAnsi="Times New Roman" w:cs="Times New Roman"/>
          <w:sz w:val="24"/>
          <w:szCs w:val="20"/>
        </w:rPr>
        <w:t xml:space="preserve"> 413 or 414 evidence is not admissible to show any other propensity, such as propensity to confess or propensity to destroy evidence.  </w:t>
      </w:r>
      <w:r w:rsidRPr="008367A4">
        <w:rPr>
          <w:rFonts w:ascii="Times New Roman" w:eastAsia="Times New Roman" w:hAnsi="Times New Roman" w:cs="Times New Roman"/>
          <w:i/>
          <w:sz w:val="24"/>
          <w:szCs w:val="20"/>
        </w:rPr>
        <w:t>See, e.g.</w:t>
      </w:r>
      <w:r w:rsidRPr="008367A4">
        <w:rPr>
          <w:rFonts w:ascii="Times New Roman" w:eastAsia="Times New Roman" w:hAnsi="Times New Roman" w:cs="Times New Roman"/>
          <w:sz w:val="24"/>
          <w:szCs w:val="20"/>
        </w:rPr>
        <w:t xml:space="preserve">, </w:t>
      </w:r>
      <w:r w:rsidRPr="008367A4">
        <w:rPr>
          <w:rFonts w:ascii="Times New Roman" w:eastAsia="Times New Roman" w:hAnsi="Times New Roman" w:cs="Times New Roman"/>
          <w:i/>
          <w:sz w:val="24"/>
          <w:szCs w:val="20"/>
        </w:rPr>
        <w:t>United States v. Redlightning</w:t>
      </w:r>
      <w:r w:rsidRPr="008367A4">
        <w:rPr>
          <w:rFonts w:ascii="Times New Roman" w:eastAsia="Times New Roman" w:hAnsi="Times New Roman" w:cs="Times New Roman"/>
          <w:sz w:val="24"/>
          <w:szCs w:val="20"/>
        </w:rPr>
        <w:t xml:space="preserve">, 624 F.3d 1090, 1119-22 (9th Cir. 2010).  Where the evidence presented at trial poses the prospect of impermissible use of the propensity evidence, the further limiting instruction provided in the third paragraph may be necessary.  But if confession or evidence destruction is part of the defendant’s alleged modus operandi, the further limitation would not be necessary.  </w:t>
      </w:r>
    </w:p>
    <w:p w14:paraId="2347FD40" w14:textId="77777777" w:rsidR="008367A4" w:rsidRPr="008367A4" w:rsidRDefault="008367A4" w:rsidP="008367A4">
      <w:pPr>
        <w:widowControl w:val="0"/>
        <w:spacing w:after="0" w:line="240" w:lineRule="auto"/>
        <w:rPr>
          <w:rFonts w:ascii="Times New Roman" w:eastAsia="Times New Roman" w:hAnsi="Times New Roman" w:cs="Times New Roman"/>
          <w:sz w:val="24"/>
          <w:szCs w:val="20"/>
        </w:rPr>
      </w:pPr>
    </w:p>
    <w:p w14:paraId="1BCB426A" w14:textId="77777777" w:rsidR="008367A4" w:rsidRPr="008367A4" w:rsidRDefault="008367A4" w:rsidP="008367A4">
      <w:pPr>
        <w:widowControl w:val="0"/>
        <w:spacing w:after="0" w:line="240" w:lineRule="auto"/>
        <w:rPr>
          <w:rFonts w:ascii="Times New Roman" w:eastAsia="Times New Roman" w:hAnsi="Times New Roman" w:cs="Times New Roman"/>
          <w:sz w:val="24"/>
          <w:szCs w:val="20"/>
        </w:rPr>
      </w:pPr>
    </w:p>
    <w:p w14:paraId="5FBF9EE5" w14:textId="78657C23" w:rsidR="008367A4" w:rsidRPr="008367A4" w:rsidRDefault="008367A4" w:rsidP="008367A4">
      <w:pPr>
        <w:widowControl w:val="0"/>
        <w:spacing w:after="0" w:line="240" w:lineRule="auto"/>
        <w:jc w:val="right"/>
        <w:rPr>
          <w:rFonts w:ascii="Times New Roman" w:eastAsia="Times New Roman" w:hAnsi="Times New Roman" w:cs="Times New Roman"/>
          <w:sz w:val="24"/>
          <w:szCs w:val="20"/>
        </w:rPr>
      </w:pPr>
      <w:r w:rsidRPr="008367A4">
        <w:rPr>
          <w:rFonts w:ascii="Times New Roman" w:eastAsia="Times New Roman" w:hAnsi="Times New Roman" w:cs="Times New Roman"/>
          <w:i/>
          <w:sz w:val="24"/>
          <w:szCs w:val="20"/>
        </w:rPr>
        <w:t>Revised Mar</w:t>
      </w:r>
      <w:r w:rsidR="00967809">
        <w:rPr>
          <w:rFonts w:ascii="Times New Roman" w:eastAsia="Times New Roman" w:hAnsi="Times New Roman" w:cs="Times New Roman"/>
          <w:i/>
          <w:sz w:val="24"/>
          <w:szCs w:val="20"/>
        </w:rPr>
        <w:t>ch</w:t>
      </w:r>
      <w:r w:rsidR="00CA2F89">
        <w:rPr>
          <w:rFonts w:ascii="Times New Roman" w:eastAsia="Times New Roman" w:hAnsi="Times New Roman" w:cs="Times New Roman"/>
          <w:i/>
          <w:sz w:val="24"/>
          <w:szCs w:val="20"/>
        </w:rPr>
        <w:t xml:space="preserve"> 2025</w:t>
      </w:r>
    </w:p>
    <w:p w14:paraId="03A52817" w14:textId="43403F6C" w:rsidR="00111ECF" w:rsidRPr="008367A4" w:rsidRDefault="00111ECF" w:rsidP="008367A4"/>
    <w:sectPr w:rsidR="00111ECF" w:rsidRPr="008367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95"/>
    <w:rsid w:val="00011669"/>
    <w:rsid w:val="00111ECF"/>
    <w:rsid w:val="001A6AED"/>
    <w:rsid w:val="002A23AD"/>
    <w:rsid w:val="002D78AE"/>
    <w:rsid w:val="002F2247"/>
    <w:rsid w:val="00406D35"/>
    <w:rsid w:val="004C3277"/>
    <w:rsid w:val="004C6799"/>
    <w:rsid w:val="00531DD9"/>
    <w:rsid w:val="0065177C"/>
    <w:rsid w:val="006D2A44"/>
    <w:rsid w:val="007C0692"/>
    <w:rsid w:val="008367A4"/>
    <w:rsid w:val="00851605"/>
    <w:rsid w:val="008E07E6"/>
    <w:rsid w:val="00967809"/>
    <w:rsid w:val="009A5EA3"/>
    <w:rsid w:val="009C6F91"/>
    <w:rsid w:val="00A15B83"/>
    <w:rsid w:val="00A17030"/>
    <w:rsid w:val="00A265BD"/>
    <w:rsid w:val="00A81BF4"/>
    <w:rsid w:val="00B577ED"/>
    <w:rsid w:val="00B662BA"/>
    <w:rsid w:val="00B72EC0"/>
    <w:rsid w:val="00BE0F07"/>
    <w:rsid w:val="00C14B77"/>
    <w:rsid w:val="00CA2F89"/>
    <w:rsid w:val="00E824EC"/>
    <w:rsid w:val="00E90F1E"/>
    <w:rsid w:val="00F32025"/>
    <w:rsid w:val="00F6164B"/>
    <w:rsid w:val="00FE2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5172"/>
  <w15:chartTrackingRefBased/>
  <w15:docId w15:val="{CC4F5E0D-7E4E-47E4-A0C7-9C9DCAD3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A5E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5</cp:revision>
  <dcterms:created xsi:type="dcterms:W3CDTF">2025-04-09T18:09:00Z</dcterms:created>
  <dcterms:modified xsi:type="dcterms:W3CDTF">2025-04-17T20:14:00Z</dcterms:modified>
</cp:coreProperties>
</file>