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CD401" w14:textId="77777777" w:rsidR="00531DD9" w:rsidRPr="00531DD9" w:rsidRDefault="00531DD9" w:rsidP="00531DD9">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bookmarkStart w:id="0" w:name="_Toc73690086"/>
      <w:bookmarkStart w:id="1" w:name="_Toc73698476"/>
      <w:bookmarkStart w:id="2" w:name="_Toc83310535"/>
      <w:bookmarkStart w:id="3" w:name="_Toc83362336"/>
      <w:bookmarkStart w:id="4" w:name="_Toc83362747"/>
      <w:bookmarkStart w:id="5" w:name="_Toc90309802"/>
      <w:bookmarkStart w:id="6" w:name="_Toc90389660"/>
      <w:bookmarkStart w:id="7" w:name="_Toc90860240"/>
      <w:r w:rsidRPr="00531DD9">
        <w:rPr>
          <w:rFonts w:ascii="Times New Roman" w:hAnsi="Times New Roman" w:cs="Times New Roman"/>
          <w:b/>
          <w:bCs/>
          <w:sz w:val="24"/>
          <w:szCs w:val="24"/>
        </w:rPr>
        <w:t>2.3 Stipulations of Fact</w:t>
      </w:r>
      <w:bookmarkEnd w:id="0"/>
      <w:bookmarkEnd w:id="1"/>
      <w:bookmarkEnd w:id="2"/>
      <w:bookmarkEnd w:id="3"/>
      <w:bookmarkEnd w:id="4"/>
      <w:bookmarkEnd w:id="5"/>
      <w:bookmarkEnd w:id="6"/>
      <w:bookmarkEnd w:id="7"/>
    </w:p>
    <w:p w14:paraId="5FDDF7EA" w14:textId="77777777" w:rsidR="00531DD9" w:rsidRPr="00531DD9" w:rsidRDefault="00531DD9" w:rsidP="00531DD9">
      <w:pPr>
        <w:widowControl w:val="0"/>
        <w:spacing w:after="0" w:line="240" w:lineRule="auto"/>
        <w:rPr>
          <w:rFonts w:ascii="Times New Roman" w:eastAsia="Times New Roman" w:hAnsi="Times New Roman" w:cs="Times New Roman"/>
          <w:b/>
          <w:sz w:val="24"/>
          <w:szCs w:val="20"/>
        </w:rPr>
      </w:pPr>
    </w:p>
    <w:p w14:paraId="617CA5C5" w14:textId="77777777" w:rsidR="00531DD9" w:rsidRPr="00531DD9" w:rsidRDefault="00531DD9" w:rsidP="00531DD9">
      <w:pPr>
        <w:widowControl w:val="0"/>
        <w:spacing w:after="0" w:line="240" w:lineRule="auto"/>
        <w:rPr>
          <w:rFonts w:ascii="Times New Roman" w:eastAsia="Times New Roman" w:hAnsi="Times New Roman" w:cs="Times New Roman"/>
          <w:sz w:val="24"/>
          <w:szCs w:val="20"/>
        </w:rPr>
      </w:pPr>
      <w:r w:rsidRPr="00531DD9">
        <w:rPr>
          <w:rFonts w:ascii="Times New Roman" w:eastAsia="Times New Roman" w:hAnsi="Times New Roman" w:cs="Times New Roman"/>
          <w:sz w:val="24"/>
          <w:szCs w:val="20"/>
        </w:rPr>
        <w:tab/>
        <w:t>The parties have agreed to certain facts that have been stated to you.  Those facts are now conclusively established.</w:t>
      </w:r>
    </w:p>
    <w:p w14:paraId="05F067A3" w14:textId="77777777" w:rsidR="00531DD9" w:rsidRPr="00531DD9" w:rsidRDefault="00531DD9" w:rsidP="00531DD9">
      <w:pPr>
        <w:widowControl w:val="0"/>
        <w:spacing w:after="0" w:line="240" w:lineRule="auto"/>
        <w:rPr>
          <w:rFonts w:ascii="Times New Roman" w:eastAsia="Times New Roman" w:hAnsi="Times New Roman" w:cs="Times New Roman"/>
          <w:sz w:val="24"/>
          <w:szCs w:val="20"/>
        </w:rPr>
      </w:pPr>
    </w:p>
    <w:p w14:paraId="72C48F5C" w14:textId="77777777" w:rsidR="00531DD9" w:rsidRPr="00531DD9" w:rsidRDefault="00531DD9" w:rsidP="00531DD9">
      <w:pPr>
        <w:widowControl w:val="0"/>
        <w:spacing w:after="0" w:line="240" w:lineRule="auto"/>
        <w:ind w:right="-180"/>
        <w:jc w:val="center"/>
        <w:rPr>
          <w:rFonts w:ascii="Times New Roman" w:eastAsia="Times New Roman" w:hAnsi="Times New Roman" w:cs="Times New Roman"/>
          <w:sz w:val="24"/>
          <w:szCs w:val="20"/>
        </w:rPr>
      </w:pPr>
      <w:r w:rsidRPr="00531DD9">
        <w:rPr>
          <w:rFonts w:ascii="Times New Roman" w:eastAsia="Times New Roman" w:hAnsi="Times New Roman" w:cs="Times New Roman"/>
          <w:b/>
          <w:sz w:val="24"/>
          <w:szCs w:val="20"/>
        </w:rPr>
        <w:t>Comment</w:t>
      </w:r>
    </w:p>
    <w:p w14:paraId="79BCB0A2" w14:textId="77777777" w:rsidR="00531DD9" w:rsidRPr="00531DD9" w:rsidRDefault="00531DD9" w:rsidP="00531DD9">
      <w:pPr>
        <w:widowControl w:val="0"/>
        <w:spacing w:after="0" w:line="240" w:lineRule="auto"/>
        <w:rPr>
          <w:rFonts w:ascii="Times New Roman" w:eastAsia="Times New Roman" w:hAnsi="Times New Roman" w:cs="Times New Roman"/>
          <w:sz w:val="24"/>
          <w:szCs w:val="20"/>
        </w:rPr>
      </w:pPr>
    </w:p>
    <w:p w14:paraId="56D12C90" w14:textId="77777777" w:rsidR="00531DD9" w:rsidRPr="00531DD9" w:rsidRDefault="00531DD9" w:rsidP="00531DD9">
      <w:pPr>
        <w:widowControl w:val="0"/>
        <w:spacing w:after="0" w:line="240" w:lineRule="auto"/>
        <w:rPr>
          <w:rFonts w:ascii="Times New Roman" w:eastAsia="Times New Roman" w:hAnsi="Times New Roman" w:cs="Times New Roman"/>
          <w:sz w:val="24"/>
          <w:szCs w:val="20"/>
        </w:rPr>
      </w:pPr>
      <w:r w:rsidRPr="00531DD9">
        <w:rPr>
          <w:rFonts w:ascii="Times New Roman" w:eastAsia="Times New Roman" w:hAnsi="Times New Roman" w:cs="Times New Roman"/>
          <w:sz w:val="24"/>
          <w:szCs w:val="20"/>
        </w:rPr>
        <w:tab/>
        <w:t xml:space="preserve">“[W]hen a stipulation to a crucial fact is entered into the record in open court in the presence of the defendant, and is agreed to by defendant’s acknowledged counsel, the trial court may reasonably assume that the defendant is aware of the content of the stipulation and agrees to it through his or her attorney.  Unless a criminal defendant indicates objection at the time the stipulation is made, he or she is ordinarily bound by such stipulation.”  </w:t>
      </w:r>
      <w:r w:rsidRPr="00531DD9">
        <w:rPr>
          <w:rFonts w:ascii="Times New Roman" w:eastAsia="Times New Roman" w:hAnsi="Times New Roman" w:cs="Times New Roman"/>
          <w:i/>
          <w:sz w:val="24"/>
          <w:szCs w:val="20"/>
        </w:rPr>
        <w:t xml:space="preserve">United States v. </w:t>
      </w:r>
      <w:proofErr w:type="spellStart"/>
      <w:r w:rsidRPr="00531DD9">
        <w:rPr>
          <w:rFonts w:ascii="Times New Roman" w:eastAsia="Times New Roman" w:hAnsi="Times New Roman" w:cs="Times New Roman"/>
          <w:i/>
          <w:sz w:val="24"/>
          <w:szCs w:val="20"/>
        </w:rPr>
        <w:t>Ferreboeuf</w:t>
      </w:r>
      <w:proofErr w:type="spellEnd"/>
      <w:r w:rsidRPr="00531DD9">
        <w:rPr>
          <w:rFonts w:ascii="Times New Roman" w:eastAsia="Times New Roman" w:hAnsi="Times New Roman" w:cs="Times New Roman"/>
          <w:sz w:val="24"/>
          <w:szCs w:val="20"/>
        </w:rPr>
        <w:t xml:space="preserve">, 632 F.2d 832, 836 (9th Cir. 1980).  In any event, a trial judge need not make as probing an inquiry as is required by Fed. R. Crim. P. 11 when considering whether a defendant’s factual stipulation is knowing and voluntary.  </w:t>
      </w:r>
      <w:r w:rsidRPr="00531DD9">
        <w:rPr>
          <w:rFonts w:ascii="Times New Roman" w:eastAsia="Times New Roman" w:hAnsi="Times New Roman" w:cs="Times New Roman"/>
          <w:i/>
          <w:sz w:val="24"/>
          <w:szCs w:val="20"/>
        </w:rPr>
        <w:t>United States v. Miller</w:t>
      </w:r>
      <w:r w:rsidRPr="00531DD9">
        <w:rPr>
          <w:rFonts w:ascii="Times New Roman" w:eastAsia="Times New Roman" w:hAnsi="Times New Roman" w:cs="Times New Roman"/>
          <w:sz w:val="24"/>
          <w:szCs w:val="20"/>
        </w:rPr>
        <w:t xml:space="preserve">, 588 F.2d 1256, 1263-64 (9th Cir. 1978).  </w:t>
      </w:r>
    </w:p>
    <w:p w14:paraId="31A777F1" w14:textId="77777777" w:rsidR="00531DD9" w:rsidRPr="00531DD9" w:rsidRDefault="00531DD9" w:rsidP="00531DD9">
      <w:pPr>
        <w:widowControl w:val="0"/>
        <w:spacing w:after="0" w:line="240" w:lineRule="auto"/>
        <w:rPr>
          <w:rFonts w:ascii="Times New Roman" w:eastAsia="Times New Roman" w:hAnsi="Times New Roman" w:cs="Times New Roman"/>
          <w:sz w:val="24"/>
          <w:szCs w:val="20"/>
        </w:rPr>
      </w:pPr>
    </w:p>
    <w:p w14:paraId="00B1140C" w14:textId="77777777" w:rsidR="00531DD9" w:rsidRPr="00531DD9" w:rsidRDefault="00531DD9" w:rsidP="00531DD9">
      <w:pPr>
        <w:widowControl w:val="0"/>
        <w:spacing w:after="0" w:line="240" w:lineRule="auto"/>
        <w:rPr>
          <w:rFonts w:ascii="Times New Roman" w:eastAsia="Times New Roman" w:hAnsi="Times New Roman" w:cs="Times New Roman"/>
          <w:sz w:val="24"/>
          <w:szCs w:val="20"/>
        </w:rPr>
      </w:pPr>
      <w:r w:rsidRPr="00531DD9">
        <w:rPr>
          <w:rFonts w:ascii="Times New Roman" w:eastAsia="Times New Roman" w:hAnsi="Times New Roman" w:cs="Times New Roman"/>
          <w:sz w:val="24"/>
          <w:szCs w:val="20"/>
        </w:rPr>
        <w:tab/>
      </w:r>
      <w:r w:rsidRPr="00531DD9">
        <w:rPr>
          <w:rFonts w:ascii="Times New Roman" w:eastAsia="Times New Roman" w:hAnsi="Times New Roman" w:cs="Times New Roman"/>
          <w:i/>
          <w:sz w:val="24"/>
          <w:szCs w:val="20"/>
        </w:rPr>
        <w:t>See Old Chief v. United States</w:t>
      </w:r>
      <w:r w:rsidRPr="00531DD9">
        <w:rPr>
          <w:rFonts w:ascii="Times New Roman" w:eastAsia="Times New Roman" w:hAnsi="Times New Roman" w:cs="Times New Roman"/>
          <w:sz w:val="24"/>
          <w:szCs w:val="20"/>
        </w:rPr>
        <w:t>, 519 U.S. 172, 186 (1997) (discussing acceptance of stipulation regarding prior conviction);</w:t>
      </w:r>
      <w:r w:rsidRPr="00531DD9">
        <w:rPr>
          <w:rFonts w:ascii="Times New Roman" w:eastAsia="Times New Roman" w:hAnsi="Times New Roman" w:cs="Times New Roman"/>
          <w:i/>
          <w:sz w:val="24"/>
          <w:szCs w:val="20"/>
        </w:rPr>
        <w:t xml:space="preserve"> </w:t>
      </w:r>
      <w:r w:rsidRPr="00531DD9">
        <w:rPr>
          <w:rFonts w:ascii="Times New Roman" w:eastAsia="Times New Roman" w:hAnsi="Times New Roman" w:cs="Times New Roman"/>
          <w:smallCaps/>
          <w:sz w:val="24"/>
          <w:szCs w:val="20"/>
        </w:rPr>
        <w:t>Jury Instructions Committee of the Ninth Circuit</w:t>
      </w:r>
      <w:r w:rsidRPr="00531DD9">
        <w:rPr>
          <w:rFonts w:ascii="Times New Roman" w:eastAsia="Times New Roman" w:hAnsi="Times New Roman" w:cs="Times New Roman"/>
          <w:sz w:val="24"/>
          <w:szCs w:val="20"/>
        </w:rPr>
        <w:t xml:space="preserve">, </w:t>
      </w:r>
      <w:r w:rsidRPr="00531DD9">
        <w:rPr>
          <w:rFonts w:ascii="Times New Roman" w:eastAsia="Times New Roman" w:hAnsi="Times New Roman" w:cs="Times New Roman"/>
          <w:smallCaps/>
          <w:sz w:val="24"/>
          <w:szCs w:val="20"/>
        </w:rPr>
        <w:t xml:space="preserve">A Manual on Jury Trial Procedures § 1.1.B </w:t>
      </w:r>
      <w:r w:rsidRPr="00531DD9">
        <w:rPr>
          <w:rFonts w:ascii="Times New Roman" w:eastAsia="Times New Roman" w:hAnsi="Times New Roman" w:cs="Times New Roman"/>
          <w:sz w:val="24"/>
          <w:szCs w:val="20"/>
        </w:rPr>
        <w:t xml:space="preserve">(2013). </w:t>
      </w:r>
    </w:p>
    <w:p w14:paraId="245ACC61" w14:textId="77777777" w:rsidR="00531DD9" w:rsidRPr="00531DD9" w:rsidRDefault="00531DD9" w:rsidP="00531DD9">
      <w:pPr>
        <w:widowControl w:val="0"/>
        <w:spacing w:after="0" w:line="240" w:lineRule="auto"/>
        <w:rPr>
          <w:rFonts w:ascii="Times New Roman" w:eastAsia="Times New Roman" w:hAnsi="Times New Roman" w:cs="Times New Roman"/>
          <w:sz w:val="24"/>
          <w:szCs w:val="20"/>
        </w:rPr>
      </w:pPr>
    </w:p>
    <w:p w14:paraId="4A5F6BAC" w14:textId="77777777" w:rsidR="00531DD9" w:rsidRPr="00531DD9" w:rsidRDefault="00531DD9" w:rsidP="00531DD9">
      <w:pPr>
        <w:widowControl w:val="0"/>
        <w:spacing w:after="0" w:line="240" w:lineRule="auto"/>
        <w:rPr>
          <w:rFonts w:ascii="Times New Roman" w:eastAsia="Times New Roman" w:hAnsi="Times New Roman" w:cs="Times New Roman"/>
          <w:sz w:val="24"/>
          <w:szCs w:val="20"/>
        </w:rPr>
      </w:pPr>
      <w:r w:rsidRPr="00531DD9">
        <w:rPr>
          <w:rFonts w:ascii="Times New Roman" w:eastAsia="Times New Roman" w:hAnsi="Times New Roman" w:cs="Times New Roman"/>
          <w:sz w:val="24"/>
          <w:szCs w:val="20"/>
        </w:rPr>
        <w:tab/>
        <w:t xml:space="preserve">It may be necessary to add to the instruction a statement of the purpose for which the stipulation is offered.  </w:t>
      </w:r>
      <w:r w:rsidRPr="00531DD9">
        <w:rPr>
          <w:rFonts w:ascii="Times New Roman" w:eastAsia="Times New Roman" w:hAnsi="Times New Roman" w:cs="Times New Roman"/>
          <w:i/>
          <w:sz w:val="24"/>
          <w:szCs w:val="20"/>
        </w:rPr>
        <w:t>See United States v. Page</w:t>
      </w:r>
      <w:r w:rsidRPr="00531DD9">
        <w:rPr>
          <w:rFonts w:ascii="Times New Roman" w:eastAsia="Times New Roman" w:hAnsi="Times New Roman" w:cs="Times New Roman"/>
          <w:sz w:val="24"/>
          <w:szCs w:val="20"/>
        </w:rPr>
        <w:t xml:space="preserve">, 657 F.3d 126, 130-31 (2d Cir. 2011); </w:t>
      </w:r>
      <w:r w:rsidRPr="00531DD9">
        <w:rPr>
          <w:rFonts w:ascii="Times New Roman" w:eastAsia="Times New Roman" w:hAnsi="Times New Roman" w:cs="Times New Roman"/>
          <w:i/>
          <w:sz w:val="24"/>
          <w:szCs w:val="20"/>
        </w:rPr>
        <w:t>United States v. Higdon</w:t>
      </w:r>
      <w:r w:rsidRPr="00531DD9">
        <w:rPr>
          <w:rFonts w:ascii="Times New Roman" w:eastAsia="Times New Roman" w:hAnsi="Times New Roman" w:cs="Times New Roman"/>
          <w:sz w:val="24"/>
          <w:szCs w:val="20"/>
        </w:rPr>
        <w:t xml:space="preserve">, 638 F.3d 233, 243 &amp; n.7 (3d Cir. 2011); Instruction 2.12 (Evidence for Limited Purpose).  </w:t>
      </w:r>
    </w:p>
    <w:p w14:paraId="49B280EF" w14:textId="77777777" w:rsidR="00531DD9" w:rsidRPr="00531DD9" w:rsidRDefault="00531DD9" w:rsidP="00531DD9">
      <w:pPr>
        <w:widowControl w:val="0"/>
        <w:spacing w:after="0" w:line="240" w:lineRule="auto"/>
        <w:rPr>
          <w:rFonts w:ascii="Times New Roman" w:eastAsia="Times New Roman" w:hAnsi="Times New Roman" w:cs="Times New Roman"/>
          <w:sz w:val="24"/>
          <w:szCs w:val="20"/>
        </w:rPr>
      </w:pPr>
    </w:p>
    <w:p w14:paraId="60093214" w14:textId="77777777" w:rsidR="00531DD9" w:rsidRPr="00531DD9" w:rsidRDefault="00531DD9" w:rsidP="00531DD9">
      <w:pPr>
        <w:widowControl w:val="0"/>
        <w:spacing w:after="0" w:line="240" w:lineRule="auto"/>
        <w:rPr>
          <w:rFonts w:ascii="Times New Roman" w:eastAsia="Times New Roman" w:hAnsi="Times New Roman" w:cs="Times New Roman"/>
          <w:sz w:val="24"/>
          <w:szCs w:val="20"/>
        </w:rPr>
      </w:pPr>
    </w:p>
    <w:p w14:paraId="5BD320A0" w14:textId="77777777" w:rsidR="00531DD9" w:rsidRPr="00531DD9" w:rsidRDefault="00531DD9" w:rsidP="00531DD9">
      <w:pPr>
        <w:widowControl w:val="0"/>
        <w:spacing w:after="0" w:line="240" w:lineRule="auto"/>
        <w:jc w:val="right"/>
        <w:rPr>
          <w:rFonts w:ascii="Times New Roman" w:eastAsia="Times New Roman" w:hAnsi="Times New Roman" w:cs="Times New Roman"/>
          <w:sz w:val="24"/>
          <w:szCs w:val="20"/>
        </w:rPr>
      </w:pPr>
      <w:r w:rsidRPr="00531DD9">
        <w:rPr>
          <w:rFonts w:ascii="Times New Roman" w:eastAsia="Times New Roman" w:hAnsi="Times New Roman" w:cs="Times New Roman"/>
          <w:i/>
          <w:sz w:val="24"/>
          <w:szCs w:val="20"/>
        </w:rPr>
        <w:t>Revised Sept. 2019</w:t>
      </w:r>
    </w:p>
    <w:p w14:paraId="03A52817" w14:textId="43403F6C" w:rsidR="00111ECF" w:rsidRPr="004C6799" w:rsidRDefault="00111ECF" w:rsidP="004C6799"/>
    <w:sectPr w:rsidR="00111ECF" w:rsidRPr="004C6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95"/>
    <w:rsid w:val="00011669"/>
    <w:rsid w:val="00111ECF"/>
    <w:rsid w:val="001A6AED"/>
    <w:rsid w:val="002A23AD"/>
    <w:rsid w:val="002D78AE"/>
    <w:rsid w:val="004C3277"/>
    <w:rsid w:val="004C6799"/>
    <w:rsid w:val="00531DD9"/>
    <w:rsid w:val="0065177C"/>
    <w:rsid w:val="00851605"/>
    <w:rsid w:val="009C6F91"/>
    <w:rsid w:val="00A15B83"/>
    <w:rsid w:val="00A17030"/>
    <w:rsid w:val="00A265BD"/>
    <w:rsid w:val="00A81BF4"/>
    <w:rsid w:val="00B72EC0"/>
    <w:rsid w:val="00E824EC"/>
    <w:rsid w:val="00E90F1E"/>
    <w:rsid w:val="00F6164B"/>
    <w:rsid w:val="00FE2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5172"/>
  <w15:chartTrackingRefBased/>
  <w15:docId w15:val="{CC4F5E0D-7E4E-47E4-A0C7-9C9DCAD3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2022-04-29T21:36:00Z</dcterms:created>
  <dcterms:modified xsi:type="dcterms:W3CDTF">2022-04-29T21:36:00Z</dcterms:modified>
</cp:coreProperties>
</file>