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228B" w14:textId="77777777" w:rsidR="009835CD" w:rsidRPr="009835CD" w:rsidRDefault="009835CD" w:rsidP="009835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56"/>
      <w:bookmarkStart w:id="1" w:name="_Toc83310927"/>
      <w:bookmarkStart w:id="2" w:name="_Toc83362712"/>
      <w:bookmarkStart w:id="3" w:name="_Toc83363121"/>
      <w:bookmarkStart w:id="4" w:name="_Toc90310180"/>
      <w:bookmarkStart w:id="5" w:name="_Toc90390038"/>
      <w:bookmarkStart w:id="6" w:name="_Toc90860618"/>
      <w:r w:rsidRPr="009835CD">
        <w:rPr>
          <w:rFonts w:cs="Times New Roman"/>
          <w:b/>
          <w:bCs/>
          <w:szCs w:val="24"/>
        </w:rPr>
        <w:t xml:space="preserve">24.14 Determination of Indian Status for Offenses Committed </w:t>
      </w:r>
    </w:p>
    <w:p w14:paraId="571D3C8F" w14:textId="77777777" w:rsidR="009835CD" w:rsidRPr="009835CD" w:rsidRDefault="009835CD" w:rsidP="009835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9835CD">
        <w:rPr>
          <w:rFonts w:cs="Times New Roman"/>
          <w:b/>
          <w:bCs/>
          <w:szCs w:val="24"/>
        </w:rPr>
        <w:t>Within Indian Country (18 U.S.C. § 1153)</w:t>
      </w:r>
      <w:bookmarkEnd w:id="0"/>
      <w:bookmarkEnd w:id="1"/>
      <w:bookmarkEnd w:id="2"/>
      <w:bookmarkEnd w:id="3"/>
      <w:bookmarkEnd w:id="4"/>
      <w:bookmarkEnd w:id="5"/>
      <w:bookmarkEnd w:id="6"/>
    </w:p>
    <w:p w14:paraId="17A922C7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</w:p>
    <w:p w14:paraId="4EA7E430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  <w:r w:rsidRPr="009835CD">
        <w:rPr>
          <w:rFonts w:eastAsia="Times New Roman" w:cs="Times New Roman"/>
          <w:szCs w:val="24"/>
        </w:rPr>
        <w:tab/>
        <w:t>For the defendant to be found to be an Indian, the government must prove the following, beyond a reasonable doubt:</w:t>
      </w:r>
    </w:p>
    <w:p w14:paraId="19E9F29C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</w:p>
    <w:p w14:paraId="3F0D1719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  <w:r w:rsidRPr="009835CD">
        <w:rPr>
          <w:rFonts w:eastAsia="Times New Roman" w:cs="Times New Roman"/>
          <w:szCs w:val="24"/>
        </w:rPr>
        <w:tab/>
        <w:t>First, the defendant has some quantum of Indian blood, whether or not that blood is traceable to a member of a federally recognized tribe; and</w:t>
      </w:r>
    </w:p>
    <w:p w14:paraId="743BFE68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</w:p>
    <w:p w14:paraId="3C9BE44D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  <w:r w:rsidRPr="009835CD">
        <w:rPr>
          <w:rFonts w:eastAsia="Times New Roman" w:cs="Times New Roman"/>
          <w:szCs w:val="24"/>
        </w:rPr>
        <w:tab/>
        <w:t>Second, the defendant was a member of, or affiliated with, a federally recognized tribe at the time of the offense.</w:t>
      </w:r>
    </w:p>
    <w:p w14:paraId="43923603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</w:p>
    <w:p w14:paraId="5B2EFB56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  <w:r w:rsidRPr="009835CD">
        <w:rPr>
          <w:rFonts w:eastAsia="Times New Roman" w:cs="Times New Roman"/>
          <w:szCs w:val="24"/>
        </w:rPr>
        <w:tab/>
        <w:t>[I instruct you that [</w:t>
      </w:r>
      <w:r w:rsidRPr="009835CD">
        <w:rPr>
          <w:rFonts w:eastAsia="Times New Roman" w:cs="Times New Roman"/>
          <w:i/>
          <w:szCs w:val="24"/>
        </w:rPr>
        <w:t>specify tribe</w:t>
      </w:r>
      <w:r w:rsidRPr="009835CD">
        <w:rPr>
          <w:rFonts w:eastAsia="Times New Roman" w:cs="Times New Roman"/>
          <w:szCs w:val="24"/>
        </w:rPr>
        <w:t>] is a federally recognized tribe.]</w:t>
      </w:r>
    </w:p>
    <w:p w14:paraId="346D01D0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</w:p>
    <w:p w14:paraId="54EB4DCC" w14:textId="77777777" w:rsidR="009835CD" w:rsidRPr="009835CD" w:rsidRDefault="009835CD" w:rsidP="009835CD">
      <w:pPr>
        <w:rPr>
          <w:rFonts w:eastAsia="Times New Roman" w:cs="Times New Roman"/>
          <w:szCs w:val="24"/>
        </w:rPr>
      </w:pPr>
      <w:r w:rsidRPr="009835CD">
        <w:rPr>
          <w:rFonts w:eastAsia="Times New Roman" w:cs="Times New Roman"/>
          <w:szCs w:val="24"/>
        </w:rPr>
        <w:tab/>
        <w:t>Whether the defendant was a member of, or affiliated with, a federally recognized tribe is determined by considering four factors, in declining order of importance, as follows:</w:t>
      </w:r>
    </w:p>
    <w:p w14:paraId="62145EA7" w14:textId="77777777" w:rsidR="009835CD" w:rsidRPr="009835CD" w:rsidRDefault="009835CD" w:rsidP="009835CD">
      <w:pPr>
        <w:rPr>
          <w:rFonts w:eastAsia="Times New Roman" w:cs="Times New Roman"/>
          <w:color w:val="000000"/>
          <w:szCs w:val="24"/>
        </w:rPr>
      </w:pPr>
    </w:p>
    <w:p w14:paraId="42801AD0" w14:textId="77777777" w:rsidR="009835CD" w:rsidRPr="009835CD" w:rsidRDefault="009835CD" w:rsidP="009835CD">
      <w:pPr>
        <w:ind w:left="1440" w:hanging="720"/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color w:val="000000"/>
          <w:szCs w:val="24"/>
        </w:rPr>
        <w:t xml:space="preserve">(1) </w:t>
      </w:r>
      <w:r w:rsidRPr="009835CD">
        <w:rPr>
          <w:rFonts w:eastAsia="Times New Roman" w:cs="Times New Roman"/>
          <w:color w:val="000000"/>
          <w:szCs w:val="24"/>
        </w:rPr>
        <w:tab/>
        <w:t xml:space="preserve">Enrollment in a federally recognized </w:t>
      </w:r>
      <w:proofErr w:type="gramStart"/>
      <w:r w:rsidRPr="009835CD">
        <w:rPr>
          <w:rFonts w:eastAsia="Times New Roman" w:cs="Times New Roman"/>
          <w:color w:val="000000"/>
          <w:szCs w:val="24"/>
        </w:rPr>
        <w:t>tribe;</w:t>
      </w:r>
      <w:proofErr w:type="gramEnd"/>
    </w:p>
    <w:p w14:paraId="479177DA" w14:textId="77777777" w:rsidR="009835CD" w:rsidRPr="009835CD" w:rsidRDefault="009835CD" w:rsidP="009835CD">
      <w:pPr>
        <w:ind w:left="1440" w:hanging="720"/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color w:val="000000"/>
          <w:szCs w:val="24"/>
        </w:rPr>
        <w:t xml:space="preserve">(2) </w:t>
      </w:r>
      <w:r w:rsidRPr="009835CD">
        <w:rPr>
          <w:rFonts w:eastAsia="Times New Roman" w:cs="Times New Roman"/>
          <w:color w:val="000000"/>
          <w:szCs w:val="24"/>
        </w:rPr>
        <w:tab/>
        <w:t xml:space="preserve">Government recognition formally and informally through receipt of assistance reserved only to individuals who are members, or are eligible to become members, of federally recognized </w:t>
      </w:r>
      <w:proofErr w:type="gramStart"/>
      <w:r w:rsidRPr="009835CD">
        <w:rPr>
          <w:rFonts w:eastAsia="Times New Roman" w:cs="Times New Roman"/>
          <w:color w:val="000000"/>
          <w:szCs w:val="24"/>
        </w:rPr>
        <w:t>tribes;</w:t>
      </w:r>
      <w:proofErr w:type="gramEnd"/>
    </w:p>
    <w:p w14:paraId="32AFBB51" w14:textId="77777777" w:rsidR="009835CD" w:rsidRPr="009835CD" w:rsidRDefault="009835CD" w:rsidP="009835CD">
      <w:pPr>
        <w:ind w:left="1440" w:hanging="720"/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color w:val="000000"/>
          <w:szCs w:val="24"/>
        </w:rPr>
        <w:t>(3)</w:t>
      </w:r>
      <w:r w:rsidRPr="009835CD">
        <w:rPr>
          <w:rFonts w:eastAsia="Times New Roman" w:cs="Times New Roman"/>
          <w:color w:val="000000"/>
          <w:szCs w:val="24"/>
        </w:rPr>
        <w:tab/>
        <w:t>Enjoyment of the benefits of affiliation with a federally recognized tribe; and</w:t>
      </w:r>
    </w:p>
    <w:p w14:paraId="1AB1D317" w14:textId="77777777" w:rsidR="009835CD" w:rsidRPr="009835CD" w:rsidRDefault="009835CD" w:rsidP="009835CD">
      <w:pPr>
        <w:ind w:left="1440" w:hanging="720"/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color w:val="000000"/>
          <w:szCs w:val="24"/>
        </w:rPr>
        <w:t xml:space="preserve">(4) </w:t>
      </w:r>
      <w:r w:rsidRPr="009835CD">
        <w:rPr>
          <w:rFonts w:eastAsia="Times New Roman" w:cs="Times New Roman"/>
          <w:color w:val="000000"/>
          <w:szCs w:val="24"/>
        </w:rPr>
        <w:tab/>
        <w:t>Social recognition as someone affiliated with a federally recognized tribe through residence on a reservation and participation in the social life of a federally recognized tribe.</w:t>
      </w:r>
    </w:p>
    <w:p w14:paraId="32FBE9D4" w14:textId="77777777" w:rsidR="009835CD" w:rsidRPr="009835CD" w:rsidRDefault="009835CD" w:rsidP="009835CD">
      <w:pPr>
        <w:rPr>
          <w:rFonts w:eastAsia="Times New Roman" w:cs="Times New Roman"/>
          <w:color w:val="000000"/>
          <w:szCs w:val="24"/>
        </w:rPr>
      </w:pPr>
    </w:p>
    <w:p w14:paraId="05464701" w14:textId="77777777" w:rsidR="009835CD" w:rsidRPr="009835CD" w:rsidRDefault="009835CD" w:rsidP="009835CD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b/>
          <w:color w:val="000000"/>
          <w:szCs w:val="24"/>
        </w:rPr>
        <w:t>Comment</w:t>
      </w:r>
    </w:p>
    <w:p w14:paraId="741EB4CC" w14:textId="77777777" w:rsidR="009835CD" w:rsidRPr="009835CD" w:rsidRDefault="009835CD" w:rsidP="009835CD">
      <w:pPr>
        <w:rPr>
          <w:rFonts w:eastAsia="Times New Roman" w:cs="Times New Roman"/>
          <w:color w:val="000000"/>
          <w:szCs w:val="24"/>
        </w:rPr>
      </w:pPr>
    </w:p>
    <w:p w14:paraId="00BCA956" w14:textId="77777777" w:rsidR="001140BF" w:rsidRPr="00742622" w:rsidRDefault="009835CD" w:rsidP="001140BF">
      <w:pPr>
        <w:rPr>
          <w:rFonts w:eastAsia="Times New Roman" w:cs="Times New Roman"/>
          <w:color w:val="000000"/>
          <w:szCs w:val="24"/>
        </w:rPr>
      </w:pPr>
      <w:r w:rsidRPr="009835CD">
        <w:rPr>
          <w:rFonts w:eastAsia="Times New Roman" w:cs="Times New Roman"/>
          <w:color w:val="000000"/>
          <w:szCs w:val="24"/>
        </w:rPr>
        <w:tab/>
      </w:r>
      <w:r w:rsidR="001140BF" w:rsidRPr="00742622">
        <w:rPr>
          <w:rFonts w:eastAsia="Times New Roman" w:cs="Times New Roman"/>
          <w:color w:val="000000"/>
          <w:szCs w:val="24"/>
        </w:rPr>
        <w:t>Indian status is a jurisdictional element under 18 U.S.C. § 1153.</w:t>
      </w:r>
      <w:r w:rsidR="001140BF" w:rsidRPr="00742622">
        <w:rPr>
          <w:rFonts w:eastAsia="Times New Roman" w:cs="Times New Roman"/>
          <w:i/>
          <w:color w:val="000000"/>
          <w:szCs w:val="24"/>
        </w:rPr>
        <w:t xml:space="preserve">  See United States v. Bruce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, 394 F.3d 1215, 1223-24 (9th Cir. 2005).  “[T]he government must prove that the defendant was an Indian at the time of the offense with which the defendant is charged.” </w:t>
      </w:r>
      <w:r w:rsidR="001140BF">
        <w:rPr>
          <w:rFonts w:eastAsia="Times New Roman" w:cs="Times New Roman"/>
          <w:color w:val="000000"/>
          <w:szCs w:val="24"/>
        </w:rPr>
        <w:t xml:space="preserve"> </w:t>
      </w:r>
      <w:r w:rsidR="001140BF" w:rsidRPr="00742622">
        <w:rPr>
          <w:rFonts w:eastAsia="Times New Roman" w:cs="Times New Roman"/>
          <w:i/>
          <w:color w:val="000000"/>
          <w:szCs w:val="24"/>
        </w:rPr>
        <w:t>United States v. Zepeda</w:t>
      </w:r>
      <w:r w:rsidR="001140BF" w:rsidRPr="00742622">
        <w:rPr>
          <w:rFonts w:eastAsia="Times New Roman" w:cs="Times New Roman"/>
          <w:color w:val="000000"/>
          <w:szCs w:val="24"/>
        </w:rPr>
        <w:t>, 792 F.3d 1103, 1113 (9th Cir. 2015) (</w:t>
      </w:r>
      <w:proofErr w:type="spellStart"/>
      <w:r w:rsidR="001140BF" w:rsidRPr="00742622">
        <w:rPr>
          <w:rFonts w:eastAsia="Times New Roman" w:cs="Times New Roman"/>
          <w:color w:val="000000"/>
          <w:szCs w:val="24"/>
        </w:rPr>
        <w:t>en</w:t>
      </w:r>
      <w:proofErr w:type="spellEnd"/>
      <w:r w:rsidR="001140BF" w:rsidRPr="00742622">
        <w:rPr>
          <w:rFonts w:eastAsia="Times New Roman" w:cs="Times New Roman"/>
          <w:color w:val="000000"/>
          <w:szCs w:val="24"/>
        </w:rPr>
        <w:t xml:space="preserve"> banc).  This rule applies with the same force when the Indian status of the victim is in question under 18 U.S.C. § 1152.</w:t>
      </w:r>
      <w:r w:rsidR="001140BF" w:rsidRPr="00742622">
        <w:rPr>
          <w:rFonts w:eastAsia="Times New Roman" w:cs="Times New Roman"/>
          <w:i/>
          <w:color w:val="000000"/>
          <w:szCs w:val="24"/>
        </w:rPr>
        <w:t xml:space="preserve">  United States v. Reza-Ramos</w:t>
      </w:r>
      <w:r w:rsidR="001140BF" w:rsidRPr="00742622">
        <w:rPr>
          <w:rFonts w:eastAsia="Times New Roman" w:cs="Times New Roman"/>
          <w:color w:val="000000"/>
          <w:szCs w:val="24"/>
        </w:rPr>
        <w:t>, 816 F.3d 11</w:t>
      </w:r>
      <w:r w:rsidR="001140BF">
        <w:rPr>
          <w:rFonts w:eastAsia="Times New Roman" w:cs="Times New Roman"/>
          <w:color w:val="000000"/>
          <w:szCs w:val="24"/>
        </w:rPr>
        <w:t>1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0, 1120-21 (9th Cir. 2016).  As to the first element, the defendant must have a blood connection to an Indian tribe, but the tribe need not be federally recognized.  </w:t>
      </w:r>
      <w:r w:rsidR="001140BF" w:rsidRPr="00742622">
        <w:rPr>
          <w:rFonts w:eastAsia="Times New Roman" w:cs="Times New Roman"/>
          <w:i/>
          <w:color w:val="000000"/>
          <w:szCs w:val="24"/>
        </w:rPr>
        <w:t>Zepeda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, 792 F.3d </w:t>
      </w:r>
      <w:r w:rsidR="001140BF">
        <w:rPr>
          <w:rFonts w:eastAsia="Times New Roman" w:cs="Times New Roman"/>
          <w:color w:val="000000"/>
          <w:szCs w:val="24"/>
        </w:rPr>
        <w:t>at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 1113.  With regard to the second element, the defendant must have a current affiliation with a federally recognized tribe.  </w:t>
      </w:r>
      <w:r w:rsidR="001140BF" w:rsidRPr="00742622">
        <w:rPr>
          <w:rFonts w:eastAsia="Times New Roman" w:cs="Times New Roman"/>
          <w:i/>
          <w:color w:val="000000"/>
          <w:szCs w:val="24"/>
        </w:rPr>
        <w:t>Id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.  </w:t>
      </w:r>
      <w:r w:rsidR="001140BF">
        <w:rPr>
          <w:rFonts w:eastAsia="Times New Roman" w:cs="Times New Roman"/>
          <w:color w:val="000000"/>
          <w:szCs w:val="24"/>
        </w:rPr>
        <w:t>“</w:t>
      </w:r>
      <w:r w:rsidR="001140BF" w:rsidRPr="00496FC3">
        <w:rPr>
          <w:rFonts w:eastAsia="Times New Roman" w:cs="Times New Roman"/>
          <w:color w:val="000000"/>
          <w:szCs w:val="24"/>
        </w:rPr>
        <w:t>The federally recognized tribe with which a defendant is currently affiliated need not be, and sometimes is not, the same as the tribe or tribes from which his bloodline derives.</w:t>
      </w:r>
      <w:r w:rsidR="001140BF">
        <w:rPr>
          <w:rFonts w:eastAsia="Times New Roman" w:cs="Times New Roman"/>
          <w:color w:val="000000"/>
          <w:szCs w:val="24"/>
        </w:rPr>
        <w:t>”</w:t>
      </w:r>
      <w:r w:rsidR="001140BF" w:rsidRPr="00496FC3">
        <w:rPr>
          <w:rFonts w:eastAsia="Times New Roman" w:cs="Times New Roman"/>
          <w:color w:val="000000"/>
          <w:szCs w:val="24"/>
        </w:rPr>
        <w:t xml:space="preserve">  </w:t>
      </w:r>
      <w:r w:rsidR="001140BF" w:rsidRPr="00496FC3">
        <w:rPr>
          <w:rFonts w:eastAsia="Times New Roman" w:cs="Times New Roman"/>
          <w:i/>
          <w:iCs/>
          <w:color w:val="000000"/>
          <w:szCs w:val="24"/>
        </w:rPr>
        <w:t>Id</w:t>
      </w:r>
      <w:r w:rsidR="001140BF" w:rsidRPr="00496FC3">
        <w:rPr>
          <w:rFonts w:eastAsia="Times New Roman" w:cs="Times New Roman"/>
          <w:color w:val="000000"/>
          <w:szCs w:val="24"/>
        </w:rPr>
        <w:t>. at 1110.</w:t>
      </w:r>
      <w:r w:rsidR="001140BF">
        <w:rPr>
          <w:rFonts w:eastAsia="Times New Roman" w:cs="Times New Roman"/>
          <w:color w:val="000000"/>
          <w:szCs w:val="24"/>
        </w:rPr>
        <w:t xml:space="preserve">  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It is plain error for the court to fail to instruct on each of the two prongs of the Indian status test. </w:t>
      </w:r>
      <w:r w:rsidR="001140BF" w:rsidRPr="00742622">
        <w:rPr>
          <w:rFonts w:eastAsia="Times New Roman" w:cs="Times New Roman"/>
          <w:i/>
          <w:color w:val="000000"/>
          <w:szCs w:val="24"/>
        </w:rPr>
        <w:t xml:space="preserve"> Reza-Ramos</w:t>
      </w:r>
      <w:r w:rsidR="001140BF" w:rsidRPr="00742622">
        <w:rPr>
          <w:rFonts w:eastAsia="Times New Roman" w:cs="Times New Roman"/>
          <w:color w:val="000000"/>
          <w:szCs w:val="24"/>
        </w:rPr>
        <w:t xml:space="preserve">, 816 F.3d at 1123.  </w:t>
      </w:r>
    </w:p>
    <w:p w14:paraId="60B8F3B3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326A015B" w14:textId="50D018EF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Offenses committed within Indian country are identified in 18 U.S.C. § 1153(a) as follows: murder, manslaughter, kidnapping, maiming, a felony under chapter 109A (sexual abuse felonies), incest, </w:t>
      </w:r>
      <w:bookmarkStart w:id="7" w:name="_Hlk112160404"/>
      <w:r w:rsidR="007D0007" w:rsidRPr="007D0007">
        <w:rPr>
          <w:rFonts w:eastAsia="Times New Roman" w:cs="Times New Roman"/>
          <w:color w:val="000000"/>
          <w:szCs w:val="24"/>
          <w:lang w:val="en-CA"/>
        </w:rPr>
        <w:fldChar w:fldCharType="begin"/>
      </w:r>
      <w:r w:rsidR="007D0007" w:rsidRPr="007D0007">
        <w:rPr>
          <w:rFonts w:eastAsia="Times New Roman" w:cs="Times New Roman"/>
          <w:color w:val="000000"/>
          <w:szCs w:val="24"/>
          <w:lang w:val="en-CA"/>
        </w:rPr>
        <w:instrText xml:space="preserve"> SEQ CHAPTER \h \r 1</w:instrText>
      </w:r>
      <w:r w:rsidR="007D0007" w:rsidRPr="007D0007">
        <w:rPr>
          <w:rFonts w:eastAsia="Times New Roman" w:cs="Times New Roman"/>
          <w:color w:val="000000"/>
          <w:szCs w:val="24"/>
        </w:rPr>
        <w:fldChar w:fldCharType="end"/>
      </w:r>
      <w:r w:rsidR="007D0007" w:rsidRPr="007D0007">
        <w:rPr>
          <w:rFonts w:eastAsia="Times New Roman" w:cs="Times New Roman"/>
          <w:color w:val="000000"/>
          <w:szCs w:val="24"/>
        </w:rPr>
        <w:t>a felony assault under §</w:t>
      </w:r>
      <w:bookmarkEnd w:id="7"/>
      <w:r w:rsidR="007D0007" w:rsidRPr="007D0007">
        <w:rPr>
          <w:rFonts w:eastAsia="Times New Roman" w:cs="Times New Roman"/>
          <w:color w:val="000000"/>
          <w:szCs w:val="24"/>
        </w:rPr>
        <w:t> 113,</w:t>
      </w:r>
      <w:r w:rsidR="007D0007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 xml:space="preserve">assault against an individual who has not attained the age of 16 years, </w:t>
      </w:r>
      <w:r w:rsidR="007D0007" w:rsidRPr="007D0007">
        <w:rPr>
          <w:rFonts w:eastAsia="Times New Roman" w:cs="Times New Roman"/>
          <w:color w:val="000000"/>
          <w:szCs w:val="24"/>
          <w:lang w:val="en-CA"/>
        </w:rPr>
        <w:fldChar w:fldCharType="begin"/>
      </w:r>
      <w:r w:rsidR="007D0007" w:rsidRPr="007D0007">
        <w:rPr>
          <w:rFonts w:eastAsia="Times New Roman" w:cs="Times New Roman"/>
          <w:color w:val="000000"/>
          <w:szCs w:val="24"/>
          <w:lang w:val="en-CA"/>
        </w:rPr>
        <w:instrText xml:space="preserve"> SEQ CHAPTER \h \r 1</w:instrText>
      </w:r>
      <w:r w:rsidR="007D0007" w:rsidRPr="007D0007">
        <w:rPr>
          <w:rFonts w:eastAsia="Times New Roman" w:cs="Times New Roman"/>
          <w:color w:val="000000"/>
          <w:szCs w:val="24"/>
        </w:rPr>
        <w:fldChar w:fldCharType="end"/>
      </w:r>
      <w:r w:rsidR="007D0007" w:rsidRPr="007D0007">
        <w:rPr>
          <w:rFonts w:eastAsia="Times New Roman" w:cs="Times New Roman"/>
          <w:color w:val="000000"/>
          <w:szCs w:val="24"/>
        </w:rPr>
        <w:t>felony child abuse or neglect,</w:t>
      </w:r>
      <w:r w:rsidR="007D0007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>arson, burglary, robbery, and a felony under</w:t>
      </w:r>
      <w:r>
        <w:rPr>
          <w:rFonts w:eastAsia="Times New Roman" w:cs="Times New Roman"/>
          <w:color w:val="000000"/>
          <w:szCs w:val="24"/>
        </w:rPr>
        <w:t xml:space="preserve"> §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lastRenderedPageBreak/>
        <w:t>66</w:t>
      </w:r>
      <w:r>
        <w:rPr>
          <w:rFonts w:eastAsia="Times New Roman" w:cs="Times New Roman"/>
          <w:color w:val="000000"/>
          <w:szCs w:val="24"/>
        </w:rPr>
        <w:t>1</w:t>
      </w:r>
      <w:r w:rsidRPr="00742622">
        <w:rPr>
          <w:rFonts w:eastAsia="Times New Roman" w:cs="Times New Roman"/>
          <w:color w:val="000000"/>
          <w:szCs w:val="24"/>
        </w:rPr>
        <w:t xml:space="preserve"> (embezzlement and theft) committed by any Indian against the person or property of another Indian or other person within Indian country.</w:t>
      </w:r>
    </w:p>
    <w:p w14:paraId="27C2D182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77EC2CB5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For the enumerated offenses prosecuted under 18 U.S.C. § 1153, the court should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give</w:t>
      </w:r>
      <w:proofErr w:type="gramEnd"/>
    </w:p>
    <w:p w14:paraId="3A7C1CB5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Instruction </w:t>
      </w:r>
      <w:r>
        <w:rPr>
          <w:rFonts w:eastAsia="Times New Roman" w:cs="Times New Roman"/>
          <w:color w:val="000000"/>
          <w:szCs w:val="24"/>
        </w:rPr>
        <w:t>24.14</w:t>
      </w:r>
      <w:r w:rsidRPr="00742622">
        <w:rPr>
          <w:rFonts w:eastAsia="Times New Roman" w:cs="Times New Roman"/>
          <w:color w:val="000000"/>
          <w:szCs w:val="24"/>
        </w:rPr>
        <w:t xml:space="preserve">, and the jury instruction used for the substantive offense should include two additional elements, as follows: </w:t>
      </w:r>
    </w:p>
    <w:p w14:paraId="46661675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55786403" w14:textId="77777777" w:rsidR="001140BF" w:rsidRPr="00742622" w:rsidRDefault="001140BF" w:rsidP="001140BF">
      <w:pPr>
        <w:ind w:left="720" w:right="720"/>
        <w:jc w:val="both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[Number of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element</w:t>
      </w:r>
      <w:proofErr w:type="gramEnd"/>
      <w:r w:rsidRPr="00742622">
        <w:rPr>
          <w:rFonts w:eastAsia="Times New Roman" w:cs="Times New Roman"/>
          <w:color w:val="000000"/>
          <w:szCs w:val="24"/>
        </w:rPr>
        <w:t>], the [</w:t>
      </w:r>
      <w:r w:rsidRPr="00853BA8">
        <w:rPr>
          <w:i/>
          <w:color w:val="000000"/>
          <w:u w:val="single"/>
        </w:rPr>
        <w:t>specify offense</w:t>
      </w:r>
      <w:r w:rsidRPr="00742622">
        <w:rPr>
          <w:rFonts w:eastAsia="Times New Roman" w:cs="Times New Roman"/>
          <w:color w:val="000000"/>
          <w:szCs w:val="24"/>
        </w:rPr>
        <w:t xml:space="preserve">] occurred at a place within the [name of the Indian Country where the offense </w:t>
      </w:r>
      <w:r>
        <w:rPr>
          <w:rFonts w:eastAsia="Times New Roman" w:cs="Times New Roman"/>
          <w:color w:val="000000"/>
          <w:szCs w:val="24"/>
        </w:rPr>
        <w:t xml:space="preserve">allegedly </w:t>
      </w:r>
      <w:r w:rsidRPr="00742622">
        <w:rPr>
          <w:rFonts w:eastAsia="Times New Roman" w:cs="Times New Roman"/>
          <w:color w:val="000000"/>
          <w:szCs w:val="24"/>
        </w:rPr>
        <w:t>occurred], which I instruct you is in Indian Country.</w:t>
      </w:r>
    </w:p>
    <w:p w14:paraId="06A1BB4F" w14:textId="77777777" w:rsidR="001140BF" w:rsidRPr="00742622" w:rsidRDefault="001140BF" w:rsidP="001140BF">
      <w:pPr>
        <w:ind w:left="720" w:right="720"/>
        <w:jc w:val="both"/>
        <w:rPr>
          <w:rFonts w:eastAsia="Times New Roman" w:cs="Times New Roman"/>
          <w:color w:val="000000"/>
          <w:szCs w:val="24"/>
        </w:rPr>
      </w:pPr>
    </w:p>
    <w:p w14:paraId="059B6E9D" w14:textId="77777777" w:rsidR="001140BF" w:rsidRPr="00742622" w:rsidRDefault="001140BF" w:rsidP="001140BF">
      <w:pPr>
        <w:ind w:left="720" w:right="720"/>
        <w:jc w:val="both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[Number of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element</w:t>
      </w:r>
      <w:proofErr w:type="gramEnd"/>
      <w:r w:rsidRPr="00742622">
        <w:rPr>
          <w:rFonts w:eastAsia="Times New Roman" w:cs="Times New Roman"/>
          <w:color w:val="000000"/>
          <w:szCs w:val="24"/>
        </w:rPr>
        <w:t>], the defendant is an Indian.</w:t>
      </w:r>
    </w:p>
    <w:p w14:paraId="36EF3741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122797A0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Whether the offense occurred at a particular location is a question of fact to be decided</w:t>
      </w:r>
    </w:p>
    <w:p w14:paraId="13F094E4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by the jury, with the court determining the jurisdictional question of whether the location is within Indian </w:t>
      </w:r>
      <w:r>
        <w:rPr>
          <w:rFonts w:eastAsia="Times New Roman" w:cs="Times New Roman"/>
          <w:color w:val="000000"/>
          <w:szCs w:val="24"/>
        </w:rPr>
        <w:t>C</w:t>
      </w:r>
      <w:r w:rsidRPr="00742622">
        <w:rPr>
          <w:rFonts w:eastAsia="Times New Roman" w:cs="Times New Roman"/>
          <w:color w:val="000000"/>
          <w:szCs w:val="24"/>
        </w:rPr>
        <w:t xml:space="preserve">ountry as a question of law.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See 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Gipe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672 F.2d 777, 779 (9th Cir. 1982). </w:t>
      </w:r>
    </w:p>
    <w:p w14:paraId="0F8CB869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248B55DC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court also must instruct the jury of the “declining order of importance” of the four factors used to determine whether the defendant was a member of, or affiliated with, a federally recognized tribe at the time of the offense.  </w:t>
      </w:r>
      <w:r>
        <w:rPr>
          <w:rFonts w:eastAsia="Times New Roman" w:cs="Times New Roman"/>
          <w:i/>
          <w:color w:val="000000"/>
          <w:szCs w:val="24"/>
        </w:rPr>
        <w:t>Zepeda</w:t>
      </w:r>
      <w:r>
        <w:rPr>
          <w:rFonts w:eastAsia="Times New Roman" w:cs="Times New Roman"/>
          <w:iCs/>
          <w:color w:val="000000"/>
          <w:szCs w:val="24"/>
        </w:rPr>
        <w:t>, 729 F.3d</w:t>
      </w:r>
      <w:r w:rsidRPr="00742622">
        <w:rPr>
          <w:rFonts w:eastAsia="Times New Roman" w:cs="Times New Roman"/>
          <w:color w:val="000000"/>
          <w:szCs w:val="24"/>
        </w:rPr>
        <w:t xml:space="preserve"> at 1114.</w:t>
      </w:r>
    </w:p>
    <w:p w14:paraId="106997DD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3DF3C2F1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Whether a tribe is federally recognized is a question of law to be determined by the court.  </w:t>
      </w:r>
      <w:r w:rsidRPr="00742622">
        <w:rPr>
          <w:rFonts w:eastAsia="Times New Roman" w:cs="Times New Roman"/>
          <w:i/>
          <w:color w:val="000000"/>
          <w:szCs w:val="24"/>
        </w:rPr>
        <w:t>Id</w:t>
      </w:r>
      <w:r w:rsidRPr="00742622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742622">
        <w:rPr>
          <w:rFonts w:eastAsia="Times New Roman" w:cs="Times New Roman"/>
          <w:color w:val="000000"/>
          <w:szCs w:val="24"/>
        </w:rPr>
        <w:t>“[T]</w:t>
      </w:r>
      <w:proofErr w:type="gramStart"/>
      <w:r w:rsidRPr="00742622">
        <w:rPr>
          <w:rFonts w:eastAsia="Times New Roman" w:cs="Times New Roman"/>
          <w:color w:val="000000"/>
          <w:szCs w:val="24"/>
        </w:rPr>
        <w:t>he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list of federally recognized tribes [at the time of the offense] prepared by the Bureau of Indian Affairs (BIA) is the best evidence of a tribe’s federal recognition.</w:t>
      </w:r>
      <w:r>
        <w:rPr>
          <w:rFonts w:eastAsia="Times New Roman" w:cs="Times New Roman"/>
          <w:color w:val="000000"/>
          <w:szCs w:val="24"/>
        </w:rPr>
        <w:t>”</w:t>
      </w:r>
      <w:r w:rsidRPr="00742622">
        <w:rPr>
          <w:rFonts w:eastAsia="Times New Roman" w:cs="Times New Roman"/>
          <w:color w:val="000000"/>
          <w:szCs w:val="24"/>
        </w:rPr>
        <w:t xml:space="preserve">  </w:t>
      </w:r>
      <w:r w:rsidRPr="00742622">
        <w:rPr>
          <w:rFonts w:eastAsia="Times New Roman" w:cs="Times New Roman"/>
          <w:i/>
          <w:color w:val="000000"/>
          <w:szCs w:val="24"/>
        </w:rPr>
        <w:t>Reza-Ramos</w:t>
      </w:r>
      <w:r w:rsidRPr="00742622">
        <w:rPr>
          <w:rFonts w:eastAsia="Times New Roman" w:cs="Times New Roman"/>
          <w:color w:val="000000"/>
          <w:szCs w:val="24"/>
        </w:rPr>
        <w:t xml:space="preserve">, 816 F.3d at 1122.  “If the court has found that the tribe of which the government claims the defendant is a member, or with which the defendant is affiliated, is federally recognized, it should inform the jury that the tribe is federally recognized as a matter of law.”  </w:t>
      </w:r>
      <w:r w:rsidRPr="00742622">
        <w:rPr>
          <w:rFonts w:eastAsia="Times New Roman" w:cs="Times New Roman"/>
          <w:i/>
          <w:color w:val="000000"/>
          <w:szCs w:val="24"/>
        </w:rPr>
        <w:t>Zepeda</w:t>
      </w:r>
      <w:r w:rsidRPr="00742622">
        <w:rPr>
          <w:rFonts w:eastAsia="Times New Roman" w:cs="Times New Roman"/>
          <w:color w:val="000000"/>
          <w:szCs w:val="24"/>
        </w:rPr>
        <w:t>, 792 F.3d at 1114-1</w:t>
      </w:r>
      <w:r>
        <w:rPr>
          <w:rFonts w:eastAsia="Times New Roman" w:cs="Times New Roman"/>
          <w:color w:val="000000"/>
          <w:szCs w:val="24"/>
        </w:rPr>
        <w:t>5</w:t>
      </w:r>
      <w:r w:rsidRPr="00742622">
        <w:rPr>
          <w:rFonts w:eastAsia="Times New Roman" w:cs="Times New Roman"/>
          <w:color w:val="000000"/>
          <w:szCs w:val="24"/>
        </w:rPr>
        <w:t>.</w:t>
      </w:r>
    </w:p>
    <w:p w14:paraId="4B8A603B" w14:textId="77777777" w:rsidR="001140BF" w:rsidRPr="00742622" w:rsidRDefault="001140BF" w:rsidP="001140BF">
      <w:pPr>
        <w:rPr>
          <w:rFonts w:eastAsia="Times New Roman" w:cs="Times New Roman"/>
          <w:color w:val="000000"/>
          <w:szCs w:val="24"/>
        </w:rPr>
      </w:pPr>
    </w:p>
    <w:p w14:paraId="169A989E" w14:textId="4A7C1FF9" w:rsidR="001140BF" w:rsidRPr="00F114A4" w:rsidRDefault="001140BF" w:rsidP="001140BF">
      <w:pPr>
        <w:jc w:val="right"/>
        <w:rPr>
          <w:rFonts w:eastAsia="Times New Roman" w:cs="Times New Roman"/>
          <w:i/>
          <w:iCs/>
          <w:szCs w:val="24"/>
        </w:rPr>
      </w:pPr>
      <w:r w:rsidRPr="00F114A4">
        <w:rPr>
          <w:rFonts w:eastAsia="Times New Roman" w:cs="Times New Roman"/>
          <w:i/>
          <w:iCs/>
          <w:szCs w:val="24"/>
        </w:rPr>
        <w:t xml:space="preserve">Revised </w:t>
      </w:r>
      <w:r w:rsidR="007D0007">
        <w:rPr>
          <w:rFonts w:eastAsia="Times New Roman" w:cs="Times New Roman"/>
          <w:i/>
          <w:iCs/>
          <w:szCs w:val="24"/>
        </w:rPr>
        <w:t>Dec</w:t>
      </w:r>
      <w:r w:rsidR="009941F9">
        <w:rPr>
          <w:rFonts w:eastAsia="Times New Roman" w:cs="Times New Roman"/>
          <w:i/>
          <w:iCs/>
          <w:szCs w:val="24"/>
        </w:rPr>
        <w:t>.</w:t>
      </w:r>
      <w:r w:rsidR="007D0007">
        <w:rPr>
          <w:rFonts w:eastAsia="Times New Roman" w:cs="Times New Roman"/>
          <w:i/>
          <w:iCs/>
          <w:szCs w:val="24"/>
        </w:rPr>
        <w:t xml:space="preserve"> 2023</w:t>
      </w:r>
    </w:p>
    <w:p w14:paraId="201832FC" w14:textId="43DDAF6D" w:rsidR="009835CD" w:rsidRPr="009835CD" w:rsidRDefault="009835CD" w:rsidP="001140BF">
      <w:pPr>
        <w:rPr>
          <w:rFonts w:eastAsia="Times New Roman" w:cs="Times New Roman"/>
          <w:i/>
          <w:color w:val="000000"/>
          <w:szCs w:val="24"/>
        </w:rPr>
      </w:pPr>
    </w:p>
    <w:p w14:paraId="5B68C270" w14:textId="77777777" w:rsidR="009835CD" w:rsidRPr="009835CD" w:rsidRDefault="009835CD" w:rsidP="009835CD">
      <w:pPr>
        <w:jc w:val="right"/>
        <w:rPr>
          <w:rFonts w:eastAsia="Times New Roman" w:cs="Times New Roman"/>
          <w:i/>
          <w:color w:val="000000"/>
          <w:szCs w:val="24"/>
        </w:rPr>
      </w:pPr>
    </w:p>
    <w:p w14:paraId="0ACE18C0" w14:textId="0ED1465A" w:rsidR="00C97E04" w:rsidRPr="009835CD" w:rsidRDefault="00C97E04" w:rsidP="009835CD"/>
    <w:sectPr w:rsidR="00C97E04" w:rsidRPr="0098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43E4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40BF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810F9"/>
    <w:rsid w:val="00287F3D"/>
    <w:rsid w:val="00292D67"/>
    <w:rsid w:val="00294291"/>
    <w:rsid w:val="002A2182"/>
    <w:rsid w:val="002A23F9"/>
    <w:rsid w:val="002B10E9"/>
    <w:rsid w:val="002B4922"/>
    <w:rsid w:val="002B628A"/>
    <w:rsid w:val="002C008C"/>
    <w:rsid w:val="002C3980"/>
    <w:rsid w:val="002D2353"/>
    <w:rsid w:val="002D6651"/>
    <w:rsid w:val="002E3462"/>
    <w:rsid w:val="002E3B42"/>
    <w:rsid w:val="002F03D9"/>
    <w:rsid w:val="002F2125"/>
    <w:rsid w:val="00311B89"/>
    <w:rsid w:val="00313053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810FD"/>
    <w:rsid w:val="004A1026"/>
    <w:rsid w:val="004A2CFB"/>
    <w:rsid w:val="004A511C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114A9"/>
    <w:rsid w:val="00611990"/>
    <w:rsid w:val="00623212"/>
    <w:rsid w:val="00641770"/>
    <w:rsid w:val="0064376E"/>
    <w:rsid w:val="00646A26"/>
    <w:rsid w:val="006537B3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26E3"/>
    <w:rsid w:val="006E4558"/>
    <w:rsid w:val="006E580B"/>
    <w:rsid w:val="007008EB"/>
    <w:rsid w:val="00703896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000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15B6"/>
    <w:rsid w:val="0090436C"/>
    <w:rsid w:val="00905381"/>
    <w:rsid w:val="00906160"/>
    <w:rsid w:val="009131BF"/>
    <w:rsid w:val="00914718"/>
    <w:rsid w:val="009154C0"/>
    <w:rsid w:val="00924C8D"/>
    <w:rsid w:val="00941F25"/>
    <w:rsid w:val="00946C64"/>
    <w:rsid w:val="00960109"/>
    <w:rsid w:val="00960C76"/>
    <w:rsid w:val="00970FDC"/>
    <w:rsid w:val="00970FFD"/>
    <w:rsid w:val="009835CD"/>
    <w:rsid w:val="00986161"/>
    <w:rsid w:val="009864D4"/>
    <w:rsid w:val="00986D15"/>
    <w:rsid w:val="009940D5"/>
    <w:rsid w:val="009941F9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A2B06"/>
    <w:rsid w:val="00AD61D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436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36BB4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000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4</cp:revision>
  <dcterms:created xsi:type="dcterms:W3CDTF">2024-01-26T00:21:00Z</dcterms:created>
  <dcterms:modified xsi:type="dcterms:W3CDTF">2024-02-28T19:07:00Z</dcterms:modified>
</cp:coreProperties>
</file>