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F007" w14:textId="77777777" w:rsidR="00AE158F" w:rsidRPr="00AE158F" w:rsidRDefault="00AE158F" w:rsidP="00AE158F">
      <w:pPr>
        <w:autoSpaceDE w:val="0"/>
        <w:autoSpaceDN w:val="0"/>
        <w:adjustRightInd w:val="0"/>
        <w:ind w:left="420" w:hanging="240"/>
        <w:jc w:val="center"/>
        <w:outlineLvl w:val="1"/>
        <w:rPr>
          <w:rFonts w:cs="Times New Roman"/>
          <w:b/>
          <w:bCs/>
          <w:szCs w:val="24"/>
        </w:rPr>
      </w:pPr>
      <w:bookmarkStart w:id="0" w:name="_Toc73698858"/>
      <w:bookmarkStart w:id="1" w:name="_Toc83310929"/>
      <w:bookmarkStart w:id="2" w:name="_Toc83362714"/>
      <w:bookmarkStart w:id="3" w:name="_Toc83363123"/>
      <w:bookmarkStart w:id="4" w:name="_Toc90310182"/>
      <w:bookmarkStart w:id="5" w:name="_Toc90390040"/>
      <w:bookmarkStart w:id="6" w:name="_Toc90860620"/>
      <w:bookmarkStart w:id="7" w:name="_Hlk90572326"/>
      <w:r w:rsidRPr="00AE158F">
        <w:rPr>
          <w:rFonts w:cs="Times New Roman"/>
          <w:b/>
          <w:bCs/>
          <w:szCs w:val="24"/>
        </w:rPr>
        <w:t>24.16 Subornation of Perjury (18 U.S.C. § 1622)</w:t>
      </w:r>
      <w:bookmarkEnd w:id="0"/>
      <w:bookmarkEnd w:id="1"/>
      <w:bookmarkEnd w:id="2"/>
      <w:bookmarkEnd w:id="3"/>
      <w:bookmarkEnd w:id="4"/>
      <w:bookmarkEnd w:id="5"/>
      <w:bookmarkEnd w:id="6"/>
    </w:p>
    <w:p w14:paraId="73A7F69C" w14:textId="77777777" w:rsidR="00AE158F" w:rsidRPr="00AE158F" w:rsidRDefault="00AE158F" w:rsidP="00AE158F">
      <w:pPr>
        <w:rPr>
          <w:rFonts w:eastAsia="Times New Roman" w:cs="Times New Roman"/>
          <w:color w:val="000000"/>
          <w:szCs w:val="24"/>
        </w:rPr>
      </w:pPr>
    </w:p>
    <w:p w14:paraId="0DACB61C"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The defendant is charged in [Count _______ of] the indictment with subornation of perjury in violation of Section 1622 of Title 18 of the United States Code.  For the defendant to be found guilty of that charge, the government must prove each of the following elements beyond a reasonable doubt:</w:t>
      </w:r>
    </w:p>
    <w:p w14:paraId="35D31854" w14:textId="77777777" w:rsidR="00AE158F" w:rsidRPr="00AE158F" w:rsidRDefault="00AE158F" w:rsidP="00AE158F">
      <w:pPr>
        <w:rPr>
          <w:rFonts w:eastAsia="Times New Roman" w:cs="Times New Roman"/>
          <w:color w:val="000000"/>
          <w:szCs w:val="24"/>
        </w:rPr>
      </w:pPr>
    </w:p>
    <w:p w14:paraId="7E592547" w14:textId="0394783D"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First, the defendant voluntarily and intentionally persuaded [</w:t>
      </w:r>
      <w:r w:rsidRPr="00AE158F">
        <w:rPr>
          <w:rFonts w:eastAsia="Times New Roman" w:cs="Times New Roman"/>
          <w:i/>
          <w:color w:val="000000"/>
          <w:szCs w:val="24"/>
          <w:u w:val="single"/>
        </w:rPr>
        <w:t>name of witness</w:t>
      </w:r>
      <w:r w:rsidRPr="00AE158F">
        <w:rPr>
          <w:rFonts w:eastAsia="Times New Roman" w:cs="Times New Roman"/>
          <w:color w:val="000000"/>
          <w:szCs w:val="24"/>
        </w:rPr>
        <w:t xml:space="preserve">] to commit </w:t>
      </w:r>
      <w:proofErr w:type="gramStart"/>
      <w:r w:rsidRPr="00AE158F">
        <w:rPr>
          <w:rFonts w:eastAsia="Times New Roman" w:cs="Times New Roman"/>
          <w:color w:val="000000"/>
          <w:szCs w:val="24"/>
        </w:rPr>
        <w:t>perjury;</w:t>
      </w:r>
      <w:proofErr w:type="gramEnd"/>
      <w:r w:rsidRPr="00AE158F">
        <w:rPr>
          <w:rFonts w:eastAsia="Times New Roman" w:cs="Times New Roman"/>
          <w:color w:val="000000"/>
          <w:szCs w:val="24"/>
        </w:rPr>
        <w:t xml:space="preserve"> </w:t>
      </w:r>
    </w:p>
    <w:p w14:paraId="3CF82209" w14:textId="77777777" w:rsidR="00AE158F" w:rsidRPr="00AE158F" w:rsidRDefault="00AE158F" w:rsidP="00AE158F">
      <w:pPr>
        <w:rPr>
          <w:rFonts w:eastAsia="Times New Roman" w:cs="Times New Roman"/>
          <w:color w:val="000000"/>
          <w:szCs w:val="24"/>
        </w:rPr>
      </w:pPr>
    </w:p>
    <w:p w14:paraId="163E75E2"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Second, the defendant acted with the intent that [</w:t>
      </w:r>
      <w:r w:rsidRPr="00AE158F">
        <w:rPr>
          <w:rFonts w:eastAsia="Times New Roman" w:cs="Times New Roman"/>
          <w:i/>
          <w:color w:val="000000"/>
          <w:szCs w:val="24"/>
          <w:u w:val="single"/>
        </w:rPr>
        <w:t>name of witness</w:t>
      </w:r>
      <w:r w:rsidRPr="00AE158F">
        <w:rPr>
          <w:rFonts w:eastAsia="Times New Roman" w:cs="Times New Roman"/>
          <w:color w:val="000000"/>
          <w:szCs w:val="24"/>
        </w:rPr>
        <w:t>] would deceive the [court] [jury]; and</w:t>
      </w:r>
    </w:p>
    <w:p w14:paraId="753D24EF" w14:textId="77777777" w:rsidR="00AE158F" w:rsidRPr="00AE158F" w:rsidRDefault="00AE158F" w:rsidP="00AE158F">
      <w:pPr>
        <w:rPr>
          <w:rFonts w:eastAsia="Times New Roman" w:cs="Times New Roman"/>
          <w:color w:val="000000"/>
          <w:szCs w:val="24"/>
        </w:rPr>
      </w:pPr>
    </w:p>
    <w:p w14:paraId="45BEC9C1"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Third, [</w:t>
      </w:r>
      <w:r w:rsidRPr="00AE158F">
        <w:rPr>
          <w:rFonts w:eastAsia="Times New Roman" w:cs="Times New Roman"/>
          <w:i/>
          <w:color w:val="000000"/>
          <w:szCs w:val="24"/>
          <w:u w:val="single"/>
        </w:rPr>
        <w:t>name of witness</w:t>
      </w:r>
      <w:r w:rsidRPr="00AE158F">
        <w:rPr>
          <w:rFonts w:eastAsia="Times New Roman" w:cs="Times New Roman"/>
          <w:color w:val="000000"/>
          <w:szCs w:val="24"/>
        </w:rPr>
        <w:t>] committed perjury in that:</w:t>
      </w:r>
    </w:p>
    <w:p w14:paraId="434EBE5D" w14:textId="77777777" w:rsidR="00AE158F" w:rsidRPr="00AE158F" w:rsidRDefault="00AE158F" w:rsidP="00AE158F">
      <w:pPr>
        <w:rPr>
          <w:rFonts w:eastAsia="Times New Roman" w:cs="Times New Roman"/>
          <w:color w:val="000000"/>
          <w:szCs w:val="24"/>
        </w:rPr>
      </w:pPr>
    </w:p>
    <w:p w14:paraId="3EE9DA0A" w14:textId="77777777" w:rsidR="00AE158F" w:rsidRPr="00AE158F" w:rsidRDefault="00AE158F" w:rsidP="00AE158F">
      <w:pPr>
        <w:ind w:left="1440" w:hanging="720"/>
        <w:rPr>
          <w:rFonts w:eastAsia="Times New Roman" w:cs="Times New Roman"/>
          <w:color w:val="000000"/>
          <w:szCs w:val="24"/>
        </w:rPr>
      </w:pPr>
      <w:r w:rsidRPr="00AE158F">
        <w:rPr>
          <w:rFonts w:eastAsia="Times New Roman" w:cs="Times New Roman"/>
          <w:color w:val="000000"/>
          <w:szCs w:val="24"/>
        </w:rPr>
        <w:t>(a)</w:t>
      </w:r>
      <w:r w:rsidRPr="00AE158F">
        <w:rPr>
          <w:rFonts w:eastAsia="Times New Roman" w:cs="Times New Roman"/>
          <w:color w:val="000000"/>
          <w:szCs w:val="24"/>
        </w:rPr>
        <w:tab/>
        <w:t>[he] [she] testified under oath or affirmation at [</w:t>
      </w:r>
      <w:r w:rsidRPr="00AE158F">
        <w:rPr>
          <w:rFonts w:eastAsia="Times New Roman" w:cs="Times New Roman"/>
          <w:i/>
          <w:color w:val="000000"/>
          <w:szCs w:val="24"/>
          <w:u w:val="single"/>
        </w:rPr>
        <w:t>describe proceeding</w:t>
      </w:r>
      <w:r w:rsidRPr="00AE158F">
        <w:rPr>
          <w:rFonts w:eastAsia="Times New Roman" w:cs="Times New Roman"/>
          <w:color w:val="000000"/>
          <w:szCs w:val="24"/>
        </w:rPr>
        <w:t>] that [</w:t>
      </w:r>
      <w:r w:rsidRPr="00AE158F">
        <w:rPr>
          <w:rFonts w:eastAsia="Times New Roman" w:cs="Times New Roman"/>
          <w:i/>
          <w:color w:val="000000"/>
          <w:szCs w:val="24"/>
          <w:u w:val="single"/>
        </w:rPr>
        <w:t>specify alleged false testimony</w:t>
      </w:r>
      <w:proofErr w:type="gramStart"/>
      <w:r w:rsidRPr="00AE158F">
        <w:rPr>
          <w:rFonts w:eastAsia="Times New Roman" w:cs="Times New Roman"/>
          <w:color w:val="000000"/>
          <w:szCs w:val="24"/>
        </w:rPr>
        <w:t>];</w:t>
      </w:r>
      <w:proofErr w:type="gramEnd"/>
    </w:p>
    <w:p w14:paraId="2C5E8CD2" w14:textId="77777777" w:rsidR="00AE158F" w:rsidRPr="00AE158F" w:rsidRDefault="00AE158F" w:rsidP="00AE158F">
      <w:pPr>
        <w:ind w:left="1440" w:hanging="720"/>
        <w:rPr>
          <w:rFonts w:eastAsia="Times New Roman" w:cs="Times New Roman"/>
          <w:color w:val="000000"/>
          <w:szCs w:val="24"/>
        </w:rPr>
      </w:pPr>
    </w:p>
    <w:p w14:paraId="424D304D" w14:textId="77777777" w:rsidR="00AE158F" w:rsidRPr="00AE158F" w:rsidRDefault="00AE158F" w:rsidP="00AE158F">
      <w:pPr>
        <w:ind w:left="1440" w:hanging="720"/>
        <w:rPr>
          <w:rFonts w:eastAsia="Times New Roman" w:cs="Times New Roman"/>
          <w:color w:val="000000"/>
          <w:szCs w:val="24"/>
        </w:rPr>
      </w:pPr>
      <w:r w:rsidRPr="00AE158F">
        <w:rPr>
          <w:rFonts w:eastAsia="Times New Roman" w:cs="Times New Roman"/>
          <w:color w:val="000000"/>
          <w:szCs w:val="24"/>
        </w:rPr>
        <w:t>(b)</w:t>
      </w:r>
      <w:r w:rsidRPr="00AE158F">
        <w:rPr>
          <w:rFonts w:eastAsia="Times New Roman" w:cs="Times New Roman"/>
          <w:color w:val="000000"/>
          <w:szCs w:val="24"/>
        </w:rPr>
        <w:tab/>
        <w:t xml:space="preserve">the testimony given was </w:t>
      </w:r>
      <w:proofErr w:type="gramStart"/>
      <w:r w:rsidRPr="00AE158F">
        <w:rPr>
          <w:rFonts w:eastAsia="Times New Roman" w:cs="Times New Roman"/>
          <w:color w:val="000000"/>
          <w:szCs w:val="24"/>
        </w:rPr>
        <w:t>false[</w:t>
      </w:r>
      <w:proofErr w:type="gramEnd"/>
      <w:r w:rsidRPr="00AE158F">
        <w:rPr>
          <w:rFonts w:eastAsia="Times New Roman" w:cs="Times New Roman"/>
          <w:color w:val="000000"/>
          <w:szCs w:val="24"/>
        </w:rPr>
        <w:t>, with all of you agreeing at to which statement was false];</w:t>
      </w:r>
    </w:p>
    <w:p w14:paraId="2642D5E9" w14:textId="77777777" w:rsidR="00AE158F" w:rsidRPr="00AE158F" w:rsidRDefault="00AE158F" w:rsidP="00AE158F">
      <w:pPr>
        <w:ind w:left="1440" w:hanging="720"/>
        <w:rPr>
          <w:rFonts w:eastAsia="Times New Roman" w:cs="Times New Roman"/>
          <w:color w:val="000000"/>
          <w:szCs w:val="24"/>
        </w:rPr>
      </w:pPr>
    </w:p>
    <w:p w14:paraId="6D15209C" w14:textId="77777777" w:rsidR="00AE158F" w:rsidRPr="00AE158F" w:rsidRDefault="00AE158F" w:rsidP="00AE158F">
      <w:pPr>
        <w:ind w:left="1440" w:hanging="720"/>
        <w:rPr>
          <w:rFonts w:eastAsia="Times New Roman" w:cs="Times New Roman"/>
          <w:color w:val="000000"/>
          <w:szCs w:val="24"/>
        </w:rPr>
      </w:pPr>
      <w:r w:rsidRPr="00AE158F">
        <w:rPr>
          <w:rFonts w:eastAsia="Times New Roman" w:cs="Times New Roman"/>
          <w:color w:val="000000"/>
          <w:szCs w:val="24"/>
        </w:rPr>
        <w:t>(c)</w:t>
      </w:r>
      <w:r w:rsidRPr="00AE158F">
        <w:rPr>
          <w:rFonts w:eastAsia="Times New Roman" w:cs="Times New Roman"/>
          <w:color w:val="000000"/>
          <w:szCs w:val="24"/>
        </w:rPr>
        <w:tab/>
        <w:t>at the time [</w:t>
      </w:r>
      <w:r w:rsidRPr="00AE158F">
        <w:rPr>
          <w:rFonts w:eastAsia="Times New Roman" w:cs="Times New Roman"/>
          <w:i/>
          <w:color w:val="000000"/>
          <w:szCs w:val="24"/>
          <w:u w:val="single"/>
        </w:rPr>
        <w:t>name of witness</w:t>
      </w:r>
      <w:r w:rsidRPr="00AE158F">
        <w:rPr>
          <w:rFonts w:eastAsia="Times New Roman" w:cs="Times New Roman"/>
          <w:color w:val="000000"/>
          <w:szCs w:val="24"/>
        </w:rPr>
        <w:t>] testified, [he] [she] knew the testimony was false; and</w:t>
      </w:r>
    </w:p>
    <w:p w14:paraId="5E910020" w14:textId="77777777" w:rsidR="00AE158F" w:rsidRPr="00AE158F" w:rsidRDefault="00AE158F" w:rsidP="00AE158F">
      <w:pPr>
        <w:ind w:left="1440" w:hanging="720"/>
        <w:rPr>
          <w:rFonts w:eastAsia="Times New Roman" w:cs="Times New Roman"/>
          <w:color w:val="000000"/>
          <w:szCs w:val="24"/>
        </w:rPr>
      </w:pPr>
    </w:p>
    <w:p w14:paraId="7BBEA469" w14:textId="77777777" w:rsidR="00AE158F" w:rsidRPr="00AE158F" w:rsidRDefault="00AE158F" w:rsidP="00AE158F">
      <w:pPr>
        <w:ind w:left="1440" w:hanging="720"/>
        <w:rPr>
          <w:rFonts w:eastAsia="Times New Roman" w:cs="Times New Roman"/>
          <w:color w:val="000000"/>
          <w:szCs w:val="24"/>
        </w:rPr>
      </w:pPr>
      <w:r w:rsidRPr="00AE158F">
        <w:rPr>
          <w:rFonts w:eastAsia="Times New Roman" w:cs="Times New Roman"/>
          <w:color w:val="000000"/>
          <w:szCs w:val="24"/>
        </w:rPr>
        <w:t>(d)</w:t>
      </w:r>
      <w:r w:rsidRPr="00AE158F">
        <w:rPr>
          <w:rFonts w:eastAsia="Times New Roman" w:cs="Times New Roman"/>
          <w:color w:val="000000"/>
          <w:szCs w:val="24"/>
        </w:rPr>
        <w:tab/>
        <w:t>the false testimony was material to the matter before the [court] [grand jury]; that is, the testimony had a natural tendency to influence, or was capable of influencing, the actions of [</w:t>
      </w:r>
      <w:r w:rsidRPr="00AE158F">
        <w:rPr>
          <w:rFonts w:eastAsia="Times New Roman" w:cs="Times New Roman"/>
          <w:i/>
          <w:color w:val="000000"/>
          <w:szCs w:val="24"/>
          <w:u w:val="single"/>
        </w:rPr>
        <w:t>specify, for example:</w:t>
      </w:r>
      <w:r w:rsidRPr="00AE158F">
        <w:rPr>
          <w:rFonts w:eastAsia="Times New Roman" w:cs="Times New Roman"/>
          <w:color w:val="000000"/>
          <w:szCs w:val="24"/>
        </w:rPr>
        <w:t xml:space="preserve"> the grand jury]. </w:t>
      </w:r>
    </w:p>
    <w:p w14:paraId="5BB659B6" w14:textId="77777777" w:rsidR="00AE158F" w:rsidRPr="00AE158F" w:rsidRDefault="00AE158F" w:rsidP="00AE158F">
      <w:pPr>
        <w:rPr>
          <w:rFonts w:eastAsia="Times New Roman" w:cs="Times New Roman"/>
          <w:color w:val="000000"/>
          <w:szCs w:val="24"/>
        </w:rPr>
      </w:pPr>
    </w:p>
    <w:p w14:paraId="7D9C87D6" w14:textId="77777777" w:rsidR="00AE158F" w:rsidRPr="00AE158F" w:rsidRDefault="00AE158F" w:rsidP="00AE158F">
      <w:pPr>
        <w:ind w:right="-180"/>
        <w:jc w:val="center"/>
        <w:rPr>
          <w:rFonts w:eastAsia="Times New Roman" w:cs="Times New Roman"/>
          <w:color w:val="000000"/>
          <w:szCs w:val="24"/>
        </w:rPr>
      </w:pPr>
      <w:r w:rsidRPr="00AE158F">
        <w:rPr>
          <w:rFonts w:eastAsia="Times New Roman" w:cs="Times New Roman"/>
          <w:b/>
          <w:color w:val="000000"/>
          <w:szCs w:val="24"/>
        </w:rPr>
        <w:t>Comment</w:t>
      </w:r>
    </w:p>
    <w:p w14:paraId="79140C15" w14:textId="77777777" w:rsidR="00AE158F" w:rsidRPr="00AE158F" w:rsidRDefault="00AE158F" w:rsidP="00AE158F">
      <w:pPr>
        <w:rPr>
          <w:rFonts w:eastAsia="Times New Roman" w:cs="Times New Roman"/>
          <w:color w:val="000000"/>
          <w:szCs w:val="24"/>
        </w:rPr>
      </w:pPr>
    </w:p>
    <w:p w14:paraId="11207ED6"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r>
      <w:r w:rsidRPr="00AE158F">
        <w:rPr>
          <w:rFonts w:eastAsia="Times New Roman" w:cs="Times New Roman"/>
          <w:i/>
          <w:color w:val="000000"/>
          <w:szCs w:val="24"/>
        </w:rPr>
        <w:t>See</w:t>
      </w:r>
      <w:r w:rsidRPr="00AE158F">
        <w:rPr>
          <w:rFonts w:eastAsia="Times New Roman" w:cs="Times New Roman"/>
          <w:color w:val="000000"/>
          <w:szCs w:val="24"/>
        </w:rPr>
        <w:t xml:space="preserve"> Comment to Instruction 24.15 (Perjury—Testimony).</w:t>
      </w:r>
    </w:p>
    <w:p w14:paraId="26AE9F4D" w14:textId="77777777" w:rsidR="00AE158F" w:rsidRPr="00AE158F" w:rsidRDefault="00AE158F" w:rsidP="00AE158F">
      <w:pPr>
        <w:rPr>
          <w:rFonts w:eastAsia="Times New Roman" w:cs="Times New Roman"/>
          <w:color w:val="000000"/>
          <w:szCs w:val="24"/>
        </w:rPr>
      </w:pPr>
    </w:p>
    <w:p w14:paraId="1422125C" w14:textId="22FFED79"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 xml:space="preserve">The bracketed language in subpart (b) of the third element of this instruction should be given when the indictment charges that the defendant made more than one false statement.  </w:t>
      </w:r>
      <w:r w:rsidRPr="00AE158F">
        <w:rPr>
          <w:rFonts w:eastAsia="Times New Roman" w:cs="Times New Roman"/>
          <w:i/>
          <w:color w:val="000000"/>
          <w:szCs w:val="24"/>
        </w:rPr>
        <w:t>See Vitello v. United States</w:t>
      </w:r>
      <w:r w:rsidRPr="00AE158F">
        <w:rPr>
          <w:rFonts w:eastAsia="Times New Roman" w:cs="Times New Roman"/>
          <w:color w:val="000000"/>
          <w:szCs w:val="24"/>
        </w:rPr>
        <w:t>, 425 F.2d 416, 423 (9th Cir. 1970</w:t>
      </w:r>
      <w:proofErr w:type="gramStart"/>
      <w:r w:rsidRPr="00AE158F">
        <w:rPr>
          <w:rFonts w:eastAsia="Times New Roman" w:cs="Times New Roman"/>
          <w:color w:val="000000"/>
          <w:szCs w:val="24"/>
        </w:rPr>
        <w:t>)</w:t>
      </w:r>
      <w:r w:rsidR="0061141C">
        <w:rPr>
          <w:rFonts w:eastAsia="Times New Roman" w:cs="Times New Roman"/>
          <w:color w:val="000000"/>
          <w:szCs w:val="24"/>
        </w:rPr>
        <w:t>;</w:t>
      </w:r>
      <w:r w:rsidRPr="00AE158F">
        <w:rPr>
          <w:rFonts w:eastAsia="Times New Roman" w:cs="Times New Roman"/>
          <w:i/>
          <w:color w:val="000000"/>
          <w:szCs w:val="24"/>
        </w:rPr>
        <w:t xml:space="preserve">  </w:t>
      </w:r>
      <w:r w:rsidR="0061141C">
        <w:rPr>
          <w:rFonts w:eastAsia="Times New Roman" w:cs="Times New Roman"/>
          <w:i/>
          <w:color w:val="000000"/>
          <w:szCs w:val="24"/>
        </w:rPr>
        <w:t>s</w:t>
      </w:r>
      <w:r w:rsidRPr="00AE158F">
        <w:rPr>
          <w:rFonts w:eastAsia="Times New Roman" w:cs="Times New Roman"/>
          <w:i/>
          <w:color w:val="000000"/>
          <w:szCs w:val="24"/>
        </w:rPr>
        <w:t>ee</w:t>
      </w:r>
      <w:proofErr w:type="gramEnd"/>
      <w:r w:rsidRPr="00AE158F">
        <w:rPr>
          <w:rFonts w:eastAsia="Times New Roman" w:cs="Times New Roman"/>
          <w:i/>
          <w:color w:val="000000"/>
          <w:szCs w:val="24"/>
        </w:rPr>
        <w:t xml:space="preserve"> also</w:t>
      </w:r>
      <w:r w:rsidRPr="00AE158F">
        <w:rPr>
          <w:rFonts w:eastAsia="Times New Roman" w:cs="Times New Roman"/>
          <w:color w:val="000000"/>
          <w:szCs w:val="24"/>
        </w:rPr>
        <w:t xml:space="preserve"> Instruction 6.27 (Specific Issue Unanimity).</w:t>
      </w:r>
    </w:p>
    <w:p w14:paraId="7A270E89" w14:textId="77777777" w:rsidR="00AE158F" w:rsidRPr="00AE158F" w:rsidRDefault="00AE158F" w:rsidP="00AE158F">
      <w:pPr>
        <w:rPr>
          <w:rFonts w:eastAsia="Times New Roman" w:cs="Times New Roman"/>
          <w:color w:val="000000"/>
          <w:szCs w:val="24"/>
        </w:rPr>
      </w:pPr>
    </w:p>
    <w:p w14:paraId="4765AA09"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 xml:space="preserve">Language in the instruction concerning corroboration is not required when a defendant is accused of a violation of 18 U.S.C. § 1623 but is required under 18 U.S.C. § 1621.  </w:t>
      </w:r>
      <w:r w:rsidRPr="00AE158F">
        <w:rPr>
          <w:rFonts w:eastAsia="Times New Roman" w:cs="Times New Roman"/>
          <w:i/>
          <w:color w:val="000000"/>
          <w:szCs w:val="24"/>
        </w:rPr>
        <w:t>See</w:t>
      </w:r>
      <w:r w:rsidRPr="00AE158F">
        <w:rPr>
          <w:rFonts w:eastAsia="Times New Roman" w:cs="Times New Roman"/>
          <w:color w:val="000000"/>
          <w:szCs w:val="24"/>
        </w:rPr>
        <w:t xml:space="preserve"> Instruction 24.15 (Perjury—Testimony).</w:t>
      </w:r>
    </w:p>
    <w:p w14:paraId="2238F64F" w14:textId="77777777" w:rsidR="00AE158F" w:rsidRPr="00AE158F" w:rsidRDefault="00AE158F" w:rsidP="00AE158F">
      <w:pPr>
        <w:rPr>
          <w:rFonts w:eastAsia="Times New Roman" w:cs="Times New Roman"/>
          <w:color w:val="000000"/>
          <w:szCs w:val="24"/>
        </w:rPr>
      </w:pPr>
    </w:p>
    <w:p w14:paraId="7E4E02C5"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 xml:space="preserve">The Supreme Court has held that materiality is a question of fact for the jury.  </w:t>
      </w:r>
      <w:r w:rsidRPr="00AE158F">
        <w:rPr>
          <w:rFonts w:eastAsia="Times New Roman" w:cs="Times New Roman"/>
          <w:i/>
          <w:iCs/>
          <w:color w:val="000000"/>
          <w:szCs w:val="24"/>
        </w:rPr>
        <w:t>See</w:t>
      </w:r>
      <w:r w:rsidRPr="00AE158F">
        <w:rPr>
          <w:rFonts w:eastAsia="Times New Roman" w:cs="Times New Roman"/>
          <w:color w:val="000000"/>
          <w:szCs w:val="24"/>
        </w:rPr>
        <w:t xml:space="preserve"> </w:t>
      </w:r>
      <w:r w:rsidRPr="00AE158F">
        <w:rPr>
          <w:rFonts w:eastAsia="Times New Roman" w:cs="Times New Roman"/>
          <w:i/>
          <w:color w:val="000000"/>
          <w:szCs w:val="24"/>
        </w:rPr>
        <w:t>Johnson v. United States</w:t>
      </w:r>
      <w:r w:rsidRPr="00AE158F">
        <w:rPr>
          <w:rFonts w:eastAsia="Times New Roman" w:cs="Times New Roman"/>
          <w:color w:val="000000"/>
          <w:szCs w:val="24"/>
        </w:rPr>
        <w:t xml:space="preserve">, 520 U.S. 461, 465-66 (1997) (discussing materiality of false statements in context of perjury).  Accordingly, it is necessary to include materiality as an element of the offense in this instruction.  The common law test for materiality in the false statement statutes, as </w:t>
      </w:r>
      <w:r w:rsidRPr="00AE158F">
        <w:rPr>
          <w:rFonts w:eastAsia="Times New Roman" w:cs="Times New Roman"/>
          <w:color w:val="000000"/>
          <w:szCs w:val="24"/>
        </w:rPr>
        <w:lastRenderedPageBreak/>
        <w:t xml:space="preserve">reflected in the third element of this instruction, is the preferred formulation.  </w:t>
      </w:r>
      <w:r w:rsidRPr="00AE158F">
        <w:rPr>
          <w:rFonts w:eastAsia="Times New Roman" w:cs="Times New Roman"/>
          <w:i/>
          <w:iCs/>
          <w:color w:val="000000"/>
          <w:szCs w:val="24"/>
        </w:rPr>
        <w:t>See</w:t>
      </w:r>
      <w:r w:rsidRPr="00AE158F">
        <w:rPr>
          <w:rFonts w:eastAsia="Times New Roman" w:cs="Times New Roman"/>
          <w:color w:val="000000"/>
          <w:szCs w:val="24"/>
        </w:rPr>
        <w:t xml:space="preserve"> </w:t>
      </w:r>
      <w:r w:rsidRPr="00AE158F">
        <w:rPr>
          <w:rFonts w:eastAsia="Times New Roman" w:cs="Times New Roman"/>
          <w:i/>
          <w:color w:val="000000"/>
          <w:szCs w:val="24"/>
        </w:rPr>
        <w:t>United States v. Peterson,</w:t>
      </w:r>
      <w:r w:rsidRPr="00AE158F">
        <w:rPr>
          <w:rFonts w:eastAsia="Times New Roman" w:cs="Times New Roman"/>
          <w:color w:val="000000"/>
          <w:szCs w:val="24"/>
        </w:rPr>
        <w:t xml:space="preserve"> 538 F.3d 1064, 1072 (9th Cir. 2008). </w:t>
      </w:r>
    </w:p>
    <w:p w14:paraId="11CD4A1D" w14:textId="77777777" w:rsidR="00AE158F" w:rsidRPr="00AE158F" w:rsidRDefault="00AE158F" w:rsidP="00AE158F">
      <w:pPr>
        <w:rPr>
          <w:rFonts w:eastAsia="Times New Roman" w:cs="Times New Roman"/>
          <w:color w:val="000000"/>
          <w:szCs w:val="24"/>
        </w:rPr>
      </w:pPr>
    </w:p>
    <w:p w14:paraId="0BA0E878"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 xml:space="preserve">Because the jury must determine whether a statement is material under </w:t>
      </w:r>
      <w:r w:rsidRPr="00AE158F">
        <w:rPr>
          <w:rFonts w:eastAsia="Times New Roman" w:cs="Times New Roman"/>
          <w:i/>
          <w:color w:val="000000"/>
          <w:szCs w:val="24"/>
        </w:rPr>
        <w:t>Johnson</w:t>
      </w:r>
      <w:r w:rsidRPr="00AE158F">
        <w:rPr>
          <w:rFonts w:eastAsia="Times New Roman" w:cs="Times New Roman"/>
          <w:color w:val="000000"/>
          <w:szCs w:val="24"/>
        </w:rPr>
        <w:t xml:space="preserve">, the definition of materiality has been included in this instruction.  </w:t>
      </w:r>
      <w:r w:rsidRPr="00AE158F">
        <w:rPr>
          <w:rFonts w:eastAsia="Times New Roman" w:cs="Times New Roman"/>
          <w:i/>
          <w:iCs/>
          <w:color w:val="000000"/>
          <w:szCs w:val="24"/>
        </w:rPr>
        <w:t>See</w:t>
      </w:r>
      <w:r w:rsidRPr="00AE158F">
        <w:rPr>
          <w:rFonts w:eastAsia="Times New Roman" w:cs="Times New Roman"/>
          <w:color w:val="000000"/>
          <w:szCs w:val="24"/>
        </w:rPr>
        <w:t xml:space="preserve"> </w:t>
      </w:r>
      <w:r w:rsidRPr="00AE158F">
        <w:rPr>
          <w:rFonts w:eastAsia="Times New Roman" w:cs="Times New Roman"/>
          <w:i/>
          <w:color w:val="000000"/>
          <w:szCs w:val="24"/>
        </w:rPr>
        <w:t>United States v. McKenna</w:t>
      </w:r>
      <w:r w:rsidRPr="00AE158F">
        <w:rPr>
          <w:rFonts w:eastAsia="Times New Roman" w:cs="Times New Roman"/>
          <w:color w:val="000000"/>
          <w:szCs w:val="24"/>
        </w:rPr>
        <w:t>, 327 F.3d 830, 839 (9th Cir. 2003) (discussing materiality of false statements in context of perjury).</w:t>
      </w:r>
    </w:p>
    <w:p w14:paraId="37030455" w14:textId="77777777" w:rsidR="00AE158F" w:rsidRPr="00AE158F" w:rsidRDefault="00AE158F" w:rsidP="00AE158F">
      <w:pPr>
        <w:rPr>
          <w:rFonts w:eastAsia="Times New Roman" w:cs="Times New Roman"/>
          <w:color w:val="000000"/>
          <w:szCs w:val="24"/>
        </w:rPr>
      </w:pPr>
    </w:p>
    <w:p w14:paraId="09CA0853" w14:textId="4AAA950C"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 xml:space="preserve">A perjury is an essential element of this offense.  </w:t>
      </w:r>
      <w:r w:rsidRPr="00AE158F">
        <w:rPr>
          <w:rFonts w:eastAsia="Times New Roman" w:cs="Times New Roman"/>
          <w:i/>
          <w:color w:val="000000"/>
          <w:szCs w:val="24"/>
        </w:rPr>
        <w:t xml:space="preserve">See </w:t>
      </w:r>
      <w:proofErr w:type="spellStart"/>
      <w:r w:rsidRPr="00AE158F">
        <w:rPr>
          <w:rFonts w:eastAsia="Times New Roman" w:cs="Times New Roman"/>
          <w:i/>
          <w:color w:val="000000"/>
          <w:szCs w:val="24"/>
        </w:rPr>
        <w:t>Catrino</w:t>
      </w:r>
      <w:proofErr w:type="spellEnd"/>
      <w:r w:rsidRPr="00AE158F">
        <w:rPr>
          <w:rFonts w:eastAsia="Times New Roman" w:cs="Times New Roman"/>
          <w:i/>
          <w:color w:val="000000"/>
          <w:szCs w:val="24"/>
        </w:rPr>
        <w:t xml:space="preserve"> v. United States,</w:t>
      </w:r>
      <w:r w:rsidRPr="00AE158F">
        <w:rPr>
          <w:rFonts w:eastAsia="Times New Roman" w:cs="Times New Roman"/>
          <w:color w:val="000000"/>
          <w:szCs w:val="24"/>
        </w:rPr>
        <w:t xml:space="preserve"> 176 F.2d 884, 886-87 (9th Cir. 1949).  The use of “any perjury” in § 1622 evidences a </w:t>
      </w:r>
      <w:r w:rsidR="0061141C">
        <w:rPr>
          <w:rFonts w:eastAsia="Times New Roman" w:cs="Times New Roman"/>
          <w:color w:val="000000"/>
          <w:szCs w:val="24"/>
        </w:rPr>
        <w:t>c</w:t>
      </w:r>
      <w:r w:rsidRPr="00AE158F">
        <w:rPr>
          <w:rFonts w:eastAsia="Times New Roman" w:cs="Times New Roman"/>
          <w:color w:val="000000"/>
          <w:szCs w:val="24"/>
        </w:rPr>
        <w:t xml:space="preserve">ongressional intent that subornation of perjury is committed not only by one who procures another to commit perjury in violation of 18 U.S.C. § 1621, but also by one who procures another to make a false statement in violation of 18 U.S.C. § 1623.  </w:t>
      </w:r>
      <w:r w:rsidRPr="00AE158F">
        <w:rPr>
          <w:rFonts w:eastAsia="Times New Roman" w:cs="Times New Roman"/>
          <w:i/>
          <w:iCs/>
          <w:color w:val="000000"/>
          <w:szCs w:val="24"/>
        </w:rPr>
        <w:t xml:space="preserve">See </w:t>
      </w:r>
      <w:r w:rsidRPr="00AE158F">
        <w:rPr>
          <w:rFonts w:eastAsia="Times New Roman" w:cs="Times New Roman"/>
          <w:i/>
          <w:color w:val="000000"/>
          <w:szCs w:val="24"/>
        </w:rPr>
        <w:t>United States v. Gross,</w:t>
      </w:r>
      <w:r w:rsidRPr="00AE158F">
        <w:rPr>
          <w:rFonts w:eastAsia="Times New Roman" w:cs="Times New Roman"/>
          <w:color w:val="000000"/>
          <w:szCs w:val="24"/>
        </w:rPr>
        <w:t xml:space="preserve"> 511 F.2d 910, 915-16 (3d Cir. 1975).</w:t>
      </w:r>
    </w:p>
    <w:p w14:paraId="26AE0AA8" w14:textId="77777777" w:rsidR="00AE158F" w:rsidRPr="00AE158F" w:rsidRDefault="00AE158F" w:rsidP="00AE158F">
      <w:pPr>
        <w:rPr>
          <w:rFonts w:eastAsia="Times New Roman" w:cs="Times New Roman"/>
          <w:color w:val="000000"/>
          <w:szCs w:val="24"/>
        </w:rPr>
      </w:pPr>
    </w:p>
    <w:p w14:paraId="7DDB92D7" w14:textId="77777777" w:rsidR="00AE158F" w:rsidRPr="00AE158F" w:rsidRDefault="00AE158F" w:rsidP="00AE158F">
      <w:pPr>
        <w:rPr>
          <w:rFonts w:eastAsia="Times New Roman" w:cs="Times New Roman"/>
          <w:color w:val="000000"/>
          <w:szCs w:val="24"/>
        </w:rPr>
      </w:pPr>
      <w:r w:rsidRPr="00AE158F">
        <w:rPr>
          <w:rFonts w:eastAsia="Times New Roman" w:cs="Times New Roman"/>
          <w:color w:val="000000"/>
          <w:szCs w:val="24"/>
        </w:rPr>
        <w:tab/>
        <w:t xml:space="preserve">If the suborned testimony is in violation of 18 U.S.C. § 1621, the “two-witness” or “corroboration” rule applies.  </w:t>
      </w:r>
      <w:r w:rsidRPr="00AE158F">
        <w:rPr>
          <w:rFonts w:eastAsia="Times New Roman" w:cs="Times New Roman"/>
          <w:i/>
          <w:color w:val="000000"/>
          <w:szCs w:val="24"/>
        </w:rPr>
        <w:t>See</w:t>
      </w:r>
      <w:r w:rsidRPr="00AE158F">
        <w:rPr>
          <w:rFonts w:eastAsia="Times New Roman" w:cs="Times New Roman"/>
          <w:color w:val="000000"/>
          <w:szCs w:val="24"/>
        </w:rPr>
        <w:t xml:space="preserve"> Instruction 24.15 (Perjury—Testimony).  Corroboration, however, is not required if the suborned testimony is in violation of 18 U.S.C. § 1623.  </w:t>
      </w:r>
      <w:r w:rsidRPr="00AE158F">
        <w:rPr>
          <w:rFonts w:eastAsia="Times New Roman" w:cs="Times New Roman"/>
          <w:i/>
          <w:iCs/>
          <w:color w:val="000000"/>
          <w:szCs w:val="24"/>
        </w:rPr>
        <w:t>See</w:t>
      </w:r>
      <w:r w:rsidRPr="00AE158F">
        <w:rPr>
          <w:rFonts w:eastAsia="Times New Roman" w:cs="Times New Roman"/>
          <w:color w:val="000000"/>
          <w:szCs w:val="24"/>
        </w:rPr>
        <w:t xml:space="preserve"> 18 U.S.C. § 1623(e);</w:t>
      </w:r>
      <w:r w:rsidRPr="00AE158F">
        <w:rPr>
          <w:rFonts w:eastAsia="Times New Roman" w:cs="Times New Roman"/>
          <w:i/>
          <w:color w:val="000000"/>
          <w:szCs w:val="24"/>
        </w:rPr>
        <w:t xml:space="preserve"> Gross</w:t>
      </w:r>
      <w:r w:rsidRPr="00AE158F">
        <w:rPr>
          <w:rFonts w:eastAsia="Times New Roman" w:cs="Times New Roman"/>
          <w:color w:val="000000"/>
          <w:szCs w:val="24"/>
        </w:rPr>
        <w:t>, 511 F.2d at 915-16.</w:t>
      </w:r>
    </w:p>
    <w:p w14:paraId="6B9D2AB4" w14:textId="77777777" w:rsidR="00AE158F" w:rsidRPr="00AE158F" w:rsidRDefault="00AE158F" w:rsidP="00AE158F">
      <w:pPr>
        <w:rPr>
          <w:rFonts w:eastAsia="Times New Roman" w:cs="Times New Roman"/>
          <w:color w:val="000000"/>
          <w:szCs w:val="24"/>
        </w:rPr>
      </w:pPr>
    </w:p>
    <w:p w14:paraId="077C2B1D" w14:textId="77777777" w:rsidR="00AE158F" w:rsidRPr="00AE158F" w:rsidRDefault="00AE158F" w:rsidP="00AE158F">
      <w:pPr>
        <w:ind w:left="7200"/>
        <w:jc w:val="right"/>
        <w:rPr>
          <w:rFonts w:eastAsia="Times New Roman" w:cs="Times New Roman"/>
          <w:i/>
          <w:iCs/>
          <w:color w:val="000000"/>
          <w:szCs w:val="24"/>
        </w:rPr>
      </w:pPr>
    </w:p>
    <w:p w14:paraId="0ACE18C0" w14:textId="76F37E93" w:rsidR="00C97E04" w:rsidRPr="00AE158F" w:rsidRDefault="00AE158F" w:rsidP="00AE158F">
      <w:pPr>
        <w:ind w:left="7200"/>
        <w:jc w:val="right"/>
      </w:pPr>
      <w:r w:rsidRPr="00AE158F">
        <w:rPr>
          <w:rFonts w:eastAsia="Times New Roman" w:cs="Times New Roman"/>
          <w:i/>
          <w:iCs/>
          <w:color w:val="000000"/>
          <w:szCs w:val="24"/>
        </w:rPr>
        <w:t>Revised June 2021</w:t>
      </w:r>
      <w:bookmarkEnd w:id="7"/>
    </w:p>
    <w:sectPr w:rsidR="00C97E04" w:rsidRPr="00AE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1C"/>
    <w:rsid w:val="006114A9"/>
    <w:rsid w:val="00611990"/>
    <w:rsid w:val="00623212"/>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35C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76EB1"/>
    <w:rsid w:val="00AA2B06"/>
    <w:rsid w:val="00AD61D6"/>
    <w:rsid w:val="00AE0152"/>
    <w:rsid w:val="00AE158F"/>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2022-08-23T22:23:00Z</dcterms:created>
  <dcterms:modified xsi:type="dcterms:W3CDTF">2022-08-23T22:23:00Z</dcterms:modified>
</cp:coreProperties>
</file>