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9D0D0" w14:textId="77777777" w:rsidR="00F51DA6" w:rsidRPr="00F51DA6" w:rsidRDefault="00F51DA6" w:rsidP="00F51DA6">
      <w:pPr>
        <w:tabs>
          <w:tab w:val="left" w:pos="720"/>
        </w:tabs>
        <w:autoSpaceDE w:val="0"/>
        <w:autoSpaceDN w:val="0"/>
        <w:adjustRightInd w:val="0"/>
        <w:spacing w:after="0" w:line="240" w:lineRule="auto"/>
        <w:ind w:left="420" w:hanging="240"/>
        <w:jc w:val="center"/>
        <w:outlineLvl w:val="1"/>
        <w:rPr>
          <w:rFonts w:ascii="Times New Roman" w:eastAsia="Calibri" w:hAnsi="Times New Roman" w:cs="Times New Roman"/>
          <w:b/>
          <w:bCs/>
          <w:kern w:val="0"/>
          <w14:ligatures w14:val="none"/>
        </w:rPr>
      </w:pPr>
      <w:bookmarkStart w:id="0" w:name="_Toc73698859"/>
      <w:bookmarkStart w:id="1" w:name="_Toc83310930"/>
      <w:bookmarkStart w:id="2" w:name="_Toc83362715"/>
      <w:bookmarkStart w:id="3" w:name="_Toc83363124"/>
      <w:bookmarkStart w:id="4" w:name="_Toc90310183"/>
      <w:bookmarkStart w:id="5" w:name="_Toc90390041"/>
      <w:bookmarkStart w:id="6" w:name="_Toc211607500"/>
      <w:r w:rsidRPr="00F51DA6">
        <w:rPr>
          <w:rFonts w:ascii="Times New Roman" w:eastAsia="Calibri" w:hAnsi="Times New Roman" w:cs="Times New Roman"/>
          <w:b/>
          <w:bCs/>
          <w:kern w:val="0"/>
          <w14:ligatures w14:val="none"/>
        </w:rPr>
        <w:t>24.16 False Declaration Before Grand Jury or Court (18 U.S.C. § 1623)</w:t>
      </w:r>
      <w:bookmarkEnd w:id="0"/>
      <w:bookmarkEnd w:id="1"/>
      <w:bookmarkEnd w:id="2"/>
      <w:bookmarkEnd w:id="3"/>
      <w:bookmarkEnd w:id="4"/>
      <w:bookmarkEnd w:id="5"/>
      <w:bookmarkEnd w:id="6"/>
    </w:p>
    <w:p w14:paraId="1ACC96E7" w14:textId="77777777" w:rsidR="00F51DA6" w:rsidRPr="00F51DA6" w:rsidRDefault="00F51DA6" w:rsidP="00F51DA6">
      <w:pPr>
        <w:tabs>
          <w:tab w:val="left" w:pos="720"/>
        </w:tabs>
        <w:spacing w:after="0" w:line="240" w:lineRule="auto"/>
        <w:rPr>
          <w:rFonts w:ascii="Times New Roman" w:eastAsia="Times New Roman" w:hAnsi="Times New Roman" w:cs="Times New Roman"/>
          <w:color w:val="000000"/>
          <w:kern w:val="0"/>
          <w14:ligatures w14:val="none"/>
        </w:rPr>
      </w:pPr>
    </w:p>
    <w:p w14:paraId="35C5DF81" w14:textId="77777777" w:rsidR="00F51DA6" w:rsidRPr="00F51DA6" w:rsidRDefault="00F51DA6" w:rsidP="00F51DA6">
      <w:pPr>
        <w:tabs>
          <w:tab w:val="left" w:pos="720"/>
        </w:tabs>
        <w:spacing w:after="0" w:line="240" w:lineRule="auto"/>
        <w:rPr>
          <w:rFonts w:ascii="Times New Roman" w:eastAsia="Times New Roman" w:hAnsi="Times New Roman" w:cs="Times New Roman"/>
          <w:color w:val="000000"/>
          <w:kern w:val="0"/>
          <w14:ligatures w14:val="none"/>
        </w:rPr>
      </w:pPr>
      <w:r w:rsidRPr="00F51DA6">
        <w:rPr>
          <w:rFonts w:ascii="Times New Roman" w:eastAsia="Times New Roman" w:hAnsi="Times New Roman" w:cs="Times New Roman"/>
          <w:color w:val="000000"/>
          <w:kern w:val="0"/>
          <w14:ligatures w14:val="none"/>
        </w:rPr>
        <w:tab/>
        <w:t>The defendant is charged in [Count _______ of] the indictment with having made a false declaration in violation of Section 1623 of Title 18 of the United States Code.  For the defendant to be found guilty of that charge, the government must prove each of the following elements beyond a reasonable doubt:</w:t>
      </w:r>
    </w:p>
    <w:p w14:paraId="031C2B90" w14:textId="77777777" w:rsidR="00F51DA6" w:rsidRPr="00F51DA6" w:rsidRDefault="00F51DA6" w:rsidP="00F51DA6">
      <w:pPr>
        <w:tabs>
          <w:tab w:val="left" w:pos="720"/>
        </w:tabs>
        <w:spacing w:after="0" w:line="240" w:lineRule="auto"/>
        <w:rPr>
          <w:rFonts w:ascii="Times New Roman" w:eastAsia="Times New Roman" w:hAnsi="Times New Roman" w:cs="Times New Roman"/>
          <w:color w:val="000000"/>
          <w:kern w:val="0"/>
          <w14:ligatures w14:val="none"/>
        </w:rPr>
      </w:pPr>
    </w:p>
    <w:p w14:paraId="6ABFE2AA" w14:textId="77777777" w:rsidR="00F51DA6" w:rsidRPr="00F51DA6" w:rsidRDefault="00F51DA6" w:rsidP="00F51DA6">
      <w:pPr>
        <w:tabs>
          <w:tab w:val="left" w:pos="720"/>
        </w:tabs>
        <w:spacing w:after="0" w:line="240" w:lineRule="auto"/>
        <w:rPr>
          <w:rFonts w:ascii="Times New Roman" w:eastAsia="Times New Roman" w:hAnsi="Times New Roman" w:cs="Times New Roman"/>
          <w:color w:val="000000"/>
          <w:kern w:val="0"/>
          <w14:ligatures w14:val="none"/>
        </w:rPr>
      </w:pPr>
      <w:r w:rsidRPr="00F51DA6">
        <w:rPr>
          <w:rFonts w:ascii="Times New Roman" w:eastAsia="Times New Roman" w:hAnsi="Times New Roman" w:cs="Times New Roman"/>
          <w:color w:val="000000"/>
          <w:kern w:val="0"/>
          <w14:ligatures w14:val="none"/>
        </w:rPr>
        <w:tab/>
        <w:t xml:space="preserve">First, the defendant testified under oath in or ancillary to any [court] [grand jury] </w:t>
      </w:r>
      <w:proofErr w:type="gramStart"/>
      <w:r w:rsidRPr="00F51DA6">
        <w:rPr>
          <w:rFonts w:ascii="Times New Roman" w:eastAsia="Times New Roman" w:hAnsi="Times New Roman" w:cs="Times New Roman"/>
          <w:color w:val="000000"/>
          <w:kern w:val="0"/>
          <w14:ligatures w14:val="none"/>
        </w:rPr>
        <w:t>proceedings;</w:t>
      </w:r>
      <w:proofErr w:type="gramEnd"/>
    </w:p>
    <w:p w14:paraId="5E678C2B" w14:textId="77777777" w:rsidR="00F51DA6" w:rsidRPr="00F51DA6" w:rsidRDefault="00F51DA6" w:rsidP="00F51DA6">
      <w:pPr>
        <w:tabs>
          <w:tab w:val="left" w:pos="720"/>
        </w:tabs>
        <w:spacing w:after="0" w:line="240" w:lineRule="auto"/>
        <w:rPr>
          <w:rFonts w:ascii="Times New Roman" w:eastAsia="Times New Roman" w:hAnsi="Times New Roman" w:cs="Times New Roman"/>
          <w:color w:val="000000"/>
          <w:kern w:val="0"/>
          <w14:ligatures w14:val="none"/>
        </w:rPr>
      </w:pPr>
    </w:p>
    <w:p w14:paraId="45793A7E" w14:textId="77777777" w:rsidR="00F51DA6" w:rsidRPr="00F51DA6" w:rsidRDefault="00F51DA6" w:rsidP="00F51DA6">
      <w:pPr>
        <w:tabs>
          <w:tab w:val="left" w:pos="720"/>
        </w:tabs>
        <w:spacing w:after="0" w:line="240" w:lineRule="auto"/>
        <w:rPr>
          <w:rFonts w:ascii="Times New Roman" w:eastAsia="Times New Roman" w:hAnsi="Times New Roman" w:cs="Times New Roman"/>
          <w:color w:val="000000"/>
          <w:kern w:val="0"/>
          <w14:ligatures w14:val="none"/>
        </w:rPr>
      </w:pPr>
      <w:r w:rsidRPr="00F51DA6">
        <w:rPr>
          <w:rFonts w:ascii="Times New Roman" w:eastAsia="Times New Roman" w:hAnsi="Times New Roman" w:cs="Times New Roman"/>
          <w:color w:val="000000"/>
          <w:kern w:val="0"/>
          <w14:ligatures w14:val="none"/>
        </w:rPr>
        <w:tab/>
        <w:t>Second, the testimony was false [, with all of you agreeing as to which statement was false</w:t>
      </w:r>
      <w:proofErr w:type="gramStart"/>
      <w:r w:rsidRPr="00F51DA6">
        <w:rPr>
          <w:rFonts w:ascii="Times New Roman" w:eastAsia="Times New Roman" w:hAnsi="Times New Roman" w:cs="Times New Roman"/>
          <w:color w:val="000000"/>
          <w:kern w:val="0"/>
          <w14:ligatures w14:val="none"/>
        </w:rPr>
        <w:t>];</w:t>
      </w:r>
      <w:proofErr w:type="gramEnd"/>
    </w:p>
    <w:p w14:paraId="56C5CAB0" w14:textId="77777777" w:rsidR="00F51DA6" w:rsidRPr="00F51DA6" w:rsidRDefault="00F51DA6" w:rsidP="00F51DA6">
      <w:pPr>
        <w:tabs>
          <w:tab w:val="left" w:pos="720"/>
        </w:tabs>
        <w:spacing w:after="0" w:line="240" w:lineRule="auto"/>
        <w:rPr>
          <w:rFonts w:ascii="Times New Roman" w:eastAsia="Times New Roman" w:hAnsi="Times New Roman" w:cs="Times New Roman"/>
          <w:color w:val="000000"/>
          <w:kern w:val="0"/>
          <w14:ligatures w14:val="none"/>
        </w:rPr>
      </w:pPr>
    </w:p>
    <w:p w14:paraId="7CFDB6BF" w14:textId="77777777" w:rsidR="00F51DA6" w:rsidRPr="00F51DA6" w:rsidRDefault="00F51DA6" w:rsidP="00F51DA6">
      <w:pPr>
        <w:tabs>
          <w:tab w:val="left" w:pos="720"/>
        </w:tabs>
        <w:spacing w:after="0" w:line="240" w:lineRule="auto"/>
        <w:rPr>
          <w:rFonts w:ascii="Times New Roman" w:eastAsia="Times New Roman" w:hAnsi="Times New Roman" w:cs="Times New Roman"/>
          <w:color w:val="000000"/>
          <w:kern w:val="0"/>
          <w14:ligatures w14:val="none"/>
        </w:rPr>
      </w:pPr>
      <w:r w:rsidRPr="00F51DA6">
        <w:rPr>
          <w:rFonts w:ascii="Times New Roman" w:eastAsia="Times New Roman" w:hAnsi="Times New Roman" w:cs="Times New Roman"/>
          <w:color w:val="000000"/>
          <w:kern w:val="0"/>
          <w14:ligatures w14:val="none"/>
        </w:rPr>
        <w:tab/>
        <w:t xml:space="preserve">Third, the defendant knew that the testimony was false; and </w:t>
      </w:r>
    </w:p>
    <w:p w14:paraId="2C58C469" w14:textId="77777777" w:rsidR="00F51DA6" w:rsidRPr="00F51DA6" w:rsidRDefault="00F51DA6" w:rsidP="00F51DA6">
      <w:pPr>
        <w:tabs>
          <w:tab w:val="left" w:pos="720"/>
        </w:tabs>
        <w:spacing w:after="0" w:line="240" w:lineRule="auto"/>
        <w:rPr>
          <w:rFonts w:ascii="Times New Roman" w:eastAsia="Times New Roman" w:hAnsi="Times New Roman" w:cs="Times New Roman"/>
          <w:color w:val="000000"/>
          <w:kern w:val="0"/>
          <w14:ligatures w14:val="none"/>
        </w:rPr>
      </w:pPr>
    </w:p>
    <w:p w14:paraId="6473AFE8" w14:textId="77777777" w:rsidR="00F51DA6" w:rsidRPr="00F51DA6" w:rsidRDefault="00F51DA6" w:rsidP="00F51DA6">
      <w:pPr>
        <w:tabs>
          <w:tab w:val="left" w:pos="720"/>
        </w:tabs>
        <w:spacing w:after="0" w:line="240" w:lineRule="auto"/>
        <w:rPr>
          <w:rFonts w:ascii="Times New Roman" w:eastAsia="Times New Roman" w:hAnsi="Times New Roman" w:cs="Times New Roman"/>
          <w:color w:val="000000"/>
          <w:kern w:val="0"/>
          <w14:ligatures w14:val="none"/>
        </w:rPr>
      </w:pPr>
      <w:r w:rsidRPr="00F51DA6">
        <w:rPr>
          <w:rFonts w:ascii="Times New Roman" w:eastAsia="Times New Roman" w:hAnsi="Times New Roman" w:cs="Times New Roman"/>
          <w:color w:val="000000"/>
          <w:kern w:val="0"/>
          <w14:ligatures w14:val="none"/>
        </w:rPr>
        <w:tab/>
        <w:t>Fourth, the false testimony was material to the matters before the [court] [grand jury]; that is, it had a natural tendency to influence, or was capable of influencing, the [court] [grand jury’s investigations].</w:t>
      </w:r>
    </w:p>
    <w:p w14:paraId="45304739" w14:textId="77777777" w:rsidR="00F51DA6" w:rsidRPr="00F51DA6" w:rsidRDefault="00F51DA6" w:rsidP="00F51DA6">
      <w:pPr>
        <w:tabs>
          <w:tab w:val="left" w:pos="720"/>
        </w:tabs>
        <w:spacing w:after="0" w:line="240" w:lineRule="auto"/>
        <w:rPr>
          <w:rFonts w:ascii="Times New Roman" w:eastAsia="Times New Roman" w:hAnsi="Times New Roman" w:cs="Times New Roman"/>
          <w:color w:val="000000"/>
          <w:kern w:val="0"/>
          <w14:ligatures w14:val="none"/>
        </w:rPr>
      </w:pPr>
    </w:p>
    <w:p w14:paraId="68293DC8" w14:textId="77777777" w:rsidR="00F51DA6" w:rsidRPr="00F51DA6" w:rsidRDefault="00F51DA6" w:rsidP="00F51DA6">
      <w:pPr>
        <w:tabs>
          <w:tab w:val="left" w:pos="720"/>
        </w:tabs>
        <w:spacing w:after="0" w:line="240" w:lineRule="auto"/>
        <w:ind w:right="-180"/>
        <w:jc w:val="center"/>
        <w:rPr>
          <w:rFonts w:ascii="Times New Roman" w:eastAsia="Times New Roman" w:hAnsi="Times New Roman" w:cs="Times New Roman"/>
          <w:color w:val="000000"/>
          <w:kern w:val="0"/>
          <w14:ligatures w14:val="none"/>
        </w:rPr>
      </w:pPr>
      <w:r w:rsidRPr="00F51DA6">
        <w:rPr>
          <w:rFonts w:ascii="Times New Roman" w:eastAsia="Times New Roman" w:hAnsi="Times New Roman" w:cs="Times New Roman"/>
          <w:b/>
          <w:color w:val="000000"/>
          <w:kern w:val="0"/>
          <w14:ligatures w14:val="none"/>
        </w:rPr>
        <w:t>Comment</w:t>
      </w:r>
    </w:p>
    <w:p w14:paraId="113406F6" w14:textId="77777777" w:rsidR="00F51DA6" w:rsidRPr="00F51DA6" w:rsidRDefault="00F51DA6" w:rsidP="00F51DA6">
      <w:pPr>
        <w:tabs>
          <w:tab w:val="left" w:pos="720"/>
        </w:tabs>
        <w:spacing w:after="0" w:line="240" w:lineRule="auto"/>
        <w:rPr>
          <w:rFonts w:ascii="Times New Roman" w:eastAsia="Times New Roman" w:hAnsi="Times New Roman" w:cs="Times New Roman"/>
          <w:color w:val="000000"/>
          <w:kern w:val="0"/>
          <w14:ligatures w14:val="none"/>
        </w:rPr>
      </w:pPr>
    </w:p>
    <w:p w14:paraId="13FBD506" w14:textId="77777777" w:rsidR="00F51DA6" w:rsidRPr="00F51DA6" w:rsidRDefault="00F51DA6" w:rsidP="00F51DA6">
      <w:pPr>
        <w:tabs>
          <w:tab w:val="left" w:pos="720"/>
        </w:tabs>
        <w:spacing w:after="0" w:line="240" w:lineRule="auto"/>
        <w:rPr>
          <w:rFonts w:ascii="Times New Roman" w:eastAsia="Times New Roman" w:hAnsi="Times New Roman" w:cs="Times New Roman"/>
          <w:color w:val="000000"/>
          <w:kern w:val="0"/>
          <w14:ligatures w14:val="none"/>
        </w:rPr>
      </w:pPr>
      <w:r w:rsidRPr="00F51DA6">
        <w:rPr>
          <w:rFonts w:ascii="Times New Roman" w:eastAsia="Times New Roman" w:hAnsi="Times New Roman" w:cs="Times New Roman"/>
          <w:color w:val="000000"/>
          <w:kern w:val="0"/>
          <w14:ligatures w14:val="none"/>
        </w:rPr>
        <w:tab/>
      </w:r>
      <w:r w:rsidRPr="00F51DA6">
        <w:rPr>
          <w:rFonts w:ascii="Times New Roman" w:eastAsia="Times New Roman" w:hAnsi="Times New Roman" w:cs="Times New Roman"/>
          <w:i/>
          <w:color w:val="000000"/>
          <w:kern w:val="0"/>
          <w14:ligatures w14:val="none"/>
        </w:rPr>
        <w:t>See</w:t>
      </w:r>
      <w:r w:rsidRPr="00F51DA6">
        <w:rPr>
          <w:rFonts w:ascii="Times New Roman" w:eastAsia="Times New Roman" w:hAnsi="Times New Roman" w:cs="Times New Roman"/>
          <w:color w:val="000000"/>
          <w:kern w:val="0"/>
          <w14:ligatures w14:val="none"/>
        </w:rPr>
        <w:t xml:space="preserve"> Comment to Instructions 24.14 (Perjury—Testimony) and 24.15 (Subornation of Perjury).</w:t>
      </w:r>
    </w:p>
    <w:p w14:paraId="3F280FDC" w14:textId="77777777" w:rsidR="00F51DA6" w:rsidRPr="00F51DA6" w:rsidRDefault="00F51DA6" w:rsidP="00F51DA6">
      <w:pPr>
        <w:tabs>
          <w:tab w:val="left" w:pos="720"/>
        </w:tabs>
        <w:spacing w:after="0" w:line="240" w:lineRule="auto"/>
        <w:rPr>
          <w:rFonts w:ascii="Times New Roman" w:eastAsia="Times New Roman" w:hAnsi="Times New Roman" w:cs="Times New Roman"/>
          <w:color w:val="000000"/>
          <w:kern w:val="0"/>
          <w14:ligatures w14:val="none"/>
        </w:rPr>
      </w:pPr>
    </w:p>
    <w:p w14:paraId="7EF54C1A" w14:textId="77777777" w:rsidR="00F51DA6" w:rsidRPr="00F51DA6" w:rsidRDefault="00F51DA6" w:rsidP="00F51DA6">
      <w:pPr>
        <w:tabs>
          <w:tab w:val="left" w:pos="720"/>
        </w:tabs>
        <w:spacing w:after="0" w:line="240" w:lineRule="auto"/>
        <w:rPr>
          <w:rFonts w:ascii="Times New Roman" w:eastAsia="Times New Roman" w:hAnsi="Times New Roman" w:cs="Times New Roman"/>
          <w:color w:val="000000"/>
          <w:kern w:val="0"/>
          <w14:ligatures w14:val="none"/>
        </w:rPr>
      </w:pPr>
      <w:r w:rsidRPr="00F51DA6">
        <w:rPr>
          <w:rFonts w:ascii="Times New Roman" w:eastAsia="Times New Roman" w:hAnsi="Times New Roman" w:cs="Times New Roman"/>
          <w:color w:val="000000"/>
          <w:kern w:val="0"/>
          <w14:ligatures w14:val="none"/>
        </w:rPr>
        <w:tab/>
        <w:t xml:space="preserve">The testimony under oath may be in conjunction with a proceeding that is ancillary to the main proceeding involving the defendant.  </w:t>
      </w:r>
      <w:r w:rsidRPr="00F51DA6">
        <w:rPr>
          <w:rFonts w:ascii="Times New Roman" w:eastAsia="Times New Roman" w:hAnsi="Times New Roman" w:cs="Times New Roman"/>
          <w:i/>
          <w:iCs/>
          <w:color w:val="000000"/>
          <w:kern w:val="0"/>
          <w14:ligatures w14:val="none"/>
        </w:rPr>
        <w:t>See</w:t>
      </w:r>
      <w:r w:rsidRPr="00F51DA6">
        <w:rPr>
          <w:rFonts w:ascii="Times New Roman" w:eastAsia="Times New Roman" w:hAnsi="Times New Roman" w:cs="Times New Roman"/>
          <w:color w:val="000000"/>
          <w:kern w:val="0"/>
          <w14:ligatures w14:val="none"/>
        </w:rPr>
        <w:t xml:space="preserve"> </w:t>
      </w:r>
      <w:r w:rsidRPr="00F51DA6">
        <w:rPr>
          <w:rFonts w:ascii="Times New Roman" w:eastAsia="Times New Roman" w:hAnsi="Times New Roman" w:cs="Times New Roman"/>
          <w:i/>
          <w:color w:val="000000"/>
          <w:kern w:val="0"/>
          <w14:ligatures w14:val="none"/>
        </w:rPr>
        <w:t>United States v. Brugnara</w:t>
      </w:r>
      <w:r w:rsidRPr="00F51DA6">
        <w:rPr>
          <w:rFonts w:ascii="Times New Roman" w:eastAsia="Times New Roman" w:hAnsi="Times New Roman" w:cs="Times New Roman"/>
          <w:color w:val="000000"/>
          <w:kern w:val="0"/>
          <w14:ligatures w14:val="none"/>
        </w:rPr>
        <w:t>, 856 F.3d 1198, 1209 (9th Cir. 2017) (involving false declaration made during supervised release revocation hearing).</w:t>
      </w:r>
    </w:p>
    <w:p w14:paraId="237571D7" w14:textId="77777777" w:rsidR="00F51DA6" w:rsidRPr="00F51DA6" w:rsidRDefault="00F51DA6" w:rsidP="00F51DA6">
      <w:pPr>
        <w:tabs>
          <w:tab w:val="left" w:pos="720"/>
        </w:tabs>
        <w:spacing w:after="0" w:line="240" w:lineRule="auto"/>
        <w:rPr>
          <w:rFonts w:ascii="Times New Roman" w:eastAsia="Times New Roman" w:hAnsi="Times New Roman" w:cs="Times New Roman"/>
          <w:color w:val="000000"/>
          <w:kern w:val="0"/>
          <w14:ligatures w14:val="none"/>
        </w:rPr>
      </w:pPr>
    </w:p>
    <w:p w14:paraId="6B9D0A43" w14:textId="77777777" w:rsidR="00F51DA6" w:rsidRPr="00F51DA6" w:rsidRDefault="00F51DA6" w:rsidP="00F51DA6">
      <w:pPr>
        <w:tabs>
          <w:tab w:val="left" w:pos="720"/>
        </w:tabs>
        <w:spacing w:after="0" w:line="240" w:lineRule="auto"/>
        <w:rPr>
          <w:rFonts w:ascii="Times New Roman" w:eastAsia="Times New Roman" w:hAnsi="Times New Roman" w:cs="Times New Roman"/>
          <w:color w:val="000000"/>
          <w:kern w:val="0"/>
          <w14:ligatures w14:val="none"/>
        </w:rPr>
      </w:pPr>
      <w:r w:rsidRPr="00F51DA6">
        <w:rPr>
          <w:rFonts w:ascii="Times New Roman" w:eastAsia="Times New Roman" w:hAnsi="Times New Roman" w:cs="Times New Roman"/>
          <w:color w:val="000000"/>
          <w:kern w:val="0"/>
          <w14:ligatures w14:val="none"/>
        </w:rPr>
        <w:tab/>
        <w:t xml:space="preserve">The bracketed language in the second element of this instruction should be given when the indictment charges that the defendant made more than one false statement.  </w:t>
      </w:r>
      <w:r w:rsidRPr="00F51DA6">
        <w:rPr>
          <w:rFonts w:ascii="Times New Roman" w:eastAsia="Times New Roman" w:hAnsi="Times New Roman" w:cs="Times New Roman"/>
          <w:i/>
          <w:color w:val="000000"/>
          <w:kern w:val="0"/>
          <w14:ligatures w14:val="none"/>
        </w:rPr>
        <w:t>See Vitello v. United States</w:t>
      </w:r>
      <w:r w:rsidRPr="00F51DA6">
        <w:rPr>
          <w:rFonts w:ascii="Times New Roman" w:eastAsia="Times New Roman" w:hAnsi="Times New Roman" w:cs="Times New Roman"/>
          <w:color w:val="000000"/>
          <w:kern w:val="0"/>
          <w14:ligatures w14:val="none"/>
        </w:rPr>
        <w:t>, 425 F.2d 416, 423 (9th Cir. 1970);  s</w:t>
      </w:r>
      <w:r w:rsidRPr="00F51DA6">
        <w:rPr>
          <w:rFonts w:ascii="Times New Roman" w:eastAsia="Times New Roman" w:hAnsi="Times New Roman" w:cs="Times New Roman"/>
          <w:i/>
          <w:color w:val="000000"/>
          <w:kern w:val="0"/>
          <w14:ligatures w14:val="none"/>
        </w:rPr>
        <w:t>ee</w:t>
      </w:r>
      <w:r w:rsidRPr="00F51DA6">
        <w:rPr>
          <w:rFonts w:ascii="Times New Roman" w:eastAsia="Times New Roman" w:hAnsi="Times New Roman" w:cs="Times New Roman"/>
          <w:color w:val="000000"/>
          <w:kern w:val="0"/>
          <w14:ligatures w14:val="none"/>
        </w:rPr>
        <w:t xml:space="preserve"> Instruction 6.27 (Specific Issue Unanimity).</w:t>
      </w:r>
    </w:p>
    <w:p w14:paraId="029F9F49" w14:textId="77777777" w:rsidR="00F51DA6" w:rsidRPr="00F51DA6" w:rsidRDefault="00F51DA6" w:rsidP="00F51DA6">
      <w:pPr>
        <w:tabs>
          <w:tab w:val="left" w:pos="720"/>
        </w:tabs>
        <w:spacing w:after="0" w:line="240" w:lineRule="auto"/>
        <w:rPr>
          <w:rFonts w:ascii="Times New Roman" w:eastAsia="Times New Roman" w:hAnsi="Times New Roman" w:cs="Times New Roman"/>
          <w:color w:val="000000"/>
          <w:kern w:val="0"/>
          <w14:ligatures w14:val="none"/>
        </w:rPr>
      </w:pPr>
    </w:p>
    <w:p w14:paraId="40AE5935" w14:textId="77777777" w:rsidR="00F51DA6" w:rsidRPr="00F51DA6" w:rsidRDefault="00F51DA6" w:rsidP="00F51DA6">
      <w:pPr>
        <w:tabs>
          <w:tab w:val="left" w:pos="720"/>
        </w:tabs>
        <w:spacing w:after="0" w:line="240" w:lineRule="auto"/>
        <w:rPr>
          <w:rFonts w:ascii="Times New Roman" w:eastAsia="Times New Roman" w:hAnsi="Times New Roman" w:cs="Times New Roman"/>
          <w:color w:val="000000"/>
          <w:kern w:val="0"/>
          <w14:ligatures w14:val="none"/>
        </w:rPr>
      </w:pPr>
      <w:r w:rsidRPr="00F51DA6">
        <w:rPr>
          <w:rFonts w:ascii="Times New Roman" w:eastAsia="Times New Roman" w:hAnsi="Times New Roman" w:cs="Times New Roman"/>
          <w:color w:val="000000"/>
          <w:kern w:val="0"/>
          <w14:ligatures w14:val="none"/>
        </w:rPr>
        <w:tab/>
        <w:t xml:space="preserve">Materiality of the false declaration is an element of the offense and therefore an issue for the jury.  </w:t>
      </w:r>
      <w:r w:rsidRPr="00F51DA6">
        <w:rPr>
          <w:rFonts w:ascii="Times New Roman" w:eastAsia="Times New Roman" w:hAnsi="Times New Roman" w:cs="Times New Roman"/>
          <w:i/>
          <w:iCs/>
          <w:color w:val="000000"/>
          <w:kern w:val="0"/>
          <w14:ligatures w14:val="none"/>
        </w:rPr>
        <w:t>See</w:t>
      </w:r>
      <w:r w:rsidRPr="00F51DA6">
        <w:rPr>
          <w:rFonts w:ascii="Times New Roman" w:eastAsia="Times New Roman" w:hAnsi="Times New Roman" w:cs="Times New Roman"/>
          <w:i/>
          <w:color w:val="000000"/>
          <w:kern w:val="0"/>
          <w14:ligatures w14:val="none"/>
        </w:rPr>
        <w:t xml:space="preserve"> Johnson v. United States</w:t>
      </w:r>
      <w:r w:rsidRPr="00F51DA6">
        <w:rPr>
          <w:rFonts w:ascii="Times New Roman" w:eastAsia="Times New Roman" w:hAnsi="Times New Roman" w:cs="Times New Roman"/>
          <w:color w:val="000000"/>
          <w:kern w:val="0"/>
          <w14:ligatures w14:val="none"/>
        </w:rPr>
        <w:t xml:space="preserve">, 520 U.S. 461, 465-66 (1997).  The common law test for materiality in the false statement statutes, as reflected in the fourth element of this instruction, is the preferred formulation.  </w:t>
      </w:r>
      <w:r w:rsidRPr="00F51DA6">
        <w:rPr>
          <w:rFonts w:ascii="Times New Roman" w:eastAsia="Times New Roman" w:hAnsi="Times New Roman" w:cs="Times New Roman"/>
          <w:i/>
          <w:iCs/>
          <w:color w:val="000000"/>
          <w:kern w:val="0"/>
          <w14:ligatures w14:val="none"/>
        </w:rPr>
        <w:t>See</w:t>
      </w:r>
      <w:r w:rsidRPr="00F51DA6">
        <w:rPr>
          <w:rFonts w:ascii="Times New Roman" w:eastAsia="Times New Roman" w:hAnsi="Times New Roman" w:cs="Times New Roman"/>
          <w:i/>
          <w:color w:val="000000"/>
          <w:kern w:val="0"/>
          <w14:ligatures w14:val="none"/>
        </w:rPr>
        <w:t xml:space="preserve"> United States v. Peterson</w:t>
      </w:r>
      <w:r w:rsidRPr="00F51DA6">
        <w:rPr>
          <w:rFonts w:ascii="Times New Roman" w:eastAsia="Times New Roman" w:hAnsi="Times New Roman" w:cs="Times New Roman"/>
          <w:color w:val="000000"/>
          <w:kern w:val="0"/>
          <w14:ligatures w14:val="none"/>
        </w:rPr>
        <w:t xml:space="preserve">, 538 F.3d 1064, 1072 (9th Cir. 2008).  The government must present evidence from an earlier trial to prove that the statements were material; “simply offering the defendant’s statement itself is not enough.”  </w:t>
      </w:r>
      <w:r w:rsidRPr="00F51DA6">
        <w:rPr>
          <w:rFonts w:ascii="Times New Roman" w:eastAsia="Times New Roman" w:hAnsi="Times New Roman" w:cs="Times New Roman"/>
          <w:i/>
          <w:color w:val="000000"/>
          <w:kern w:val="0"/>
          <w14:ligatures w14:val="none"/>
        </w:rPr>
        <w:t>United States v. Leon-Reyes</w:t>
      </w:r>
      <w:r w:rsidRPr="00F51DA6">
        <w:rPr>
          <w:rFonts w:ascii="Times New Roman" w:eastAsia="Times New Roman" w:hAnsi="Times New Roman" w:cs="Times New Roman"/>
          <w:color w:val="000000"/>
          <w:kern w:val="0"/>
          <w14:ligatures w14:val="none"/>
        </w:rPr>
        <w:t>,</w:t>
      </w:r>
      <w:r w:rsidRPr="00F51DA6">
        <w:rPr>
          <w:rFonts w:ascii="Times New Roman" w:eastAsia="Times New Roman" w:hAnsi="Times New Roman" w:cs="Times New Roman"/>
          <w:i/>
          <w:color w:val="000000"/>
          <w:kern w:val="0"/>
          <w14:ligatures w14:val="none"/>
        </w:rPr>
        <w:t xml:space="preserve"> </w:t>
      </w:r>
      <w:r w:rsidRPr="00F51DA6">
        <w:rPr>
          <w:rFonts w:ascii="Times New Roman" w:eastAsia="Times New Roman" w:hAnsi="Times New Roman" w:cs="Times New Roman"/>
          <w:color w:val="000000"/>
          <w:kern w:val="0"/>
          <w14:ligatures w14:val="none"/>
        </w:rPr>
        <w:t xml:space="preserve">177 F.3d 816, 819 (9th Cir. 1999). </w:t>
      </w:r>
    </w:p>
    <w:p w14:paraId="7BA12E1B" w14:textId="77777777" w:rsidR="00F51DA6" w:rsidRPr="00F51DA6" w:rsidRDefault="00F51DA6" w:rsidP="00F51DA6">
      <w:pPr>
        <w:tabs>
          <w:tab w:val="left" w:pos="720"/>
        </w:tabs>
        <w:spacing w:after="0" w:line="240" w:lineRule="auto"/>
        <w:rPr>
          <w:rFonts w:ascii="Times New Roman" w:eastAsia="Times New Roman" w:hAnsi="Times New Roman" w:cs="Times New Roman"/>
          <w:color w:val="000000"/>
          <w:kern w:val="0"/>
          <w14:ligatures w14:val="none"/>
        </w:rPr>
      </w:pPr>
    </w:p>
    <w:p w14:paraId="7172A935" w14:textId="77777777" w:rsidR="00F51DA6" w:rsidRPr="00F51DA6" w:rsidRDefault="00F51DA6" w:rsidP="00F51DA6">
      <w:pPr>
        <w:tabs>
          <w:tab w:val="left" w:pos="720"/>
        </w:tabs>
        <w:spacing w:after="0" w:line="240" w:lineRule="auto"/>
        <w:rPr>
          <w:rFonts w:ascii="Times New Roman" w:eastAsia="Times New Roman" w:hAnsi="Times New Roman" w:cs="Times New Roman"/>
          <w:color w:val="000000"/>
          <w:kern w:val="0"/>
          <w14:ligatures w14:val="none"/>
        </w:rPr>
      </w:pPr>
      <w:r w:rsidRPr="00F51DA6">
        <w:rPr>
          <w:rFonts w:ascii="Times New Roman" w:eastAsia="Times New Roman" w:hAnsi="Times New Roman" w:cs="Times New Roman"/>
          <w:color w:val="000000"/>
          <w:kern w:val="0"/>
          <w14:ligatures w14:val="none"/>
        </w:rPr>
        <w:tab/>
        <w:t xml:space="preserve">Because the jury must determine whether a statement is material under </w:t>
      </w:r>
      <w:r w:rsidRPr="00F51DA6">
        <w:rPr>
          <w:rFonts w:ascii="Times New Roman" w:eastAsia="Times New Roman" w:hAnsi="Times New Roman" w:cs="Times New Roman"/>
          <w:i/>
          <w:color w:val="000000"/>
          <w:kern w:val="0"/>
          <w14:ligatures w14:val="none"/>
        </w:rPr>
        <w:t>Johnson</w:t>
      </w:r>
      <w:r w:rsidRPr="00F51DA6">
        <w:rPr>
          <w:rFonts w:ascii="Times New Roman" w:eastAsia="Times New Roman" w:hAnsi="Times New Roman" w:cs="Times New Roman"/>
          <w:color w:val="000000"/>
          <w:kern w:val="0"/>
          <w14:ligatures w14:val="none"/>
        </w:rPr>
        <w:t xml:space="preserve">, the definition of materiality has been included in this instruction.  </w:t>
      </w:r>
      <w:r w:rsidRPr="00F51DA6">
        <w:rPr>
          <w:rFonts w:ascii="Times New Roman" w:eastAsia="Times New Roman" w:hAnsi="Times New Roman" w:cs="Times New Roman"/>
          <w:i/>
          <w:color w:val="000000"/>
          <w:kern w:val="0"/>
          <w14:ligatures w14:val="none"/>
        </w:rPr>
        <w:t>United States v. McKenna</w:t>
      </w:r>
      <w:r w:rsidRPr="00F51DA6">
        <w:rPr>
          <w:rFonts w:ascii="Times New Roman" w:eastAsia="Times New Roman" w:hAnsi="Times New Roman" w:cs="Times New Roman"/>
          <w:color w:val="000000"/>
          <w:kern w:val="0"/>
          <w14:ligatures w14:val="none"/>
        </w:rPr>
        <w:t>, 327 F.3d 830, 839 (9th Cir. 2003) (discussing materiality of false statements in context of perjury).</w:t>
      </w:r>
    </w:p>
    <w:p w14:paraId="56D24991" w14:textId="77777777" w:rsidR="00F51DA6" w:rsidRPr="00F51DA6" w:rsidRDefault="00F51DA6" w:rsidP="00F51DA6">
      <w:pPr>
        <w:tabs>
          <w:tab w:val="left" w:pos="720"/>
        </w:tabs>
        <w:spacing w:after="0" w:line="240" w:lineRule="auto"/>
        <w:rPr>
          <w:rFonts w:ascii="Times New Roman" w:eastAsia="Times New Roman" w:hAnsi="Times New Roman" w:cs="Times New Roman"/>
          <w:color w:val="000000"/>
          <w:kern w:val="0"/>
          <w14:ligatures w14:val="none"/>
        </w:rPr>
      </w:pPr>
    </w:p>
    <w:p w14:paraId="5C5D2E7E" w14:textId="77777777" w:rsidR="00F51DA6" w:rsidRPr="00F51DA6" w:rsidRDefault="00F51DA6" w:rsidP="00F51DA6">
      <w:pPr>
        <w:tabs>
          <w:tab w:val="left" w:pos="720"/>
        </w:tabs>
        <w:spacing w:after="0" w:line="240" w:lineRule="auto"/>
        <w:rPr>
          <w:rFonts w:ascii="Times New Roman" w:eastAsia="Times New Roman" w:hAnsi="Times New Roman" w:cs="Times New Roman"/>
          <w:color w:val="000000"/>
          <w:kern w:val="0"/>
          <w14:ligatures w14:val="none"/>
        </w:rPr>
      </w:pPr>
      <w:r w:rsidRPr="00F51DA6">
        <w:rPr>
          <w:rFonts w:ascii="Times New Roman" w:eastAsia="Times New Roman" w:hAnsi="Times New Roman" w:cs="Times New Roman"/>
          <w:color w:val="000000"/>
          <w:kern w:val="0"/>
          <w14:ligatures w14:val="none"/>
        </w:rPr>
        <w:lastRenderedPageBreak/>
        <w:tab/>
        <w:t xml:space="preserve">Whether a statement that may be literally true can support a conviction requires careful consideration.  </w:t>
      </w:r>
      <w:r w:rsidRPr="00F51DA6">
        <w:rPr>
          <w:rFonts w:ascii="Times New Roman" w:eastAsia="Times New Roman" w:hAnsi="Times New Roman" w:cs="Times New Roman"/>
          <w:i/>
          <w:color w:val="000000"/>
          <w:kern w:val="0"/>
          <w14:ligatures w14:val="none"/>
        </w:rPr>
        <w:t>See</w:t>
      </w:r>
      <w:r w:rsidRPr="00F51DA6">
        <w:rPr>
          <w:rFonts w:ascii="Times New Roman" w:eastAsia="Times New Roman" w:hAnsi="Times New Roman" w:cs="Times New Roman"/>
          <w:color w:val="000000"/>
          <w:kern w:val="0"/>
          <w14:ligatures w14:val="none"/>
        </w:rPr>
        <w:t xml:space="preserve"> </w:t>
      </w:r>
      <w:r w:rsidRPr="00F51DA6">
        <w:rPr>
          <w:rFonts w:ascii="Times New Roman" w:eastAsia="Times New Roman" w:hAnsi="Times New Roman" w:cs="Times New Roman"/>
          <w:i/>
          <w:color w:val="000000"/>
          <w:kern w:val="0"/>
          <w14:ligatures w14:val="none"/>
        </w:rPr>
        <w:t>United States v. Thomas</w:t>
      </w:r>
      <w:r w:rsidRPr="00F51DA6">
        <w:rPr>
          <w:rFonts w:ascii="Times New Roman" w:eastAsia="Times New Roman" w:hAnsi="Times New Roman" w:cs="Times New Roman"/>
          <w:color w:val="000000"/>
          <w:kern w:val="0"/>
          <w14:ligatures w14:val="none"/>
        </w:rPr>
        <w:t xml:space="preserve">, 612 F.3d 1107, 1121-23 (9th Cir. 2010).  If the defendant’s theory of defense is that his or her statement was literally true, some modification of the instruction may be appropriate. </w:t>
      </w:r>
      <w:r w:rsidRPr="00F51DA6">
        <w:rPr>
          <w:rFonts w:ascii="Times New Roman" w:eastAsia="Times New Roman" w:hAnsi="Times New Roman" w:cs="Times New Roman"/>
          <w:i/>
          <w:color w:val="000000"/>
          <w:kern w:val="0"/>
          <w14:ligatures w14:val="none"/>
        </w:rPr>
        <w:t xml:space="preserve"> Id.</w:t>
      </w:r>
    </w:p>
    <w:p w14:paraId="7DCD8A69" w14:textId="77777777" w:rsidR="00F51DA6" w:rsidRPr="00F51DA6" w:rsidRDefault="00F51DA6" w:rsidP="00F51DA6">
      <w:pPr>
        <w:tabs>
          <w:tab w:val="left" w:pos="720"/>
        </w:tabs>
        <w:spacing w:after="0" w:line="240" w:lineRule="auto"/>
        <w:rPr>
          <w:rFonts w:ascii="Times New Roman" w:eastAsia="Times New Roman" w:hAnsi="Times New Roman" w:cs="Times New Roman"/>
          <w:color w:val="000000"/>
          <w:kern w:val="0"/>
          <w14:ligatures w14:val="none"/>
        </w:rPr>
      </w:pPr>
    </w:p>
    <w:p w14:paraId="5143DAE6" w14:textId="77777777" w:rsidR="00F51DA6" w:rsidRPr="00F51DA6" w:rsidRDefault="00F51DA6" w:rsidP="00F51DA6">
      <w:pPr>
        <w:tabs>
          <w:tab w:val="left" w:pos="720"/>
        </w:tabs>
        <w:spacing w:after="0" w:line="240" w:lineRule="auto"/>
        <w:rPr>
          <w:rFonts w:ascii="Times New Roman" w:eastAsia="Times New Roman" w:hAnsi="Times New Roman" w:cs="Times New Roman"/>
          <w:color w:val="000000"/>
          <w:kern w:val="0"/>
          <w14:ligatures w14:val="none"/>
        </w:rPr>
      </w:pPr>
      <w:r w:rsidRPr="00F51DA6">
        <w:rPr>
          <w:rFonts w:ascii="Times New Roman" w:eastAsia="Times New Roman" w:hAnsi="Times New Roman" w:cs="Times New Roman"/>
          <w:color w:val="000000"/>
          <w:kern w:val="0"/>
          <w14:ligatures w14:val="none"/>
        </w:rPr>
        <w:tab/>
        <w:t xml:space="preserve">Note that § 1623 applies only to “any proceeding before or ancillary to any court or grand jury of the United States.” An “ancillary proceeding” is “an action conducted by a judicial representative or an action conducted pursuant to explicit statutory or judicial procedures.” </w:t>
      </w:r>
      <w:r w:rsidRPr="00F51DA6">
        <w:rPr>
          <w:rFonts w:ascii="Times New Roman" w:eastAsia="Times New Roman" w:hAnsi="Times New Roman" w:cs="Times New Roman"/>
          <w:i/>
          <w:color w:val="000000"/>
          <w:kern w:val="0"/>
          <w14:ligatures w14:val="none"/>
        </w:rPr>
        <w:t>United States v. Tibbs,</w:t>
      </w:r>
      <w:r w:rsidRPr="00F51DA6">
        <w:rPr>
          <w:rFonts w:ascii="Times New Roman" w:eastAsia="Times New Roman" w:hAnsi="Times New Roman" w:cs="Times New Roman"/>
          <w:color w:val="000000"/>
          <w:kern w:val="0"/>
          <w14:ligatures w14:val="none"/>
        </w:rPr>
        <w:t xml:space="preserve"> 600 F.2d 19, 21 (6th Cir. 1979); s</w:t>
      </w:r>
      <w:r w:rsidRPr="00F51DA6">
        <w:rPr>
          <w:rFonts w:ascii="Times New Roman" w:eastAsia="Times New Roman" w:hAnsi="Times New Roman" w:cs="Times New Roman"/>
          <w:i/>
          <w:color w:val="000000"/>
          <w:kern w:val="0"/>
          <w14:ligatures w14:val="none"/>
        </w:rPr>
        <w:t>ee also United States v. Krogh</w:t>
      </w:r>
      <w:r w:rsidRPr="00F51DA6">
        <w:rPr>
          <w:rFonts w:ascii="Times New Roman" w:eastAsia="Times New Roman" w:hAnsi="Times New Roman" w:cs="Times New Roman"/>
          <w:color w:val="000000"/>
          <w:kern w:val="0"/>
          <w14:ligatures w14:val="none"/>
        </w:rPr>
        <w:t>, 366 F. Supp. 1255, 1256 (D.D.C.1973) (discussing sworn deposition in ancillary proceeding).</w:t>
      </w:r>
    </w:p>
    <w:p w14:paraId="33319407" w14:textId="77777777" w:rsidR="00F51DA6" w:rsidRPr="00F51DA6" w:rsidRDefault="00F51DA6" w:rsidP="00F51DA6">
      <w:pPr>
        <w:tabs>
          <w:tab w:val="left" w:pos="720"/>
        </w:tabs>
        <w:spacing w:after="0" w:line="240" w:lineRule="auto"/>
        <w:rPr>
          <w:rFonts w:ascii="Times New Roman" w:eastAsia="Times New Roman" w:hAnsi="Times New Roman" w:cs="Times New Roman"/>
          <w:color w:val="000000"/>
          <w:kern w:val="0"/>
          <w14:ligatures w14:val="none"/>
        </w:rPr>
      </w:pPr>
    </w:p>
    <w:p w14:paraId="1008AEA8" w14:textId="77777777" w:rsidR="00F51DA6" w:rsidRPr="00F51DA6" w:rsidRDefault="00F51DA6" w:rsidP="00F51DA6">
      <w:pPr>
        <w:tabs>
          <w:tab w:val="left" w:pos="720"/>
        </w:tabs>
        <w:spacing w:after="0" w:line="240" w:lineRule="auto"/>
        <w:rPr>
          <w:rFonts w:ascii="Times New Roman" w:eastAsia="Times New Roman" w:hAnsi="Times New Roman" w:cs="Times New Roman"/>
          <w:color w:val="000000"/>
          <w:kern w:val="0"/>
          <w14:ligatures w14:val="none"/>
        </w:rPr>
      </w:pPr>
      <w:r w:rsidRPr="00F51DA6">
        <w:rPr>
          <w:rFonts w:ascii="Times New Roman" w:eastAsia="Times New Roman" w:hAnsi="Times New Roman" w:cs="Times New Roman"/>
          <w:color w:val="000000"/>
          <w:kern w:val="0"/>
          <w14:ligatures w14:val="none"/>
        </w:rPr>
        <w:tab/>
        <w:t>Section 1623(c) authorizes a person to be accused of having “made two or more declarations, which are inconsistent to the degree that one of them is necessarily false,” and the government is not required to specify which declaration is false.</w:t>
      </w:r>
    </w:p>
    <w:p w14:paraId="38211BE7" w14:textId="77777777" w:rsidR="00F51DA6" w:rsidRPr="00F51DA6" w:rsidRDefault="00F51DA6" w:rsidP="00F51DA6">
      <w:pPr>
        <w:tabs>
          <w:tab w:val="left" w:pos="720"/>
        </w:tabs>
        <w:spacing w:after="0" w:line="240" w:lineRule="auto"/>
        <w:rPr>
          <w:rFonts w:ascii="Times New Roman" w:eastAsia="Times New Roman" w:hAnsi="Times New Roman" w:cs="Times New Roman"/>
          <w:color w:val="000000"/>
          <w:kern w:val="0"/>
          <w14:ligatures w14:val="none"/>
        </w:rPr>
      </w:pPr>
    </w:p>
    <w:p w14:paraId="1D5DAB9C" w14:textId="61E28F66" w:rsidR="00F51DA6" w:rsidRDefault="00F51DA6" w:rsidP="00F51DA6">
      <w:pPr>
        <w:tabs>
          <w:tab w:val="left" w:pos="720"/>
        </w:tabs>
        <w:spacing w:after="0" w:line="240" w:lineRule="auto"/>
        <w:jc w:val="right"/>
      </w:pPr>
      <w:r w:rsidRPr="00F51DA6">
        <w:rPr>
          <w:rFonts w:ascii="Times New Roman" w:eastAsia="Times New Roman" w:hAnsi="Times New Roman" w:cs="Times New Roman"/>
          <w:i/>
          <w:iCs/>
          <w:color w:val="000000"/>
          <w:kern w:val="0"/>
          <w14:ligatures w14:val="none"/>
        </w:rPr>
        <w:t>Revised September 2025</w:t>
      </w:r>
    </w:p>
    <w:sectPr w:rsidR="00F51D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DA6"/>
    <w:rsid w:val="001A542E"/>
    <w:rsid w:val="00F51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E51A0"/>
  <w15:chartTrackingRefBased/>
  <w15:docId w15:val="{102D1FFF-9673-48D6-9CE9-62129138D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1D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D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D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D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D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D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D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D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D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D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D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D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D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D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D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D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D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DA6"/>
    <w:rPr>
      <w:rFonts w:eastAsiaTheme="majorEastAsia" w:cstheme="majorBidi"/>
      <w:color w:val="272727" w:themeColor="text1" w:themeTint="D8"/>
    </w:rPr>
  </w:style>
  <w:style w:type="paragraph" w:styleId="Title">
    <w:name w:val="Title"/>
    <w:basedOn w:val="Normal"/>
    <w:next w:val="Normal"/>
    <w:link w:val="TitleChar"/>
    <w:uiPriority w:val="10"/>
    <w:qFormat/>
    <w:rsid w:val="00F51D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D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D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D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DA6"/>
    <w:pPr>
      <w:spacing w:before="160"/>
      <w:jc w:val="center"/>
    </w:pPr>
    <w:rPr>
      <w:i/>
      <w:iCs/>
      <w:color w:val="404040" w:themeColor="text1" w:themeTint="BF"/>
    </w:rPr>
  </w:style>
  <w:style w:type="character" w:customStyle="1" w:styleId="QuoteChar">
    <w:name w:val="Quote Char"/>
    <w:basedOn w:val="DefaultParagraphFont"/>
    <w:link w:val="Quote"/>
    <w:uiPriority w:val="29"/>
    <w:rsid w:val="00F51DA6"/>
    <w:rPr>
      <w:i/>
      <w:iCs/>
      <w:color w:val="404040" w:themeColor="text1" w:themeTint="BF"/>
    </w:rPr>
  </w:style>
  <w:style w:type="paragraph" w:styleId="ListParagraph">
    <w:name w:val="List Paragraph"/>
    <w:basedOn w:val="Normal"/>
    <w:uiPriority w:val="34"/>
    <w:qFormat/>
    <w:rsid w:val="00F51DA6"/>
    <w:pPr>
      <w:ind w:left="720"/>
      <w:contextualSpacing/>
    </w:pPr>
  </w:style>
  <w:style w:type="character" w:styleId="IntenseEmphasis">
    <w:name w:val="Intense Emphasis"/>
    <w:basedOn w:val="DefaultParagraphFont"/>
    <w:uiPriority w:val="21"/>
    <w:qFormat/>
    <w:rsid w:val="00F51DA6"/>
    <w:rPr>
      <w:i/>
      <w:iCs/>
      <w:color w:val="0F4761" w:themeColor="accent1" w:themeShade="BF"/>
    </w:rPr>
  </w:style>
  <w:style w:type="paragraph" w:styleId="IntenseQuote">
    <w:name w:val="Intense Quote"/>
    <w:basedOn w:val="Normal"/>
    <w:next w:val="Normal"/>
    <w:link w:val="IntenseQuoteChar"/>
    <w:uiPriority w:val="30"/>
    <w:qFormat/>
    <w:rsid w:val="00F51D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DA6"/>
    <w:rPr>
      <w:i/>
      <w:iCs/>
      <w:color w:val="0F4761" w:themeColor="accent1" w:themeShade="BF"/>
    </w:rPr>
  </w:style>
  <w:style w:type="character" w:styleId="IntenseReference">
    <w:name w:val="Intense Reference"/>
    <w:basedOn w:val="DefaultParagraphFont"/>
    <w:uiPriority w:val="32"/>
    <w:qFormat/>
    <w:rsid w:val="00F51D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2958</Characters>
  <Application>Microsoft Office Word</Application>
  <DocSecurity>0</DocSecurity>
  <Lines>24</Lines>
  <Paragraphs>6</Paragraphs>
  <ScaleCrop>false</ScaleCrop>
  <Company>United States Courts</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Samriddhi Rana</cp:lastModifiedBy>
  <cp:revision>1</cp:revision>
  <dcterms:created xsi:type="dcterms:W3CDTF">2025-10-18T05:23:00Z</dcterms:created>
  <dcterms:modified xsi:type="dcterms:W3CDTF">2025-10-18T05:37:00Z</dcterms:modified>
</cp:coreProperties>
</file>