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32F8" w14:textId="77777777" w:rsidR="00CD0E2C" w:rsidRPr="00CD0E2C" w:rsidRDefault="00CD0E2C" w:rsidP="00CD0E2C">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63"/>
      <w:bookmarkStart w:id="1" w:name="_Toc83310934"/>
      <w:bookmarkStart w:id="2" w:name="_Toc83362719"/>
      <w:bookmarkStart w:id="3" w:name="_Toc83363128"/>
      <w:bookmarkStart w:id="4" w:name="_Toc90310187"/>
      <w:bookmarkStart w:id="5" w:name="_Toc90390045"/>
      <w:bookmarkStart w:id="6" w:name="_Toc211607504"/>
      <w:r w:rsidRPr="00CD0E2C">
        <w:rPr>
          <w:rFonts w:ascii="Times New Roman" w:eastAsia="Calibri" w:hAnsi="Times New Roman" w:cs="Times New Roman"/>
          <w:b/>
          <w:bCs/>
          <w:kern w:val="0"/>
          <w14:ligatures w14:val="none"/>
        </w:rPr>
        <w:t>24.20 Excavating or Trafficking in Archaeological Resources (16 U.S.C. § 470ee(a), (b)(2))</w:t>
      </w:r>
      <w:bookmarkEnd w:id="0"/>
      <w:bookmarkEnd w:id="1"/>
      <w:bookmarkEnd w:id="2"/>
      <w:bookmarkEnd w:id="3"/>
      <w:bookmarkEnd w:id="4"/>
      <w:bookmarkEnd w:id="5"/>
      <w:bookmarkEnd w:id="6"/>
    </w:p>
    <w:p w14:paraId="6A101009"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05440F1A"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The defendant is charged in [Count _______ of] the indictment with [excavating] [trafficking in] archaeological resources in violation of Section [470ee(a)] [470ee(b)(2)] of Title 16 the United States Code.  For the defendant to be found guilty of that charge, the government must prove each of the following elements beyond a reasonable doubt:</w:t>
      </w:r>
    </w:p>
    <w:p w14:paraId="1F040627"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786CD85C"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[First, the defendant knowingly [[excavated] [removed] [damaged] [altered] [defaced]] [</w:t>
      </w:r>
      <w:r w:rsidRPr="00CD0E2C">
        <w:rPr>
          <w:rFonts w:ascii="Times New Roman" w:eastAsia="Times New Roman" w:hAnsi="Times New Roman" w:cs="Times New Roman"/>
          <w:i/>
          <w:color w:val="000000"/>
          <w:kern w:val="0"/>
          <w:u w:val="single"/>
          <w14:ligatures w14:val="none"/>
        </w:rPr>
        <w:t>specify archaeological resource</w:t>
      </w:r>
      <w:r w:rsidRPr="00CD0E2C">
        <w:rPr>
          <w:rFonts w:ascii="Times New Roman" w:eastAsia="Times New Roman" w:hAnsi="Times New Roman" w:cs="Times New Roman"/>
          <w:color w:val="000000"/>
          <w:kern w:val="0"/>
          <w14:ligatures w14:val="none"/>
        </w:rPr>
        <w:t xml:space="preserve">] while knowing that it was of archaeological interest and at least 100 years of age;] </w:t>
      </w:r>
    </w:p>
    <w:p w14:paraId="02B54B98"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0021B79A" w14:textId="77777777" w:rsidR="00CD0E2C" w:rsidRPr="00CD0E2C" w:rsidRDefault="00CD0E2C" w:rsidP="00CD0E2C">
      <w:pPr>
        <w:tabs>
          <w:tab w:val="left" w:pos="720"/>
        </w:tabs>
        <w:spacing w:after="0" w:line="240" w:lineRule="auto"/>
        <w:jc w:val="center"/>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i/>
          <w:color w:val="000000"/>
          <w:kern w:val="0"/>
          <w14:ligatures w14:val="none"/>
        </w:rPr>
        <w:t>or</w:t>
      </w:r>
    </w:p>
    <w:p w14:paraId="288D36F6"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4C8245B1"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[First, the defendant knowingly [[sold] [purchased] [exchanged] [transported] [received] [offered to sell] [offered to purchase] [offered to exchange]] [</w:t>
      </w:r>
      <w:r w:rsidRPr="00CD0E2C">
        <w:rPr>
          <w:rFonts w:ascii="Times New Roman" w:eastAsia="Times New Roman" w:hAnsi="Times New Roman" w:cs="Times New Roman"/>
          <w:i/>
          <w:color w:val="000000"/>
          <w:kern w:val="0"/>
          <w:u w:val="single"/>
          <w14:ligatures w14:val="none"/>
        </w:rPr>
        <w:t>specify archaeological resource</w:t>
      </w:r>
      <w:r w:rsidRPr="00CD0E2C">
        <w:rPr>
          <w:rFonts w:ascii="Times New Roman" w:eastAsia="Times New Roman" w:hAnsi="Times New Roman" w:cs="Times New Roman"/>
          <w:color w:val="000000"/>
          <w:kern w:val="0"/>
          <w14:ligatures w14:val="none"/>
        </w:rPr>
        <w:t>] while knowing that it was of archaeological interest and at least 100 years of age;]</w:t>
      </w:r>
    </w:p>
    <w:p w14:paraId="3CB86813"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097D7367"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Second, the [</w:t>
      </w:r>
      <w:r w:rsidRPr="00CD0E2C">
        <w:rPr>
          <w:rFonts w:ascii="Times New Roman" w:eastAsia="Times New Roman" w:hAnsi="Times New Roman" w:cs="Times New Roman"/>
          <w:i/>
          <w:color w:val="000000"/>
          <w:kern w:val="0"/>
          <w:u w:val="single"/>
          <w14:ligatures w14:val="none"/>
        </w:rPr>
        <w:t>specify archaeological resource</w:t>
      </w:r>
      <w:r w:rsidRPr="00CD0E2C">
        <w:rPr>
          <w:rFonts w:ascii="Times New Roman" w:eastAsia="Times New Roman" w:hAnsi="Times New Roman" w:cs="Times New Roman"/>
          <w:color w:val="000000"/>
          <w:kern w:val="0"/>
          <w14:ligatures w14:val="none"/>
        </w:rPr>
        <w:t>] was [[located on] [removed from]] [</w:t>
      </w:r>
      <w:r w:rsidRPr="00CD0E2C">
        <w:rPr>
          <w:rFonts w:ascii="Times New Roman" w:eastAsia="Times New Roman" w:hAnsi="Times New Roman" w:cs="Times New Roman"/>
          <w:i/>
          <w:color w:val="000000"/>
          <w:kern w:val="0"/>
          <w:u w:val="single"/>
          <w14:ligatures w14:val="none"/>
        </w:rPr>
        <w:t>specify public or Indian lands</w:t>
      </w:r>
      <w:r w:rsidRPr="00CD0E2C">
        <w:rPr>
          <w:rFonts w:ascii="Times New Roman" w:eastAsia="Times New Roman" w:hAnsi="Times New Roman" w:cs="Times New Roman"/>
          <w:color w:val="000000"/>
          <w:kern w:val="0"/>
          <w14:ligatures w14:val="none"/>
        </w:rPr>
        <w:t>]; and</w:t>
      </w:r>
    </w:p>
    <w:p w14:paraId="2CC0E95F"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7FC5A8C4"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Third, the defendant acted without a permit to do so from [</w:t>
      </w:r>
      <w:r w:rsidRPr="00CD0E2C">
        <w:rPr>
          <w:rFonts w:ascii="Times New Roman" w:eastAsia="Times New Roman" w:hAnsi="Times New Roman" w:cs="Times New Roman"/>
          <w:i/>
          <w:color w:val="000000"/>
          <w:kern w:val="0"/>
          <w:u w:val="single"/>
          <w14:ligatures w14:val="none"/>
        </w:rPr>
        <w:t>specify federal land manager</w:t>
      </w:r>
      <w:r w:rsidRPr="00CD0E2C">
        <w:rPr>
          <w:rFonts w:ascii="Times New Roman" w:eastAsia="Times New Roman" w:hAnsi="Times New Roman" w:cs="Times New Roman"/>
          <w:color w:val="000000"/>
          <w:kern w:val="0"/>
          <w14:ligatures w14:val="none"/>
        </w:rPr>
        <w:t>].</w:t>
      </w:r>
    </w:p>
    <w:p w14:paraId="5CE85D70"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595583CD"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The government is not required to prove that the defendant knew that the [</w:t>
      </w:r>
      <w:r w:rsidRPr="00CD0E2C">
        <w:rPr>
          <w:rFonts w:ascii="Times New Roman" w:eastAsia="Times New Roman" w:hAnsi="Times New Roman" w:cs="Times New Roman"/>
          <w:i/>
          <w:color w:val="000000"/>
          <w:kern w:val="0"/>
          <w:u w:val="single"/>
          <w14:ligatures w14:val="none"/>
        </w:rPr>
        <w:t>specify archaeological resource</w:t>
      </w:r>
      <w:r w:rsidRPr="00CD0E2C">
        <w:rPr>
          <w:rFonts w:ascii="Times New Roman" w:eastAsia="Times New Roman" w:hAnsi="Times New Roman" w:cs="Times New Roman"/>
          <w:color w:val="000000"/>
          <w:kern w:val="0"/>
          <w14:ligatures w14:val="none"/>
        </w:rPr>
        <w:t>] was [[located on] [removed from]] [[public] [Indian]] land.</w:t>
      </w:r>
    </w:p>
    <w:p w14:paraId="40AE41D0"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781FA971" w14:textId="77777777" w:rsidR="00CD0E2C" w:rsidRPr="00CD0E2C" w:rsidRDefault="00CD0E2C" w:rsidP="00CD0E2C">
      <w:pPr>
        <w:tabs>
          <w:tab w:val="left" w:pos="720"/>
        </w:tabs>
        <w:spacing w:after="0" w:line="240" w:lineRule="auto"/>
        <w:ind w:right="-180"/>
        <w:jc w:val="center"/>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b/>
          <w:color w:val="000000"/>
          <w:kern w:val="0"/>
          <w14:ligatures w14:val="none"/>
        </w:rPr>
        <w:t>Comment</w:t>
      </w:r>
    </w:p>
    <w:p w14:paraId="71B44EEE"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2D44FC78"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 xml:space="preserve">A felony prosecution under the Archaeological Resources Protection Act requires proof that the defendant knew, or at least had reason to know, that the object taken is an “archaeological resource”; otherwise, the offense is a misdemeanor and knowledge that the object is of archaeological interest is not an element. </w:t>
      </w:r>
      <w:r w:rsidRPr="00CD0E2C">
        <w:rPr>
          <w:rFonts w:ascii="Times New Roman" w:eastAsia="Times New Roman" w:hAnsi="Times New Roman" w:cs="Times New Roman"/>
          <w:i/>
          <w:color w:val="000000"/>
          <w:kern w:val="0"/>
          <w14:ligatures w14:val="none"/>
        </w:rPr>
        <w:t xml:space="preserve"> </w:t>
      </w:r>
      <w:r w:rsidRPr="00CD0E2C">
        <w:rPr>
          <w:rFonts w:ascii="Times New Roman" w:eastAsia="Times New Roman" w:hAnsi="Times New Roman" w:cs="Times New Roman"/>
          <w:i/>
          <w:iCs/>
          <w:color w:val="000000"/>
          <w:kern w:val="0"/>
          <w14:ligatures w14:val="none"/>
        </w:rPr>
        <w:t>See</w:t>
      </w:r>
      <w:r w:rsidRPr="00CD0E2C">
        <w:rPr>
          <w:rFonts w:ascii="Times New Roman" w:eastAsia="Times New Roman" w:hAnsi="Times New Roman" w:cs="Times New Roman"/>
          <w:i/>
          <w:color w:val="000000"/>
          <w:kern w:val="0"/>
          <w14:ligatures w14:val="none"/>
        </w:rPr>
        <w:t xml:space="preserve"> United States v. Lynch</w:t>
      </w:r>
      <w:r w:rsidRPr="00CD0E2C">
        <w:rPr>
          <w:rFonts w:ascii="Times New Roman" w:eastAsia="Times New Roman" w:hAnsi="Times New Roman" w:cs="Times New Roman"/>
          <w:color w:val="000000"/>
          <w:kern w:val="0"/>
          <w14:ligatures w14:val="none"/>
        </w:rPr>
        <w:t>,</w:t>
      </w:r>
      <w:r w:rsidRPr="00CD0E2C">
        <w:rPr>
          <w:rFonts w:ascii="Times New Roman" w:eastAsia="Times New Roman" w:hAnsi="Times New Roman" w:cs="Times New Roman"/>
          <w:i/>
          <w:color w:val="000000"/>
          <w:kern w:val="0"/>
          <w14:ligatures w14:val="none"/>
        </w:rPr>
        <w:t xml:space="preserve"> </w:t>
      </w:r>
      <w:r w:rsidRPr="00CD0E2C">
        <w:rPr>
          <w:rFonts w:ascii="Times New Roman" w:eastAsia="Times New Roman" w:hAnsi="Times New Roman" w:cs="Times New Roman"/>
          <w:color w:val="000000"/>
          <w:kern w:val="0"/>
          <w14:ligatures w14:val="none"/>
        </w:rPr>
        <w:t>233 F.3d 1139, 1145-46 (9th Cir. 2000) (discussing prosecution under 16 U.S.C. § 470ee(a)).</w:t>
      </w:r>
    </w:p>
    <w:p w14:paraId="4A9652BF"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03F14A59"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 xml:space="preserve">Knowledge that the archaeological resource was on government land is not an element of the offense, only a jurisdictional prerequisite for prosecution.  </w:t>
      </w:r>
      <w:r w:rsidRPr="00CD0E2C">
        <w:rPr>
          <w:rFonts w:ascii="Times New Roman" w:eastAsia="Times New Roman" w:hAnsi="Times New Roman" w:cs="Times New Roman"/>
          <w:i/>
          <w:color w:val="000000"/>
          <w:kern w:val="0"/>
          <w14:ligatures w14:val="none"/>
        </w:rPr>
        <w:t>Cf. United States v. Howey,</w:t>
      </w:r>
      <w:r w:rsidRPr="00CD0E2C">
        <w:rPr>
          <w:rFonts w:ascii="Times New Roman" w:eastAsia="Times New Roman" w:hAnsi="Times New Roman" w:cs="Times New Roman"/>
          <w:color w:val="000000"/>
          <w:kern w:val="0"/>
          <w14:ligatures w14:val="none"/>
        </w:rPr>
        <w:t xml:space="preserve"> 427 F.2d 1017 (9th Cir. 1970) (holding that defendant’s knowledge of government ownership of property is not element of the offense of theft of government property under 18 U.S.C. § 641).</w:t>
      </w:r>
    </w:p>
    <w:p w14:paraId="5ABDED74"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434B7307"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 xml:space="preserve">Statutory maximum sentences are increased for offenses if the commercial or archaeological value of the archaeological resources at issue and the cost of restoration and repair of such resources exceeds the sum of $500.  If the value of the resource is disputed, the jury should be instructed to make a finding of whether the value was more than $500.  Archaeological value is what it would have cost the United States to engage in a full-blown archaeological dig to recover the archaeological information protected by the Act.  </w:t>
      </w:r>
      <w:r w:rsidRPr="00CD0E2C">
        <w:rPr>
          <w:rFonts w:ascii="Times New Roman" w:eastAsia="Times New Roman" w:hAnsi="Times New Roman" w:cs="Times New Roman"/>
          <w:i/>
          <w:color w:val="000000"/>
          <w:kern w:val="0"/>
          <w14:ligatures w14:val="none"/>
        </w:rPr>
        <w:t>United States v. Ligon</w:t>
      </w:r>
      <w:r w:rsidRPr="00CD0E2C">
        <w:rPr>
          <w:rFonts w:ascii="Times New Roman" w:eastAsia="Times New Roman" w:hAnsi="Times New Roman" w:cs="Times New Roman"/>
          <w:color w:val="000000"/>
          <w:kern w:val="0"/>
          <w14:ligatures w14:val="none"/>
        </w:rPr>
        <w:t>, 440 F.3d 1182, 1185 (9th Cir. 2006).</w:t>
      </w:r>
    </w:p>
    <w:p w14:paraId="40889EFF"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5448731A"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r w:rsidRPr="00CD0E2C">
        <w:rPr>
          <w:rFonts w:ascii="Times New Roman" w:eastAsia="Times New Roman" w:hAnsi="Times New Roman" w:cs="Times New Roman"/>
          <w:color w:val="000000"/>
          <w:kern w:val="0"/>
          <w14:ligatures w14:val="none"/>
        </w:rPr>
        <w:tab/>
        <w:t xml:space="preserve">For a definition of “archaeological resource,” </w:t>
      </w:r>
      <w:r w:rsidRPr="00CD0E2C">
        <w:rPr>
          <w:rFonts w:ascii="Times New Roman" w:eastAsia="Times New Roman" w:hAnsi="Times New Roman" w:cs="Times New Roman"/>
          <w:i/>
          <w:iCs/>
          <w:color w:val="000000"/>
          <w:kern w:val="0"/>
          <w14:ligatures w14:val="none"/>
        </w:rPr>
        <w:t>see</w:t>
      </w:r>
      <w:r w:rsidRPr="00CD0E2C">
        <w:rPr>
          <w:rFonts w:ascii="Times New Roman" w:eastAsia="Times New Roman" w:hAnsi="Times New Roman" w:cs="Times New Roman"/>
          <w:color w:val="000000"/>
          <w:kern w:val="0"/>
          <w14:ligatures w14:val="none"/>
        </w:rPr>
        <w:t xml:space="preserve"> 16 U.S.C. § 470bb (1).  As to obtaining a permit from a federal land manager, </w:t>
      </w:r>
      <w:r w:rsidRPr="00CD0E2C">
        <w:rPr>
          <w:rFonts w:ascii="Times New Roman" w:eastAsia="Times New Roman" w:hAnsi="Times New Roman" w:cs="Times New Roman"/>
          <w:i/>
          <w:iCs/>
          <w:color w:val="000000"/>
          <w:kern w:val="0"/>
          <w14:ligatures w14:val="none"/>
        </w:rPr>
        <w:t>see</w:t>
      </w:r>
      <w:r w:rsidRPr="00CD0E2C">
        <w:rPr>
          <w:rFonts w:ascii="Times New Roman" w:eastAsia="Times New Roman" w:hAnsi="Times New Roman" w:cs="Times New Roman"/>
          <w:color w:val="000000"/>
          <w:kern w:val="0"/>
          <w14:ligatures w14:val="none"/>
        </w:rPr>
        <w:t xml:space="preserve"> 16 U.S.C. § 470cc.</w:t>
      </w:r>
    </w:p>
    <w:p w14:paraId="7A749DCF"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66D70795" w14:textId="77777777" w:rsidR="00CD0E2C" w:rsidRPr="00CD0E2C" w:rsidRDefault="00CD0E2C" w:rsidP="00CD0E2C">
      <w:pPr>
        <w:tabs>
          <w:tab w:val="left" w:pos="720"/>
        </w:tabs>
        <w:spacing w:after="0" w:line="240" w:lineRule="auto"/>
        <w:rPr>
          <w:rFonts w:ascii="Times New Roman" w:eastAsia="Times New Roman" w:hAnsi="Times New Roman" w:cs="Times New Roman"/>
          <w:color w:val="000000"/>
          <w:kern w:val="0"/>
          <w14:ligatures w14:val="none"/>
        </w:rPr>
      </w:pPr>
    </w:p>
    <w:p w14:paraId="6C159429" w14:textId="624AC2DB" w:rsidR="00CD0E2C" w:rsidRDefault="00CD0E2C" w:rsidP="00CD0E2C">
      <w:pPr>
        <w:jc w:val="right"/>
      </w:pPr>
      <w:r w:rsidRPr="00CD0E2C">
        <w:rPr>
          <w:rFonts w:ascii="Times New Roman" w:eastAsia="Times New Roman" w:hAnsi="Times New Roman" w:cs="Times New Roman"/>
          <w:i/>
          <w:iCs/>
          <w:color w:val="000000"/>
          <w:kern w:val="0"/>
          <w14:ligatures w14:val="none"/>
        </w:rPr>
        <w:t>Revised September 2025</w:t>
      </w:r>
    </w:p>
    <w:sectPr w:rsidR="00CD0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2C"/>
    <w:rsid w:val="001A542E"/>
    <w:rsid w:val="00CD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199F"/>
  <w15:chartTrackingRefBased/>
  <w15:docId w15:val="{FCF69813-F25F-4442-95AB-A17453C7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2C"/>
    <w:rPr>
      <w:rFonts w:eastAsiaTheme="majorEastAsia" w:cstheme="majorBidi"/>
      <w:color w:val="272727" w:themeColor="text1" w:themeTint="D8"/>
    </w:rPr>
  </w:style>
  <w:style w:type="paragraph" w:styleId="Title">
    <w:name w:val="Title"/>
    <w:basedOn w:val="Normal"/>
    <w:next w:val="Normal"/>
    <w:link w:val="TitleChar"/>
    <w:uiPriority w:val="10"/>
    <w:qFormat/>
    <w:rsid w:val="00CD0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2C"/>
    <w:pPr>
      <w:spacing w:before="160"/>
      <w:jc w:val="center"/>
    </w:pPr>
    <w:rPr>
      <w:i/>
      <w:iCs/>
      <w:color w:val="404040" w:themeColor="text1" w:themeTint="BF"/>
    </w:rPr>
  </w:style>
  <w:style w:type="character" w:customStyle="1" w:styleId="QuoteChar">
    <w:name w:val="Quote Char"/>
    <w:basedOn w:val="DefaultParagraphFont"/>
    <w:link w:val="Quote"/>
    <w:uiPriority w:val="29"/>
    <w:rsid w:val="00CD0E2C"/>
    <w:rPr>
      <w:i/>
      <w:iCs/>
      <w:color w:val="404040" w:themeColor="text1" w:themeTint="BF"/>
    </w:rPr>
  </w:style>
  <w:style w:type="paragraph" w:styleId="ListParagraph">
    <w:name w:val="List Paragraph"/>
    <w:basedOn w:val="Normal"/>
    <w:uiPriority w:val="34"/>
    <w:qFormat/>
    <w:rsid w:val="00CD0E2C"/>
    <w:pPr>
      <w:ind w:left="720"/>
      <w:contextualSpacing/>
    </w:pPr>
  </w:style>
  <w:style w:type="character" w:styleId="IntenseEmphasis">
    <w:name w:val="Intense Emphasis"/>
    <w:basedOn w:val="DefaultParagraphFont"/>
    <w:uiPriority w:val="21"/>
    <w:qFormat/>
    <w:rsid w:val="00CD0E2C"/>
    <w:rPr>
      <w:i/>
      <w:iCs/>
      <w:color w:val="0F4761" w:themeColor="accent1" w:themeShade="BF"/>
    </w:rPr>
  </w:style>
  <w:style w:type="paragraph" w:styleId="IntenseQuote">
    <w:name w:val="Intense Quote"/>
    <w:basedOn w:val="Normal"/>
    <w:next w:val="Normal"/>
    <w:link w:val="IntenseQuoteChar"/>
    <w:uiPriority w:val="30"/>
    <w:qFormat/>
    <w:rsid w:val="00CD0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2C"/>
    <w:rPr>
      <w:i/>
      <w:iCs/>
      <w:color w:val="0F4761" w:themeColor="accent1" w:themeShade="BF"/>
    </w:rPr>
  </w:style>
  <w:style w:type="character" w:styleId="IntenseReference">
    <w:name w:val="Intense Reference"/>
    <w:basedOn w:val="DefaultParagraphFont"/>
    <w:uiPriority w:val="32"/>
    <w:qFormat/>
    <w:rsid w:val="00CD0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Company>United States Courts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2025-10-18T05:24:00Z</dcterms:created>
  <dcterms:modified xsi:type="dcterms:W3CDTF">2025-10-18T05:36:00Z</dcterms:modified>
</cp:coreProperties>
</file>