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607B" w14:textId="77777777" w:rsidR="00BE2727" w:rsidRPr="00BE2727" w:rsidRDefault="00BE2727" w:rsidP="00BE2727">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90310193"/>
      <w:bookmarkStart w:id="1" w:name="_Toc90390051"/>
      <w:bookmarkStart w:id="2" w:name="_Toc211607510"/>
      <w:bookmarkStart w:id="3" w:name="_Hlk90572363"/>
      <w:r w:rsidRPr="00BE2727">
        <w:rPr>
          <w:rFonts w:ascii="Times New Roman" w:eastAsia="Calibri" w:hAnsi="Times New Roman" w:cs="Times New Roman"/>
          <w:b/>
          <w:bCs/>
          <w:kern w:val="0"/>
          <w14:ligatures w14:val="none"/>
        </w:rPr>
        <w:t>24.26 False Entry in Bank Records (18 U.S.C. § 1005)</w:t>
      </w:r>
      <w:bookmarkEnd w:id="0"/>
      <w:bookmarkEnd w:id="1"/>
      <w:bookmarkEnd w:id="2"/>
    </w:p>
    <w:p w14:paraId="6AF13D93" w14:textId="77777777" w:rsidR="00BE2727" w:rsidRPr="00BE2727" w:rsidRDefault="00BE2727" w:rsidP="00BE2727">
      <w:pPr>
        <w:tabs>
          <w:tab w:val="left" w:pos="720"/>
        </w:tabs>
        <w:spacing w:after="0" w:line="240" w:lineRule="auto"/>
        <w:rPr>
          <w:rFonts w:ascii="Times New Roman" w:eastAsia="Calibri" w:hAnsi="Times New Roman" w:cs="Times New Roman"/>
          <w:kern w:val="0"/>
          <w:szCs w:val="22"/>
          <w14:ligatures w14:val="none"/>
        </w:rPr>
      </w:pPr>
    </w:p>
    <w:p w14:paraId="43D42A03" w14:textId="77777777" w:rsidR="00BE2727" w:rsidRPr="00BE2727" w:rsidRDefault="00BE2727" w:rsidP="00BE2727">
      <w:pPr>
        <w:tabs>
          <w:tab w:val="left" w:pos="720"/>
        </w:tabs>
        <w:spacing w:after="0" w:line="240" w:lineRule="auto"/>
        <w:rPr>
          <w:rFonts w:ascii="Times New Roman" w:eastAsia="Times New Roman" w:hAnsi="Times New Roman" w:cs="Times New Roman"/>
          <w:kern w:val="0"/>
          <w14:ligatures w14:val="none"/>
        </w:rPr>
      </w:pPr>
      <w:r w:rsidRPr="00BE2727">
        <w:rPr>
          <w:rFonts w:ascii="Times New Roman" w:eastAsia="Times New Roman" w:hAnsi="Times New Roman" w:cs="Times New Roman"/>
          <w:kern w:val="0"/>
          <w14:ligatures w14:val="none"/>
        </w:rPr>
        <w:tab/>
        <w:t>The defendant is charged in [Count _______ of] the indictment with making a False Bank Entry, in violation of Section 1005 of Title 18 of the United States Code.  For the defendant to be found guilty of that charge, the government must prove each of the following elements beyond a reasonable doubt:</w:t>
      </w:r>
    </w:p>
    <w:p w14:paraId="3D5C8770" w14:textId="77777777" w:rsidR="00BE2727" w:rsidRPr="00BE2727" w:rsidRDefault="00BE2727" w:rsidP="00BE2727">
      <w:pPr>
        <w:tabs>
          <w:tab w:val="left" w:pos="720"/>
        </w:tabs>
        <w:spacing w:after="0" w:line="240" w:lineRule="auto"/>
        <w:rPr>
          <w:rFonts w:ascii="Times New Roman" w:eastAsia="Times New Roman" w:hAnsi="Times New Roman" w:cs="Times New Roman"/>
          <w:kern w:val="0"/>
          <w14:ligatures w14:val="none"/>
        </w:rPr>
      </w:pPr>
    </w:p>
    <w:p w14:paraId="21C49F11" w14:textId="77777777" w:rsidR="00BE2727" w:rsidRPr="00BE2727" w:rsidRDefault="00BE2727" w:rsidP="00BE2727">
      <w:pPr>
        <w:tabs>
          <w:tab w:val="left" w:pos="720"/>
        </w:tabs>
        <w:spacing w:after="0" w:line="240" w:lineRule="auto"/>
        <w:ind w:left="720" w:right="720"/>
        <w:rPr>
          <w:rFonts w:ascii="Times New Roman" w:eastAsia="Times New Roman" w:hAnsi="Times New Roman" w:cs="Times New Roman"/>
          <w:kern w:val="0"/>
          <w14:ligatures w14:val="none"/>
        </w:rPr>
      </w:pPr>
      <w:r w:rsidRPr="00BE2727">
        <w:rPr>
          <w:rFonts w:ascii="Times New Roman" w:eastAsia="Times New Roman" w:hAnsi="Times New Roman" w:cs="Times New Roman"/>
          <w:kern w:val="0"/>
          <w14:ligatures w14:val="none"/>
        </w:rPr>
        <w:t xml:space="preserve">First, on or about the date charged in the indictment, the defendant [made a </w:t>
      </w:r>
      <w:proofErr w:type="gramStart"/>
      <w:r w:rsidRPr="00BE2727">
        <w:rPr>
          <w:rFonts w:ascii="Times New Roman" w:eastAsia="Times New Roman" w:hAnsi="Times New Roman" w:cs="Times New Roman"/>
          <w:kern w:val="0"/>
          <w14:ligatures w14:val="none"/>
        </w:rPr>
        <w:t>material</w:t>
      </w:r>
      <w:proofErr w:type="gramEnd"/>
      <w:r w:rsidRPr="00BE2727">
        <w:rPr>
          <w:rFonts w:ascii="Times New Roman" w:eastAsia="Times New Roman" w:hAnsi="Times New Roman" w:cs="Times New Roman"/>
          <w:kern w:val="0"/>
          <w14:ligatures w14:val="none"/>
        </w:rPr>
        <w:t xml:space="preserve"> false entry in the books or records of a bank] [caused a material false entry to be made in the books or records of a bank];</w:t>
      </w:r>
    </w:p>
    <w:p w14:paraId="0F171EAE" w14:textId="77777777" w:rsidR="00BE2727" w:rsidRPr="00BE2727" w:rsidRDefault="00BE2727" w:rsidP="00BE2727">
      <w:pPr>
        <w:tabs>
          <w:tab w:val="left" w:pos="720"/>
        </w:tabs>
        <w:spacing w:after="0" w:line="240" w:lineRule="auto"/>
        <w:ind w:left="720" w:right="720" w:hanging="1440"/>
        <w:rPr>
          <w:rFonts w:ascii="Times New Roman" w:eastAsia="Times New Roman" w:hAnsi="Times New Roman" w:cs="Times New Roman"/>
          <w:kern w:val="0"/>
          <w14:ligatures w14:val="none"/>
        </w:rPr>
      </w:pPr>
    </w:p>
    <w:p w14:paraId="0500A1FA" w14:textId="77777777" w:rsidR="00BE2727" w:rsidRPr="00BE2727" w:rsidRDefault="00BE2727" w:rsidP="00BE2727">
      <w:pPr>
        <w:tabs>
          <w:tab w:val="left" w:pos="720"/>
        </w:tabs>
        <w:spacing w:after="0" w:line="240" w:lineRule="auto"/>
        <w:ind w:left="720" w:right="720" w:hanging="1440"/>
        <w:rPr>
          <w:rFonts w:ascii="Times New Roman" w:eastAsia="Times New Roman" w:hAnsi="Times New Roman" w:cs="Times New Roman"/>
          <w:kern w:val="0"/>
          <w14:ligatures w14:val="none"/>
        </w:rPr>
      </w:pPr>
      <w:r w:rsidRPr="00BE2727">
        <w:rPr>
          <w:rFonts w:ascii="Times New Roman" w:eastAsia="Times New Roman" w:hAnsi="Times New Roman" w:cs="Times New Roman"/>
          <w:kern w:val="0"/>
          <w14:ligatures w14:val="none"/>
        </w:rPr>
        <w:tab/>
        <w:t>Second, t</w:t>
      </w:r>
      <w:r w:rsidRPr="00BE2727">
        <w:rPr>
          <w:rFonts w:ascii="Times New Roman" w:eastAsia="Calibri" w:hAnsi="Times New Roman" w:cs="Times New Roman"/>
          <w:kern w:val="0"/>
          <w14:ligatures w14:val="none"/>
        </w:rPr>
        <w:t>he bank was [a Federal Reserve bank] [insured by the Federal Deposit Insurance Corporation (FDIC)] [</w:t>
      </w:r>
      <w:r w:rsidRPr="00BE2727">
        <w:rPr>
          <w:rFonts w:ascii="Times New Roman" w:eastAsia="Calibri" w:hAnsi="Times New Roman" w:cs="Times New Roman"/>
          <w:i/>
          <w:iCs/>
          <w:kern w:val="0"/>
          <w:u w:val="single"/>
          <w14:ligatures w14:val="none"/>
        </w:rPr>
        <w:t xml:space="preserve">specific </w:t>
      </w:r>
      <w:proofErr w:type="gramStart"/>
      <w:r w:rsidRPr="00BE2727">
        <w:rPr>
          <w:rFonts w:ascii="Times New Roman" w:eastAsia="Calibri" w:hAnsi="Times New Roman" w:cs="Times New Roman"/>
          <w:i/>
          <w:iCs/>
          <w:kern w:val="0"/>
          <w:u w:val="single"/>
          <w14:ligatures w14:val="none"/>
        </w:rPr>
        <w:t>other</w:t>
      </w:r>
      <w:proofErr w:type="gramEnd"/>
      <w:r w:rsidRPr="00BE2727">
        <w:rPr>
          <w:rFonts w:ascii="Times New Roman" w:eastAsia="Calibri" w:hAnsi="Times New Roman" w:cs="Times New Roman"/>
          <w:i/>
          <w:iCs/>
          <w:kern w:val="0"/>
          <w:u w:val="single"/>
          <w14:ligatures w14:val="none"/>
        </w:rPr>
        <w:t xml:space="preserve"> covered bank</w:t>
      </w:r>
      <w:r w:rsidRPr="00BE2727">
        <w:rPr>
          <w:rFonts w:ascii="Times New Roman" w:eastAsia="Calibri" w:hAnsi="Times New Roman" w:cs="Times New Roman"/>
          <w:kern w:val="0"/>
          <w14:ligatures w14:val="none"/>
        </w:rPr>
        <w:t>];</w:t>
      </w:r>
    </w:p>
    <w:p w14:paraId="0452A01B" w14:textId="77777777" w:rsidR="00BE2727" w:rsidRPr="00BE2727" w:rsidRDefault="00BE2727" w:rsidP="00BE2727">
      <w:pPr>
        <w:tabs>
          <w:tab w:val="left" w:pos="720"/>
        </w:tabs>
        <w:spacing w:after="0" w:line="240" w:lineRule="auto"/>
        <w:ind w:left="720" w:right="720" w:hanging="1440"/>
        <w:rPr>
          <w:rFonts w:ascii="Times New Roman" w:eastAsia="Times New Roman" w:hAnsi="Times New Roman" w:cs="Times New Roman"/>
          <w:kern w:val="0"/>
          <w14:ligatures w14:val="none"/>
        </w:rPr>
      </w:pPr>
    </w:p>
    <w:p w14:paraId="70D4ECB2" w14:textId="77777777" w:rsidR="00BE2727" w:rsidRPr="00BE2727" w:rsidRDefault="00BE2727" w:rsidP="00BE2727">
      <w:pPr>
        <w:tabs>
          <w:tab w:val="left" w:pos="720"/>
        </w:tabs>
        <w:spacing w:after="0" w:line="240" w:lineRule="auto"/>
        <w:ind w:left="720" w:right="720" w:hanging="1440"/>
        <w:rPr>
          <w:rFonts w:ascii="Times New Roman" w:eastAsia="Times New Roman" w:hAnsi="Times New Roman" w:cs="Times New Roman"/>
          <w:kern w:val="0"/>
          <w14:ligatures w14:val="none"/>
        </w:rPr>
      </w:pPr>
      <w:r w:rsidRPr="00BE2727">
        <w:rPr>
          <w:rFonts w:ascii="Times New Roman" w:eastAsia="Times New Roman" w:hAnsi="Times New Roman" w:cs="Times New Roman"/>
          <w:kern w:val="0"/>
          <w14:ligatures w14:val="none"/>
        </w:rPr>
        <w:tab/>
        <w:t>Third, t</w:t>
      </w:r>
      <w:r w:rsidRPr="00BE2727">
        <w:rPr>
          <w:rFonts w:ascii="Times New Roman" w:eastAsia="Calibri" w:hAnsi="Times New Roman" w:cs="Times New Roman"/>
          <w:kern w:val="0"/>
          <w14:ligatures w14:val="none"/>
        </w:rPr>
        <w:t>he defendant knew the entry was false when it was made</w:t>
      </w:r>
      <w:r w:rsidRPr="00BE2727">
        <w:rPr>
          <w:rFonts w:ascii="Times New Roman" w:eastAsia="Times New Roman" w:hAnsi="Times New Roman" w:cs="Times New Roman"/>
          <w:kern w:val="0"/>
          <w14:ligatures w14:val="none"/>
        </w:rPr>
        <w:t>; and</w:t>
      </w:r>
    </w:p>
    <w:p w14:paraId="33894E0B" w14:textId="77777777" w:rsidR="00BE2727" w:rsidRPr="00BE2727" w:rsidRDefault="00BE2727" w:rsidP="00BE2727">
      <w:pPr>
        <w:tabs>
          <w:tab w:val="left" w:pos="720"/>
        </w:tabs>
        <w:spacing w:after="0" w:line="240" w:lineRule="auto"/>
        <w:ind w:left="720" w:right="720" w:hanging="1440"/>
        <w:rPr>
          <w:rFonts w:ascii="Times New Roman" w:eastAsia="Times New Roman" w:hAnsi="Times New Roman" w:cs="Times New Roman"/>
          <w:kern w:val="0"/>
          <w14:ligatures w14:val="none"/>
        </w:rPr>
      </w:pPr>
    </w:p>
    <w:p w14:paraId="3583CCB2" w14:textId="77777777" w:rsidR="00BE2727" w:rsidRPr="00BE2727" w:rsidRDefault="00BE2727" w:rsidP="00BE2727">
      <w:pPr>
        <w:tabs>
          <w:tab w:val="left" w:pos="720"/>
        </w:tabs>
        <w:spacing w:after="0" w:line="240" w:lineRule="auto"/>
        <w:ind w:left="720" w:right="720" w:hanging="1440"/>
        <w:rPr>
          <w:rFonts w:ascii="Times New Roman" w:eastAsia="Calibri" w:hAnsi="Times New Roman" w:cs="Times New Roman"/>
          <w:kern w:val="0"/>
          <w14:ligatures w14:val="none"/>
        </w:rPr>
      </w:pPr>
      <w:r w:rsidRPr="00BE2727">
        <w:rPr>
          <w:rFonts w:ascii="Times New Roman" w:eastAsia="Times New Roman" w:hAnsi="Times New Roman" w:cs="Times New Roman"/>
          <w:kern w:val="0"/>
          <w14:ligatures w14:val="none"/>
        </w:rPr>
        <w:tab/>
        <w:t>Fourth, t</w:t>
      </w:r>
      <w:r w:rsidRPr="00BE2727">
        <w:rPr>
          <w:rFonts w:ascii="Times New Roman" w:eastAsia="Calibri" w:hAnsi="Times New Roman" w:cs="Times New Roman"/>
          <w:kern w:val="0"/>
          <w14:ligatures w14:val="none"/>
        </w:rPr>
        <w:t>he defendant intended that the false entry injure or defraud the bank, or any individual person, or deceive any officer of a bank, or the Federal Deposit Insurance Corporation (FDIC), or any agent or examiner appointed to examine the affairs of a bank.</w:t>
      </w:r>
    </w:p>
    <w:p w14:paraId="1C509432" w14:textId="77777777" w:rsidR="00BE2727" w:rsidRPr="00BE2727" w:rsidRDefault="00BE2727" w:rsidP="00BE2727">
      <w:pPr>
        <w:tabs>
          <w:tab w:val="left" w:pos="720"/>
        </w:tabs>
        <w:spacing w:after="0" w:line="240" w:lineRule="auto"/>
        <w:ind w:left="720" w:right="720" w:hanging="1440"/>
        <w:rPr>
          <w:rFonts w:ascii="Times New Roman" w:eastAsia="Times New Roman" w:hAnsi="Times New Roman" w:cs="Times New Roman"/>
          <w:kern w:val="0"/>
          <w14:ligatures w14:val="none"/>
        </w:rPr>
      </w:pPr>
    </w:p>
    <w:p w14:paraId="5A51F93C" w14:textId="77777777" w:rsidR="00BE2727" w:rsidRPr="00BE2727" w:rsidRDefault="00BE2727" w:rsidP="00BE2727">
      <w:pPr>
        <w:tabs>
          <w:tab w:val="left" w:pos="720"/>
        </w:tabs>
        <w:spacing w:after="0" w:line="240" w:lineRule="auto"/>
        <w:rPr>
          <w:rFonts w:ascii="Times New Roman" w:eastAsia="Times New Roman" w:hAnsi="Times New Roman" w:cs="Times New Roman"/>
          <w:kern w:val="0"/>
          <w14:ligatures w14:val="none"/>
        </w:rPr>
      </w:pPr>
      <w:r w:rsidRPr="00BE2727">
        <w:rPr>
          <w:rFonts w:ascii="Times New Roman" w:eastAsia="Times New Roman" w:hAnsi="Times New Roman" w:cs="Times New Roman"/>
          <w:kern w:val="0"/>
          <w14:ligatures w14:val="none"/>
        </w:rPr>
        <w:tab/>
        <w:t>An entry in the books or records of a bank is false if it represents what is not true or does not exist.  For purposes of this crime, an entry can be false if it omits, or leaves out, material information necessary to make what is stated or included in that entry not misleading or deceptive.</w:t>
      </w:r>
    </w:p>
    <w:p w14:paraId="15D3600C" w14:textId="77777777" w:rsidR="00BE2727" w:rsidRPr="00BE2727" w:rsidRDefault="00BE2727" w:rsidP="00BE2727">
      <w:pPr>
        <w:tabs>
          <w:tab w:val="left" w:pos="720"/>
        </w:tabs>
        <w:spacing w:after="0" w:line="240" w:lineRule="auto"/>
        <w:rPr>
          <w:rFonts w:ascii="Times New Roman" w:eastAsia="Times New Roman" w:hAnsi="Times New Roman" w:cs="Times New Roman"/>
          <w:kern w:val="0"/>
          <w14:ligatures w14:val="none"/>
        </w:rPr>
      </w:pPr>
    </w:p>
    <w:p w14:paraId="69185964" w14:textId="77777777" w:rsidR="00BE2727" w:rsidRPr="00BE2727" w:rsidRDefault="00BE2727" w:rsidP="00BE2727">
      <w:pPr>
        <w:tabs>
          <w:tab w:val="left" w:pos="720"/>
        </w:tabs>
        <w:spacing w:after="0" w:line="275" w:lineRule="auto"/>
        <w:ind w:right="-180"/>
        <w:jc w:val="center"/>
        <w:rPr>
          <w:rFonts w:ascii="Times New Roman" w:eastAsia="Times New Roman" w:hAnsi="Times New Roman" w:cs="Times New Roman"/>
          <w:kern w:val="0"/>
          <w14:ligatures w14:val="none"/>
        </w:rPr>
      </w:pPr>
      <w:r w:rsidRPr="00BE2727">
        <w:rPr>
          <w:rFonts w:ascii="Times New Roman" w:eastAsia="Times New Roman" w:hAnsi="Times New Roman" w:cs="Times New Roman"/>
          <w:b/>
          <w:kern w:val="0"/>
          <w14:ligatures w14:val="none"/>
        </w:rPr>
        <w:t>Comment</w:t>
      </w:r>
    </w:p>
    <w:p w14:paraId="662A3189" w14:textId="77777777" w:rsidR="00BE2727" w:rsidRPr="00BE2727" w:rsidRDefault="00BE2727" w:rsidP="00BE2727">
      <w:pPr>
        <w:tabs>
          <w:tab w:val="left" w:pos="720"/>
        </w:tabs>
        <w:spacing w:after="0" w:line="240" w:lineRule="auto"/>
        <w:rPr>
          <w:rFonts w:ascii="Times New Roman" w:eastAsia="Times New Roman" w:hAnsi="Times New Roman" w:cs="Times New Roman"/>
          <w:kern w:val="0"/>
          <w14:ligatures w14:val="none"/>
        </w:rPr>
      </w:pPr>
    </w:p>
    <w:p w14:paraId="7BBB374C" w14:textId="77777777" w:rsidR="00BE2727" w:rsidRPr="00BE2727" w:rsidRDefault="00BE2727" w:rsidP="00BE2727">
      <w:pPr>
        <w:tabs>
          <w:tab w:val="left" w:pos="720"/>
        </w:tabs>
        <w:spacing w:after="0" w:line="240" w:lineRule="auto"/>
        <w:rPr>
          <w:rFonts w:ascii="Times New Roman" w:eastAsia="Times New Roman" w:hAnsi="Times New Roman" w:cs="Times New Roman"/>
          <w:kern w:val="0"/>
          <w14:ligatures w14:val="none"/>
        </w:rPr>
      </w:pPr>
      <w:r w:rsidRPr="00BE2727">
        <w:rPr>
          <w:rFonts w:ascii="Times New Roman" w:eastAsia="Times New Roman" w:hAnsi="Times New Roman" w:cs="Times New Roman"/>
          <w:kern w:val="0"/>
          <w14:ligatures w14:val="none"/>
        </w:rPr>
        <w:tab/>
        <w:t xml:space="preserve">The common law test for materiality is the standard to use when false statement statutes, such as 18 U.S.C. § 1005, are charged.  </w:t>
      </w:r>
      <w:r w:rsidRPr="00BE2727">
        <w:rPr>
          <w:rFonts w:ascii="Times New Roman" w:eastAsia="Times New Roman" w:hAnsi="Times New Roman" w:cs="Times New Roman"/>
          <w:i/>
          <w:iCs/>
          <w:kern w:val="0"/>
          <w14:ligatures w14:val="none"/>
        </w:rPr>
        <w:t>See United States v. Peterson</w:t>
      </w:r>
      <w:r w:rsidRPr="00BE2727">
        <w:rPr>
          <w:rFonts w:ascii="Times New Roman" w:eastAsia="Times New Roman" w:hAnsi="Times New Roman" w:cs="Times New Roman"/>
          <w:kern w:val="0"/>
          <w14:ligatures w14:val="none"/>
        </w:rPr>
        <w:t xml:space="preserve">, 538 F.3d 1064, 1072 (9th Cir. 2008) (citing </w:t>
      </w:r>
      <w:r w:rsidRPr="00BE2727">
        <w:rPr>
          <w:rFonts w:ascii="Times New Roman" w:eastAsia="Times New Roman" w:hAnsi="Times New Roman" w:cs="Times New Roman"/>
          <w:i/>
          <w:iCs/>
          <w:kern w:val="0"/>
          <w14:ligatures w14:val="none"/>
        </w:rPr>
        <w:t>United States v. Gaudin</w:t>
      </w:r>
      <w:r w:rsidRPr="00BE2727">
        <w:rPr>
          <w:rFonts w:ascii="Times New Roman" w:eastAsia="Times New Roman" w:hAnsi="Times New Roman" w:cs="Times New Roman"/>
          <w:kern w:val="0"/>
          <w14:ligatures w14:val="none"/>
        </w:rPr>
        <w:t xml:space="preserve">, 515 U.S. 506, 509 (1995)).  That test is whether the statement has a “natural tendency to influence, or was capable of influencing, the decision of the </w:t>
      </w:r>
      <w:proofErr w:type="spellStart"/>
      <w:r w:rsidRPr="00BE2727">
        <w:rPr>
          <w:rFonts w:ascii="Times New Roman" w:eastAsia="Times New Roman" w:hAnsi="Times New Roman" w:cs="Times New Roman"/>
          <w:kern w:val="0"/>
          <w14:ligatures w14:val="none"/>
        </w:rPr>
        <w:t>decisionmaking</w:t>
      </w:r>
      <w:proofErr w:type="spellEnd"/>
      <w:r w:rsidRPr="00BE2727">
        <w:rPr>
          <w:rFonts w:ascii="Times New Roman" w:eastAsia="Times New Roman" w:hAnsi="Times New Roman" w:cs="Times New Roman"/>
          <w:kern w:val="0"/>
          <w14:ligatures w14:val="none"/>
        </w:rPr>
        <w:t xml:space="preserve"> body to which it was addressed.”  </w:t>
      </w:r>
      <w:proofErr w:type="spellStart"/>
      <w:r w:rsidRPr="00BE2727">
        <w:rPr>
          <w:rFonts w:ascii="Times New Roman" w:eastAsia="Times New Roman" w:hAnsi="Times New Roman" w:cs="Times New Roman"/>
          <w:i/>
          <w:iCs/>
          <w:kern w:val="0"/>
          <w14:ligatures w14:val="none"/>
        </w:rPr>
        <w:t>Kungys</w:t>
      </w:r>
      <w:proofErr w:type="spellEnd"/>
      <w:r w:rsidRPr="00BE2727">
        <w:rPr>
          <w:rFonts w:ascii="Times New Roman" w:eastAsia="Times New Roman" w:hAnsi="Times New Roman" w:cs="Times New Roman"/>
          <w:i/>
          <w:iCs/>
          <w:kern w:val="0"/>
          <w14:ligatures w14:val="none"/>
        </w:rPr>
        <w:t xml:space="preserve"> v. United States</w:t>
      </w:r>
      <w:r w:rsidRPr="00BE2727">
        <w:rPr>
          <w:rFonts w:ascii="Times New Roman" w:eastAsia="Times New Roman" w:hAnsi="Times New Roman" w:cs="Times New Roman"/>
          <w:kern w:val="0"/>
          <w14:ligatures w14:val="none"/>
        </w:rPr>
        <w:t xml:space="preserve">, 485 U.S. 759, 770 (1988) (quoting </w:t>
      </w:r>
      <w:r w:rsidRPr="00BE2727">
        <w:rPr>
          <w:rFonts w:ascii="Times New Roman" w:eastAsia="Times New Roman" w:hAnsi="Times New Roman" w:cs="Times New Roman"/>
          <w:i/>
          <w:iCs/>
          <w:kern w:val="0"/>
          <w14:ligatures w14:val="none"/>
        </w:rPr>
        <w:t>Weinstock v. United States</w:t>
      </w:r>
      <w:r w:rsidRPr="00BE2727">
        <w:rPr>
          <w:rFonts w:ascii="Times New Roman" w:eastAsia="Times New Roman" w:hAnsi="Times New Roman" w:cs="Times New Roman"/>
          <w:kern w:val="0"/>
          <w14:ligatures w14:val="none"/>
        </w:rPr>
        <w:t xml:space="preserve">, 231 F.2d 699, 701-02 (D.C. Cir. 1956)).  “The false statement need not have actually influenced the agency, and the agency need not rely on the information in fact for it to be material.”  </w:t>
      </w:r>
      <w:r w:rsidRPr="00BE2727">
        <w:rPr>
          <w:rFonts w:ascii="Times New Roman" w:eastAsia="Times New Roman" w:hAnsi="Times New Roman" w:cs="Times New Roman"/>
          <w:i/>
          <w:iCs/>
          <w:kern w:val="0"/>
          <w14:ligatures w14:val="none"/>
        </w:rPr>
        <w:t>United States v. Serv. Deli Inc</w:t>
      </w:r>
      <w:r w:rsidRPr="00BE2727">
        <w:rPr>
          <w:rFonts w:ascii="Times New Roman" w:eastAsia="Times New Roman" w:hAnsi="Times New Roman" w:cs="Times New Roman"/>
          <w:kern w:val="0"/>
          <w14:ligatures w14:val="none"/>
        </w:rPr>
        <w:t xml:space="preserve">., 151 F.3d 938, 941 (9th Cir. 1998); </w:t>
      </w:r>
      <w:r w:rsidRPr="00BE2727">
        <w:rPr>
          <w:rFonts w:ascii="Times New Roman" w:eastAsia="Times New Roman" w:hAnsi="Times New Roman" w:cs="Times New Roman"/>
          <w:i/>
          <w:iCs/>
          <w:kern w:val="0"/>
          <w14:ligatures w14:val="none"/>
        </w:rPr>
        <w:t>see also United States v. King</w:t>
      </w:r>
      <w:r w:rsidRPr="00BE2727">
        <w:rPr>
          <w:rFonts w:ascii="Times New Roman" w:eastAsia="Times New Roman" w:hAnsi="Times New Roman" w:cs="Times New Roman"/>
          <w:kern w:val="0"/>
          <w14:ligatures w14:val="none"/>
        </w:rPr>
        <w:t>, 735 F.3d 1098, 1108 (9th Cir. 2013).</w:t>
      </w:r>
    </w:p>
    <w:p w14:paraId="58455957" w14:textId="77777777" w:rsidR="00BE2727" w:rsidRPr="00BE2727" w:rsidRDefault="00BE2727" w:rsidP="00BE2727">
      <w:pPr>
        <w:tabs>
          <w:tab w:val="left" w:pos="720"/>
        </w:tabs>
        <w:spacing w:after="0" w:line="240" w:lineRule="auto"/>
        <w:rPr>
          <w:rFonts w:ascii="Times New Roman" w:eastAsia="Times New Roman" w:hAnsi="Times New Roman" w:cs="Times New Roman"/>
          <w:kern w:val="0"/>
          <w14:ligatures w14:val="none"/>
        </w:rPr>
      </w:pPr>
    </w:p>
    <w:p w14:paraId="77814CD2" w14:textId="77777777" w:rsidR="00BE2727" w:rsidRPr="00BE2727" w:rsidRDefault="00BE2727" w:rsidP="00BE2727">
      <w:pPr>
        <w:tabs>
          <w:tab w:val="left" w:pos="720"/>
        </w:tabs>
        <w:spacing w:after="0" w:line="240" w:lineRule="auto"/>
        <w:rPr>
          <w:rFonts w:ascii="Times New Roman" w:eastAsia="Times New Roman" w:hAnsi="Times New Roman" w:cs="Times New Roman"/>
          <w:kern w:val="0"/>
          <w14:ligatures w14:val="none"/>
        </w:rPr>
      </w:pPr>
      <w:r w:rsidRPr="00BE2727">
        <w:rPr>
          <w:rFonts w:ascii="Times New Roman" w:eastAsia="Times New Roman" w:hAnsi="Times New Roman" w:cs="Times New Roman"/>
          <w:kern w:val="0"/>
          <w14:ligatures w14:val="none"/>
        </w:rPr>
        <w:tab/>
        <w:t xml:space="preserve">Materiality must be demonstrated by the government, </w:t>
      </w:r>
      <w:r w:rsidRPr="00BE2727">
        <w:rPr>
          <w:rFonts w:ascii="Times New Roman" w:eastAsia="Times New Roman" w:hAnsi="Times New Roman" w:cs="Times New Roman"/>
          <w:i/>
          <w:iCs/>
          <w:kern w:val="0"/>
          <w14:ligatures w14:val="none"/>
        </w:rPr>
        <w:t>United States v. Oren</w:t>
      </w:r>
      <w:r w:rsidRPr="00BE2727">
        <w:rPr>
          <w:rFonts w:ascii="Times New Roman" w:eastAsia="Times New Roman" w:hAnsi="Times New Roman" w:cs="Times New Roman"/>
          <w:kern w:val="0"/>
          <w14:ligatures w14:val="none"/>
        </w:rPr>
        <w:t xml:space="preserve">, 893 F.2d 1057, 1063 (9th Cir. 1990); </w:t>
      </w:r>
      <w:r w:rsidRPr="00BE2727">
        <w:rPr>
          <w:rFonts w:ascii="Times New Roman" w:eastAsia="Times New Roman" w:hAnsi="Times New Roman" w:cs="Times New Roman"/>
          <w:i/>
          <w:iCs/>
          <w:kern w:val="0"/>
          <w14:ligatures w14:val="none"/>
        </w:rPr>
        <w:t>United States v. Talkington</w:t>
      </w:r>
      <w:r w:rsidRPr="00BE2727">
        <w:rPr>
          <w:rFonts w:ascii="Times New Roman" w:eastAsia="Times New Roman" w:hAnsi="Times New Roman" w:cs="Times New Roman"/>
          <w:kern w:val="0"/>
          <w14:ligatures w14:val="none"/>
        </w:rPr>
        <w:t xml:space="preserve">, 589 F.2d 415, 416 (9th Cir. 1978), and must be submitted to the jury.  </w:t>
      </w:r>
      <w:r w:rsidRPr="00BE2727">
        <w:rPr>
          <w:rFonts w:ascii="Times New Roman" w:eastAsia="Times New Roman" w:hAnsi="Times New Roman" w:cs="Times New Roman"/>
          <w:i/>
          <w:iCs/>
          <w:kern w:val="0"/>
          <w14:ligatures w14:val="none"/>
        </w:rPr>
        <w:t>Gaudin</w:t>
      </w:r>
      <w:r w:rsidRPr="00BE2727">
        <w:rPr>
          <w:rFonts w:ascii="Times New Roman" w:eastAsia="Times New Roman" w:hAnsi="Times New Roman" w:cs="Times New Roman"/>
          <w:kern w:val="0"/>
          <w14:ligatures w14:val="none"/>
        </w:rPr>
        <w:t xml:space="preserve">, 515 U.S. at 506.  The materiality test applies to each allegedly false statement submitted to the jury.  </w:t>
      </w:r>
      <w:r w:rsidRPr="00BE2727">
        <w:rPr>
          <w:rFonts w:ascii="Times New Roman" w:eastAsia="Times New Roman" w:hAnsi="Times New Roman" w:cs="Times New Roman"/>
          <w:i/>
          <w:iCs/>
          <w:kern w:val="0"/>
          <w14:ligatures w14:val="none"/>
        </w:rPr>
        <w:t>Id</w:t>
      </w:r>
      <w:r w:rsidRPr="00BE2727">
        <w:rPr>
          <w:rFonts w:ascii="Times New Roman" w:eastAsia="Times New Roman" w:hAnsi="Times New Roman" w:cs="Times New Roman"/>
          <w:kern w:val="0"/>
          <w14:ligatures w14:val="none"/>
        </w:rPr>
        <w:t>.</w:t>
      </w:r>
    </w:p>
    <w:p w14:paraId="366D1BE9" w14:textId="77777777" w:rsidR="00BE2727" w:rsidRPr="00BE2727" w:rsidRDefault="00BE2727" w:rsidP="00BE2727">
      <w:pPr>
        <w:tabs>
          <w:tab w:val="left" w:pos="720"/>
        </w:tabs>
        <w:spacing w:after="0" w:line="240" w:lineRule="auto"/>
        <w:rPr>
          <w:rFonts w:ascii="Times New Roman" w:eastAsia="Times New Roman" w:hAnsi="Times New Roman" w:cs="Times New Roman"/>
          <w:kern w:val="0"/>
          <w14:ligatures w14:val="none"/>
        </w:rPr>
      </w:pPr>
    </w:p>
    <w:p w14:paraId="12D48ACC" w14:textId="77777777" w:rsidR="00BE2727" w:rsidRPr="00BE2727" w:rsidRDefault="00BE2727" w:rsidP="00BE2727">
      <w:pPr>
        <w:tabs>
          <w:tab w:val="left" w:pos="720"/>
        </w:tabs>
        <w:spacing w:after="0" w:line="240" w:lineRule="auto"/>
        <w:rPr>
          <w:rFonts w:ascii="Times New Roman" w:eastAsia="Calibri" w:hAnsi="Times New Roman" w:cs="Times New Roman"/>
          <w:bCs/>
          <w:kern w:val="0"/>
          <w14:ligatures w14:val="none"/>
        </w:rPr>
      </w:pPr>
      <w:r w:rsidRPr="00BE2727">
        <w:rPr>
          <w:rFonts w:ascii="Times New Roman" w:eastAsia="Calibri" w:hAnsi="Times New Roman" w:cs="Times New Roman"/>
          <w:kern w:val="0"/>
          <w14:ligatures w14:val="none"/>
        </w:rPr>
        <w:tab/>
        <w:t xml:space="preserve">Material omissions are false statements for the purposes of § 1005. </w:t>
      </w:r>
      <w:r w:rsidRPr="00BE2727">
        <w:rPr>
          <w:rFonts w:ascii="Times New Roman" w:eastAsia="Calibri" w:hAnsi="Times New Roman" w:cs="Times New Roman"/>
          <w:bCs/>
          <w:i/>
          <w:kern w:val="0"/>
          <w14:ligatures w14:val="none"/>
        </w:rPr>
        <w:t>United States v. Tat</w:t>
      </w:r>
      <w:r w:rsidRPr="00BE2727">
        <w:rPr>
          <w:rFonts w:ascii="Times New Roman" w:eastAsia="Calibri" w:hAnsi="Times New Roman" w:cs="Times New Roman"/>
          <w:bCs/>
          <w:iCs/>
          <w:kern w:val="0"/>
          <w14:ligatures w14:val="none"/>
        </w:rPr>
        <w:t xml:space="preserve">, 15 F.4th 1248, 1251 (9th Cir. 2021).  “[T]hat an accurately recorded bank transaction has a nexus to unlawful activity does not, standing alone, make all entries related to that transaction ‘false’ </w:t>
      </w:r>
      <w:r w:rsidRPr="00BE2727">
        <w:rPr>
          <w:rFonts w:ascii="Times New Roman" w:eastAsia="Calibri" w:hAnsi="Times New Roman" w:cs="Times New Roman"/>
          <w:bCs/>
          <w:iCs/>
          <w:kern w:val="0"/>
          <w14:ligatures w14:val="none"/>
        </w:rPr>
        <w:lastRenderedPageBreak/>
        <w:t xml:space="preserve">within the meaning of § 1005.”  </w:t>
      </w:r>
      <w:r w:rsidRPr="00BE2727">
        <w:rPr>
          <w:rFonts w:ascii="Times New Roman" w:eastAsia="Calibri" w:hAnsi="Times New Roman" w:cs="Times New Roman"/>
          <w:bCs/>
          <w:i/>
          <w:kern w:val="0"/>
          <w14:ligatures w14:val="none"/>
        </w:rPr>
        <w:t>Id</w:t>
      </w:r>
      <w:r w:rsidRPr="00BE2727">
        <w:rPr>
          <w:rFonts w:ascii="Times New Roman" w:eastAsia="Calibri" w:hAnsi="Times New Roman" w:cs="Times New Roman"/>
          <w:bCs/>
          <w:iCs/>
          <w:kern w:val="0"/>
          <w14:ligatures w14:val="none"/>
        </w:rPr>
        <w:t xml:space="preserve">. at 1252.  “Accurate records reflecting a customer’s purchase of a cashier’s check from her bank account are not false entries under § 1005 solely because that check has a nexus to money laundering.”  </w:t>
      </w:r>
      <w:r w:rsidRPr="00BE2727">
        <w:rPr>
          <w:rFonts w:ascii="Times New Roman" w:eastAsia="Calibri" w:hAnsi="Times New Roman" w:cs="Times New Roman"/>
          <w:bCs/>
          <w:i/>
          <w:kern w:val="0"/>
          <w14:ligatures w14:val="none"/>
        </w:rPr>
        <w:t>Id</w:t>
      </w:r>
      <w:r w:rsidRPr="00BE2727">
        <w:rPr>
          <w:rFonts w:ascii="Times New Roman" w:eastAsia="Calibri" w:hAnsi="Times New Roman" w:cs="Times New Roman"/>
          <w:bCs/>
          <w:iCs/>
          <w:kern w:val="0"/>
          <w14:ligatures w14:val="none"/>
        </w:rPr>
        <w:t xml:space="preserve">. at 1253.  However, an entry is false if it lists a fictitious payee.  </w:t>
      </w:r>
      <w:r w:rsidRPr="00BE2727">
        <w:rPr>
          <w:rFonts w:ascii="Times New Roman" w:eastAsia="Calibri" w:hAnsi="Times New Roman" w:cs="Times New Roman"/>
          <w:bCs/>
          <w:i/>
          <w:kern w:val="0"/>
          <w14:ligatures w14:val="none"/>
        </w:rPr>
        <w:t xml:space="preserve">Id. </w:t>
      </w:r>
    </w:p>
    <w:p w14:paraId="7EDD5CB8" w14:textId="77777777" w:rsidR="00BE2727" w:rsidRPr="00BE2727" w:rsidRDefault="00BE2727" w:rsidP="00BE2727">
      <w:pPr>
        <w:tabs>
          <w:tab w:val="left" w:pos="720"/>
        </w:tabs>
        <w:spacing w:after="0" w:line="240" w:lineRule="auto"/>
        <w:rPr>
          <w:rFonts w:ascii="Times New Roman" w:eastAsia="Calibri" w:hAnsi="Times New Roman" w:cs="Times New Roman"/>
          <w:kern w:val="0"/>
          <w14:ligatures w14:val="none"/>
        </w:rPr>
      </w:pPr>
    </w:p>
    <w:p w14:paraId="0D3AE9EB" w14:textId="77777777" w:rsidR="00BE2727" w:rsidRPr="00BE2727" w:rsidRDefault="00BE2727" w:rsidP="00BE2727">
      <w:pPr>
        <w:tabs>
          <w:tab w:val="left" w:pos="720"/>
        </w:tabs>
        <w:spacing w:after="0" w:line="240" w:lineRule="auto"/>
        <w:rPr>
          <w:rFonts w:ascii="Times New Roman" w:eastAsia="Times New Roman" w:hAnsi="Times New Roman" w:cs="Times New Roman"/>
          <w:kern w:val="0"/>
          <w14:ligatures w14:val="none"/>
        </w:rPr>
      </w:pPr>
      <w:r w:rsidRPr="00BE2727">
        <w:rPr>
          <w:rFonts w:ascii="Times New Roman" w:eastAsia="Times New Roman" w:hAnsi="Times New Roman" w:cs="Times New Roman"/>
          <w:kern w:val="0"/>
          <w14:ligatures w14:val="none"/>
        </w:rPr>
        <w:tab/>
        <w:t>Depending on the evidence, it may be appropriate to amend this instruction with language requiring specific jury unanimity (</w:t>
      </w:r>
      <w:r w:rsidRPr="00BE2727">
        <w:rPr>
          <w:rFonts w:ascii="Times New Roman" w:eastAsia="Times New Roman" w:hAnsi="Times New Roman" w:cs="Times New Roman"/>
          <w:i/>
          <w:iCs/>
          <w:kern w:val="0"/>
          <w14:ligatures w14:val="none"/>
        </w:rPr>
        <w:t>e.g</w:t>
      </w:r>
      <w:r w:rsidRPr="00BE2727">
        <w:rPr>
          <w:rFonts w:ascii="Times New Roman" w:eastAsia="Times New Roman" w:hAnsi="Times New Roman" w:cs="Times New Roman"/>
          <w:kern w:val="0"/>
          <w14:ligatures w14:val="none"/>
        </w:rPr>
        <w:t xml:space="preserve">., “with all of you agreeing as to which statement was false and material”).  </w:t>
      </w:r>
      <w:r w:rsidRPr="00BE2727">
        <w:rPr>
          <w:rFonts w:ascii="Times New Roman" w:eastAsia="Times New Roman" w:hAnsi="Times New Roman" w:cs="Times New Roman"/>
          <w:i/>
          <w:iCs/>
          <w:kern w:val="0"/>
          <w14:ligatures w14:val="none"/>
        </w:rPr>
        <w:t xml:space="preserve">See </w:t>
      </w:r>
      <w:r w:rsidRPr="00BE2727">
        <w:rPr>
          <w:rFonts w:ascii="Times New Roman" w:eastAsia="Times New Roman" w:hAnsi="Times New Roman" w:cs="Times New Roman"/>
          <w:kern w:val="0"/>
          <w14:ligatures w14:val="none"/>
        </w:rPr>
        <w:t>Instruction 6.27 (Specific Issue Unanimity).</w:t>
      </w:r>
    </w:p>
    <w:p w14:paraId="282CA594" w14:textId="77777777" w:rsidR="00BE2727" w:rsidRPr="00BE2727" w:rsidRDefault="00BE2727" w:rsidP="00BE2727">
      <w:pPr>
        <w:tabs>
          <w:tab w:val="left" w:pos="720"/>
        </w:tabs>
        <w:spacing w:after="0" w:line="240" w:lineRule="auto"/>
        <w:rPr>
          <w:rFonts w:ascii="Times New Roman" w:eastAsia="Times New Roman" w:hAnsi="Times New Roman" w:cs="Times New Roman"/>
          <w:kern w:val="0"/>
          <w14:ligatures w14:val="none"/>
        </w:rPr>
      </w:pPr>
    </w:p>
    <w:p w14:paraId="53D8E400" w14:textId="77777777" w:rsidR="00BE2727" w:rsidRPr="00BE2727" w:rsidRDefault="00BE2727" w:rsidP="00BE2727">
      <w:pPr>
        <w:tabs>
          <w:tab w:val="left" w:pos="720"/>
        </w:tabs>
        <w:spacing w:after="0" w:line="240" w:lineRule="auto"/>
        <w:rPr>
          <w:rFonts w:ascii="Times New Roman" w:eastAsia="Calibri" w:hAnsi="Times New Roman" w:cs="Times New Roman"/>
          <w:kern w:val="0"/>
          <w14:ligatures w14:val="none"/>
        </w:rPr>
      </w:pPr>
      <w:r w:rsidRPr="00BE2727">
        <w:rPr>
          <w:rFonts w:ascii="Times New Roman" w:eastAsia="Times New Roman" w:hAnsi="Times New Roman" w:cs="Times New Roman"/>
          <w:kern w:val="0"/>
          <w14:ligatures w14:val="none"/>
        </w:rPr>
        <w:tab/>
        <w:t xml:space="preserve">In </w:t>
      </w:r>
      <w:r w:rsidRPr="00BE2727">
        <w:rPr>
          <w:rFonts w:ascii="Times New Roman" w:eastAsia="Times New Roman" w:hAnsi="Times New Roman" w:cs="Times New Roman"/>
          <w:i/>
          <w:iCs/>
          <w:kern w:val="0"/>
          <w14:ligatures w14:val="none"/>
        </w:rPr>
        <w:t>United States v. Yates</w:t>
      </w:r>
      <w:r w:rsidRPr="00BE2727">
        <w:rPr>
          <w:rFonts w:ascii="Times New Roman" w:eastAsia="Times New Roman" w:hAnsi="Times New Roman" w:cs="Times New Roman"/>
          <w:kern w:val="0"/>
          <w14:ligatures w14:val="none"/>
        </w:rPr>
        <w:t xml:space="preserve">, 16 F.4th 256 (9th Cir. 2021), the Ninth Circuit explained that an entry is false if it represents what is not true or does not exist.  Conversely, the offense of false entry is not committed when the transaction entered actually took place and is entered exactly as it occurred. That is so even though it is a part of a fraudulent or otherwise illegal scheme.  </w:t>
      </w:r>
      <w:r w:rsidRPr="00BE2727">
        <w:rPr>
          <w:rFonts w:ascii="Times New Roman" w:eastAsia="Times New Roman" w:hAnsi="Times New Roman" w:cs="Times New Roman"/>
          <w:i/>
          <w:iCs/>
          <w:kern w:val="0"/>
          <w14:ligatures w14:val="none"/>
        </w:rPr>
        <w:t>Id</w:t>
      </w:r>
      <w:r w:rsidRPr="00BE2727">
        <w:rPr>
          <w:rFonts w:ascii="Times New Roman" w:eastAsia="Times New Roman" w:hAnsi="Times New Roman" w:cs="Times New Roman"/>
          <w:kern w:val="0"/>
          <w14:ligatures w14:val="none"/>
        </w:rPr>
        <w:t xml:space="preserve">. at 272.  The Ninth Circuit added that an entry is false, for purposes of § 1005, if it omits material information or vital facts requested by a bank or regulator, even if the entry, on its face, is literally true.  </w:t>
      </w:r>
      <w:r w:rsidRPr="00BE2727">
        <w:rPr>
          <w:rFonts w:ascii="Times New Roman" w:eastAsia="Times New Roman" w:hAnsi="Times New Roman" w:cs="Times New Roman"/>
          <w:i/>
          <w:iCs/>
          <w:kern w:val="0"/>
          <w14:ligatures w14:val="none"/>
        </w:rPr>
        <w:t>Id</w:t>
      </w:r>
      <w:r w:rsidRPr="00BE2727">
        <w:rPr>
          <w:rFonts w:ascii="Times New Roman" w:eastAsia="Times New Roman" w:hAnsi="Times New Roman" w:cs="Times New Roman"/>
          <w:kern w:val="0"/>
          <w14:ligatures w14:val="none"/>
        </w:rPr>
        <w:t xml:space="preserve">.  Further, an entry is false if it records a transaction that is itself false and fictitious, concocted for the very purpose of distorting a financial statement—as opposed to a transaction that is merely a part of some broader fraudulent or illegal scheme.  </w:t>
      </w:r>
      <w:r w:rsidRPr="00BE2727">
        <w:rPr>
          <w:rFonts w:ascii="Times New Roman" w:eastAsia="Times New Roman" w:hAnsi="Times New Roman" w:cs="Times New Roman"/>
          <w:i/>
          <w:iCs/>
          <w:kern w:val="0"/>
          <w14:ligatures w14:val="none"/>
        </w:rPr>
        <w:t>Id</w:t>
      </w:r>
      <w:r w:rsidRPr="00BE2727">
        <w:rPr>
          <w:rFonts w:ascii="Times New Roman" w:eastAsia="Times New Roman" w:hAnsi="Times New Roman" w:cs="Times New Roman"/>
          <w:kern w:val="0"/>
          <w14:ligatures w14:val="none"/>
        </w:rPr>
        <w:t>.</w:t>
      </w:r>
    </w:p>
    <w:bookmarkEnd w:id="3"/>
    <w:p w14:paraId="42AFA78C" w14:textId="77777777" w:rsidR="00BE2727" w:rsidRPr="00BE2727" w:rsidRDefault="00BE2727" w:rsidP="00BE2727">
      <w:pPr>
        <w:tabs>
          <w:tab w:val="left" w:pos="720"/>
        </w:tabs>
        <w:spacing w:after="0" w:line="240" w:lineRule="auto"/>
        <w:rPr>
          <w:rFonts w:ascii="Times New Roman" w:eastAsia="Calibri" w:hAnsi="Times New Roman" w:cs="Times New Roman"/>
          <w:kern w:val="0"/>
          <w:szCs w:val="22"/>
          <w14:ligatures w14:val="none"/>
        </w:rPr>
      </w:pPr>
    </w:p>
    <w:p w14:paraId="67BB6DA3" w14:textId="77777777" w:rsidR="00BE2727" w:rsidRPr="00BE2727" w:rsidRDefault="00BE2727" w:rsidP="00BE2727">
      <w:pPr>
        <w:tabs>
          <w:tab w:val="left" w:pos="720"/>
        </w:tabs>
        <w:spacing w:after="0" w:line="240" w:lineRule="auto"/>
        <w:jc w:val="right"/>
        <w:rPr>
          <w:rFonts w:ascii="Times New Roman" w:eastAsia="Calibri" w:hAnsi="Times New Roman" w:cs="Times New Roman"/>
          <w:i/>
          <w:iCs/>
          <w:kern w:val="0"/>
          <w:szCs w:val="22"/>
          <w14:ligatures w14:val="none"/>
        </w:rPr>
      </w:pPr>
      <w:r w:rsidRPr="00BE2727">
        <w:rPr>
          <w:rFonts w:ascii="Times New Roman" w:eastAsia="Calibri" w:hAnsi="Times New Roman" w:cs="Times New Roman"/>
          <w:i/>
          <w:iCs/>
          <w:kern w:val="0"/>
          <w:szCs w:val="22"/>
          <w14:ligatures w14:val="none"/>
        </w:rPr>
        <w:t>Revised September 2025</w:t>
      </w:r>
    </w:p>
    <w:p w14:paraId="34B169F1" w14:textId="77777777" w:rsidR="00BE2727" w:rsidRDefault="00BE2727"/>
    <w:sectPr w:rsidR="00BE2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27"/>
    <w:rsid w:val="001A542E"/>
    <w:rsid w:val="00BE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3704"/>
  <w15:chartTrackingRefBased/>
  <w15:docId w15:val="{0A926935-9EB0-4080-8E39-3441B102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727"/>
    <w:rPr>
      <w:rFonts w:eastAsiaTheme="majorEastAsia" w:cstheme="majorBidi"/>
      <w:color w:val="272727" w:themeColor="text1" w:themeTint="D8"/>
    </w:rPr>
  </w:style>
  <w:style w:type="paragraph" w:styleId="Title">
    <w:name w:val="Title"/>
    <w:basedOn w:val="Normal"/>
    <w:next w:val="Normal"/>
    <w:link w:val="TitleChar"/>
    <w:uiPriority w:val="10"/>
    <w:qFormat/>
    <w:rsid w:val="00BE2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727"/>
    <w:pPr>
      <w:spacing w:before="160"/>
      <w:jc w:val="center"/>
    </w:pPr>
    <w:rPr>
      <w:i/>
      <w:iCs/>
      <w:color w:val="404040" w:themeColor="text1" w:themeTint="BF"/>
    </w:rPr>
  </w:style>
  <w:style w:type="character" w:customStyle="1" w:styleId="QuoteChar">
    <w:name w:val="Quote Char"/>
    <w:basedOn w:val="DefaultParagraphFont"/>
    <w:link w:val="Quote"/>
    <w:uiPriority w:val="29"/>
    <w:rsid w:val="00BE2727"/>
    <w:rPr>
      <w:i/>
      <w:iCs/>
      <w:color w:val="404040" w:themeColor="text1" w:themeTint="BF"/>
    </w:rPr>
  </w:style>
  <w:style w:type="paragraph" w:styleId="ListParagraph">
    <w:name w:val="List Paragraph"/>
    <w:basedOn w:val="Normal"/>
    <w:uiPriority w:val="34"/>
    <w:qFormat/>
    <w:rsid w:val="00BE2727"/>
    <w:pPr>
      <w:ind w:left="720"/>
      <w:contextualSpacing/>
    </w:pPr>
  </w:style>
  <w:style w:type="character" w:styleId="IntenseEmphasis">
    <w:name w:val="Intense Emphasis"/>
    <w:basedOn w:val="DefaultParagraphFont"/>
    <w:uiPriority w:val="21"/>
    <w:qFormat/>
    <w:rsid w:val="00BE2727"/>
    <w:rPr>
      <w:i/>
      <w:iCs/>
      <w:color w:val="0F4761" w:themeColor="accent1" w:themeShade="BF"/>
    </w:rPr>
  </w:style>
  <w:style w:type="paragraph" w:styleId="IntenseQuote">
    <w:name w:val="Intense Quote"/>
    <w:basedOn w:val="Normal"/>
    <w:next w:val="Normal"/>
    <w:link w:val="IntenseQuoteChar"/>
    <w:uiPriority w:val="30"/>
    <w:qFormat/>
    <w:rsid w:val="00BE2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727"/>
    <w:rPr>
      <w:i/>
      <w:iCs/>
      <w:color w:val="0F4761" w:themeColor="accent1" w:themeShade="BF"/>
    </w:rPr>
  </w:style>
  <w:style w:type="character" w:styleId="IntenseReference">
    <w:name w:val="Intense Reference"/>
    <w:basedOn w:val="DefaultParagraphFont"/>
    <w:uiPriority w:val="32"/>
    <w:qFormat/>
    <w:rsid w:val="00BE27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3645</Characters>
  <Application>Microsoft Office Word</Application>
  <DocSecurity>0</DocSecurity>
  <Lines>30</Lines>
  <Paragraphs>8</Paragraphs>
  <ScaleCrop>false</ScaleCrop>
  <Company>United States Courts</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2025-10-18T05:27:00Z</dcterms:created>
  <dcterms:modified xsi:type="dcterms:W3CDTF">2025-10-18T05:34:00Z</dcterms:modified>
</cp:coreProperties>
</file>