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4CBA5" w14:textId="77777777" w:rsidR="00692A95" w:rsidRPr="00692A95" w:rsidRDefault="00692A95" w:rsidP="00692A95">
      <w:pPr>
        <w:tabs>
          <w:tab w:val="left" w:pos="720"/>
        </w:tabs>
        <w:autoSpaceDE w:val="0"/>
        <w:autoSpaceDN w:val="0"/>
        <w:adjustRightInd w:val="0"/>
        <w:spacing w:after="0" w:line="240" w:lineRule="auto"/>
        <w:ind w:left="420" w:hanging="240"/>
        <w:jc w:val="center"/>
        <w:outlineLvl w:val="1"/>
        <w:rPr>
          <w:rFonts w:ascii="Times New Roman" w:eastAsia="Calibri" w:hAnsi="Times New Roman" w:cs="Times New Roman"/>
          <w:b/>
          <w:bCs/>
          <w:kern w:val="0"/>
          <w14:ligatures w14:val="none"/>
        </w:rPr>
      </w:pPr>
      <w:bookmarkStart w:id="0" w:name="_Toc211607511"/>
      <w:r w:rsidRPr="00692A95">
        <w:rPr>
          <w:rFonts w:ascii="Times New Roman" w:eastAsia="Calibri" w:hAnsi="Times New Roman" w:cs="Times New Roman"/>
          <w:b/>
          <w:bCs/>
          <w:kern w:val="0"/>
          <w14:ligatures w14:val="none"/>
        </w:rPr>
        <w:t xml:space="preserve">24.27 </w:t>
      </w:r>
      <w:bookmarkStart w:id="1" w:name="_Hlk134432487"/>
      <w:r w:rsidRPr="00692A95">
        <w:rPr>
          <w:rFonts w:ascii="Times New Roman" w:eastAsia="Calibri" w:hAnsi="Times New Roman" w:cs="Times New Roman"/>
          <w:b/>
          <w:bCs/>
          <w:kern w:val="0"/>
          <w14:ligatures w14:val="none"/>
        </w:rPr>
        <w:t>Forced Labor (18 U.S.C. § 1589(a)))</w:t>
      </w:r>
      <w:bookmarkEnd w:id="0"/>
    </w:p>
    <w:bookmarkEnd w:id="1"/>
    <w:p w14:paraId="3A156104" w14:textId="77777777" w:rsidR="00692A95" w:rsidRPr="00692A95" w:rsidRDefault="00692A95" w:rsidP="00692A95">
      <w:pPr>
        <w:tabs>
          <w:tab w:val="left" w:pos="720"/>
        </w:tabs>
        <w:spacing w:after="0" w:line="240" w:lineRule="auto"/>
        <w:jc w:val="center"/>
        <w:rPr>
          <w:rFonts w:ascii="Times New Roman" w:eastAsia="Calibri" w:hAnsi="Times New Roman" w:cs="Times New Roman"/>
          <w:b/>
          <w:bCs/>
          <w:kern w:val="0"/>
          <w14:ligatures w14:val="none"/>
        </w:rPr>
      </w:pPr>
    </w:p>
    <w:p w14:paraId="6137BBD4" w14:textId="77777777"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r w:rsidRPr="00692A95">
        <w:rPr>
          <w:rFonts w:ascii="Times New Roman" w:eastAsia="Calibri" w:hAnsi="Times New Roman" w:cs="Times New Roman"/>
          <w:kern w:val="0"/>
          <w14:ligatures w14:val="none"/>
        </w:rPr>
        <w:t xml:space="preserve">The defendant is charged in [Count _______ of] the indictment with forced labor in violation of Section 1589(a) of Title 18 of the United States Code.  For the defendant to be found guilty of that charge, the government must prove each of the following elements beyond a reasonable doubt: </w:t>
      </w:r>
    </w:p>
    <w:p w14:paraId="322DAB01" w14:textId="77777777"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p>
    <w:p w14:paraId="1D0609ED" w14:textId="77777777"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r w:rsidRPr="00692A95">
        <w:rPr>
          <w:rFonts w:ascii="Times New Roman" w:eastAsia="Calibri" w:hAnsi="Times New Roman" w:cs="Times New Roman"/>
          <w:kern w:val="0"/>
          <w14:ligatures w14:val="none"/>
        </w:rPr>
        <w:t>First, the defendant [provided] [obtained] the labor or services of another person; and</w:t>
      </w:r>
    </w:p>
    <w:p w14:paraId="0BB7844B" w14:textId="77777777"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p>
    <w:p w14:paraId="1A5AF7C2" w14:textId="77777777"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r w:rsidRPr="00692A95">
        <w:rPr>
          <w:rFonts w:ascii="Times New Roman" w:eastAsia="Calibri" w:hAnsi="Times New Roman" w:cs="Times New Roman"/>
          <w:kern w:val="0"/>
          <w14:ligatures w14:val="none"/>
        </w:rPr>
        <w:t>Second, that the defendant did so through at least one of the following prohibited means:</w:t>
      </w:r>
    </w:p>
    <w:p w14:paraId="2EDF7E08" w14:textId="77777777"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p>
    <w:p w14:paraId="4EF2C75B" w14:textId="77777777" w:rsidR="00692A95" w:rsidRPr="00692A95" w:rsidRDefault="00692A95" w:rsidP="00692A95">
      <w:pPr>
        <w:numPr>
          <w:ilvl w:val="0"/>
          <w:numId w:val="1"/>
        </w:numPr>
        <w:tabs>
          <w:tab w:val="left" w:pos="720"/>
        </w:tabs>
        <w:spacing w:after="0" w:line="240" w:lineRule="auto"/>
        <w:contextualSpacing/>
        <w:jc w:val="both"/>
        <w:rPr>
          <w:rFonts w:ascii="Times New Roman" w:eastAsia="Calibri" w:hAnsi="Times New Roman" w:cs="Times New Roman"/>
          <w:kern w:val="0"/>
          <w14:ligatures w14:val="none"/>
        </w:rPr>
      </w:pPr>
      <w:r w:rsidRPr="00692A95">
        <w:rPr>
          <w:rFonts w:ascii="Times New Roman" w:eastAsia="Calibri" w:hAnsi="Times New Roman" w:cs="Times New Roman"/>
          <w:kern w:val="0"/>
          <w14:ligatures w14:val="none"/>
        </w:rPr>
        <w:t xml:space="preserve">force, threats of force, physical restraint, or threats of physical restraint to that person or another </w:t>
      </w:r>
      <w:proofErr w:type="gramStart"/>
      <w:r w:rsidRPr="00692A95">
        <w:rPr>
          <w:rFonts w:ascii="Times New Roman" w:eastAsia="Calibri" w:hAnsi="Times New Roman" w:cs="Times New Roman"/>
          <w:kern w:val="0"/>
          <w14:ligatures w14:val="none"/>
        </w:rPr>
        <w:t>person;</w:t>
      </w:r>
      <w:proofErr w:type="gramEnd"/>
    </w:p>
    <w:p w14:paraId="52D6CEB7" w14:textId="77777777" w:rsidR="00692A95" w:rsidRPr="00692A95" w:rsidRDefault="00692A95" w:rsidP="00692A95">
      <w:pPr>
        <w:tabs>
          <w:tab w:val="left" w:pos="720"/>
        </w:tabs>
        <w:spacing w:after="0" w:line="240" w:lineRule="auto"/>
        <w:ind w:left="1440"/>
        <w:contextualSpacing/>
        <w:jc w:val="both"/>
        <w:rPr>
          <w:rFonts w:ascii="Times New Roman" w:eastAsia="Calibri" w:hAnsi="Times New Roman" w:cs="Times New Roman"/>
          <w:kern w:val="0"/>
          <w14:ligatures w14:val="none"/>
        </w:rPr>
      </w:pPr>
    </w:p>
    <w:p w14:paraId="15C52876" w14:textId="77777777" w:rsidR="00692A95" w:rsidRPr="00692A95" w:rsidRDefault="00692A95" w:rsidP="00692A95">
      <w:pPr>
        <w:numPr>
          <w:ilvl w:val="0"/>
          <w:numId w:val="1"/>
        </w:numPr>
        <w:tabs>
          <w:tab w:val="left" w:pos="720"/>
        </w:tabs>
        <w:spacing w:after="0" w:line="240" w:lineRule="auto"/>
        <w:contextualSpacing/>
        <w:jc w:val="both"/>
        <w:rPr>
          <w:rFonts w:ascii="Times New Roman" w:eastAsia="Calibri" w:hAnsi="Times New Roman" w:cs="Times New Roman"/>
          <w:kern w:val="0"/>
          <w14:ligatures w14:val="none"/>
        </w:rPr>
      </w:pPr>
      <w:r w:rsidRPr="00692A95">
        <w:rPr>
          <w:rFonts w:ascii="Times New Roman" w:eastAsia="Calibri" w:hAnsi="Times New Roman" w:cs="Times New Roman"/>
          <w:kern w:val="0"/>
          <w14:ligatures w14:val="none"/>
        </w:rPr>
        <w:t xml:space="preserve">serious harm or threats of serious harm to that </w:t>
      </w:r>
      <w:proofErr w:type="gramStart"/>
      <w:r w:rsidRPr="00692A95">
        <w:rPr>
          <w:rFonts w:ascii="Times New Roman" w:eastAsia="Calibri" w:hAnsi="Times New Roman" w:cs="Times New Roman"/>
          <w:kern w:val="0"/>
          <w14:ligatures w14:val="none"/>
        </w:rPr>
        <w:t>person;</w:t>
      </w:r>
      <w:proofErr w:type="gramEnd"/>
    </w:p>
    <w:p w14:paraId="47ADF283" w14:textId="77777777" w:rsidR="00692A95" w:rsidRPr="00692A95" w:rsidRDefault="00692A95" w:rsidP="00692A95">
      <w:pPr>
        <w:tabs>
          <w:tab w:val="left" w:pos="720"/>
        </w:tabs>
        <w:spacing w:after="0" w:line="240" w:lineRule="auto"/>
        <w:jc w:val="both"/>
        <w:rPr>
          <w:rFonts w:ascii="Times New Roman" w:eastAsia="Calibri" w:hAnsi="Times New Roman" w:cs="Times New Roman"/>
          <w:kern w:val="0"/>
          <w14:ligatures w14:val="none"/>
        </w:rPr>
      </w:pPr>
    </w:p>
    <w:p w14:paraId="773D558B" w14:textId="77777777" w:rsidR="00692A95" w:rsidRPr="00692A95" w:rsidRDefault="00692A95" w:rsidP="00692A95">
      <w:pPr>
        <w:numPr>
          <w:ilvl w:val="0"/>
          <w:numId w:val="1"/>
        </w:numPr>
        <w:tabs>
          <w:tab w:val="left" w:pos="720"/>
        </w:tabs>
        <w:spacing w:after="0" w:line="240" w:lineRule="auto"/>
        <w:contextualSpacing/>
        <w:jc w:val="both"/>
        <w:rPr>
          <w:rFonts w:ascii="Times New Roman" w:eastAsia="Calibri" w:hAnsi="Times New Roman" w:cs="Times New Roman"/>
          <w:kern w:val="0"/>
          <w14:ligatures w14:val="none"/>
        </w:rPr>
      </w:pPr>
      <w:r w:rsidRPr="00692A95">
        <w:rPr>
          <w:rFonts w:ascii="Times New Roman" w:eastAsia="Calibri" w:hAnsi="Times New Roman" w:cs="Times New Roman"/>
          <w:kern w:val="0"/>
          <w14:ligatures w14:val="none"/>
        </w:rPr>
        <w:t>the abuse or threatened abuse of law or legal process; or</w:t>
      </w:r>
    </w:p>
    <w:p w14:paraId="07079A0E" w14:textId="77777777" w:rsidR="00692A95" w:rsidRPr="00692A95" w:rsidRDefault="00692A95" w:rsidP="00692A95">
      <w:pPr>
        <w:tabs>
          <w:tab w:val="left" w:pos="720"/>
        </w:tabs>
        <w:spacing w:after="0" w:line="240" w:lineRule="auto"/>
        <w:jc w:val="both"/>
        <w:rPr>
          <w:rFonts w:ascii="Times New Roman" w:eastAsia="Calibri" w:hAnsi="Times New Roman" w:cs="Times New Roman"/>
          <w:kern w:val="0"/>
          <w14:ligatures w14:val="none"/>
        </w:rPr>
      </w:pPr>
    </w:p>
    <w:p w14:paraId="49ADB592" w14:textId="77777777" w:rsidR="00692A95" w:rsidRPr="00692A95" w:rsidRDefault="00692A95" w:rsidP="00692A95">
      <w:pPr>
        <w:numPr>
          <w:ilvl w:val="0"/>
          <w:numId w:val="1"/>
        </w:numPr>
        <w:tabs>
          <w:tab w:val="left" w:pos="720"/>
        </w:tabs>
        <w:spacing w:after="0" w:line="240" w:lineRule="auto"/>
        <w:contextualSpacing/>
        <w:jc w:val="both"/>
        <w:rPr>
          <w:rFonts w:ascii="Times New Roman" w:eastAsia="Calibri" w:hAnsi="Times New Roman" w:cs="Times New Roman"/>
          <w:kern w:val="0"/>
          <w14:ligatures w14:val="none"/>
        </w:rPr>
      </w:pPr>
      <w:r w:rsidRPr="00692A95">
        <w:rPr>
          <w:rFonts w:ascii="Times New Roman" w:eastAsia="Calibri" w:hAnsi="Times New Roman" w:cs="Times New Roman"/>
          <w:kern w:val="0"/>
          <w14:ligatures w14:val="none"/>
        </w:rPr>
        <w:t>a scheme, plan or pattern intended to cause the person to believe that if that person did not perform such labor or services that person or another person would suffer serious harm or physical restraint; and</w:t>
      </w:r>
    </w:p>
    <w:p w14:paraId="281B7B81" w14:textId="77777777" w:rsidR="00692A95" w:rsidRPr="00692A95" w:rsidRDefault="00692A95" w:rsidP="00692A95">
      <w:pPr>
        <w:tabs>
          <w:tab w:val="left" w:pos="720"/>
        </w:tabs>
        <w:spacing w:after="0" w:line="240" w:lineRule="auto"/>
        <w:jc w:val="both"/>
        <w:rPr>
          <w:rFonts w:ascii="Times New Roman" w:eastAsia="Calibri" w:hAnsi="Times New Roman" w:cs="Times New Roman"/>
          <w:kern w:val="0"/>
          <w14:ligatures w14:val="none"/>
        </w:rPr>
      </w:pPr>
    </w:p>
    <w:p w14:paraId="415DD90F" w14:textId="77777777"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r w:rsidRPr="00692A95">
        <w:rPr>
          <w:rFonts w:ascii="Times New Roman" w:eastAsia="Calibri" w:hAnsi="Times New Roman" w:cs="Times New Roman"/>
          <w:kern w:val="0"/>
          <w14:ligatures w14:val="none"/>
        </w:rPr>
        <w:t>Third, that the defendant acted knowingly.</w:t>
      </w:r>
    </w:p>
    <w:p w14:paraId="485CDC15" w14:textId="77777777"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p>
    <w:p w14:paraId="2D73DDFB" w14:textId="77777777"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r w:rsidRPr="00692A95">
        <w:rPr>
          <w:rFonts w:ascii="Times New Roman" w:eastAsia="Calibri" w:hAnsi="Times New Roman" w:cs="Times New Roman"/>
          <w:kern w:val="0"/>
          <w14:ligatures w14:val="none"/>
        </w:rPr>
        <w:t xml:space="preserve">Jurors do not need to agree unanimously on which of the prohibited means the defendant did. </w:t>
      </w:r>
    </w:p>
    <w:p w14:paraId="5117C38B" w14:textId="77777777" w:rsidR="00692A95" w:rsidRPr="00692A95" w:rsidRDefault="00692A95" w:rsidP="00692A95">
      <w:pPr>
        <w:tabs>
          <w:tab w:val="left" w:pos="720"/>
        </w:tabs>
        <w:spacing w:after="0" w:line="240" w:lineRule="auto"/>
        <w:jc w:val="center"/>
        <w:rPr>
          <w:rFonts w:ascii="Times New Roman" w:eastAsia="Calibri" w:hAnsi="Times New Roman" w:cs="Times New Roman"/>
          <w:b/>
          <w:bCs/>
          <w:kern w:val="0"/>
          <w14:ligatures w14:val="none"/>
        </w:rPr>
      </w:pPr>
      <w:r w:rsidRPr="00692A95">
        <w:rPr>
          <w:rFonts w:ascii="Times New Roman" w:eastAsia="Calibri" w:hAnsi="Times New Roman" w:cs="Times New Roman"/>
          <w:b/>
          <w:bCs/>
          <w:kern w:val="0"/>
          <w14:ligatures w14:val="none"/>
        </w:rPr>
        <w:t>Comment</w:t>
      </w:r>
    </w:p>
    <w:p w14:paraId="17B591C7" w14:textId="77777777" w:rsidR="00692A95" w:rsidRPr="00692A95" w:rsidRDefault="00692A95" w:rsidP="00692A95">
      <w:pPr>
        <w:tabs>
          <w:tab w:val="left" w:pos="720"/>
        </w:tabs>
        <w:spacing w:after="0" w:line="240" w:lineRule="auto"/>
        <w:jc w:val="center"/>
        <w:rPr>
          <w:rFonts w:ascii="Times New Roman" w:eastAsia="Calibri" w:hAnsi="Times New Roman" w:cs="Times New Roman"/>
          <w:b/>
          <w:bCs/>
          <w:kern w:val="0"/>
          <w14:ligatures w14:val="none"/>
        </w:rPr>
      </w:pPr>
    </w:p>
    <w:p w14:paraId="2BA63073" w14:textId="77777777"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r w:rsidRPr="00692A95">
        <w:rPr>
          <w:rFonts w:ascii="Times New Roman" w:eastAsia="Calibri" w:hAnsi="Times New Roman" w:cs="Times New Roman"/>
          <w:i/>
          <w:iCs/>
          <w:kern w:val="0"/>
          <w14:ligatures w14:val="none"/>
        </w:rPr>
        <w:t>See United States v. Barai</w:t>
      </w:r>
      <w:r w:rsidRPr="00692A95">
        <w:rPr>
          <w:rFonts w:ascii="Times New Roman" w:eastAsia="Calibri" w:hAnsi="Times New Roman" w:cs="Times New Roman"/>
          <w:kern w:val="0"/>
          <w14:ligatures w14:val="none"/>
        </w:rPr>
        <w:t>, 55 F.4th 1245, 1249–53 (9th Cir. 2022) (affirming district court’s use of substantially similar jury instruction).</w:t>
      </w:r>
    </w:p>
    <w:p w14:paraId="219D6540" w14:textId="77777777"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p>
    <w:p w14:paraId="2E4207F1" w14:textId="77777777" w:rsid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r w:rsidRPr="00692A95">
        <w:rPr>
          <w:rFonts w:ascii="Times New Roman" w:eastAsia="Calibri" w:hAnsi="Times New Roman" w:cs="Times New Roman"/>
          <w:kern w:val="0"/>
          <w14:ligatures w14:val="none"/>
        </w:rPr>
        <w:t xml:space="preserve">The listed alternatives in 18 U.S.C. § 1589(a) are factual means, rather than distinct legal elements.  </w:t>
      </w:r>
      <w:r w:rsidRPr="00692A95">
        <w:rPr>
          <w:rFonts w:ascii="Times New Roman" w:eastAsia="Calibri" w:hAnsi="Times New Roman" w:cs="Times New Roman"/>
          <w:i/>
          <w:iCs/>
          <w:kern w:val="0"/>
          <w14:ligatures w14:val="none"/>
        </w:rPr>
        <w:t>Barai</w:t>
      </w:r>
      <w:r w:rsidRPr="00692A95">
        <w:rPr>
          <w:rFonts w:ascii="Times New Roman" w:eastAsia="Calibri" w:hAnsi="Times New Roman" w:cs="Times New Roman"/>
          <w:kern w:val="0"/>
          <w14:ligatures w14:val="none"/>
        </w:rPr>
        <w:t xml:space="preserve">, 55 F.4th at 1250.  Therefore, a jury need not be unanimous as to which of the four prohibited means in § 1589(a) the defendant used to compel forced labor.  </w:t>
      </w:r>
      <w:r w:rsidRPr="00692A95">
        <w:rPr>
          <w:rFonts w:ascii="Times New Roman" w:eastAsia="Calibri" w:hAnsi="Times New Roman" w:cs="Times New Roman"/>
          <w:i/>
          <w:iCs/>
          <w:kern w:val="0"/>
          <w14:ligatures w14:val="none"/>
        </w:rPr>
        <w:t>See id.</w:t>
      </w:r>
      <w:r w:rsidRPr="00692A95">
        <w:rPr>
          <w:rFonts w:ascii="Times New Roman" w:eastAsia="Calibri" w:hAnsi="Times New Roman" w:cs="Times New Roman"/>
          <w:kern w:val="0"/>
          <w14:ligatures w14:val="none"/>
        </w:rPr>
        <w:t xml:space="preserve"> at 1250, 1253; </w:t>
      </w:r>
      <w:r w:rsidRPr="00692A95">
        <w:rPr>
          <w:rFonts w:ascii="Times New Roman" w:eastAsia="Calibri" w:hAnsi="Times New Roman" w:cs="Times New Roman"/>
          <w:i/>
          <w:iCs/>
          <w:kern w:val="0"/>
          <w14:ligatures w14:val="none"/>
        </w:rPr>
        <w:t>see also United States v. Mickey</w:t>
      </w:r>
      <w:r w:rsidRPr="00692A95">
        <w:rPr>
          <w:rFonts w:ascii="Times New Roman" w:eastAsia="Calibri" w:hAnsi="Times New Roman" w:cs="Times New Roman"/>
          <w:kern w:val="0"/>
          <w14:ligatures w14:val="none"/>
        </w:rPr>
        <w:t>, 897 F.3d 1173, 1181 (9th Cir. 2018) (“‘[E]</w:t>
      </w:r>
      <w:proofErr w:type="spellStart"/>
      <w:r w:rsidRPr="00692A95">
        <w:rPr>
          <w:rFonts w:ascii="Times New Roman" w:eastAsia="Calibri" w:hAnsi="Times New Roman" w:cs="Times New Roman"/>
          <w:kern w:val="0"/>
          <w14:ligatures w14:val="none"/>
        </w:rPr>
        <w:t>lements</w:t>
      </w:r>
      <w:proofErr w:type="spellEnd"/>
      <w:r w:rsidRPr="00692A95">
        <w:rPr>
          <w:rFonts w:ascii="Times New Roman" w:eastAsia="Calibri" w:hAnsi="Times New Roman" w:cs="Times New Roman"/>
          <w:kern w:val="0"/>
          <w14:ligatures w14:val="none"/>
        </w:rPr>
        <w:t xml:space="preserve"> [are] those circumstances on which the jury must unanimously agree, while . . . means [are] those circumstances on which the jury may disagree yet still convict.’” (quoting </w:t>
      </w:r>
      <w:r w:rsidRPr="00692A95">
        <w:rPr>
          <w:rFonts w:ascii="Times New Roman" w:eastAsia="Calibri" w:hAnsi="Times New Roman" w:cs="Times New Roman"/>
          <w:i/>
          <w:iCs/>
          <w:kern w:val="0"/>
          <w14:ligatures w14:val="none"/>
        </w:rPr>
        <w:t>Rendon v. Holder</w:t>
      </w:r>
      <w:r w:rsidRPr="00692A95">
        <w:rPr>
          <w:rFonts w:ascii="Times New Roman" w:eastAsia="Calibri" w:hAnsi="Times New Roman" w:cs="Times New Roman"/>
          <w:kern w:val="0"/>
          <w14:ligatures w14:val="none"/>
        </w:rPr>
        <w:t>, 764 F.3d 1077, 1086 (9th Cir. 2014)).</w:t>
      </w:r>
    </w:p>
    <w:p w14:paraId="0AE4A73F" w14:textId="77777777" w:rsid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p>
    <w:p w14:paraId="16058749" w14:textId="5BBBA9C4" w:rsidR="00692A95" w:rsidRPr="00692A95" w:rsidRDefault="00692A95" w:rsidP="00692A95">
      <w:pPr>
        <w:tabs>
          <w:tab w:val="left" w:pos="720"/>
        </w:tabs>
        <w:spacing w:after="0" w:line="240" w:lineRule="auto"/>
        <w:ind w:firstLine="720"/>
        <w:jc w:val="both"/>
        <w:rPr>
          <w:rFonts w:ascii="Times New Roman" w:eastAsia="Calibri" w:hAnsi="Times New Roman" w:cs="Times New Roman"/>
          <w:kern w:val="0"/>
          <w14:ligatures w14:val="none"/>
        </w:rPr>
      </w:pPr>
      <w:r w:rsidRPr="00692A95">
        <w:rPr>
          <w:rFonts w:ascii="Times New Roman" w:eastAsia="Calibri" w:hAnsi="Times New Roman" w:cs="Times New Roman"/>
          <w:kern w:val="0"/>
          <w14:ligatures w14:val="none"/>
        </w:rPr>
        <w:t xml:space="preserve">To demonstrate scienter under § 1589(a), the government must show that the defendant “‘knowingly . . . obtain[ed] the labor or services” of the employee ‘by means of’ one of the four statutorily enumerated methods.”  </w:t>
      </w:r>
      <w:bookmarkStart w:id="2" w:name="_Hlk125179412"/>
      <w:r w:rsidRPr="00692A95">
        <w:rPr>
          <w:rFonts w:ascii="Times New Roman" w:eastAsia="Calibri" w:hAnsi="Times New Roman" w:cs="Times New Roman"/>
          <w:i/>
          <w:iCs/>
          <w:kern w:val="0"/>
          <w14:ligatures w14:val="none"/>
        </w:rPr>
        <w:t>Martinez-Rodriguez v. Giles</w:t>
      </w:r>
      <w:r w:rsidRPr="00692A95">
        <w:rPr>
          <w:rFonts w:ascii="Times New Roman" w:eastAsia="Calibri" w:hAnsi="Times New Roman" w:cs="Times New Roman"/>
          <w:kern w:val="0"/>
          <w14:ligatures w14:val="none"/>
        </w:rPr>
        <w:t xml:space="preserve">, 31 F.4th 1139, 1156 (9th Cir. 2022) </w:t>
      </w:r>
      <w:bookmarkEnd w:id="2"/>
      <w:r w:rsidRPr="00692A95">
        <w:rPr>
          <w:rFonts w:ascii="Times New Roman" w:eastAsia="Calibri" w:hAnsi="Times New Roman" w:cs="Times New Roman"/>
          <w:kern w:val="0"/>
          <w14:ligatures w14:val="none"/>
        </w:rPr>
        <w:t xml:space="preserve">(quoting 18 U.S.C. § 1589(a)); </w:t>
      </w:r>
      <w:r w:rsidRPr="00692A95">
        <w:rPr>
          <w:rFonts w:ascii="Times New Roman" w:eastAsia="Calibri" w:hAnsi="Times New Roman" w:cs="Times New Roman"/>
          <w:i/>
          <w:iCs/>
          <w:kern w:val="0"/>
          <w14:ligatures w14:val="none"/>
        </w:rPr>
        <w:t>see also</w:t>
      </w:r>
      <w:r w:rsidRPr="00692A95">
        <w:rPr>
          <w:rFonts w:ascii="Times New Roman" w:eastAsia="Calibri" w:hAnsi="Times New Roman" w:cs="Times New Roman"/>
          <w:kern w:val="0"/>
          <w14:ligatures w14:val="none"/>
        </w:rPr>
        <w:t xml:space="preserve"> </w:t>
      </w:r>
      <w:r w:rsidRPr="00692A95">
        <w:rPr>
          <w:rFonts w:ascii="Times New Roman" w:eastAsia="Calibri" w:hAnsi="Times New Roman" w:cs="Times New Roman"/>
          <w:i/>
          <w:iCs/>
          <w:kern w:val="0"/>
          <w14:ligatures w14:val="none"/>
        </w:rPr>
        <w:t>Barai</w:t>
      </w:r>
      <w:r w:rsidRPr="00692A95">
        <w:rPr>
          <w:rFonts w:ascii="Times New Roman" w:eastAsia="Calibri" w:hAnsi="Times New Roman" w:cs="Times New Roman"/>
          <w:kern w:val="0"/>
          <w14:ligatures w14:val="none"/>
        </w:rPr>
        <w:t xml:space="preserve">, 55 F.4th at 1252 (“[T]he forced labor statute expressly defines the </w:t>
      </w:r>
      <w:proofErr w:type="spellStart"/>
      <w:r w:rsidRPr="00692A95">
        <w:rPr>
          <w:rFonts w:ascii="Times New Roman" w:eastAsia="Calibri" w:hAnsi="Times New Roman" w:cs="Times New Roman"/>
          <w:kern w:val="0"/>
          <w14:ligatures w14:val="none"/>
        </w:rPr>
        <w:t>mens</w:t>
      </w:r>
      <w:proofErr w:type="spellEnd"/>
      <w:r w:rsidRPr="00692A95">
        <w:rPr>
          <w:rFonts w:ascii="Times New Roman" w:eastAsia="Calibri" w:hAnsi="Times New Roman" w:cs="Times New Roman"/>
          <w:kern w:val="0"/>
          <w14:ligatures w14:val="none"/>
        </w:rPr>
        <w:t xml:space="preserve"> rea element: ‘knowingly.’”).  “The scienter element requires proof that the defendant knew (1) that the enumerated ‘circumstance existed’ and (2) that the defendant was obtaining the labor in question as a result.”  </w:t>
      </w:r>
      <w:r w:rsidRPr="00692A95">
        <w:rPr>
          <w:rFonts w:ascii="Times New Roman" w:eastAsia="Calibri" w:hAnsi="Times New Roman" w:cs="Times New Roman"/>
          <w:i/>
          <w:iCs/>
          <w:kern w:val="0"/>
          <w14:ligatures w14:val="none"/>
        </w:rPr>
        <w:t>Martinez-Rodriguez</w:t>
      </w:r>
      <w:r w:rsidRPr="00692A95">
        <w:rPr>
          <w:rFonts w:ascii="Times New Roman" w:eastAsia="Calibri" w:hAnsi="Times New Roman" w:cs="Times New Roman"/>
          <w:kern w:val="0"/>
          <w14:ligatures w14:val="none"/>
        </w:rPr>
        <w:t>, 31 F.4th at 1156.</w:t>
      </w:r>
    </w:p>
    <w:p w14:paraId="6D23C8B1" w14:textId="77777777" w:rsidR="00692A95" w:rsidRPr="00692A95" w:rsidRDefault="00692A95" w:rsidP="00692A95">
      <w:pPr>
        <w:tabs>
          <w:tab w:val="left" w:pos="720"/>
        </w:tabs>
        <w:spacing w:after="0" w:line="240" w:lineRule="auto"/>
        <w:ind w:firstLine="720"/>
        <w:jc w:val="right"/>
        <w:rPr>
          <w:rFonts w:ascii="Times New Roman" w:eastAsia="Calibri" w:hAnsi="Times New Roman" w:cs="Times New Roman"/>
          <w:i/>
          <w:iCs/>
          <w:kern w:val="0"/>
          <w14:ligatures w14:val="none"/>
        </w:rPr>
      </w:pPr>
      <w:r w:rsidRPr="00692A95">
        <w:rPr>
          <w:rFonts w:ascii="Times New Roman" w:eastAsia="Calibri" w:hAnsi="Times New Roman" w:cs="Times New Roman"/>
          <w:i/>
          <w:iCs/>
          <w:kern w:val="0"/>
          <w14:ligatures w14:val="none"/>
        </w:rPr>
        <w:lastRenderedPageBreak/>
        <w:t>Revised September 2025</w:t>
      </w:r>
    </w:p>
    <w:p w14:paraId="624C113A" w14:textId="77777777" w:rsidR="00692A95" w:rsidRDefault="00692A95"/>
    <w:sectPr w:rsidR="00692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47D27"/>
    <w:multiLevelType w:val="hybridMultilevel"/>
    <w:tmpl w:val="6AA00E46"/>
    <w:lvl w:ilvl="0" w:tplc="ACBE92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223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5"/>
    <w:rsid w:val="001A542E"/>
    <w:rsid w:val="00692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0B81"/>
  <w15:chartTrackingRefBased/>
  <w15:docId w15:val="{34BCE98C-7697-4E2C-A025-F9AB9CA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A95"/>
    <w:rPr>
      <w:rFonts w:eastAsiaTheme="majorEastAsia" w:cstheme="majorBidi"/>
      <w:color w:val="272727" w:themeColor="text1" w:themeTint="D8"/>
    </w:rPr>
  </w:style>
  <w:style w:type="paragraph" w:styleId="Title">
    <w:name w:val="Title"/>
    <w:basedOn w:val="Normal"/>
    <w:next w:val="Normal"/>
    <w:link w:val="TitleChar"/>
    <w:uiPriority w:val="10"/>
    <w:qFormat/>
    <w:rsid w:val="00692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A95"/>
    <w:pPr>
      <w:spacing w:before="160"/>
      <w:jc w:val="center"/>
    </w:pPr>
    <w:rPr>
      <w:i/>
      <w:iCs/>
      <w:color w:val="404040" w:themeColor="text1" w:themeTint="BF"/>
    </w:rPr>
  </w:style>
  <w:style w:type="character" w:customStyle="1" w:styleId="QuoteChar">
    <w:name w:val="Quote Char"/>
    <w:basedOn w:val="DefaultParagraphFont"/>
    <w:link w:val="Quote"/>
    <w:uiPriority w:val="29"/>
    <w:rsid w:val="00692A95"/>
    <w:rPr>
      <w:i/>
      <w:iCs/>
      <w:color w:val="404040" w:themeColor="text1" w:themeTint="BF"/>
    </w:rPr>
  </w:style>
  <w:style w:type="paragraph" w:styleId="ListParagraph">
    <w:name w:val="List Paragraph"/>
    <w:basedOn w:val="Normal"/>
    <w:uiPriority w:val="34"/>
    <w:qFormat/>
    <w:rsid w:val="00692A95"/>
    <w:pPr>
      <w:ind w:left="720"/>
      <w:contextualSpacing/>
    </w:pPr>
  </w:style>
  <w:style w:type="character" w:styleId="IntenseEmphasis">
    <w:name w:val="Intense Emphasis"/>
    <w:basedOn w:val="DefaultParagraphFont"/>
    <w:uiPriority w:val="21"/>
    <w:qFormat/>
    <w:rsid w:val="00692A95"/>
    <w:rPr>
      <w:i/>
      <w:iCs/>
      <w:color w:val="0F4761" w:themeColor="accent1" w:themeShade="BF"/>
    </w:rPr>
  </w:style>
  <w:style w:type="paragraph" w:styleId="IntenseQuote">
    <w:name w:val="Intense Quote"/>
    <w:basedOn w:val="Normal"/>
    <w:next w:val="Normal"/>
    <w:link w:val="IntenseQuoteChar"/>
    <w:uiPriority w:val="30"/>
    <w:qFormat/>
    <w:rsid w:val="00692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A95"/>
    <w:rPr>
      <w:i/>
      <w:iCs/>
      <w:color w:val="0F4761" w:themeColor="accent1" w:themeShade="BF"/>
    </w:rPr>
  </w:style>
  <w:style w:type="character" w:styleId="IntenseReference">
    <w:name w:val="Intense Reference"/>
    <w:basedOn w:val="DefaultParagraphFont"/>
    <w:uiPriority w:val="32"/>
    <w:qFormat/>
    <w:rsid w:val="00692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2150</Characters>
  <Application>Microsoft Office Word</Application>
  <DocSecurity>0</DocSecurity>
  <Lines>17</Lines>
  <Paragraphs>5</Paragraphs>
  <ScaleCrop>false</ScaleCrop>
  <Company>United States Courts</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cp:revision>
  <dcterms:created xsi:type="dcterms:W3CDTF">2025-10-18T05:27:00Z</dcterms:created>
  <dcterms:modified xsi:type="dcterms:W3CDTF">2025-10-18T05:34:00Z</dcterms:modified>
</cp:coreProperties>
</file>