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4954" w14:textId="77777777" w:rsidR="00D04A20" w:rsidRPr="00D04A20" w:rsidRDefault="00D04A20" w:rsidP="00D04A20">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24"/>
      <w:bookmarkStart w:id="1" w:name="_Toc83310561"/>
      <w:bookmarkStart w:id="2" w:name="_Toc83362361"/>
      <w:bookmarkStart w:id="3" w:name="_Toc83362772"/>
      <w:bookmarkStart w:id="4" w:name="_Toc90309828"/>
      <w:bookmarkStart w:id="5" w:name="_Toc90389686"/>
      <w:bookmarkStart w:id="6" w:name="_Toc90860266"/>
      <w:bookmarkStart w:id="7" w:name="_Hlk90572028"/>
      <w:r w:rsidRPr="00D04A20">
        <w:rPr>
          <w:rFonts w:ascii="Times New Roman" w:hAnsi="Times New Roman" w:cs="Times New Roman"/>
          <w:b/>
          <w:bCs/>
          <w:sz w:val="24"/>
          <w:szCs w:val="24"/>
        </w:rPr>
        <w:t>3.11 Eyewitness Identification</w:t>
      </w:r>
      <w:bookmarkEnd w:id="0"/>
      <w:bookmarkEnd w:id="1"/>
      <w:bookmarkEnd w:id="2"/>
      <w:bookmarkEnd w:id="3"/>
      <w:bookmarkEnd w:id="4"/>
      <w:bookmarkEnd w:id="5"/>
      <w:bookmarkEnd w:id="6"/>
    </w:p>
    <w:p w14:paraId="220FFDC0"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p>
    <w:p w14:paraId="5A86673F"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ab/>
        <w:t>You have heard testimony of eyewitness identification.  In deciding how much weight to give to this testimony, you may consider the various factors mentioned in these instructions concerning credibility of witnesses.</w:t>
      </w:r>
    </w:p>
    <w:p w14:paraId="7133B413"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p>
    <w:p w14:paraId="67903516"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ab/>
        <w:t>In addition to those factors, in evaluating eyewitness identification testimony, you may also consider the following:</w:t>
      </w:r>
    </w:p>
    <w:p w14:paraId="22517452"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p>
    <w:p w14:paraId="29E833C6" w14:textId="77777777" w:rsidR="00D04A20" w:rsidRPr="00D04A20" w:rsidRDefault="00D04A20" w:rsidP="00D04A20">
      <w:pPr>
        <w:widowControl w:val="0"/>
        <w:spacing w:after="0" w:line="240" w:lineRule="auto"/>
        <w:ind w:left="720"/>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 xml:space="preserve">First, the capacity and opportunity of the eyewitness to observe the suspect based upon the length of time for observation and the conditions at the time of observation, including lighting and </w:t>
      </w:r>
      <w:proofErr w:type="gramStart"/>
      <w:r w:rsidRPr="00D04A20">
        <w:rPr>
          <w:rFonts w:ascii="Times New Roman" w:eastAsia="Times New Roman" w:hAnsi="Times New Roman" w:cs="Times New Roman"/>
          <w:sz w:val="24"/>
          <w:szCs w:val="20"/>
        </w:rPr>
        <w:t>distance;</w:t>
      </w:r>
      <w:proofErr w:type="gramEnd"/>
    </w:p>
    <w:p w14:paraId="4C16FF6E" w14:textId="77777777" w:rsidR="00D04A20" w:rsidRPr="00D04A20" w:rsidRDefault="00D04A20" w:rsidP="00D04A20">
      <w:pPr>
        <w:widowControl w:val="0"/>
        <w:spacing w:after="0" w:line="240" w:lineRule="auto"/>
        <w:ind w:left="720"/>
        <w:rPr>
          <w:rFonts w:ascii="Times New Roman" w:eastAsia="Times New Roman" w:hAnsi="Times New Roman" w:cs="Times New Roman"/>
          <w:sz w:val="24"/>
          <w:szCs w:val="20"/>
        </w:rPr>
      </w:pPr>
    </w:p>
    <w:p w14:paraId="29520A43" w14:textId="77777777" w:rsidR="00D04A20" w:rsidRPr="00D04A20" w:rsidRDefault="00D04A20" w:rsidP="00D04A20">
      <w:pPr>
        <w:widowControl w:val="0"/>
        <w:spacing w:after="0" w:line="240" w:lineRule="auto"/>
        <w:ind w:left="720"/>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 xml:space="preserve">Second, whether the identification was the product of the eyewitness’s own recollection or was the result of subsequent influence or </w:t>
      </w:r>
      <w:proofErr w:type="gramStart"/>
      <w:r w:rsidRPr="00D04A20">
        <w:rPr>
          <w:rFonts w:ascii="Times New Roman" w:eastAsia="Times New Roman" w:hAnsi="Times New Roman" w:cs="Times New Roman"/>
          <w:sz w:val="24"/>
          <w:szCs w:val="20"/>
        </w:rPr>
        <w:t>suggestiveness;</w:t>
      </w:r>
      <w:proofErr w:type="gramEnd"/>
    </w:p>
    <w:p w14:paraId="4B606403"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p>
    <w:p w14:paraId="4BE99F5B"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 xml:space="preserve">Third, any inconsistent identifications made by the </w:t>
      </w:r>
      <w:proofErr w:type="gramStart"/>
      <w:r w:rsidRPr="00D04A20">
        <w:rPr>
          <w:rFonts w:ascii="Times New Roman" w:eastAsia="Times New Roman" w:hAnsi="Times New Roman" w:cs="Times New Roman"/>
          <w:sz w:val="24"/>
          <w:szCs w:val="20"/>
        </w:rPr>
        <w:t>eyewitness;</w:t>
      </w:r>
      <w:proofErr w:type="gramEnd"/>
    </w:p>
    <w:p w14:paraId="5C933ED9"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p>
    <w:p w14:paraId="17DEEE0A"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 xml:space="preserve">Fourth, the witness’s familiarity with the subject </w:t>
      </w:r>
      <w:proofErr w:type="gramStart"/>
      <w:r w:rsidRPr="00D04A20">
        <w:rPr>
          <w:rFonts w:ascii="Times New Roman" w:eastAsia="Times New Roman" w:hAnsi="Times New Roman" w:cs="Times New Roman"/>
          <w:sz w:val="24"/>
          <w:szCs w:val="20"/>
        </w:rPr>
        <w:t>identified;</w:t>
      </w:r>
      <w:proofErr w:type="gramEnd"/>
      <w:r w:rsidRPr="00D04A20">
        <w:rPr>
          <w:rFonts w:ascii="Times New Roman" w:eastAsia="Times New Roman" w:hAnsi="Times New Roman" w:cs="Times New Roman"/>
          <w:sz w:val="24"/>
          <w:szCs w:val="20"/>
        </w:rPr>
        <w:t xml:space="preserve">  </w:t>
      </w:r>
    </w:p>
    <w:p w14:paraId="5E5EBBFD"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p>
    <w:p w14:paraId="735EC840"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 xml:space="preserve">Fifth, the strength of earlier and later </w:t>
      </w:r>
      <w:proofErr w:type="gramStart"/>
      <w:r w:rsidRPr="00D04A20">
        <w:rPr>
          <w:rFonts w:ascii="Times New Roman" w:eastAsia="Times New Roman" w:hAnsi="Times New Roman" w:cs="Times New Roman"/>
          <w:sz w:val="24"/>
          <w:szCs w:val="20"/>
        </w:rPr>
        <w:t>identifications;</w:t>
      </w:r>
      <w:proofErr w:type="gramEnd"/>
    </w:p>
    <w:p w14:paraId="16353C4F"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p>
    <w:p w14:paraId="13575C52"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Sixth, lapses of time between the event and the identification[s]; and</w:t>
      </w:r>
    </w:p>
    <w:p w14:paraId="197D836B"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sz w:val="24"/>
          <w:szCs w:val="20"/>
        </w:rPr>
      </w:pPr>
    </w:p>
    <w:p w14:paraId="7F275A3D" w14:textId="77777777" w:rsidR="00D04A20" w:rsidRPr="00D04A20" w:rsidRDefault="00D04A20" w:rsidP="00D04A20">
      <w:pPr>
        <w:widowControl w:val="0"/>
        <w:spacing w:after="0" w:line="240" w:lineRule="auto"/>
        <w:ind w:left="1440" w:hanging="720"/>
        <w:rPr>
          <w:rFonts w:ascii="Times New Roman" w:eastAsia="Times New Roman" w:hAnsi="Times New Roman" w:cs="Times New Roman"/>
          <w:b/>
          <w:sz w:val="24"/>
          <w:szCs w:val="20"/>
        </w:rPr>
      </w:pPr>
      <w:r w:rsidRPr="00D04A20">
        <w:rPr>
          <w:rFonts w:ascii="Times New Roman" w:eastAsia="Times New Roman" w:hAnsi="Times New Roman" w:cs="Times New Roman"/>
          <w:sz w:val="24"/>
          <w:szCs w:val="20"/>
        </w:rPr>
        <w:t>Seventh, the totality of circumstances surrounding the eyewitness’s identification.</w:t>
      </w:r>
    </w:p>
    <w:p w14:paraId="23BDC31C" w14:textId="77777777" w:rsidR="00D04A20" w:rsidRPr="00D04A20" w:rsidRDefault="00D04A20" w:rsidP="00D04A20">
      <w:pPr>
        <w:spacing w:after="0" w:line="240" w:lineRule="auto"/>
        <w:rPr>
          <w:rFonts w:ascii="Times New Roman" w:eastAsia="Times New Roman" w:hAnsi="Times New Roman" w:cs="Times New Roman"/>
          <w:sz w:val="24"/>
          <w:szCs w:val="20"/>
        </w:rPr>
      </w:pPr>
    </w:p>
    <w:p w14:paraId="41F2C0D8" w14:textId="77777777" w:rsidR="00D04A20" w:rsidRPr="00D04A20" w:rsidRDefault="00D04A20" w:rsidP="00D04A20">
      <w:pPr>
        <w:widowControl w:val="0"/>
        <w:spacing w:after="0" w:line="240" w:lineRule="auto"/>
        <w:ind w:right="-180"/>
        <w:jc w:val="center"/>
        <w:rPr>
          <w:rFonts w:ascii="Times New Roman" w:eastAsia="Times New Roman" w:hAnsi="Times New Roman" w:cs="Times New Roman"/>
          <w:sz w:val="24"/>
          <w:szCs w:val="20"/>
        </w:rPr>
      </w:pPr>
      <w:r w:rsidRPr="00D04A20">
        <w:rPr>
          <w:rFonts w:ascii="Times New Roman" w:eastAsia="Times New Roman" w:hAnsi="Times New Roman" w:cs="Times New Roman"/>
          <w:b/>
          <w:sz w:val="24"/>
          <w:szCs w:val="20"/>
        </w:rPr>
        <w:t>Comment</w:t>
      </w:r>
    </w:p>
    <w:p w14:paraId="18DCF6BD"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p>
    <w:p w14:paraId="6FF26316"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ab/>
        <w:t xml:space="preserve">It is within the trial court’s sound discretion to instruct a jury both on eyewitness identification and general witness credibility.  The need for heightened jury instructions should correlate with the amount of corroborative evidence.  </w:t>
      </w:r>
      <w:r w:rsidRPr="00D04A20">
        <w:rPr>
          <w:rFonts w:ascii="Times New Roman" w:eastAsia="Times New Roman" w:hAnsi="Times New Roman" w:cs="Times New Roman"/>
          <w:i/>
          <w:sz w:val="24"/>
          <w:szCs w:val="20"/>
        </w:rPr>
        <w:t>See United States v. Masterson</w:t>
      </w:r>
      <w:r w:rsidRPr="00D04A20">
        <w:rPr>
          <w:rFonts w:ascii="Times New Roman" w:eastAsia="Times New Roman" w:hAnsi="Times New Roman" w:cs="Times New Roman"/>
          <w:sz w:val="24"/>
          <w:szCs w:val="20"/>
        </w:rPr>
        <w:t>, 529 F.2d 30, 32 (9th Cir. 1976).</w:t>
      </w:r>
    </w:p>
    <w:p w14:paraId="40D02633"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p>
    <w:p w14:paraId="0C5638E3"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r w:rsidRPr="00D04A20">
        <w:rPr>
          <w:rFonts w:ascii="Times New Roman" w:eastAsia="Times New Roman" w:hAnsi="Times New Roman" w:cs="Times New Roman"/>
          <w:sz w:val="24"/>
          <w:szCs w:val="20"/>
        </w:rPr>
        <w:tab/>
        <w:t xml:space="preserve">The Ninth Circuit has approved the giving of a comprehensive eyewitness jury instruction, at least when the district court has determined that proffered expert witness testimony regarding eyewitness identification should be excluded.  </w:t>
      </w:r>
      <w:r w:rsidRPr="00D04A20">
        <w:rPr>
          <w:rFonts w:ascii="Times New Roman" w:eastAsia="Times New Roman" w:hAnsi="Times New Roman" w:cs="Times New Roman"/>
          <w:i/>
          <w:sz w:val="24"/>
          <w:szCs w:val="20"/>
        </w:rPr>
        <w:t>See</w:t>
      </w:r>
      <w:r w:rsidRPr="00D04A20">
        <w:rPr>
          <w:rFonts w:ascii="Times New Roman" w:eastAsia="Times New Roman" w:hAnsi="Times New Roman" w:cs="Times New Roman"/>
          <w:i/>
          <w:iCs/>
          <w:sz w:val="24"/>
          <w:szCs w:val="20"/>
        </w:rPr>
        <w:t>,</w:t>
      </w:r>
      <w:r w:rsidRPr="00D04A20">
        <w:rPr>
          <w:rFonts w:ascii="Times New Roman" w:eastAsia="Times New Roman" w:hAnsi="Times New Roman" w:cs="Times New Roman"/>
          <w:i/>
          <w:sz w:val="24"/>
          <w:szCs w:val="20"/>
        </w:rPr>
        <w:t xml:space="preserve"> e.g.</w:t>
      </w:r>
      <w:r w:rsidRPr="00D04A20">
        <w:rPr>
          <w:rFonts w:ascii="Times New Roman" w:eastAsia="Times New Roman" w:hAnsi="Times New Roman" w:cs="Times New Roman"/>
          <w:sz w:val="24"/>
          <w:szCs w:val="20"/>
        </w:rPr>
        <w:t xml:space="preserve">, </w:t>
      </w:r>
      <w:r w:rsidRPr="00D04A20">
        <w:rPr>
          <w:rFonts w:ascii="Times New Roman" w:eastAsia="Times New Roman" w:hAnsi="Times New Roman" w:cs="Times New Roman"/>
          <w:i/>
          <w:sz w:val="24"/>
          <w:szCs w:val="20"/>
        </w:rPr>
        <w:t>United States v. Hicks</w:t>
      </w:r>
      <w:r w:rsidRPr="00D04A20">
        <w:rPr>
          <w:rFonts w:ascii="Times New Roman" w:eastAsia="Times New Roman" w:hAnsi="Times New Roman" w:cs="Times New Roman"/>
          <w:sz w:val="24"/>
          <w:szCs w:val="20"/>
        </w:rPr>
        <w:t>,</w:t>
      </w:r>
      <w:r w:rsidRPr="00D04A20">
        <w:rPr>
          <w:rFonts w:ascii="Times New Roman" w:eastAsia="Times New Roman" w:hAnsi="Times New Roman" w:cs="Times New Roman"/>
          <w:i/>
          <w:sz w:val="24"/>
          <w:szCs w:val="20"/>
        </w:rPr>
        <w:t xml:space="preserve"> </w:t>
      </w:r>
      <w:r w:rsidRPr="00D04A20">
        <w:rPr>
          <w:rFonts w:ascii="Times New Roman" w:eastAsia="Times New Roman" w:hAnsi="Times New Roman" w:cs="Times New Roman"/>
          <w:sz w:val="24"/>
          <w:szCs w:val="20"/>
        </w:rPr>
        <w:t xml:space="preserve">103 F.3d 837, 847 (9th Cir. 1996), </w:t>
      </w:r>
      <w:r w:rsidRPr="00D04A20">
        <w:rPr>
          <w:rFonts w:ascii="Times New Roman" w:eastAsia="Times New Roman" w:hAnsi="Times New Roman" w:cs="Times New Roman"/>
          <w:i/>
          <w:sz w:val="24"/>
          <w:szCs w:val="20"/>
        </w:rPr>
        <w:t>overruled on other grounds, United States v. W.R. Grace</w:t>
      </w:r>
      <w:r w:rsidRPr="00D04A20">
        <w:rPr>
          <w:rFonts w:ascii="Times New Roman" w:eastAsia="Times New Roman" w:hAnsi="Times New Roman" w:cs="Times New Roman"/>
          <w:sz w:val="24"/>
          <w:szCs w:val="20"/>
        </w:rPr>
        <w:t>, 526 F.3d 499 (9th Cir. 2008).</w:t>
      </w:r>
    </w:p>
    <w:p w14:paraId="62D12571"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p>
    <w:p w14:paraId="0C965D1C" w14:textId="77777777" w:rsidR="00D04A20" w:rsidRPr="00D04A20" w:rsidRDefault="00D04A20" w:rsidP="00D04A20">
      <w:pPr>
        <w:widowControl w:val="0"/>
        <w:spacing w:after="0" w:line="240" w:lineRule="auto"/>
        <w:rPr>
          <w:rFonts w:ascii="Times New Roman" w:eastAsia="Times New Roman" w:hAnsi="Times New Roman" w:cs="Times New Roman"/>
          <w:sz w:val="24"/>
          <w:szCs w:val="20"/>
        </w:rPr>
      </w:pPr>
    </w:p>
    <w:p w14:paraId="03A52817" w14:textId="0242209B" w:rsidR="00111ECF" w:rsidRPr="007E585B" w:rsidRDefault="00D04A20" w:rsidP="00600988">
      <w:pPr>
        <w:widowControl w:val="0"/>
        <w:spacing w:after="0" w:line="240" w:lineRule="auto"/>
        <w:jc w:val="right"/>
      </w:pPr>
      <w:r w:rsidRPr="00D04A20">
        <w:rPr>
          <w:rFonts w:ascii="Times New Roman" w:eastAsia="Times New Roman" w:hAnsi="Times New Roman" w:cs="Times New Roman"/>
          <w:i/>
          <w:sz w:val="24"/>
          <w:szCs w:val="20"/>
        </w:rPr>
        <w:t>Revised June 2019</w:t>
      </w:r>
      <w:bookmarkEnd w:id="7"/>
    </w:p>
    <w:sectPr w:rsidR="00111ECF" w:rsidRPr="007E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223655"/>
    <w:rsid w:val="00242B04"/>
    <w:rsid w:val="00243049"/>
    <w:rsid w:val="002A23AD"/>
    <w:rsid w:val="002D0A1C"/>
    <w:rsid w:val="002D735C"/>
    <w:rsid w:val="002D78AE"/>
    <w:rsid w:val="00367903"/>
    <w:rsid w:val="003A15E9"/>
    <w:rsid w:val="00406D35"/>
    <w:rsid w:val="004A342A"/>
    <w:rsid w:val="004C287D"/>
    <w:rsid w:val="004C3277"/>
    <w:rsid w:val="004C6799"/>
    <w:rsid w:val="00531DD9"/>
    <w:rsid w:val="005D30BA"/>
    <w:rsid w:val="005F00AC"/>
    <w:rsid w:val="00600988"/>
    <w:rsid w:val="0065177C"/>
    <w:rsid w:val="006D2A44"/>
    <w:rsid w:val="007E585B"/>
    <w:rsid w:val="008367A4"/>
    <w:rsid w:val="00851605"/>
    <w:rsid w:val="008D638D"/>
    <w:rsid w:val="008E07E6"/>
    <w:rsid w:val="009C6F91"/>
    <w:rsid w:val="00A15B83"/>
    <w:rsid w:val="00A16FF8"/>
    <w:rsid w:val="00A17030"/>
    <w:rsid w:val="00A265BD"/>
    <w:rsid w:val="00A81BF4"/>
    <w:rsid w:val="00B577ED"/>
    <w:rsid w:val="00B662BA"/>
    <w:rsid w:val="00B72EC0"/>
    <w:rsid w:val="00C14B77"/>
    <w:rsid w:val="00C614F0"/>
    <w:rsid w:val="00D04A20"/>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2022-04-29T21:52:00Z</dcterms:created>
  <dcterms:modified xsi:type="dcterms:W3CDTF">2022-04-29T21:52:00Z</dcterms:modified>
</cp:coreProperties>
</file>