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60F2" w14:textId="77777777" w:rsidR="009B426D" w:rsidRPr="009B426D" w:rsidRDefault="009B426D" w:rsidP="009B426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27"/>
      <w:bookmarkStart w:id="1" w:name="_Toc83310564"/>
      <w:bookmarkStart w:id="2" w:name="_Toc83362364"/>
      <w:bookmarkStart w:id="3" w:name="_Toc83362775"/>
      <w:bookmarkStart w:id="4" w:name="_Toc90309831"/>
      <w:bookmarkStart w:id="5" w:name="_Toc90389689"/>
      <w:bookmarkStart w:id="6" w:name="_Toc90860269"/>
      <w:r w:rsidRPr="009B426D">
        <w:rPr>
          <w:rFonts w:ascii="Times New Roman" w:hAnsi="Times New Roman" w:cs="Times New Roman"/>
          <w:b/>
          <w:bCs/>
          <w:sz w:val="24"/>
          <w:szCs w:val="24"/>
        </w:rPr>
        <w:t>3.14 Opinion Evidence, Expert Witness</w:t>
      </w:r>
      <w:bookmarkEnd w:id="0"/>
      <w:bookmarkEnd w:id="1"/>
      <w:bookmarkEnd w:id="2"/>
      <w:bookmarkEnd w:id="3"/>
      <w:bookmarkEnd w:id="4"/>
      <w:bookmarkEnd w:id="5"/>
      <w:bookmarkEnd w:id="6"/>
    </w:p>
    <w:p w14:paraId="27B1040D"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4CF51BEC" w14:textId="564EAB21"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t>You [have heard] [are about to hear] testimony from [</w:t>
      </w:r>
      <w:r w:rsidRPr="009B426D">
        <w:rPr>
          <w:rFonts w:ascii="Times New Roman" w:eastAsia="Times New Roman" w:hAnsi="Times New Roman" w:cs="Times New Roman"/>
          <w:i/>
          <w:iCs/>
          <w:sz w:val="24"/>
          <w:szCs w:val="20"/>
          <w:u w:val="single"/>
        </w:rPr>
        <w:t>name</w:t>
      </w:r>
      <w:r w:rsidRPr="009B426D">
        <w:rPr>
          <w:rFonts w:ascii="Times New Roman" w:eastAsia="Times New Roman" w:hAnsi="Times New Roman" w:cs="Times New Roman"/>
          <w:sz w:val="24"/>
          <w:szCs w:val="20"/>
        </w:rPr>
        <w:t xml:space="preserve">] who [testified] [will testify] </w:t>
      </w:r>
      <w:r w:rsidR="00D53145">
        <w:rPr>
          <w:rFonts w:ascii="Times New Roman" w:eastAsia="Times New Roman" w:hAnsi="Times New Roman" w:cs="Times New Roman"/>
          <w:sz w:val="24"/>
          <w:szCs w:val="20"/>
        </w:rPr>
        <w:t xml:space="preserve">about [his] [her] </w:t>
      </w:r>
      <w:r w:rsidRPr="009B426D">
        <w:rPr>
          <w:rFonts w:ascii="Times New Roman" w:eastAsia="Times New Roman" w:hAnsi="Times New Roman" w:cs="Times New Roman"/>
          <w:sz w:val="24"/>
          <w:szCs w:val="20"/>
        </w:rPr>
        <w:t xml:space="preserve">opinions and the reasons for </w:t>
      </w:r>
      <w:r w:rsidR="00D53145">
        <w:rPr>
          <w:rFonts w:ascii="Times New Roman" w:eastAsia="Times New Roman" w:hAnsi="Times New Roman" w:cs="Times New Roman"/>
          <w:sz w:val="24"/>
          <w:szCs w:val="20"/>
        </w:rPr>
        <w:t xml:space="preserve">those </w:t>
      </w:r>
      <w:r w:rsidRPr="009B426D">
        <w:rPr>
          <w:rFonts w:ascii="Times New Roman" w:eastAsia="Times New Roman" w:hAnsi="Times New Roman" w:cs="Times New Roman"/>
          <w:sz w:val="24"/>
          <w:szCs w:val="20"/>
        </w:rPr>
        <w:t>opinions.  This opinion testimony is allowed because of the</w:t>
      </w:r>
      <w:r w:rsidR="00D53145" w:rsidRPr="00D53145">
        <w:rPr>
          <w:rFonts w:ascii="Times New Roman" w:eastAsia="Times New Roman" w:hAnsi="Times New Roman" w:cs="Times New Roman"/>
          <w:sz w:val="24"/>
          <w:szCs w:val="20"/>
        </w:rPr>
        <w:t xml:space="preserve"> </w:t>
      </w:r>
      <w:r w:rsidR="00D53145">
        <w:rPr>
          <w:rFonts w:ascii="Times New Roman" w:eastAsia="Times New Roman" w:hAnsi="Times New Roman" w:cs="Times New Roman"/>
          <w:sz w:val="24"/>
          <w:szCs w:val="20"/>
        </w:rPr>
        <w:t>specialized knowledge, skill, experience, training, or</w:t>
      </w:r>
      <w:r w:rsidRPr="009B426D">
        <w:rPr>
          <w:rFonts w:ascii="Times New Roman" w:eastAsia="Times New Roman" w:hAnsi="Times New Roman" w:cs="Times New Roman"/>
          <w:sz w:val="24"/>
          <w:szCs w:val="20"/>
        </w:rPr>
        <w:t xml:space="preserve"> education of this witness. </w:t>
      </w:r>
    </w:p>
    <w:p w14:paraId="723D0539"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29FE4967" w14:textId="2307F5D8"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t xml:space="preserve">Such opinion testimony should be judged like any other testimony.  You may accept it or reject it, and give it as much weight as you think it deserves, considering the witness’s </w:t>
      </w:r>
      <w:r w:rsidR="00D53145">
        <w:rPr>
          <w:rFonts w:ascii="Times New Roman" w:eastAsia="Times New Roman" w:hAnsi="Times New Roman" w:cs="Times New Roman"/>
          <w:sz w:val="24"/>
          <w:szCs w:val="20"/>
        </w:rPr>
        <w:t xml:space="preserve">knowledge, skill, experience, training, or </w:t>
      </w:r>
      <w:r w:rsidRPr="009B426D">
        <w:rPr>
          <w:rFonts w:ascii="Times New Roman" w:eastAsia="Times New Roman" w:hAnsi="Times New Roman" w:cs="Times New Roman"/>
          <w:sz w:val="24"/>
          <w:szCs w:val="20"/>
        </w:rPr>
        <w:t>education, the reasons given for the opinion, and all the other evidence in the case.</w:t>
      </w:r>
    </w:p>
    <w:p w14:paraId="1B52CB43"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524C90D2" w14:textId="77777777" w:rsidR="009B426D" w:rsidRPr="009B426D" w:rsidRDefault="009B426D" w:rsidP="009B426D">
      <w:pPr>
        <w:spacing w:after="0" w:line="240" w:lineRule="auto"/>
        <w:ind w:right="-180"/>
        <w:jc w:val="center"/>
        <w:rPr>
          <w:rFonts w:ascii="Times New Roman" w:eastAsia="Times New Roman" w:hAnsi="Times New Roman" w:cs="Times New Roman"/>
          <w:b/>
          <w:bCs/>
          <w:sz w:val="24"/>
          <w:szCs w:val="20"/>
        </w:rPr>
      </w:pPr>
      <w:r w:rsidRPr="009B426D">
        <w:rPr>
          <w:rFonts w:ascii="Times New Roman" w:eastAsia="Times New Roman" w:hAnsi="Times New Roman" w:cs="Times New Roman"/>
          <w:b/>
          <w:bCs/>
          <w:sz w:val="24"/>
          <w:szCs w:val="20"/>
        </w:rPr>
        <w:t>Comment</w:t>
      </w:r>
    </w:p>
    <w:p w14:paraId="5E5CAD11"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24684AC8" w14:textId="77777777"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r>
      <w:r w:rsidRPr="009B426D">
        <w:rPr>
          <w:rFonts w:ascii="Times New Roman" w:eastAsia="Times New Roman" w:hAnsi="Times New Roman" w:cs="Times New Roman"/>
          <w:i/>
          <w:iCs/>
          <w:sz w:val="24"/>
          <w:szCs w:val="20"/>
        </w:rPr>
        <w:t>See</w:t>
      </w:r>
      <w:r w:rsidRPr="009B426D">
        <w:rPr>
          <w:rFonts w:ascii="Times New Roman" w:eastAsia="Times New Roman" w:hAnsi="Times New Roman" w:cs="Times New Roman"/>
          <w:sz w:val="24"/>
          <w:szCs w:val="20"/>
        </w:rPr>
        <w:t xml:space="preserve"> Fed. R. Evid. 701-05.  </w:t>
      </w:r>
      <w:r w:rsidRPr="009B426D">
        <w:rPr>
          <w:rFonts w:ascii="Times New Roman" w:eastAsia="Times New Roman" w:hAnsi="Times New Roman" w:cs="Times New Roman"/>
          <w:i/>
          <w:iCs/>
          <w:sz w:val="24"/>
          <w:szCs w:val="20"/>
        </w:rPr>
        <w:t xml:space="preserve">See also United States v. </w:t>
      </w:r>
      <w:proofErr w:type="spellStart"/>
      <w:r w:rsidRPr="009B426D">
        <w:rPr>
          <w:rFonts w:ascii="Times New Roman" w:eastAsia="Times New Roman" w:hAnsi="Times New Roman" w:cs="Times New Roman"/>
          <w:i/>
          <w:iCs/>
          <w:sz w:val="24"/>
          <w:szCs w:val="20"/>
        </w:rPr>
        <w:t>Ruvalcaba</w:t>
      </w:r>
      <w:proofErr w:type="spellEnd"/>
      <w:r w:rsidRPr="009B426D">
        <w:rPr>
          <w:rFonts w:ascii="Times New Roman" w:eastAsia="Times New Roman" w:hAnsi="Times New Roman" w:cs="Times New Roman"/>
          <w:i/>
          <w:iCs/>
          <w:sz w:val="24"/>
          <w:szCs w:val="20"/>
        </w:rPr>
        <w:t>-Garcia</w:t>
      </w:r>
      <w:r w:rsidRPr="009B426D">
        <w:rPr>
          <w:rFonts w:ascii="Times New Roman" w:eastAsia="Times New Roman" w:hAnsi="Times New Roman" w:cs="Times New Roman"/>
          <w:sz w:val="24"/>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9B426D">
        <w:rPr>
          <w:rFonts w:ascii="Times New Roman" w:eastAsia="Times New Roman" w:hAnsi="Times New Roman" w:cs="Times New Roman"/>
          <w:i/>
          <w:iCs/>
          <w:sz w:val="24"/>
          <w:szCs w:val="20"/>
        </w:rPr>
        <w:t>United States v. Mendoza</w:t>
      </w:r>
      <w:r w:rsidRPr="009B426D">
        <w:rPr>
          <w:rFonts w:ascii="Times New Roman" w:eastAsia="Times New Roman" w:hAnsi="Times New Roman" w:cs="Times New Roman"/>
          <w:sz w:val="24"/>
          <w:szCs w:val="20"/>
        </w:rPr>
        <w:t>, 244 F.3d 1037, 1048 (9th Cir. 2001) (holding that instruction should be given when requested by defendant).</w:t>
      </w:r>
      <w:r w:rsidRPr="009B426D">
        <w:rPr>
          <w:rFonts w:ascii="Times New Roman" w:eastAsia="Times New Roman" w:hAnsi="Times New Roman" w:cs="Times New Roman"/>
          <w:sz w:val="24"/>
          <w:szCs w:val="20"/>
        </w:rPr>
        <w:tab/>
      </w:r>
    </w:p>
    <w:p w14:paraId="500999D2"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1B5EEBDA" w14:textId="297B294D"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t xml:space="preserve">This instruction avoids labeling the witness as an “expert.”  If the court refrains from informing the jury that the witness is an “expert,” this will “ensure[] that trial courts do not inadvertently put their stamp of authority” on a witness’s opinion and will protect against the jury’s being “overwhelmed by the so-called ‘experts.’”  Fed. R. Evid. 702 advisory committee’s note (2000) (quoting Hon. Charles Richey, Proposals to Eliminate the Prejudicial Effect of the Use of the Word “Expert” Under the Federal Rules of Evidence in Criminal and Civil Jury Trials, 154 F.R.D. 537, 559 (1994)). </w:t>
      </w:r>
    </w:p>
    <w:p w14:paraId="238AC684"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1DEE71E6" w14:textId="77777777"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9B426D">
        <w:rPr>
          <w:rFonts w:ascii="Times New Roman" w:eastAsia="Times New Roman" w:hAnsi="Times New Roman" w:cs="Times New Roman"/>
          <w:i/>
          <w:iCs/>
          <w:sz w:val="24"/>
          <w:szCs w:val="20"/>
        </w:rPr>
        <w:t>See United States v. Torralba-</w:t>
      </w:r>
      <w:proofErr w:type="spellStart"/>
      <w:r w:rsidRPr="009B426D">
        <w:rPr>
          <w:rFonts w:ascii="Times New Roman" w:eastAsia="Times New Roman" w:hAnsi="Times New Roman" w:cs="Times New Roman"/>
          <w:i/>
          <w:iCs/>
          <w:sz w:val="24"/>
          <w:szCs w:val="20"/>
        </w:rPr>
        <w:t>Mendia</w:t>
      </w:r>
      <w:proofErr w:type="spellEnd"/>
      <w:r w:rsidRPr="009B426D">
        <w:rPr>
          <w:rFonts w:ascii="Times New Roman" w:eastAsia="Times New Roman" w:hAnsi="Times New Roman" w:cs="Times New Roman"/>
          <w:sz w:val="24"/>
          <w:szCs w:val="20"/>
        </w:rPr>
        <w:t xml:space="preserve">, 784 F.3d 652, 659 (9th Cir. 2015); </w:t>
      </w:r>
      <w:r w:rsidRPr="009B426D">
        <w:rPr>
          <w:rFonts w:ascii="Times New Roman" w:eastAsia="Times New Roman" w:hAnsi="Times New Roman" w:cs="Times New Roman"/>
          <w:i/>
          <w:iCs/>
          <w:sz w:val="24"/>
          <w:szCs w:val="20"/>
        </w:rPr>
        <w:t>United States v. Vera</w:t>
      </w:r>
      <w:r w:rsidRPr="009B426D">
        <w:rPr>
          <w:rFonts w:ascii="Times New Roman" w:eastAsia="Times New Roman" w:hAnsi="Times New Roman" w:cs="Times New Roman"/>
          <w:sz w:val="24"/>
          <w:szCs w:val="20"/>
        </w:rPr>
        <w:t>, 770 F.3d 1232 (9th Cir. 2014).</w:t>
      </w:r>
    </w:p>
    <w:p w14:paraId="5F944404"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560247E3" w14:textId="77777777"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t xml:space="preserve">Further, the “interpretation of clear statements is not permissible, and is barred by the helpfulness requirement of both Fed. R. Evid. 701 and Fed. R. Evid. 702.”  </w:t>
      </w:r>
      <w:r w:rsidRPr="009B426D">
        <w:rPr>
          <w:rFonts w:ascii="Times New Roman" w:eastAsia="Times New Roman" w:hAnsi="Times New Roman" w:cs="Times New Roman"/>
          <w:i/>
          <w:iCs/>
          <w:sz w:val="24"/>
          <w:szCs w:val="20"/>
        </w:rPr>
        <w:t>Vera</w:t>
      </w:r>
      <w:r w:rsidRPr="009B426D">
        <w:rPr>
          <w:rFonts w:ascii="Times New Roman" w:eastAsia="Times New Roman" w:hAnsi="Times New Roman" w:cs="Times New Roman"/>
          <w:sz w:val="24"/>
          <w:szCs w:val="20"/>
        </w:rPr>
        <w:t>, 770 F.3d at 1246 (emphasis in original) (quotation marks and citation omitted).</w:t>
      </w:r>
    </w:p>
    <w:p w14:paraId="308CA1AA" w14:textId="77777777" w:rsidR="009B426D" w:rsidRPr="009B426D" w:rsidRDefault="009B426D" w:rsidP="009B426D">
      <w:pPr>
        <w:spacing w:after="0" w:line="240" w:lineRule="auto"/>
        <w:rPr>
          <w:rFonts w:ascii="Times New Roman" w:eastAsia="Times New Roman" w:hAnsi="Times New Roman" w:cs="Times New Roman"/>
          <w:sz w:val="24"/>
          <w:szCs w:val="20"/>
        </w:rPr>
      </w:pPr>
    </w:p>
    <w:p w14:paraId="1E22B434" w14:textId="77777777" w:rsidR="009B426D" w:rsidRPr="009B426D" w:rsidRDefault="009B426D" w:rsidP="009B426D">
      <w:pPr>
        <w:spacing w:after="0" w:line="240" w:lineRule="auto"/>
        <w:rPr>
          <w:rFonts w:ascii="Times New Roman" w:eastAsia="Times New Roman" w:hAnsi="Times New Roman" w:cs="Times New Roman"/>
          <w:sz w:val="24"/>
          <w:szCs w:val="20"/>
        </w:rPr>
      </w:pPr>
      <w:r w:rsidRPr="009B426D">
        <w:rPr>
          <w:rFonts w:ascii="Times New Roman" w:eastAsia="Times New Roman" w:hAnsi="Times New Roman" w:cs="Times New Roman"/>
          <w:sz w:val="24"/>
          <w:szCs w:val="20"/>
        </w:rPr>
        <w:tab/>
        <w:t>This instruction also may be given as a limiting instruction at the time testimony is received.</w:t>
      </w:r>
    </w:p>
    <w:p w14:paraId="3467E045" w14:textId="5E50C85F" w:rsidR="009B426D" w:rsidRDefault="009B426D" w:rsidP="009B426D">
      <w:pPr>
        <w:spacing w:after="0" w:line="240" w:lineRule="auto"/>
        <w:rPr>
          <w:rFonts w:ascii="Times New Roman" w:eastAsia="Times New Roman" w:hAnsi="Times New Roman" w:cs="Times New Roman"/>
          <w:sz w:val="24"/>
          <w:szCs w:val="20"/>
        </w:rPr>
      </w:pPr>
    </w:p>
    <w:p w14:paraId="1AE6D20C" w14:textId="77777777" w:rsidR="00D53145" w:rsidRDefault="00D53145" w:rsidP="00D53145">
      <w:pPr>
        <w:spacing w:before="240"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This instruction is appropriate for a witness who provides only expert opinion testimony.  If the same witness provides both expert opinion testimony and percipient witness testimony (including fact testimony, lay opinion testimony, or both), these different roles must be clarified for the jury.  </w:t>
      </w:r>
      <w:r w:rsidRPr="006E427E">
        <w:rPr>
          <w:rFonts w:ascii="Times New Roman" w:eastAsia="Times New Roman" w:hAnsi="Times New Roman" w:cs="Times New Roman"/>
          <w:i/>
          <w:iCs/>
          <w:sz w:val="24"/>
          <w:szCs w:val="20"/>
        </w:rPr>
        <w:t>See</w:t>
      </w:r>
      <w:r>
        <w:rPr>
          <w:rFonts w:ascii="Times New Roman" w:eastAsia="Times New Roman" w:hAnsi="Times New Roman" w:cs="Times New Roman"/>
          <w:sz w:val="24"/>
          <w:szCs w:val="20"/>
        </w:rPr>
        <w:t xml:space="preserve"> Comment to Instruction 3.15 (Dual Role Testimony).  In that event, use one of the three options shown in Instruction 3.15, instead of this instruction.</w:t>
      </w:r>
    </w:p>
    <w:p w14:paraId="5C23C4A5" w14:textId="77777777" w:rsidR="00D53145" w:rsidRPr="009B426D" w:rsidRDefault="00D53145" w:rsidP="009B426D">
      <w:pPr>
        <w:spacing w:after="0" w:line="240" w:lineRule="auto"/>
        <w:rPr>
          <w:rFonts w:ascii="Times New Roman" w:eastAsia="Times New Roman" w:hAnsi="Times New Roman" w:cs="Times New Roman"/>
          <w:sz w:val="24"/>
          <w:szCs w:val="20"/>
        </w:rPr>
      </w:pPr>
    </w:p>
    <w:p w14:paraId="10138572" w14:textId="77777777" w:rsidR="009B426D" w:rsidRPr="009B426D" w:rsidRDefault="009B426D" w:rsidP="009B426D">
      <w:pPr>
        <w:spacing w:after="0" w:line="240" w:lineRule="auto"/>
        <w:jc w:val="right"/>
        <w:rPr>
          <w:rFonts w:ascii="Times New Roman" w:eastAsia="Times New Roman" w:hAnsi="Times New Roman" w:cs="Times New Roman"/>
          <w:i/>
          <w:iCs/>
          <w:sz w:val="24"/>
          <w:szCs w:val="20"/>
        </w:rPr>
      </w:pPr>
    </w:p>
    <w:p w14:paraId="03A52817" w14:textId="036F25AE" w:rsidR="00111ECF" w:rsidRPr="009B426D" w:rsidRDefault="009B426D" w:rsidP="009B426D">
      <w:pPr>
        <w:spacing w:after="0" w:line="240" w:lineRule="auto"/>
        <w:jc w:val="right"/>
      </w:pPr>
      <w:r w:rsidRPr="009B426D">
        <w:rPr>
          <w:rFonts w:ascii="Times New Roman" w:eastAsia="Times New Roman" w:hAnsi="Times New Roman" w:cs="Times New Roman"/>
          <w:i/>
          <w:iCs/>
          <w:sz w:val="24"/>
          <w:szCs w:val="20"/>
        </w:rPr>
        <w:t xml:space="preserve">Revised </w:t>
      </w:r>
      <w:r w:rsidR="00D53145">
        <w:rPr>
          <w:rFonts w:ascii="Times New Roman" w:eastAsia="Times New Roman" w:hAnsi="Times New Roman" w:cs="Times New Roman"/>
          <w:i/>
          <w:iCs/>
          <w:sz w:val="24"/>
          <w:szCs w:val="20"/>
        </w:rPr>
        <w:t>Mar. 2023</w:t>
      </w:r>
    </w:p>
    <w:sectPr w:rsidR="00111ECF" w:rsidRPr="009B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23655"/>
    <w:rsid w:val="00242B04"/>
    <w:rsid w:val="00243049"/>
    <w:rsid w:val="002A23AD"/>
    <w:rsid w:val="002D0A1C"/>
    <w:rsid w:val="002D735C"/>
    <w:rsid w:val="002D78AE"/>
    <w:rsid w:val="00367903"/>
    <w:rsid w:val="003A15E9"/>
    <w:rsid w:val="003B0CD7"/>
    <w:rsid w:val="00406D35"/>
    <w:rsid w:val="004A342A"/>
    <w:rsid w:val="004C287D"/>
    <w:rsid w:val="004C3277"/>
    <w:rsid w:val="004C6799"/>
    <w:rsid w:val="00531DD9"/>
    <w:rsid w:val="005D30BA"/>
    <w:rsid w:val="005F00AC"/>
    <w:rsid w:val="00600988"/>
    <w:rsid w:val="0065177C"/>
    <w:rsid w:val="006D2A44"/>
    <w:rsid w:val="007E585B"/>
    <w:rsid w:val="008367A4"/>
    <w:rsid w:val="00851605"/>
    <w:rsid w:val="008D638D"/>
    <w:rsid w:val="008E07E6"/>
    <w:rsid w:val="009B426D"/>
    <w:rsid w:val="009C6F91"/>
    <w:rsid w:val="00A15B83"/>
    <w:rsid w:val="00A16FF8"/>
    <w:rsid w:val="00A17030"/>
    <w:rsid w:val="00A265BD"/>
    <w:rsid w:val="00A81BF4"/>
    <w:rsid w:val="00AE45ED"/>
    <w:rsid w:val="00B577ED"/>
    <w:rsid w:val="00B662BA"/>
    <w:rsid w:val="00B72EC0"/>
    <w:rsid w:val="00C14B77"/>
    <w:rsid w:val="00C614F0"/>
    <w:rsid w:val="00D04A20"/>
    <w:rsid w:val="00D53145"/>
    <w:rsid w:val="00DA03A6"/>
    <w:rsid w:val="00E824EC"/>
    <w:rsid w:val="00E90F1E"/>
    <w:rsid w:val="00F32025"/>
    <w:rsid w:val="00F6164B"/>
    <w:rsid w:val="00FE2F9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3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4</cp:revision>
  <dcterms:created xsi:type="dcterms:W3CDTF">2022-08-22T20:13:00Z</dcterms:created>
  <dcterms:modified xsi:type="dcterms:W3CDTF">2023-05-02T13:31:00Z</dcterms:modified>
</cp:coreProperties>
</file>