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A2C7" w14:textId="12F7D8C2" w:rsidR="005F00AC" w:rsidRPr="005F00AC" w:rsidRDefault="005F00AC" w:rsidP="005F00AC">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8513"/>
      <w:bookmarkStart w:id="1" w:name="_Toc83310550"/>
      <w:bookmarkStart w:id="2" w:name="_Toc83362351"/>
      <w:bookmarkStart w:id="3" w:name="_Toc83362762"/>
      <w:bookmarkStart w:id="4" w:name="_Toc90309818"/>
      <w:bookmarkStart w:id="5" w:name="_Toc90389676"/>
      <w:bookmarkStart w:id="6" w:name="_Toc90860256"/>
      <w:r w:rsidRPr="005F00AC">
        <w:rPr>
          <w:rFonts w:ascii="Times New Roman" w:hAnsi="Times New Roman" w:cs="Times New Roman"/>
          <w:b/>
          <w:bCs/>
          <w:sz w:val="24"/>
          <w:szCs w:val="24"/>
        </w:rPr>
        <w:t>3.1 Statements by Defendant</w:t>
      </w:r>
      <w:bookmarkEnd w:id="0"/>
      <w:bookmarkEnd w:id="1"/>
      <w:bookmarkEnd w:id="2"/>
      <w:bookmarkEnd w:id="3"/>
      <w:bookmarkEnd w:id="4"/>
      <w:bookmarkEnd w:id="5"/>
      <w:bookmarkEnd w:id="6"/>
      <w:r w:rsidR="00430358">
        <w:rPr>
          <w:rFonts w:ascii="Times New Roman" w:hAnsi="Times New Roman" w:cs="Times New Roman"/>
          <w:b/>
          <w:bCs/>
          <w:sz w:val="24"/>
          <w:szCs w:val="24"/>
        </w:rPr>
        <w:t xml:space="preserve"> or Codefendant</w:t>
      </w:r>
    </w:p>
    <w:p w14:paraId="4A91884E" w14:textId="77777777" w:rsidR="005F00AC" w:rsidRPr="005F00AC" w:rsidRDefault="005F00AC" w:rsidP="005F00AC">
      <w:pPr>
        <w:widowControl w:val="0"/>
        <w:spacing w:after="0" w:line="240" w:lineRule="auto"/>
        <w:rPr>
          <w:rFonts w:ascii="Times New Roman" w:eastAsia="Times New Roman" w:hAnsi="Times New Roman" w:cs="Times New Roman"/>
          <w:sz w:val="24"/>
          <w:szCs w:val="20"/>
        </w:rPr>
      </w:pPr>
    </w:p>
    <w:p w14:paraId="4C26F446" w14:textId="77777777" w:rsidR="005F00AC" w:rsidRPr="005F00AC" w:rsidRDefault="005F00AC" w:rsidP="005F00AC">
      <w:pPr>
        <w:widowControl w:val="0"/>
        <w:spacing w:after="0" w:line="240" w:lineRule="auto"/>
        <w:rPr>
          <w:rFonts w:ascii="Times New Roman" w:eastAsia="Times New Roman" w:hAnsi="Times New Roman" w:cs="Times New Roman"/>
          <w:sz w:val="24"/>
          <w:szCs w:val="20"/>
        </w:rPr>
      </w:pPr>
      <w:r w:rsidRPr="005F00AC">
        <w:rPr>
          <w:rFonts w:ascii="Times New Roman" w:eastAsia="Times New Roman" w:hAnsi="Times New Roman" w:cs="Times New Roman"/>
          <w:sz w:val="24"/>
          <w:szCs w:val="20"/>
        </w:rPr>
        <w:tab/>
        <w:t>You have heard testimony that the defendant made a statement.  It is for you to decide (1) whether the defendant made the statement, and (2) if so, how much weight to give to it.  In making those decisions, you should consider all the evidence about the statement, including the circumstances under which the defendant may have made it.</w:t>
      </w:r>
    </w:p>
    <w:p w14:paraId="0D75F667" w14:textId="77777777" w:rsidR="005F00AC" w:rsidRPr="005F00AC" w:rsidRDefault="005F00AC" w:rsidP="005F00AC">
      <w:pPr>
        <w:widowControl w:val="0"/>
        <w:spacing w:after="0" w:line="240" w:lineRule="auto"/>
        <w:rPr>
          <w:rFonts w:ascii="Times New Roman" w:eastAsia="Times New Roman" w:hAnsi="Times New Roman" w:cs="Times New Roman"/>
          <w:sz w:val="24"/>
          <w:szCs w:val="20"/>
        </w:rPr>
      </w:pPr>
    </w:p>
    <w:p w14:paraId="017A8026" w14:textId="77777777" w:rsidR="005F00AC" w:rsidRPr="005F00AC" w:rsidRDefault="005F00AC" w:rsidP="005F00AC">
      <w:pPr>
        <w:widowControl w:val="0"/>
        <w:spacing w:after="0" w:line="240" w:lineRule="auto"/>
        <w:ind w:right="-180"/>
        <w:jc w:val="center"/>
        <w:rPr>
          <w:rFonts w:ascii="Times New Roman" w:eastAsia="Times New Roman" w:hAnsi="Times New Roman" w:cs="Times New Roman"/>
          <w:b/>
          <w:sz w:val="24"/>
          <w:szCs w:val="20"/>
        </w:rPr>
      </w:pPr>
      <w:r w:rsidRPr="005F00AC">
        <w:rPr>
          <w:rFonts w:ascii="Times New Roman" w:eastAsia="Times New Roman" w:hAnsi="Times New Roman" w:cs="Times New Roman"/>
          <w:b/>
          <w:sz w:val="24"/>
          <w:szCs w:val="20"/>
        </w:rPr>
        <w:t>Comment</w:t>
      </w:r>
    </w:p>
    <w:p w14:paraId="5392E428" w14:textId="77777777" w:rsidR="005F00AC" w:rsidRPr="005F00AC" w:rsidRDefault="005F00AC" w:rsidP="005F00AC">
      <w:pPr>
        <w:widowControl w:val="0"/>
        <w:spacing w:after="0" w:line="240" w:lineRule="auto"/>
        <w:rPr>
          <w:rFonts w:ascii="Times New Roman" w:eastAsia="Times New Roman" w:hAnsi="Times New Roman" w:cs="Times New Roman"/>
          <w:b/>
          <w:sz w:val="24"/>
          <w:szCs w:val="20"/>
        </w:rPr>
      </w:pPr>
    </w:p>
    <w:p w14:paraId="4547AEC5" w14:textId="77777777" w:rsidR="005F00AC" w:rsidRPr="005F00AC" w:rsidRDefault="005F00AC" w:rsidP="005F00AC">
      <w:pPr>
        <w:widowControl w:val="0"/>
        <w:spacing w:after="0" w:line="240" w:lineRule="auto"/>
        <w:rPr>
          <w:rFonts w:ascii="Times New Roman" w:eastAsia="Times New Roman" w:hAnsi="Times New Roman" w:cs="Times New Roman"/>
          <w:sz w:val="24"/>
          <w:szCs w:val="20"/>
        </w:rPr>
      </w:pPr>
      <w:r w:rsidRPr="005F00AC">
        <w:rPr>
          <w:rFonts w:ascii="Times New Roman" w:eastAsia="Times New Roman" w:hAnsi="Times New Roman" w:cs="Times New Roman"/>
          <w:b/>
          <w:sz w:val="24"/>
          <w:szCs w:val="20"/>
        </w:rPr>
        <w:tab/>
      </w:r>
      <w:r w:rsidRPr="005F00AC">
        <w:rPr>
          <w:rFonts w:ascii="Times New Roman" w:eastAsia="Times New Roman" w:hAnsi="Times New Roman" w:cs="Times New Roman"/>
          <w:sz w:val="24"/>
          <w:szCs w:val="20"/>
        </w:rPr>
        <w:t xml:space="preserve">This instruction uses the word “statement” in preference to the more pejorative term, “confession.”  The word “confession” implies an ultimate conclusion about the significance of a defendant’s statement, which should be left for the jury to determine.  The language of this instruction was expressly approved in </w:t>
      </w:r>
      <w:r w:rsidRPr="005F00AC">
        <w:rPr>
          <w:rFonts w:ascii="Times New Roman" w:eastAsia="Times New Roman" w:hAnsi="Times New Roman" w:cs="Times New Roman"/>
          <w:i/>
          <w:sz w:val="24"/>
          <w:szCs w:val="20"/>
        </w:rPr>
        <w:t xml:space="preserve">United States v. </w:t>
      </w:r>
      <w:proofErr w:type="spellStart"/>
      <w:r w:rsidRPr="005F00AC">
        <w:rPr>
          <w:rFonts w:ascii="Times New Roman" w:eastAsia="Times New Roman" w:hAnsi="Times New Roman" w:cs="Times New Roman"/>
          <w:i/>
          <w:sz w:val="24"/>
          <w:szCs w:val="20"/>
        </w:rPr>
        <w:t>Hoac</w:t>
      </w:r>
      <w:proofErr w:type="spellEnd"/>
      <w:r w:rsidRPr="005F00AC">
        <w:rPr>
          <w:rFonts w:ascii="Times New Roman" w:eastAsia="Times New Roman" w:hAnsi="Times New Roman" w:cs="Times New Roman"/>
          <w:sz w:val="24"/>
          <w:szCs w:val="20"/>
        </w:rPr>
        <w:t xml:space="preserve">, 990 F.2d 1099, 1108 n.4 (9th Cir. 1993).  </w:t>
      </w:r>
    </w:p>
    <w:p w14:paraId="6A089182" w14:textId="77777777" w:rsidR="005F00AC" w:rsidRPr="005F00AC" w:rsidRDefault="005F00AC" w:rsidP="005F00AC">
      <w:pPr>
        <w:widowControl w:val="0"/>
        <w:spacing w:after="0" w:line="240" w:lineRule="auto"/>
        <w:rPr>
          <w:rFonts w:ascii="Times New Roman" w:eastAsia="Times New Roman" w:hAnsi="Times New Roman" w:cs="Times New Roman"/>
          <w:sz w:val="24"/>
          <w:szCs w:val="20"/>
        </w:rPr>
      </w:pPr>
    </w:p>
    <w:p w14:paraId="65C30F2D" w14:textId="1F0557B8" w:rsidR="005F00AC" w:rsidRDefault="005F00AC" w:rsidP="005F00AC">
      <w:pPr>
        <w:widowControl w:val="0"/>
        <w:spacing w:after="0" w:line="240" w:lineRule="auto"/>
        <w:rPr>
          <w:rFonts w:ascii="Times New Roman" w:eastAsia="Times New Roman" w:hAnsi="Times New Roman" w:cs="Times New Roman"/>
          <w:sz w:val="24"/>
          <w:szCs w:val="20"/>
        </w:rPr>
      </w:pPr>
      <w:r w:rsidRPr="005F00AC">
        <w:rPr>
          <w:rFonts w:ascii="Times New Roman" w:eastAsia="Times New Roman" w:hAnsi="Times New Roman" w:cs="Times New Roman"/>
          <w:sz w:val="24"/>
          <w:szCs w:val="20"/>
        </w:rPr>
        <w:tab/>
        <w:t xml:space="preserve">When voluntariness of a confession is an issue, the instruction is required by 18 U.S.C. § 3501(a), providing that after a trial judge has determined a confession to be admissible, the judge “shall permit the jury to hear relevant evidence on the issue of voluntariness and shall instruct the jury to give such weight to the confession as the jury feels it deserves under all the circumstances.”  </w:t>
      </w:r>
      <w:r w:rsidRPr="005F00AC">
        <w:rPr>
          <w:rFonts w:ascii="Times New Roman" w:eastAsia="Times New Roman" w:hAnsi="Times New Roman" w:cs="Times New Roman"/>
          <w:i/>
          <w:sz w:val="24"/>
          <w:szCs w:val="20"/>
        </w:rPr>
        <w:t>See also United States v. Dickerson</w:t>
      </w:r>
      <w:r w:rsidRPr="005F00AC">
        <w:rPr>
          <w:rFonts w:ascii="Times New Roman" w:eastAsia="Times New Roman" w:hAnsi="Times New Roman" w:cs="Times New Roman"/>
          <w:sz w:val="24"/>
          <w:szCs w:val="20"/>
        </w:rPr>
        <w:t xml:space="preserve">, 530 U.S. 428, 432 (2000) (holding that </w:t>
      </w:r>
      <w:r w:rsidRPr="005F00AC">
        <w:rPr>
          <w:rFonts w:ascii="Times New Roman" w:eastAsia="Times New Roman" w:hAnsi="Times New Roman" w:cs="Times New Roman"/>
          <w:i/>
          <w:sz w:val="24"/>
          <w:szCs w:val="20"/>
        </w:rPr>
        <w:t>Miranda v. Arizona</w:t>
      </w:r>
      <w:r w:rsidRPr="005F00AC">
        <w:rPr>
          <w:rFonts w:ascii="Times New Roman" w:eastAsia="Times New Roman" w:hAnsi="Times New Roman" w:cs="Times New Roman"/>
          <w:sz w:val="24"/>
          <w:szCs w:val="20"/>
        </w:rPr>
        <w:t>, 384 U.S. 436 (1966), and its progeny govern admissibility of accused person’s statement during custodial interrogation and could not be in effect overruled by § 3501).  Section 3501(e) defines “confession” as</w:t>
      </w:r>
      <w:r w:rsidRPr="005F00AC">
        <w:rPr>
          <w:rFonts w:ascii="Times New Roman" w:eastAsia="Times New Roman" w:hAnsi="Times New Roman" w:cs="Times New Roman"/>
          <w:i/>
          <w:sz w:val="24"/>
          <w:szCs w:val="20"/>
        </w:rPr>
        <w:t xml:space="preserve"> </w:t>
      </w:r>
      <w:r w:rsidRPr="005F00AC">
        <w:rPr>
          <w:rFonts w:ascii="Times New Roman" w:eastAsia="Times New Roman" w:hAnsi="Times New Roman" w:cs="Times New Roman"/>
          <w:sz w:val="24"/>
          <w:szCs w:val="20"/>
        </w:rPr>
        <w:t xml:space="preserve">“any confession of guilt of any criminal offense or any self-incriminating statement made or given orally or in writing.” </w:t>
      </w:r>
      <w:r w:rsidRPr="005F00AC">
        <w:rPr>
          <w:rFonts w:ascii="Times New Roman" w:eastAsia="Times New Roman" w:hAnsi="Times New Roman" w:cs="Times New Roman"/>
          <w:i/>
          <w:sz w:val="24"/>
          <w:szCs w:val="20"/>
        </w:rPr>
        <w:t xml:space="preserve"> See </w:t>
      </w:r>
      <w:proofErr w:type="spellStart"/>
      <w:r w:rsidRPr="005F00AC">
        <w:rPr>
          <w:rFonts w:ascii="Times New Roman" w:eastAsia="Times New Roman" w:hAnsi="Times New Roman" w:cs="Times New Roman"/>
          <w:i/>
          <w:sz w:val="24"/>
          <w:szCs w:val="20"/>
        </w:rPr>
        <w:t>Hoac</w:t>
      </w:r>
      <w:proofErr w:type="spellEnd"/>
      <w:r w:rsidRPr="005F00AC">
        <w:rPr>
          <w:rFonts w:ascii="Times New Roman" w:eastAsia="Times New Roman" w:hAnsi="Times New Roman" w:cs="Times New Roman"/>
          <w:sz w:val="24"/>
          <w:szCs w:val="20"/>
        </w:rPr>
        <w:t xml:space="preserve">, 990 F.2d at 1107 (where defendant raises genuine issue at trial concerning voluntariness of statement, trial court is obligated by statute to instruct jury concerning weight to be accorded that statement).  Failure to give the required instruction may constitute plain error.  </w:t>
      </w:r>
      <w:r w:rsidRPr="005F00AC">
        <w:rPr>
          <w:rFonts w:ascii="Times New Roman" w:eastAsia="Times New Roman" w:hAnsi="Times New Roman" w:cs="Times New Roman"/>
          <w:i/>
          <w:sz w:val="24"/>
          <w:szCs w:val="20"/>
        </w:rPr>
        <w:t>Id.</w:t>
      </w:r>
      <w:r w:rsidRPr="005F00AC">
        <w:rPr>
          <w:rFonts w:ascii="Times New Roman" w:eastAsia="Times New Roman" w:hAnsi="Times New Roman" w:cs="Times New Roman"/>
          <w:sz w:val="24"/>
          <w:szCs w:val="20"/>
        </w:rPr>
        <w:t xml:space="preserve"> at 1109.</w:t>
      </w:r>
    </w:p>
    <w:p w14:paraId="2B02F268" w14:textId="2B1A3AFA" w:rsidR="00430358" w:rsidRDefault="00430358" w:rsidP="005F00AC">
      <w:pPr>
        <w:widowControl w:val="0"/>
        <w:spacing w:after="0" w:line="240" w:lineRule="auto"/>
        <w:rPr>
          <w:rFonts w:ascii="Times New Roman" w:eastAsia="Times New Roman" w:hAnsi="Times New Roman" w:cs="Times New Roman"/>
          <w:sz w:val="24"/>
          <w:szCs w:val="20"/>
        </w:rPr>
      </w:pPr>
    </w:p>
    <w:p w14:paraId="5F7F58F4" w14:textId="77777777" w:rsidR="00993AB9" w:rsidRDefault="00430358" w:rsidP="005804D8">
      <w:pPr>
        <w:spacing w:after="0" w:line="240" w:lineRule="auto"/>
        <w:rPr>
          <w:rFonts w:ascii="Times New Roman" w:hAnsi="Times New Roman" w:cs="Times New Roman"/>
          <w:kern w:val="2"/>
          <w:sz w:val="24"/>
          <w:szCs w:val="24"/>
          <w14:ligatures w14:val="standardContextual"/>
        </w:rPr>
      </w:pPr>
      <w:r w:rsidRPr="00430358">
        <w:rPr>
          <w:rFonts w:ascii="Arial" w:hAnsi="Arial"/>
          <w:kern w:val="2"/>
          <w:sz w:val="26"/>
          <w14:ligatures w14:val="standardContextual"/>
        </w:rPr>
        <w:tab/>
      </w:r>
      <w:r w:rsidRPr="00430358">
        <w:rPr>
          <w:rFonts w:ascii="Times New Roman" w:hAnsi="Times New Roman" w:cs="Times New Roman"/>
          <w:kern w:val="2"/>
          <w:sz w:val="24"/>
          <w:szCs w:val="24"/>
          <w14:ligatures w14:val="standardContextual"/>
        </w:rPr>
        <w:t xml:space="preserve">In a joint trial, when a </w:t>
      </w:r>
      <w:proofErr w:type="spellStart"/>
      <w:r w:rsidRPr="00430358">
        <w:rPr>
          <w:rFonts w:ascii="Times New Roman" w:hAnsi="Times New Roman" w:cs="Times New Roman"/>
          <w:kern w:val="2"/>
          <w:sz w:val="24"/>
          <w:szCs w:val="24"/>
          <w14:ligatures w14:val="standardContextual"/>
        </w:rPr>
        <w:t>nontestifying</w:t>
      </w:r>
      <w:proofErr w:type="spellEnd"/>
      <w:r w:rsidRPr="00430358">
        <w:rPr>
          <w:rFonts w:ascii="Times New Roman" w:hAnsi="Times New Roman" w:cs="Times New Roman"/>
          <w:kern w:val="2"/>
          <w:sz w:val="24"/>
          <w:szCs w:val="24"/>
          <w14:ligatures w14:val="standardContextual"/>
        </w:rPr>
        <w:t xml:space="preserve"> defendant’s statement</w:t>
      </w:r>
      <w:r>
        <w:rPr>
          <w:rFonts w:ascii="Times New Roman" w:hAnsi="Times New Roman" w:cs="Times New Roman"/>
          <w:kern w:val="2"/>
          <w:sz w:val="24"/>
          <w:szCs w:val="24"/>
          <w14:ligatures w14:val="standardContextual"/>
        </w:rPr>
        <w:t xml:space="preserve"> directly</w:t>
      </w:r>
      <w:r w:rsidRPr="00430358">
        <w:rPr>
          <w:rFonts w:ascii="Times New Roman" w:hAnsi="Times New Roman" w:cs="Times New Roman"/>
          <w:kern w:val="2"/>
          <w:sz w:val="24"/>
          <w:szCs w:val="24"/>
          <w14:ligatures w14:val="standardContextual"/>
        </w:rPr>
        <w:t xml:space="preserve"> inculpates a </w:t>
      </w:r>
      <w:proofErr w:type="spellStart"/>
      <w:r w:rsidRPr="00430358">
        <w:rPr>
          <w:rFonts w:ascii="Times New Roman" w:hAnsi="Times New Roman" w:cs="Times New Roman"/>
          <w:kern w:val="2"/>
          <w:sz w:val="24"/>
          <w:szCs w:val="24"/>
          <w14:ligatures w14:val="standardContextual"/>
        </w:rPr>
        <w:t>nonconfessing</w:t>
      </w:r>
      <w:proofErr w:type="spellEnd"/>
      <w:r w:rsidRPr="00430358">
        <w:rPr>
          <w:rFonts w:ascii="Times New Roman" w:hAnsi="Times New Roman" w:cs="Times New Roman"/>
          <w:kern w:val="2"/>
          <w:sz w:val="24"/>
          <w:szCs w:val="24"/>
          <w14:ligatures w14:val="standardContextual"/>
        </w:rPr>
        <w:t xml:space="preserve"> codefendant, the Confrontation Clause may bar the admission of the defendant’s statement.  </w:t>
      </w:r>
      <w:r w:rsidRPr="00430358">
        <w:rPr>
          <w:rFonts w:ascii="Times New Roman" w:hAnsi="Times New Roman" w:cs="Times New Roman"/>
          <w:i/>
          <w:iCs/>
          <w:kern w:val="2"/>
          <w:sz w:val="24"/>
          <w:szCs w:val="24"/>
          <w14:ligatures w14:val="standardContextual"/>
        </w:rPr>
        <w:t>Bruton v. United States</w:t>
      </w:r>
      <w:r w:rsidRPr="00430358">
        <w:rPr>
          <w:rFonts w:ascii="Times New Roman" w:hAnsi="Times New Roman" w:cs="Times New Roman"/>
          <w:kern w:val="2"/>
          <w:sz w:val="24"/>
          <w:szCs w:val="24"/>
          <w14:ligatures w14:val="standardContextual"/>
        </w:rPr>
        <w:t xml:space="preserve">, 391 U.S. 123, 137 (1968) (holding admission of </w:t>
      </w:r>
      <w:proofErr w:type="spellStart"/>
      <w:r w:rsidRPr="00430358">
        <w:rPr>
          <w:rFonts w:ascii="Times New Roman" w:hAnsi="Times New Roman" w:cs="Times New Roman"/>
          <w:kern w:val="2"/>
          <w:sz w:val="24"/>
          <w:szCs w:val="24"/>
          <w14:ligatures w14:val="standardContextual"/>
        </w:rPr>
        <w:t>nontestifying</w:t>
      </w:r>
      <w:proofErr w:type="spellEnd"/>
      <w:r w:rsidRPr="00430358">
        <w:rPr>
          <w:rFonts w:ascii="Times New Roman" w:hAnsi="Times New Roman" w:cs="Times New Roman"/>
          <w:kern w:val="2"/>
          <w:sz w:val="24"/>
          <w:szCs w:val="24"/>
          <w14:ligatures w14:val="standardContextual"/>
        </w:rPr>
        <w:t xml:space="preserve"> defendant’s statement inculpating </w:t>
      </w:r>
      <w:proofErr w:type="spellStart"/>
      <w:r w:rsidRPr="00430358">
        <w:rPr>
          <w:rFonts w:ascii="Times New Roman" w:hAnsi="Times New Roman" w:cs="Times New Roman"/>
          <w:kern w:val="2"/>
          <w:sz w:val="24"/>
          <w:szCs w:val="24"/>
          <w14:ligatures w14:val="standardContextual"/>
        </w:rPr>
        <w:t>nonconfessing</w:t>
      </w:r>
      <w:proofErr w:type="spellEnd"/>
      <w:r w:rsidRPr="00430358">
        <w:rPr>
          <w:rFonts w:ascii="Times New Roman" w:hAnsi="Times New Roman" w:cs="Times New Roman"/>
          <w:kern w:val="2"/>
          <w:sz w:val="24"/>
          <w:szCs w:val="24"/>
          <w14:ligatures w14:val="standardContextual"/>
        </w:rPr>
        <w:t xml:space="preserve"> codefendant by name violated the Confrontation Clause, despite limiting instruction).  In these circumstances, modification of the statement may be necessary to avoid directly identifying the </w:t>
      </w:r>
      <w:proofErr w:type="spellStart"/>
      <w:r w:rsidRPr="00430358">
        <w:rPr>
          <w:rFonts w:ascii="Times New Roman" w:hAnsi="Times New Roman" w:cs="Times New Roman"/>
          <w:kern w:val="2"/>
          <w:sz w:val="24"/>
          <w:szCs w:val="24"/>
          <w14:ligatures w14:val="standardContextual"/>
        </w:rPr>
        <w:t>nonconfessing</w:t>
      </w:r>
      <w:proofErr w:type="spellEnd"/>
      <w:r w:rsidRPr="00430358">
        <w:rPr>
          <w:rFonts w:ascii="Times New Roman" w:hAnsi="Times New Roman" w:cs="Times New Roman"/>
          <w:kern w:val="2"/>
          <w:sz w:val="24"/>
          <w:szCs w:val="24"/>
          <w14:ligatures w14:val="standardContextual"/>
        </w:rPr>
        <w:t xml:space="preserve"> codefendant and the court may be required to offer a limiting instruction that jurors may consider the statement only with respect to the confessing codefendant.  </w:t>
      </w:r>
      <w:r w:rsidRPr="00430358">
        <w:rPr>
          <w:rFonts w:ascii="Times New Roman" w:hAnsi="Times New Roman" w:cs="Times New Roman"/>
          <w:i/>
          <w:iCs/>
          <w:kern w:val="2"/>
          <w:sz w:val="24"/>
          <w:szCs w:val="24"/>
          <w14:ligatures w14:val="standardContextual"/>
        </w:rPr>
        <w:t>See Samia v. United States</w:t>
      </w:r>
      <w:r w:rsidRPr="00430358">
        <w:rPr>
          <w:rFonts w:ascii="Times New Roman" w:hAnsi="Times New Roman" w:cs="Times New Roman"/>
          <w:kern w:val="2"/>
          <w:sz w:val="24"/>
          <w:szCs w:val="24"/>
          <w14:ligatures w14:val="standardContextual"/>
        </w:rPr>
        <w:t xml:space="preserve">, 599 U.S. </w:t>
      </w:r>
      <w:r w:rsidRPr="00430358">
        <w:rPr>
          <w:rFonts w:ascii="Times New Roman" w:hAnsi="Times New Roman" w:cs="Times New Roman"/>
          <w:kern w:val="2"/>
          <w:sz w:val="24"/>
          <w:szCs w:val="24"/>
          <w14:ligatures w14:val="standardContextual"/>
        </w:rPr>
        <w:softHyphen/>
      </w:r>
      <w:r>
        <w:rPr>
          <w:rFonts w:ascii="Times New Roman" w:hAnsi="Times New Roman" w:cs="Times New Roman"/>
          <w:kern w:val="2"/>
          <w:sz w:val="24"/>
          <w:szCs w:val="24"/>
          <w14:ligatures w14:val="standardContextual"/>
        </w:rPr>
        <w:t>635</w:t>
      </w:r>
      <w:r w:rsidRPr="00430358">
        <w:rPr>
          <w:rFonts w:ascii="Times New Roman" w:hAnsi="Times New Roman" w:cs="Times New Roman"/>
          <w:kern w:val="2"/>
          <w:sz w:val="24"/>
          <w:szCs w:val="24"/>
          <w14:ligatures w14:val="standardContextual"/>
        </w:rPr>
        <w:t xml:space="preserve"> (2023) (holding that </w:t>
      </w:r>
      <w:proofErr w:type="spellStart"/>
      <w:r w:rsidRPr="00430358">
        <w:rPr>
          <w:rFonts w:ascii="Times New Roman" w:hAnsi="Times New Roman" w:cs="Times New Roman"/>
          <w:kern w:val="2"/>
          <w:sz w:val="24"/>
          <w:szCs w:val="24"/>
          <w14:ligatures w14:val="standardContextual"/>
        </w:rPr>
        <w:t>nontestifying</w:t>
      </w:r>
      <w:proofErr w:type="spellEnd"/>
      <w:r w:rsidRPr="00430358">
        <w:rPr>
          <w:rFonts w:ascii="Times New Roman" w:hAnsi="Times New Roman" w:cs="Times New Roman"/>
          <w:kern w:val="2"/>
          <w:sz w:val="24"/>
          <w:szCs w:val="24"/>
          <w14:ligatures w14:val="standardContextual"/>
        </w:rPr>
        <w:t xml:space="preserve"> codefendant’s confession that substituted a codefendant’s name with “other person,” coupled with limiting instruction, did not violate the Confrontation Clause because it did not directly inculpate defendant); </w:t>
      </w:r>
      <w:r w:rsidRPr="00430358">
        <w:rPr>
          <w:rFonts w:ascii="Times New Roman" w:hAnsi="Times New Roman" w:cs="Times New Roman"/>
          <w:i/>
          <w:iCs/>
          <w:kern w:val="2"/>
          <w:sz w:val="24"/>
          <w:szCs w:val="24"/>
          <w14:ligatures w14:val="standardContextual"/>
        </w:rPr>
        <w:t>Gray v. Maryland</w:t>
      </w:r>
      <w:r w:rsidRPr="00430358">
        <w:rPr>
          <w:rFonts w:ascii="Times New Roman" w:hAnsi="Times New Roman" w:cs="Times New Roman"/>
          <w:kern w:val="2"/>
          <w:sz w:val="24"/>
          <w:szCs w:val="24"/>
          <w14:ligatures w14:val="standardContextual"/>
        </w:rPr>
        <w:t xml:space="preserve">, 523 U.S. 185, 194 (1998) (holding that obviously redacted statement substituting </w:t>
      </w:r>
      <w:proofErr w:type="spellStart"/>
      <w:r w:rsidRPr="00430358">
        <w:rPr>
          <w:rFonts w:ascii="Times New Roman" w:hAnsi="Times New Roman" w:cs="Times New Roman"/>
          <w:kern w:val="2"/>
          <w:sz w:val="24"/>
          <w:szCs w:val="24"/>
          <w14:ligatures w14:val="standardContextual"/>
        </w:rPr>
        <w:t>nonconfessing</w:t>
      </w:r>
      <w:proofErr w:type="spellEnd"/>
      <w:r w:rsidRPr="00430358">
        <w:rPr>
          <w:rFonts w:ascii="Times New Roman" w:hAnsi="Times New Roman" w:cs="Times New Roman"/>
          <w:kern w:val="2"/>
          <w:sz w:val="24"/>
          <w:szCs w:val="24"/>
          <w14:ligatures w14:val="standardContextual"/>
        </w:rPr>
        <w:t xml:space="preserve"> codefendant’s name with “deleted” or “deletion” was “directly accusatory” and violated the Confrontation Clause, notwithstanding limiting instruction); </w:t>
      </w:r>
      <w:r w:rsidRPr="00430358">
        <w:rPr>
          <w:rFonts w:ascii="Times New Roman" w:hAnsi="Times New Roman" w:cs="Times New Roman"/>
          <w:i/>
          <w:iCs/>
          <w:kern w:val="2"/>
          <w:sz w:val="24"/>
          <w:szCs w:val="24"/>
          <w14:ligatures w14:val="standardContextual"/>
        </w:rPr>
        <w:t>Richardson v. Marsh</w:t>
      </w:r>
      <w:r w:rsidRPr="00430358">
        <w:rPr>
          <w:rFonts w:ascii="Times New Roman" w:hAnsi="Times New Roman" w:cs="Times New Roman"/>
          <w:kern w:val="2"/>
          <w:sz w:val="24"/>
          <w:szCs w:val="24"/>
          <w14:ligatures w14:val="standardContextual"/>
        </w:rPr>
        <w:t xml:space="preserve">, 481 U.S. 200, 211 (1987) (holding </w:t>
      </w:r>
      <w:r w:rsidR="006F4347">
        <w:rPr>
          <w:rFonts w:ascii="Times New Roman" w:hAnsi="Times New Roman" w:cs="Times New Roman"/>
          <w:kern w:val="2"/>
          <w:sz w:val="24"/>
          <w:szCs w:val="24"/>
          <w14:ligatures w14:val="standardContextual"/>
        </w:rPr>
        <w:t xml:space="preserve">the </w:t>
      </w:r>
      <w:r w:rsidRPr="00430358">
        <w:rPr>
          <w:rFonts w:ascii="Times New Roman" w:hAnsi="Times New Roman" w:cs="Times New Roman"/>
          <w:kern w:val="2"/>
          <w:sz w:val="24"/>
          <w:szCs w:val="24"/>
          <w14:ligatures w14:val="standardContextual"/>
        </w:rPr>
        <w:t xml:space="preserve">Confrontation Clause did not bar admission of </w:t>
      </w:r>
      <w:r w:rsidR="006F4347">
        <w:rPr>
          <w:rFonts w:ascii="Times New Roman" w:hAnsi="Times New Roman" w:cs="Times New Roman"/>
          <w:kern w:val="2"/>
          <w:sz w:val="24"/>
          <w:szCs w:val="24"/>
          <w14:ligatures w14:val="standardContextual"/>
        </w:rPr>
        <w:t xml:space="preserve">a </w:t>
      </w:r>
      <w:r w:rsidRPr="00430358">
        <w:rPr>
          <w:rFonts w:ascii="Times New Roman" w:hAnsi="Times New Roman" w:cs="Times New Roman"/>
          <w:kern w:val="2"/>
          <w:sz w:val="24"/>
          <w:szCs w:val="24"/>
          <w14:ligatures w14:val="standardContextual"/>
        </w:rPr>
        <w:t xml:space="preserve">redacted statement </w:t>
      </w:r>
      <w:r w:rsidR="006F4347">
        <w:rPr>
          <w:rFonts w:ascii="Times New Roman" w:hAnsi="Times New Roman" w:cs="Times New Roman"/>
          <w:kern w:val="2"/>
          <w:sz w:val="24"/>
          <w:szCs w:val="24"/>
          <w14:ligatures w14:val="standardContextual"/>
        </w:rPr>
        <w:t xml:space="preserve">by the </w:t>
      </w:r>
      <w:proofErr w:type="spellStart"/>
      <w:r w:rsidR="006F4347">
        <w:rPr>
          <w:rFonts w:ascii="Times New Roman" w:hAnsi="Times New Roman" w:cs="Times New Roman"/>
          <w:kern w:val="2"/>
          <w:sz w:val="24"/>
          <w:szCs w:val="24"/>
          <w14:ligatures w14:val="standardContextual"/>
        </w:rPr>
        <w:t>nontestifying</w:t>
      </w:r>
      <w:proofErr w:type="spellEnd"/>
      <w:r w:rsidR="006F4347">
        <w:rPr>
          <w:rFonts w:ascii="Times New Roman" w:hAnsi="Times New Roman" w:cs="Times New Roman"/>
          <w:kern w:val="2"/>
          <w:sz w:val="24"/>
          <w:szCs w:val="24"/>
          <w14:ligatures w14:val="standardContextual"/>
        </w:rPr>
        <w:t xml:space="preserve"> codefendant because the statement did not implicate anyone else and the jury was instructed not to use the confession in any way against the defendant</w:t>
      </w:r>
      <w:r w:rsidRPr="00430358">
        <w:rPr>
          <w:rFonts w:ascii="Times New Roman" w:hAnsi="Times New Roman" w:cs="Times New Roman"/>
          <w:kern w:val="2"/>
          <w:sz w:val="24"/>
          <w:szCs w:val="24"/>
          <w14:ligatures w14:val="standardContextual"/>
        </w:rPr>
        <w:t xml:space="preserve">).  </w:t>
      </w:r>
      <w:r w:rsidRPr="00430358">
        <w:rPr>
          <w:rFonts w:ascii="Times New Roman" w:hAnsi="Times New Roman" w:cs="Times New Roman"/>
          <w:i/>
          <w:iCs/>
          <w:kern w:val="2"/>
          <w:sz w:val="24"/>
          <w:szCs w:val="24"/>
          <w14:ligatures w14:val="standardContextual"/>
        </w:rPr>
        <w:t xml:space="preserve">See </w:t>
      </w:r>
      <w:r w:rsidRPr="00430358">
        <w:rPr>
          <w:rFonts w:ascii="Times New Roman" w:hAnsi="Times New Roman" w:cs="Times New Roman"/>
          <w:kern w:val="2"/>
          <w:sz w:val="24"/>
          <w:szCs w:val="24"/>
          <w14:ligatures w14:val="standardContextual"/>
        </w:rPr>
        <w:t>Model Instruction 2.12 Evidence for Limited Purpose for limiting instructions.</w:t>
      </w:r>
    </w:p>
    <w:p w14:paraId="2F93DE97" w14:textId="77777777" w:rsidR="005804D8" w:rsidRDefault="005804D8" w:rsidP="005804D8">
      <w:pPr>
        <w:spacing w:after="0" w:line="240" w:lineRule="auto"/>
        <w:rPr>
          <w:rFonts w:ascii="Times New Roman" w:hAnsi="Times New Roman" w:cs="Times New Roman"/>
          <w:kern w:val="2"/>
          <w:sz w:val="24"/>
          <w:szCs w:val="24"/>
          <w14:ligatures w14:val="standardContextual"/>
        </w:rPr>
      </w:pPr>
    </w:p>
    <w:p w14:paraId="6A863613" w14:textId="0057780E" w:rsidR="00993AB9" w:rsidRPr="007B6A63" w:rsidRDefault="005804D8" w:rsidP="005804D8">
      <w:pPr>
        <w:spacing w:line="240" w:lineRule="auto"/>
        <w:rPr>
          <w:rFonts w:ascii="Times New Roman" w:hAnsi="Times New Roman" w:cs="Times New Roman"/>
          <w:i/>
          <w:iCs/>
          <w:kern w:val="2"/>
          <w:sz w:val="24"/>
          <w:szCs w:val="24"/>
          <w14:ligatures w14:val="standardContextual"/>
        </w:rPr>
      </w:pPr>
      <w:bookmarkStart w:id="7" w:name="_Hlk173425525"/>
      <w:r w:rsidRPr="007B6A63">
        <w:rPr>
          <w:rFonts w:ascii="Times New Roman" w:hAnsi="Times New Roman" w:cs="Times New Roman"/>
          <w:kern w:val="2"/>
          <w:sz w:val="24"/>
          <w:szCs w:val="24"/>
          <w14:ligatures w14:val="standardContextual"/>
        </w:rPr>
        <w:t>The trial court must make a preliminary finding by a preponderance of the evidence that the co-conspirator’s statements fall within the scope of the hearsay exception for statement of co-</w:t>
      </w:r>
      <w:r w:rsidRPr="007B6A63">
        <w:rPr>
          <w:rFonts w:ascii="Times New Roman" w:hAnsi="Times New Roman" w:cs="Times New Roman"/>
          <w:kern w:val="2"/>
          <w:sz w:val="24"/>
          <w:szCs w:val="24"/>
          <w14:ligatures w14:val="standardContextual"/>
        </w:rPr>
        <w:lastRenderedPageBreak/>
        <w:t xml:space="preserve">conspirators. In </w:t>
      </w:r>
      <w:r w:rsidRPr="007B6A63">
        <w:rPr>
          <w:rFonts w:ascii="Times New Roman" w:hAnsi="Times New Roman" w:cs="Times New Roman"/>
          <w:i/>
          <w:iCs/>
          <w:kern w:val="2"/>
          <w:sz w:val="24"/>
          <w:szCs w:val="24"/>
          <w14:ligatures w14:val="standardContextual"/>
        </w:rPr>
        <w:t>United States v. Ehmer</w:t>
      </w:r>
      <w:r w:rsidRPr="007B6A63">
        <w:rPr>
          <w:rFonts w:ascii="Times New Roman" w:hAnsi="Times New Roman" w:cs="Times New Roman"/>
          <w:kern w:val="2"/>
          <w:sz w:val="24"/>
          <w:szCs w:val="24"/>
          <w14:ligatures w14:val="standardContextual"/>
        </w:rPr>
        <w:t xml:space="preserve">, 87 F.4th 1073, 1127-28 (9th Cir. 2023), one of the defendants contended that another co-conspirator’s statements, which were made after the defendant had withdrawn from the conspiracy, were hearsay and erroneously admitted. The Ninth Circuit agreed and held that the trial court erred in not making a preliminary finding on the “threshold question” whether the co-conspirator’s statements were made when the defendant was part of the conspiracy. </w:t>
      </w:r>
      <w:r w:rsidRPr="007B6A63">
        <w:rPr>
          <w:rFonts w:ascii="Times New Roman" w:hAnsi="Times New Roman" w:cs="Times New Roman"/>
          <w:i/>
          <w:iCs/>
          <w:kern w:val="2"/>
          <w:sz w:val="24"/>
          <w:szCs w:val="24"/>
          <w14:ligatures w14:val="standardContextual"/>
        </w:rPr>
        <w:t xml:space="preserve">Id. </w:t>
      </w:r>
      <w:r w:rsidRPr="007B6A63">
        <w:rPr>
          <w:rFonts w:ascii="Times New Roman" w:hAnsi="Times New Roman" w:cs="Times New Roman"/>
          <w:kern w:val="2"/>
          <w:sz w:val="24"/>
          <w:szCs w:val="24"/>
          <w14:ligatures w14:val="standardContextual"/>
        </w:rPr>
        <w:t xml:space="preserve">at 1127 (rejecting the government’s argument that “the hearsay exception continues to apply, even as to persons who have withdrawn from the conspiracy, so long as the </w:t>
      </w:r>
      <w:r w:rsidRPr="007B6A63">
        <w:rPr>
          <w:rFonts w:ascii="Times New Roman" w:hAnsi="Times New Roman" w:cs="Times New Roman"/>
          <w:b/>
          <w:bCs/>
          <w:i/>
          <w:iCs/>
          <w:kern w:val="2"/>
          <w:sz w:val="24"/>
          <w:szCs w:val="24"/>
          <w14:ligatures w14:val="standardContextual"/>
        </w:rPr>
        <w:t xml:space="preserve">declarant </w:t>
      </w:r>
      <w:r w:rsidRPr="007B6A63">
        <w:rPr>
          <w:rFonts w:ascii="Times New Roman" w:hAnsi="Times New Roman" w:cs="Times New Roman"/>
          <w:kern w:val="2"/>
          <w:sz w:val="24"/>
          <w:szCs w:val="24"/>
          <w14:ligatures w14:val="standardContextual"/>
        </w:rPr>
        <w:t>remains in the conspiracy.”).</w:t>
      </w:r>
    </w:p>
    <w:bookmarkEnd w:id="7"/>
    <w:p w14:paraId="03A52817" w14:textId="14E49BAF" w:rsidR="00111ECF" w:rsidRPr="008D638D" w:rsidRDefault="00430358" w:rsidP="00993AB9">
      <w:pPr>
        <w:spacing w:line="240" w:lineRule="auto"/>
        <w:jc w:val="right"/>
      </w:pPr>
      <w:r w:rsidRPr="00430358">
        <w:rPr>
          <w:rFonts w:ascii="Times New Roman" w:hAnsi="Times New Roman" w:cs="Times New Roman"/>
          <w:i/>
          <w:iCs/>
          <w:kern w:val="2"/>
          <w:sz w:val="24"/>
          <w:szCs w:val="24"/>
          <w14:ligatures w14:val="standardContextual"/>
        </w:rPr>
        <w:t xml:space="preserve">Revised </w:t>
      </w:r>
      <w:r w:rsidR="005804D8">
        <w:rPr>
          <w:rFonts w:ascii="Times New Roman" w:hAnsi="Times New Roman" w:cs="Times New Roman"/>
          <w:i/>
          <w:iCs/>
          <w:kern w:val="2"/>
          <w:sz w:val="24"/>
          <w:szCs w:val="24"/>
          <w14:ligatures w14:val="standardContextual"/>
        </w:rPr>
        <w:t>June 2024</w:t>
      </w:r>
    </w:p>
    <w:sectPr w:rsidR="00111ECF" w:rsidRPr="008D638D" w:rsidSect="00993AB9">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42B04"/>
    <w:rsid w:val="00243049"/>
    <w:rsid w:val="002A23AD"/>
    <w:rsid w:val="002D0A1C"/>
    <w:rsid w:val="002D78AE"/>
    <w:rsid w:val="00367903"/>
    <w:rsid w:val="00406D35"/>
    <w:rsid w:val="00430358"/>
    <w:rsid w:val="0044012C"/>
    <w:rsid w:val="004C3277"/>
    <w:rsid w:val="004C6799"/>
    <w:rsid w:val="00531DD9"/>
    <w:rsid w:val="005804D8"/>
    <w:rsid w:val="005F00AC"/>
    <w:rsid w:val="0065177C"/>
    <w:rsid w:val="00676C1C"/>
    <w:rsid w:val="006D2A44"/>
    <w:rsid w:val="006F4347"/>
    <w:rsid w:val="007B6A63"/>
    <w:rsid w:val="008148C4"/>
    <w:rsid w:val="008367A4"/>
    <w:rsid w:val="00851605"/>
    <w:rsid w:val="008D638D"/>
    <w:rsid w:val="008E07E6"/>
    <w:rsid w:val="00993AB9"/>
    <w:rsid w:val="009C6F91"/>
    <w:rsid w:val="00A15B83"/>
    <w:rsid w:val="00A16FF8"/>
    <w:rsid w:val="00A17030"/>
    <w:rsid w:val="00A265BD"/>
    <w:rsid w:val="00A81BF4"/>
    <w:rsid w:val="00B577ED"/>
    <w:rsid w:val="00B662BA"/>
    <w:rsid w:val="00B72EC0"/>
    <w:rsid w:val="00C14B77"/>
    <w:rsid w:val="00E824EC"/>
    <w:rsid w:val="00E90F1E"/>
    <w:rsid w:val="00F32025"/>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303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8</cp:revision>
  <dcterms:created xsi:type="dcterms:W3CDTF">2023-10-11T17:45:00Z</dcterms:created>
  <dcterms:modified xsi:type="dcterms:W3CDTF">2024-08-06T20:39:00Z</dcterms:modified>
</cp:coreProperties>
</file>