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8AFD" w14:textId="77777777" w:rsidR="00C614F0" w:rsidRPr="00C614F0" w:rsidRDefault="00C614F0" w:rsidP="00C614F0">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14"/>
      <w:bookmarkStart w:id="1" w:name="_Toc83310551"/>
      <w:bookmarkStart w:id="2" w:name="_Toc83362352"/>
      <w:bookmarkStart w:id="3" w:name="_Toc83362763"/>
      <w:bookmarkStart w:id="4" w:name="_Toc90309819"/>
      <w:bookmarkStart w:id="5" w:name="_Toc90389677"/>
      <w:bookmarkStart w:id="6" w:name="_Toc90860257"/>
      <w:r w:rsidRPr="00C614F0">
        <w:rPr>
          <w:rFonts w:ascii="Times New Roman" w:hAnsi="Times New Roman" w:cs="Times New Roman"/>
          <w:b/>
          <w:bCs/>
          <w:sz w:val="24"/>
          <w:szCs w:val="24"/>
        </w:rPr>
        <w:t>3.2 Silence in the Face of Accusation</w:t>
      </w:r>
      <w:bookmarkEnd w:id="0"/>
      <w:bookmarkEnd w:id="1"/>
      <w:bookmarkEnd w:id="2"/>
      <w:bookmarkEnd w:id="3"/>
      <w:bookmarkEnd w:id="4"/>
      <w:bookmarkEnd w:id="5"/>
      <w:bookmarkEnd w:id="6"/>
    </w:p>
    <w:p w14:paraId="614BD231"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p>
    <w:p w14:paraId="34CB8A2D" w14:textId="77777777" w:rsidR="00C614F0" w:rsidRPr="00C614F0" w:rsidRDefault="00C614F0" w:rsidP="00C614F0">
      <w:pPr>
        <w:widowControl w:val="0"/>
        <w:spacing w:after="0" w:line="240" w:lineRule="auto"/>
        <w:ind w:right="-180"/>
        <w:jc w:val="center"/>
        <w:rPr>
          <w:rFonts w:ascii="Times New Roman" w:eastAsia="Times New Roman" w:hAnsi="Times New Roman" w:cs="Times New Roman"/>
          <w:sz w:val="24"/>
          <w:szCs w:val="20"/>
        </w:rPr>
      </w:pPr>
      <w:r w:rsidRPr="00C614F0">
        <w:rPr>
          <w:rFonts w:ascii="Times New Roman" w:eastAsia="Times New Roman" w:hAnsi="Times New Roman" w:cs="Times New Roman"/>
          <w:b/>
          <w:sz w:val="24"/>
          <w:szCs w:val="20"/>
        </w:rPr>
        <w:t>Comment</w:t>
      </w:r>
    </w:p>
    <w:p w14:paraId="7F80BB28"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p>
    <w:p w14:paraId="0898F36F"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r w:rsidRPr="00C614F0">
        <w:rPr>
          <w:rFonts w:ascii="Times New Roman" w:eastAsia="Times New Roman" w:hAnsi="Times New Roman" w:cs="Times New Roman"/>
          <w:sz w:val="24"/>
          <w:szCs w:val="20"/>
        </w:rPr>
        <w:tab/>
        <w:t xml:space="preserve">A silence in the face of accusation instruction is a permissive inference instruction and, as such, the Committee recommends that it generally not be given.  </w:t>
      </w:r>
    </w:p>
    <w:p w14:paraId="6EBF8D36"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p>
    <w:p w14:paraId="4599510B"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r w:rsidRPr="00C614F0">
        <w:rPr>
          <w:rFonts w:ascii="Times New Roman" w:eastAsia="Times New Roman" w:hAnsi="Times New Roman" w:cs="Times New Roman"/>
          <w:sz w:val="24"/>
          <w:szCs w:val="20"/>
        </w:rPr>
        <w:tab/>
        <w:t xml:space="preserve">If a defendant is in custody, silence in the face of an accusatory statement does not constitute an admission of the truth of the statements.  </w:t>
      </w:r>
      <w:r w:rsidRPr="00C614F0">
        <w:rPr>
          <w:rFonts w:ascii="Times New Roman" w:eastAsia="Times New Roman" w:hAnsi="Times New Roman" w:cs="Times New Roman"/>
          <w:i/>
          <w:sz w:val="24"/>
          <w:szCs w:val="20"/>
        </w:rPr>
        <w:t>Doyle v. Ohio</w:t>
      </w:r>
      <w:r w:rsidRPr="00C614F0">
        <w:rPr>
          <w:rFonts w:ascii="Times New Roman" w:eastAsia="Times New Roman" w:hAnsi="Times New Roman" w:cs="Times New Roman"/>
          <w:sz w:val="24"/>
          <w:szCs w:val="20"/>
        </w:rPr>
        <w:t>, 426 U.S. 610, 617-19 (1976).  Such evidence should not be received, and no instruction will be necessary.</w:t>
      </w:r>
      <w:r w:rsidRPr="00C614F0">
        <w:rPr>
          <w:rFonts w:ascii="Times New Roman" w:eastAsia="Times New Roman" w:hAnsi="Times New Roman" w:cs="Times New Roman"/>
          <w:i/>
          <w:sz w:val="24"/>
          <w:szCs w:val="20"/>
        </w:rPr>
        <w:t xml:space="preserve">  Arnold v. Runnels</w:t>
      </w:r>
      <w:r w:rsidRPr="00C614F0">
        <w:rPr>
          <w:rFonts w:ascii="Times New Roman" w:eastAsia="Times New Roman" w:hAnsi="Times New Roman" w:cs="Times New Roman"/>
          <w:sz w:val="24"/>
          <w:szCs w:val="20"/>
        </w:rPr>
        <w:t xml:space="preserve">, 421 F.3d 859, 869 (9th Cir. 2005).  </w:t>
      </w:r>
    </w:p>
    <w:p w14:paraId="25C6F9BA"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p>
    <w:p w14:paraId="5D67092B"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r w:rsidRPr="00C614F0">
        <w:rPr>
          <w:rFonts w:ascii="Times New Roman" w:eastAsia="Times New Roman" w:hAnsi="Times New Roman" w:cs="Times New Roman"/>
          <w:sz w:val="24"/>
          <w:szCs w:val="20"/>
        </w:rPr>
        <w:tab/>
        <w:t xml:space="preserve">If a defendant is not in custody, evidence of his refusal to answer an officer’s questions may be admissible as substantive evidence of guilt.  </w:t>
      </w:r>
      <w:r w:rsidRPr="00C614F0">
        <w:rPr>
          <w:rFonts w:ascii="Times New Roman" w:eastAsia="Times New Roman" w:hAnsi="Times New Roman" w:cs="Times New Roman"/>
          <w:i/>
          <w:sz w:val="24"/>
          <w:szCs w:val="20"/>
        </w:rPr>
        <w:t>Salinas v. Texas</w:t>
      </w:r>
      <w:r w:rsidRPr="00C614F0">
        <w:rPr>
          <w:rFonts w:ascii="Times New Roman" w:eastAsia="Times New Roman" w:hAnsi="Times New Roman" w:cs="Times New Roman"/>
          <w:sz w:val="24"/>
          <w:szCs w:val="20"/>
        </w:rPr>
        <w:t xml:space="preserve">, 133 S. Ct. 2174, 2177-78 (2013) (holding that use at trial of petitioner’s silence to suggest “that he was guilty” was constitutional because petitioner did not invoke Fifth Amendment privilege against self-incrimination). </w:t>
      </w:r>
    </w:p>
    <w:p w14:paraId="54D7A417"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p>
    <w:p w14:paraId="6FBEEEA7"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r w:rsidRPr="00C614F0">
        <w:rPr>
          <w:rFonts w:ascii="Times New Roman" w:eastAsia="Times New Roman" w:hAnsi="Times New Roman" w:cs="Times New Roman"/>
          <w:sz w:val="24"/>
          <w:szCs w:val="20"/>
        </w:rPr>
        <w:tab/>
        <w:t xml:space="preserve">The Committee includes former Instruction 4.2 for reference, as it recites the factual findings the court must make to admit into evidence silence in the face of accusation, and in some </w:t>
      </w:r>
      <w:proofErr w:type="gramStart"/>
      <w:r w:rsidRPr="00C614F0">
        <w:rPr>
          <w:rFonts w:ascii="Times New Roman" w:eastAsia="Times New Roman" w:hAnsi="Times New Roman" w:cs="Times New Roman"/>
          <w:sz w:val="24"/>
          <w:szCs w:val="20"/>
        </w:rPr>
        <w:t>circumstances</w:t>
      </w:r>
      <w:proofErr w:type="gramEnd"/>
      <w:r w:rsidRPr="00C614F0">
        <w:rPr>
          <w:rFonts w:ascii="Times New Roman" w:eastAsia="Times New Roman" w:hAnsi="Times New Roman" w:cs="Times New Roman"/>
          <w:sz w:val="24"/>
          <w:szCs w:val="20"/>
        </w:rPr>
        <w:t xml:space="preserve"> it may be appropriate to give the instruction if the facts warrant it and it is requested by the defendant.  The text of the instruction is based on judicial interpretation</w:t>
      </w:r>
      <w:r w:rsidRPr="00C614F0">
        <w:rPr>
          <w:rFonts w:ascii="Times New Roman" w:eastAsia="Times New Roman" w:hAnsi="Times New Roman" w:cs="Times New Roman"/>
          <w:i/>
          <w:sz w:val="24"/>
          <w:szCs w:val="20"/>
        </w:rPr>
        <w:t>.  See, e.g.</w:t>
      </w:r>
      <w:r w:rsidRPr="00C614F0">
        <w:rPr>
          <w:rFonts w:ascii="Times New Roman" w:eastAsia="Times New Roman" w:hAnsi="Times New Roman" w:cs="Times New Roman"/>
          <w:sz w:val="24"/>
          <w:szCs w:val="20"/>
        </w:rPr>
        <w:t xml:space="preserve">, </w:t>
      </w:r>
      <w:r w:rsidRPr="00C614F0">
        <w:rPr>
          <w:rFonts w:ascii="Times New Roman" w:eastAsia="Times New Roman" w:hAnsi="Times New Roman" w:cs="Times New Roman"/>
          <w:i/>
          <w:sz w:val="24"/>
          <w:szCs w:val="20"/>
        </w:rPr>
        <w:t>United States v. McKinney</w:t>
      </w:r>
      <w:r w:rsidRPr="00C614F0">
        <w:rPr>
          <w:rFonts w:ascii="Times New Roman" w:eastAsia="Times New Roman" w:hAnsi="Times New Roman" w:cs="Times New Roman"/>
          <w:sz w:val="24"/>
          <w:szCs w:val="20"/>
        </w:rPr>
        <w:t xml:space="preserve">, 707 F.2d 381, 384 (9th Cir. 1983); </w:t>
      </w:r>
      <w:r w:rsidRPr="00C614F0">
        <w:rPr>
          <w:rFonts w:ascii="Times New Roman" w:eastAsia="Times New Roman" w:hAnsi="Times New Roman" w:cs="Times New Roman"/>
          <w:i/>
          <w:sz w:val="24"/>
          <w:szCs w:val="20"/>
        </w:rPr>
        <w:t>United States v. Sears</w:t>
      </w:r>
      <w:r w:rsidRPr="00C614F0">
        <w:rPr>
          <w:rFonts w:ascii="Times New Roman" w:eastAsia="Times New Roman" w:hAnsi="Times New Roman" w:cs="Times New Roman"/>
          <w:sz w:val="24"/>
          <w:szCs w:val="20"/>
        </w:rPr>
        <w:t xml:space="preserve">, 663 F.2d 896, 904-05 (9th Cir. 1981); </w:t>
      </w:r>
      <w:r w:rsidRPr="00C614F0">
        <w:rPr>
          <w:rFonts w:ascii="Times New Roman" w:eastAsia="Times New Roman" w:hAnsi="Times New Roman" w:cs="Times New Roman"/>
          <w:i/>
          <w:sz w:val="24"/>
          <w:szCs w:val="20"/>
        </w:rPr>
        <w:t>United States v. Giese</w:t>
      </w:r>
      <w:r w:rsidRPr="00C614F0">
        <w:rPr>
          <w:rFonts w:ascii="Times New Roman" w:eastAsia="Times New Roman" w:hAnsi="Times New Roman" w:cs="Times New Roman"/>
          <w:sz w:val="24"/>
          <w:szCs w:val="20"/>
        </w:rPr>
        <w:t>, 597 F.2d 1170, 1195-96 (9th Cir. 1979).</w:t>
      </w:r>
    </w:p>
    <w:p w14:paraId="0AD676E1"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p>
    <w:p w14:paraId="609B531A"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r w:rsidRPr="00C614F0">
        <w:rPr>
          <w:rFonts w:ascii="Times New Roman" w:eastAsia="Times New Roman" w:hAnsi="Times New Roman" w:cs="Times New Roman"/>
          <w:sz w:val="24"/>
          <w:szCs w:val="20"/>
        </w:rPr>
        <w:tab/>
        <w:t xml:space="preserve">Former Instruction 4.2 in the </w:t>
      </w:r>
      <w:r w:rsidRPr="00C614F0">
        <w:rPr>
          <w:rFonts w:ascii="Times New Roman" w:eastAsia="Times New Roman" w:hAnsi="Times New Roman" w:cs="Times New Roman"/>
          <w:smallCaps/>
          <w:sz w:val="24"/>
          <w:szCs w:val="20"/>
        </w:rPr>
        <w:t xml:space="preserve">Manual of Model Criminal Jury Instructions For The Ninth Circuit (2003) </w:t>
      </w:r>
      <w:r w:rsidRPr="00C614F0">
        <w:rPr>
          <w:rFonts w:ascii="Times New Roman" w:eastAsia="Times New Roman" w:hAnsi="Times New Roman" w:cs="Times New Roman"/>
          <w:sz w:val="24"/>
          <w:szCs w:val="20"/>
        </w:rPr>
        <w:t>read as follows:</w:t>
      </w:r>
    </w:p>
    <w:p w14:paraId="41D00395"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p>
    <w:p w14:paraId="64263DA0" w14:textId="77777777" w:rsidR="00C614F0" w:rsidRPr="00C614F0" w:rsidRDefault="00C614F0" w:rsidP="00C614F0">
      <w:pPr>
        <w:widowControl w:val="0"/>
        <w:spacing w:after="0" w:line="240" w:lineRule="auto"/>
        <w:ind w:left="720" w:right="720"/>
        <w:jc w:val="both"/>
        <w:rPr>
          <w:rFonts w:ascii="Times New Roman" w:eastAsia="Times New Roman" w:hAnsi="Times New Roman" w:cs="Times New Roman"/>
          <w:sz w:val="24"/>
          <w:szCs w:val="20"/>
        </w:rPr>
      </w:pPr>
      <w:r w:rsidRPr="00C614F0">
        <w:rPr>
          <w:rFonts w:ascii="Times New Roman" w:eastAsia="Times New Roman" w:hAnsi="Times New Roman" w:cs="Times New Roman"/>
          <w:sz w:val="24"/>
          <w:szCs w:val="20"/>
        </w:rPr>
        <w:t xml:space="preserve">Evidence has been introduced that statements accusing the defendant of the crime charged in the indictment were made, and that the statements were neither denied nor objected to by the defendant.  If you find that the defendant </w:t>
      </w:r>
      <w:proofErr w:type="gramStart"/>
      <w:r w:rsidRPr="00C614F0">
        <w:rPr>
          <w:rFonts w:ascii="Times New Roman" w:eastAsia="Times New Roman" w:hAnsi="Times New Roman" w:cs="Times New Roman"/>
          <w:sz w:val="24"/>
          <w:szCs w:val="20"/>
        </w:rPr>
        <w:t>actually was</w:t>
      </w:r>
      <w:proofErr w:type="gramEnd"/>
      <w:r w:rsidRPr="00C614F0">
        <w:rPr>
          <w:rFonts w:ascii="Times New Roman" w:eastAsia="Times New Roman" w:hAnsi="Times New Roman" w:cs="Times New Roman"/>
          <w:sz w:val="24"/>
          <w:szCs w:val="20"/>
        </w:rPr>
        <w:t xml:space="preserve"> present and heard and understood the statements, and that they were made under such circumstances that the statements would have been denied if they were not true, then you may consider whether the defendant’s silence was an admission of the truth of the statements.</w:t>
      </w:r>
    </w:p>
    <w:p w14:paraId="2A16FC71" w14:textId="77777777" w:rsidR="00C614F0" w:rsidRPr="00C614F0" w:rsidRDefault="00C614F0" w:rsidP="00C614F0">
      <w:pPr>
        <w:spacing w:after="0" w:line="240" w:lineRule="auto"/>
        <w:rPr>
          <w:rFonts w:ascii="Times New Roman" w:eastAsia="Times New Roman" w:hAnsi="Times New Roman" w:cs="Times New Roman"/>
          <w:sz w:val="24"/>
          <w:szCs w:val="20"/>
        </w:rPr>
      </w:pPr>
    </w:p>
    <w:p w14:paraId="4EDF424F" w14:textId="77777777" w:rsidR="00C614F0" w:rsidRPr="00C614F0" w:rsidRDefault="00C614F0" w:rsidP="00C614F0">
      <w:pPr>
        <w:widowControl w:val="0"/>
        <w:spacing w:after="0" w:line="240" w:lineRule="auto"/>
        <w:rPr>
          <w:rFonts w:ascii="Times New Roman" w:eastAsia="Times New Roman" w:hAnsi="Times New Roman" w:cs="Times New Roman"/>
          <w:sz w:val="24"/>
          <w:szCs w:val="20"/>
        </w:rPr>
      </w:pPr>
    </w:p>
    <w:p w14:paraId="65FFA092" w14:textId="77777777" w:rsidR="00C614F0" w:rsidRPr="00C614F0" w:rsidRDefault="00C614F0" w:rsidP="00C614F0">
      <w:pPr>
        <w:widowControl w:val="0"/>
        <w:spacing w:after="0" w:line="240" w:lineRule="auto"/>
        <w:jc w:val="right"/>
        <w:rPr>
          <w:rFonts w:ascii="Times New Roman" w:eastAsia="Times New Roman" w:hAnsi="Times New Roman" w:cs="Times New Roman"/>
          <w:sz w:val="24"/>
          <w:szCs w:val="20"/>
        </w:rPr>
      </w:pPr>
      <w:r w:rsidRPr="00C614F0">
        <w:rPr>
          <w:rFonts w:ascii="Times New Roman" w:eastAsia="Times New Roman" w:hAnsi="Times New Roman" w:cs="Times New Roman"/>
          <w:i/>
          <w:sz w:val="24"/>
          <w:szCs w:val="20"/>
        </w:rPr>
        <w:t>Revised June 2018</w:t>
      </w:r>
    </w:p>
    <w:p w14:paraId="03A52817" w14:textId="43403F6C" w:rsidR="00111ECF" w:rsidRPr="008D638D" w:rsidRDefault="00111ECF" w:rsidP="008D638D"/>
    <w:sectPr w:rsidR="00111ECF" w:rsidRPr="008D6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42B04"/>
    <w:rsid w:val="00243049"/>
    <w:rsid w:val="002A23AD"/>
    <w:rsid w:val="002D0A1C"/>
    <w:rsid w:val="002D78AE"/>
    <w:rsid w:val="00367903"/>
    <w:rsid w:val="00406D35"/>
    <w:rsid w:val="004C3277"/>
    <w:rsid w:val="004C6799"/>
    <w:rsid w:val="00531DD9"/>
    <w:rsid w:val="005F00AC"/>
    <w:rsid w:val="0065177C"/>
    <w:rsid w:val="006D2A44"/>
    <w:rsid w:val="008367A4"/>
    <w:rsid w:val="00851605"/>
    <w:rsid w:val="008D638D"/>
    <w:rsid w:val="008E07E6"/>
    <w:rsid w:val="009C6F91"/>
    <w:rsid w:val="00A15B83"/>
    <w:rsid w:val="00A16FF8"/>
    <w:rsid w:val="00A17030"/>
    <w:rsid w:val="00A265BD"/>
    <w:rsid w:val="00A81BF4"/>
    <w:rsid w:val="00B577ED"/>
    <w:rsid w:val="00B662BA"/>
    <w:rsid w:val="00B72EC0"/>
    <w:rsid w:val="00C14B77"/>
    <w:rsid w:val="00C614F0"/>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2022-04-29T21:48:00Z</dcterms:created>
  <dcterms:modified xsi:type="dcterms:W3CDTF">2022-04-29T21:48:00Z</dcterms:modified>
</cp:coreProperties>
</file>