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66E2" w14:textId="77777777" w:rsidR="002D735C" w:rsidRPr="002D735C" w:rsidRDefault="002D735C" w:rsidP="002D735C">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17"/>
      <w:bookmarkStart w:id="1" w:name="_Toc83310554"/>
      <w:bookmarkStart w:id="2" w:name="_Toc83362355"/>
      <w:bookmarkStart w:id="3" w:name="_Toc83362766"/>
      <w:bookmarkStart w:id="4" w:name="_Toc90309822"/>
      <w:bookmarkStart w:id="5" w:name="_Toc90389680"/>
      <w:bookmarkStart w:id="6" w:name="_Toc90860260"/>
      <w:r w:rsidRPr="002D735C">
        <w:rPr>
          <w:rFonts w:ascii="Times New Roman" w:hAnsi="Times New Roman" w:cs="Times New Roman"/>
          <w:b/>
          <w:bCs/>
          <w:sz w:val="24"/>
          <w:szCs w:val="24"/>
        </w:rPr>
        <w:t>3.5 Character of Victim</w:t>
      </w:r>
      <w:bookmarkEnd w:id="0"/>
      <w:bookmarkEnd w:id="1"/>
      <w:bookmarkEnd w:id="2"/>
      <w:bookmarkEnd w:id="3"/>
      <w:bookmarkEnd w:id="4"/>
      <w:bookmarkEnd w:id="5"/>
      <w:bookmarkEnd w:id="6"/>
    </w:p>
    <w:p w14:paraId="474DE1AA" w14:textId="77777777" w:rsidR="002D735C" w:rsidRPr="002D735C" w:rsidRDefault="002D735C" w:rsidP="002D735C">
      <w:pPr>
        <w:widowControl w:val="0"/>
        <w:spacing w:after="0" w:line="240" w:lineRule="auto"/>
        <w:jc w:val="center"/>
        <w:rPr>
          <w:rFonts w:ascii="Times New Roman" w:eastAsia="Times New Roman" w:hAnsi="Times New Roman" w:cs="Times New Roman"/>
          <w:sz w:val="24"/>
          <w:szCs w:val="20"/>
        </w:rPr>
      </w:pPr>
    </w:p>
    <w:p w14:paraId="11D71060" w14:textId="77777777" w:rsidR="002D735C" w:rsidRPr="002D735C" w:rsidRDefault="002D735C" w:rsidP="002D735C">
      <w:pPr>
        <w:widowControl w:val="0"/>
        <w:spacing w:after="0" w:line="240" w:lineRule="auto"/>
        <w:rPr>
          <w:rFonts w:ascii="Times New Roman" w:eastAsia="Times New Roman" w:hAnsi="Times New Roman" w:cs="Times New Roman"/>
          <w:sz w:val="24"/>
          <w:szCs w:val="20"/>
        </w:rPr>
      </w:pPr>
      <w:r w:rsidRPr="002D735C">
        <w:rPr>
          <w:rFonts w:ascii="Times New Roman" w:eastAsia="Times New Roman" w:hAnsi="Times New Roman" w:cs="Times New Roman"/>
          <w:sz w:val="24"/>
          <w:szCs w:val="20"/>
        </w:rPr>
        <w:tab/>
        <w:t>You have heard evidence of specific instances of the victim’s character for [</w:t>
      </w:r>
      <w:r w:rsidRPr="002D735C">
        <w:rPr>
          <w:rFonts w:ascii="Times New Roman" w:eastAsia="Times New Roman" w:hAnsi="Times New Roman" w:cs="Times New Roman"/>
          <w:i/>
          <w:sz w:val="24"/>
          <w:szCs w:val="20"/>
          <w:u w:val="single"/>
        </w:rPr>
        <w:t>specify character trait</w:t>
      </w:r>
      <w:r w:rsidRPr="002D735C">
        <w:rPr>
          <w:rFonts w:ascii="Times New Roman" w:eastAsia="Times New Roman" w:hAnsi="Times New Roman" w:cs="Times New Roman"/>
          <w:sz w:val="24"/>
          <w:szCs w:val="20"/>
        </w:rPr>
        <w:t>].  You may consider this evidence in determining whether the victim acted in conformance with that character trait at the time of the offense charged against the defendant in this case.  In deciding this case, you should consider the victim’s character evidence together with and in the same manner as all the other evidence in this case.</w:t>
      </w:r>
    </w:p>
    <w:p w14:paraId="029BEFA5" w14:textId="77777777" w:rsidR="002D735C" w:rsidRPr="002D735C" w:rsidRDefault="002D735C" w:rsidP="002D735C">
      <w:pPr>
        <w:spacing w:after="0" w:line="240" w:lineRule="auto"/>
        <w:rPr>
          <w:rFonts w:ascii="Times New Roman" w:eastAsia="Times New Roman" w:hAnsi="Times New Roman" w:cs="Times New Roman"/>
          <w:sz w:val="24"/>
          <w:szCs w:val="20"/>
        </w:rPr>
      </w:pPr>
    </w:p>
    <w:p w14:paraId="33454C55" w14:textId="77777777" w:rsidR="002D735C" w:rsidRPr="002D735C" w:rsidRDefault="002D735C" w:rsidP="002D735C">
      <w:pPr>
        <w:widowControl w:val="0"/>
        <w:spacing w:after="0" w:line="240" w:lineRule="auto"/>
        <w:ind w:right="-180"/>
        <w:jc w:val="center"/>
        <w:rPr>
          <w:rFonts w:ascii="Times New Roman" w:eastAsia="Times New Roman" w:hAnsi="Times New Roman" w:cs="Times New Roman"/>
          <w:b/>
          <w:sz w:val="24"/>
          <w:szCs w:val="20"/>
        </w:rPr>
      </w:pPr>
      <w:r w:rsidRPr="002D735C">
        <w:rPr>
          <w:rFonts w:ascii="Times New Roman" w:eastAsia="Times New Roman" w:hAnsi="Times New Roman" w:cs="Times New Roman"/>
          <w:b/>
          <w:sz w:val="24"/>
          <w:szCs w:val="20"/>
        </w:rPr>
        <w:t>Comment</w:t>
      </w:r>
    </w:p>
    <w:p w14:paraId="048E25FD" w14:textId="77777777" w:rsidR="002D735C" w:rsidRPr="002D735C" w:rsidRDefault="002D735C" w:rsidP="002D735C">
      <w:pPr>
        <w:spacing w:after="0" w:line="240" w:lineRule="auto"/>
        <w:rPr>
          <w:rFonts w:ascii="Times New Roman" w:eastAsia="Times New Roman" w:hAnsi="Times New Roman" w:cs="Times New Roman"/>
          <w:sz w:val="24"/>
          <w:szCs w:val="20"/>
        </w:rPr>
      </w:pPr>
    </w:p>
    <w:p w14:paraId="5C53FB81" w14:textId="77777777" w:rsidR="002D735C" w:rsidRPr="002D735C" w:rsidRDefault="002D735C" w:rsidP="002D735C">
      <w:pPr>
        <w:widowControl w:val="0"/>
        <w:spacing w:after="0" w:line="240" w:lineRule="auto"/>
        <w:rPr>
          <w:rFonts w:ascii="Times New Roman" w:eastAsia="Times New Roman" w:hAnsi="Times New Roman" w:cs="Times New Roman"/>
          <w:sz w:val="24"/>
          <w:szCs w:val="20"/>
        </w:rPr>
      </w:pPr>
      <w:r w:rsidRPr="002D735C">
        <w:rPr>
          <w:rFonts w:ascii="Times New Roman" w:eastAsia="Times New Roman" w:hAnsi="Times New Roman" w:cs="Times New Roman"/>
          <w:b/>
          <w:sz w:val="24"/>
          <w:szCs w:val="20"/>
        </w:rPr>
        <w:tab/>
      </w:r>
      <w:r w:rsidRPr="002D735C">
        <w:rPr>
          <w:rFonts w:ascii="Times New Roman" w:eastAsia="Times New Roman" w:hAnsi="Times New Roman" w:cs="Times New Roman"/>
          <w:sz w:val="24"/>
          <w:szCs w:val="20"/>
        </w:rPr>
        <w:t xml:space="preserve">Generally, character evidence is inadmissible, but it may be admitted for a particular purpose. </w:t>
      </w:r>
      <w:r w:rsidRPr="002D735C">
        <w:rPr>
          <w:rFonts w:ascii="Times New Roman" w:eastAsia="Times New Roman" w:hAnsi="Times New Roman" w:cs="Times New Roman"/>
          <w:i/>
          <w:sz w:val="24"/>
          <w:szCs w:val="20"/>
        </w:rPr>
        <w:t xml:space="preserve"> See </w:t>
      </w:r>
      <w:r w:rsidRPr="002D735C">
        <w:rPr>
          <w:rFonts w:ascii="Times New Roman" w:eastAsia="Times New Roman" w:hAnsi="Times New Roman" w:cs="Times New Roman"/>
          <w:sz w:val="24"/>
          <w:szCs w:val="20"/>
        </w:rPr>
        <w:t xml:space="preserve">Fed. R. Evid. 404(a)(2), and if sexual conduct of the victim is at issue, </w:t>
      </w:r>
      <w:r w:rsidRPr="002D735C">
        <w:rPr>
          <w:rFonts w:ascii="Times New Roman" w:eastAsia="Times New Roman" w:hAnsi="Times New Roman" w:cs="Times New Roman"/>
          <w:i/>
          <w:sz w:val="24"/>
          <w:szCs w:val="20"/>
        </w:rPr>
        <w:t>see</w:t>
      </w:r>
      <w:r w:rsidRPr="002D735C">
        <w:rPr>
          <w:rFonts w:ascii="Times New Roman" w:eastAsia="Times New Roman" w:hAnsi="Times New Roman" w:cs="Times New Roman"/>
          <w:sz w:val="24"/>
          <w:szCs w:val="20"/>
        </w:rPr>
        <w:t xml:space="preserve"> Fed. R. Evid. 412.  This instruction is a form of limiting instruction. </w:t>
      </w:r>
      <w:r w:rsidRPr="002D735C">
        <w:rPr>
          <w:rFonts w:ascii="Times New Roman" w:eastAsia="Times New Roman" w:hAnsi="Times New Roman" w:cs="Times New Roman"/>
          <w:b/>
          <w:sz w:val="24"/>
          <w:szCs w:val="20"/>
        </w:rPr>
        <w:t xml:space="preserve"> </w:t>
      </w:r>
      <w:r w:rsidRPr="002D735C">
        <w:rPr>
          <w:rFonts w:ascii="Times New Roman" w:eastAsia="Times New Roman" w:hAnsi="Times New Roman" w:cs="Times New Roman"/>
          <w:i/>
          <w:sz w:val="24"/>
          <w:szCs w:val="20"/>
        </w:rPr>
        <w:t xml:space="preserve">See </w:t>
      </w:r>
      <w:r w:rsidRPr="002D735C">
        <w:rPr>
          <w:rFonts w:ascii="Times New Roman" w:eastAsia="Times New Roman" w:hAnsi="Times New Roman" w:cs="Times New Roman"/>
          <w:sz w:val="24"/>
          <w:szCs w:val="20"/>
        </w:rPr>
        <w:t xml:space="preserve">Fed. R. Evid. 105. </w:t>
      </w:r>
      <w:r w:rsidRPr="002D735C">
        <w:rPr>
          <w:rFonts w:ascii="Times New Roman" w:eastAsia="Times New Roman" w:hAnsi="Times New Roman" w:cs="Times New Roman"/>
          <w:b/>
          <w:sz w:val="24"/>
          <w:szCs w:val="20"/>
        </w:rPr>
        <w:t xml:space="preserve"> </w:t>
      </w:r>
      <w:r w:rsidRPr="002D735C">
        <w:rPr>
          <w:rFonts w:ascii="Times New Roman" w:eastAsia="Times New Roman" w:hAnsi="Times New Roman" w:cs="Times New Roman"/>
          <w:sz w:val="24"/>
          <w:szCs w:val="20"/>
        </w:rPr>
        <w:t xml:space="preserve">When extrinsic evidence corroborating a defendant’s testimony about a victim’s prior acts of violence is admitted pursuant to Fed. R. Evid. 404(a)(2), this instruction should be modified accordingly.  </w:t>
      </w:r>
      <w:r w:rsidRPr="002D735C">
        <w:rPr>
          <w:rFonts w:ascii="Times New Roman" w:eastAsia="Times New Roman" w:hAnsi="Times New Roman" w:cs="Times New Roman"/>
          <w:i/>
          <w:sz w:val="24"/>
          <w:szCs w:val="20"/>
        </w:rPr>
        <w:t>United States v. Saenz</w:t>
      </w:r>
      <w:r w:rsidRPr="002D735C">
        <w:rPr>
          <w:rFonts w:ascii="Times New Roman" w:eastAsia="Times New Roman" w:hAnsi="Times New Roman" w:cs="Times New Roman"/>
          <w:sz w:val="24"/>
          <w:szCs w:val="20"/>
        </w:rPr>
        <w:t>,</w:t>
      </w:r>
      <w:r w:rsidRPr="002D735C">
        <w:rPr>
          <w:rFonts w:ascii="Times New Roman" w:eastAsia="Times New Roman" w:hAnsi="Times New Roman" w:cs="Times New Roman"/>
          <w:i/>
          <w:sz w:val="24"/>
          <w:szCs w:val="20"/>
        </w:rPr>
        <w:t xml:space="preserve"> </w:t>
      </w:r>
      <w:r w:rsidRPr="002D735C">
        <w:rPr>
          <w:rFonts w:ascii="Times New Roman" w:eastAsia="Times New Roman" w:hAnsi="Times New Roman" w:cs="Times New Roman"/>
          <w:sz w:val="24"/>
          <w:szCs w:val="20"/>
        </w:rPr>
        <w:t xml:space="preserve">179 F.3d 686, 687-89 (9th Cir. 1999); </w:t>
      </w:r>
      <w:r w:rsidRPr="002D735C">
        <w:rPr>
          <w:rFonts w:ascii="Times New Roman" w:eastAsia="Times New Roman" w:hAnsi="Times New Roman" w:cs="Times New Roman"/>
          <w:i/>
          <w:sz w:val="24"/>
          <w:szCs w:val="20"/>
        </w:rPr>
        <w:t>United States v. James</w:t>
      </w:r>
      <w:r w:rsidRPr="002D735C">
        <w:rPr>
          <w:rFonts w:ascii="Times New Roman" w:eastAsia="Times New Roman" w:hAnsi="Times New Roman" w:cs="Times New Roman"/>
          <w:sz w:val="24"/>
          <w:szCs w:val="20"/>
        </w:rPr>
        <w:t>,</w:t>
      </w:r>
      <w:r w:rsidRPr="002D735C">
        <w:rPr>
          <w:rFonts w:ascii="Times New Roman" w:eastAsia="Times New Roman" w:hAnsi="Times New Roman" w:cs="Times New Roman"/>
          <w:i/>
          <w:sz w:val="24"/>
          <w:szCs w:val="20"/>
        </w:rPr>
        <w:t xml:space="preserve"> </w:t>
      </w:r>
      <w:r w:rsidRPr="002D735C">
        <w:rPr>
          <w:rFonts w:ascii="Times New Roman" w:eastAsia="Times New Roman" w:hAnsi="Times New Roman" w:cs="Times New Roman"/>
          <w:sz w:val="24"/>
          <w:szCs w:val="20"/>
        </w:rPr>
        <w:t>169 F.3d 1210, 1214 (9th Cir. 1999).</w:t>
      </w:r>
      <w:r w:rsidRPr="002D735C">
        <w:rPr>
          <w:rFonts w:ascii="Times New Roman" w:eastAsia="Times New Roman" w:hAnsi="Times New Roman" w:cs="Times New Roman"/>
          <w:i/>
          <w:sz w:val="24"/>
          <w:szCs w:val="20"/>
        </w:rPr>
        <w:t xml:space="preserve">  See also United States v. Keiser</w:t>
      </w:r>
      <w:r w:rsidRPr="002D735C">
        <w:rPr>
          <w:rFonts w:ascii="Times New Roman" w:eastAsia="Times New Roman" w:hAnsi="Times New Roman" w:cs="Times New Roman"/>
          <w:sz w:val="24"/>
          <w:szCs w:val="20"/>
        </w:rPr>
        <w:t>, 57 F.3d 847, 854 (9th Cir. 1995) (“The fact that [Fed. R. Evid. 404(a)(2)] is an exception to the rule against introduction of character evidence to imply that a person acted in conformity with that character on a particular occasion suggests that the very purpose of victim character evidence is to suggest to the jury that the victim did indeed act in conformity with his violent character at the time of the alleged crime against him.”).</w:t>
      </w:r>
    </w:p>
    <w:p w14:paraId="1CE45E3B" w14:textId="77777777" w:rsidR="002D735C" w:rsidRPr="002D735C" w:rsidRDefault="002D735C" w:rsidP="002D735C">
      <w:pPr>
        <w:widowControl w:val="0"/>
        <w:spacing w:after="0" w:line="240" w:lineRule="auto"/>
        <w:rPr>
          <w:rFonts w:ascii="Times New Roman" w:eastAsia="Times New Roman" w:hAnsi="Times New Roman" w:cs="Times New Roman"/>
          <w:sz w:val="24"/>
          <w:szCs w:val="20"/>
        </w:rPr>
      </w:pPr>
    </w:p>
    <w:p w14:paraId="7FFFB327" w14:textId="77777777" w:rsidR="002D735C" w:rsidRPr="002D735C" w:rsidRDefault="002D735C" w:rsidP="002D735C">
      <w:pPr>
        <w:widowControl w:val="0"/>
        <w:spacing w:after="0" w:line="240" w:lineRule="auto"/>
        <w:rPr>
          <w:rFonts w:ascii="Times New Roman" w:eastAsia="Times New Roman" w:hAnsi="Times New Roman" w:cs="Times New Roman"/>
          <w:sz w:val="24"/>
          <w:szCs w:val="20"/>
        </w:rPr>
      </w:pPr>
    </w:p>
    <w:p w14:paraId="03A52817" w14:textId="43403F6C" w:rsidR="00111ECF" w:rsidRPr="007E585B" w:rsidRDefault="00111ECF" w:rsidP="007E585B"/>
    <w:sectPr w:rsidR="00111ECF" w:rsidRPr="007E5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0F1772"/>
    <w:rsid w:val="00111ECF"/>
    <w:rsid w:val="001A6AED"/>
    <w:rsid w:val="00242B04"/>
    <w:rsid w:val="00243049"/>
    <w:rsid w:val="002A23AD"/>
    <w:rsid w:val="002D0A1C"/>
    <w:rsid w:val="002D735C"/>
    <w:rsid w:val="002D78AE"/>
    <w:rsid w:val="00367903"/>
    <w:rsid w:val="00406D35"/>
    <w:rsid w:val="004C3277"/>
    <w:rsid w:val="004C6799"/>
    <w:rsid w:val="00531DD9"/>
    <w:rsid w:val="005F00AC"/>
    <w:rsid w:val="0065177C"/>
    <w:rsid w:val="006D2A44"/>
    <w:rsid w:val="007E585B"/>
    <w:rsid w:val="008367A4"/>
    <w:rsid w:val="00851605"/>
    <w:rsid w:val="008D638D"/>
    <w:rsid w:val="008E07E6"/>
    <w:rsid w:val="009C6F91"/>
    <w:rsid w:val="00A15B83"/>
    <w:rsid w:val="00A16FF8"/>
    <w:rsid w:val="00A17030"/>
    <w:rsid w:val="00A265BD"/>
    <w:rsid w:val="00A81BF4"/>
    <w:rsid w:val="00B577ED"/>
    <w:rsid w:val="00B662BA"/>
    <w:rsid w:val="00B72EC0"/>
    <w:rsid w:val="00C14B77"/>
    <w:rsid w:val="00C614F0"/>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2022-04-29T21:49:00Z</dcterms:created>
  <dcterms:modified xsi:type="dcterms:W3CDTF">2022-04-29T21:49:00Z</dcterms:modified>
</cp:coreProperties>
</file>