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02DA" w14:textId="77777777" w:rsidR="00B21672" w:rsidRPr="00B21672" w:rsidRDefault="00B21672" w:rsidP="00B21672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561"/>
      <w:bookmarkStart w:id="1" w:name="_Toc83310597"/>
      <w:bookmarkStart w:id="2" w:name="_Toc83362397"/>
      <w:bookmarkStart w:id="3" w:name="_Toc83362808"/>
      <w:bookmarkStart w:id="4" w:name="_Toc90309865"/>
      <w:bookmarkStart w:id="5" w:name="_Toc90389723"/>
      <w:bookmarkStart w:id="6" w:name="_Toc90860303"/>
      <w:r w:rsidRPr="00B21672">
        <w:rPr>
          <w:rFonts w:cs="Times New Roman"/>
          <w:b/>
          <w:bCs/>
          <w:szCs w:val="24"/>
        </w:rPr>
        <w:t>5.12 Mere Presence</w:t>
      </w:r>
      <w:bookmarkEnd w:id="0"/>
      <w:bookmarkEnd w:id="1"/>
      <w:bookmarkEnd w:id="2"/>
      <w:bookmarkEnd w:id="3"/>
      <w:bookmarkEnd w:id="4"/>
      <w:bookmarkEnd w:id="5"/>
      <w:bookmarkEnd w:id="6"/>
    </w:p>
    <w:p w14:paraId="62CF2076" w14:textId="77777777" w:rsidR="00B21672" w:rsidRPr="00B21672" w:rsidRDefault="00B21672" w:rsidP="00B21672">
      <w:pPr>
        <w:widowControl w:val="0"/>
        <w:rPr>
          <w:rFonts w:eastAsia="Times New Roman" w:cs="Times New Roman"/>
          <w:color w:val="000000"/>
          <w:szCs w:val="20"/>
        </w:rPr>
      </w:pPr>
    </w:p>
    <w:p w14:paraId="3F1D42B5" w14:textId="77777777" w:rsidR="00B21672" w:rsidRPr="00B21672" w:rsidRDefault="00B21672" w:rsidP="00B21672">
      <w:pPr>
        <w:widowControl w:val="0"/>
        <w:rPr>
          <w:rFonts w:eastAsia="Times New Roman" w:cs="Times New Roman"/>
          <w:color w:val="000000"/>
          <w:szCs w:val="20"/>
        </w:rPr>
      </w:pPr>
      <w:r w:rsidRPr="00B21672">
        <w:rPr>
          <w:rFonts w:eastAsia="Times New Roman" w:cs="Times New Roman"/>
          <w:color w:val="000000"/>
          <w:szCs w:val="20"/>
        </w:rPr>
        <w:tab/>
        <w:t>Mere presence at the scene of a crime or mere knowledge that a crime is being committed is not sufficient to establish that the defendant committed the crime of [</w:t>
      </w:r>
      <w:r w:rsidRPr="00B21672">
        <w:rPr>
          <w:rFonts w:eastAsia="Times New Roman" w:cs="Times New Roman"/>
          <w:i/>
          <w:color w:val="000000"/>
          <w:szCs w:val="20"/>
          <w:u w:val="single"/>
        </w:rPr>
        <w:t>specify crime charged</w:t>
      </w:r>
      <w:r w:rsidRPr="00B21672">
        <w:rPr>
          <w:rFonts w:eastAsia="Times New Roman" w:cs="Times New Roman"/>
          <w:color w:val="000000"/>
          <w:szCs w:val="20"/>
        </w:rPr>
        <w:t>].  The defendant must be a participant and not merely a knowing spectator.  The defendant’s presence may be considered by the jury along with other evidence in the case.</w:t>
      </w:r>
    </w:p>
    <w:p w14:paraId="6094EC8C" w14:textId="77777777" w:rsidR="00B21672" w:rsidRPr="00B21672" w:rsidRDefault="00B21672" w:rsidP="00B21672">
      <w:pPr>
        <w:widowControl w:val="0"/>
        <w:rPr>
          <w:rFonts w:eastAsia="Times New Roman" w:cs="Times New Roman"/>
          <w:color w:val="000000"/>
          <w:szCs w:val="20"/>
        </w:rPr>
      </w:pPr>
    </w:p>
    <w:p w14:paraId="4C43AC0C" w14:textId="77777777" w:rsidR="00B21672" w:rsidRPr="00B21672" w:rsidRDefault="00B21672" w:rsidP="00B21672">
      <w:pPr>
        <w:widowControl w:val="0"/>
        <w:ind w:right="-180"/>
        <w:jc w:val="center"/>
        <w:rPr>
          <w:rFonts w:eastAsia="Times New Roman" w:cs="Times New Roman"/>
          <w:color w:val="000000"/>
          <w:szCs w:val="20"/>
        </w:rPr>
      </w:pPr>
      <w:r w:rsidRPr="00B21672">
        <w:rPr>
          <w:rFonts w:eastAsia="Times New Roman" w:cs="Times New Roman"/>
          <w:b/>
          <w:color w:val="000000"/>
          <w:szCs w:val="20"/>
        </w:rPr>
        <w:t>Comment</w:t>
      </w:r>
    </w:p>
    <w:p w14:paraId="5B2C257E" w14:textId="77777777" w:rsidR="00B21672" w:rsidRPr="00B21672" w:rsidRDefault="00B21672" w:rsidP="00B21672">
      <w:pPr>
        <w:widowControl w:val="0"/>
        <w:rPr>
          <w:rFonts w:eastAsia="Times New Roman" w:cs="Times New Roman"/>
          <w:color w:val="000000"/>
          <w:szCs w:val="20"/>
        </w:rPr>
      </w:pPr>
    </w:p>
    <w:p w14:paraId="47A74A82" w14:textId="77777777" w:rsidR="00B21672" w:rsidRPr="00B21672" w:rsidRDefault="00B21672" w:rsidP="00B21672">
      <w:pPr>
        <w:widowControl w:val="0"/>
        <w:rPr>
          <w:rFonts w:eastAsia="Times New Roman" w:cs="Times New Roman"/>
          <w:color w:val="000000"/>
          <w:szCs w:val="20"/>
        </w:rPr>
      </w:pPr>
      <w:r w:rsidRPr="00B21672">
        <w:rPr>
          <w:rFonts w:eastAsia="Times New Roman" w:cs="Times New Roman"/>
          <w:color w:val="000000"/>
          <w:szCs w:val="20"/>
        </w:rPr>
        <w:tab/>
        <w:t>A “mere presence” instruction is unnecessary if the government’s case is not solely based on the defendant’s presence and the jury has been instructed on the elements of the crime.</w:t>
      </w:r>
      <w:r w:rsidRPr="00B21672">
        <w:rPr>
          <w:rFonts w:eastAsia="Times New Roman" w:cs="Times New Roman"/>
          <w:i/>
          <w:color w:val="000000"/>
          <w:szCs w:val="20"/>
        </w:rPr>
        <w:t xml:space="preserve"> </w:t>
      </w:r>
      <w:r w:rsidRPr="00B21672">
        <w:rPr>
          <w:rFonts w:eastAsia="Times New Roman" w:cs="Times New Roman"/>
          <w:color w:val="000000"/>
          <w:szCs w:val="20"/>
        </w:rPr>
        <w:t xml:space="preserve"> </w:t>
      </w:r>
      <w:r w:rsidRPr="00B21672">
        <w:rPr>
          <w:rFonts w:eastAsia="Times New Roman" w:cs="Times New Roman"/>
          <w:i/>
          <w:color w:val="000000"/>
          <w:szCs w:val="20"/>
        </w:rPr>
        <w:t>See United States v. Tucker</w:t>
      </w:r>
      <w:r w:rsidRPr="00B21672">
        <w:rPr>
          <w:rFonts w:eastAsia="Times New Roman" w:cs="Times New Roman"/>
          <w:color w:val="000000"/>
          <w:szCs w:val="20"/>
        </w:rPr>
        <w:t>, 641 F.3d 1110, 1122 (9th Cir. 2011);</w:t>
      </w:r>
      <w:r w:rsidRPr="00B21672">
        <w:rPr>
          <w:rFonts w:eastAsia="Times New Roman" w:cs="Times New Roman"/>
          <w:i/>
          <w:color w:val="000000"/>
          <w:szCs w:val="20"/>
        </w:rPr>
        <w:t xml:space="preserve"> see also United States v. Gooch</w:t>
      </w:r>
      <w:r w:rsidRPr="00B21672">
        <w:rPr>
          <w:rFonts w:eastAsia="Times New Roman" w:cs="Times New Roman"/>
          <w:color w:val="000000"/>
          <w:szCs w:val="20"/>
        </w:rPr>
        <w:t>, 506 F.3d 1156, 1160 (9th Cir. 2007).</w:t>
      </w:r>
    </w:p>
    <w:p w14:paraId="77E2411A" w14:textId="77777777" w:rsidR="00B21672" w:rsidRPr="00B21672" w:rsidRDefault="00B21672" w:rsidP="00B21672">
      <w:pPr>
        <w:widowControl w:val="0"/>
        <w:rPr>
          <w:rFonts w:eastAsia="Times New Roman" w:cs="Times New Roman"/>
          <w:color w:val="000000"/>
          <w:szCs w:val="20"/>
        </w:rPr>
      </w:pPr>
    </w:p>
    <w:p w14:paraId="3DE88785" w14:textId="77777777" w:rsidR="00B21672" w:rsidRPr="00B21672" w:rsidRDefault="00B21672" w:rsidP="00B21672">
      <w:pPr>
        <w:widowControl w:val="0"/>
        <w:rPr>
          <w:rFonts w:eastAsia="Times New Roman" w:cs="Times New Roman"/>
          <w:color w:val="000000"/>
          <w:szCs w:val="20"/>
        </w:rPr>
      </w:pPr>
    </w:p>
    <w:p w14:paraId="1CA3C393" w14:textId="77777777" w:rsidR="00B21672" w:rsidRPr="00B21672" w:rsidRDefault="00B21672" w:rsidP="00B21672">
      <w:pPr>
        <w:widowControl w:val="0"/>
        <w:jc w:val="right"/>
        <w:rPr>
          <w:rFonts w:eastAsia="Times New Roman" w:cs="Times New Roman"/>
          <w:color w:val="000000"/>
          <w:sz w:val="20"/>
          <w:szCs w:val="20"/>
        </w:rPr>
      </w:pPr>
      <w:r w:rsidRPr="00B21672">
        <w:rPr>
          <w:rFonts w:eastAsia="Times New Roman" w:cs="Times New Roman"/>
          <w:i/>
          <w:color w:val="000000"/>
          <w:szCs w:val="20"/>
        </w:rPr>
        <w:t>Revised Sept. 2018</w:t>
      </w:r>
    </w:p>
    <w:p w14:paraId="0ACE18C0" w14:textId="2999BC87" w:rsidR="00C97E04" w:rsidRPr="00B21672" w:rsidRDefault="00C97E04" w:rsidP="00B21672"/>
    <w:sectPr w:rsidR="00C97E04" w:rsidRPr="00B21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156526"/>
    <w:rsid w:val="002810F9"/>
    <w:rsid w:val="002A23F9"/>
    <w:rsid w:val="003A725E"/>
    <w:rsid w:val="003B4349"/>
    <w:rsid w:val="00420260"/>
    <w:rsid w:val="004232A7"/>
    <w:rsid w:val="00443FE7"/>
    <w:rsid w:val="004D1662"/>
    <w:rsid w:val="00542361"/>
    <w:rsid w:val="005A7428"/>
    <w:rsid w:val="00675651"/>
    <w:rsid w:val="006C06EF"/>
    <w:rsid w:val="00813014"/>
    <w:rsid w:val="00890E7A"/>
    <w:rsid w:val="008962A3"/>
    <w:rsid w:val="008B6CE7"/>
    <w:rsid w:val="00970FFD"/>
    <w:rsid w:val="00AA2B06"/>
    <w:rsid w:val="00AF516D"/>
    <w:rsid w:val="00B21672"/>
    <w:rsid w:val="00B43CDA"/>
    <w:rsid w:val="00BA3B85"/>
    <w:rsid w:val="00BE1BC9"/>
    <w:rsid w:val="00C97E04"/>
    <w:rsid w:val="00CB6ACA"/>
    <w:rsid w:val="00EA658F"/>
    <w:rsid w:val="00EA72FC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2022-05-13T19:32:00Z</dcterms:created>
  <dcterms:modified xsi:type="dcterms:W3CDTF">2022-05-13T19:32:00Z</dcterms:modified>
</cp:coreProperties>
</file>