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9A8D" w14:textId="77777777" w:rsidR="00F95F64" w:rsidRPr="00F95F64" w:rsidRDefault="00F95F64" w:rsidP="00F95F64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52"/>
      <w:bookmarkStart w:id="1" w:name="_Toc83310588"/>
      <w:bookmarkStart w:id="2" w:name="_Toc83362388"/>
      <w:bookmarkStart w:id="3" w:name="_Toc83362799"/>
      <w:bookmarkStart w:id="4" w:name="_Toc90309856"/>
      <w:bookmarkStart w:id="5" w:name="_Toc90389714"/>
      <w:bookmarkStart w:id="6" w:name="_Toc90860294"/>
      <w:r w:rsidRPr="00F95F64">
        <w:rPr>
          <w:rFonts w:cs="Times New Roman"/>
          <w:b/>
          <w:bCs/>
          <w:szCs w:val="24"/>
        </w:rPr>
        <w:t>5.3 Sentencing Entrapment</w:t>
      </w:r>
      <w:bookmarkEnd w:id="0"/>
      <w:bookmarkEnd w:id="1"/>
      <w:bookmarkEnd w:id="2"/>
      <w:bookmarkEnd w:id="3"/>
      <w:bookmarkEnd w:id="4"/>
      <w:bookmarkEnd w:id="5"/>
      <w:bookmarkEnd w:id="6"/>
    </w:p>
    <w:p w14:paraId="2950F229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</w:p>
    <w:p w14:paraId="2166C7B1" w14:textId="77777777" w:rsidR="00F95F64" w:rsidRPr="00F95F64" w:rsidRDefault="00F95F64" w:rsidP="00F95F64">
      <w:pPr>
        <w:widowControl w:val="0"/>
        <w:ind w:right="-180"/>
        <w:jc w:val="center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b/>
          <w:color w:val="000000"/>
          <w:szCs w:val="20"/>
        </w:rPr>
        <w:t>Comment</w:t>
      </w:r>
    </w:p>
    <w:p w14:paraId="7F079EFF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</w:p>
    <w:p w14:paraId="626BAAB3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color w:val="000000"/>
          <w:szCs w:val="20"/>
        </w:rPr>
        <w:tab/>
        <w:t>Sentencing entrapment is a separate defense from entrapment and, in appropriate cases, an issue for the jury.  “A defendant ‘bears the burden of proving sentencing entrapment by a</w:t>
      </w:r>
    </w:p>
    <w:p w14:paraId="57807DDA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color w:val="000000"/>
          <w:szCs w:val="20"/>
        </w:rPr>
        <w:t xml:space="preserve">preponderance of the evidence.’”  </w:t>
      </w:r>
      <w:r w:rsidRPr="00F95F64">
        <w:rPr>
          <w:rFonts w:eastAsia="Times New Roman" w:cs="Times New Roman"/>
          <w:i/>
          <w:color w:val="000000"/>
          <w:szCs w:val="20"/>
        </w:rPr>
        <w:t>United States v. Biao Huang</w:t>
      </w:r>
      <w:r w:rsidRPr="00F95F64">
        <w:rPr>
          <w:rFonts w:eastAsia="Times New Roman" w:cs="Times New Roman"/>
          <w:color w:val="000000"/>
          <w:szCs w:val="20"/>
        </w:rPr>
        <w:t>, 687 F.3d 1197, 1203 (9th Cir.</w:t>
      </w:r>
    </w:p>
    <w:p w14:paraId="7768F274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color w:val="000000"/>
          <w:szCs w:val="20"/>
        </w:rPr>
        <w:t xml:space="preserve">2012) (quoting </w:t>
      </w:r>
      <w:r w:rsidRPr="00F95F64">
        <w:rPr>
          <w:rFonts w:eastAsia="Times New Roman" w:cs="Times New Roman"/>
          <w:i/>
          <w:color w:val="000000"/>
          <w:szCs w:val="20"/>
        </w:rPr>
        <w:t>United States v. Parilla</w:t>
      </w:r>
      <w:r w:rsidRPr="00F95F64">
        <w:rPr>
          <w:rFonts w:eastAsia="Times New Roman" w:cs="Times New Roman"/>
          <w:color w:val="000000"/>
          <w:szCs w:val="20"/>
        </w:rPr>
        <w:t xml:space="preserve">, 114 F.3d 124, 127 (9th Cir. 1997)).  “The district </w:t>
      </w:r>
      <w:proofErr w:type="gramStart"/>
      <w:r w:rsidRPr="00F95F64">
        <w:rPr>
          <w:rFonts w:eastAsia="Times New Roman" w:cs="Times New Roman"/>
          <w:color w:val="000000"/>
          <w:szCs w:val="20"/>
        </w:rPr>
        <w:t>court</w:t>
      </w:r>
      <w:proofErr w:type="gramEnd"/>
    </w:p>
    <w:p w14:paraId="102A3950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color w:val="000000"/>
          <w:szCs w:val="20"/>
        </w:rPr>
        <w:t xml:space="preserve">must make express factual findings regarding whether the defendant has met his burden.”  </w:t>
      </w:r>
      <w:r w:rsidRPr="00F95F64">
        <w:rPr>
          <w:rFonts w:eastAsia="Times New Roman" w:cs="Times New Roman"/>
          <w:i/>
          <w:color w:val="000000"/>
          <w:szCs w:val="20"/>
        </w:rPr>
        <w:t>Id</w:t>
      </w:r>
      <w:r w:rsidRPr="00F95F64">
        <w:rPr>
          <w:rFonts w:eastAsia="Times New Roman" w:cs="Times New Roman"/>
          <w:color w:val="000000"/>
          <w:szCs w:val="20"/>
        </w:rPr>
        <w:t>.</w:t>
      </w:r>
    </w:p>
    <w:p w14:paraId="3EE57E91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4"/>
        </w:rPr>
      </w:pPr>
      <w:r w:rsidRPr="00F95F64">
        <w:rPr>
          <w:rFonts w:eastAsia="Times New Roman" w:cs="Times New Roman"/>
          <w:color w:val="000000"/>
          <w:szCs w:val="20"/>
        </w:rPr>
        <w:t>(</w:t>
      </w:r>
      <w:proofErr w:type="gramStart"/>
      <w:r w:rsidRPr="00F95F64">
        <w:rPr>
          <w:rFonts w:eastAsia="Times New Roman" w:cs="Times New Roman"/>
          <w:color w:val="000000"/>
          <w:szCs w:val="20"/>
        </w:rPr>
        <w:t>citing</w:t>
      </w:r>
      <w:proofErr w:type="gramEnd"/>
      <w:r w:rsidRPr="00F95F64">
        <w:rPr>
          <w:rFonts w:eastAsia="Times New Roman" w:cs="Times New Roman"/>
          <w:color w:val="000000"/>
          <w:szCs w:val="20"/>
        </w:rPr>
        <w:t xml:space="preserve"> </w:t>
      </w:r>
      <w:r w:rsidRPr="00F95F64">
        <w:rPr>
          <w:rFonts w:eastAsia="Times New Roman" w:cs="Times New Roman"/>
          <w:i/>
          <w:color w:val="000000"/>
          <w:szCs w:val="20"/>
        </w:rPr>
        <w:t xml:space="preserve">United States v. </w:t>
      </w:r>
      <w:proofErr w:type="spellStart"/>
      <w:r w:rsidRPr="00F95F64">
        <w:rPr>
          <w:rFonts w:eastAsia="Times New Roman" w:cs="Times New Roman"/>
          <w:i/>
          <w:color w:val="000000"/>
          <w:szCs w:val="20"/>
        </w:rPr>
        <w:t>Riewe</w:t>
      </w:r>
      <w:proofErr w:type="spellEnd"/>
      <w:r w:rsidRPr="00F95F64">
        <w:rPr>
          <w:rFonts w:eastAsia="Times New Roman" w:cs="Times New Roman"/>
          <w:color w:val="000000"/>
          <w:szCs w:val="20"/>
        </w:rPr>
        <w:t xml:space="preserve">, 165 F.3d 727, 729 (9th Cir. 1999) (per </w:t>
      </w:r>
      <w:proofErr w:type="spellStart"/>
      <w:r w:rsidRPr="00F95F64">
        <w:rPr>
          <w:rFonts w:eastAsia="Times New Roman" w:cs="Times New Roman"/>
          <w:color w:val="000000"/>
          <w:szCs w:val="20"/>
        </w:rPr>
        <w:t>curiam</w:t>
      </w:r>
      <w:proofErr w:type="spellEnd"/>
      <w:r w:rsidRPr="00F95F64">
        <w:rPr>
          <w:rFonts w:eastAsia="Times New Roman" w:cs="Times New Roman"/>
          <w:color w:val="000000"/>
          <w:szCs w:val="20"/>
        </w:rPr>
        <w:t>)).  When a defendant contends that he or she was entrapped a</w:t>
      </w:r>
      <w:r w:rsidRPr="00F95F64">
        <w:rPr>
          <w:rFonts w:eastAsia="Times New Roman" w:cs="Times New Roman"/>
          <w:color w:val="000000"/>
          <w:szCs w:val="24"/>
        </w:rPr>
        <w:t xml:space="preserve">s to the quantity of drugs involved in the crime, </w:t>
      </w:r>
      <w:r w:rsidRPr="00F95F64">
        <w:rPr>
          <w:rFonts w:eastAsia="Times New Roman" w:cs="Times New Roman"/>
          <w:iCs/>
          <w:color w:val="000000"/>
          <w:szCs w:val="24"/>
        </w:rPr>
        <w:t>consult</w:t>
      </w:r>
      <w:r w:rsidRPr="00F95F64">
        <w:rPr>
          <w:rFonts w:eastAsia="Times New Roman" w:cs="Times New Roman"/>
          <w:i/>
          <w:color w:val="000000"/>
          <w:szCs w:val="24"/>
        </w:rPr>
        <w:t xml:space="preserve"> United States v. Cortes</w:t>
      </w:r>
      <w:r w:rsidRPr="00F95F64">
        <w:rPr>
          <w:rFonts w:eastAsia="Times New Roman" w:cs="Times New Roman"/>
          <w:color w:val="000000"/>
          <w:szCs w:val="24"/>
        </w:rPr>
        <w:t xml:space="preserve">, 757 F.3d 850, 864 (9th Cir. 2014), and </w:t>
      </w:r>
      <w:r w:rsidRPr="00F95F64">
        <w:rPr>
          <w:rFonts w:cs="Times New Roman"/>
          <w:i/>
          <w:iCs/>
          <w:szCs w:val="24"/>
        </w:rPr>
        <w:t xml:space="preserve">United States v. </w:t>
      </w:r>
      <w:proofErr w:type="spellStart"/>
      <w:r w:rsidRPr="00F95F64">
        <w:rPr>
          <w:rFonts w:cs="Times New Roman"/>
          <w:i/>
          <w:iCs/>
          <w:szCs w:val="24"/>
        </w:rPr>
        <w:t>Yuman</w:t>
      </w:r>
      <w:proofErr w:type="spellEnd"/>
      <w:r w:rsidRPr="00F95F64">
        <w:rPr>
          <w:rFonts w:cs="Times New Roman"/>
          <w:i/>
          <w:iCs/>
          <w:szCs w:val="24"/>
        </w:rPr>
        <w:t>-Hernandez</w:t>
      </w:r>
      <w:r w:rsidRPr="00F95F64">
        <w:rPr>
          <w:rFonts w:cs="Times New Roman"/>
          <w:szCs w:val="24"/>
        </w:rPr>
        <w:t>, 712 F.3d 471, 474-75 (9th Cir. 2013)</w:t>
      </w:r>
      <w:r w:rsidRPr="00F95F64">
        <w:rPr>
          <w:rFonts w:eastAsia="Times New Roman" w:cs="Times New Roman"/>
          <w:color w:val="000000"/>
          <w:szCs w:val="24"/>
        </w:rPr>
        <w:t>.</w:t>
      </w:r>
    </w:p>
    <w:p w14:paraId="0535459D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</w:p>
    <w:p w14:paraId="67BC4FB4" w14:textId="77777777" w:rsidR="00F95F64" w:rsidRPr="00F95F64" w:rsidRDefault="00F95F64" w:rsidP="00F95F64">
      <w:pPr>
        <w:widowControl w:val="0"/>
        <w:rPr>
          <w:rFonts w:eastAsia="Times New Roman" w:cs="Times New Roman"/>
          <w:color w:val="000000"/>
          <w:szCs w:val="20"/>
        </w:rPr>
      </w:pPr>
      <w:r w:rsidRPr="00F95F64">
        <w:rPr>
          <w:rFonts w:eastAsia="Times New Roman" w:cs="Times New Roman"/>
          <w:color w:val="000000"/>
          <w:szCs w:val="20"/>
        </w:rPr>
        <w:tab/>
        <w:t xml:space="preserve">Sentencing entrapment should not be confused with sentencing manipulation.  A defendant may be eligible for a downward departure or variance for sentencing entrapment where he “can show he was predisposed to commit a minor or lesser offense, but was entrapped to commit a greater offense, subject to greater punishment </w:t>
      </w:r>
      <w:proofErr w:type="gramStart"/>
      <w:r w:rsidRPr="00F95F64">
        <w:rPr>
          <w:rFonts w:eastAsia="Times New Roman" w:cs="Times New Roman"/>
          <w:color w:val="000000"/>
          <w:szCs w:val="20"/>
        </w:rPr>
        <w:t>. . . .</w:t>
      </w:r>
      <w:proofErr w:type="gramEnd"/>
      <w:r w:rsidRPr="00F95F64">
        <w:rPr>
          <w:rFonts w:eastAsia="Times New Roman" w:cs="Times New Roman"/>
          <w:color w:val="000000"/>
          <w:szCs w:val="20"/>
        </w:rPr>
        <w:t xml:space="preserve">”  </w:t>
      </w:r>
      <w:r w:rsidRPr="00F95F64">
        <w:rPr>
          <w:rFonts w:eastAsia="Times New Roman" w:cs="Times New Roman"/>
          <w:i/>
          <w:color w:val="000000"/>
          <w:szCs w:val="20"/>
        </w:rPr>
        <w:t>United States v. Boykin</w:t>
      </w:r>
      <w:r w:rsidRPr="00F95F64">
        <w:rPr>
          <w:rFonts w:eastAsia="Times New Roman" w:cs="Times New Roman"/>
          <w:color w:val="000000"/>
          <w:szCs w:val="20"/>
        </w:rPr>
        <w:t xml:space="preserve">, 785 F.3d 1352, 1360 (9th Cir. 2015) (citing </w:t>
      </w:r>
      <w:r w:rsidRPr="00F95F64">
        <w:rPr>
          <w:rFonts w:eastAsia="Times New Roman" w:cs="Times New Roman"/>
          <w:i/>
          <w:color w:val="000000"/>
          <w:szCs w:val="20"/>
        </w:rPr>
        <w:t>United States v. Mejia</w:t>
      </w:r>
      <w:r w:rsidRPr="00F95F64">
        <w:rPr>
          <w:rFonts w:eastAsia="Times New Roman" w:cs="Times New Roman"/>
          <w:color w:val="000000"/>
          <w:szCs w:val="20"/>
        </w:rPr>
        <w:t xml:space="preserve">, 559 F.3d 1113, 1118 (9th Cir. 2009)).  “In contrast, ‘sentencing manipulation’ occurs when the government increases a defendant’s guideline sentence by conducting a lengthy investigation which increases the number of drug transactions and quantities for which the defendant is responsible.”  </w:t>
      </w:r>
      <w:r w:rsidRPr="00F95F64">
        <w:rPr>
          <w:rFonts w:eastAsia="Times New Roman" w:cs="Times New Roman"/>
          <w:i/>
          <w:color w:val="000000"/>
          <w:szCs w:val="20"/>
        </w:rPr>
        <w:t>Id</w:t>
      </w:r>
      <w:r w:rsidRPr="00F95F64">
        <w:rPr>
          <w:rFonts w:eastAsia="Times New Roman" w:cs="Times New Roman"/>
          <w:color w:val="000000"/>
          <w:szCs w:val="20"/>
        </w:rPr>
        <w:t xml:space="preserve">. (citing </w:t>
      </w:r>
      <w:r w:rsidRPr="00F95F64">
        <w:rPr>
          <w:rFonts w:eastAsia="Times New Roman" w:cs="Times New Roman"/>
          <w:i/>
          <w:color w:val="000000"/>
          <w:szCs w:val="20"/>
        </w:rPr>
        <w:t>United States v. Torres</w:t>
      </w:r>
      <w:r w:rsidRPr="00F95F64">
        <w:rPr>
          <w:rFonts w:eastAsia="Times New Roman" w:cs="Times New Roman"/>
          <w:color w:val="000000"/>
          <w:szCs w:val="20"/>
        </w:rPr>
        <w:t xml:space="preserve">, 563 F.3d 731, 734 (8th Cir. 2009)).  Sentencing entrapment focuses on the defendant’s predisposition; sentencing manipulation focuses on the government’s conduct and motives.  </w:t>
      </w:r>
      <w:r w:rsidRPr="00F95F64">
        <w:rPr>
          <w:rFonts w:eastAsia="Times New Roman" w:cs="Times New Roman"/>
          <w:i/>
          <w:color w:val="000000"/>
          <w:szCs w:val="20"/>
        </w:rPr>
        <w:t>Id</w:t>
      </w:r>
      <w:r w:rsidRPr="00F95F64">
        <w:rPr>
          <w:rFonts w:eastAsia="Times New Roman" w:cs="Times New Roman"/>
          <w:color w:val="000000"/>
          <w:szCs w:val="20"/>
        </w:rPr>
        <w:t>. at 1360-61.</w:t>
      </w:r>
    </w:p>
    <w:p w14:paraId="3E4AAB05" w14:textId="77777777" w:rsidR="00F95F64" w:rsidRPr="00F95F64" w:rsidRDefault="00F95F64" w:rsidP="00F95F64">
      <w:pPr>
        <w:rPr>
          <w:rFonts w:eastAsia="Times New Roman" w:cs="Times New Roman"/>
          <w:szCs w:val="20"/>
        </w:rPr>
      </w:pPr>
    </w:p>
    <w:p w14:paraId="518FB79B" w14:textId="77777777" w:rsidR="00F95F64" w:rsidRPr="00F95F64" w:rsidRDefault="00F95F64" w:rsidP="00F95F64">
      <w:pPr>
        <w:rPr>
          <w:rFonts w:eastAsia="Times New Roman" w:cs="Times New Roman"/>
          <w:szCs w:val="20"/>
        </w:rPr>
      </w:pPr>
    </w:p>
    <w:p w14:paraId="11839884" w14:textId="77777777" w:rsidR="00F95F64" w:rsidRPr="00F95F64" w:rsidRDefault="00F95F64" w:rsidP="00F95F64">
      <w:pPr>
        <w:widowControl w:val="0"/>
        <w:jc w:val="right"/>
        <w:rPr>
          <w:rFonts w:eastAsia="Times New Roman" w:cs="Times New Roman"/>
          <w:color w:val="000000"/>
          <w:sz w:val="28"/>
          <w:szCs w:val="20"/>
        </w:rPr>
      </w:pPr>
      <w:r w:rsidRPr="00F95F64">
        <w:rPr>
          <w:rFonts w:eastAsia="Times New Roman" w:cs="Times New Roman"/>
          <w:i/>
          <w:color w:val="000000"/>
          <w:szCs w:val="20"/>
        </w:rPr>
        <w:t>Revised Sept. 2018</w:t>
      </w:r>
    </w:p>
    <w:p w14:paraId="0ACE18C0" w14:textId="07F3F6FE" w:rsidR="00C97E04" w:rsidRPr="00F95F64" w:rsidRDefault="00C97E04" w:rsidP="00F95F64"/>
    <w:sectPr w:rsidR="00C97E04" w:rsidRPr="00F95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2810F9"/>
    <w:rsid w:val="002A23F9"/>
    <w:rsid w:val="003A725E"/>
    <w:rsid w:val="00420260"/>
    <w:rsid w:val="004232A7"/>
    <w:rsid w:val="00443FE7"/>
    <w:rsid w:val="004D1662"/>
    <w:rsid w:val="00542361"/>
    <w:rsid w:val="005A7428"/>
    <w:rsid w:val="00675651"/>
    <w:rsid w:val="006C06EF"/>
    <w:rsid w:val="00890E7A"/>
    <w:rsid w:val="008B6CE7"/>
    <w:rsid w:val="00970FFD"/>
    <w:rsid w:val="00B43CDA"/>
    <w:rsid w:val="00BE1BC9"/>
    <w:rsid w:val="00C97E04"/>
    <w:rsid w:val="00EA658F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2022-05-13T19:28:00Z</dcterms:created>
  <dcterms:modified xsi:type="dcterms:W3CDTF">2022-05-13T19:28:00Z</dcterms:modified>
</cp:coreProperties>
</file>