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32CC" w14:textId="77777777" w:rsidR="00067581" w:rsidRPr="00067581" w:rsidRDefault="00067581" w:rsidP="00067581">
      <w:pPr>
        <w:autoSpaceDE w:val="0"/>
        <w:autoSpaceDN w:val="0"/>
        <w:adjustRightInd w:val="0"/>
        <w:ind w:left="420" w:hanging="240"/>
        <w:jc w:val="center"/>
        <w:outlineLvl w:val="1"/>
        <w:rPr>
          <w:rFonts w:cs="Times New Roman"/>
          <w:b/>
          <w:bCs/>
          <w:szCs w:val="24"/>
        </w:rPr>
      </w:pPr>
      <w:bookmarkStart w:id="0" w:name="_Toc73698506"/>
      <w:bookmarkStart w:id="1" w:name="_Toc83310614"/>
      <w:bookmarkStart w:id="2" w:name="_Toc83362414"/>
      <w:bookmarkStart w:id="3" w:name="_Toc83362825"/>
      <w:bookmarkStart w:id="4" w:name="_Toc90309883"/>
      <w:bookmarkStart w:id="5" w:name="_Toc90389741"/>
      <w:bookmarkStart w:id="6" w:name="_Toc90860321"/>
      <w:r w:rsidRPr="00067581">
        <w:rPr>
          <w:rFonts w:cs="Times New Roman"/>
          <w:b/>
          <w:bCs/>
          <w:szCs w:val="24"/>
        </w:rPr>
        <w:t>6.14 Lesser Included Offense</w:t>
      </w:r>
      <w:bookmarkEnd w:id="0"/>
      <w:bookmarkEnd w:id="1"/>
      <w:bookmarkEnd w:id="2"/>
      <w:bookmarkEnd w:id="3"/>
      <w:bookmarkEnd w:id="4"/>
      <w:bookmarkEnd w:id="5"/>
      <w:bookmarkEnd w:id="6"/>
    </w:p>
    <w:p w14:paraId="37128DEF" w14:textId="77777777" w:rsidR="00067581" w:rsidRPr="00067581" w:rsidRDefault="00067581" w:rsidP="00067581">
      <w:pPr>
        <w:widowControl w:val="0"/>
        <w:rPr>
          <w:rFonts w:eastAsia="Times New Roman" w:cs="Times New Roman"/>
          <w:szCs w:val="20"/>
        </w:rPr>
      </w:pPr>
    </w:p>
    <w:p w14:paraId="5DDBCAC9" w14:textId="77777777" w:rsidR="00067581" w:rsidRPr="00067581" w:rsidRDefault="00067581" w:rsidP="00067581">
      <w:pPr>
        <w:widowControl w:val="0"/>
        <w:rPr>
          <w:rFonts w:eastAsia="Times New Roman" w:cs="Times New Roman"/>
          <w:szCs w:val="20"/>
        </w:rPr>
      </w:pPr>
      <w:r w:rsidRPr="00067581">
        <w:rPr>
          <w:rFonts w:eastAsia="Times New Roman" w:cs="Times New Roman"/>
          <w:szCs w:val="20"/>
        </w:rPr>
        <w:tab/>
        <w:t>The crime of [</w:t>
      </w:r>
      <w:r w:rsidRPr="00067581">
        <w:rPr>
          <w:rFonts w:eastAsia="Times New Roman" w:cs="Times New Roman"/>
          <w:i/>
          <w:szCs w:val="20"/>
          <w:u w:val="single"/>
        </w:rPr>
        <w:t>specify crime charged</w:t>
      </w:r>
      <w:r w:rsidRPr="00067581">
        <w:rPr>
          <w:rFonts w:eastAsia="Times New Roman" w:cs="Times New Roman"/>
          <w:szCs w:val="20"/>
        </w:rPr>
        <w:t>] includes the lesser crime of [</w:t>
      </w:r>
      <w:r w:rsidRPr="00067581">
        <w:rPr>
          <w:rFonts w:eastAsia="Times New Roman" w:cs="Times New Roman"/>
          <w:i/>
          <w:szCs w:val="20"/>
          <w:u w:val="single"/>
        </w:rPr>
        <w:t>specify lesser included crime</w:t>
      </w:r>
      <w:r w:rsidRPr="00067581">
        <w:rPr>
          <w:rFonts w:eastAsia="Times New Roman" w:cs="Times New Roman"/>
          <w:szCs w:val="20"/>
        </w:rPr>
        <w:t>].  If (1) [any] [all] of you are not convinced beyond a reasonable doubt that the defendant is guilty of [</w:t>
      </w:r>
      <w:r w:rsidRPr="00067581">
        <w:rPr>
          <w:rFonts w:eastAsia="Times New Roman" w:cs="Times New Roman"/>
          <w:i/>
          <w:szCs w:val="20"/>
          <w:u w:val="single"/>
        </w:rPr>
        <w:t>specify crime charged</w:t>
      </w:r>
      <w:r w:rsidRPr="00067581">
        <w:rPr>
          <w:rFonts w:eastAsia="Times New Roman" w:cs="Times New Roman"/>
          <w:szCs w:val="20"/>
        </w:rPr>
        <w:t>]; and (2) all of you are convinced beyond a reasonable doubt that the defendant is guilty of the lesser crime of [</w:t>
      </w:r>
      <w:r w:rsidRPr="00067581">
        <w:rPr>
          <w:rFonts w:eastAsia="Times New Roman" w:cs="Times New Roman"/>
          <w:i/>
          <w:szCs w:val="20"/>
          <w:u w:val="single"/>
        </w:rPr>
        <w:t>specify lesser included crime</w:t>
      </w:r>
      <w:r w:rsidRPr="00067581">
        <w:rPr>
          <w:rFonts w:eastAsia="Times New Roman" w:cs="Times New Roman"/>
          <w:szCs w:val="20"/>
        </w:rPr>
        <w:t>], you may find the defendant guilty of [</w:t>
      </w:r>
      <w:r w:rsidRPr="00067581">
        <w:rPr>
          <w:rFonts w:eastAsia="Times New Roman" w:cs="Times New Roman"/>
          <w:i/>
          <w:szCs w:val="20"/>
          <w:u w:val="single"/>
        </w:rPr>
        <w:t>specify lesser included crime</w:t>
      </w:r>
      <w:r w:rsidRPr="00067581">
        <w:rPr>
          <w:rFonts w:eastAsia="Times New Roman" w:cs="Times New Roman"/>
          <w:szCs w:val="20"/>
          <w:u w:val="single"/>
        </w:rPr>
        <w:t>]</w:t>
      </w:r>
      <w:r w:rsidRPr="00067581">
        <w:rPr>
          <w:rFonts w:eastAsia="Times New Roman" w:cs="Times New Roman"/>
          <w:szCs w:val="20"/>
        </w:rPr>
        <w:t>.</w:t>
      </w:r>
    </w:p>
    <w:p w14:paraId="53FF6D5D" w14:textId="77777777" w:rsidR="00067581" w:rsidRPr="00067581" w:rsidRDefault="00067581" w:rsidP="00067581">
      <w:pPr>
        <w:widowControl w:val="0"/>
        <w:rPr>
          <w:rFonts w:eastAsia="Times New Roman" w:cs="Times New Roman"/>
          <w:szCs w:val="20"/>
        </w:rPr>
      </w:pPr>
    </w:p>
    <w:p w14:paraId="09137BA7" w14:textId="77777777" w:rsidR="00067581" w:rsidRPr="00067581" w:rsidRDefault="00067581" w:rsidP="00067581">
      <w:pPr>
        <w:widowControl w:val="0"/>
        <w:rPr>
          <w:rFonts w:eastAsia="Times New Roman" w:cs="Times New Roman"/>
          <w:szCs w:val="20"/>
        </w:rPr>
      </w:pPr>
      <w:r w:rsidRPr="00067581">
        <w:rPr>
          <w:rFonts w:eastAsia="Times New Roman" w:cs="Times New Roman"/>
          <w:szCs w:val="20"/>
        </w:rPr>
        <w:tab/>
        <w:t>For the defendant to be found guilty of the lesser crime of [</w:t>
      </w:r>
      <w:r w:rsidRPr="00067581">
        <w:rPr>
          <w:rFonts w:eastAsia="Times New Roman" w:cs="Times New Roman"/>
          <w:i/>
          <w:szCs w:val="20"/>
          <w:u w:val="single"/>
        </w:rPr>
        <w:t>specify lesser included crime</w:t>
      </w:r>
      <w:r w:rsidRPr="00067581">
        <w:rPr>
          <w:rFonts w:eastAsia="Times New Roman" w:cs="Times New Roman"/>
          <w:szCs w:val="20"/>
        </w:rPr>
        <w:t xml:space="preserve">], the government must prove each of the following elements beyond a reasonable doubt:  </w:t>
      </w:r>
    </w:p>
    <w:p w14:paraId="4B7B7A9A" w14:textId="77777777" w:rsidR="00067581" w:rsidRPr="00067581" w:rsidRDefault="00067581" w:rsidP="00067581">
      <w:pPr>
        <w:widowControl w:val="0"/>
        <w:rPr>
          <w:rFonts w:eastAsia="Times New Roman" w:cs="Times New Roman"/>
          <w:szCs w:val="20"/>
        </w:rPr>
      </w:pPr>
    </w:p>
    <w:p w14:paraId="5B1B43FB" w14:textId="77777777" w:rsidR="00067581" w:rsidRPr="00067581" w:rsidRDefault="00067581" w:rsidP="00067581">
      <w:pPr>
        <w:widowControl w:val="0"/>
        <w:jc w:val="center"/>
        <w:rPr>
          <w:rFonts w:eastAsia="Times New Roman" w:cs="Times New Roman"/>
          <w:szCs w:val="20"/>
        </w:rPr>
      </w:pPr>
      <w:r w:rsidRPr="00067581">
        <w:rPr>
          <w:rFonts w:eastAsia="Times New Roman" w:cs="Times New Roman"/>
          <w:szCs w:val="20"/>
        </w:rPr>
        <w:t>[</w:t>
      </w:r>
      <w:r w:rsidRPr="00067581">
        <w:rPr>
          <w:rFonts w:eastAsia="Times New Roman" w:cs="Times New Roman"/>
          <w:i/>
          <w:szCs w:val="20"/>
          <w:u w:val="single"/>
        </w:rPr>
        <w:t>List elements of lesser included crime</w:t>
      </w:r>
      <w:r w:rsidRPr="00067581">
        <w:rPr>
          <w:rFonts w:eastAsia="Times New Roman" w:cs="Times New Roman"/>
          <w:i/>
          <w:szCs w:val="20"/>
        </w:rPr>
        <w:t>.</w:t>
      </w:r>
      <w:r w:rsidRPr="00067581">
        <w:rPr>
          <w:rFonts w:eastAsia="Times New Roman" w:cs="Times New Roman"/>
          <w:szCs w:val="20"/>
        </w:rPr>
        <w:t>]</w:t>
      </w:r>
    </w:p>
    <w:p w14:paraId="400BCC73" w14:textId="77777777" w:rsidR="00067581" w:rsidRPr="00067581" w:rsidRDefault="00067581" w:rsidP="00067581">
      <w:pPr>
        <w:widowControl w:val="0"/>
        <w:rPr>
          <w:rFonts w:eastAsia="Times New Roman" w:cs="Times New Roman"/>
          <w:szCs w:val="20"/>
        </w:rPr>
      </w:pPr>
    </w:p>
    <w:p w14:paraId="1FAF3092" w14:textId="77777777" w:rsidR="00067581" w:rsidRPr="00067581" w:rsidRDefault="00067581" w:rsidP="00067581">
      <w:pPr>
        <w:widowControl w:val="0"/>
        <w:tabs>
          <w:tab w:val="left" w:pos="9720"/>
        </w:tabs>
        <w:ind w:right="-180"/>
        <w:jc w:val="center"/>
        <w:rPr>
          <w:rFonts w:eastAsia="Times New Roman" w:cs="Times New Roman"/>
          <w:szCs w:val="20"/>
        </w:rPr>
      </w:pPr>
      <w:r w:rsidRPr="00067581">
        <w:rPr>
          <w:rFonts w:eastAsia="Times New Roman" w:cs="Times New Roman"/>
          <w:b/>
          <w:szCs w:val="20"/>
        </w:rPr>
        <w:t>Comment</w:t>
      </w:r>
    </w:p>
    <w:p w14:paraId="1EE70DE2" w14:textId="77777777" w:rsidR="00067581" w:rsidRPr="00067581" w:rsidRDefault="00067581" w:rsidP="00067581">
      <w:pPr>
        <w:widowControl w:val="0"/>
        <w:rPr>
          <w:rFonts w:eastAsia="Times New Roman" w:cs="Times New Roman"/>
          <w:szCs w:val="20"/>
        </w:rPr>
      </w:pPr>
    </w:p>
    <w:p w14:paraId="210C5D76" w14:textId="77777777" w:rsidR="00067581" w:rsidRPr="00067581" w:rsidRDefault="00067581" w:rsidP="00067581">
      <w:pPr>
        <w:widowControl w:val="0"/>
        <w:rPr>
          <w:rFonts w:eastAsia="Times New Roman" w:cs="Times New Roman"/>
          <w:szCs w:val="20"/>
        </w:rPr>
      </w:pPr>
      <w:r w:rsidRPr="00067581">
        <w:rPr>
          <w:rFonts w:eastAsia="Times New Roman" w:cs="Times New Roman"/>
          <w:szCs w:val="20"/>
        </w:rPr>
        <w:tab/>
        <w:t xml:space="preserve">When a lesser included offense instruction is appropriate, a defendant has the right to elect whether all or only some of the jurors must not be convinced beyond a reasonable doubt of guilt of the greater offense.  </w:t>
      </w:r>
      <w:r w:rsidRPr="00067581">
        <w:rPr>
          <w:rFonts w:eastAsia="Times New Roman" w:cs="Times New Roman"/>
          <w:i/>
          <w:szCs w:val="20"/>
        </w:rPr>
        <w:t xml:space="preserve">United States v. </w:t>
      </w:r>
      <w:proofErr w:type="spellStart"/>
      <w:r w:rsidRPr="00067581">
        <w:rPr>
          <w:rFonts w:eastAsia="Times New Roman" w:cs="Times New Roman"/>
          <w:i/>
          <w:szCs w:val="20"/>
        </w:rPr>
        <w:t>Peneda</w:t>
      </w:r>
      <w:proofErr w:type="spellEnd"/>
      <w:r w:rsidRPr="00067581">
        <w:rPr>
          <w:rFonts w:eastAsia="Times New Roman" w:cs="Times New Roman"/>
          <w:i/>
          <w:szCs w:val="20"/>
        </w:rPr>
        <w:t>-Doval</w:t>
      </w:r>
      <w:r w:rsidRPr="00067581">
        <w:rPr>
          <w:rFonts w:eastAsia="Times New Roman" w:cs="Times New Roman"/>
          <w:szCs w:val="20"/>
        </w:rPr>
        <w:t xml:space="preserve">, 614 F.3d 1019, 1030 (9th Cir. 2010); </w:t>
      </w:r>
      <w:r w:rsidRPr="00067581">
        <w:rPr>
          <w:rFonts w:eastAsia="Times New Roman" w:cs="Times New Roman"/>
          <w:i/>
          <w:szCs w:val="20"/>
        </w:rPr>
        <w:t>United States v. Jackson</w:t>
      </w:r>
      <w:r w:rsidRPr="00067581">
        <w:rPr>
          <w:rFonts w:eastAsia="Times New Roman" w:cs="Times New Roman"/>
          <w:szCs w:val="20"/>
        </w:rPr>
        <w:t>, 726 F.2d 1466, 1469-70 (9th Cir. 1984).</w:t>
      </w:r>
    </w:p>
    <w:p w14:paraId="726A40D8" w14:textId="77777777" w:rsidR="00067581" w:rsidRPr="00067581" w:rsidRDefault="00067581" w:rsidP="00067581">
      <w:pPr>
        <w:widowControl w:val="0"/>
        <w:rPr>
          <w:rFonts w:eastAsia="Times New Roman" w:cs="Times New Roman"/>
          <w:szCs w:val="20"/>
        </w:rPr>
      </w:pPr>
    </w:p>
    <w:p w14:paraId="71469B85" w14:textId="77777777" w:rsidR="00067581" w:rsidRPr="00067581" w:rsidRDefault="00067581" w:rsidP="00067581">
      <w:pPr>
        <w:widowControl w:val="0"/>
        <w:rPr>
          <w:rFonts w:eastAsia="Times New Roman" w:cs="Times New Roman"/>
          <w:szCs w:val="20"/>
        </w:rPr>
      </w:pPr>
      <w:r w:rsidRPr="00067581">
        <w:rPr>
          <w:rFonts w:eastAsia="Times New Roman" w:cs="Times New Roman"/>
          <w:szCs w:val="20"/>
        </w:rPr>
        <w:tab/>
        <w:t xml:space="preserve">Pursuant to Fed. R. Crim. P. 31(c), “[a] defendant may be found guilty of . . . an offense necessarily included in the offense charged.”  Moreover, a defendant in a capital case has a due process right to a lesser included offense instruction when the facts would allow the jury to impose a life sentence rather than death.  </w:t>
      </w:r>
      <w:r w:rsidRPr="00067581">
        <w:rPr>
          <w:rFonts w:eastAsia="Times New Roman" w:cs="Times New Roman"/>
          <w:i/>
          <w:szCs w:val="20"/>
        </w:rPr>
        <w:t>Beck v. Alabama</w:t>
      </w:r>
      <w:r w:rsidRPr="00067581">
        <w:rPr>
          <w:rFonts w:eastAsia="Times New Roman" w:cs="Times New Roman"/>
          <w:szCs w:val="20"/>
        </w:rPr>
        <w:t xml:space="preserve">, 447 U.S. 625, 637-38 (1980).  The Ninth Circuit has not yet decided whether a defendant’s right to a lesser included instruction in a </w:t>
      </w:r>
      <w:proofErr w:type="gramStart"/>
      <w:r w:rsidRPr="00067581">
        <w:rPr>
          <w:rFonts w:eastAsia="Times New Roman" w:cs="Times New Roman"/>
          <w:szCs w:val="20"/>
        </w:rPr>
        <w:t>noncapital case springs</w:t>
      </w:r>
      <w:proofErr w:type="gramEnd"/>
      <w:r w:rsidRPr="00067581">
        <w:rPr>
          <w:rFonts w:eastAsia="Times New Roman" w:cs="Times New Roman"/>
          <w:szCs w:val="20"/>
        </w:rPr>
        <w:t xml:space="preserve"> solely from Fed. R. Crim. P. 31(c) or also from the Fifth Amendment Due Process Clause.  </w:t>
      </w:r>
      <w:r w:rsidRPr="00067581">
        <w:rPr>
          <w:rFonts w:eastAsia="Times New Roman" w:cs="Times New Roman"/>
          <w:i/>
          <w:szCs w:val="20"/>
        </w:rPr>
        <w:t>United States v. Torres-Flores</w:t>
      </w:r>
      <w:r w:rsidRPr="00067581">
        <w:rPr>
          <w:rFonts w:eastAsia="Times New Roman" w:cs="Times New Roman"/>
          <w:szCs w:val="20"/>
        </w:rPr>
        <w:t xml:space="preserve">, 502 F.3d 885, 887 n.3 (9th Cir. 2007). </w:t>
      </w:r>
    </w:p>
    <w:p w14:paraId="3CC943AA" w14:textId="77777777" w:rsidR="00067581" w:rsidRPr="00067581" w:rsidRDefault="00067581" w:rsidP="00067581">
      <w:pPr>
        <w:widowControl w:val="0"/>
        <w:rPr>
          <w:rFonts w:eastAsia="Times New Roman" w:cs="Times New Roman"/>
          <w:szCs w:val="20"/>
        </w:rPr>
      </w:pPr>
    </w:p>
    <w:p w14:paraId="740CD634" w14:textId="465157D1" w:rsidR="00067581" w:rsidRPr="00067581" w:rsidRDefault="00067581" w:rsidP="00067581">
      <w:pPr>
        <w:widowControl w:val="0"/>
        <w:rPr>
          <w:rFonts w:eastAsia="Times New Roman" w:cs="Times New Roman"/>
          <w:i/>
          <w:szCs w:val="20"/>
        </w:rPr>
      </w:pPr>
      <w:r w:rsidRPr="00067581">
        <w:rPr>
          <w:rFonts w:eastAsia="Times New Roman" w:cs="Times New Roman"/>
          <w:szCs w:val="20"/>
        </w:rPr>
        <w:tab/>
        <w:t xml:space="preserve">Whether an offense is a lesser included offense of a charged crime is a question of law.  </w:t>
      </w:r>
      <w:r w:rsidRPr="00067581">
        <w:rPr>
          <w:rFonts w:eastAsia="Times New Roman" w:cs="Times New Roman"/>
          <w:i/>
          <w:szCs w:val="20"/>
        </w:rPr>
        <w:t xml:space="preserve">United States v. </w:t>
      </w:r>
      <w:proofErr w:type="spellStart"/>
      <w:r w:rsidRPr="00067581">
        <w:rPr>
          <w:rFonts w:eastAsia="Times New Roman" w:cs="Times New Roman"/>
          <w:i/>
          <w:szCs w:val="20"/>
        </w:rPr>
        <w:t>Arnt</w:t>
      </w:r>
      <w:proofErr w:type="spellEnd"/>
      <w:r w:rsidRPr="00067581">
        <w:rPr>
          <w:rFonts w:eastAsia="Times New Roman" w:cs="Times New Roman"/>
          <w:szCs w:val="20"/>
        </w:rPr>
        <w:t xml:space="preserve">, 474 F.3d 1159, 1163 (9th Cir. 2007).  “A defendant is entitled to an instruction on a </w:t>
      </w:r>
      <w:bookmarkStart w:id="7" w:name="SR;2707"/>
      <w:bookmarkEnd w:id="7"/>
      <w:r w:rsidRPr="00067581">
        <w:rPr>
          <w:rFonts w:eastAsia="Times New Roman" w:cs="Times New Roman"/>
          <w:szCs w:val="20"/>
        </w:rPr>
        <w:t>lesser-</w:t>
      </w:r>
      <w:bookmarkStart w:id="8" w:name="SR;2708"/>
      <w:bookmarkEnd w:id="8"/>
      <w:r w:rsidRPr="00067581">
        <w:rPr>
          <w:rFonts w:eastAsia="Times New Roman" w:cs="Times New Roman"/>
          <w:szCs w:val="20"/>
        </w:rPr>
        <w:t xml:space="preserve">included </w:t>
      </w:r>
      <w:bookmarkStart w:id="9" w:name="SR;2709"/>
      <w:bookmarkEnd w:id="9"/>
      <w:r w:rsidRPr="00067581">
        <w:rPr>
          <w:rFonts w:eastAsia="Times New Roman" w:cs="Times New Roman"/>
          <w:szCs w:val="20"/>
        </w:rPr>
        <w:t xml:space="preserve">offense if the law and evidence satisfy a two-part </w:t>
      </w:r>
      <w:bookmarkStart w:id="10" w:name="SR;2719"/>
      <w:bookmarkEnd w:id="10"/>
      <w:r w:rsidRPr="00067581">
        <w:rPr>
          <w:rFonts w:eastAsia="Times New Roman" w:cs="Times New Roman"/>
          <w:szCs w:val="20"/>
        </w:rPr>
        <w:t xml:space="preserve">test: 1) ‘the elements of the </w:t>
      </w:r>
      <w:bookmarkStart w:id="11" w:name="SR;2725"/>
      <w:bookmarkEnd w:id="11"/>
      <w:r w:rsidRPr="00067581">
        <w:rPr>
          <w:rFonts w:eastAsia="Times New Roman" w:cs="Times New Roman"/>
          <w:szCs w:val="20"/>
        </w:rPr>
        <w:t xml:space="preserve">lesser </w:t>
      </w:r>
      <w:bookmarkStart w:id="12" w:name="SR;2726"/>
      <w:bookmarkEnd w:id="12"/>
      <w:r w:rsidRPr="00067581">
        <w:rPr>
          <w:rFonts w:eastAsia="Times New Roman" w:cs="Times New Roman"/>
          <w:szCs w:val="20"/>
        </w:rPr>
        <w:t xml:space="preserve">offense are a subset of the elements of the charged </w:t>
      </w:r>
      <w:bookmarkStart w:id="13" w:name="SR;2736"/>
      <w:bookmarkEnd w:id="13"/>
      <w:r w:rsidRPr="00067581">
        <w:rPr>
          <w:rFonts w:eastAsia="Times New Roman" w:cs="Times New Roman"/>
          <w:szCs w:val="20"/>
        </w:rPr>
        <w:t xml:space="preserve">offense,’ </w:t>
      </w:r>
      <w:r w:rsidRPr="00067581">
        <w:rPr>
          <w:rFonts w:eastAsia="Times New Roman" w:cs="Times New Roman"/>
          <w:i/>
          <w:szCs w:val="20"/>
        </w:rPr>
        <w:t>Schmuck v. United States</w:t>
      </w:r>
      <w:r w:rsidRPr="00067581">
        <w:rPr>
          <w:rFonts w:eastAsia="Times New Roman" w:cs="Times New Roman"/>
          <w:szCs w:val="20"/>
        </w:rPr>
        <w:t xml:space="preserve">, 489 U.S. 705, 716 (1989); and 2) ‘the evidence would permit a jury rationally to find [the defendant] guilty of the </w:t>
      </w:r>
      <w:bookmarkStart w:id="14" w:name="SR;2769"/>
      <w:bookmarkEnd w:id="14"/>
      <w:r w:rsidRPr="00067581">
        <w:rPr>
          <w:rFonts w:eastAsia="Times New Roman" w:cs="Times New Roman"/>
          <w:szCs w:val="20"/>
        </w:rPr>
        <w:t xml:space="preserve">lesser </w:t>
      </w:r>
      <w:bookmarkStart w:id="15" w:name="SR;2770"/>
      <w:bookmarkEnd w:id="15"/>
      <w:r w:rsidRPr="00067581">
        <w:rPr>
          <w:rFonts w:eastAsia="Times New Roman" w:cs="Times New Roman"/>
          <w:szCs w:val="20"/>
        </w:rPr>
        <w:t xml:space="preserve">offense and acquit [her] of the greater,’ </w:t>
      </w:r>
      <w:r w:rsidRPr="00067581">
        <w:rPr>
          <w:rFonts w:eastAsia="Times New Roman" w:cs="Times New Roman"/>
          <w:i/>
          <w:szCs w:val="20"/>
        </w:rPr>
        <w:t>Keeble v. United States</w:t>
      </w:r>
      <w:r w:rsidRPr="00067581">
        <w:rPr>
          <w:rFonts w:eastAsia="Times New Roman" w:cs="Times New Roman"/>
          <w:szCs w:val="20"/>
        </w:rPr>
        <w:t xml:space="preserve">, 412 U.S. 205, 208 (1973).”  </w:t>
      </w:r>
      <w:proofErr w:type="spellStart"/>
      <w:r w:rsidRPr="00067581">
        <w:rPr>
          <w:rFonts w:eastAsia="Times New Roman" w:cs="Times New Roman"/>
          <w:i/>
          <w:szCs w:val="20"/>
        </w:rPr>
        <w:t>Arnt</w:t>
      </w:r>
      <w:proofErr w:type="spellEnd"/>
      <w:r w:rsidRPr="00067581">
        <w:rPr>
          <w:rFonts w:eastAsia="Times New Roman" w:cs="Times New Roman"/>
          <w:szCs w:val="20"/>
        </w:rPr>
        <w:t xml:space="preserve">, 474 F.3d at 1163 (alterations in original); </w:t>
      </w:r>
      <w:r w:rsidRPr="00067581">
        <w:rPr>
          <w:rFonts w:eastAsia="Times New Roman" w:cs="Times New Roman"/>
          <w:i/>
          <w:szCs w:val="20"/>
        </w:rPr>
        <w:t>see also United States v. Rivera-Alonzo</w:t>
      </w:r>
      <w:r w:rsidRPr="00067581">
        <w:rPr>
          <w:rFonts w:eastAsia="Times New Roman" w:cs="Times New Roman"/>
          <w:szCs w:val="20"/>
        </w:rPr>
        <w:t xml:space="preserve">, 584 F.3d 829, 835 (9th Cir. 2009) (holding that although simple assault is lesser included offense of both 8- and 20-year felonies described in 18 U.S.C. § 111, defendant was not entitled to lesser included offense instruction when there was “undisputed evidence of physical contact” that precluded conviction on simple assault); </w:t>
      </w:r>
      <w:r w:rsidRPr="00067581">
        <w:rPr>
          <w:rFonts w:eastAsia="Times New Roman" w:cs="Times New Roman"/>
          <w:i/>
          <w:szCs w:val="20"/>
        </w:rPr>
        <w:t>Torres-Flores</w:t>
      </w:r>
      <w:r w:rsidRPr="00067581">
        <w:rPr>
          <w:rFonts w:eastAsia="Times New Roman" w:cs="Times New Roman"/>
          <w:szCs w:val="20"/>
        </w:rPr>
        <w:t xml:space="preserve">, 502 F.3d at 888 (holding that trial court appropriately refused lesser included offense instruction when jury could not have convicted on the lesser offense without also finding all elements of the greater offense); </w:t>
      </w:r>
      <w:r w:rsidRPr="00067581">
        <w:rPr>
          <w:rFonts w:eastAsia="Times New Roman" w:cs="Times New Roman"/>
          <w:i/>
          <w:szCs w:val="20"/>
        </w:rPr>
        <w:t>see United States v. Hernandez</w:t>
      </w:r>
      <w:r w:rsidRPr="00067581">
        <w:rPr>
          <w:rFonts w:eastAsia="Times New Roman" w:cs="Times New Roman"/>
          <w:szCs w:val="20"/>
        </w:rPr>
        <w:t>, 476 F.3d 791, 801-02 (9th Cir. 2007) (holding it was reversible error in prosecution for intent to distribute methamphetamine not to instruct on lesser offense of possession of controlled substances when evidence would permit rational jury to find defendant guilty of lesser offense and acquit him of greater offense).</w:t>
      </w:r>
    </w:p>
    <w:p w14:paraId="0ACE18C0" w14:textId="39A2BAB4" w:rsidR="00C97E04" w:rsidRPr="00067581" w:rsidRDefault="00067581" w:rsidP="00067581">
      <w:pPr>
        <w:widowControl w:val="0"/>
        <w:jc w:val="right"/>
      </w:pPr>
      <w:r w:rsidRPr="00067581">
        <w:rPr>
          <w:rFonts w:eastAsia="Times New Roman" w:cs="Times New Roman"/>
          <w:i/>
          <w:szCs w:val="20"/>
        </w:rPr>
        <w:t>Revised Dec. 2017</w:t>
      </w:r>
    </w:p>
    <w:sectPr w:rsidR="00C97E04" w:rsidRPr="00067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67581"/>
    <w:rsid w:val="00156526"/>
    <w:rsid w:val="002810F9"/>
    <w:rsid w:val="002A23F9"/>
    <w:rsid w:val="003A725E"/>
    <w:rsid w:val="003B4349"/>
    <w:rsid w:val="003D3221"/>
    <w:rsid w:val="00420260"/>
    <w:rsid w:val="004232A7"/>
    <w:rsid w:val="00443FE7"/>
    <w:rsid w:val="004D1662"/>
    <w:rsid w:val="004E4259"/>
    <w:rsid w:val="00542361"/>
    <w:rsid w:val="005A7428"/>
    <w:rsid w:val="00646A26"/>
    <w:rsid w:val="006752C5"/>
    <w:rsid w:val="00675651"/>
    <w:rsid w:val="006C06EF"/>
    <w:rsid w:val="007437A7"/>
    <w:rsid w:val="00765755"/>
    <w:rsid w:val="007C6517"/>
    <w:rsid w:val="00813014"/>
    <w:rsid w:val="00890E7A"/>
    <w:rsid w:val="008962A3"/>
    <w:rsid w:val="008B6CE7"/>
    <w:rsid w:val="00970FFD"/>
    <w:rsid w:val="00AA2B06"/>
    <w:rsid w:val="00AE279C"/>
    <w:rsid w:val="00AF516D"/>
    <w:rsid w:val="00B0682D"/>
    <w:rsid w:val="00B21672"/>
    <w:rsid w:val="00B43CDA"/>
    <w:rsid w:val="00B46909"/>
    <w:rsid w:val="00B961AC"/>
    <w:rsid w:val="00BA3B85"/>
    <w:rsid w:val="00BE1BC9"/>
    <w:rsid w:val="00C3129B"/>
    <w:rsid w:val="00C97E04"/>
    <w:rsid w:val="00CB6ACA"/>
    <w:rsid w:val="00E56A96"/>
    <w:rsid w:val="00EA658F"/>
    <w:rsid w:val="00EA72FC"/>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2022-05-13T19:43:00Z</dcterms:created>
  <dcterms:modified xsi:type="dcterms:W3CDTF">2022-05-13T19:43:00Z</dcterms:modified>
</cp:coreProperties>
</file>