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B74E5" w14:textId="0D2392CC" w:rsidR="00CE79D9" w:rsidRDefault="00CE79D9" w:rsidP="00CE79D9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676"/>
      <w:bookmarkStart w:id="1" w:name="_Toc83310735"/>
      <w:bookmarkStart w:id="2" w:name="_Toc83362531"/>
      <w:bookmarkStart w:id="3" w:name="_Toc83362940"/>
      <w:bookmarkStart w:id="4" w:name="_Toc90309998"/>
      <w:bookmarkStart w:id="5" w:name="_Toc90389856"/>
      <w:bookmarkStart w:id="6" w:name="_Toc90860436"/>
      <w:bookmarkStart w:id="7" w:name="_Hlk97030895"/>
      <w:r>
        <w:rPr>
          <w:rFonts w:cs="Times New Roman"/>
          <w:b/>
          <w:bCs/>
          <w:szCs w:val="24"/>
        </w:rPr>
        <w:t>6.32</w:t>
      </w:r>
      <w:r w:rsidRPr="009940D5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Venue</w:t>
      </w:r>
    </w:p>
    <w:bookmarkEnd w:id="0"/>
    <w:bookmarkEnd w:id="1"/>
    <w:bookmarkEnd w:id="2"/>
    <w:bookmarkEnd w:id="3"/>
    <w:bookmarkEnd w:id="4"/>
    <w:bookmarkEnd w:id="5"/>
    <w:bookmarkEnd w:id="6"/>
    <w:p w14:paraId="79B70B55" w14:textId="77777777" w:rsidR="00BC3503" w:rsidRPr="00FC3964" w:rsidRDefault="00BC3503" w:rsidP="00BC3503">
      <w:pPr>
        <w:jc w:val="center"/>
        <w:rPr>
          <w:rFonts w:cs="Times New Roman"/>
          <w:b/>
          <w:bCs/>
          <w:color w:val="000000" w:themeColor="text1"/>
          <w:szCs w:val="24"/>
        </w:rPr>
      </w:pPr>
    </w:p>
    <w:bookmarkEnd w:id="7"/>
    <w:p w14:paraId="7E3ABBEE" w14:textId="6869953A" w:rsidR="00BC3503" w:rsidRDefault="00BC3503" w:rsidP="00BC3503">
      <w:pPr>
        <w:rPr>
          <w:rFonts w:cs="Times New Roman"/>
          <w:color w:val="000000" w:themeColor="text1"/>
          <w:szCs w:val="24"/>
        </w:rPr>
      </w:pPr>
      <w:r w:rsidRPr="00FC3964">
        <w:rPr>
          <w:rFonts w:cs="Times New Roman"/>
          <w:color w:val="000000" w:themeColor="text1"/>
          <w:szCs w:val="24"/>
        </w:rPr>
        <w:tab/>
      </w:r>
      <w:r w:rsidRPr="0026115B">
        <w:rPr>
          <w:rFonts w:cs="Times New Roman"/>
          <w:color w:val="000000" w:themeColor="text1"/>
          <w:szCs w:val="24"/>
        </w:rPr>
        <w:t xml:space="preserve">The </w:t>
      </w:r>
      <w:r>
        <w:rPr>
          <w:rFonts w:cs="Times New Roman"/>
          <w:color w:val="000000" w:themeColor="text1"/>
          <w:szCs w:val="24"/>
        </w:rPr>
        <w:t>I</w:t>
      </w:r>
      <w:r w:rsidRPr="0026115B">
        <w:rPr>
          <w:rFonts w:cs="Times New Roman"/>
          <w:color w:val="000000" w:themeColor="text1"/>
          <w:szCs w:val="24"/>
        </w:rPr>
        <w:t xml:space="preserve">ndictment alleges that some act </w:t>
      </w:r>
      <w:r>
        <w:rPr>
          <w:rFonts w:cs="Times New Roman"/>
          <w:color w:val="000000" w:themeColor="text1"/>
          <w:szCs w:val="24"/>
        </w:rPr>
        <w:t xml:space="preserve">[or acts] </w:t>
      </w:r>
      <w:r w:rsidRPr="0026115B">
        <w:rPr>
          <w:rFonts w:cs="Times New Roman"/>
          <w:color w:val="000000" w:themeColor="text1"/>
          <w:szCs w:val="24"/>
        </w:rPr>
        <w:t xml:space="preserve">in furtherance of the </w:t>
      </w:r>
      <w:r>
        <w:rPr>
          <w:rFonts w:cs="Times New Roman"/>
          <w:color w:val="000000" w:themeColor="text1"/>
          <w:szCs w:val="24"/>
        </w:rPr>
        <w:t>crime</w:t>
      </w:r>
      <w:r w:rsidRPr="0026115B">
        <w:rPr>
          <w:rFonts w:cs="Times New Roman"/>
          <w:color w:val="000000" w:themeColor="text1"/>
          <w:szCs w:val="24"/>
        </w:rPr>
        <w:t xml:space="preserve"> charged occurred in </w:t>
      </w:r>
      <w:r>
        <w:rPr>
          <w:rFonts w:cs="Times New Roman"/>
          <w:color w:val="000000" w:themeColor="text1"/>
          <w:szCs w:val="24"/>
        </w:rPr>
        <w:t>[</w:t>
      </w:r>
      <w:r>
        <w:rPr>
          <w:rFonts w:cs="Times New Roman"/>
          <w:i/>
          <w:iCs/>
          <w:color w:val="000000" w:themeColor="text1"/>
          <w:szCs w:val="24"/>
        </w:rPr>
        <w:t>N</w:t>
      </w:r>
      <w:r w:rsidRPr="00772295">
        <w:rPr>
          <w:rFonts w:cs="Times New Roman"/>
          <w:i/>
          <w:iCs/>
          <w:color w:val="000000" w:themeColor="text1"/>
          <w:szCs w:val="24"/>
        </w:rPr>
        <w:t>ame of venue</w:t>
      </w:r>
      <w:r>
        <w:rPr>
          <w:rFonts w:cs="Times New Roman"/>
          <w:color w:val="000000" w:themeColor="text1"/>
          <w:szCs w:val="24"/>
        </w:rPr>
        <w:t>].</w:t>
      </w:r>
      <w:r w:rsidRPr="0026115B">
        <w:rPr>
          <w:rFonts w:cs="Times New Roman"/>
          <w:color w:val="000000" w:themeColor="text1"/>
          <w:szCs w:val="24"/>
        </w:rPr>
        <w:t xml:space="preserve"> There is no requirement that </w:t>
      </w:r>
      <w:r>
        <w:rPr>
          <w:rFonts w:cs="Times New Roman"/>
          <w:color w:val="000000" w:themeColor="text1"/>
          <w:szCs w:val="24"/>
        </w:rPr>
        <w:t>[</w:t>
      </w:r>
      <w:r w:rsidRPr="0026115B">
        <w:rPr>
          <w:rFonts w:cs="Times New Roman"/>
          <w:color w:val="000000" w:themeColor="text1"/>
          <w:szCs w:val="24"/>
        </w:rPr>
        <w:t xml:space="preserve">all aspects of the </w:t>
      </w:r>
      <w:r>
        <w:rPr>
          <w:rFonts w:cs="Times New Roman"/>
          <w:color w:val="000000" w:themeColor="text1"/>
          <w:szCs w:val="24"/>
        </w:rPr>
        <w:t>crime</w:t>
      </w:r>
      <w:r w:rsidRPr="0026115B">
        <w:rPr>
          <w:rFonts w:cs="Times New Roman"/>
          <w:color w:val="000000" w:themeColor="text1"/>
          <w:szCs w:val="24"/>
        </w:rPr>
        <w:t xml:space="preserve"> charged</w:t>
      </w:r>
      <w:r>
        <w:rPr>
          <w:rFonts w:cs="Times New Roman"/>
          <w:color w:val="000000" w:themeColor="text1"/>
          <w:szCs w:val="24"/>
        </w:rPr>
        <w:t>]</w:t>
      </w:r>
      <w:r w:rsidRPr="0026115B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[</w:t>
      </w:r>
      <w:r w:rsidRPr="0026115B">
        <w:rPr>
          <w:rFonts w:cs="Times New Roman"/>
          <w:color w:val="000000" w:themeColor="text1"/>
          <w:szCs w:val="24"/>
        </w:rPr>
        <w:t>the entire conspiracy</w:t>
      </w:r>
      <w:r>
        <w:rPr>
          <w:rFonts w:cs="Times New Roman"/>
          <w:color w:val="000000" w:themeColor="text1"/>
          <w:szCs w:val="24"/>
        </w:rPr>
        <w:t>]</w:t>
      </w:r>
      <w:r w:rsidRPr="0026115B">
        <w:rPr>
          <w:rFonts w:cs="Times New Roman"/>
          <w:color w:val="000000" w:themeColor="text1"/>
          <w:szCs w:val="24"/>
        </w:rPr>
        <w:t xml:space="preserve"> take place here in </w:t>
      </w:r>
      <w:r>
        <w:rPr>
          <w:rFonts w:cs="Times New Roman"/>
          <w:color w:val="000000" w:themeColor="text1"/>
          <w:szCs w:val="24"/>
        </w:rPr>
        <w:t>[</w:t>
      </w:r>
      <w:r>
        <w:rPr>
          <w:rFonts w:cs="Times New Roman"/>
          <w:i/>
          <w:iCs/>
          <w:color w:val="000000" w:themeColor="text1"/>
          <w:szCs w:val="24"/>
        </w:rPr>
        <w:t>Name of venue</w:t>
      </w:r>
      <w:r>
        <w:rPr>
          <w:rFonts w:cs="Times New Roman"/>
          <w:color w:val="000000" w:themeColor="text1"/>
          <w:szCs w:val="24"/>
        </w:rPr>
        <w:t>].</w:t>
      </w:r>
      <w:r w:rsidRPr="0026115B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 xml:space="preserve">Before </w:t>
      </w:r>
      <w:r w:rsidRPr="0026115B">
        <w:rPr>
          <w:rFonts w:cs="Times New Roman"/>
          <w:color w:val="000000" w:themeColor="text1"/>
          <w:szCs w:val="24"/>
        </w:rPr>
        <w:t xml:space="preserve">you </w:t>
      </w:r>
      <w:r>
        <w:rPr>
          <w:rFonts w:cs="Times New Roman"/>
          <w:color w:val="000000" w:themeColor="text1"/>
          <w:szCs w:val="24"/>
        </w:rPr>
        <w:t xml:space="preserve">may </w:t>
      </w:r>
      <w:r w:rsidRPr="0026115B">
        <w:rPr>
          <w:rFonts w:cs="Times New Roman"/>
          <w:color w:val="000000" w:themeColor="text1"/>
          <w:szCs w:val="24"/>
        </w:rPr>
        <w:t xml:space="preserve">return a </w:t>
      </w:r>
      <w:r>
        <w:rPr>
          <w:rFonts w:cs="Times New Roman"/>
          <w:color w:val="000000" w:themeColor="text1"/>
          <w:szCs w:val="24"/>
        </w:rPr>
        <w:t xml:space="preserve">verdict of </w:t>
      </w:r>
      <w:r w:rsidRPr="0026115B">
        <w:rPr>
          <w:rFonts w:cs="Times New Roman"/>
          <w:color w:val="000000" w:themeColor="text1"/>
          <w:szCs w:val="24"/>
        </w:rPr>
        <w:t>guilty,</w:t>
      </w:r>
      <w:r>
        <w:rPr>
          <w:rFonts w:cs="Times New Roman"/>
          <w:color w:val="000000" w:themeColor="text1"/>
          <w:szCs w:val="24"/>
        </w:rPr>
        <w:t xml:space="preserve"> however, if that is your decision, </w:t>
      </w:r>
      <w:r w:rsidRPr="0026115B">
        <w:rPr>
          <w:rFonts w:cs="Times New Roman"/>
          <w:color w:val="000000" w:themeColor="text1"/>
          <w:szCs w:val="24"/>
        </w:rPr>
        <w:t xml:space="preserve">the government must convince you that </w:t>
      </w:r>
      <w:r>
        <w:rPr>
          <w:rFonts w:cs="Times New Roman"/>
          <w:color w:val="000000" w:themeColor="text1"/>
          <w:szCs w:val="24"/>
        </w:rPr>
        <w:t>[</w:t>
      </w:r>
      <w:r w:rsidRPr="0026115B">
        <w:rPr>
          <w:rFonts w:cs="Times New Roman"/>
          <w:color w:val="000000" w:themeColor="text1"/>
          <w:szCs w:val="24"/>
        </w:rPr>
        <w:t>some act in furtherance of the crime charged</w:t>
      </w:r>
      <w:r>
        <w:rPr>
          <w:rFonts w:cs="Times New Roman"/>
          <w:color w:val="000000" w:themeColor="text1"/>
          <w:szCs w:val="24"/>
        </w:rPr>
        <w:t>] [</w:t>
      </w:r>
      <w:r w:rsidRPr="0026115B">
        <w:rPr>
          <w:rFonts w:cs="Times New Roman"/>
          <w:color w:val="000000" w:themeColor="text1"/>
          <w:szCs w:val="24"/>
        </w:rPr>
        <w:t xml:space="preserve">either the agreement </w:t>
      </w:r>
      <w:r w:rsidR="00E00BD3">
        <w:rPr>
          <w:rFonts w:cs="Times New Roman"/>
          <w:color w:val="000000" w:themeColor="text1"/>
          <w:szCs w:val="24"/>
        </w:rPr>
        <w:t xml:space="preserve">or </w:t>
      </w:r>
      <w:r w:rsidRPr="0026115B">
        <w:rPr>
          <w:rFonts w:cs="Times New Roman"/>
          <w:color w:val="000000" w:themeColor="text1"/>
          <w:szCs w:val="24"/>
        </w:rPr>
        <w:t>one of the overt acts</w:t>
      </w:r>
      <w:r>
        <w:rPr>
          <w:rFonts w:cs="Times New Roman"/>
          <w:color w:val="000000" w:themeColor="text1"/>
          <w:szCs w:val="24"/>
        </w:rPr>
        <w:t xml:space="preserve"> in furtherance of the agreement]</w:t>
      </w:r>
      <w:r w:rsidRPr="0026115B">
        <w:rPr>
          <w:rFonts w:cs="Times New Roman"/>
          <w:color w:val="000000" w:themeColor="text1"/>
          <w:szCs w:val="24"/>
        </w:rPr>
        <w:t xml:space="preserve"> </w:t>
      </w:r>
      <w:r w:rsidR="0048378F">
        <w:rPr>
          <w:rFonts w:cs="Times New Roman"/>
          <w:color w:val="000000" w:themeColor="text1"/>
          <w:szCs w:val="24"/>
        </w:rPr>
        <w:t>[one of the expressly contemplated effects</w:t>
      </w:r>
      <w:r w:rsidR="00874FC3">
        <w:rPr>
          <w:rFonts w:cs="Times New Roman"/>
          <w:color w:val="000000" w:themeColor="text1"/>
          <w:szCs w:val="24"/>
        </w:rPr>
        <w:t xml:space="preserve"> of the act [or acts]</w:t>
      </w:r>
      <w:r w:rsidR="0048378F">
        <w:rPr>
          <w:rFonts w:cs="Times New Roman"/>
          <w:color w:val="000000" w:themeColor="text1"/>
          <w:szCs w:val="24"/>
        </w:rPr>
        <w:t xml:space="preserve">] </w:t>
      </w:r>
      <w:r w:rsidRPr="0026115B">
        <w:rPr>
          <w:rFonts w:cs="Times New Roman"/>
          <w:color w:val="000000" w:themeColor="text1"/>
          <w:szCs w:val="24"/>
        </w:rPr>
        <w:t xml:space="preserve">took place in </w:t>
      </w:r>
      <w:r>
        <w:rPr>
          <w:rFonts w:cs="Times New Roman"/>
          <w:color w:val="000000" w:themeColor="text1"/>
          <w:szCs w:val="24"/>
        </w:rPr>
        <w:t>[</w:t>
      </w:r>
      <w:r>
        <w:rPr>
          <w:rFonts w:cs="Times New Roman"/>
          <w:i/>
          <w:iCs/>
          <w:color w:val="000000" w:themeColor="text1"/>
          <w:szCs w:val="24"/>
        </w:rPr>
        <w:t>N</w:t>
      </w:r>
      <w:r w:rsidRPr="00772295">
        <w:rPr>
          <w:rFonts w:cs="Times New Roman"/>
          <w:i/>
          <w:iCs/>
          <w:color w:val="000000" w:themeColor="text1"/>
          <w:szCs w:val="24"/>
        </w:rPr>
        <w:t>ame of venue</w:t>
      </w:r>
      <w:r>
        <w:rPr>
          <w:rFonts w:cs="Times New Roman"/>
          <w:color w:val="000000" w:themeColor="text1"/>
          <w:szCs w:val="24"/>
        </w:rPr>
        <w:t>]</w:t>
      </w:r>
      <w:r w:rsidRPr="0026115B">
        <w:rPr>
          <w:rFonts w:cs="Times New Roman"/>
          <w:color w:val="000000" w:themeColor="text1"/>
          <w:szCs w:val="24"/>
        </w:rPr>
        <w:t>.</w:t>
      </w:r>
    </w:p>
    <w:p w14:paraId="2E4883A3" w14:textId="77777777" w:rsidR="00BC3503" w:rsidRDefault="00BC3503" w:rsidP="00BC3503">
      <w:pPr>
        <w:rPr>
          <w:rFonts w:cs="Times New Roman"/>
          <w:color w:val="000000" w:themeColor="text1"/>
          <w:szCs w:val="24"/>
        </w:rPr>
      </w:pPr>
    </w:p>
    <w:p w14:paraId="2EEEC687" w14:textId="77777777" w:rsidR="00BC3503" w:rsidRDefault="00BC3503" w:rsidP="00BC350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ab/>
        <w:t>[</w:t>
      </w:r>
      <w:r w:rsidRPr="00BF01BB">
        <w:rPr>
          <w:rFonts w:cs="Times New Roman"/>
          <w:i/>
          <w:iCs/>
          <w:color w:val="000000" w:themeColor="text1"/>
          <w:szCs w:val="24"/>
        </w:rPr>
        <w:t xml:space="preserve">Define </w:t>
      </w:r>
      <w:r>
        <w:rPr>
          <w:rFonts w:cs="Times New Roman"/>
          <w:i/>
          <w:iCs/>
          <w:color w:val="000000" w:themeColor="text1"/>
          <w:szCs w:val="24"/>
        </w:rPr>
        <w:t xml:space="preserve">the specific geographic boundaries of the </w:t>
      </w:r>
      <w:r w:rsidRPr="00BF01BB">
        <w:rPr>
          <w:rFonts w:cs="Times New Roman"/>
          <w:i/>
          <w:iCs/>
          <w:color w:val="000000" w:themeColor="text1"/>
          <w:szCs w:val="24"/>
        </w:rPr>
        <w:t>venue, if needed</w:t>
      </w:r>
      <w:r>
        <w:rPr>
          <w:rFonts w:cs="Times New Roman"/>
          <w:color w:val="000000" w:themeColor="text1"/>
          <w:szCs w:val="24"/>
        </w:rPr>
        <w:t>.]</w:t>
      </w:r>
    </w:p>
    <w:p w14:paraId="1942F95E" w14:textId="77777777" w:rsidR="00BC3503" w:rsidRDefault="00BC3503" w:rsidP="00BC3503">
      <w:pPr>
        <w:rPr>
          <w:rFonts w:cs="Times New Roman"/>
          <w:color w:val="000000" w:themeColor="text1"/>
          <w:szCs w:val="24"/>
        </w:rPr>
      </w:pPr>
    </w:p>
    <w:p w14:paraId="39655A33" w14:textId="77777777" w:rsidR="00BC3503" w:rsidRDefault="00BC3503" w:rsidP="00BC350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ab/>
      </w:r>
      <w:r w:rsidRPr="0026115B">
        <w:rPr>
          <w:rFonts w:cs="Times New Roman"/>
          <w:color w:val="000000" w:themeColor="text1"/>
          <w:szCs w:val="24"/>
        </w:rPr>
        <w:t xml:space="preserve">Unlike all the </w:t>
      </w:r>
      <w:r>
        <w:rPr>
          <w:rFonts w:cs="Times New Roman"/>
          <w:color w:val="000000" w:themeColor="text1"/>
          <w:szCs w:val="24"/>
        </w:rPr>
        <w:t xml:space="preserve">specific </w:t>
      </w:r>
      <w:r w:rsidRPr="0026115B">
        <w:rPr>
          <w:rFonts w:cs="Times New Roman"/>
          <w:color w:val="000000" w:themeColor="text1"/>
          <w:szCs w:val="24"/>
        </w:rPr>
        <w:t xml:space="preserve">elements </w:t>
      </w:r>
      <w:r>
        <w:rPr>
          <w:rFonts w:cs="Times New Roman"/>
          <w:color w:val="000000" w:themeColor="text1"/>
          <w:szCs w:val="24"/>
        </w:rPr>
        <w:t xml:space="preserve">of the crime[s] charged </w:t>
      </w:r>
      <w:r w:rsidRPr="0026115B">
        <w:rPr>
          <w:rFonts w:cs="Times New Roman"/>
          <w:color w:val="000000" w:themeColor="text1"/>
          <w:szCs w:val="24"/>
        </w:rPr>
        <w:t>that I have described</w:t>
      </w:r>
      <w:r>
        <w:rPr>
          <w:rFonts w:cs="Times New Roman"/>
          <w:color w:val="000000" w:themeColor="text1"/>
          <w:szCs w:val="24"/>
        </w:rPr>
        <w:t xml:space="preserve"> elsewhere in these instructions</w:t>
      </w:r>
      <w:r w:rsidRPr="0026115B">
        <w:rPr>
          <w:rFonts w:cs="Times New Roman"/>
          <w:color w:val="000000" w:themeColor="text1"/>
          <w:szCs w:val="24"/>
        </w:rPr>
        <w:t xml:space="preserve">, this fact </w:t>
      </w:r>
      <w:r>
        <w:rPr>
          <w:rFonts w:cs="Times New Roman"/>
          <w:color w:val="000000" w:themeColor="text1"/>
          <w:szCs w:val="24"/>
        </w:rPr>
        <w:t xml:space="preserve">regarding venue need </w:t>
      </w:r>
      <w:r w:rsidRPr="0026115B">
        <w:rPr>
          <w:rFonts w:cs="Times New Roman"/>
          <w:color w:val="000000" w:themeColor="text1"/>
          <w:szCs w:val="24"/>
        </w:rPr>
        <w:t>only be prove</w:t>
      </w:r>
      <w:r>
        <w:rPr>
          <w:rFonts w:cs="Times New Roman"/>
          <w:color w:val="000000" w:themeColor="text1"/>
          <w:szCs w:val="24"/>
        </w:rPr>
        <w:t>n</w:t>
      </w:r>
      <w:r w:rsidRPr="0026115B">
        <w:rPr>
          <w:rFonts w:cs="Times New Roman"/>
          <w:color w:val="000000" w:themeColor="text1"/>
          <w:szCs w:val="24"/>
        </w:rPr>
        <w:t xml:space="preserve"> by a preponderance of the evidence. This means the government </w:t>
      </w:r>
      <w:r>
        <w:rPr>
          <w:rFonts w:cs="Times New Roman"/>
          <w:color w:val="000000" w:themeColor="text1"/>
          <w:szCs w:val="24"/>
        </w:rPr>
        <w:t xml:space="preserve">need </w:t>
      </w:r>
      <w:r w:rsidRPr="0026115B">
        <w:rPr>
          <w:rFonts w:cs="Times New Roman"/>
          <w:color w:val="000000" w:themeColor="text1"/>
          <w:szCs w:val="24"/>
        </w:rPr>
        <w:t xml:space="preserve">only convince you that it is more likely than not that </w:t>
      </w:r>
      <w:r>
        <w:rPr>
          <w:rFonts w:cs="Times New Roman"/>
          <w:color w:val="000000" w:themeColor="text1"/>
          <w:szCs w:val="24"/>
        </w:rPr>
        <w:t>[</w:t>
      </w:r>
      <w:r w:rsidRPr="0026115B">
        <w:rPr>
          <w:rFonts w:cs="Times New Roman"/>
          <w:color w:val="000000" w:themeColor="text1"/>
          <w:szCs w:val="24"/>
        </w:rPr>
        <w:t>some act in furtherance of the crime charged</w:t>
      </w:r>
      <w:r>
        <w:rPr>
          <w:rFonts w:cs="Times New Roman"/>
          <w:color w:val="000000" w:themeColor="text1"/>
          <w:szCs w:val="24"/>
        </w:rPr>
        <w:t>] [</w:t>
      </w:r>
      <w:r w:rsidRPr="0026115B">
        <w:rPr>
          <w:rFonts w:cs="Times New Roman"/>
          <w:color w:val="000000" w:themeColor="text1"/>
          <w:szCs w:val="24"/>
        </w:rPr>
        <w:t>part of the conspiracy</w:t>
      </w:r>
      <w:r>
        <w:rPr>
          <w:rFonts w:cs="Times New Roman"/>
          <w:color w:val="000000" w:themeColor="text1"/>
          <w:szCs w:val="24"/>
        </w:rPr>
        <w:t>]</w:t>
      </w:r>
      <w:r w:rsidRPr="0026115B">
        <w:rPr>
          <w:rFonts w:cs="Times New Roman"/>
          <w:color w:val="000000" w:themeColor="text1"/>
          <w:szCs w:val="24"/>
        </w:rPr>
        <w:t xml:space="preserve"> took place here.</w:t>
      </w:r>
    </w:p>
    <w:p w14:paraId="00422236" w14:textId="77777777" w:rsidR="00BC3503" w:rsidRDefault="00BC3503" w:rsidP="00BC3503">
      <w:pPr>
        <w:rPr>
          <w:rFonts w:cs="Times New Roman"/>
          <w:color w:val="000000" w:themeColor="text1"/>
          <w:szCs w:val="24"/>
        </w:rPr>
      </w:pPr>
    </w:p>
    <w:p w14:paraId="04271044" w14:textId="77777777" w:rsidR="00BC3503" w:rsidRDefault="00BC3503" w:rsidP="00BC350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ab/>
        <w:t>T</w:t>
      </w:r>
      <w:r w:rsidRPr="0026115B">
        <w:rPr>
          <w:rFonts w:cs="Times New Roman"/>
          <w:color w:val="000000" w:themeColor="text1"/>
          <w:szCs w:val="24"/>
        </w:rPr>
        <w:t>he government</w:t>
      </w:r>
      <w:r>
        <w:rPr>
          <w:rFonts w:cs="Times New Roman"/>
          <w:color w:val="000000" w:themeColor="text1"/>
          <w:szCs w:val="24"/>
        </w:rPr>
        <w:t>, however,</w:t>
      </w:r>
      <w:r w:rsidRPr="0026115B">
        <w:rPr>
          <w:rFonts w:cs="Times New Roman"/>
          <w:color w:val="000000" w:themeColor="text1"/>
          <w:szCs w:val="24"/>
        </w:rPr>
        <w:t xml:space="preserve"> must prove all the </w:t>
      </w:r>
      <w:r>
        <w:rPr>
          <w:rFonts w:cs="Times New Roman"/>
          <w:color w:val="000000" w:themeColor="text1"/>
          <w:szCs w:val="24"/>
        </w:rPr>
        <w:t xml:space="preserve">offense-specific </w:t>
      </w:r>
      <w:r w:rsidRPr="0026115B">
        <w:rPr>
          <w:rFonts w:cs="Times New Roman"/>
          <w:color w:val="000000" w:themeColor="text1"/>
          <w:szCs w:val="24"/>
        </w:rPr>
        <w:t xml:space="preserve">elements </w:t>
      </w:r>
      <w:r>
        <w:rPr>
          <w:rFonts w:cs="Times New Roman"/>
          <w:color w:val="000000" w:themeColor="text1"/>
          <w:szCs w:val="24"/>
        </w:rPr>
        <w:t xml:space="preserve">of any crime charged, as </w:t>
      </w:r>
      <w:r w:rsidRPr="0026115B">
        <w:rPr>
          <w:rFonts w:cs="Times New Roman"/>
          <w:color w:val="000000" w:themeColor="text1"/>
          <w:szCs w:val="24"/>
        </w:rPr>
        <w:t xml:space="preserve">I </w:t>
      </w:r>
      <w:r>
        <w:rPr>
          <w:rFonts w:cs="Times New Roman"/>
          <w:color w:val="000000" w:themeColor="text1"/>
          <w:szCs w:val="24"/>
        </w:rPr>
        <w:t>h</w:t>
      </w:r>
      <w:r w:rsidRPr="0026115B">
        <w:rPr>
          <w:rFonts w:cs="Times New Roman"/>
          <w:color w:val="000000" w:themeColor="text1"/>
          <w:szCs w:val="24"/>
        </w:rPr>
        <w:t xml:space="preserve">ave described </w:t>
      </w:r>
      <w:r>
        <w:rPr>
          <w:rFonts w:cs="Times New Roman"/>
          <w:color w:val="000000" w:themeColor="text1"/>
          <w:szCs w:val="24"/>
        </w:rPr>
        <w:t xml:space="preserve">elsewhere in these instructions, </w:t>
      </w:r>
      <w:r w:rsidRPr="0026115B">
        <w:rPr>
          <w:rFonts w:cs="Times New Roman"/>
          <w:color w:val="000000" w:themeColor="text1"/>
          <w:szCs w:val="24"/>
        </w:rPr>
        <w:t>beyond a reasonable doubt.</w:t>
      </w:r>
      <w:r>
        <w:rPr>
          <w:rFonts w:cs="Times New Roman"/>
          <w:color w:val="000000" w:themeColor="text1"/>
          <w:szCs w:val="24"/>
        </w:rPr>
        <w:t xml:space="preserve"> The lesser standard of preponderance of the evidence only applies to your decision on the issue of venue.</w:t>
      </w:r>
    </w:p>
    <w:p w14:paraId="69A7BF58" w14:textId="77777777" w:rsidR="00BC3503" w:rsidRDefault="00BC3503" w:rsidP="00BC3503">
      <w:pPr>
        <w:rPr>
          <w:rFonts w:cs="Times New Roman"/>
          <w:color w:val="000000" w:themeColor="text1"/>
          <w:szCs w:val="24"/>
        </w:rPr>
      </w:pPr>
    </w:p>
    <w:p w14:paraId="6364757C" w14:textId="77777777" w:rsidR="00BC3503" w:rsidRPr="00FC3964" w:rsidRDefault="00BC3503" w:rsidP="00BC3503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FC3964">
        <w:rPr>
          <w:rFonts w:cs="Times New Roman"/>
          <w:b/>
          <w:bCs/>
          <w:color w:val="000000" w:themeColor="text1"/>
          <w:szCs w:val="24"/>
        </w:rPr>
        <w:t>Comment</w:t>
      </w:r>
    </w:p>
    <w:p w14:paraId="1FFBF9EE" w14:textId="77777777" w:rsidR="00BC3503" w:rsidRDefault="00BC3503" w:rsidP="00BC3503">
      <w:pPr>
        <w:spacing w:before="24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ab/>
        <w:t>The Ninth Circuit has explained:</w:t>
      </w:r>
    </w:p>
    <w:p w14:paraId="20AFD7CF" w14:textId="77777777" w:rsidR="00BC3503" w:rsidRDefault="00BC3503" w:rsidP="00BC3503">
      <w:pPr>
        <w:spacing w:before="240"/>
        <w:ind w:left="1440" w:right="720"/>
        <w:rPr>
          <w:rFonts w:cs="Times New Roman"/>
          <w:color w:val="000000" w:themeColor="text1"/>
          <w:szCs w:val="24"/>
        </w:rPr>
      </w:pPr>
      <w:r w:rsidRPr="00BC6F63">
        <w:rPr>
          <w:rFonts w:cs="Times New Roman"/>
          <w:color w:val="000000" w:themeColor="text1"/>
          <w:szCs w:val="24"/>
        </w:rPr>
        <w:t xml:space="preserve">Controlling circuit law establishes that, although venue is not an element of the offense, nevertheless it must still be proved by the government at trial. Venue is a question of fact that the government must prove by a preponderance of the evidence. It is a jury question. Normally it is not for the court to determine venue and </w:t>
      </w:r>
      <w:r w:rsidRPr="00E9116B">
        <w:rPr>
          <w:rFonts w:cs="Times New Roman"/>
          <w:i/>
          <w:iCs/>
          <w:color w:val="000000" w:themeColor="text1"/>
          <w:szCs w:val="24"/>
        </w:rPr>
        <w:t>it is error to not give a requested instruction on venue</w:t>
      </w:r>
      <w:r w:rsidRPr="00BC6F63">
        <w:rPr>
          <w:rFonts w:cs="Times New Roman"/>
          <w:color w:val="000000" w:themeColor="text1"/>
          <w:szCs w:val="24"/>
        </w:rPr>
        <w:t>. Venue is part of the bedrock of our federal system, and proper venue is a constitutional right, not a mere technicality. The district court therefore could not properly decide venue itself and should have submitted the issue to the jury.</w:t>
      </w:r>
    </w:p>
    <w:p w14:paraId="14F6EA75" w14:textId="77777777" w:rsidR="00BC3503" w:rsidRDefault="00BC3503" w:rsidP="00BC3503">
      <w:pPr>
        <w:spacing w:before="240"/>
        <w:rPr>
          <w:color w:val="000000" w:themeColor="text1"/>
          <w:szCs w:val="24"/>
        </w:rPr>
      </w:pPr>
      <w:r w:rsidRPr="00E9116B">
        <w:rPr>
          <w:rFonts w:cs="Times New Roman"/>
          <w:i/>
          <w:iCs/>
          <w:color w:val="000000" w:themeColor="text1"/>
          <w:szCs w:val="24"/>
        </w:rPr>
        <w:t>United States v. Moran-Garcia</w:t>
      </w:r>
      <w:r w:rsidRPr="00BC6F63">
        <w:rPr>
          <w:rFonts w:cs="Times New Roman"/>
          <w:color w:val="000000" w:themeColor="text1"/>
          <w:szCs w:val="24"/>
        </w:rPr>
        <w:t>, 966 F.3d 966</w:t>
      </w:r>
      <w:r>
        <w:rPr>
          <w:rFonts w:cs="Times New Roman"/>
          <w:color w:val="000000" w:themeColor="text1"/>
          <w:szCs w:val="24"/>
        </w:rPr>
        <w:t>, 969</w:t>
      </w:r>
      <w:r w:rsidRPr="00BC6F63">
        <w:rPr>
          <w:rFonts w:cs="Times New Roman"/>
          <w:color w:val="000000" w:themeColor="text1"/>
          <w:szCs w:val="24"/>
        </w:rPr>
        <w:t xml:space="preserve"> (9th Cir. 2020)</w:t>
      </w:r>
      <w:r>
        <w:rPr>
          <w:rFonts w:cs="Times New Roman"/>
          <w:color w:val="000000" w:themeColor="text1"/>
          <w:szCs w:val="24"/>
        </w:rPr>
        <w:t xml:space="preserve"> (footnotes, quotation marks, and brackets omitted; emphasis added); </w:t>
      </w:r>
      <w:r>
        <w:rPr>
          <w:i/>
          <w:iCs/>
          <w:color w:val="000000" w:themeColor="text1"/>
          <w:szCs w:val="24"/>
        </w:rPr>
        <w:t>see also</w:t>
      </w:r>
      <w:r>
        <w:rPr>
          <w:color w:val="000000" w:themeColor="text1"/>
          <w:szCs w:val="24"/>
        </w:rPr>
        <w:t xml:space="preserve"> </w:t>
      </w:r>
      <w:r>
        <w:rPr>
          <w:i/>
          <w:iCs/>
          <w:color w:val="000000" w:themeColor="text1"/>
          <w:szCs w:val="24"/>
        </w:rPr>
        <w:t>United States v. Ghanem</w:t>
      </w:r>
      <w:r>
        <w:rPr>
          <w:color w:val="000000" w:themeColor="text1"/>
          <w:szCs w:val="24"/>
        </w:rPr>
        <w:t>, 993 F.3d 1113, 1131 (9th Cir. 2021) (“In future cases with similarly muddled postures, a district court might consider using a special-verdict form requiring a venue finding separate from substantive guilt.”).</w:t>
      </w:r>
    </w:p>
    <w:p w14:paraId="5F8D3E34" w14:textId="77777777" w:rsidR="00BC3503" w:rsidRDefault="00BC3503" w:rsidP="00BC3503">
      <w:pPr>
        <w:spacing w:before="240"/>
        <w:rPr>
          <w:rFonts w:cs="Times New Roman"/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>
        <w:rPr>
          <w:rFonts w:cs="Times New Roman"/>
          <w:color w:val="000000" w:themeColor="text1"/>
          <w:szCs w:val="24"/>
        </w:rPr>
        <w:t>This instruction is based on the Third Circuit’s model criminal instruction § 3.09, the Sixth Circuit’s model criminal instruction § 3.07, and the Eighth Circuit’s model criminal instruction § 3.13.</w:t>
      </w:r>
    </w:p>
    <w:p w14:paraId="48983778" w14:textId="77777777" w:rsidR="00BC3503" w:rsidRDefault="00BC3503" w:rsidP="00BC3503">
      <w:pPr>
        <w:spacing w:before="240"/>
        <w:ind w:firstLine="720"/>
        <w:rPr>
          <w:rFonts w:cs="Times New Roman"/>
          <w:color w:val="000000" w:themeColor="text1"/>
          <w:szCs w:val="24"/>
        </w:rPr>
      </w:pPr>
    </w:p>
    <w:p w14:paraId="1294C3A0" w14:textId="77777777" w:rsidR="00BC3503" w:rsidRDefault="00BC3503" w:rsidP="00BC3503">
      <w:pPr>
        <w:spacing w:before="240"/>
        <w:ind w:firstLine="720"/>
        <w:rPr>
          <w:rFonts w:cs="Times New Roman"/>
          <w:color w:val="000000" w:themeColor="text1"/>
          <w:szCs w:val="24"/>
        </w:rPr>
      </w:pPr>
    </w:p>
    <w:p w14:paraId="70217A1C" w14:textId="77777777" w:rsidR="00BC3503" w:rsidRDefault="00BC3503" w:rsidP="00BC3503">
      <w:pPr>
        <w:spacing w:before="240"/>
        <w:ind w:firstLine="720"/>
        <w:rPr>
          <w:rFonts w:cs="Times New Roman"/>
          <w:color w:val="000000" w:themeColor="text1"/>
          <w:szCs w:val="24"/>
        </w:rPr>
      </w:pPr>
      <w:r w:rsidRPr="0066215E">
        <w:rPr>
          <w:rFonts w:cs="Times New Roman"/>
          <w:color w:val="000000" w:themeColor="text1"/>
          <w:szCs w:val="24"/>
        </w:rPr>
        <w:t xml:space="preserve">In </w:t>
      </w:r>
      <w:r w:rsidRPr="0066215E">
        <w:rPr>
          <w:rFonts w:cs="Times New Roman"/>
          <w:i/>
          <w:iCs/>
          <w:color w:val="000000" w:themeColor="text1"/>
          <w:szCs w:val="24"/>
        </w:rPr>
        <w:t>Smith v. United States</w:t>
      </w:r>
      <w:r w:rsidRPr="0066215E">
        <w:rPr>
          <w:rFonts w:cs="Times New Roman"/>
          <w:color w:val="000000" w:themeColor="text1"/>
          <w:szCs w:val="24"/>
        </w:rPr>
        <w:t xml:space="preserve">, 599 U.S. </w:t>
      </w:r>
      <w:r>
        <w:rPr>
          <w:rFonts w:cs="Times New Roman"/>
          <w:color w:val="000000" w:themeColor="text1"/>
          <w:szCs w:val="24"/>
        </w:rPr>
        <w:t>236</w:t>
      </w:r>
      <w:r w:rsidRPr="0066215E">
        <w:rPr>
          <w:rFonts w:cs="Times New Roman"/>
          <w:color w:val="000000" w:themeColor="text1"/>
          <w:szCs w:val="24"/>
        </w:rPr>
        <w:t xml:space="preserve"> (2023)</w:t>
      </w:r>
      <w:r>
        <w:rPr>
          <w:rFonts w:cs="Times New Roman"/>
          <w:color w:val="000000" w:themeColor="text1"/>
          <w:szCs w:val="24"/>
        </w:rPr>
        <w:t>,</w:t>
      </w:r>
      <w:r w:rsidRPr="0066215E">
        <w:rPr>
          <w:rFonts w:cs="Times New Roman"/>
          <w:color w:val="000000" w:themeColor="text1"/>
          <w:szCs w:val="24"/>
        </w:rPr>
        <w:t xml:space="preserve"> the Supreme Court held that a violation of the Constitution’s Venue Clause does not necessitate dismissal; rather, it warrants a new trial. </w:t>
      </w:r>
      <w:r w:rsidRPr="00D42E03">
        <w:rPr>
          <w:rFonts w:cs="Times New Roman"/>
          <w:i/>
          <w:iCs/>
          <w:color w:val="000000" w:themeColor="text1"/>
          <w:szCs w:val="24"/>
        </w:rPr>
        <w:t>Accord United States v. Fortenberry</w:t>
      </w:r>
      <w:r w:rsidRPr="00D42E03">
        <w:rPr>
          <w:rFonts w:cs="Times New Roman"/>
          <w:color w:val="000000" w:themeColor="text1"/>
          <w:szCs w:val="24"/>
        </w:rPr>
        <w:t>, 89 F.4th 702, 713 (9th Cir. 2023) (reversing defendant’s conviction obtained in wrong venue “so that he may be retried, if at all, in a proper venue”).</w:t>
      </w:r>
    </w:p>
    <w:p w14:paraId="49173C7A" w14:textId="59BBFAA3" w:rsidR="00EC3E19" w:rsidRPr="003D16DE" w:rsidRDefault="00EC3E19" w:rsidP="00BC3503">
      <w:pPr>
        <w:spacing w:before="240"/>
        <w:ind w:firstLine="72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In </w:t>
      </w:r>
      <w:r>
        <w:rPr>
          <w:rFonts w:cs="Times New Roman"/>
          <w:i/>
          <w:iCs/>
          <w:color w:val="000000" w:themeColor="text1"/>
          <w:szCs w:val="24"/>
        </w:rPr>
        <w:t xml:space="preserve">United States v. </w:t>
      </w:r>
      <w:proofErr w:type="spellStart"/>
      <w:r>
        <w:rPr>
          <w:rFonts w:cs="Times New Roman"/>
          <w:i/>
          <w:iCs/>
          <w:color w:val="000000" w:themeColor="text1"/>
          <w:szCs w:val="24"/>
        </w:rPr>
        <w:t>Abouammo</w:t>
      </w:r>
      <w:proofErr w:type="spellEnd"/>
      <w:r>
        <w:rPr>
          <w:rFonts w:cs="Times New Roman"/>
          <w:color w:val="000000" w:themeColor="text1"/>
          <w:szCs w:val="24"/>
        </w:rPr>
        <w:t xml:space="preserve">, 122 F.4th 1072 (9th Cir. 2024), the Ninth Circuit held that venue was proper for a prosecution under 18 U.S.C. § 1519 in the district where the false </w:t>
      </w:r>
      <w:r w:rsidR="00874FC3">
        <w:rPr>
          <w:rFonts w:cs="Times New Roman"/>
          <w:color w:val="000000" w:themeColor="text1"/>
          <w:szCs w:val="24"/>
        </w:rPr>
        <w:t xml:space="preserve">document was </w:t>
      </w:r>
      <w:r w:rsidR="00061E8B">
        <w:rPr>
          <w:rFonts w:cs="Times New Roman"/>
          <w:color w:val="000000" w:themeColor="text1"/>
          <w:szCs w:val="24"/>
        </w:rPr>
        <w:t>(or false</w:t>
      </w:r>
      <w:r w:rsidR="00874FC3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documents were</w:t>
      </w:r>
      <w:r w:rsidR="00061E8B">
        <w:rPr>
          <w:rFonts w:cs="Times New Roman"/>
          <w:color w:val="000000" w:themeColor="text1"/>
          <w:szCs w:val="24"/>
        </w:rPr>
        <w:t>)</w:t>
      </w:r>
      <w:r>
        <w:rPr>
          <w:rFonts w:cs="Times New Roman"/>
          <w:color w:val="000000" w:themeColor="text1"/>
          <w:szCs w:val="24"/>
        </w:rPr>
        <w:t xml:space="preserve"> prepared</w:t>
      </w:r>
      <w:r w:rsidR="008D7A74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</w:t>
      </w:r>
      <w:r w:rsidR="008D7A74">
        <w:rPr>
          <w:rFonts w:cs="Times New Roman"/>
          <w:color w:val="000000" w:themeColor="text1"/>
          <w:szCs w:val="24"/>
        </w:rPr>
        <w:t xml:space="preserve">or in the district where the </w:t>
      </w:r>
      <w:r w:rsidR="00874FC3">
        <w:rPr>
          <w:rFonts w:cs="Times New Roman"/>
          <w:color w:val="000000" w:themeColor="text1"/>
          <w:szCs w:val="24"/>
        </w:rPr>
        <w:t xml:space="preserve">false document was </w:t>
      </w:r>
      <w:r w:rsidR="00061E8B">
        <w:rPr>
          <w:rFonts w:cs="Times New Roman"/>
          <w:color w:val="000000" w:themeColor="text1"/>
          <w:szCs w:val="24"/>
        </w:rPr>
        <w:t xml:space="preserve">(or </w:t>
      </w:r>
      <w:r w:rsidR="00874FC3">
        <w:rPr>
          <w:rFonts w:cs="Times New Roman"/>
          <w:color w:val="000000" w:themeColor="text1"/>
          <w:szCs w:val="24"/>
        </w:rPr>
        <w:t>false documents were</w:t>
      </w:r>
      <w:r w:rsidR="00061E8B">
        <w:rPr>
          <w:rFonts w:cs="Times New Roman"/>
          <w:color w:val="000000" w:themeColor="text1"/>
          <w:szCs w:val="24"/>
        </w:rPr>
        <w:t>)</w:t>
      </w:r>
      <w:r w:rsidR="00874FC3">
        <w:rPr>
          <w:rFonts w:cs="Times New Roman"/>
          <w:color w:val="000000" w:themeColor="text1"/>
          <w:szCs w:val="24"/>
        </w:rPr>
        <w:t xml:space="preserve"> intended to</w:t>
      </w:r>
      <w:r w:rsidR="003D16DE">
        <w:rPr>
          <w:rFonts w:cs="Times New Roman"/>
          <w:color w:val="000000" w:themeColor="text1"/>
          <w:szCs w:val="24"/>
        </w:rPr>
        <w:t xml:space="preserve"> stymie an investigation that was ongoing or contemplated</w:t>
      </w:r>
      <w:r>
        <w:rPr>
          <w:rFonts w:cs="Times New Roman"/>
          <w:color w:val="000000" w:themeColor="text1"/>
          <w:szCs w:val="24"/>
        </w:rPr>
        <w:t>.</w:t>
      </w:r>
      <w:r w:rsidR="003D16DE">
        <w:rPr>
          <w:rFonts w:cs="Times New Roman"/>
          <w:color w:val="000000" w:themeColor="text1"/>
          <w:szCs w:val="24"/>
        </w:rPr>
        <w:t xml:space="preserve"> </w:t>
      </w:r>
      <w:r w:rsidR="003D16DE">
        <w:rPr>
          <w:rFonts w:cs="Times New Roman"/>
          <w:i/>
          <w:iCs/>
          <w:color w:val="000000" w:themeColor="text1"/>
          <w:szCs w:val="24"/>
        </w:rPr>
        <w:t>Id.</w:t>
      </w:r>
      <w:r w:rsidR="003D16DE">
        <w:rPr>
          <w:rFonts w:cs="Times New Roman"/>
          <w:color w:val="000000" w:themeColor="text1"/>
          <w:szCs w:val="24"/>
        </w:rPr>
        <w:t xml:space="preserve"> at 109</w:t>
      </w:r>
      <w:r w:rsidR="004E6332">
        <w:rPr>
          <w:rFonts w:cs="Times New Roman"/>
          <w:color w:val="000000" w:themeColor="text1"/>
          <w:szCs w:val="24"/>
        </w:rPr>
        <w:t>2-93, 109</w:t>
      </w:r>
      <w:r w:rsidR="000E2D3F">
        <w:rPr>
          <w:rFonts w:cs="Times New Roman"/>
          <w:color w:val="000000" w:themeColor="text1"/>
          <w:szCs w:val="24"/>
        </w:rPr>
        <w:t>6</w:t>
      </w:r>
      <w:r w:rsidR="003D16DE">
        <w:rPr>
          <w:rFonts w:cs="Times New Roman"/>
          <w:color w:val="000000" w:themeColor="text1"/>
          <w:szCs w:val="24"/>
        </w:rPr>
        <w:t>.</w:t>
      </w:r>
    </w:p>
    <w:p w14:paraId="416F733F" w14:textId="1FF7624F" w:rsidR="008A3DAB" w:rsidRPr="00BC3503" w:rsidRDefault="00BC3503" w:rsidP="00BC3503">
      <w:pPr>
        <w:spacing w:before="240"/>
        <w:ind w:firstLine="720"/>
        <w:jc w:val="right"/>
        <w:rPr>
          <w:rFonts w:cs="Times New Roman"/>
          <w:i/>
          <w:iCs/>
          <w:color w:val="000000" w:themeColor="text1"/>
          <w:szCs w:val="24"/>
        </w:rPr>
      </w:pPr>
      <w:r w:rsidRPr="0066215E">
        <w:rPr>
          <w:rFonts w:cs="Times New Roman"/>
          <w:i/>
          <w:iCs/>
          <w:color w:val="000000" w:themeColor="text1"/>
          <w:szCs w:val="24"/>
        </w:rPr>
        <w:t xml:space="preserve">Revised </w:t>
      </w:r>
      <w:r>
        <w:rPr>
          <w:rFonts w:cs="Times New Roman"/>
          <w:i/>
          <w:iCs/>
          <w:color w:val="000000" w:themeColor="text1"/>
          <w:szCs w:val="24"/>
        </w:rPr>
        <w:t>March 202</w:t>
      </w:r>
      <w:r w:rsidR="00522C80">
        <w:rPr>
          <w:rFonts w:cs="Times New Roman"/>
          <w:i/>
          <w:iCs/>
          <w:color w:val="000000" w:themeColor="text1"/>
          <w:szCs w:val="24"/>
        </w:rPr>
        <w:t>5</w:t>
      </w:r>
    </w:p>
    <w:sectPr w:rsidR="008A3DAB" w:rsidRPr="00BC3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03"/>
    <w:rsid w:val="00061E8B"/>
    <w:rsid w:val="000E2D3F"/>
    <w:rsid w:val="00326F05"/>
    <w:rsid w:val="003D16DE"/>
    <w:rsid w:val="0048378F"/>
    <w:rsid w:val="004E6332"/>
    <w:rsid w:val="00522C80"/>
    <w:rsid w:val="0056524D"/>
    <w:rsid w:val="006E6439"/>
    <w:rsid w:val="00761004"/>
    <w:rsid w:val="00874FC3"/>
    <w:rsid w:val="008A3DAB"/>
    <w:rsid w:val="008D7A74"/>
    <w:rsid w:val="008F5711"/>
    <w:rsid w:val="00943B88"/>
    <w:rsid w:val="009A7077"/>
    <w:rsid w:val="00BC3503"/>
    <w:rsid w:val="00BE0F07"/>
    <w:rsid w:val="00C30645"/>
    <w:rsid w:val="00CE79D9"/>
    <w:rsid w:val="00D63435"/>
    <w:rsid w:val="00E00BD3"/>
    <w:rsid w:val="00E64FD0"/>
    <w:rsid w:val="00EC3E19"/>
    <w:rsid w:val="00F3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2E23"/>
  <w15:chartTrackingRefBased/>
  <w15:docId w15:val="{FD7228FA-7D86-4268-8923-A064AA5D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503"/>
    <w:pPr>
      <w:tabs>
        <w:tab w:val="left" w:pos="720"/>
      </w:tabs>
      <w:spacing w:after="0" w:line="240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503"/>
    <w:pPr>
      <w:keepNext/>
      <w:keepLines/>
      <w:tabs>
        <w:tab w:val="clear" w:pos="720"/>
      </w:tabs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503"/>
    <w:pPr>
      <w:keepNext/>
      <w:keepLines/>
      <w:tabs>
        <w:tab w:val="clear" w:pos="720"/>
      </w:tabs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503"/>
    <w:pPr>
      <w:keepNext/>
      <w:keepLines/>
      <w:tabs>
        <w:tab w:val="clear" w:pos="720"/>
      </w:tabs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503"/>
    <w:pPr>
      <w:keepNext/>
      <w:keepLines/>
      <w:tabs>
        <w:tab w:val="clear" w:pos="720"/>
      </w:tabs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503"/>
    <w:pPr>
      <w:keepNext/>
      <w:keepLines/>
      <w:tabs>
        <w:tab w:val="clear" w:pos="720"/>
      </w:tabs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503"/>
    <w:pPr>
      <w:keepNext/>
      <w:keepLines/>
      <w:tabs>
        <w:tab w:val="clear" w:pos="720"/>
      </w:tabs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503"/>
    <w:pPr>
      <w:keepNext/>
      <w:keepLines/>
      <w:tabs>
        <w:tab w:val="clear" w:pos="720"/>
      </w:tabs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503"/>
    <w:pPr>
      <w:keepNext/>
      <w:keepLines/>
      <w:tabs>
        <w:tab w:val="clear" w:pos="720"/>
      </w:tabs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503"/>
    <w:pPr>
      <w:keepNext/>
      <w:keepLines/>
      <w:tabs>
        <w:tab w:val="clear" w:pos="720"/>
      </w:tabs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C3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50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5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5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5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5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5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5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503"/>
    <w:pPr>
      <w:tabs>
        <w:tab w:val="clear" w:pos="720"/>
      </w:tabs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3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503"/>
    <w:pPr>
      <w:numPr>
        <w:ilvl w:val="1"/>
      </w:numPr>
      <w:tabs>
        <w:tab w:val="clear" w:pos="720"/>
      </w:tabs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350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503"/>
    <w:pPr>
      <w:tabs>
        <w:tab w:val="clear" w:pos="720"/>
      </w:tabs>
      <w:spacing w:before="160" w:after="160" w:line="259" w:lineRule="auto"/>
      <w:jc w:val="center"/>
    </w:pPr>
    <w:rPr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35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503"/>
    <w:pPr>
      <w:tabs>
        <w:tab w:val="clear" w:pos="720"/>
      </w:tabs>
      <w:spacing w:after="160" w:line="259" w:lineRule="auto"/>
      <w:ind w:left="720"/>
      <w:contextualSpacing/>
    </w:pPr>
    <w:rPr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35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720"/>
      </w:tabs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5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50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61004"/>
    <w:pPr>
      <w:spacing w:after="0" w:line="240" w:lineRule="auto"/>
    </w:pPr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2850</Characters>
  <Application>Microsoft Office Word</Application>
  <DocSecurity>0</DocSecurity>
  <Lines>23</Lines>
  <Paragraphs>6</Paragraphs>
  <ScaleCrop>false</ScaleCrop>
  <Company>United States Court of Appeals for the Ninth Circuit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Xu</dc:creator>
  <cp:keywords/>
  <dc:description/>
  <cp:lastModifiedBy>Samriddhi Rana</cp:lastModifiedBy>
  <cp:revision>3</cp:revision>
  <dcterms:created xsi:type="dcterms:W3CDTF">2025-02-15T00:18:00Z</dcterms:created>
  <dcterms:modified xsi:type="dcterms:W3CDTF">2025-04-17T20:15:00Z</dcterms:modified>
</cp:coreProperties>
</file>