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E3397" w14:textId="248E35C3" w:rsidR="00532B0F" w:rsidRPr="001573DF" w:rsidRDefault="00532B0F" w:rsidP="001573DF">
      <w:pPr>
        <w:pStyle w:val="Heading1"/>
      </w:pPr>
      <w:r w:rsidRPr="001573DF">
        <w:t>9.1</w:t>
      </w:r>
      <w:r w:rsidR="00170FD9">
        <w:t>2</w:t>
      </w:r>
      <w:r w:rsidRPr="001573DF">
        <w:t xml:space="preserve"> Particular Rights—First Amendment—Convicted Prisoner/Pretrial Detainee’s Claim of Retaliation</w:t>
      </w:r>
    </w:p>
    <w:p w14:paraId="308DE573" w14:textId="77777777" w:rsidR="00532B0F" w:rsidRPr="001573DF" w:rsidRDefault="00532B0F" w:rsidP="00532B0F">
      <w:pPr>
        <w:pStyle w:val="DoubleSpace"/>
        <w:spacing w:line="240" w:lineRule="auto"/>
        <w:jc w:val="left"/>
      </w:pPr>
    </w:p>
    <w:p w14:paraId="3E57D0E4" w14:textId="77777777" w:rsidR="006B3DD9" w:rsidRPr="00842D3D" w:rsidRDefault="006B3DD9" w:rsidP="006B3DD9">
      <w:pPr>
        <w:ind w:firstLine="720"/>
        <w:rPr>
          <w:rFonts w:eastAsia="Calibri" w:cs="Times New Roman"/>
          <w:szCs w:val="24"/>
        </w:rPr>
      </w:pPr>
      <w:bookmarkStart w:id="0" w:name="_Hlk203994051"/>
      <w:r w:rsidRPr="00842D3D">
        <w:rPr>
          <w:rFonts w:eastAsia="Calibri" w:cs="Times New Roman"/>
          <w:szCs w:val="24"/>
        </w:rPr>
        <w:t xml:space="preserve">As </w:t>
      </w:r>
      <w:r w:rsidRPr="00842D3D">
        <w:rPr>
          <w:rFonts w:eastAsia="Calibri" w:cs="Times New Roman"/>
        </w:rPr>
        <w:t>previously explained, the plaintiff</w:t>
      </w:r>
      <w:bookmarkStart w:id="1" w:name="_Hlk204165103"/>
      <w:r w:rsidRPr="00842D3D">
        <w:rPr>
          <w:rFonts w:eastAsia="Calibri" w:cs="Times New Roman"/>
        </w:rPr>
        <w:t xml:space="preserve">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bookmarkEnd w:id="1"/>
      <w:r w:rsidRPr="00842D3D">
        <w:rPr>
          <w:rFonts w:eastAsia="Calibri" w:cs="Times New Roman"/>
        </w:rPr>
        <w:t xml:space="preserve"> has the burden of proving that the [act[s]] [failure to act] of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deprived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of </w:t>
      </w:r>
      <w:proofErr w:type="gramStart"/>
      <w:r w:rsidRPr="00842D3D">
        <w:rPr>
          <w:rFonts w:eastAsia="Calibri" w:cs="Times New Roman"/>
        </w:rPr>
        <w:t>particular rights</w:t>
      </w:r>
      <w:proofErr w:type="gramEnd"/>
      <w:r w:rsidRPr="00842D3D">
        <w:rPr>
          <w:rFonts w:eastAsia="Calibri" w:cs="Times New Roman"/>
        </w:rPr>
        <w:t xml:space="preserve"> under the United States Constitution. In this case,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alleges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deprived [him]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 xml:space="preserve">of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rights under the First Amendment to the Constitution when [</w:t>
      </w:r>
      <w:r w:rsidRPr="00842D3D">
        <w:rPr>
          <w:rFonts w:eastAsia="Calibri" w:cs="Times New Roman"/>
          <w:i/>
          <w:iCs/>
          <w:u w:val="single"/>
        </w:rPr>
        <w:t>insert factual basis of the plaintiff’s claims</w:t>
      </w:r>
      <w:r w:rsidRPr="00842D3D">
        <w:rPr>
          <w:rFonts w:eastAsia="Calibri" w:cs="Times New Roman"/>
        </w:rPr>
        <w:t>].</w:t>
      </w:r>
    </w:p>
    <w:p w14:paraId="49F580D0" w14:textId="77777777" w:rsidR="006B3DD9" w:rsidRPr="00842D3D" w:rsidRDefault="006B3DD9" w:rsidP="006B3DD9">
      <w:pPr>
        <w:widowControl w:val="0"/>
        <w:ind w:firstLine="720"/>
        <w:rPr>
          <w:rFonts w:eastAsia="Calibri" w:cs="Times New Roman"/>
        </w:rPr>
      </w:pPr>
    </w:p>
    <w:p w14:paraId="6A5B7810" w14:textId="77777777" w:rsidR="006B3DD9" w:rsidRPr="00842D3D" w:rsidRDefault="006B3DD9" w:rsidP="006B3DD9">
      <w:pPr>
        <w:widowControl w:val="0"/>
        <w:rPr>
          <w:rFonts w:eastAsia="Calibri" w:cs="Times New Roman"/>
        </w:rPr>
      </w:pPr>
      <w:r w:rsidRPr="00842D3D">
        <w:rPr>
          <w:rFonts w:eastAsia="Calibri" w:cs="Times New Roman"/>
        </w:rPr>
        <w:tab/>
        <w:t>Under the First Amendment, a [prisoner] [pretrial detainee] has the right to access the courts and petition the government for redress of grievances. This includes the right to [file prison grievances] [pursue civil rights litigation against prison officials] [</w:t>
      </w:r>
      <w:r w:rsidRPr="00842D3D">
        <w:rPr>
          <w:rFonts w:eastAsia="Calibri" w:cs="Times New Roman"/>
          <w:i/>
          <w:iCs/>
          <w:u w:val="single"/>
        </w:rPr>
        <w:t xml:space="preserve">specify </w:t>
      </w:r>
      <w:proofErr w:type="gramStart"/>
      <w:r w:rsidRPr="00842D3D">
        <w:rPr>
          <w:rFonts w:eastAsia="Calibri" w:cs="Times New Roman"/>
          <w:i/>
          <w:iCs/>
          <w:u w:val="single"/>
        </w:rPr>
        <w:t>particular constitutional</w:t>
      </w:r>
      <w:proofErr w:type="gramEnd"/>
      <w:r w:rsidRPr="00842D3D">
        <w:rPr>
          <w:rFonts w:eastAsia="Calibri" w:cs="Times New Roman"/>
          <w:i/>
          <w:iCs/>
          <w:u w:val="single"/>
        </w:rPr>
        <w:t xml:space="preserve"> interest</w:t>
      </w:r>
      <w:r w:rsidRPr="00842D3D">
        <w:rPr>
          <w:rFonts w:eastAsia="Calibri" w:cs="Times New Roman"/>
        </w:rPr>
        <w:t>]. To establish the defendant deprived the plaintiff of this First Amendment right, the plaintiff must prove the following additional elements by a preponderance of the evidence:</w:t>
      </w:r>
    </w:p>
    <w:p w14:paraId="5219E91C" w14:textId="77777777" w:rsidR="006B3DD9" w:rsidRPr="00842D3D" w:rsidRDefault="006B3DD9" w:rsidP="006B3DD9">
      <w:pPr>
        <w:widowControl w:val="0"/>
        <w:rPr>
          <w:rFonts w:eastAsia="Calibri" w:cs="Times New Roman"/>
        </w:rPr>
      </w:pPr>
    </w:p>
    <w:p w14:paraId="4710B535" w14:textId="77777777" w:rsidR="006B3DD9" w:rsidRPr="00842D3D" w:rsidRDefault="006B3DD9" w:rsidP="006B3DD9">
      <w:pPr>
        <w:widowControl w:val="0"/>
        <w:ind w:firstLine="720"/>
        <w:rPr>
          <w:rFonts w:eastAsia="Calibri" w:cs="Times New Roman"/>
        </w:rPr>
      </w:pPr>
      <w:r w:rsidRPr="00842D3D">
        <w:rPr>
          <w:rFonts w:eastAsia="Calibri" w:cs="Times New Roman"/>
        </w:rPr>
        <w:t xml:space="preserve">First,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was engaged in conduct protected under the First </w:t>
      </w:r>
      <w:proofErr w:type="gramStart"/>
      <w:r w:rsidRPr="00842D3D">
        <w:rPr>
          <w:rFonts w:eastAsia="Calibri" w:cs="Times New Roman"/>
        </w:rPr>
        <w:t>Amendment;</w:t>
      </w:r>
      <w:proofErr w:type="gramEnd"/>
    </w:p>
    <w:p w14:paraId="67048A84" w14:textId="77777777" w:rsidR="006B3DD9" w:rsidRPr="00842D3D" w:rsidRDefault="006B3DD9" w:rsidP="006B3DD9">
      <w:pPr>
        <w:widowControl w:val="0"/>
        <w:ind w:firstLine="720"/>
        <w:rPr>
          <w:rFonts w:eastAsia="Calibri" w:cs="Times New Roman"/>
        </w:rPr>
      </w:pPr>
    </w:p>
    <w:p w14:paraId="3442E91C" w14:textId="77777777" w:rsidR="006B3DD9" w:rsidRPr="00842D3D" w:rsidRDefault="006B3DD9" w:rsidP="006B3DD9">
      <w:pPr>
        <w:widowControl w:val="0"/>
        <w:ind w:firstLine="720"/>
        <w:rPr>
          <w:rFonts w:eastAsia="Calibri" w:cs="Times New Roman"/>
        </w:rPr>
      </w:pPr>
      <w:r w:rsidRPr="00842D3D">
        <w:rPr>
          <w:rFonts w:eastAsia="Calibri" w:cs="Times New Roman"/>
        </w:rPr>
        <w:t xml:space="preserve">Second,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took adverse action against the plaintiff </w:t>
      </w:r>
      <w:r w:rsidRPr="00842D3D">
        <w:rPr>
          <w:rFonts w:eastAsia="Calibri" w:cs="Times New Roman"/>
          <w:szCs w:val="24"/>
        </w:rPr>
        <w:t>[</w:t>
      </w:r>
      <w:r w:rsidRPr="00842D3D">
        <w:rPr>
          <w:rFonts w:eastAsia="Calibri" w:cs="Times New Roman"/>
          <w:i/>
          <w:iCs/>
          <w:szCs w:val="24"/>
          <w:u w:val="single"/>
        </w:rPr>
        <w:t>name</w:t>
      </w:r>
      <w:proofErr w:type="gramStart"/>
      <w:r w:rsidRPr="00842D3D">
        <w:rPr>
          <w:rFonts w:eastAsia="Calibri" w:cs="Times New Roman"/>
          <w:szCs w:val="24"/>
        </w:rPr>
        <w:t>]</w:t>
      </w:r>
      <w:r w:rsidRPr="00842D3D">
        <w:rPr>
          <w:rFonts w:eastAsia="Calibri" w:cs="Times New Roman"/>
        </w:rPr>
        <w:t>;</w:t>
      </w:r>
      <w:proofErr w:type="gramEnd"/>
    </w:p>
    <w:p w14:paraId="05F59404" w14:textId="77777777" w:rsidR="006B3DD9" w:rsidRPr="00842D3D" w:rsidRDefault="006B3DD9" w:rsidP="006B3DD9">
      <w:pPr>
        <w:widowControl w:val="0"/>
        <w:ind w:firstLine="720"/>
        <w:rPr>
          <w:rFonts w:eastAsia="Calibri" w:cs="Times New Roman"/>
        </w:rPr>
      </w:pPr>
    </w:p>
    <w:p w14:paraId="393C23D0" w14:textId="77777777" w:rsidR="006B3DD9" w:rsidRPr="00842D3D" w:rsidRDefault="006B3DD9" w:rsidP="006B3DD9">
      <w:pPr>
        <w:widowControl w:val="0"/>
        <w:ind w:firstLine="720"/>
        <w:rPr>
          <w:rFonts w:eastAsia="Calibri" w:cs="Times New Roman"/>
        </w:rPr>
      </w:pPr>
      <w:r w:rsidRPr="00842D3D">
        <w:rPr>
          <w:rFonts w:eastAsia="Calibri" w:cs="Times New Roman"/>
        </w:rPr>
        <w:t xml:space="preserve">Third,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took adverse action against the plaintiff because of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’s protected </w:t>
      </w:r>
      <w:proofErr w:type="gramStart"/>
      <w:r w:rsidRPr="00842D3D">
        <w:rPr>
          <w:rFonts w:eastAsia="Calibri" w:cs="Times New Roman"/>
        </w:rPr>
        <w:t>conduct;</w:t>
      </w:r>
      <w:proofErr w:type="gramEnd"/>
    </w:p>
    <w:p w14:paraId="5336AB8B" w14:textId="77777777" w:rsidR="006B3DD9" w:rsidRPr="00842D3D" w:rsidRDefault="006B3DD9" w:rsidP="006B3DD9">
      <w:pPr>
        <w:widowControl w:val="0"/>
        <w:ind w:firstLine="720"/>
        <w:rPr>
          <w:rFonts w:eastAsia="Calibri" w:cs="Times New Roman"/>
        </w:rPr>
      </w:pPr>
    </w:p>
    <w:p w14:paraId="735FCA2F" w14:textId="77777777" w:rsidR="006B3DD9" w:rsidRPr="00842D3D" w:rsidRDefault="006B3DD9" w:rsidP="006B3DD9">
      <w:pPr>
        <w:widowControl w:val="0"/>
        <w:ind w:firstLine="720"/>
        <w:rPr>
          <w:rFonts w:eastAsia="Calibri" w:cs="Times New Roman"/>
        </w:rPr>
      </w:pPr>
      <w:r w:rsidRPr="00842D3D">
        <w:rPr>
          <w:rFonts w:eastAsia="Calibri" w:cs="Times New Roman"/>
        </w:rPr>
        <w:t xml:space="preserve">Fourth, the adverse action taken by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chilled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’s exercise of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First Amendment rights; and</w:t>
      </w:r>
    </w:p>
    <w:p w14:paraId="3CDC7359" w14:textId="77777777" w:rsidR="006B3DD9" w:rsidRPr="00842D3D" w:rsidRDefault="006B3DD9" w:rsidP="006B3DD9">
      <w:pPr>
        <w:widowControl w:val="0"/>
        <w:ind w:firstLine="720"/>
        <w:rPr>
          <w:rFonts w:eastAsia="Calibri" w:cs="Times New Roman"/>
        </w:rPr>
      </w:pPr>
    </w:p>
    <w:p w14:paraId="7041E3FD" w14:textId="77777777" w:rsidR="006B3DD9" w:rsidRPr="00842D3D" w:rsidRDefault="006B3DD9" w:rsidP="006B3DD9">
      <w:pPr>
        <w:widowControl w:val="0"/>
        <w:ind w:firstLine="720"/>
        <w:rPr>
          <w:rFonts w:eastAsia="Calibri" w:cs="Times New Roman"/>
        </w:rPr>
      </w:pPr>
      <w:r w:rsidRPr="00842D3D">
        <w:rPr>
          <w:rFonts w:eastAsia="Calibri" w:cs="Times New Roman"/>
        </w:rPr>
        <w:t xml:space="preserve">Fifth, the action taken by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did not reasonably advance a legitimate correctional goal.</w:t>
      </w:r>
    </w:p>
    <w:p w14:paraId="2AD445C4" w14:textId="77777777" w:rsidR="006B3DD9" w:rsidRPr="00842D3D" w:rsidRDefault="006B3DD9" w:rsidP="006B3DD9">
      <w:pPr>
        <w:widowControl w:val="0"/>
        <w:rPr>
          <w:rFonts w:eastAsia="Calibri" w:cs="Times New Roman"/>
        </w:rPr>
      </w:pPr>
    </w:p>
    <w:p w14:paraId="2C853690" w14:textId="77777777" w:rsidR="006B3DD9" w:rsidRPr="00842D3D" w:rsidRDefault="006B3DD9" w:rsidP="006B3DD9">
      <w:pPr>
        <w:widowControl w:val="0"/>
        <w:ind w:firstLine="720"/>
        <w:rPr>
          <w:rFonts w:eastAsia="Calibri" w:cs="Times New Roman"/>
        </w:rPr>
      </w:pPr>
      <w:r w:rsidRPr="00842D3D">
        <w:rPr>
          <w:rFonts w:eastAsia="Calibri" w:cs="Times New Roman"/>
        </w:rPr>
        <w:t>For this type of claim, adverse action is action that would chill or silence a person of ordinary firmness from engaging in that activity.</w:t>
      </w:r>
    </w:p>
    <w:p w14:paraId="0D8AFB4C" w14:textId="77777777" w:rsidR="006B3DD9" w:rsidRPr="00842D3D" w:rsidRDefault="006B3DD9" w:rsidP="006B3DD9">
      <w:pPr>
        <w:widowControl w:val="0"/>
        <w:ind w:firstLine="720"/>
        <w:rPr>
          <w:rFonts w:eastAsia="Calibri" w:cs="Times New Roman"/>
        </w:rPr>
      </w:pPr>
    </w:p>
    <w:p w14:paraId="27D742F1" w14:textId="77777777" w:rsidR="006B3DD9" w:rsidRPr="00842D3D" w:rsidRDefault="006B3DD9" w:rsidP="006B3DD9">
      <w:pPr>
        <w:widowControl w:val="0"/>
        <w:ind w:firstLine="720"/>
        <w:rPr>
          <w:rFonts w:eastAsia="Calibri" w:cs="Times New Roman"/>
        </w:rPr>
      </w:pPr>
      <w:r w:rsidRPr="00842D3D">
        <w:rPr>
          <w:rFonts w:eastAsia="Calibri" w:cs="Times New Roman"/>
        </w:rPr>
        <w:t xml:space="preserve">To prevail,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 must show that [his] [her] </w:t>
      </w:r>
      <w:r w:rsidRPr="00842D3D">
        <w:rPr>
          <w:rFonts w:eastAsia="Calibri" w:cs="Times New Roman"/>
          <w:szCs w:val="24"/>
        </w:rPr>
        <w:t>[</w:t>
      </w:r>
      <w:r w:rsidRPr="00842D3D">
        <w:rPr>
          <w:rFonts w:eastAsia="Calibri" w:cs="Times New Roman"/>
          <w:i/>
          <w:iCs/>
          <w:szCs w:val="24"/>
          <w:u w:val="single"/>
        </w:rPr>
        <w:t>other pronoun</w:t>
      </w:r>
      <w:r w:rsidRPr="00842D3D">
        <w:rPr>
          <w:rFonts w:eastAsia="Calibri" w:cs="Times New Roman"/>
          <w:szCs w:val="24"/>
        </w:rPr>
        <w:t xml:space="preserve">] </w:t>
      </w:r>
      <w:r w:rsidRPr="00842D3D">
        <w:rPr>
          <w:rFonts w:eastAsia="Calibri" w:cs="Times New Roman"/>
        </w:rPr>
        <w:t xml:space="preserve">protected conduct was the substantial or motivating factor behind the defendant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 xml:space="preserve">’s conduct. A substantial or motivating factor is a significant factor. [The chronology of events may be considered as circumstantial evidence of a causal connection between the adverse action and the plaintiff </w:t>
      </w:r>
      <w:r w:rsidRPr="00842D3D">
        <w:rPr>
          <w:rFonts w:eastAsia="Calibri" w:cs="Times New Roman"/>
          <w:szCs w:val="24"/>
        </w:rPr>
        <w:t>[</w:t>
      </w:r>
      <w:r w:rsidRPr="00842D3D">
        <w:rPr>
          <w:rFonts w:eastAsia="Calibri" w:cs="Times New Roman"/>
          <w:i/>
          <w:iCs/>
          <w:szCs w:val="24"/>
          <w:u w:val="single"/>
        </w:rPr>
        <w:t>name</w:t>
      </w:r>
      <w:r w:rsidRPr="00842D3D">
        <w:rPr>
          <w:rFonts w:eastAsia="Calibri" w:cs="Times New Roman"/>
          <w:szCs w:val="24"/>
        </w:rPr>
        <w:t>]</w:t>
      </w:r>
      <w:r w:rsidRPr="00842D3D">
        <w:rPr>
          <w:rFonts w:eastAsia="Calibri" w:cs="Times New Roman"/>
        </w:rPr>
        <w:t>’s protected conduct.]</w:t>
      </w:r>
    </w:p>
    <w:p w14:paraId="082FD119" w14:textId="77777777" w:rsidR="006B3DD9" w:rsidRPr="00842D3D" w:rsidRDefault="006B3DD9" w:rsidP="006B3DD9">
      <w:pPr>
        <w:widowControl w:val="0"/>
        <w:rPr>
          <w:rFonts w:eastAsia="Calibri" w:cs="Times New Roman"/>
        </w:rPr>
      </w:pPr>
    </w:p>
    <w:p w14:paraId="2D7572BE" w14:textId="77777777" w:rsidR="006B3DD9" w:rsidRPr="00842D3D" w:rsidRDefault="006B3DD9" w:rsidP="006B3DD9">
      <w:pPr>
        <w:autoSpaceDE w:val="0"/>
        <w:autoSpaceDN w:val="0"/>
        <w:adjustRightInd w:val="0"/>
        <w:jc w:val="center"/>
        <w:rPr>
          <w:rFonts w:eastAsia="Calibri" w:cs="Times New Roman"/>
          <w:b/>
          <w:bCs/>
          <w:szCs w:val="24"/>
        </w:rPr>
      </w:pPr>
      <w:r w:rsidRPr="00842D3D">
        <w:rPr>
          <w:rFonts w:eastAsia="Calibri" w:cs="Times New Roman"/>
          <w:b/>
          <w:bCs/>
          <w:szCs w:val="24"/>
        </w:rPr>
        <w:t>Comment</w:t>
      </w:r>
    </w:p>
    <w:p w14:paraId="0DBFA184" w14:textId="77777777" w:rsidR="006B3DD9" w:rsidRPr="00842D3D" w:rsidRDefault="006B3DD9" w:rsidP="006B3DD9">
      <w:pPr>
        <w:autoSpaceDE w:val="0"/>
        <w:autoSpaceDN w:val="0"/>
        <w:adjustRightInd w:val="0"/>
        <w:rPr>
          <w:rFonts w:eastAsia="Calibri" w:cs="Times New Roman"/>
          <w:b/>
          <w:bCs/>
          <w:szCs w:val="24"/>
        </w:rPr>
      </w:pPr>
    </w:p>
    <w:p w14:paraId="0BA40B2A" w14:textId="77777777" w:rsidR="006B3DD9" w:rsidRPr="00842D3D" w:rsidRDefault="006B3DD9" w:rsidP="006B3DD9">
      <w:pPr>
        <w:rPr>
          <w:rFonts w:eastAsia="Calibri" w:cs="Times New Roman"/>
          <w:szCs w:val="24"/>
        </w:rPr>
      </w:pPr>
      <w:r w:rsidRPr="00842D3D">
        <w:rPr>
          <w:rFonts w:eastAsia="Calibri" w:cs="Times New Roman"/>
          <w:szCs w:val="24"/>
        </w:rPr>
        <w:tab/>
        <w:t xml:space="preserve">Use this instruction only in conjunction with the applicable </w:t>
      </w:r>
      <w:proofErr w:type="gramStart"/>
      <w:r w:rsidRPr="00842D3D">
        <w:rPr>
          <w:rFonts w:eastAsia="Calibri" w:cs="Times New Roman"/>
          <w:szCs w:val="24"/>
        </w:rPr>
        <w:t>elements</w:t>
      </w:r>
      <w:proofErr w:type="gramEnd"/>
      <w:r w:rsidRPr="00842D3D">
        <w:rPr>
          <w:rFonts w:eastAsia="Calibri" w:cs="Times New Roman"/>
          <w:szCs w:val="24"/>
        </w:rPr>
        <w:t xml:space="preserve"> instructions, Instructions 9.3-9.8, and when the plaintiff is a convicted prisoner or a pretrial detainee.</w:t>
      </w:r>
    </w:p>
    <w:p w14:paraId="2F4D054D" w14:textId="77777777" w:rsidR="006B3DD9" w:rsidRPr="00842D3D" w:rsidRDefault="006B3DD9" w:rsidP="006B3DD9">
      <w:pPr>
        <w:rPr>
          <w:rFonts w:eastAsia="Calibri" w:cs="Times New Roman"/>
          <w:szCs w:val="24"/>
        </w:rPr>
      </w:pPr>
    </w:p>
    <w:p w14:paraId="38D139E8" w14:textId="77777777" w:rsidR="006B3DD9" w:rsidRPr="00842D3D" w:rsidRDefault="006B3DD9" w:rsidP="006B3DD9">
      <w:pPr>
        <w:widowControl w:val="0"/>
        <w:ind w:firstLine="720"/>
        <w:rPr>
          <w:rFonts w:eastAsia="Calibri" w:cs="Times New Roman"/>
        </w:rPr>
      </w:pPr>
      <w:r w:rsidRPr="00842D3D">
        <w:rPr>
          <w:rFonts w:eastAsia="Calibri" w:cs="Times New Roman"/>
        </w:rPr>
        <w:t xml:space="preserve">Allegations of retaliation against a prisoner’s First Amendment rights to speech or to petition the government may support a section 1983 claim. </w:t>
      </w:r>
      <w:r w:rsidRPr="00842D3D">
        <w:rPr>
          <w:rFonts w:eastAsia="Calibri" w:cs="Times New Roman"/>
          <w:i/>
          <w:iCs/>
        </w:rPr>
        <w:t>Pratt v. Rowland</w:t>
      </w:r>
      <w:r w:rsidRPr="00842D3D">
        <w:rPr>
          <w:rFonts w:eastAsia="Calibri" w:cs="Times New Roman"/>
        </w:rPr>
        <w:t xml:space="preserve">, 65 F.3d 802, 807 (9th Cir. 1995); </w:t>
      </w:r>
      <w:r w:rsidRPr="00842D3D">
        <w:rPr>
          <w:rFonts w:eastAsia="Calibri" w:cs="Times New Roman"/>
          <w:i/>
          <w:iCs/>
        </w:rPr>
        <w:t>Valandingham v. Bojorquez</w:t>
      </w:r>
      <w:r w:rsidRPr="00842D3D">
        <w:rPr>
          <w:rFonts w:eastAsia="Calibri" w:cs="Times New Roman"/>
        </w:rPr>
        <w:t xml:space="preserve">, 866 F.2d 1135, 1138 (9th Cir. 1989) (holding that </w:t>
      </w:r>
      <w:r w:rsidRPr="00842D3D">
        <w:rPr>
          <w:rFonts w:eastAsia="Calibri" w:cs="Times New Roman"/>
        </w:rPr>
        <w:lastRenderedPageBreak/>
        <w:t xml:space="preserve">labeling a prisoner a snitch in retaliation for petitioning prison and government officials for redress of grievances states a viable claim); </w:t>
      </w:r>
      <w:r w:rsidRPr="00842D3D">
        <w:rPr>
          <w:rFonts w:eastAsia="Calibri" w:cs="Times New Roman"/>
          <w:i/>
          <w:iCs/>
        </w:rPr>
        <w:t>Rizzo v. Dawson</w:t>
      </w:r>
      <w:r w:rsidRPr="00842D3D">
        <w:rPr>
          <w:rFonts w:eastAsia="Calibri" w:cs="Times New Roman"/>
        </w:rPr>
        <w:t xml:space="preserve">, 778 F.2d 527, 532 (9th Cir. 1985) (holding that prison officials could not transfer an inmate to another prison in retaliation for the inmate’s exercise of his First Amendment right). “Within the prison context, a viable claim of First Amendment retaliation entails five basic elements: (1) An assertion that a state actor took some adverse action against an inmate (2) because of (3) that prisoner’s protected conduct, and that such action (4) chilled the inmate’s exercise of his First Amendment rights, and (5) the action did not reasonably advance a legitimate correctional goal.” </w:t>
      </w:r>
      <w:r w:rsidRPr="00842D3D">
        <w:rPr>
          <w:rFonts w:eastAsia="Calibri" w:cs="Times New Roman"/>
          <w:i/>
          <w:iCs/>
        </w:rPr>
        <w:t>Rhodes v. Robinson</w:t>
      </w:r>
      <w:r w:rsidRPr="00842D3D">
        <w:rPr>
          <w:rFonts w:eastAsia="Calibri" w:cs="Times New Roman"/>
        </w:rPr>
        <w:t xml:space="preserve">, 408 F.3d 559, 567-68 (9th Cir. 2005); </w:t>
      </w:r>
      <w:r w:rsidRPr="00842D3D">
        <w:rPr>
          <w:rFonts w:eastAsia="Calibri" w:cs="Times New Roman"/>
          <w:i/>
          <w:iCs/>
        </w:rPr>
        <w:t xml:space="preserve">accord </w:t>
      </w:r>
      <w:r w:rsidRPr="00842D3D">
        <w:rPr>
          <w:rFonts w:eastAsia="Calibri" w:cs="Times New Roman"/>
          <w:i/>
          <w:lang w:val="en-CA"/>
        </w:rPr>
        <w:t>Bird v. Dzurenda</w:t>
      </w:r>
      <w:r w:rsidRPr="00842D3D">
        <w:rPr>
          <w:rFonts w:eastAsia="Calibri" w:cs="Times New Roman"/>
          <w:iCs/>
        </w:rPr>
        <w:t>,</w:t>
      </w:r>
      <w:r w:rsidRPr="00842D3D">
        <w:rPr>
          <w:rFonts w:eastAsia="Calibri" w:cs="Times New Roman"/>
        </w:rPr>
        <w:t xml:space="preserve"> 131 F.4th 787, 790 (9th Cir. 2025) (identifying same elements).</w:t>
      </w:r>
    </w:p>
    <w:p w14:paraId="4DA75871" w14:textId="77777777" w:rsidR="006B3DD9" w:rsidRPr="00842D3D" w:rsidRDefault="006B3DD9" w:rsidP="006B3DD9">
      <w:pPr>
        <w:widowControl w:val="0"/>
        <w:ind w:firstLine="720"/>
        <w:rPr>
          <w:rFonts w:eastAsia="Calibri" w:cs="Times New Roman"/>
        </w:rPr>
      </w:pPr>
    </w:p>
    <w:p w14:paraId="27F8B4C1" w14:textId="77777777" w:rsidR="006B3DD9" w:rsidRPr="00842D3D" w:rsidRDefault="006B3DD9" w:rsidP="006B3DD9">
      <w:pPr>
        <w:widowControl w:val="0"/>
        <w:ind w:firstLine="720"/>
        <w:rPr>
          <w:rFonts w:eastAsia="Calibri" w:cs="Times New Roman"/>
        </w:rPr>
      </w:pPr>
      <w:r w:rsidRPr="00842D3D">
        <w:rPr>
          <w:rFonts w:eastAsia="Calibri" w:cs="Times New Roman"/>
        </w:rPr>
        <w:t xml:space="preserve">The filing of grievances and the pursuit of civil rights litigation against prison officials are both protected activities. </w:t>
      </w:r>
      <w:r w:rsidRPr="00842D3D">
        <w:rPr>
          <w:rFonts w:eastAsia="Calibri" w:cs="Times New Roman"/>
          <w:i/>
          <w:iCs/>
        </w:rPr>
        <w:t>Rhodes</w:t>
      </w:r>
      <w:r w:rsidRPr="00842D3D">
        <w:rPr>
          <w:rFonts w:eastAsia="Calibri" w:cs="Times New Roman"/>
        </w:rPr>
        <w:t xml:space="preserve">, 408 F.3d at 567-68; </w:t>
      </w:r>
      <w:r w:rsidRPr="00842D3D">
        <w:rPr>
          <w:rFonts w:eastAsia="Calibri" w:cs="Times New Roman"/>
          <w:i/>
          <w:iCs/>
        </w:rPr>
        <w:t>see also Blaisdell v. Frappiea</w:t>
      </w:r>
      <w:r w:rsidRPr="00842D3D">
        <w:rPr>
          <w:rFonts w:eastAsia="Calibri" w:cs="Times New Roman"/>
        </w:rPr>
        <w:t xml:space="preserve">, 729 F.3d 1237, 1243 (9th Cir. 2013) (“Prisoners have the right to litigate without active interference, a guarantee that exists so prisoners have a viable mechanism to remedy prison injustices.”) (internal quotation marks, brackets, and citation omitted). However, the Ninth Circuit has not recognized a prisoner’s filing of a grievance against another prisoner as a protected activity. </w:t>
      </w:r>
      <w:r w:rsidRPr="00842D3D">
        <w:rPr>
          <w:rFonts w:eastAsia="Calibri" w:cs="Times New Roman"/>
          <w:i/>
        </w:rPr>
        <w:t xml:space="preserve">See </w:t>
      </w:r>
      <w:r w:rsidRPr="00842D3D">
        <w:rPr>
          <w:rFonts w:eastAsia="Calibri" w:cs="Times New Roman"/>
          <w:i/>
          <w:lang w:val="en-CA"/>
        </w:rPr>
        <w:t>Bird</w:t>
      </w:r>
      <w:r w:rsidRPr="00842D3D">
        <w:rPr>
          <w:rFonts w:eastAsia="Calibri" w:cs="Times New Roman"/>
          <w:iCs/>
        </w:rPr>
        <w:t xml:space="preserve">, </w:t>
      </w:r>
      <w:r w:rsidRPr="00842D3D">
        <w:rPr>
          <w:rFonts w:eastAsia="Calibri" w:cs="Times New Roman"/>
        </w:rPr>
        <w:t>131 F.4th at 791-92 (concluding that “neither the Supreme Court nor the Ninth Circuit has ever held that retaliation for complaints against other prisoners violates the First Amendment right to petition for redress of grievances” and thus that such a claim did not rest on a violation of “clearly established law” for purposes of the defendants’ qualified immunity defense).</w:t>
      </w:r>
    </w:p>
    <w:p w14:paraId="0B3B1174" w14:textId="77777777" w:rsidR="006B3DD9" w:rsidRPr="00842D3D" w:rsidRDefault="006B3DD9" w:rsidP="006B3DD9">
      <w:pPr>
        <w:widowControl w:val="0"/>
        <w:ind w:firstLine="720"/>
        <w:rPr>
          <w:rFonts w:eastAsia="Calibri" w:cs="Times New Roman"/>
        </w:rPr>
      </w:pPr>
    </w:p>
    <w:p w14:paraId="74195199" w14:textId="77777777" w:rsidR="006B3DD9" w:rsidRPr="00842D3D" w:rsidRDefault="006B3DD9" w:rsidP="006B3DD9">
      <w:pPr>
        <w:widowControl w:val="0"/>
        <w:ind w:firstLine="720"/>
        <w:rPr>
          <w:rFonts w:eastAsia="Calibri" w:cs="Times New Roman"/>
        </w:rPr>
      </w:pPr>
      <w:r w:rsidRPr="00842D3D">
        <w:rPr>
          <w:rFonts w:eastAsia="Calibri" w:cs="Times New Roman"/>
        </w:rPr>
        <w:t xml:space="preserve">Adverse action taken against a prisoner “need not be an independent constitutional violation. The mere threat of harm can be an adverse action.” </w:t>
      </w:r>
      <w:r w:rsidRPr="00842D3D">
        <w:rPr>
          <w:rFonts w:eastAsia="Calibri" w:cs="Times New Roman"/>
          <w:i/>
          <w:iCs/>
        </w:rPr>
        <w:t>Watison v. Carter</w:t>
      </w:r>
      <w:r w:rsidRPr="00842D3D">
        <w:rPr>
          <w:rFonts w:eastAsia="Calibri" w:cs="Times New Roman"/>
        </w:rPr>
        <w:t xml:space="preserve">, 668 F.3d 1108, 1114 (9th Cir. 2012) (internal brackets and citations omitted). Adverse actions include threats of discipline, transfer, or harm and do not need to be an independent constitutional violation. </w:t>
      </w:r>
      <w:r w:rsidRPr="00842D3D">
        <w:rPr>
          <w:rFonts w:eastAsia="Calibri" w:cs="Times New Roman"/>
          <w:i/>
          <w:iCs/>
        </w:rPr>
        <w:t>Brodheim v. Cry</w:t>
      </w:r>
      <w:r w:rsidRPr="00842D3D">
        <w:rPr>
          <w:rFonts w:eastAsia="Calibri" w:cs="Times New Roman"/>
        </w:rPr>
        <w:t xml:space="preserve">, 584 F.3d 1262, 1269-70 (9th Cir. 2009) (holding that an inmate may prevail on a First Amendment claim against an officer where the officer threatens to transfer the inmate in retaliation for persistent use of the prison grievance system); </w:t>
      </w:r>
      <w:r w:rsidRPr="00842D3D">
        <w:rPr>
          <w:rFonts w:eastAsia="Calibri" w:cs="Times New Roman"/>
          <w:i/>
          <w:iCs/>
        </w:rPr>
        <w:t>see Austin v. Terhune</w:t>
      </w:r>
      <w:r w:rsidRPr="00842D3D">
        <w:rPr>
          <w:rFonts w:eastAsia="Calibri" w:cs="Times New Roman"/>
        </w:rPr>
        <w:t>, 367 F.3d 1167, 1171 (9th Cir. 2004) (stating that a false accusation may constitute retaliation where deprivation of a benefit “was the natural and proximate result of” the false accusation and one can infer based on the facts alleged that the accuser “intended that result”).</w:t>
      </w:r>
    </w:p>
    <w:p w14:paraId="0A5C5F35" w14:textId="77777777" w:rsidR="006B3DD9" w:rsidRPr="00842D3D" w:rsidRDefault="006B3DD9" w:rsidP="006B3DD9">
      <w:pPr>
        <w:ind w:firstLine="720"/>
        <w:rPr>
          <w:rFonts w:eastAsia="Calibri" w:cs="Times New Roman"/>
        </w:rPr>
      </w:pPr>
    </w:p>
    <w:p w14:paraId="14BD3B37" w14:textId="77777777" w:rsidR="006B3DD9" w:rsidRPr="00842D3D" w:rsidRDefault="006B3DD9" w:rsidP="006B3DD9">
      <w:pPr>
        <w:ind w:firstLine="720"/>
        <w:rPr>
          <w:rFonts w:eastAsia="Calibri" w:cs="Times New Roman"/>
        </w:rPr>
      </w:pPr>
      <w:r w:rsidRPr="00842D3D">
        <w:rPr>
          <w:rFonts w:eastAsia="Calibri" w:cs="Times New Roman"/>
        </w:rPr>
        <w:t xml:space="preserve">To establish a retaliatory motive, an inmate “must show that his protected conduct was the substantial or motivating factor behind the defendant’s conduct.” </w:t>
      </w:r>
      <w:r w:rsidRPr="00842D3D">
        <w:rPr>
          <w:rFonts w:eastAsia="Calibri" w:cs="Times New Roman"/>
          <w:i/>
          <w:iCs/>
        </w:rPr>
        <w:t>Johnson v. Ryan</w:t>
      </w:r>
      <w:r w:rsidRPr="00842D3D">
        <w:rPr>
          <w:rFonts w:eastAsia="Calibri" w:cs="Times New Roman"/>
        </w:rPr>
        <w:t>, 55 F.4th 1167, 1201-02 (9th Cir. 2022) (citing</w:t>
      </w:r>
      <w:r w:rsidRPr="00842D3D">
        <w:rPr>
          <w:rFonts w:eastAsia="Calibri" w:cs="Times New Roman"/>
          <w:i/>
          <w:iCs/>
        </w:rPr>
        <w:t xml:space="preserve"> Brodheim</w:t>
      </w:r>
      <w:r w:rsidRPr="00842D3D">
        <w:rPr>
          <w:rFonts w:eastAsia="Calibri" w:cs="Times New Roman"/>
        </w:rPr>
        <w:t xml:space="preserve">, 584 F.3d at 1271). A plaintiff may offer “either direct evidence of retaliatory motive or at least one of three general types of circumstantial evidence [of that motive].” </w:t>
      </w:r>
      <w:r w:rsidRPr="00842D3D">
        <w:rPr>
          <w:rFonts w:eastAsia="Calibri" w:cs="Times New Roman"/>
          <w:i/>
          <w:iCs/>
        </w:rPr>
        <w:t>McCollum v. Cal. Dep’t of Corr. &amp; Rehab.</w:t>
      </w:r>
      <w:r w:rsidRPr="00842D3D">
        <w:rPr>
          <w:rFonts w:eastAsia="Calibri" w:cs="Times New Roman"/>
        </w:rPr>
        <w:t xml:space="preserve">, 647 F.3d 870, 882 (9th Cir. 2011) (quoting </w:t>
      </w:r>
      <w:r w:rsidRPr="00842D3D">
        <w:rPr>
          <w:rFonts w:eastAsia="Calibri" w:cs="Times New Roman"/>
          <w:i/>
          <w:iCs/>
        </w:rPr>
        <w:t>Allen v. Iranon</w:t>
      </w:r>
      <w:r w:rsidRPr="00842D3D">
        <w:rPr>
          <w:rFonts w:eastAsia="Calibri" w:cs="Times New Roman"/>
        </w:rPr>
        <w:t xml:space="preserve">, 283 F.3d 1070, 1077 (9th Cir. 2002)). Circumstantial evidence of motive includes: (1) proximity in time between the protected conduct and the alleged retaliation, (2) the defendant’s expressed opposition to the conduct, or (3) other evidence that the reasons proffered by the defendant for the adverse action were false and pretextual. </w:t>
      </w:r>
      <w:r w:rsidRPr="00842D3D">
        <w:rPr>
          <w:rFonts w:eastAsia="Calibri" w:cs="Times New Roman"/>
          <w:i/>
          <w:iCs/>
        </w:rPr>
        <w:t>McCollum</w:t>
      </w:r>
      <w:r w:rsidRPr="00842D3D">
        <w:rPr>
          <w:rFonts w:eastAsia="Calibri" w:cs="Times New Roman"/>
        </w:rPr>
        <w:t xml:space="preserve">, 647 F.3d at 882 (citing </w:t>
      </w:r>
      <w:r w:rsidRPr="00842D3D">
        <w:rPr>
          <w:rFonts w:eastAsia="Calibri" w:cs="Times New Roman"/>
          <w:i/>
          <w:iCs/>
        </w:rPr>
        <w:t>Allen</w:t>
      </w:r>
      <w:r w:rsidRPr="00842D3D">
        <w:rPr>
          <w:rFonts w:eastAsia="Calibri" w:cs="Times New Roman"/>
        </w:rPr>
        <w:t xml:space="preserve">, 283 F.3d at 1077). A causal connection between </w:t>
      </w:r>
      <w:proofErr w:type="gramStart"/>
      <w:r w:rsidRPr="00842D3D">
        <w:rPr>
          <w:rFonts w:eastAsia="Calibri" w:cs="Times New Roman"/>
        </w:rPr>
        <w:t>the adverse</w:t>
      </w:r>
      <w:proofErr w:type="gramEnd"/>
      <w:r w:rsidRPr="00842D3D">
        <w:rPr>
          <w:rFonts w:eastAsia="Calibri" w:cs="Times New Roman"/>
        </w:rPr>
        <w:t xml:space="preserve"> action and the protected conduct can be shown by a chronology of events from which retaliation can be inferred. </w:t>
      </w:r>
      <w:r w:rsidRPr="00842D3D">
        <w:rPr>
          <w:rFonts w:eastAsia="Calibri" w:cs="Times New Roman"/>
          <w:i/>
          <w:iCs/>
        </w:rPr>
        <w:t>Watison</w:t>
      </w:r>
      <w:r w:rsidRPr="00842D3D">
        <w:rPr>
          <w:rFonts w:eastAsia="Calibri" w:cs="Times New Roman"/>
        </w:rPr>
        <w:t xml:space="preserve">, 668 F.3d at 1114; </w:t>
      </w:r>
      <w:r w:rsidRPr="00842D3D">
        <w:rPr>
          <w:rFonts w:eastAsia="Calibri" w:cs="Times New Roman"/>
          <w:i/>
          <w:iCs/>
        </w:rPr>
        <w:t>Pratt</w:t>
      </w:r>
      <w:r w:rsidRPr="00842D3D">
        <w:rPr>
          <w:rFonts w:eastAsia="Calibri" w:cs="Times New Roman"/>
        </w:rPr>
        <w:t xml:space="preserve">, 65 F.3d at 808 (“[T]iming can properly be considered </w:t>
      </w:r>
      <w:r w:rsidRPr="00842D3D">
        <w:rPr>
          <w:rFonts w:eastAsia="Calibri" w:cs="Times New Roman"/>
        </w:rPr>
        <w:lastRenderedPageBreak/>
        <w:t xml:space="preserve">as circumstantial evidence of retaliatory intent.”). Mere speculation that the defendants acted out of retaliation is not sufficient. </w:t>
      </w:r>
      <w:r w:rsidRPr="00842D3D">
        <w:rPr>
          <w:rFonts w:eastAsia="Calibri" w:cs="Times New Roman"/>
          <w:i/>
          <w:iCs/>
        </w:rPr>
        <w:t>Wood v. Yordy</w:t>
      </w:r>
      <w:r w:rsidRPr="00842D3D">
        <w:rPr>
          <w:rFonts w:eastAsia="Calibri" w:cs="Times New Roman"/>
        </w:rPr>
        <w:t>, 753 F.3d 899, 905 (9th Cir. 2014).</w:t>
      </w:r>
    </w:p>
    <w:p w14:paraId="3A9560FB" w14:textId="77777777" w:rsidR="006B3DD9" w:rsidRPr="00842D3D" w:rsidRDefault="006B3DD9" w:rsidP="006B3DD9">
      <w:pPr>
        <w:ind w:firstLine="720"/>
        <w:rPr>
          <w:rFonts w:eastAsia="Calibri" w:cs="Times New Roman"/>
        </w:rPr>
      </w:pPr>
    </w:p>
    <w:p w14:paraId="0FB65946" w14:textId="77777777" w:rsidR="006B3DD9" w:rsidRPr="00842D3D" w:rsidRDefault="006B3DD9" w:rsidP="006B3DD9">
      <w:pPr>
        <w:ind w:firstLine="720"/>
        <w:rPr>
          <w:rFonts w:eastAsia="Calibri" w:cs="Times New Roman"/>
        </w:rPr>
      </w:pPr>
      <w:r w:rsidRPr="00842D3D">
        <w:rPr>
          <w:rFonts w:eastAsia="Calibri" w:cs="Times New Roman"/>
          <w:iCs/>
        </w:rPr>
        <w:t xml:space="preserve">The plaintiff must also show that the </w:t>
      </w:r>
      <w:proofErr w:type="gramStart"/>
      <w:r w:rsidRPr="00842D3D">
        <w:rPr>
          <w:rFonts w:eastAsia="Calibri" w:cs="Times New Roman"/>
          <w:iCs/>
        </w:rPr>
        <w:t>exercise</w:t>
      </w:r>
      <w:proofErr w:type="gramEnd"/>
      <w:r w:rsidRPr="00842D3D">
        <w:rPr>
          <w:rFonts w:eastAsia="Calibri" w:cs="Times New Roman"/>
          <w:iCs/>
        </w:rPr>
        <w:t xml:space="preserve"> of First Amendment rights was chilled, though not necessarily silenced, by the alleged retaliatory conduct. </w:t>
      </w:r>
      <w:r w:rsidRPr="00842D3D">
        <w:rPr>
          <w:rFonts w:eastAsia="Calibri" w:cs="Times New Roman"/>
          <w:i/>
        </w:rPr>
        <w:t>Rhodes</w:t>
      </w:r>
      <w:r w:rsidRPr="00842D3D">
        <w:rPr>
          <w:rFonts w:eastAsia="Calibri" w:cs="Times New Roman"/>
          <w:iCs/>
        </w:rPr>
        <w:t xml:space="preserve">, 408 F.3d at 569. </w:t>
      </w:r>
      <w:r w:rsidRPr="00842D3D">
        <w:rPr>
          <w:rFonts w:eastAsia="Calibri" w:cs="Times New Roman"/>
        </w:rPr>
        <w:t xml:space="preserve">The plaintiff must allege either a chilling effect on future First Amendment activities, or that he suffered some other harm that is “more than minimal.” </w:t>
      </w:r>
      <w:r w:rsidRPr="00842D3D">
        <w:rPr>
          <w:rFonts w:eastAsia="Calibri" w:cs="Times New Roman"/>
          <w:i/>
          <w:iCs/>
        </w:rPr>
        <w:t>Watison</w:t>
      </w:r>
      <w:r w:rsidRPr="00842D3D">
        <w:rPr>
          <w:rFonts w:eastAsia="Calibri" w:cs="Times New Roman"/>
        </w:rPr>
        <w:t xml:space="preserve">, 668 F.3d at 1114 (reversing dismissal of retaliation claim and holding that “chilling effect” pleading element was satisfied where prisoner alleged “more than minimal” harm because guard refused to serve him one breakfast in retaliation for filing an inmate grievance); </w:t>
      </w:r>
      <w:r w:rsidRPr="00842D3D">
        <w:rPr>
          <w:rFonts w:eastAsia="Calibri" w:cs="Times New Roman"/>
          <w:i/>
          <w:iCs/>
        </w:rPr>
        <w:t>Gomez v. Vernon</w:t>
      </w:r>
      <w:r w:rsidRPr="00842D3D">
        <w:rPr>
          <w:rFonts w:eastAsia="Calibri" w:cs="Times New Roman"/>
        </w:rPr>
        <w:t xml:space="preserve">, 255 F.3d 1118, 1127 (9th Cir. 2001) (“[A] retaliation claim may assert an injury no more tangible than a chilling effect on First Amendment rights.”). </w:t>
      </w:r>
      <w:r w:rsidRPr="00842D3D">
        <w:rPr>
          <w:rFonts w:eastAsia="Calibri" w:cs="Times New Roman"/>
          <w:iCs/>
        </w:rPr>
        <w:t xml:space="preserve">The plaintiff does not have to demonstrate that his speech was “actually inhibited or suppressed.” </w:t>
      </w:r>
      <w:r w:rsidRPr="00842D3D">
        <w:rPr>
          <w:rFonts w:eastAsia="Calibri" w:cs="Times New Roman"/>
          <w:i/>
        </w:rPr>
        <w:t>Rhodes</w:t>
      </w:r>
      <w:r w:rsidRPr="00842D3D">
        <w:rPr>
          <w:rFonts w:eastAsia="Calibri" w:cs="Times New Roman"/>
          <w:iCs/>
        </w:rPr>
        <w:t xml:space="preserve">, 408 F.3d at 569. “That the retaliatory conduct did not chill the plaintiff from suing the alleged retaliator does not defeat the retaliation claim at the motion to dismiss stage.” </w:t>
      </w:r>
      <w:r w:rsidRPr="00842D3D">
        <w:rPr>
          <w:rFonts w:eastAsia="Calibri" w:cs="Times New Roman"/>
          <w:i/>
        </w:rPr>
        <w:t>Watison</w:t>
      </w:r>
      <w:r w:rsidRPr="00842D3D">
        <w:rPr>
          <w:rFonts w:eastAsia="Calibri" w:cs="Times New Roman"/>
          <w:iCs/>
        </w:rPr>
        <w:t>, 668 F.3d at 1114.</w:t>
      </w:r>
    </w:p>
    <w:p w14:paraId="618B8EF8" w14:textId="77777777" w:rsidR="006B3DD9" w:rsidRPr="00842D3D" w:rsidRDefault="006B3DD9" w:rsidP="006B3DD9">
      <w:pPr>
        <w:ind w:firstLine="720"/>
        <w:rPr>
          <w:rFonts w:eastAsia="Calibri" w:cs="Times New Roman"/>
        </w:rPr>
      </w:pPr>
    </w:p>
    <w:p w14:paraId="41F8B74E" w14:textId="77777777" w:rsidR="006B3DD9" w:rsidRPr="00842D3D" w:rsidRDefault="006B3DD9" w:rsidP="006B3DD9">
      <w:pPr>
        <w:ind w:firstLine="720"/>
        <w:rPr>
          <w:rFonts w:eastAsia="Calibri" w:cs="Times New Roman"/>
        </w:rPr>
      </w:pPr>
      <w:r w:rsidRPr="00842D3D">
        <w:rPr>
          <w:rFonts w:eastAsia="Calibri" w:cs="Times New Roman"/>
        </w:rPr>
        <w:t xml:space="preserve">The plaintiff bears the burden of proving the absence of a legitimate correctional goal for the adverse action. </w:t>
      </w:r>
      <w:r w:rsidRPr="00842D3D">
        <w:rPr>
          <w:rFonts w:eastAsia="Calibri" w:cs="Times New Roman"/>
          <w:i/>
          <w:iCs/>
        </w:rPr>
        <w:t>Johnson</w:t>
      </w:r>
      <w:r w:rsidRPr="00842D3D">
        <w:rPr>
          <w:rFonts w:eastAsia="Calibri" w:cs="Times New Roman"/>
        </w:rPr>
        <w:t xml:space="preserve">, 55 F.4th at 1202 (citing </w:t>
      </w:r>
      <w:r w:rsidRPr="00842D3D">
        <w:rPr>
          <w:rFonts w:eastAsia="Calibri" w:cs="Times New Roman"/>
          <w:i/>
          <w:iCs/>
        </w:rPr>
        <w:t>Pratt</w:t>
      </w:r>
      <w:r w:rsidRPr="00842D3D">
        <w:rPr>
          <w:rFonts w:eastAsia="Calibri" w:cs="Times New Roman"/>
        </w:rPr>
        <w:t xml:space="preserve">, 65 F.3d at 806). With respect to this fifth factor, the Supreme Court has cautioned that “‘federal courts ought to afford appropriate deference and flexibility to state officials trying to manage a volatile environment,’ especially </w:t>
      </w:r>
      <w:proofErr w:type="gramStart"/>
      <w:r w:rsidRPr="00842D3D">
        <w:rPr>
          <w:rFonts w:eastAsia="Calibri" w:cs="Times New Roman"/>
        </w:rPr>
        <w:t>with regard to</w:t>
      </w:r>
      <w:proofErr w:type="gramEnd"/>
      <w:r w:rsidRPr="00842D3D">
        <w:rPr>
          <w:rFonts w:eastAsia="Calibri" w:cs="Times New Roman"/>
        </w:rPr>
        <w:t xml:space="preserve"> ‘the fine-tuning of the ordinary incidents of prison life, a common subject of prisoner claims.’” </w:t>
      </w:r>
      <w:r w:rsidRPr="00842D3D">
        <w:rPr>
          <w:rFonts w:eastAsia="Calibri" w:cs="Times New Roman"/>
          <w:i/>
          <w:iCs/>
        </w:rPr>
        <w:t>Pratt</w:t>
      </w:r>
      <w:r w:rsidRPr="00842D3D">
        <w:rPr>
          <w:rFonts w:eastAsia="Calibri" w:cs="Times New Roman"/>
        </w:rPr>
        <w:t xml:space="preserve">, 65 F.3d at 807 (quoting </w:t>
      </w:r>
      <w:r w:rsidRPr="00842D3D">
        <w:rPr>
          <w:rFonts w:eastAsia="Calibri" w:cs="Times New Roman"/>
          <w:i/>
          <w:iCs/>
        </w:rPr>
        <w:t>Sandin v. Conner</w:t>
      </w:r>
      <w:r w:rsidRPr="00842D3D">
        <w:rPr>
          <w:rFonts w:eastAsia="Calibri" w:cs="Times New Roman"/>
        </w:rPr>
        <w:t xml:space="preserve">, 515 U.S. 472, 482-83 (1995)). A plaintiff successfully pleads that the action did not reasonably advance a legitimate correctional goal by alleging, in addition to a retaliatory motive, that the defendant’s actions were “arbitrary and capricious” or that they were “unnecessary to the maintenance of order in the institution.” </w:t>
      </w:r>
      <w:r w:rsidRPr="00842D3D">
        <w:rPr>
          <w:rFonts w:eastAsia="Calibri" w:cs="Times New Roman"/>
          <w:i/>
          <w:iCs/>
        </w:rPr>
        <w:t>Watison</w:t>
      </w:r>
      <w:r w:rsidRPr="00842D3D">
        <w:rPr>
          <w:rFonts w:eastAsia="Calibri" w:cs="Times New Roman"/>
        </w:rPr>
        <w:t>, 668 F.3d at 1114-15.</w:t>
      </w:r>
    </w:p>
    <w:p w14:paraId="7D9D04CC" w14:textId="77777777" w:rsidR="006B3DD9" w:rsidRPr="00842D3D" w:rsidRDefault="006B3DD9" w:rsidP="006B3DD9">
      <w:pPr>
        <w:jc w:val="right"/>
        <w:rPr>
          <w:rFonts w:eastAsia="Calibri" w:cs="Times New Roman"/>
          <w:i/>
          <w:iCs/>
          <w:szCs w:val="24"/>
        </w:rPr>
      </w:pPr>
    </w:p>
    <w:p w14:paraId="21FA7BEE" w14:textId="0BCE01AB" w:rsidR="00860356" w:rsidRPr="00E202F5" w:rsidRDefault="006B3DD9" w:rsidP="006B3DD9">
      <w:pPr>
        <w:jc w:val="right"/>
        <w:rPr>
          <w:rFonts w:cs="Times New Roman"/>
          <w:i/>
          <w:iCs/>
          <w:szCs w:val="24"/>
        </w:rPr>
      </w:pPr>
      <w:r w:rsidRPr="00842D3D">
        <w:rPr>
          <w:rFonts w:eastAsia="Calibri" w:cs="Times New Roman"/>
          <w:i/>
          <w:iCs/>
          <w:szCs w:val="24"/>
        </w:rPr>
        <w:t>Revised June 2025</w:t>
      </w:r>
    </w:p>
    <w:bookmarkEnd w:id="0"/>
    <w:p w14:paraId="2AEDFA0B" w14:textId="77777777" w:rsidR="00532B0F" w:rsidRPr="001573DF" w:rsidRDefault="00532B0F" w:rsidP="00532B0F">
      <w:pPr>
        <w:ind w:firstLine="720"/>
      </w:pPr>
    </w:p>
    <w:p w14:paraId="0725CC29" w14:textId="77777777" w:rsidR="00147419" w:rsidRPr="001573DF" w:rsidRDefault="00147419"/>
    <w:sectPr w:rsidR="00147419" w:rsidRPr="001573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56293B"/>
    <w:multiLevelType w:val="hybridMultilevel"/>
    <w:tmpl w:val="DFB493B6"/>
    <w:lvl w:ilvl="0" w:tplc="DB70189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6633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B0F"/>
    <w:rsid w:val="000562A8"/>
    <w:rsid w:val="00147419"/>
    <w:rsid w:val="001573DF"/>
    <w:rsid w:val="00170FD9"/>
    <w:rsid w:val="001F5CAF"/>
    <w:rsid w:val="004F7175"/>
    <w:rsid w:val="00532B0F"/>
    <w:rsid w:val="005702AD"/>
    <w:rsid w:val="006B3DD9"/>
    <w:rsid w:val="007E0761"/>
    <w:rsid w:val="00860356"/>
    <w:rsid w:val="00B951E2"/>
    <w:rsid w:val="00C30B63"/>
    <w:rsid w:val="00C631EB"/>
    <w:rsid w:val="00CA3026"/>
    <w:rsid w:val="00D04691"/>
    <w:rsid w:val="00D54CA4"/>
    <w:rsid w:val="00D56588"/>
    <w:rsid w:val="00E202F5"/>
    <w:rsid w:val="00F242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0007F"/>
  <w15:chartTrackingRefBased/>
  <w15:docId w15:val="{950934CE-D919-4042-A6EF-B1A9584C9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B0F"/>
    <w:pPr>
      <w:spacing w:after="0" w:line="240" w:lineRule="auto"/>
    </w:pPr>
    <w:rPr>
      <w:rFonts w:ascii="Times New Roman" w:hAnsi="Times New Roman"/>
      <w:kern w:val="0"/>
      <w:szCs w:val="22"/>
      <w14:ligatures w14:val="none"/>
    </w:rPr>
  </w:style>
  <w:style w:type="paragraph" w:styleId="Heading1">
    <w:name w:val="heading 1"/>
    <w:basedOn w:val="Normal"/>
    <w:next w:val="Normal"/>
    <w:link w:val="Heading1Char"/>
    <w:uiPriority w:val="9"/>
    <w:qFormat/>
    <w:rsid w:val="001573DF"/>
    <w:pPr>
      <w:keepNext/>
      <w:keepLines/>
      <w:jc w:val="center"/>
      <w:outlineLvl w:val="0"/>
    </w:pPr>
    <w:rPr>
      <w:rFonts w:eastAsiaTheme="majorEastAsia" w:cstheme="majorBidi"/>
      <w:b/>
      <w:szCs w:val="40"/>
    </w:rPr>
  </w:style>
  <w:style w:type="paragraph" w:styleId="Heading2">
    <w:name w:val="heading 2"/>
    <w:basedOn w:val="Normal"/>
    <w:next w:val="Normal"/>
    <w:link w:val="Heading2Char"/>
    <w:uiPriority w:val="9"/>
    <w:semiHidden/>
    <w:unhideWhenUsed/>
    <w:qFormat/>
    <w:rsid w:val="00532B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B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B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B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B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B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B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B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3DF"/>
    <w:rPr>
      <w:rFonts w:ascii="Times New Roman" w:eastAsiaTheme="majorEastAsia" w:hAnsi="Times New Roman" w:cstheme="majorBidi"/>
      <w:b/>
      <w:kern w:val="0"/>
      <w:szCs w:val="40"/>
      <w14:ligatures w14:val="none"/>
    </w:rPr>
  </w:style>
  <w:style w:type="character" w:customStyle="1" w:styleId="Heading2Char">
    <w:name w:val="Heading 2 Char"/>
    <w:basedOn w:val="DefaultParagraphFont"/>
    <w:link w:val="Heading2"/>
    <w:uiPriority w:val="9"/>
    <w:semiHidden/>
    <w:rsid w:val="00532B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B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B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B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B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B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B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B0F"/>
    <w:rPr>
      <w:rFonts w:eastAsiaTheme="majorEastAsia" w:cstheme="majorBidi"/>
      <w:color w:val="272727" w:themeColor="text1" w:themeTint="D8"/>
    </w:rPr>
  </w:style>
  <w:style w:type="paragraph" w:styleId="Title">
    <w:name w:val="Title"/>
    <w:basedOn w:val="Normal"/>
    <w:next w:val="Normal"/>
    <w:link w:val="TitleChar"/>
    <w:uiPriority w:val="10"/>
    <w:qFormat/>
    <w:rsid w:val="00532B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B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B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B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B0F"/>
    <w:pPr>
      <w:spacing w:before="160"/>
      <w:jc w:val="center"/>
    </w:pPr>
    <w:rPr>
      <w:i/>
      <w:iCs/>
      <w:color w:val="404040" w:themeColor="text1" w:themeTint="BF"/>
    </w:rPr>
  </w:style>
  <w:style w:type="character" w:customStyle="1" w:styleId="QuoteChar">
    <w:name w:val="Quote Char"/>
    <w:basedOn w:val="DefaultParagraphFont"/>
    <w:link w:val="Quote"/>
    <w:uiPriority w:val="29"/>
    <w:rsid w:val="00532B0F"/>
    <w:rPr>
      <w:i/>
      <w:iCs/>
      <w:color w:val="404040" w:themeColor="text1" w:themeTint="BF"/>
    </w:rPr>
  </w:style>
  <w:style w:type="paragraph" w:styleId="ListParagraph">
    <w:name w:val="List Paragraph"/>
    <w:basedOn w:val="Normal"/>
    <w:uiPriority w:val="34"/>
    <w:qFormat/>
    <w:rsid w:val="00532B0F"/>
    <w:pPr>
      <w:ind w:left="720"/>
      <w:contextualSpacing/>
    </w:pPr>
  </w:style>
  <w:style w:type="character" w:styleId="IntenseEmphasis">
    <w:name w:val="Intense Emphasis"/>
    <w:basedOn w:val="DefaultParagraphFont"/>
    <w:uiPriority w:val="21"/>
    <w:qFormat/>
    <w:rsid w:val="00532B0F"/>
    <w:rPr>
      <w:i/>
      <w:iCs/>
      <w:color w:val="0F4761" w:themeColor="accent1" w:themeShade="BF"/>
    </w:rPr>
  </w:style>
  <w:style w:type="paragraph" w:styleId="IntenseQuote">
    <w:name w:val="Intense Quote"/>
    <w:basedOn w:val="Normal"/>
    <w:next w:val="Normal"/>
    <w:link w:val="IntenseQuoteChar"/>
    <w:uiPriority w:val="30"/>
    <w:qFormat/>
    <w:rsid w:val="00532B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B0F"/>
    <w:rPr>
      <w:i/>
      <w:iCs/>
      <w:color w:val="0F4761" w:themeColor="accent1" w:themeShade="BF"/>
    </w:rPr>
  </w:style>
  <w:style w:type="character" w:styleId="IntenseReference">
    <w:name w:val="Intense Reference"/>
    <w:basedOn w:val="DefaultParagraphFont"/>
    <w:uiPriority w:val="32"/>
    <w:qFormat/>
    <w:rsid w:val="00532B0F"/>
    <w:rPr>
      <w:b/>
      <w:bCs/>
      <w:smallCaps/>
      <w:color w:val="0F4761" w:themeColor="accent1" w:themeShade="BF"/>
      <w:spacing w:val="5"/>
    </w:rPr>
  </w:style>
  <w:style w:type="paragraph" w:customStyle="1" w:styleId="DoubleSpace">
    <w:name w:val="Double Space"/>
    <w:qFormat/>
    <w:rsid w:val="00532B0F"/>
    <w:pPr>
      <w:widowControl w:val="0"/>
      <w:spacing w:after="0" w:line="480" w:lineRule="exact"/>
      <w:jc w:val="both"/>
    </w:pPr>
    <w:rPr>
      <w:rFonts w:ascii="Times New Roman" w:hAnsi="Times New Roman"/>
      <w:kern w:val="0"/>
      <w:szCs w:val="22"/>
      <w14:ligatures w14:val="none"/>
    </w:rPr>
  </w:style>
  <w:style w:type="paragraph" w:styleId="Revision">
    <w:name w:val="Revision"/>
    <w:hidden/>
    <w:uiPriority w:val="99"/>
    <w:semiHidden/>
    <w:rsid w:val="00C631EB"/>
    <w:pPr>
      <w:spacing w:after="0" w:line="240" w:lineRule="auto"/>
    </w:pPr>
    <w:rPr>
      <w:rFonts w:ascii="Times New Roman" w:hAnsi="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1303</Words>
  <Characters>7428</Characters>
  <Application>Microsoft Office Word</Application>
  <DocSecurity>0</DocSecurity>
  <Lines>61</Lines>
  <Paragraphs>17</Paragraphs>
  <ScaleCrop>false</ScaleCrop>
  <Company/>
  <LinksUpToDate>false</LinksUpToDate>
  <CharactersWithSpaces>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9</cp:revision>
  <dcterms:created xsi:type="dcterms:W3CDTF">2024-12-30T19:10:00Z</dcterms:created>
  <dcterms:modified xsi:type="dcterms:W3CDTF">2026-02-26T19:47:00Z</dcterms:modified>
</cp:coreProperties>
</file>