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EF68" w14:textId="77777777" w:rsidR="00970FFD" w:rsidRPr="00970FFD" w:rsidRDefault="00970FFD" w:rsidP="00970FFD">
      <w:pPr>
        <w:autoSpaceDE w:val="0"/>
        <w:autoSpaceDN w:val="0"/>
        <w:adjustRightInd w:val="0"/>
        <w:ind w:left="420" w:hanging="240"/>
        <w:jc w:val="center"/>
        <w:outlineLvl w:val="1"/>
        <w:rPr>
          <w:rFonts w:cs="Times New Roman"/>
          <w:b/>
          <w:bCs/>
          <w:szCs w:val="24"/>
        </w:rPr>
      </w:pPr>
      <w:bookmarkStart w:id="0" w:name="_Toc73698549"/>
      <w:bookmarkStart w:id="1" w:name="_Toc90309853"/>
      <w:bookmarkStart w:id="2" w:name="_Toc90389711"/>
      <w:bookmarkStart w:id="3" w:name="_Toc90860291"/>
      <w:r w:rsidRPr="00970FFD">
        <w:rPr>
          <w:rFonts w:cs="Times New Roman"/>
          <w:b/>
          <w:bCs/>
          <w:szCs w:val="24"/>
        </w:rPr>
        <w:t>Introductory Comment</w:t>
      </w:r>
      <w:bookmarkEnd w:id="0"/>
      <w:bookmarkEnd w:id="1"/>
      <w:bookmarkEnd w:id="2"/>
      <w:bookmarkEnd w:id="3"/>
    </w:p>
    <w:p w14:paraId="15D03A3B" w14:textId="77777777" w:rsidR="00970FFD" w:rsidRPr="00970FFD" w:rsidRDefault="00970FFD" w:rsidP="00970FFD">
      <w:pPr>
        <w:widowControl w:val="0"/>
        <w:rPr>
          <w:rFonts w:eastAsia="Times New Roman" w:cs="Times New Roman"/>
          <w:color w:val="000000"/>
          <w:szCs w:val="20"/>
        </w:rPr>
      </w:pPr>
    </w:p>
    <w:p w14:paraId="7056ADEA" w14:textId="77777777" w:rsidR="00970FFD" w:rsidRPr="00970FFD" w:rsidRDefault="00970FFD" w:rsidP="00970FFD">
      <w:pPr>
        <w:widowControl w:val="0"/>
        <w:rPr>
          <w:rFonts w:eastAsia="Times New Roman" w:cs="Times New Roman"/>
          <w:color w:val="000000"/>
          <w:szCs w:val="24"/>
        </w:rPr>
      </w:pPr>
      <w:r w:rsidRPr="00970FFD">
        <w:rPr>
          <w:rFonts w:eastAsia="Times New Roman" w:cs="Times New Roman"/>
          <w:color w:val="000000"/>
          <w:szCs w:val="20"/>
        </w:rPr>
        <w:tab/>
      </w:r>
      <w:r w:rsidRPr="00970FFD">
        <w:rPr>
          <w:rFonts w:cs="Times New Roman"/>
          <w:szCs w:val="24"/>
        </w:rPr>
        <w:t>“A defendant is entitled to have the jury instructed on his or her theory of defense, as long as the theory has support in the law and some foundation in the evidence.”</w:t>
      </w:r>
      <w:r w:rsidRPr="00970FFD">
        <w:rPr>
          <w:rFonts w:eastAsia="Times New Roman" w:cs="Times New Roman"/>
          <w:color w:val="000000"/>
          <w:szCs w:val="24"/>
        </w:rPr>
        <w:t xml:space="preserve">  </w:t>
      </w:r>
      <w:r w:rsidRPr="00970FFD">
        <w:rPr>
          <w:rFonts w:eastAsia="Times New Roman" w:cs="Times New Roman"/>
          <w:i/>
          <w:color w:val="000000"/>
          <w:szCs w:val="24"/>
        </w:rPr>
        <w:t>United States</w:t>
      </w:r>
      <w:r w:rsidRPr="00970FFD">
        <w:rPr>
          <w:rFonts w:eastAsia="Times New Roman" w:cs="Times New Roman"/>
          <w:color w:val="000000"/>
          <w:szCs w:val="24"/>
        </w:rPr>
        <w:t xml:space="preserve"> </w:t>
      </w:r>
      <w:r w:rsidRPr="00970FFD">
        <w:rPr>
          <w:rFonts w:eastAsia="Times New Roman" w:cs="Times New Roman"/>
          <w:i/>
          <w:color w:val="000000"/>
          <w:szCs w:val="24"/>
        </w:rPr>
        <w:t>v. Perdomo-</w:t>
      </w:r>
      <w:proofErr w:type="spellStart"/>
      <w:r w:rsidRPr="00970FFD">
        <w:rPr>
          <w:rFonts w:eastAsia="Times New Roman" w:cs="Times New Roman"/>
          <w:i/>
          <w:color w:val="000000"/>
          <w:szCs w:val="24"/>
        </w:rPr>
        <w:t>Espana</w:t>
      </w:r>
      <w:proofErr w:type="spellEnd"/>
      <w:r w:rsidRPr="00970FFD">
        <w:rPr>
          <w:rFonts w:eastAsia="Times New Roman" w:cs="Times New Roman"/>
          <w:color w:val="000000"/>
          <w:szCs w:val="24"/>
        </w:rPr>
        <w:t xml:space="preserve">, 522 F.3d 983, 986-87 (9th Cir. 2008).  </w:t>
      </w:r>
      <w:r w:rsidRPr="00970FFD">
        <w:rPr>
          <w:rFonts w:cs="Times New Roman"/>
          <w:szCs w:val="24"/>
        </w:rPr>
        <w:t>But the instruction need not be given in the form requested, nor if it “merely duplicates what the jury has already been told.”</w:t>
      </w:r>
      <w:r w:rsidRPr="00970FFD">
        <w:rPr>
          <w:rFonts w:eastAsia="Times New Roman" w:cs="Times New Roman"/>
          <w:color w:val="000000"/>
          <w:szCs w:val="24"/>
        </w:rPr>
        <w:t xml:space="preserve">  </w:t>
      </w:r>
      <w:r w:rsidRPr="00970FFD">
        <w:rPr>
          <w:rFonts w:eastAsia="Times New Roman" w:cs="Times New Roman"/>
          <w:i/>
          <w:color w:val="000000"/>
          <w:szCs w:val="24"/>
        </w:rPr>
        <w:t>United States v. Lopez-Alvarez</w:t>
      </w:r>
      <w:r w:rsidRPr="00970FFD">
        <w:rPr>
          <w:rFonts w:eastAsia="Times New Roman" w:cs="Times New Roman"/>
          <w:color w:val="000000"/>
          <w:szCs w:val="24"/>
        </w:rPr>
        <w:t>,</w:t>
      </w:r>
      <w:r w:rsidRPr="00970FFD">
        <w:rPr>
          <w:rFonts w:eastAsia="Times New Roman" w:cs="Times New Roman"/>
          <w:i/>
          <w:color w:val="000000"/>
          <w:szCs w:val="24"/>
        </w:rPr>
        <w:t xml:space="preserve"> </w:t>
      </w:r>
      <w:r w:rsidRPr="00970FFD">
        <w:rPr>
          <w:rFonts w:eastAsia="Times New Roman" w:cs="Times New Roman"/>
          <w:color w:val="000000"/>
          <w:szCs w:val="24"/>
        </w:rPr>
        <w:t>970 F.2d 583, 597 (9th Cir. 1992).</w:t>
      </w:r>
    </w:p>
    <w:p w14:paraId="485AEAF6" w14:textId="77777777" w:rsidR="00970FFD" w:rsidRPr="00970FFD" w:rsidRDefault="00970FFD" w:rsidP="00970FFD">
      <w:pPr>
        <w:widowControl w:val="0"/>
        <w:rPr>
          <w:rFonts w:eastAsia="Times New Roman" w:cs="Times New Roman"/>
          <w:color w:val="000000"/>
          <w:szCs w:val="24"/>
        </w:rPr>
      </w:pPr>
    </w:p>
    <w:p w14:paraId="62F4AA12" w14:textId="77777777" w:rsidR="00970FFD" w:rsidRPr="00970FFD" w:rsidRDefault="00970FFD" w:rsidP="00970FFD">
      <w:pPr>
        <w:widowControl w:val="0"/>
        <w:rPr>
          <w:rFonts w:eastAsia="Times New Roman" w:cs="Times New Roman"/>
          <w:color w:val="000000"/>
          <w:szCs w:val="24"/>
        </w:rPr>
      </w:pPr>
      <w:r w:rsidRPr="00970FFD">
        <w:rPr>
          <w:rFonts w:eastAsia="Times New Roman" w:cs="Times New Roman"/>
          <w:color w:val="000000"/>
          <w:szCs w:val="24"/>
        </w:rPr>
        <w:tab/>
        <w:t xml:space="preserve">There appears to be some conflict in Ninth Circuit case law as to when a district court must </w:t>
      </w:r>
      <w:proofErr w:type="spellStart"/>
      <w:r w:rsidRPr="00970FFD">
        <w:rPr>
          <w:rFonts w:eastAsia="Times New Roman" w:cs="Times New Roman"/>
          <w:color w:val="000000"/>
          <w:szCs w:val="24"/>
        </w:rPr>
        <w:t>sua</w:t>
      </w:r>
      <w:proofErr w:type="spellEnd"/>
      <w:r w:rsidRPr="00970FFD">
        <w:rPr>
          <w:rFonts w:eastAsia="Times New Roman" w:cs="Times New Roman"/>
          <w:color w:val="000000"/>
          <w:szCs w:val="24"/>
        </w:rPr>
        <w:t xml:space="preserve"> sponte</w:t>
      </w:r>
      <w:r w:rsidRPr="00970FFD">
        <w:rPr>
          <w:rFonts w:eastAsia="Times New Roman" w:cs="Times New Roman"/>
          <w:i/>
          <w:color w:val="000000"/>
          <w:szCs w:val="24"/>
        </w:rPr>
        <w:t xml:space="preserve"> </w:t>
      </w:r>
      <w:r w:rsidRPr="00970FFD">
        <w:rPr>
          <w:rFonts w:eastAsia="Times New Roman" w:cs="Times New Roman"/>
          <w:color w:val="000000"/>
          <w:szCs w:val="24"/>
        </w:rPr>
        <w:t xml:space="preserve">instruct the jury on a specific defense.  </w:t>
      </w:r>
      <w:r w:rsidRPr="00970FFD">
        <w:rPr>
          <w:rFonts w:eastAsia="Times New Roman" w:cs="Times New Roman"/>
          <w:i/>
          <w:color w:val="000000"/>
          <w:szCs w:val="24"/>
        </w:rPr>
        <w:t>Compare</w:t>
      </w:r>
      <w:r w:rsidRPr="00970FFD">
        <w:rPr>
          <w:rFonts w:eastAsia="Times New Roman" w:cs="Times New Roman"/>
          <w:color w:val="000000"/>
          <w:szCs w:val="24"/>
        </w:rPr>
        <w:t xml:space="preserve"> </w:t>
      </w:r>
      <w:r w:rsidRPr="00970FFD">
        <w:rPr>
          <w:rFonts w:eastAsia="Times New Roman" w:cs="Times New Roman"/>
          <w:i/>
          <w:color w:val="000000"/>
          <w:szCs w:val="24"/>
        </w:rPr>
        <w:t>United States v. Bear</w:t>
      </w:r>
      <w:r w:rsidRPr="00970FFD">
        <w:rPr>
          <w:rFonts w:eastAsia="Times New Roman" w:cs="Times New Roman"/>
          <w:color w:val="000000"/>
          <w:szCs w:val="24"/>
        </w:rPr>
        <w:t>, 439 F.3d 565, 568 (9th Cir. 2006) (</w:t>
      </w:r>
      <w:r w:rsidRPr="00970FFD">
        <w:rPr>
          <w:rFonts w:cs="Times New Roman"/>
          <w:szCs w:val="24"/>
        </w:rPr>
        <w:t>“[w]hen a defendant actually presents and relies on a theory of defense at trial,” in this case, a public authority defense, “the judge must instruct the jury on that theory even where such an instruction was not requested.”</w:t>
      </w:r>
      <w:r w:rsidRPr="00970FFD">
        <w:rPr>
          <w:rFonts w:eastAsia="Times New Roman" w:cs="Times New Roman"/>
          <w:color w:val="000000"/>
          <w:szCs w:val="24"/>
        </w:rPr>
        <w:t xml:space="preserve">) </w:t>
      </w:r>
      <w:r w:rsidRPr="00970FFD">
        <w:rPr>
          <w:rFonts w:eastAsia="Times New Roman" w:cs="Times New Roman"/>
          <w:i/>
          <w:iCs/>
          <w:color w:val="000000"/>
          <w:szCs w:val="24"/>
        </w:rPr>
        <w:t xml:space="preserve">with </w:t>
      </w:r>
      <w:r w:rsidRPr="00970FFD">
        <w:rPr>
          <w:rFonts w:eastAsia="Times New Roman" w:cs="Times New Roman"/>
          <w:i/>
          <w:color w:val="000000"/>
          <w:szCs w:val="24"/>
        </w:rPr>
        <w:t>United States v. Lillard</w:t>
      </w:r>
      <w:r w:rsidRPr="00970FFD">
        <w:rPr>
          <w:rFonts w:eastAsia="Times New Roman" w:cs="Times New Roman"/>
          <w:color w:val="000000"/>
          <w:szCs w:val="24"/>
        </w:rPr>
        <w:t xml:space="preserve">, 354 F.3d 850, 855 (9th Cir. 2003) (“In the absence of a request from the defendant, the omission of an alibi instruction cannot be plain error.”). </w:t>
      </w:r>
    </w:p>
    <w:p w14:paraId="5F2D520C" w14:textId="77777777" w:rsidR="00970FFD" w:rsidRPr="00970FFD" w:rsidRDefault="00970FFD" w:rsidP="00970FFD">
      <w:pPr>
        <w:widowControl w:val="0"/>
        <w:rPr>
          <w:rFonts w:eastAsia="Times New Roman" w:cs="Times New Roman"/>
          <w:color w:val="000000"/>
          <w:szCs w:val="20"/>
        </w:rPr>
      </w:pPr>
    </w:p>
    <w:p w14:paraId="68B18A92" w14:textId="77777777" w:rsidR="00970FFD" w:rsidRPr="00970FFD" w:rsidRDefault="00970FFD" w:rsidP="00970FFD">
      <w:pPr>
        <w:widowControl w:val="0"/>
        <w:rPr>
          <w:rFonts w:eastAsia="Times New Roman" w:cs="Times New Roman"/>
          <w:color w:val="000000"/>
          <w:szCs w:val="20"/>
        </w:rPr>
      </w:pPr>
      <w:r w:rsidRPr="00970FFD">
        <w:rPr>
          <w:rFonts w:eastAsia="Times New Roman" w:cs="Times New Roman"/>
          <w:color w:val="000000"/>
          <w:szCs w:val="20"/>
        </w:rPr>
        <w:tab/>
        <w:t xml:space="preserve">The unanimity requirement extends to affirmative defenses. </w:t>
      </w:r>
      <w:r w:rsidRPr="00970FFD">
        <w:rPr>
          <w:rFonts w:eastAsia="Times New Roman" w:cs="Times New Roman"/>
          <w:i/>
          <w:color w:val="000000"/>
          <w:szCs w:val="20"/>
        </w:rPr>
        <w:t>See, e.g.</w:t>
      </w:r>
      <w:r w:rsidRPr="00970FFD">
        <w:rPr>
          <w:rFonts w:eastAsia="Times New Roman" w:cs="Times New Roman"/>
          <w:color w:val="000000"/>
          <w:szCs w:val="20"/>
        </w:rPr>
        <w:t xml:space="preserve">, </w:t>
      </w:r>
      <w:r w:rsidRPr="00970FFD">
        <w:rPr>
          <w:rFonts w:eastAsia="Times New Roman" w:cs="Times New Roman"/>
          <w:i/>
          <w:color w:val="000000"/>
          <w:szCs w:val="20"/>
        </w:rPr>
        <w:t>United States v. Ramirez</w:t>
      </w:r>
      <w:r w:rsidRPr="00970FFD">
        <w:rPr>
          <w:rFonts w:eastAsia="Times New Roman" w:cs="Times New Roman"/>
          <w:color w:val="000000"/>
          <w:szCs w:val="20"/>
        </w:rPr>
        <w:t xml:space="preserve">, 537 F.3d 1075, 1084 (9th Cir. 2008).  In most cases the general unanimity instruction in Instruction 6.19 (Duty to Deliberate) should suffice. </w:t>
      </w:r>
      <w:r w:rsidRPr="00970FFD">
        <w:rPr>
          <w:rFonts w:eastAsia="Times New Roman" w:cs="Times New Roman"/>
          <w:i/>
          <w:color w:val="000000"/>
          <w:szCs w:val="20"/>
        </w:rPr>
        <w:t xml:space="preserve"> See United States v. </w:t>
      </w:r>
      <w:proofErr w:type="spellStart"/>
      <w:r w:rsidRPr="00970FFD">
        <w:rPr>
          <w:rFonts w:eastAsia="Times New Roman" w:cs="Times New Roman"/>
          <w:i/>
          <w:color w:val="000000"/>
          <w:szCs w:val="20"/>
        </w:rPr>
        <w:t>Nobari</w:t>
      </w:r>
      <w:proofErr w:type="spellEnd"/>
      <w:r w:rsidRPr="00970FFD">
        <w:rPr>
          <w:rFonts w:eastAsia="Times New Roman" w:cs="Times New Roman"/>
          <w:color w:val="000000"/>
          <w:szCs w:val="20"/>
        </w:rPr>
        <w:t>,</w:t>
      </w:r>
      <w:r w:rsidRPr="00970FFD">
        <w:rPr>
          <w:rFonts w:eastAsia="Times New Roman" w:cs="Times New Roman"/>
          <w:i/>
          <w:color w:val="000000"/>
          <w:szCs w:val="20"/>
        </w:rPr>
        <w:t xml:space="preserve"> </w:t>
      </w:r>
      <w:r w:rsidRPr="00970FFD">
        <w:rPr>
          <w:rFonts w:eastAsia="Times New Roman" w:cs="Times New Roman"/>
          <w:color w:val="000000"/>
          <w:szCs w:val="20"/>
        </w:rPr>
        <w:t xml:space="preserve">574 F.3d 1065, 1081 (9th Cir. 2009); </w:t>
      </w:r>
      <w:r w:rsidRPr="00970FFD">
        <w:rPr>
          <w:rFonts w:eastAsia="Times New Roman" w:cs="Times New Roman"/>
          <w:i/>
          <w:color w:val="000000"/>
          <w:szCs w:val="20"/>
        </w:rPr>
        <w:t>United States v. Kim</w:t>
      </w:r>
      <w:r w:rsidRPr="00970FFD">
        <w:rPr>
          <w:rFonts w:eastAsia="Times New Roman" w:cs="Times New Roman"/>
          <w:color w:val="000000"/>
          <w:szCs w:val="20"/>
        </w:rPr>
        <w:t>,</w:t>
      </w:r>
      <w:r w:rsidRPr="00970FFD">
        <w:rPr>
          <w:rFonts w:eastAsia="Times New Roman" w:cs="Times New Roman"/>
          <w:i/>
          <w:color w:val="000000"/>
          <w:szCs w:val="20"/>
        </w:rPr>
        <w:t xml:space="preserve"> </w:t>
      </w:r>
      <w:r w:rsidRPr="00970FFD">
        <w:rPr>
          <w:rFonts w:eastAsia="Times New Roman" w:cs="Times New Roman"/>
          <w:color w:val="000000"/>
          <w:szCs w:val="20"/>
        </w:rPr>
        <w:t xml:space="preserve">196 F.3d 1079, 1082 (9th Cir. 1999).  However, “a specific unanimity instruction is required if it appears that there is a genuine possibility of jury confusion or that a conviction may occur as the result of different jurors concluding that the defendant committed different acts.”  </w:t>
      </w:r>
      <w:r w:rsidRPr="00970FFD">
        <w:rPr>
          <w:rFonts w:eastAsia="Times New Roman" w:cs="Times New Roman"/>
          <w:i/>
          <w:color w:val="000000"/>
          <w:szCs w:val="20"/>
        </w:rPr>
        <w:t>United States v. Lyons</w:t>
      </w:r>
      <w:r w:rsidRPr="00970FFD">
        <w:rPr>
          <w:rFonts w:eastAsia="Times New Roman" w:cs="Times New Roman"/>
          <w:color w:val="000000"/>
          <w:szCs w:val="20"/>
        </w:rPr>
        <w:t xml:space="preserve">, 472 F.3d 1055, 1068 (9th Cir. 2007). </w:t>
      </w:r>
      <w:r w:rsidRPr="00970FFD">
        <w:rPr>
          <w:rFonts w:eastAsia="Times New Roman" w:cs="Times New Roman"/>
          <w:i/>
          <w:color w:val="000000"/>
          <w:szCs w:val="20"/>
        </w:rPr>
        <w:t xml:space="preserve">See also </w:t>
      </w:r>
      <w:r w:rsidRPr="00970FFD">
        <w:rPr>
          <w:rFonts w:eastAsia="Times New Roman" w:cs="Times New Roman"/>
          <w:color w:val="000000"/>
          <w:szCs w:val="20"/>
        </w:rPr>
        <w:t>Instruction 6.27 (Specific Issue Unanimity).</w:t>
      </w:r>
    </w:p>
    <w:p w14:paraId="0ACE18C0" w14:textId="58606460" w:rsidR="00C97E04" w:rsidRPr="00970FFD" w:rsidRDefault="00C97E04" w:rsidP="00970FFD"/>
    <w:sectPr w:rsidR="00C97E04" w:rsidRPr="00970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2810F9"/>
    <w:rsid w:val="002A23F9"/>
    <w:rsid w:val="003A725E"/>
    <w:rsid w:val="004232A7"/>
    <w:rsid w:val="00443FE7"/>
    <w:rsid w:val="004D1662"/>
    <w:rsid w:val="00542361"/>
    <w:rsid w:val="005A7428"/>
    <w:rsid w:val="00675651"/>
    <w:rsid w:val="006C06EF"/>
    <w:rsid w:val="00890E7A"/>
    <w:rsid w:val="00970FFD"/>
    <w:rsid w:val="00B43CDA"/>
    <w:rsid w:val="00BE1BC9"/>
    <w:rsid w:val="00C97E04"/>
    <w:rsid w:val="00EA658F"/>
    <w:rsid w:val="00EA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2022-05-13T19:26:00Z</dcterms:created>
  <dcterms:modified xsi:type="dcterms:W3CDTF">2022-05-13T19:26:00Z</dcterms:modified>
</cp:coreProperties>
</file>